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169" w:rsidRPr="00687B52" w:rsidRDefault="00235169" w:rsidP="00235169">
      <w:pPr>
        <w:jc w:val="center"/>
        <w:rPr>
          <w:b/>
          <w:color w:val="000000" w:themeColor="text1"/>
          <w:sz w:val="28"/>
          <w:szCs w:val="28"/>
        </w:rPr>
      </w:pPr>
      <w:bookmarkStart w:id="0" w:name="_GoBack"/>
      <w:bookmarkEnd w:id="0"/>
    </w:p>
    <w:p w:rsidR="00781811" w:rsidRPr="00687B52" w:rsidRDefault="00781811" w:rsidP="00235169">
      <w:pPr>
        <w:jc w:val="center"/>
        <w:rPr>
          <w:b/>
          <w:color w:val="000000" w:themeColor="text1"/>
          <w:sz w:val="28"/>
          <w:szCs w:val="28"/>
        </w:rPr>
      </w:pPr>
    </w:p>
    <w:p w:rsidR="00781811" w:rsidRPr="00687B52" w:rsidRDefault="00781811" w:rsidP="00235169">
      <w:pPr>
        <w:jc w:val="center"/>
        <w:rPr>
          <w:b/>
          <w:color w:val="000000" w:themeColor="text1"/>
          <w:sz w:val="28"/>
          <w:szCs w:val="28"/>
        </w:rPr>
      </w:pPr>
    </w:p>
    <w:p w:rsidR="00441EEA" w:rsidRPr="00687B52" w:rsidRDefault="00B94DFF" w:rsidP="00F25ED0">
      <w:pPr>
        <w:spacing w:beforeLines="50" w:before="156"/>
        <w:jc w:val="center"/>
        <w:rPr>
          <w:b/>
          <w:color w:val="000000" w:themeColor="text1"/>
          <w:sz w:val="44"/>
          <w:szCs w:val="44"/>
        </w:rPr>
      </w:pPr>
      <w:r w:rsidRPr="00687B52">
        <w:rPr>
          <w:rFonts w:hint="eastAsia"/>
          <w:b/>
          <w:color w:val="000000" w:themeColor="text1"/>
          <w:sz w:val="44"/>
          <w:szCs w:val="44"/>
        </w:rPr>
        <w:t>湖南省危险化学品</w:t>
      </w:r>
      <w:r w:rsidR="00F25ED0">
        <w:rPr>
          <w:rFonts w:hint="eastAsia"/>
          <w:b/>
          <w:color w:val="000000" w:themeColor="text1"/>
          <w:sz w:val="44"/>
          <w:szCs w:val="44"/>
        </w:rPr>
        <w:t>企业</w:t>
      </w:r>
      <w:r w:rsidRPr="00687B52">
        <w:rPr>
          <w:rFonts w:hint="eastAsia"/>
          <w:b/>
          <w:color w:val="000000" w:themeColor="text1"/>
          <w:sz w:val="44"/>
          <w:szCs w:val="44"/>
        </w:rPr>
        <w:t>安全体检</w:t>
      </w:r>
      <w:r w:rsidR="000C2455" w:rsidRPr="00687B52">
        <w:rPr>
          <w:rFonts w:hint="eastAsia"/>
          <w:b/>
          <w:color w:val="000000" w:themeColor="text1"/>
          <w:sz w:val="44"/>
          <w:szCs w:val="44"/>
        </w:rPr>
        <w:t>标准</w:t>
      </w:r>
    </w:p>
    <w:p w:rsidR="00ED193C" w:rsidRPr="00687B52" w:rsidRDefault="000C2455" w:rsidP="00F25ED0">
      <w:pPr>
        <w:spacing w:beforeLines="50" w:before="156"/>
        <w:jc w:val="center"/>
        <w:rPr>
          <w:b/>
          <w:color w:val="000000" w:themeColor="text1"/>
          <w:sz w:val="44"/>
          <w:szCs w:val="44"/>
        </w:rPr>
      </w:pPr>
      <w:r w:rsidRPr="00687B52">
        <w:rPr>
          <w:rFonts w:hint="eastAsia"/>
          <w:b/>
          <w:color w:val="000000" w:themeColor="text1"/>
          <w:sz w:val="44"/>
          <w:szCs w:val="44"/>
        </w:rPr>
        <w:t>（试行）</w:t>
      </w:r>
    </w:p>
    <w:p w:rsidR="009112F3" w:rsidRPr="00687B52" w:rsidRDefault="009112F3" w:rsidP="00235169">
      <w:pPr>
        <w:jc w:val="center"/>
        <w:rPr>
          <w:b/>
          <w:color w:val="000000" w:themeColor="text1"/>
          <w:sz w:val="48"/>
          <w:szCs w:val="48"/>
        </w:rPr>
      </w:pPr>
    </w:p>
    <w:p w:rsidR="009112F3" w:rsidRPr="00687B52" w:rsidRDefault="009112F3" w:rsidP="00235169">
      <w:pPr>
        <w:jc w:val="center"/>
        <w:rPr>
          <w:b/>
          <w:color w:val="000000" w:themeColor="text1"/>
          <w:sz w:val="48"/>
          <w:szCs w:val="48"/>
        </w:rPr>
      </w:pPr>
    </w:p>
    <w:p w:rsidR="009112F3" w:rsidRPr="00687B52" w:rsidRDefault="009112F3" w:rsidP="00235169">
      <w:pPr>
        <w:jc w:val="center"/>
        <w:rPr>
          <w:b/>
          <w:color w:val="000000" w:themeColor="text1"/>
          <w:sz w:val="48"/>
          <w:szCs w:val="48"/>
        </w:rPr>
      </w:pPr>
    </w:p>
    <w:p w:rsidR="009112F3" w:rsidRPr="00687B52" w:rsidRDefault="009112F3" w:rsidP="006B225F">
      <w:pPr>
        <w:rPr>
          <w:b/>
          <w:color w:val="000000" w:themeColor="text1"/>
          <w:sz w:val="48"/>
          <w:szCs w:val="48"/>
        </w:rPr>
      </w:pPr>
    </w:p>
    <w:p w:rsidR="009112F3" w:rsidRPr="00687B52" w:rsidRDefault="009112F3" w:rsidP="00235169">
      <w:pPr>
        <w:jc w:val="center"/>
        <w:rPr>
          <w:b/>
          <w:color w:val="000000" w:themeColor="text1"/>
          <w:sz w:val="48"/>
          <w:szCs w:val="48"/>
        </w:rPr>
      </w:pPr>
    </w:p>
    <w:p w:rsidR="009112F3" w:rsidRPr="00687B52" w:rsidRDefault="009112F3" w:rsidP="00235169">
      <w:pPr>
        <w:jc w:val="center"/>
        <w:rPr>
          <w:b/>
          <w:color w:val="000000" w:themeColor="text1"/>
          <w:sz w:val="48"/>
          <w:szCs w:val="48"/>
        </w:rPr>
      </w:pPr>
    </w:p>
    <w:p w:rsidR="009112F3" w:rsidRPr="00687B52" w:rsidRDefault="009112F3" w:rsidP="00235169">
      <w:pPr>
        <w:jc w:val="center"/>
        <w:rPr>
          <w:b/>
          <w:color w:val="000000" w:themeColor="text1"/>
          <w:sz w:val="48"/>
          <w:szCs w:val="48"/>
        </w:rPr>
      </w:pPr>
    </w:p>
    <w:p w:rsidR="009112F3" w:rsidRPr="00687B52" w:rsidRDefault="009112F3" w:rsidP="00235169">
      <w:pPr>
        <w:jc w:val="center"/>
        <w:rPr>
          <w:b/>
          <w:color w:val="000000" w:themeColor="text1"/>
          <w:sz w:val="48"/>
          <w:szCs w:val="48"/>
        </w:rPr>
      </w:pPr>
    </w:p>
    <w:p w:rsidR="009112F3" w:rsidRPr="00687B52" w:rsidRDefault="009112F3" w:rsidP="00235169">
      <w:pPr>
        <w:jc w:val="center"/>
        <w:rPr>
          <w:b/>
          <w:color w:val="000000" w:themeColor="text1"/>
          <w:sz w:val="48"/>
          <w:szCs w:val="48"/>
        </w:rPr>
      </w:pPr>
    </w:p>
    <w:p w:rsidR="009112F3" w:rsidRPr="00687B52" w:rsidRDefault="009112F3" w:rsidP="00235169">
      <w:pPr>
        <w:jc w:val="center"/>
        <w:rPr>
          <w:b/>
          <w:color w:val="000000" w:themeColor="text1"/>
          <w:sz w:val="48"/>
          <w:szCs w:val="48"/>
        </w:rPr>
      </w:pPr>
    </w:p>
    <w:p w:rsidR="009112F3" w:rsidRPr="00687B52" w:rsidRDefault="009112F3" w:rsidP="00235169">
      <w:pPr>
        <w:jc w:val="center"/>
        <w:rPr>
          <w:b/>
          <w:color w:val="000000" w:themeColor="text1"/>
          <w:sz w:val="48"/>
          <w:szCs w:val="48"/>
        </w:rPr>
      </w:pPr>
    </w:p>
    <w:p w:rsidR="009112F3" w:rsidRPr="00687B52" w:rsidRDefault="009112F3" w:rsidP="00333CD0">
      <w:pPr>
        <w:rPr>
          <w:b/>
          <w:color w:val="000000" w:themeColor="text1"/>
          <w:sz w:val="48"/>
          <w:szCs w:val="48"/>
        </w:rPr>
      </w:pPr>
    </w:p>
    <w:p w:rsidR="0063733E" w:rsidRPr="00687B52" w:rsidRDefault="0063733E" w:rsidP="00333CD0">
      <w:pPr>
        <w:rPr>
          <w:b/>
          <w:color w:val="000000" w:themeColor="text1"/>
          <w:sz w:val="48"/>
          <w:szCs w:val="48"/>
        </w:rPr>
      </w:pPr>
    </w:p>
    <w:p w:rsidR="009112F3" w:rsidRPr="00687B52" w:rsidRDefault="009112F3" w:rsidP="00F25ED0">
      <w:pPr>
        <w:spacing w:beforeLines="50" w:before="156"/>
        <w:jc w:val="center"/>
        <w:rPr>
          <w:b/>
          <w:color w:val="000000" w:themeColor="text1"/>
          <w:sz w:val="36"/>
          <w:szCs w:val="36"/>
        </w:rPr>
      </w:pPr>
      <w:r w:rsidRPr="00687B52">
        <w:rPr>
          <w:rFonts w:hint="eastAsia"/>
          <w:b/>
          <w:color w:val="000000" w:themeColor="text1"/>
          <w:sz w:val="36"/>
          <w:szCs w:val="36"/>
        </w:rPr>
        <w:t>湖南</w:t>
      </w:r>
      <w:r w:rsidR="000C2455" w:rsidRPr="00687B52">
        <w:rPr>
          <w:rFonts w:hint="eastAsia"/>
          <w:b/>
          <w:color w:val="000000" w:themeColor="text1"/>
          <w:sz w:val="36"/>
          <w:szCs w:val="36"/>
        </w:rPr>
        <w:t>省安全生产监督管理局</w:t>
      </w:r>
    </w:p>
    <w:p w:rsidR="009E40A0" w:rsidRPr="00687B52" w:rsidRDefault="00333CD0" w:rsidP="00F25ED0">
      <w:pPr>
        <w:spacing w:beforeLines="50" w:before="156"/>
        <w:jc w:val="center"/>
        <w:rPr>
          <w:b/>
          <w:color w:val="000000" w:themeColor="text1"/>
          <w:sz w:val="36"/>
          <w:szCs w:val="36"/>
        </w:rPr>
        <w:sectPr w:rsidR="009E40A0" w:rsidRPr="00687B52" w:rsidSect="009E40A0">
          <w:pgSz w:w="11906" w:h="16838"/>
          <w:pgMar w:top="1440" w:right="1800" w:bottom="1440" w:left="1800" w:header="851" w:footer="907" w:gutter="0"/>
          <w:pgNumType w:fmt="upperRoman" w:start="1"/>
          <w:cols w:space="425"/>
          <w:docGrid w:type="lines" w:linePitch="312"/>
        </w:sectPr>
      </w:pPr>
      <w:r w:rsidRPr="00687B52">
        <w:rPr>
          <w:rFonts w:ascii="Times New Roman" w:eastAsia="仿宋_GB2312" w:hAnsi="Times New Roman" w:cs="Times New Roman"/>
          <w:b/>
          <w:color w:val="000000" w:themeColor="text1"/>
          <w:sz w:val="36"/>
          <w:szCs w:val="36"/>
        </w:rPr>
        <w:t>2017</w:t>
      </w:r>
      <w:r w:rsidRPr="00687B52">
        <w:rPr>
          <w:rFonts w:hint="eastAsia"/>
          <w:b/>
          <w:color w:val="000000" w:themeColor="text1"/>
          <w:sz w:val="36"/>
          <w:szCs w:val="36"/>
        </w:rPr>
        <w:t>年</w:t>
      </w:r>
      <w:r w:rsidR="00B527D4" w:rsidRPr="00687B52">
        <w:rPr>
          <w:rFonts w:ascii="Times New Roman" w:hAnsi="Times New Roman" w:cs="Times New Roman" w:hint="eastAsia"/>
          <w:b/>
          <w:color w:val="000000" w:themeColor="text1"/>
          <w:sz w:val="36"/>
          <w:szCs w:val="36"/>
        </w:rPr>
        <w:t>9</w:t>
      </w:r>
      <w:r w:rsidRPr="00687B52">
        <w:rPr>
          <w:rFonts w:hint="eastAsia"/>
          <w:b/>
          <w:color w:val="000000" w:themeColor="text1"/>
          <w:sz w:val="36"/>
          <w:szCs w:val="36"/>
        </w:rPr>
        <w:t>月</w:t>
      </w:r>
    </w:p>
    <w:p w:rsidR="002C192D" w:rsidRPr="00687B52" w:rsidRDefault="001816B4" w:rsidP="00F25ED0">
      <w:pPr>
        <w:pStyle w:val="aff1"/>
        <w:numPr>
          <w:ilvl w:val="0"/>
          <w:numId w:val="0"/>
        </w:numPr>
        <w:spacing w:afterLines="50" w:after="156"/>
        <w:jc w:val="center"/>
        <w:rPr>
          <w:color w:val="000000" w:themeColor="text1"/>
          <w:sz w:val="32"/>
          <w:szCs w:val="32"/>
        </w:rPr>
      </w:pPr>
      <w:bookmarkStart w:id="1" w:name="_Toc492634883"/>
      <w:r w:rsidRPr="00687B52">
        <w:rPr>
          <w:rFonts w:hint="eastAsia"/>
          <w:color w:val="000000" w:themeColor="text1"/>
          <w:sz w:val="32"/>
          <w:szCs w:val="32"/>
        </w:rPr>
        <w:lastRenderedPageBreak/>
        <w:t>目</w:t>
      </w:r>
      <w:r w:rsidR="002C192D" w:rsidRPr="00687B52">
        <w:rPr>
          <w:rFonts w:hint="eastAsia"/>
          <w:color w:val="000000" w:themeColor="text1"/>
          <w:sz w:val="32"/>
          <w:szCs w:val="32"/>
        </w:rPr>
        <w:t xml:space="preserve">  </w:t>
      </w:r>
      <w:r w:rsidRPr="00687B52">
        <w:rPr>
          <w:rFonts w:hint="eastAsia"/>
          <w:color w:val="000000" w:themeColor="text1"/>
          <w:sz w:val="32"/>
          <w:szCs w:val="32"/>
        </w:rPr>
        <w:t>录</w:t>
      </w:r>
      <w:bookmarkEnd w:id="1"/>
      <w:r w:rsidR="003912E3" w:rsidRPr="00687B52">
        <w:rPr>
          <w:color w:val="000000" w:themeColor="text1"/>
        </w:rPr>
        <w:fldChar w:fldCharType="begin"/>
      </w:r>
      <w:r w:rsidR="003E6F05" w:rsidRPr="00687B52">
        <w:rPr>
          <w:color w:val="000000" w:themeColor="text1"/>
        </w:rPr>
        <w:instrText xml:space="preserve"> TOC \o "2-3" \h \z \t "</w:instrText>
      </w:r>
      <w:r w:rsidR="003E6F05" w:rsidRPr="00687B52">
        <w:rPr>
          <w:color w:val="000000" w:themeColor="text1"/>
        </w:rPr>
        <w:instrText>目次、标准名称标题</w:instrText>
      </w:r>
      <w:r w:rsidR="003E6F05" w:rsidRPr="00687B52">
        <w:rPr>
          <w:color w:val="000000" w:themeColor="text1"/>
        </w:rPr>
        <w:instrText>,1,</w:instrText>
      </w:r>
      <w:r w:rsidR="003E6F05" w:rsidRPr="00687B52">
        <w:rPr>
          <w:color w:val="000000" w:themeColor="text1"/>
        </w:rPr>
        <w:instrText>样式一</w:instrText>
      </w:r>
      <w:r w:rsidR="003E6F05" w:rsidRPr="00687B52">
        <w:rPr>
          <w:color w:val="000000" w:themeColor="text1"/>
        </w:rPr>
        <w:instrText>,1,</w:instrText>
      </w:r>
      <w:r w:rsidR="003E6F05" w:rsidRPr="00687B52">
        <w:rPr>
          <w:color w:val="000000" w:themeColor="text1"/>
        </w:rPr>
        <w:instrText>标题一</w:instrText>
      </w:r>
      <w:r w:rsidR="003E6F05" w:rsidRPr="00687B52">
        <w:rPr>
          <w:color w:val="000000" w:themeColor="text1"/>
        </w:rPr>
        <w:instrText>,1,</w:instrText>
      </w:r>
      <w:r w:rsidR="003E6F05" w:rsidRPr="00687B52">
        <w:rPr>
          <w:color w:val="000000" w:themeColor="text1"/>
        </w:rPr>
        <w:instrText>标题三</w:instrText>
      </w:r>
      <w:r w:rsidR="003E6F05" w:rsidRPr="00687B52">
        <w:rPr>
          <w:color w:val="000000" w:themeColor="text1"/>
        </w:rPr>
        <w:instrText xml:space="preserve">,3" </w:instrText>
      </w:r>
      <w:r w:rsidR="003912E3" w:rsidRPr="00687B52">
        <w:rPr>
          <w:color w:val="000000" w:themeColor="text1"/>
        </w:rPr>
        <w:fldChar w:fldCharType="separate"/>
      </w:r>
    </w:p>
    <w:p w:rsidR="002C192D" w:rsidRPr="00687B52" w:rsidRDefault="00F54DF7" w:rsidP="002C192D">
      <w:pPr>
        <w:pStyle w:val="10"/>
        <w:tabs>
          <w:tab w:val="right" w:leader="dot" w:pos="8296"/>
        </w:tabs>
        <w:spacing w:line="400" w:lineRule="exact"/>
        <w:rPr>
          <w:rFonts w:asciiTheme="minorHAnsi" w:eastAsiaTheme="minorEastAsia" w:hAnsiTheme="minorHAnsi" w:cstheme="minorBidi"/>
          <w:noProof/>
          <w:color w:val="000000" w:themeColor="text1"/>
        </w:rPr>
      </w:pPr>
      <w:hyperlink w:anchor="_Toc492634884" w:history="1">
        <w:r w:rsidR="002C192D" w:rsidRPr="00687B52">
          <w:rPr>
            <w:rStyle w:val="ad"/>
            <w:noProof/>
            <w:color w:val="000000" w:themeColor="text1"/>
          </w:rPr>
          <w:t>1</w:t>
        </w:r>
        <w:r w:rsidR="002C192D" w:rsidRPr="00687B52">
          <w:rPr>
            <w:rStyle w:val="ad"/>
            <w:rFonts w:hint="eastAsia"/>
            <w:noProof/>
            <w:color w:val="000000" w:themeColor="text1"/>
          </w:rPr>
          <w:t xml:space="preserve"> </w:t>
        </w:r>
        <w:r w:rsidR="002C192D" w:rsidRPr="00687B52">
          <w:rPr>
            <w:rStyle w:val="ad"/>
            <w:rFonts w:hint="eastAsia"/>
            <w:noProof/>
            <w:color w:val="000000" w:themeColor="text1"/>
          </w:rPr>
          <w:t>范围</w:t>
        </w:r>
        <w:r w:rsidR="002C192D" w:rsidRPr="00687B52">
          <w:rPr>
            <w:noProof/>
            <w:webHidden/>
            <w:color w:val="000000" w:themeColor="text1"/>
          </w:rPr>
          <w:tab/>
        </w:r>
        <w:r w:rsidR="003912E3" w:rsidRPr="00687B52">
          <w:rPr>
            <w:noProof/>
            <w:webHidden/>
            <w:color w:val="000000" w:themeColor="text1"/>
          </w:rPr>
          <w:fldChar w:fldCharType="begin"/>
        </w:r>
        <w:r w:rsidR="002C192D" w:rsidRPr="00687B52">
          <w:rPr>
            <w:noProof/>
            <w:webHidden/>
            <w:color w:val="000000" w:themeColor="text1"/>
          </w:rPr>
          <w:instrText xml:space="preserve"> PAGEREF _Toc492634884 \h </w:instrText>
        </w:r>
        <w:r w:rsidR="003912E3" w:rsidRPr="00687B52">
          <w:rPr>
            <w:noProof/>
            <w:webHidden/>
            <w:color w:val="000000" w:themeColor="text1"/>
          </w:rPr>
        </w:r>
        <w:r w:rsidR="003912E3" w:rsidRPr="00687B52">
          <w:rPr>
            <w:noProof/>
            <w:webHidden/>
            <w:color w:val="000000" w:themeColor="text1"/>
          </w:rPr>
          <w:fldChar w:fldCharType="separate"/>
        </w:r>
        <w:r w:rsidR="00687B52" w:rsidRPr="00687B52">
          <w:rPr>
            <w:noProof/>
            <w:webHidden/>
            <w:color w:val="000000" w:themeColor="text1"/>
          </w:rPr>
          <w:t>1</w:t>
        </w:r>
        <w:r w:rsidR="003912E3" w:rsidRPr="00687B52">
          <w:rPr>
            <w:noProof/>
            <w:webHidden/>
            <w:color w:val="000000" w:themeColor="text1"/>
          </w:rPr>
          <w:fldChar w:fldCharType="end"/>
        </w:r>
      </w:hyperlink>
    </w:p>
    <w:p w:rsidR="002C192D" w:rsidRPr="00687B52" w:rsidRDefault="00F54DF7" w:rsidP="002C192D">
      <w:pPr>
        <w:pStyle w:val="10"/>
        <w:tabs>
          <w:tab w:val="right" w:leader="dot" w:pos="8296"/>
        </w:tabs>
        <w:spacing w:line="400" w:lineRule="exact"/>
        <w:rPr>
          <w:rFonts w:asciiTheme="minorHAnsi" w:eastAsiaTheme="minorEastAsia" w:hAnsiTheme="minorHAnsi" w:cstheme="minorBidi"/>
          <w:noProof/>
          <w:color w:val="000000" w:themeColor="text1"/>
        </w:rPr>
      </w:pPr>
      <w:hyperlink w:anchor="_Toc492634885" w:history="1">
        <w:r w:rsidR="002C192D" w:rsidRPr="00687B52">
          <w:rPr>
            <w:rStyle w:val="ad"/>
            <w:noProof/>
            <w:color w:val="000000" w:themeColor="text1"/>
          </w:rPr>
          <w:t>2</w:t>
        </w:r>
        <w:r w:rsidR="002C192D" w:rsidRPr="00687B52">
          <w:rPr>
            <w:rStyle w:val="ad"/>
            <w:rFonts w:hint="eastAsia"/>
            <w:noProof/>
            <w:color w:val="000000" w:themeColor="text1"/>
          </w:rPr>
          <w:t xml:space="preserve"> </w:t>
        </w:r>
        <w:r w:rsidR="002C192D" w:rsidRPr="00687B52">
          <w:rPr>
            <w:rStyle w:val="ad"/>
            <w:rFonts w:hint="eastAsia"/>
            <w:noProof/>
            <w:color w:val="000000" w:themeColor="text1"/>
          </w:rPr>
          <w:t>编制说明</w:t>
        </w:r>
        <w:r w:rsidR="002C192D" w:rsidRPr="00687B52">
          <w:rPr>
            <w:noProof/>
            <w:webHidden/>
            <w:color w:val="000000" w:themeColor="text1"/>
          </w:rPr>
          <w:tab/>
        </w:r>
        <w:r w:rsidR="003912E3" w:rsidRPr="00687B52">
          <w:rPr>
            <w:noProof/>
            <w:webHidden/>
            <w:color w:val="000000" w:themeColor="text1"/>
          </w:rPr>
          <w:fldChar w:fldCharType="begin"/>
        </w:r>
        <w:r w:rsidR="002C192D" w:rsidRPr="00687B52">
          <w:rPr>
            <w:noProof/>
            <w:webHidden/>
            <w:color w:val="000000" w:themeColor="text1"/>
          </w:rPr>
          <w:instrText xml:space="preserve"> PAGEREF _Toc492634885 \h </w:instrText>
        </w:r>
        <w:r w:rsidR="003912E3" w:rsidRPr="00687B52">
          <w:rPr>
            <w:noProof/>
            <w:webHidden/>
            <w:color w:val="000000" w:themeColor="text1"/>
          </w:rPr>
        </w:r>
        <w:r w:rsidR="003912E3" w:rsidRPr="00687B52">
          <w:rPr>
            <w:noProof/>
            <w:webHidden/>
            <w:color w:val="000000" w:themeColor="text1"/>
          </w:rPr>
          <w:fldChar w:fldCharType="separate"/>
        </w:r>
        <w:r w:rsidR="00687B52" w:rsidRPr="00687B52">
          <w:rPr>
            <w:noProof/>
            <w:webHidden/>
            <w:color w:val="000000" w:themeColor="text1"/>
          </w:rPr>
          <w:t>1</w:t>
        </w:r>
        <w:r w:rsidR="003912E3" w:rsidRPr="00687B52">
          <w:rPr>
            <w:noProof/>
            <w:webHidden/>
            <w:color w:val="000000" w:themeColor="text1"/>
          </w:rPr>
          <w:fldChar w:fldCharType="end"/>
        </w:r>
      </w:hyperlink>
    </w:p>
    <w:p w:rsidR="002C192D" w:rsidRPr="00687B52" w:rsidRDefault="00F54DF7" w:rsidP="002C192D">
      <w:pPr>
        <w:pStyle w:val="10"/>
        <w:tabs>
          <w:tab w:val="right" w:leader="dot" w:pos="8296"/>
        </w:tabs>
        <w:spacing w:line="400" w:lineRule="exact"/>
        <w:rPr>
          <w:rFonts w:asciiTheme="minorHAnsi" w:eastAsiaTheme="minorEastAsia" w:hAnsiTheme="minorHAnsi" w:cstheme="minorBidi"/>
          <w:noProof/>
          <w:color w:val="000000" w:themeColor="text1"/>
        </w:rPr>
      </w:pPr>
      <w:hyperlink w:anchor="_Toc492634886" w:history="1">
        <w:r w:rsidR="002C192D" w:rsidRPr="00687B52">
          <w:rPr>
            <w:rStyle w:val="ad"/>
            <w:noProof/>
            <w:color w:val="000000" w:themeColor="text1"/>
          </w:rPr>
          <w:t>3</w:t>
        </w:r>
        <w:r w:rsidR="002C192D" w:rsidRPr="00687B52">
          <w:rPr>
            <w:rStyle w:val="ad"/>
            <w:rFonts w:hint="eastAsia"/>
            <w:noProof/>
            <w:color w:val="000000" w:themeColor="text1"/>
          </w:rPr>
          <w:t xml:space="preserve"> </w:t>
        </w:r>
        <w:r w:rsidR="002C192D" w:rsidRPr="00687B52">
          <w:rPr>
            <w:rStyle w:val="ad"/>
            <w:rFonts w:hint="eastAsia"/>
            <w:noProof/>
            <w:color w:val="000000" w:themeColor="text1"/>
          </w:rPr>
          <w:t>规范性引用文件</w:t>
        </w:r>
        <w:r w:rsidR="002C192D" w:rsidRPr="00687B52">
          <w:rPr>
            <w:noProof/>
            <w:webHidden/>
            <w:color w:val="000000" w:themeColor="text1"/>
          </w:rPr>
          <w:tab/>
        </w:r>
        <w:r w:rsidR="003912E3" w:rsidRPr="00687B52">
          <w:rPr>
            <w:noProof/>
            <w:webHidden/>
            <w:color w:val="000000" w:themeColor="text1"/>
          </w:rPr>
          <w:fldChar w:fldCharType="begin"/>
        </w:r>
        <w:r w:rsidR="002C192D" w:rsidRPr="00687B52">
          <w:rPr>
            <w:noProof/>
            <w:webHidden/>
            <w:color w:val="000000" w:themeColor="text1"/>
          </w:rPr>
          <w:instrText xml:space="preserve"> PAGEREF _Toc492634886 \h </w:instrText>
        </w:r>
        <w:r w:rsidR="003912E3" w:rsidRPr="00687B52">
          <w:rPr>
            <w:noProof/>
            <w:webHidden/>
            <w:color w:val="000000" w:themeColor="text1"/>
          </w:rPr>
        </w:r>
        <w:r w:rsidR="003912E3" w:rsidRPr="00687B52">
          <w:rPr>
            <w:noProof/>
            <w:webHidden/>
            <w:color w:val="000000" w:themeColor="text1"/>
          </w:rPr>
          <w:fldChar w:fldCharType="separate"/>
        </w:r>
        <w:r w:rsidR="00687B52" w:rsidRPr="00687B52">
          <w:rPr>
            <w:noProof/>
            <w:webHidden/>
            <w:color w:val="000000" w:themeColor="text1"/>
          </w:rPr>
          <w:t>1</w:t>
        </w:r>
        <w:r w:rsidR="003912E3" w:rsidRPr="00687B52">
          <w:rPr>
            <w:noProof/>
            <w:webHidden/>
            <w:color w:val="000000" w:themeColor="text1"/>
          </w:rPr>
          <w:fldChar w:fldCharType="end"/>
        </w:r>
      </w:hyperlink>
    </w:p>
    <w:p w:rsidR="002C192D" w:rsidRPr="00687B52" w:rsidRDefault="00F54DF7" w:rsidP="002C192D">
      <w:pPr>
        <w:pStyle w:val="10"/>
        <w:tabs>
          <w:tab w:val="right" w:leader="dot" w:pos="8296"/>
        </w:tabs>
        <w:spacing w:line="400" w:lineRule="exact"/>
        <w:rPr>
          <w:rFonts w:asciiTheme="minorHAnsi" w:eastAsiaTheme="minorEastAsia" w:hAnsiTheme="minorHAnsi" w:cstheme="minorBidi"/>
          <w:noProof/>
          <w:color w:val="000000" w:themeColor="text1"/>
        </w:rPr>
      </w:pPr>
      <w:hyperlink w:anchor="_Toc492634887" w:history="1">
        <w:r w:rsidR="002C192D" w:rsidRPr="00687B52">
          <w:rPr>
            <w:rStyle w:val="ad"/>
            <w:noProof/>
            <w:color w:val="000000" w:themeColor="text1"/>
          </w:rPr>
          <w:t>4</w:t>
        </w:r>
        <w:r w:rsidR="002C192D" w:rsidRPr="00687B52">
          <w:rPr>
            <w:rStyle w:val="ad"/>
            <w:rFonts w:hint="eastAsia"/>
            <w:noProof/>
            <w:color w:val="000000" w:themeColor="text1"/>
          </w:rPr>
          <w:t xml:space="preserve"> </w:t>
        </w:r>
        <w:r w:rsidR="002C192D" w:rsidRPr="00687B52">
          <w:rPr>
            <w:rStyle w:val="ad"/>
            <w:rFonts w:hint="eastAsia"/>
            <w:noProof/>
            <w:color w:val="000000" w:themeColor="text1"/>
          </w:rPr>
          <w:t>安全体检标准</w:t>
        </w:r>
        <w:r w:rsidR="002C192D" w:rsidRPr="00687B52">
          <w:rPr>
            <w:noProof/>
            <w:webHidden/>
            <w:color w:val="000000" w:themeColor="text1"/>
          </w:rPr>
          <w:tab/>
        </w:r>
        <w:r w:rsidR="003912E3" w:rsidRPr="00687B52">
          <w:rPr>
            <w:noProof/>
            <w:webHidden/>
            <w:color w:val="000000" w:themeColor="text1"/>
          </w:rPr>
          <w:fldChar w:fldCharType="begin"/>
        </w:r>
        <w:r w:rsidR="002C192D" w:rsidRPr="00687B52">
          <w:rPr>
            <w:noProof/>
            <w:webHidden/>
            <w:color w:val="000000" w:themeColor="text1"/>
          </w:rPr>
          <w:instrText xml:space="preserve"> PAGEREF _Toc492634887 \h </w:instrText>
        </w:r>
        <w:r w:rsidR="003912E3" w:rsidRPr="00687B52">
          <w:rPr>
            <w:noProof/>
            <w:webHidden/>
            <w:color w:val="000000" w:themeColor="text1"/>
          </w:rPr>
        </w:r>
        <w:r w:rsidR="003912E3" w:rsidRPr="00687B52">
          <w:rPr>
            <w:noProof/>
            <w:webHidden/>
            <w:color w:val="000000" w:themeColor="text1"/>
          </w:rPr>
          <w:fldChar w:fldCharType="separate"/>
        </w:r>
        <w:r w:rsidR="00687B52" w:rsidRPr="00687B52">
          <w:rPr>
            <w:noProof/>
            <w:webHidden/>
            <w:color w:val="000000" w:themeColor="text1"/>
          </w:rPr>
          <w:t>8</w:t>
        </w:r>
        <w:r w:rsidR="003912E3" w:rsidRPr="00687B52">
          <w:rPr>
            <w:noProof/>
            <w:webHidden/>
            <w:color w:val="000000" w:themeColor="text1"/>
          </w:rPr>
          <w:fldChar w:fldCharType="end"/>
        </w:r>
      </w:hyperlink>
    </w:p>
    <w:p w:rsidR="002C192D" w:rsidRPr="00687B52" w:rsidRDefault="00F54DF7" w:rsidP="002C192D">
      <w:pPr>
        <w:pStyle w:val="22"/>
        <w:tabs>
          <w:tab w:val="right" w:leader="dot" w:pos="8296"/>
        </w:tabs>
        <w:spacing w:line="400" w:lineRule="exact"/>
        <w:ind w:leftChars="95" w:left="199"/>
        <w:rPr>
          <w:noProof/>
          <w:color w:val="000000" w:themeColor="text1"/>
          <w:szCs w:val="24"/>
        </w:rPr>
      </w:pPr>
      <w:hyperlink w:anchor="_Toc492634888" w:history="1">
        <w:r w:rsidR="002C192D" w:rsidRPr="00687B52">
          <w:rPr>
            <w:rStyle w:val="ad"/>
            <w:noProof/>
            <w:color w:val="000000" w:themeColor="text1"/>
            <w:szCs w:val="24"/>
          </w:rPr>
          <w:t>4.1</w:t>
        </w:r>
        <w:r w:rsidR="002C192D" w:rsidRPr="00687B52">
          <w:rPr>
            <w:rStyle w:val="ad"/>
            <w:rFonts w:hint="eastAsia"/>
            <w:noProof/>
            <w:color w:val="000000" w:themeColor="text1"/>
            <w:szCs w:val="24"/>
          </w:rPr>
          <w:t>危险化学品生产、经营、储存、使用企业通用检查表</w:t>
        </w:r>
        <w:r w:rsidR="002C192D" w:rsidRPr="00687B52">
          <w:rPr>
            <w:noProof/>
            <w:webHidden/>
            <w:color w:val="000000" w:themeColor="text1"/>
            <w:szCs w:val="24"/>
          </w:rPr>
          <w:tab/>
        </w:r>
        <w:r w:rsidR="003912E3" w:rsidRPr="00687B52">
          <w:rPr>
            <w:noProof/>
            <w:webHidden/>
            <w:color w:val="000000" w:themeColor="text1"/>
            <w:szCs w:val="24"/>
          </w:rPr>
          <w:fldChar w:fldCharType="begin"/>
        </w:r>
        <w:r w:rsidR="002C192D" w:rsidRPr="00687B52">
          <w:rPr>
            <w:noProof/>
            <w:webHidden/>
            <w:color w:val="000000" w:themeColor="text1"/>
            <w:szCs w:val="24"/>
          </w:rPr>
          <w:instrText xml:space="preserve"> PAGEREF _Toc492634888 \h </w:instrText>
        </w:r>
        <w:r w:rsidR="003912E3" w:rsidRPr="00687B52">
          <w:rPr>
            <w:noProof/>
            <w:webHidden/>
            <w:color w:val="000000" w:themeColor="text1"/>
            <w:szCs w:val="24"/>
          </w:rPr>
        </w:r>
        <w:r w:rsidR="003912E3" w:rsidRPr="00687B52">
          <w:rPr>
            <w:noProof/>
            <w:webHidden/>
            <w:color w:val="000000" w:themeColor="text1"/>
            <w:szCs w:val="24"/>
          </w:rPr>
          <w:fldChar w:fldCharType="separate"/>
        </w:r>
        <w:r w:rsidR="00687B52" w:rsidRPr="00687B52">
          <w:rPr>
            <w:noProof/>
            <w:webHidden/>
            <w:color w:val="000000" w:themeColor="text1"/>
            <w:szCs w:val="24"/>
          </w:rPr>
          <w:t>8</w:t>
        </w:r>
        <w:r w:rsidR="003912E3" w:rsidRPr="00687B52">
          <w:rPr>
            <w:noProof/>
            <w:webHidden/>
            <w:color w:val="000000" w:themeColor="text1"/>
            <w:szCs w:val="24"/>
          </w:rPr>
          <w:fldChar w:fldCharType="end"/>
        </w:r>
      </w:hyperlink>
    </w:p>
    <w:p w:rsidR="002C192D" w:rsidRPr="00687B52" w:rsidRDefault="00F54DF7" w:rsidP="002C192D">
      <w:pPr>
        <w:pStyle w:val="30"/>
        <w:tabs>
          <w:tab w:val="right" w:leader="dot" w:pos="8296"/>
        </w:tabs>
        <w:spacing w:line="400" w:lineRule="exact"/>
        <w:ind w:left="420"/>
        <w:rPr>
          <w:noProof/>
          <w:color w:val="000000" w:themeColor="text1"/>
          <w:szCs w:val="24"/>
        </w:rPr>
      </w:pPr>
      <w:hyperlink w:anchor="_Toc492634889" w:history="1">
        <w:r w:rsidR="002C192D" w:rsidRPr="00687B52">
          <w:rPr>
            <w:rStyle w:val="ad"/>
            <w:rFonts w:hint="eastAsia"/>
            <w:noProof/>
            <w:color w:val="000000" w:themeColor="text1"/>
            <w:szCs w:val="24"/>
          </w:rPr>
          <w:t>表</w:t>
        </w:r>
        <w:r w:rsidR="002C192D" w:rsidRPr="00687B52">
          <w:rPr>
            <w:rStyle w:val="ad"/>
            <w:noProof/>
            <w:color w:val="000000" w:themeColor="text1"/>
            <w:szCs w:val="24"/>
          </w:rPr>
          <w:t xml:space="preserve">1-1 </w:t>
        </w:r>
        <w:r w:rsidR="002C192D" w:rsidRPr="00687B52">
          <w:rPr>
            <w:rStyle w:val="ad"/>
            <w:rFonts w:hint="eastAsia"/>
            <w:noProof/>
            <w:color w:val="000000" w:themeColor="text1"/>
            <w:szCs w:val="24"/>
          </w:rPr>
          <w:t>基础管理通用检查表</w:t>
        </w:r>
        <w:r w:rsidR="002C192D" w:rsidRPr="00687B52">
          <w:rPr>
            <w:noProof/>
            <w:webHidden/>
            <w:color w:val="000000" w:themeColor="text1"/>
            <w:szCs w:val="24"/>
          </w:rPr>
          <w:tab/>
        </w:r>
        <w:r w:rsidR="003912E3" w:rsidRPr="00687B52">
          <w:rPr>
            <w:noProof/>
            <w:webHidden/>
            <w:color w:val="000000" w:themeColor="text1"/>
            <w:szCs w:val="24"/>
          </w:rPr>
          <w:fldChar w:fldCharType="begin"/>
        </w:r>
        <w:r w:rsidR="002C192D" w:rsidRPr="00687B52">
          <w:rPr>
            <w:noProof/>
            <w:webHidden/>
            <w:color w:val="000000" w:themeColor="text1"/>
            <w:szCs w:val="24"/>
          </w:rPr>
          <w:instrText xml:space="preserve"> PAGEREF _Toc492634889 \h </w:instrText>
        </w:r>
        <w:r w:rsidR="003912E3" w:rsidRPr="00687B52">
          <w:rPr>
            <w:noProof/>
            <w:webHidden/>
            <w:color w:val="000000" w:themeColor="text1"/>
            <w:szCs w:val="24"/>
          </w:rPr>
        </w:r>
        <w:r w:rsidR="003912E3" w:rsidRPr="00687B52">
          <w:rPr>
            <w:noProof/>
            <w:webHidden/>
            <w:color w:val="000000" w:themeColor="text1"/>
            <w:szCs w:val="24"/>
          </w:rPr>
          <w:fldChar w:fldCharType="separate"/>
        </w:r>
        <w:r w:rsidR="00687B52" w:rsidRPr="00687B52">
          <w:rPr>
            <w:noProof/>
            <w:webHidden/>
            <w:color w:val="000000" w:themeColor="text1"/>
            <w:szCs w:val="24"/>
          </w:rPr>
          <w:t>8</w:t>
        </w:r>
        <w:r w:rsidR="003912E3" w:rsidRPr="00687B52">
          <w:rPr>
            <w:noProof/>
            <w:webHidden/>
            <w:color w:val="000000" w:themeColor="text1"/>
            <w:szCs w:val="24"/>
          </w:rPr>
          <w:fldChar w:fldCharType="end"/>
        </w:r>
      </w:hyperlink>
    </w:p>
    <w:p w:rsidR="002C192D" w:rsidRPr="00687B52" w:rsidRDefault="00F54DF7" w:rsidP="002C192D">
      <w:pPr>
        <w:pStyle w:val="30"/>
        <w:tabs>
          <w:tab w:val="right" w:leader="dot" w:pos="8296"/>
        </w:tabs>
        <w:spacing w:line="400" w:lineRule="exact"/>
        <w:ind w:left="420"/>
        <w:rPr>
          <w:noProof/>
          <w:color w:val="000000" w:themeColor="text1"/>
          <w:szCs w:val="24"/>
        </w:rPr>
      </w:pPr>
      <w:hyperlink w:anchor="_Toc492634890" w:history="1">
        <w:r w:rsidR="002C192D" w:rsidRPr="00687B52">
          <w:rPr>
            <w:rStyle w:val="ad"/>
            <w:rFonts w:hint="eastAsia"/>
            <w:noProof/>
            <w:color w:val="000000" w:themeColor="text1"/>
            <w:szCs w:val="24"/>
          </w:rPr>
          <w:t>表</w:t>
        </w:r>
        <w:r w:rsidR="002C192D" w:rsidRPr="00687B52">
          <w:rPr>
            <w:rStyle w:val="ad"/>
            <w:noProof/>
            <w:color w:val="000000" w:themeColor="text1"/>
            <w:szCs w:val="24"/>
          </w:rPr>
          <w:t xml:space="preserve">1-2 </w:t>
        </w:r>
        <w:r w:rsidR="002C192D" w:rsidRPr="00687B52">
          <w:rPr>
            <w:rStyle w:val="ad"/>
            <w:rFonts w:hint="eastAsia"/>
            <w:noProof/>
            <w:color w:val="000000" w:themeColor="text1"/>
            <w:szCs w:val="24"/>
          </w:rPr>
          <w:t>职业卫生通用检查表</w:t>
        </w:r>
        <w:r w:rsidR="002C192D" w:rsidRPr="00687B52">
          <w:rPr>
            <w:noProof/>
            <w:webHidden/>
            <w:color w:val="000000" w:themeColor="text1"/>
            <w:szCs w:val="24"/>
          </w:rPr>
          <w:tab/>
        </w:r>
        <w:r w:rsidR="003912E3" w:rsidRPr="00687B52">
          <w:rPr>
            <w:noProof/>
            <w:webHidden/>
            <w:color w:val="000000" w:themeColor="text1"/>
            <w:szCs w:val="24"/>
          </w:rPr>
          <w:fldChar w:fldCharType="begin"/>
        </w:r>
        <w:r w:rsidR="002C192D" w:rsidRPr="00687B52">
          <w:rPr>
            <w:noProof/>
            <w:webHidden/>
            <w:color w:val="000000" w:themeColor="text1"/>
            <w:szCs w:val="24"/>
          </w:rPr>
          <w:instrText xml:space="preserve"> PAGEREF _Toc492634890 \h </w:instrText>
        </w:r>
        <w:r w:rsidR="003912E3" w:rsidRPr="00687B52">
          <w:rPr>
            <w:noProof/>
            <w:webHidden/>
            <w:color w:val="000000" w:themeColor="text1"/>
            <w:szCs w:val="24"/>
          </w:rPr>
        </w:r>
        <w:r w:rsidR="003912E3" w:rsidRPr="00687B52">
          <w:rPr>
            <w:noProof/>
            <w:webHidden/>
            <w:color w:val="000000" w:themeColor="text1"/>
            <w:szCs w:val="24"/>
          </w:rPr>
          <w:fldChar w:fldCharType="separate"/>
        </w:r>
        <w:r w:rsidR="00687B52" w:rsidRPr="00687B52">
          <w:rPr>
            <w:noProof/>
            <w:webHidden/>
            <w:color w:val="000000" w:themeColor="text1"/>
            <w:szCs w:val="24"/>
          </w:rPr>
          <w:t>21</w:t>
        </w:r>
        <w:r w:rsidR="003912E3" w:rsidRPr="00687B52">
          <w:rPr>
            <w:noProof/>
            <w:webHidden/>
            <w:color w:val="000000" w:themeColor="text1"/>
            <w:szCs w:val="24"/>
          </w:rPr>
          <w:fldChar w:fldCharType="end"/>
        </w:r>
      </w:hyperlink>
    </w:p>
    <w:p w:rsidR="002C192D" w:rsidRPr="00687B52" w:rsidRDefault="00F54DF7" w:rsidP="002C192D">
      <w:pPr>
        <w:pStyle w:val="22"/>
        <w:tabs>
          <w:tab w:val="right" w:leader="dot" w:pos="8296"/>
        </w:tabs>
        <w:spacing w:line="400" w:lineRule="exact"/>
        <w:ind w:leftChars="95" w:left="199"/>
        <w:rPr>
          <w:noProof/>
          <w:color w:val="000000" w:themeColor="text1"/>
          <w:szCs w:val="24"/>
        </w:rPr>
      </w:pPr>
      <w:hyperlink w:anchor="_Toc492634891" w:history="1">
        <w:r w:rsidR="002C192D" w:rsidRPr="00687B52">
          <w:rPr>
            <w:rStyle w:val="ad"/>
            <w:noProof/>
            <w:color w:val="000000" w:themeColor="text1"/>
            <w:szCs w:val="24"/>
          </w:rPr>
          <w:t>4.2</w:t>
        </w:r>
        <w:r w:rsidR="002C192D" w:rsidRPr="00687B52">
          <w:rPr>
            <w:rStyle w:val="ad"/>
            <w:rFonts w:hint="eastAsia"/>
            <w:noProof/>
            <w:color w:val="000000" w:themeColor="text1"/>
            <w:szCs w:val="24"/>
          </w:rPr>
          <w:t>危险化学品生产、使用企业专业检查表</w:t>
        </w:r>
        <w:r w:rsidR="002C192D" w:rsidRPr="00687B52">
          <w:rPr>
            <w:noProof/>
            <w:webHidden/>
            <w:color w:val="000000" w:themeColor="text1"/>
            <w:szCs w:val="24"/>
          </w:rPr>
          <w:tab/>
        </w:r>
        <w:r w:rsidR="003912E3" w:rsidRPr="00687B52">
          <w:rPr>
            <w:noProof/>
            <w:webHidden/>
            <w:color w:val="000000" w:themeColor="text1"/>
            <w:szCs w:val="24"/>
          </w:rPr>
          <w:fldChar w:fldCharType="begin"/>
        </w:r>
        <w:r w:rsidR="002C192D" w:rsidRPr="00687B52">
          <w:rPr>
            <w:noProof/>
            <w:webHidden/>
            <w:color w:val="000000" w:themeColor="text1"/>
            <w:szCs w:val="24"/>
          </w:rPr>
          <w:instrText xml:space="preserve"> PAGEREF _Toc492634891 \h </w:instrText>
        </w:r>
        <w:r w:rsidR="003912E3" w:rsidRPr="00687B52">
          <w:rPr>
            <w:noProof/>
            <w:webHidden/>
            <w:color w:val="000000" w:themeColor="text1"/>
            <w:szCs w:val="24"/>
          </w:rPr>
        </w:r>
        <w:r w:rsidR="003912E3" w:rsidRPr="00687B52">
          <w:rPr>
            <w:noProof/>
            <w:webHidden/>
            <w:color w:val="000000" w:themeColor="text1"/>
            <w:szCs w:val="24"/>
          </w:rPr>
          <w:fldChar w:fldCharType="separate"/>
        </w:r>
        <w:r w:rsidR="00687B52" w:rsidRPr="00687B52">
          <w:rPr>
            <w:noProof/>
            <w:webHidden/>
            <w:color w:val="000000" w:themeColor="text1"/>
            <w:szCs w:val="24"/>
          </w:rPr>
          <w:t>25</w:t>
        </w:r>
        <w:r w:rsidR="003912E3" w:rsidRPr="00687B52">
          <w:rPr>
            <w:noProof/>
            <w:webHidden/>
            <w:color w:val="000000" w:themeColor="text1"/>
            <w:szCs w:val="24"/>
          </w:rPr>
          <w:fldChar w:fldCharType="end"/>
        </w:r>
      </w:hyperlink>
    </w:p>
    <w:p w:rsidR="002C192D" w:rsidRPr="00687B52" w:rsidRDefault="00F54DF7" w:rsidP="002C192D">
      <w:pPr>
        <w:pStyle w:val="30"/>
        <w:tabs>
          <w:tab w:val="right" w:leader="dot" w:pos="8296"/>
        </w:tabs>
        <w:spacing w:line="400" w:lineRule="exact"/>
        <w:ind w:left="420"/>
        <w:rPr>
          <w:noProof/>
          <w:color w:val="000000" w:themeColor="text1"/>
          <w:szCs w:val="24"/>
        </w:rPr>
      </w:pPr>
      <w:hyperlink w:anchor="_Toc492634892" w:history="1">
        <w:r w:rsidR="002C192D" w:rsidRPr="00687B52">
          <w:rPr>
            <w:rStyle w:val="ad"/>
            <w:rFonts w:hint="eastAsia"/>
            <w:noProof/>
            <w:color w:val="000000" w:themeColor="text1"/>
            <w:szCs w:val="24"/>
          </w:rPr>
          <w:t>表</w:t>
        </w:r>
        <w:r w:rsidR="002C192D" w:rsidRPr="00687B52">
          <w:rPr>
            <w:rStyle w:val="ad"/>
            <w:noProof/>
            <w:color w:val="000000" w:themeColor="text1"/>
            <w:szCs w:val="24"/>
          </w:rPr>
          <w:t>2-1</w:t>
        </w:r>
        <w:r w:rsidR="002C192D" w:rsidRPr="00687B52">
          <w:rPr>
            <w:rStyle w:val="ad"/>
            <w:rFonts w:hint="eastAsia"/>
            <w:noProof/>
            <w:color w:val="000000" w:themeColor="text1"/>
            <w:szCs w:val="24"/>
          </w:rPr>
          <w:t>危险化学品生产、使用企业专业检查表（现场通用）</w:t>
        </w:r>
        <w:r w:rsidR="002C192D" w:rsidRPr="00687B52">
          <w:rPr>
            <w:noProof/>
            <w:webHidden/>
            <w:color w:val="000000" w:themeColor="text1"/>
            <w:szCs w:val="24"/>
          </w:rPr>
          <w:tab/>
        </w:r>
        <w:r w:rsidR="003912E3" w:rsidRPr="00687B52">
          <w:rPr>
            <w:noProof/>
            <w:webHidden/>
            <w:color w:val="000000" w:themeColor="text1"/>
            <w:szCs w:val="24"/>
          </w:rPr>
          <w:fldChar w:fldCharType="begin"/>
        </w:r>
        <w:r w:rsidR="002C192D" w:rsidRPr="00687B52">
          <w:rPr>
            <w:noProof/>
            <w:webHidden/>
            <w:color w:val="000000" w:themeColor="text1"/>
            <w:szCs w:val="24"/>
          </w:rPr>
          <w:instrText xml:space="preserve"> PAGEREF _Toc492634892 \h </w:instrText>
        </w:r>
        <w:r w:rsidR="003912E3" w:rsidRPr="00687B52">
          <w:rPr>
            <w:noProof/>
            <w:webHidden/>
            <w:color w:val="000000" w:themeColor="text1"/>
            <w:szCs w:val="24"/>
          </w:rPr>
        </w:r>
        <w:r w:rsidR="003912E3" w:rsidRPr="00687B52">
          <w:rPr>
            <w:noProof/>
            <w:webHidden/>
            <w:color w:val="000000" w:themeColor="text1"/>
            <w:szCs w:val="24"/>
          </w:rPr>
          <w:fldChar w:fldCharType="separate"/>
        </w:r>
        <w:r w:rsidR="00687B52" w:rsidRPr="00687B52">
          <w:rPr>
            <w:noProof/>
            <w:webHidden/>
            <w:color w:val="000000" w:themeColor="text1"/>
            <w:szCs w:val="24"/>
          </w:rPr>
          <w:t>25</w:t>
        </w:r>
        <w:r w:rsidR="003912E3" w:rsidRPr="00687B52">
          <w:rPr>
            <w:noProof/>
            <w:webHidden/>
            <w:color w:val="000000" w:themeColor="text1"/>
            <w:szCs w:val="24"/>
          </w:rPr>
          <w:fldChar w:fldCharType="end"/>
        </w:r>
      </w:hyperlink>
    </w:p>
    <w:p w:rsidR="002C192D" w:rsidRPr="00687B52" w:rsidRDefault="00F54DF7" w:rsidP="002C192D">
      <w:pPr>
        <w:pStyle w:val="30"/>
        <w:tabs>
          <w:tab w:val="right" w:leader="dot" w:pos="8296"/>
        </w:tabs>
        <w:spacing w:line="400" w:lineRule="exact"/>
        <w:ind w:left="420"/>
        <w:rPr>
          <w:noProof/>
          <w:color w:val="000000" w:themeColor="text1"/>
          <w:szCs w:val="24"/>
        </w:rPr>
      </w:pPr>
      <w:hyperlink w:anchor="_Toc492634893" w:history="1">
        <w:r w:rsidR="002C192D" w:rsidRPr="00687B52">
          <w:rPr>
            <w:rStyle w:val="ad"/>
            <w:rFonts w:hint="eastAsia"/>
            <w:noProof/>
            <w:color w:val="000000" w:themeColor="text1"/>
            <w:szCs w:val="24"/>
          </w:rPr>
          <w:t>表</w:t>
        </w:r>
        <w:r w:rsidR="002C192D" w:rsidRPr="00687B52">
          <w:rPr>
            <w:rStyle w:val="ad"/>
            <w:noProof/>
            <w:color w:val="000000" w:themeColor="text1"/>
            <w:szCs w:val="24"/>
          </w:rPr>
          <w:t xml:space="preserve">2-2 </w:t>
        </w:r>
        <w:r w:rsidR="002C192D" w:rsidRPr="00687B52">
          <w:rPr>
            <w:rStyle w:val="ad"/>
            <w:rFonts w:hint="eastAsia"/>
            <w:noProof/>
            <w:color w:val="000000" w:themeColor="text1"/>
            <w:szCs w:val="24"/>
          </w:rPr>
          <w:t>危险化学品生产企业专业检查表（石油化工）</w:t>
        </w:r>
        <w:r w:rsidR="002C192D" w:rsidRPr="00687B52">
          <w:rPr>
            <w:noProof/>
            <w:webHidden/>
            <w:color w:val="000000" w:themeColor="text1"/>
            <w:szCs w:val="24"/>
          </w:rPr>
          <w:tab/>
        </w:r>
        <w:r w:rsidR="003912E3" w:rsidRPr="00687B52">
          <w:rPr>
            <w:noProof/>
            <w:webHidden/>
            <w:color w:val="000000" w:themeColor="text1"/>
            <w:szCs w:val="24"/>
          </w:rPr>
          <w:fldChar w:fldCharType="begin"/>
        </w:r>
        <w:r w:rsidR="002C192D" w:rsidRPr="00687B52">
          <w:rPr>
            <w:noProof/>
            <w:webHidden/>
            <w:color w:val="000000" w:themeColor="text1"/>
            <w:szCs w:val="24"/>
          </w:rPr>
          <w:instrText xml:space="preserve"> PAGEREF _Toc492634893 \h </w:instrText>
        </w:r>
        <w:r w:rsidR="003912E3" w:rsidRPr="00687B52">
          <w:rPr>
            <w:noProof/>
            <w:webHidden/>
            <w:color w:val="000000" w:themeColor="text1"/>
            <w:szCs w:val="24"/>
          </w:rPr>
        </w:r>
        <w:r w:rsidR="003912E3" w:rsidRPr="00687B52">
          <w:rPr>
            <w:noProof/>
            <w:webHidden/>
            <w:color w:val="000000" w:themeColor="text1"/>
            <w:szCs w:val="24"/>
          </w:rPr>
          <w:fldChar w:fldCharType="separate"/>
        </w:r>
        <w:r w:rsidR="00687B52" w:rsidRPr="00687B52">
          <w:rPr>
            <w:noProof/>
            <w:webHidden/>
            <w:color w:val="000000" w:themeColor="text1"/>
            <w:szCs w:val="24"/>
          </w:rPr>
          <w:t>42</w:t>
        </w:r>
        <w:r w:rsidR="003912E3" w:rsidRPr="00687B52">
          <w:rPr>
            <w:noProof/>
            <w:webHidden/>
            <w:color w:val="000000" w:themeColor="text1"/>
            <w:szCs w:val="24"/>
          </w:rPr>
          <w:fldChar w:fldCharType="end"/>
        </w:r>
      </w:hyperlink>
    </w:p>
    <w:p w:rsidR="002C192D" w:rsidRPr="00687B52" w:rsidRDefault="00F54DF7" w:rsidP="002C192D">
      <w:pPr>
        <w:pStyle w:val="30"/>
        <w:tabs>
          <w:tab w:val="right" w:leader="dot" w:pos="8296"/>
        </w:tabs>
        <w:spacing w:line="400" w:lineRule="exact"/>
        <w:ind w:left="420"/>
        <w:rPr>
          <w:noProof/>
          <w:color w:val="000000" w:themeColor="text1"/>
          <w:szCs w:val="24"/>
        </w:rPr>
      </w:pPr>
      <w:hyperlink w:anchor="_Toc492634894" w:history="1">
        <w:r w:rsidR="002C192D" w:rsidRPr="00687B52">
          <w:rPr>
            <w:rStyle w:val="ad"/>
            <w:rFonts w:hint="eastAsia"/>
            <w:noProof/>
            <w:color w:val="000000" w:themeColor="text1"/>
            <w:szCs w:val="24"/>
          </w:rPr>
          <w:t>表</w:t>
        </w:r>
        <w:r w:rsidR="002C192D" w:rsidRPr="00687B52">
          <w:rPr>
            <w:rStyle w:val="ad"/>
            <w:noProof/>
            <w:color w:val="000000" w:themeColor="text1"/>
            <w:szCs w:val="24"/>
          </w:rPr>
          <w:t xml:space="preserve">2-3 </w:t>
        </w:r>
        <w:r w:rsidR="002C192D" w:rsidRPr="00687B52">
          <w:rPr>
            <w:rStyle w:val="ad"/>
            <w:rFonts w:hint="eastAsia"/>
            <w:noProof/>
            <w:color w:val="000000" w:themeColor="text1"/>
            <w:szCs w:val="24"/>
          </w:rPr>
          <w:t>危险化学品生产企业专业检查表（合成氨）</w:t>
        </w:r>
        <w:r w:rsidR="002C192D" w:rsidRPr="00687B52">
          <w:rPr>
            <w:noProof/>
            <w:webHidden/>
            <w:color w:val="000000" w:themeColor="text1"/>
            <w:szCs w:val="24"/>
          </w:rPr>
          <w:tab/>
        </w:r>
        <w:r w:rsidR="003912E3" w:rsidRPr="00687B52">
          <w:rPr>
            <w:noProof/>
            <w:webHidden/>
            <w:color w:val="000000" w:themeColor="text1"/>
            <w:szCs w:val="24"/>
          </w:rPr>
          <w:fldChar w:fldCharType="begin"/>
        </w:r>
        <w:r w:rsidR="002C192D" w:rsidRPr="00687B52">
          <w:rPr>
            <w:noProof/>
            <w:webHidden/>
            <w:color w:val="000000" w:themeColor="text1"/>
            <w:szCs w:val="24"/>
          </w:rPr>
          <w:instrText xml:space="preserve"> PAGEREF _Toc492634894 \h </w:instrText>
        </w:r>
        <w:r w:rsidR="003912E3" w:rsidRPr="00687B52">
          <w:rPr>
            <w:noProof/>
            <w:webHidden/>
            <w:color w:val="000000" w:themeColor="text1"/>
            <w:szCs w:val="24"/>
          </w:rPr>
        </w:r>
        <w:r w:rsidR="003912E3" w:rsidRPr="00687B52">
          <w:rPr>
            <w:noProof/>
            <w:webHidden/>
            <w:color w:val="000000" w:themeColor="text1"/>
            <w:szCs w:val="24"/>
          </w:rPr>
          <w:fldChar w:fldCharType="separate"/>
        </w:r>
        <w:r w:rsidR="00687B52" w:rsidRPr="00687B52">
          <w:rPr>
            <w:noProof/>
            <w:webHidden/>
            <w:color w:val="000000" w:themeColor="text1"/>
            <w:szCs w:val="24"/>
          </w:rPr>
          <w:t>97</w:t>
        </w:r>
        <w:r w:rsidR="003912E3" w:rsidRPr="00687B52">
          <w:rPr>
            <w:noProof/>
            <w:webHidden/>
            <w:color w:val="000000" w:themeColor="text1"/>
            <w:szCs w:val="24"/>
          </w:rPr>
          <w:fldChar w:fldCharType="end"/>
        </w:r>
      </w:hyperlink>
    </w:p>
    <w:p w:rsidR="002C192D" w:rsidRPr="00687B52" w:rsidRDefault="00F54DF7" w:rsidP="002C192D">
      <w:pPr>
        <w:pStyle w:val="30"/>
        <w:tabs>
          <w:tab w:val="right" w:leader="dot" w:pos="8296"/>
        </w:tabs>
        <w:spacing w:line="400" w:lineRule="exact"/>
        <w:ind w:left="420"/>
        <w:rPr>
          <w:noProof/>
          <w:color w:val="000000" w:themeColor="text1"/>
          <w:szCs w:val="24"/>
        </w:rPr>
      </w:pPr>
      <w:hyperlink w:anchor="_Toc492634895" w:history="1">
        <w:r w:rsidR="002C192D" w:rsidRPr="00687B52">
          <w:rPr>
            <w:rStyle w:val="ad"/>
            <w:rFonts w:hint="eastAsia"/>
            <w:noProof/>
            <w:color w:val="000000" w:themeColor="text1"/>
            <w:szCs w:val="24"/>
          </w:rPr>
          <w:t>表</w:t>
        </w:r>
        <w:r w:rsidR="002C192D" w:rsidRPr="00687B52">
          <w:rPr>
            <w:rStyle w:val="ad"/>
            <w:noProof/>
            <w:color w:val="000000" w:themeColor="text1"/>
            <w:szCs w:val="24"/>
          </w:rPr>
          <w:t xml:space="preserve">2-4 </w:t>
        </w:r>
        <w:r w:rsidR="002C192D" w:rsidRPr="00687B52">
          <w:rPr>
            <w:rStyle w:val="ad"/>
            <w:rFonts w:hint="eastAsia"/>
            <w:noProof/>
            <w:color w:val="000000" w:themeColor="text1"/>
            <w:szCs w:val="24"/>
          </w:rPr>
          <w:t>危险化学品生产企业专业检查表（氯碱）</w:t>
        </w:r>
        <w:r w:rsidR="002C192D" w:rsidRPr="00687B52">
          <w:rPr>
            <w:noProof/>
            <w:webHidden/>
            <w:color w:val="000000" w:themeColor="text1"/>
            <w:szCs w:val="24"/>
          </w:rPr>
          <w:tab/>
        </w:r>
        <w:r w:rsidR="003912E3" w:rsidRPr="00687B52">
          <w:rPr>
            <w:noProof/>
            <w:webHidden/>
            <w:color w:val="000000" w:themeColor="text1"/>
            <w:szCs w:val="24"/>
          </w:rPr>
          <w:fldChar w:fldCharType="begin"/>
        </w:r>
        <w:r w:rsidR="002C192D" w:rsidRPr="00687B52">
          <w:rPr>
            <w:noProof/>
            <w:webHidden/>
            <w:color w:val="000000" w:themeColor="text1"/>
            <w:szCs w:val="24"/>
          </w:rPr>
          <w:instrText xml:space="preserve"> PAGEREF _Toc492634895 \h </w:instrText>
        </w:r>
        <w:r w:rsidR="003912E3" w:rsidRPr="00687B52">
          <w:rPr>
            <w:noProof/>
            <w:webHidden/>
            <w:color w:val="000000" w:themeColor="text1"/>
            <w:szCs w:val="24"/>
          </w:rPr>
        </w:r>
        <w:r w:rsidR="003912E3" w:rsidRPr="00687B52">
          <w:rPr>
            <w:noProof/>
            <w:webHidden/>
            <w:color w:val="000000" w:themeColor="text1"/>
            <w:szCs w:val="24"/>
          </w:rPr>
          <w:fldChar w:fldCharType="separate"/>
        </w:r>
        <w:r w:rsidR="00687B52" w:rsidRPr="00687B52">
          <w:rPr>
            <w:noProof/>
            <w:webHidden/>
            <w:color w:val="000000" w:themeColor="text1"/>
            <w:szCs w:val="24"/>
          </w:rPr>
          <w:t>121</w:t>
        </w:r>
        <w:r w:rsidR="003912E3" w:rsidRPr="00687B52">
          <w:rPr>
            <w:noProof/>
            <w:webHidden/>
            <w:color w:val="000000" w:themeColor="text1"/>
            <w:szCs w:val="24"/>
          </w:rPr>
          <w:fldChar w:fldCharType="end"/>
        </w:r>
      </w:hyperlink>
    </w:p>
    <w:p w:rsidR="002C192D" w:rsidRPr="00687B52" w:rsidRDefault="00F54DF7" w:rsidP="002C192D">
      <w:pPr>
        <w:pStyle w:val="30"/>
        <w:tabs>
          <w:tab w:val="right" w:leader="dot" w:pos="8296"/>
        </w:tabs>
        <w:spacing w:line="400" w:lineRule="exact"/>
        <w:ind w:left="420"/>
        <w:rPr>
          <w:noProof/>
          <w:color w:val="000000" w:themeColor="text1"/>
          <w:szCs w:val="24"/>
        </w:rPr>
      </w:pPr>
      <w:hyperlink w:anchor="_Toc492634896" w:history="1">
        <w:r w:rsidR="002C192D" w:rsidRPr="00687B52">
          <w:rPr>
            <w:rStyle w:val="ad"/>
            <w:rFonts w:hint="eastAsia"/>
            <w:noProof/>
            <w:color w:val="000000" w:themeColor="text1"/>
            <w:szCs w:val="24"/>
          </w:rPr>
          <w:t>表</w:t>
        </w:r>
        <w:r w:rsidR="002C192D" w:rsidRPr="00687B52">
          <w:rPr>
            <w:rStyle w:val="ad"/>
            <w:noProof/>
            <w:color w:val="000000" w:themeColor="text1"/>
            <w:szCs w:val="24"/>
          </w:rPr>
          <w:t>2-5</w:t>
        </w:r>
        <w:r w:rsidR="002C192D" w:rsidRPr="00687B52">
          <w:rPr>
            <w:rStyle w:val="ad"/>
            <w:rFonts w:hint="eastAsia"/>
            <w:noProof/>
            <w:color w:val="000000" w:themeColor="text1"/>
            <w:szCs w:val="24"/>
          </w:rPr>
          <w:t>危险化学品生产企业专业检查表（硫酸）</w:t>
        </w:r>
        <w:r w:rsidR="002C192D" w:rsidRPr="00687B52">
          <w:rPr>
            <w:noProof/>
            <w:webHidden/>
            <w:color w:val="000000" w:themeColor="text1"/>
            <w:szCs w:val="24"/>
          </w:rPr>
          <w:tab/>
        </w:r>
        <w:r w:rsidR="003912E3" w:rsidRPr="00687B52">
          <w:rPr>
            <w:noProof/>
            <w:webHidden/>
            <w:color w:val="000000" w:themeColor="text1"/>
            <w:szCs w:val="24"/>
          </w:rPr>
          <w:fldChar w:fldCharType="begin"/>
        </w:r>
        <w:r w:rsidR="002C192D" w:rsidRPr="00687B52">
          <w:rPr>
            <w:noProof/>
            <w:webHidden/>
            <w:color w:val="000000" w:themeColor="text1"/>
            <w:szCs w:val="24"/>
          </w:rPr>
          <w:instrText xml:space="preserve"> PAGEREF _Toc492634896 \h </w:instrText>
        </w:r>
        <w:r w:rsidR="003912E3" w:rsidRPr="00687B52">
          <w:rPr>
            <w:noProof/>
            <w:webHidden/>
            <w:color w:val="000000" w:themeColor="text1"/>
            <w:szCs w:val="24"/>
          </w:rPr>
        </w:r>
        <w:r w:rsidR="003912E3" w:rsidRPr="00687B52">
          <w:rPr>
            <w:noProof/>
            <w:webHidden/>
            <w:color w:val="000000" w:themeColor="text1"/>
            <w:szCs w:val="24"/>
          </w:rPr>
          <w:fldChar w:fldCharType="separate"/>
        </w:r>
        <w:r w:rsidR="00687B52" w:rsidRPr="00687B52">
          <w:rPr>
            <w:noProof/>
            <w:webHidden/>
            <w:color w:val="000000" w:themeColor="text1"/>
            <w:szCs w:val="24"/>
          </w:rPr>
          <w:t>135</w:t>
        </w:r>
        <w:r w:rsidR="003912E3" w:rsidRPr="00687B52">
          <w:rPr>
            <w:noProof/>
            <w:webHidden/>
            <w:color w:val="000000" w:themeColor="text1"/>
            <w:szCs w:val="24"/>
          </w:rPr>
          <w:fldChar w:fldCharType="end"/>
        </w:r>
      </w:hyperlink>
    </w:p>
    <w:p w:rsidR="002C192D" w:rsidRPr="00687B52" w:rsidRDefault="00F54DF7" w:rsidP="002C192D">
      <w:pPr>
        <w:pStyle w:val="30"/>
        <w:tabs>
          <w:tab w:val="right" w:leader="dot" w:pos="8296"/>
        </w:tabs>
        <w:spacing w:line="400" w:lineRule="exact"/>
        <w:ind w:left="420"/>
        <w:rPr>
          <w:noProof/>
          <w:color w:val="000000" w:themeColor="text1"/>
          <w:szCs w:val="24"/>
        </w:rPr>
      </w:pPr>
      <w:hyperlink w:anchor="_Toc492634897" w:history="1">
        <w:r w:rsidR="002C192D" w:rsidRPr="00687B52">
          <w:rPr>
            <w:rStyle w:val="ad"/>
            <w:rFonts w:hint="eastAsia"/>
            <w:noProof/>
            <w:color w:val="000000" w:themeColor="text1"/>
            <w:szCs w:val="24"/>
          </w:rPr>
          <w:t>表</w:t>
        </w:r>
        <w:r w:rsidR="002C192D" w:rsidRPr="00687B52">
          <w:rPr>
            <w:rStyle w:val="ad"/>
            <w:noProof/>
            <w:color w:val="000000" w:themeColor="text1"/>
            <w:szCs w:val="24"/>
          </w:rPr>
          <w:t xml:space="preserve">2-6 </w:t>
        </w:r>
        <w:r w:rsidR="002C192D" w:rsidRPr="00687B52">
          <w:rPr>
            <w:rStyle w:val="ad"/>
            <w:rFonts w:hint="eastAsia"/>
            <w:noProof/>
            <w:color w:val="000000" w:themeColor="text1"/>
            <w:szCs w:val="24"/>
          </w:rPr>
          <w:t>危险化学品生产企业专业检查表（油漆涂料）</w:t>
        </w:r>
        <w:r w:rsidR="002C192D" w:rsidRPr="00687B52">
          <w:rPr>
            <w:noProof/>
            <w:webHidden/>
            <w:color w:val="000000" w:themeColor="text1"/>
            <w:szCs w:val="24"/>
          </w:rPr>
          <w:tab/>
        </w:r>
        <w:r w:rsidR="003912E3" w:rsidRPr="00687B52">
          <w:rPr>
            <w:noProof/>
            <w:webHidden/>
            <w:color w:val="000000" w:themeColor="text1"/>
            <w:szCs w:val="24"/>
          </w:rPr>
          <w:fldChar w:fldCharType="begin"/>
        </w:r>
        <w:r w:rsidR="002C192D" w:rsidRPr="00687B52">
          <w:rPr>
            <w:noProof/>
            <w:webHidden/>
            <w:color w:val="000000" w:themeColor="text1"/>
            <w:szCs w:val="24"/>
          </w:rPr>
          <w:instrText xml:space="preserve"> PAGEREF _Toc492634897 \h </w:instrText>
        </w:r>
        <w:r w:rsidR="003912E3" w:rsidRPr="00687B52">
          <w:rPr>
            <w:noProof/>
            <w:webHidden/>
            <w:color w:val="000000" w:themeColor="text1"/>
            <w:szCs w:val="24"/>
          </w:rPr>
        </w:r>
        <w:r w:rsidR="003912E3" w:rsidRPr="00687B52">
          <w:rPr>
            <w:noProof/>
            <w:webHidden/>
            <w:color w:val="000000" w:themeColor="text1"/>
            <w:szCs w:val="24"/>
          </w:rPr>
          <w:fldChar w:fldCharType="separate"/>
        </w:r>
        <w:r w:rsidR="00687B52" w:rsidRPr="00687B52">
          <w:rPr>
            <w:noProof/>
            <w:webHidden/>
            <w:color w:val="000000" w:themeColor="text1"/>
            <w:szCs w:val="24"/>
          </w:rPr>
          <w:t>155</w:t>
        </w:r>
        <w:r w:rsidR="003912E3" w:rsidRPr="00687B52">
          <w:rPr>
            <w:noProof/>
            <w:webHidden/>
            <w:color w:val="000000" w:themeColor="text1"/>
            <w:szCs w:val="24"/>
          </w:rPr>
          <w:fldChar w:fldCharType="end"/>
        </w:r>
      </w:hyperlink>
    </w:p>
    <w:p w:rsidR="002C192D" w:rsidRPr="00687B52" w:rsidRDefault="00F54DF7" w:rsidP="002C192D">
      <w:pPr>
        <w:pStyle w:val="30"/>
        <w:tabs>
          <w:tab w:val="right" w:leader="dot" w:pos="8296"/>
        </w:tabs>
        <w:spacing w:line="400" w:lineRule="exact"/>
        <w:ind w:left="420"/>
        <w:rPr>
          <w:noProof/>
          <w:color w:val="000000" w:themeColor="text1"/>
          <w:szCs w:val="24"/>
        </w:rPr>
      </w:pPr>
      <w:hyperlink w:anchor="_Toc492634898" w:history="1">
        <w:r w:rsidR="002C192D" w:rsidRPr="00687B52">
          <w:rPr>
            <w:rStyle w:val="ad"/>
            <w:rFonts w:hint="eastAsia"/>
            <w:noProof/>
            <w:color w:val="000000" w:themeColor="text1"/>
            <w:szCs w:val="24"/>
          </w:rPr>
          <w:t>表</w:t>
        </w:r>
        <w:r w:rsidR="002C192D" w:rsidRPr="00687B52">
          <w:rPr>
            <w:rStyle w:val="ad"/>
            <w:noProof/>
            <w:color w:val="000000" w:themeColor="text1"/>
            <w:szCs w:val="24"/>
          </w:rPr>
          <w:t xml:space="preserve">2-7 </w:t>
        </w:r>
        <w:r w:rsidR="002C192D" w:rsidRPr="00687B52">
          <w:rPr>
            <w:rStyle w:val="ad"/>
            <w:rFonts w:hint="eastAsia"/>
            <w:noProof/>
            <w:color w:val="000000" w:themeColor="text1"/>
            <w:szCs w:val="24"/>
          </w:rPr>
          <w:t>危险化学品生产企业专业检查表（氯酸盐）</w:t>
        </w:r>
        <w:r w:rsidR="002C192D" w:rsidRPr="00687B52">
          <w:rPr>
            <w:noProof/>
            <w:webHidden/>
            <w:color w:val="000000" w:themeColor="text1"/>
            <w:szCs w:val="24"/>
          </w:rPr>
          <w:tab/>
        </w:r>
        <w:r w:rsidR="003912E3" w:rsidRPr="00687B52">
          <w:rPr>
            <w:noProof/>
            <w:webHidden/>
            <w:color w:val="000000" w:themeColor="text1"/>
            <w:szCs w:val="24"/>
          </w:rPr>
          <w:fldChar w:fldCharType="begin"/>
        </w:r>
        <w:r w:rsidR="002C192D" w:rsidRPr="00687B52">
          <w:rPr>
            <w:noProof/>
            <w:webHidden/>
            <w:color w:val="000000" w:themeColor="text1"/>
            <w:szCs w:val="24"/>
          </w:rPr>
          <w:instrText xml:space="preserve"> PAGEREF _Toc492634898 \h </w:instrText>
        </w:r>
        <w:r w:rsidR="003912E3" w:rsidRPr="00687B52">
          <w:rPr>
            <w:noProof/>
            <w:webHidden/>
            <w:color w:val="000000" w:themeColor="text1"/>
            <w:szCs w:val="24"/>
          </w:rPr>
        </w:r>
        <w:r w:rsidR="003912E3" w:rsidRPr="00687B52">
          <w:rPr>
            <w:noProof/>
            <w:webHidden/>
            <w:color w:val="000000" w:themeColor="text1"/>
            <w:szCs w:val="24"/>
          </w:rPr>
          <w:fldChar w:fldCharType="separate"/>
        </w:r>
        <w:r w:rsidR="00687B52" w:rsidRPr="00687B52">
          <w:rPr>
            <w:noProof/>
            <w:webHidden/>
            <w:color w:val="000000" w:themeColor="text1"/>
            <w:szCs w:val="24"/>
          </w:rPr>
          <w:t>183</w:t>
        </w:r>
        <w:r w:rsidR="003912E3" w:rsidRPr="00687B52">
          <w:rPr>
            <w:noProof/>
            <w:webHidden/>
            <w:color w:val="000000" w:themeColor="text1"/>
            <w:szCs w:val="24"/>
          </w:rPr>
          <w:fldChar w:fldCharType="end"/>
        </w:r>
      </w:hyperlink>
    </w:p>
    <w:p w:rsidR="002C192D" w:rsidRPr="00687B52" w:rsidRDefault="00F54DF7" w:rsidP="002C192D">
      <w:pPr>
        <w:pStyle w:val="30"/>
        <w:tabs>
          <w:tab w:val="right" w:leader="dot" w:pos="8296"/>
        </w:tabs>
        <w:spacing w:line="400" w:lineRule="exact"/>
        <w:ind w:left="420"/>
        <w:rPr>
          <w:noProof/>
          <w:color w:val="000000" w:themeColor="text1"/>
          <w:szCs w:val="24"/>
        </w:rPr>
      </w:pPr>
      <w:hyperlink w:anchor="_Toc492634899" w:history="1">
        <w:r w:rsidR="002C192D" w:rsidRPr="00687B52">
          <w:rPr>
            <w:rStyle w:val="ad"/>
            <w:rFonts w:hint="eastAsia"/>
            <w:noProof/>
            <w:color w:val="000000" w:themeColor="text1"/>
            <w:szCs w:val="24"/>
          </w:rPr>
          <w:t>表</w:t>
        </w:r>
        <w:r w:rsidR="002C192D" w:rsidRPr="00687B52">
          <w:rPr>
            <w:rStyle w:val="ad"/>
            <w:noProof/>
            <w:color w:val="000000" w:themeColor="text1"/>
            <w:szCs w:val="24"/>
          </w:rPr>
          <w:t xml:space="preserve">2-8 </w:t>
        </w:r>
        <w:r w:rsidR="002C192D" w:rsidRPr="00687B52">
          <w:rPr>
            <w:rStyle w:val="ad"/>
            <w:rFonts w:hint="eastAsia"/>
            <w:noProof/>
            <w:color w:val="000000" w:themeColor="text1"/>
            <w:szCs w:val="24"/>
          </w:rPr>
          <w:t>危险化学品生产企业专业检查表（金属粉末）</w:t>
        </w:r>
        <w:r w:rsidR="002C192D" w:rsidRPr="00687B52">
          <w:rPr>
            <w:noProof/>
            <w:webHidden/>
            <w:color w:val="000000" w:themeColor="text1"/>
            <w:szCs w:val="24"/>
          </w:rPr>
          <w:tab/>
        </w:r>
        <w:r w:rsidR="003912E3" w:rsidRPr="00687B52">
          <w:rPr>
            <w:noProof/>
            <w:webHidden/>
            <w:color w:val="000000" w:themeColor="text1"/>
            <w:szCs w:val="24"/>
          </w:rPr>
          <w:fldChar w:fldCharType="begin"/>
        </w:r>
        <w:r w:rsidR="002C192D" w:rsidRPr="00687B52">
          <w:rPr>
            <w:noProof/>
            <w:webHidden/>
            <w:color w:val="000000" w:themeColor="text1"/>
            <w:szCs w:val="24"/>
          </w:rPr>
          <w:instrText xml:space="preserve"> PAGEREF _Toc492634899 \h </w:instrText>
        </w:r>
        <w:r w:rsidR="003912E3" w:rsidRPr="00687B52">
          <w:rPr>
            <w:noProof/>
            <w:webHidden/>
            <w:color w:val="000000" w:themeColor="text1"/>
            <w:szCs w:val="24"/>
          </w:rPr>
        </w:r>
        <w:r w:rsidR="003912E3" w:rsidRPr="00687B52">
          <w:rPr>
            <w:noProof/>
            <w:webHidden/>
            <w:color w:val="000000" w:themeColor="text1"/>
            <w:szCs w:val="24"/>
          </w:rPr>
          <w:fldChar w:fldCharType="separate"/>
        </w:r>
        <w:r w:rsidR="00687B52" w:rsidRPr="00687B52">
          <w:rPr>
            <w:noProof/>
            <w:webHidden/>
            <w:color w:val="000000" w:themeColor="text1"/>
            <w:szCs w:val="24"/>
          </w:rPr>
          <w:t>189</w:t>
        </w:r>
        <w:r w:rsidR="003912E3" w:rsidRPr="00687B52">
          <w:rPr>
            <w:noProof/>
            <w:webHidden/>
            <w:color w:val="000000" w:themeColor="text1"/>
            <w:szCs w:val="24"/>
          </w:rPr>
          <w:fldChar w:fldCharType="end"/>
        </w:r>
      </w:hyperlink>
    </w:p>
    <w:p w:rsidR="002C192D" w:rsidRPr="00687B52" w:rsidRDefault="00F54DF7" w:rsidP="002C192D">
      <w:pPr>
        <w:pStyle w:val="30"/>
        <w:tabs>
          <w:tab w:val="right" w:leader="dot" w:pos="8296"/>
        </w:tabs>
        <w:spacing w:line="400" w:lineRule="exact"/>
        <w:ind w:left="420"/>
        <w:rPr>
          <w:noProof/>
          <w:color w:val="000000" w:themeColor="text1"/>
          <w:szCs w:val="24"/>
        </w:rPr>
      </w:pPr>
      <w:hyperlink w:anchor="_Toc492634900" w:history="1">
        <w:r w:rsidR="002C192D" w:rsidRPr="00687B52">
          <w:rPr>
            <w:rStyle w:val="ad"/>
            <w:rFonts w:hint="eastAsia"/>
            <w:noProof/>
            <w:color w:val="000000" w:themeColor="text1"/>
            <w:szCs w:val="24"/>
          </w:rPr>
          <w:t>表</w:t>
        </w:r>
        <w:r w:rsidR="002C192D" w:rsidRPr="00687B52">
          <w:rPr>
            <w:rStyle w:val="ad"/>
            <w:noProof/>
            <w:color w:val="000000" w:themeColor="text1"/>
            <w:szCs w:val="24"/>
          </w:rPr>
          <w:t xml:space="preserve">2-9 </w:t>
        </w:r>
        <w:r w:rsidR="002C192D" w:rsidRPr="00687B52">
          <w:rPr>
            <w:rStyle w:val="ad"/>
            <w:rFonts w:hint="eastAsia"/>
            <w:noProof/>
            <w:color w:val="000000" w:themeColor="text1"/>
            <w:szCs w:val="24"/>
          </w:rPr>
          <w:t>危险化学品生产、使用企业专业检查表（其他）</w:t>
        </w:r>
        <w:r w:rsidR="002C192D" w:rsidRPr="00687B52">
          <w:rPr>
            <w:noProof/>
            <w:webHidden/>
            <w:color w:val="000000" w:themeColor="text1"/>
            <w:szCs w:val="24"/>
          </w:rPr>
          <w:tab/>
        </w:r>
        <w:r w:rsidR="003912E3" w:rsidRPr="00687B52">
          <w:rPr>
            <w:noProof/>
            <w:webHidden/>
            <w:color w:val="000000" w:themeColor="text1"/>
            <w:szCs w:val="24"/>
          </w:rPr>
          <w:fldChar w:fldCharType="begin"/>
        </w:r>
        <w:r w:rsidR="002C192D" w:rsidRPr="00687B52">
          <w:rPr>
            <w:noProof/>
            <w:webHidden/>
            <w:color w:val="000000" w:themeColor="text1"/>
            <w:szCs w:val="24"/>
          </w:rPr>
          <w:instrText xml:space="preserve"> PAGEREF _Toc492634900 \h </w:instrText>
        </w:r>
        <w:r w:rsidR="003912E3" w:rsidRPr="00687B52">
          <w:rPr>
            <w:noProof/>
            <w:webHidden/>
            <w:color w:val="000000" w:themeColor="text1"/>
            <w:szCs w:val="24"/>
          </w:rPr>
        </w:r>
        <w:r w:rsidR="003912E3" w:rsidRPr="00687B52">
          <w:rPr>
            <w:noProof/>
            <w:webHidden/>
            <w:color w:val="000000" w:themeColor="text1"/>
            <w:szCs w:val="24"/>
          </w:rPr>
          <w:fldChar w:fldCharType="separate"/>
        </w:r>
        <w:r w:rsidR="00687B52" w:rsidRPr="00687B52">
          <w:rPr>
            <w:noProof/>
            <w:webHidden/>
            <w:color w:val="000000" w:themeColor="text1"/>
            <w:szCs w:val="24"/>
          </w:rPr>
          <w:t>207</w:t>
        </w:r>
        <w:r w:rsidR="003912E3" w:rsidRPr="00687B52">
          <w:rPr>
            <w:noProof/>
            <w:webHidden/>
            <w:color w:val="000000" w:themeColor="text1"/>
            <w:szCs w:val="24"/>
          </w:rPr>
          <w:fldChar w:fldCharType="end"/>
        </w:r>
      </w:hyperlink>
    </w:p>
    <w:p w:rsidR="002C192D" w:rsidRPr="00687B52" w:rsidRDefault="00F54DF7" w:rsidP="002C192D">
      <w:pPr>
        <w:pStyle w:val="22"/>
        <w:tabs>
          <w:tab w:val="right" w:leader="dot" w:pos="8296"/>
        </w:tabs>
        <w:spacing w:line="400" w:lineRule="exact"/>
        <w:ind w:leftChars="95" w:left="199"/>
        <w:rPr>
          <w:noProof/>
          <w:color w:val="000000" w:themeColor="text1"/>
          <w:szCs w:val="24"/>
        </w:rPr>
      </w:pPr>
      <w:hyperlink w:anchor="_Toc492634901" w:history="1">
        <w:r w:rsidR="002C192D" w:rsidRPr="00687B52">
          <w:rPr>
            <w:rStyle w:val="ad"/>
            <w:noProof/>
            <w:color w:val="000000" w:themeColor="text1"/>
            <w:szCs w:val="24"/>
          </w:rPr>
          <w:t>4.3</w:t>
        </w:r>
        <w:r w:rsidR="002C192D" w:rsidRPr="00687B52">
          <w:rPr>
            <w:rStyle w:val="ad"/>
            <w:rFonts w:hint="eastAsia"/>
            <w:noProof/>
            <w:color w:val="000000" w:themeColor="text1"/>
            <w:szCs w:val="24"/>
          </w:rPr>
          <w:t>危险化学品储存、经营企业专业检查表</w:t>
        </w:r>
        <w:r w:rsidR="002C192D" w:rsidRPr="00687B52">
          <w:rPr>
            <w:noProof/>
            <w:webHidden/>
            <w:color w:val="000000" w:themeColor="text1"/>
            <w:szCs w:val="24"/>
          </w:rPr>
          <w:tab/>
        </w:r>
        <w:r w:rsidR="003912E3" w:rsidRPr="00687B52">
          <w:rPr>
            <w:noProof/>
            <w:webHidden/>
            <w:color w:val="000000" w:themeColor="text1"/>
            <w:szCs w:val="24"/>
          </w:rPr>
          <w:fldChar w:fldCharType="begin"/>
        </w:r>
        <w:r w:rsidR="002C192D" w:rsidRPr="00687B52">
          <w:rPr>
            <w:noProof/>
            <w:webHidden/>
            <w:color w:val="000000" w:themeColor="text1"/>
            <w:szCs w:val="24"/>
          </w:rPr>
          <w:instrText xml:space="preserve"> PAGEREF _Toc492634901 \h </w:instrText>
        </w:r>
        <w:r w:rsidR="003912E3" w:rsidRPr="00687B52">
          <w:rPr>
            <w:noProof/>
            <w:webHidden/>
            <w:color w:val="000000" w:themeColor="text1"/>
            <w:szCs w:val="24"/>
          </w:rPr>
        </w:r>
        <w:r w:rsidR="003912E3" w:rsidRPr="00687B52">
          <w:rPr>
            <w:noProof/>
            <w:webHidden/>
            <w:color w:val="000000" w:themeColor="text1"/>
            <w:szCs w:val="24"/>
          </w:rPr>
          <w:fldChar w:fldCharType="separate"/>
        </w:r>
        <w:r w:rsidR="00687B52" w:rsidRPr="00687B52">
          <w:rPr>
            <w:noProof/>
            <w:webHidden/>
            <w:color w:val="000000" w:themeColor="text1"/>
            <w:szCs w:val="24"/>
          </w:rPr>
          <w:t>230</w:t>
        </w:r>
        <w:r w:rsidR="003912E3" w:rsidRPr="00687B52">
          <w:rPr>
            <w:noProof/>
            <w:webHidden/>
            <w:color w:val="000000" w:themeColor="text1"/>
            <w:szCs w:val="24"/>
          </w:rPr>
          <w:fldChar w:fldCharType="end"/>
        </w:r>
      </w:hyperlink>
    </w:p>
    <w:p w:rsidR="002C192D" w:rsidRPr="00687B52" w:rsidRDefault="00F54DF7" w:rsidP="002C192D">
      <w:pPr>
        <w:pStyle w:val="30"/>
        <w:tabs>
          <w:tab w:val="right" w:leader="dot" w:pos="8296"/>
        </w:tabs>
        <w:spacing w:line="400" w:lineRule="exact"/>
        <w:ind w:left="420"/>
        <w:rPr>
          <w:noProof/>
          <w:color w:val="000000" w:themeColor="text1"/>
          <w:szCs w:val="24"/>
        </w:rPr>
      </w:pPr>
      <w:hyperlink w:anchor="_Toc492634902" w:history="1">
        <w:r w:rsidR="002C192D" w:rsidRPr="00687B52">
          <w:rPr>
            <w:rStyle w:val="ad"/>
            <w:rFonts w:hint="eastAsia"/>
            <w:noProof/>
            <w:color w:val="000000" w:themeColor="text1"/>
            <w:szCs w:val="24"/>
          </w:rPr>
          <w:t>表</w:t>
        </w:r>
        <w:r w:rsidR="002C192D" w:rsidRPr="00687B52">
          <w:rPr>
            <w:rStyle w:val="ad"/>
            <w:noProof/>
            <w:color w:val="000000" w:themeColor="text1"/>
            <w:szCs w:val="24"/>
          </w:rPr>
          <w:t xml:space="preserve">3-1 </w:t>
        </w:r>
        <w:r w:rsidR="002C192D" w:rsidRPr="00687B52">
          <w:rPr>
            <w:rStyle w:val="ad"/>
            <w:rFonts w:hint="eastAsia"/>
            <w:noProof/>
            <w:color w:val="000000" w:themeColor="text1"/>
            <w:szCs w:val="24"/>
          </w:rPr>
          <w:t>危险化学品储存、经营企业专业检查表（加油站）</w:t>
        </w:r>
        <w:r w:rsidR="002C192D" w:rsidRPr="00687B52">
          <w:rPr>
            <w:noProof/>
            <w:webHidden/>
            <w:color w:val="000000" w:themeColor="text1"/>
            <w:szCs w:val="24"/>
          </w:rPr>
          <w:tab/>
        </w:r>
        <w:r w:rsidR="003912E3" w:rsidRPr="00687B52">
          <w:rPr>
            <w:noProof/>
            <w:webHidden/>
            <w:color w:val="000000" w:themeColor="text1"/>
            <w:szCs w:val="24"/>
          </w:rPr>
          <w:fldChar w:fldCharType="begin"/>
        </w:r>
        <w:r w:rsidR="002C192D" w:rsidRPr="00687B52">
          <w:rPr>
            <w:noProof/>
            <w:webHidden/>
            <w:color w:val="000000" w:themeColor="text1"/>
            <w:szCs w:val="24"/>
          </w:rPr>
          <w:instrText xml:space="preserve"> PAGEREF _Toc492634902 \h </w:instrText>
        </w:r>
        <w:r w:rsidR="003912E3" w:rsidRPr="00687B52">
          <w:rPr>
            <w:noProof/>
            <w:webHidden/>
            <w:color w:val="000000" w:themeColor="text1"/>
            <w:szCs w:val="24"/>
          </w:rPr>
        </w:r>
        <w:r w:rsidR="003912E3" w:rsidRPr="00687B52">
          <w:rPr>
            <w:noProof/>
            <w:webHidden/>
            <w:color w:val="000000" w:themeColor="text1"/>
            <w:szCs w:val="24"/>
          </w:rPr>
          <w:fldChar w:fldCharType="separate"/>
        </w:r>
        <w:r w:rsidR="00687B52" w:rsidRPr="00687B52">
          <w:rPr>
            <w:noProof/>
            <w:webHidden/>
            <w:color w:val="000000" w:themeColor="text1"/>
            <w:szCs w:val="24"/>
          </w:rPr>
          <w:t>230</w:t>
        </w:r>
        <w:r w:rsidR="003912E3" w:rsidRPr="00687B52">
          <w:rPr>
            <w:noProof/>
            <w:webHidden/>
            <w:color w:val="000000" w:themeColor="text1"/>
            <w:szCs w:val="24"/>
          </w:rPr>
          <w:fldChar w:fldCharType="end"/>
        </w:r>
      </w:hyperlink>
    </w:p>
    <w:p w:rsidR="002C192D" w:rsidRPr="00687B52" w:rsidRDefault="00F54DF7" w:rsidP="002C192D">
      <w:pPr>
        <w:pStyle w:val="30"/>
        <w:tabs>
          <w:tab w:val="right" w:leader="dot" w:pos="8296"/>
        </w:tabs>
        <w:spacing w:line="400" w:lineRule="exact"/>
        <w:ind w:left="420"/>
        <w:rPr>
          <w:noProof/>
          <w:color w:val="000000" w:themeColor="text1"/>
          <w:szCs w:val="24"/>
        </w:rPr>
      </w:pPr>
      <w:hyperlink w:anchor="_Toc492634903" w:history="1">
        <w:r w:rsidR="002C192D" w:rsidRPr="00687B52">
          <w:rPr>
            <w:rStyle w:val="ad"/>
            <w:rFonts w:hint="eastAsia"/>
            <w:noProof/>
            <w:color w:val="000000" w:themeColor="text1"/>
            <w:szCs w:val="24"/>
          </w:rPr>
          <w:t>表</w:t>
        </w:r>
        <w:r w:rsidR="002C192D" w:rsidRPr="00687B52">
          <w:rPr>
            <w:rStyle w:val="ad"/>
            <w:noProof/>
            <w:color w:val="000000" w:themeColor="text1"/>
            <w:szCs w:val="24"/>
          </w:rPr>
          <w:t xml:space="preserve">3-2 </w:t>
        </w:r>
        <w:r w:rsidR="002C192D" w:rsidRPr="00687B52">
          <w:rPr>
            <w:rStyle w:val="ad"/>
            <w:rFonts w:hint="eastAsia"/>
            <w:noProof/>
            <w:color w:val="000000" w:themeColor="text1"/>
            <w:szCs w:val="24"/>
          </w:rPr>
          <w:t>危险化学品储存、经营企业专业检查表（危险化学品仓库）</w:t>
        </w:r>
        <w:r w:rsidR="002C192D" w:rsidRPr="00687B52">
          <w:rPr>
            <w:noProof/>
            <w:webHidden/>
            <w:color w:val="000000" w:themeColor="text1"/>
            <w:szCs w:val="24"/>
          </w:rPr>
          <w:tab/>
        </w:r>
        <w:r w:rsidR="003912E3" w:rsidRPr="00687B52">
          <w:rPr>
            <w:noProof/>
            <w:webHidden/>
            <w:color w:val="000000" w:themeColor="text1"/>
            <w:szCs w:val="24"/>
          </w:rPr>
          <w:fldChar w:fldCharType="begin"/>
        </w:r>
        <w:r w:rsidR="002C192D" w:rsidRPr="00687B52">
          <w:rPr>
            <w:noProof/>
            <w:webHidden/>
            <w:color w:val="000000" w:themeColor="text1"/>
            <w:szCs w:val="24"/>
          </w:rPr>
          <w:instrText xml:space="preserve"> PAGEREF _Toc492634903 \h </w:instrText>
        </w:r>
        <w:r w:rsidR="003912E3" w:rsidRPr="00687B52">
          <w:rPr>
            <w:noProof/>
            <w:webHidden/>
            <w:color w:val="000000" w:themeColor="text1"/>
            <w:szCs w:val="24"/>
          </w:rPr>
        </w:r>
        <w:r w:rsidR="003912E3" w:rsidRPr="00687B52">
          <w:rPr>
            <w:noProof/>
            <w:webHidden/>
            <w:color w:val="000000" w:themeColor="text1"/>
            <w:szCs w:val="24"/>
          </w:rPr>
          <w:fldChar w:fldCharType="separate"/>
        </w:r>
        <w:r w:rsidR="00687B52" w:rsidRPr="00687B52">
          <w:rPr>
            <w:noProof/>
            <w:webHidden/>
            <w:color w:val="000000" w:themeColor="text1"/>
            <w:szCs w:val="24"/>
          </w:rPr>
          <w:t>249</w:t>
        </w:r>
        <w:r w:rsidR="003912E3" w:rsidRPr="00687B52">
          <w:rPr>
            <w:noProof/>
            <w:webHidden/>
            <w:color w:val="000000" w:themeColor="text1"/>
            <w:szCs w:val="24"/>
          </w:rPr>
          <w:fldChar w:fldCharType="end"/>
        </w:r>
      </w:hyperlink>
    </w:p>
    <w:p w:rsidR="002C192D" w:rsidRPr="00687B52" w:rsidRDefault="00F54DF7" w:rsidP="002C192D">
      <w:pPr>
        <w:pStyle w:val="30"/>
        <w:tabs>
          <w:tab w:val="right" w:leader="dot" w:pos="8296"/>
        </w:tabs>
        <w:spacing w:line="400" w:lineRule="exact"/>
        <w:ind w:left="420"/>
        <w:rPr>
          <w:noProof/>
          <w:color w:val="000000" w:themeColor="text1"/>
          <w:szCs w:val="24"/>
        </w:rPr>
      </w:pPr>
      <w:hyperlink w:anchor="_Toc492634904" w:history="1">
        <w:r w:rsidR="002C192D" w:rsidRPr="00687B52">
          <w:rPr>
            <w:rStyle w:val="ad"/>
            <w:rFonts w:hint="eastAsia"/>
            <w:noProof/>
            <w:color w:val="000000" w:themeColor="text1"/>
            <w:szCs w:val="24"/>
          </w:rPr>
          <w:t>表</w:t>
        </w:r>
        <w:r w:rsidR="002C192D" w:rsidRPr="00687B52">
          <w:rPr>
            <w:rStyle w:val="ad"/>
            <w:noProof/>
            <w:color w:val="000000" w:themeColor="text1"/>
            <w:szCs w:val="24"/>
          </w:rPr>
          <w:t xml:space="preserve">3-3 </w:t>
        </w:r>
        <w:r w:rsidR="002C192D" w:rsidRPr="00687B52">
          <w:rPr>
            <w:rStyle w:val="ad"/>
            <w:rFonts w:hint="eastAsia"/>
            <w:noProof/>
            <w:color w:val="000000" w:themeColor="text1"/>
            <w:szCs w:val="24"/>
          </w:rPr>
          <w:t>危险化学品储存、经营企业专业检查表（油库）</w:t>
        </w:r>
        <w:r w:rsidR="002C192D" w:rsidRPr="00687B52">
          <w:rPr>
            <w:noProof/>
            <w:webHidden/>
            <w:color w:val="000000" w:themeColor="text1"/>
            <w:szCs w:val="24"/>
          </w:rPr>
          <w:tab/>
        </w:r>
        <w:r w:rsidR="003912E3" w:rsidRPr="00687B52">
          <w:rPr>
            <w:noProof/>
            <w:webHidden/>
            <w:color w:val="000000" w:themeColor="text1"/>
            <w:szCs w:val="24"/>
          </w:rPr>
          <w:fldChar w:fldCharType="begin"/>
        </w:r>
        <w:r w:rsidR="002C192D" w:rsidRPr="00687B52">
          <w:rPr>
            <w:noProof/>
            <w:webHidden/>
            <w:color w:val="000000" w:themeColor="text1"/>
            <w:szCs w:val="24"/>
          </w:rPr>
          <w:instrText xml:space="preserve"> PAGEREF _Toc492634904 \h </w:instrText>
        </w:r>
        <w:r w:rsidR="003912E3" w:rsidRPr="00687B52">
          <w:rPr>
            <w:noProof/>
            <w:webHidden/>
            <w:color w:val="000000" w:themeColor="text1"/>
            <w:szCs w:val="24"/>
          </w:rPr>
        </w:r>
        <w:r w:rsidR="003912E3" w:rsidRPr="00687B52">
          <w:rPr>
            <w:noProof/>
            <w:webHidden/>
            <w:color w:val="000000" w:themeColor="text1"/>
            <w:szCs w:val="24"/>
          </w:rPr>
          <w:fldChar w:fldCharType="separate"/>
        </w:r>
        <w:r w:rsidR="00687B52" w:rsidRPr="00687B52">
          <w:rPr>
            <w:noProof/>
            <w:webHidden/>
            <w:color w:val="000000" w:themeColor="text1"/>
            <w:szCs w:val="24"/>
          </w:rPr>
          <w:t>263</w:t>
        </w:r>
        <w:r w:rsidR="003912E3" w:rsidRPr="00687B52">
          <w:rPr>
            <w:noProof/>
            <w:webHidden/>
            <w:color w:val="000000" w:themeColor="text1"/>
            <w:szCs w:val="24"/>
          </w:rPr>
          <w:fldChar w:fldCharType="end"/>
        </w:r>
      </w:hyperlink>
    </w:p>
    <w:p w:rsidR="002C192D" w:rsidRPr="00687B52" w:rsidRDefault="00F54DF7" w:rsidP="002C192D">
      <w:pPr>
        <w:pStyle w:val="30"/>
        <w:tabs>
          <w:tab w:val="right" w:leader="dot" w:pos="8296"/>
        </w:tabs>
        <w:spacing w:line="400" w:lineRule="exact"/>
        <w:ind w:left="420"/>
        <w:rPr>
          <w:noProof/>
          <w:color w:val="000000" w:themeColor="text1"/>
          <w:szCs w:val="24"/>
        </w:rPr>
      </w:pPr>
      <w:hyperlink w:anchor="_Toc492634905" w:history="1">
        <w:r w:rsidR="002C192D" w:rsidRPr="00687B52">
          <w:rPr>
            <w:rStyle w:val="ad"/>
            <w:rFonts w:hint="eastAsia"/>
            <w:noProof/>
            <w:color w:val="000000" w:themeColor="text1"/>
            <w:szCs w:val="24"/>
          </w:rPr>
          <w:t>表</w:t>
        </w:r>
        <w:r w:rsidR="002C192D" w:rsidRPr="00687B52">
          <w:rPr>
            <w:rStyle w:val="ad"/>
            <w:noProof/>
            <w:color w:val="000000" w:themeColor="text1"/>
            <w:szCs w:val="24"/>
          </w:rPr>
          <w:t xml:space="preserve">3-4 </w:t>
        </w:r>
        <w:r w:rsidR="002C192D" w:rsidRPr="00687B52">
          <w:rPr>
            <w:rStyle w:val="ad"/>
            <w:rFonts w:hint="eastAsia"/>
            <w:noProof/>
            <w:color w:val="000000" w:themeColor="text1"/>
            <w:szCs w:val="24"/>
          </w:rPr>
          <w:t>危险化学品储存、经营企业专业检查表（储罐区）</w:t>
        </w:r>
        <w:r w:rsidR="002C192D" w:rsidRPr="00687B52">
          <w:rPr>
            <w:noProof/>
            <w:webHidden/>
            <w:color w:val="000000" w:themeColor="text1"/>
            <w:szCs w:val="24"/>
          </w:rPr>
          <w:tab/>
        </w:r>
        <w:r w:rsidR="003912E3" w:rsidRPr="00687B52">
          <w:rPr>
            <w:noProof/>
            <w:webHidden/>
            <w:color w:val="000000" w:themeColor="text1"/>
            <w:szCs w:val="24"/>
          </w:rPr>
          <w:fldChar w:fldCharType="begin"/>
        </w:r>
        <w:r w:rsidR="002C192D" w:rsidRPr="00687B52">
          <w:rPr>
            <w:noProof/>
            <w:webHidden/>
            <w:color w:val="000000" w:themeColor="text1"/>
            <w:szCs w:val="24"/>
          </w:rPr>
          <w:instrText xml:space="preserve"> PAGEREF _Toc492634905 \h </w:instrText>
        </w:r>
        <w:r w:rsidR="003912E3" w:rsidRPr="00687B52">
          <w:rPr>
            <w:noProof/>
            <w:webHidden/>
            <w:color w:val="000000" w:themeColor="text1"/>
            <w:szCs w:val="24"/>
          </w:rPr>
        </w:r>
        <w:r w:rsidR="003912E3" w:rsidRPr="00687B52">
          <w:rPr>
            <w:noProof/>
            <w:webHidden/>
            <w:color w:val="000000" w:themeColor="text1"/>
            <w:szCs w:val="24"/>
          </w:rPr>
          <w:fldChar w:fldCharType="separate"/>
        </w:r>
        <w:r w:rsidR="00687B52" w:rsidRPr="00687B52">
          <w:rPr>
            <w:noProof/>
            <w:webHidden/>
            <w:color w:val="000000" w:themeColor="text1"/>
            <w:szCs w:val="24"/>
          </w:rPr>
          <w:t>286</w:t>
        </w:r>
        <w:r w:rsidR="003912E3" w:rsidRPr="00687B52">
          <w:rPr>
            <w:noProof/>
            <w:webHidden/>
            <w:color w:val="000000" w:themeColor="text1"/>
            <w:szCs w:val="24"/>
          </w:rPr>
          <w:fldChar w:fldCharType="end"/>
        </w:r>
      </w:hyperlink>
    </w:p>
    <w:p w:rsidR="002C192D" w:rsidRPr="00687B52" w:rsidRDefault="00F54DF7" w:rsidP="002C192D">
      <w:pPr>
        <w:pStyle w:val="30"/>
        <w:tabs>
          <w:tab w:val="right" w:leader="dot" w:pos="8296"/>
        </w:tabs>
        <w:spacing w:line="400" w:lineRule="exact"/>
        <w:ind w:left="420"/>
        <w:rPr>
          <w:noProof/>
          <w:color w:val="000000" w:themeColor="text1"/>
          <w:szCs w:val="24"/>
        </w:rPr>
      </w:pPr>
      <w:hyperlink w:anchor="_Toc492634906" w:history="1">
        <w:r w:rsidR="002C192D" w:rsidRPr="00687B52">
          <w:rPr>
            <w:rStyle w:val="ad"/>
            <w:rFonts w:hint="eastAsia"/>
            <w:noProof/>
            <w:color w:val="000000" w:themeColor="text1"/>
            <w:szCs w:val="24"/>
          </w:rPr>
          <w:t>表</w:t>
        </w:r>
        <w:r w:rsidR="002C192D" w:rsidRPr="00687B52">
          <w:rPr>
            <w:rStyle w:val="ad"/>
            <w:noProof/>
            <w:color w:val="000000" w:themeColor="text1"/>
            <w:szCs w:val="24"/>
          </w:rPr>
          <w:t xml:space="preserve">3-5 </w:t>
        </w:r>
        <w:r w:rsidR="002C192D" w:rsidRPr="00687B52">
          <w:rPr>
            <w:rStyle w:val="ad"/>
            <w:rFonts w:hint="eastAsia"/>
            <w:noProof/>
            <w:color w:val="000000" w:themeColor="text1"/>
            <w:szCs w:val="24"/>
          </w:rPr>
          <w:t>危险化学品储存、经营企业专业检查表（长输管线）</w:t>
        </w:r>
        <w:r w:rsidR="002C192D" w:rsidRPr="00687B52">
          <w:rPr>
            <w:noProof/>
            <w:webHidden/>
            <w:color w:val="000000" w:themeColor="text1"/>
            <w:szCs w:val="24"/>
          </w:rPr>
          <w:tab/>
        </w:r>
        <w:r w:rsidR="003912E3" w:rsidRPr="00687B52">
          <w:rPr>
            <w:noProof/>
            <w:webHidden/>
            <w:color w:val="000000" w:themeColor="text1"/>
            <w:szCs w:val="24"/>
          </w:rPr>
          <w:fldChar w:fldCharType="begin"/>
        </w:r>
        <w:r w:rsidR="002C192D" w:rsidRPr="00687B52">
          <w:rPr>
            <w:noProof/>
            <w:webHidden/>
            <w:color w:val="000000" w:themeColor="text1"/>
            <w:szCs w:val="24"/>
          </w:rPr>
          <w:instrText xml:space="preserve"> PAGEREF _Toc492634906 \h </w:instrText>
        </w:r>
        <w:r w:rsidR="003912E3" w:rsidRPr="00687B52">
          <w:rPr>
            <w:noProof/>
            <w:webHidden/>
            <w:color w:val="000000" w:themeColor="text1"/>
            <w:szCs w:val="24"/>
          </w:rPr>
        </w:r>
        <w:r w:rsidR="003912E3" w:rsidRPr="00687B52">
          <w:rPr>
            <w:noProof/>
            <w:webHidden/>
            <w:color w:val="000000" w:themeColor="text1"/>
            <w:szCs w:val="24"/>
          </w:rPr>
          <w:fldChar w:fldCharType="separate"/>
        </w:r>
        <w:r w:rsidR="00687B52" w:rsidRPr="00687B52">
          <w:rPr>
            <w:noProof/>
            <w:webHidden/>
            <w:color w:val="000000" w:themeColor="text1"/>
            <w:szCs w:val="24"/>
          </w:rPr>
          <w:t>298</w:t>
        </w:r>
        <w:r w:rsidR="003912E3" w:rsidRPr="00687B52">
          <w:rPr>
            <w:noProof/>
            <w:webHidden/>
            <w:color w:val="000000" w:themeColor="text1"/>
            <w:szCs w:val="24"/>
          </w:rPr>
          <w:fldChar w:fldCharType="end"/>
        </w:r>
      </w:hyperlink>
    </w:p>
    <w:p w:rsidR="002C192D" w:rsidRPr="00687B52" w:rsidRDefault="00F54DF7" w:rsidP="002C192D">
      <w:pPr>
        <w:pStyle w:val="30"/>
        <w:tabs>
          <w:tab w:val="right" w:leader="dot" w:pos="8296"/>
        </w:tabs>
        <w:spacing w:line="400" w:lineRule="exact"/>
        <w:ind w:left="420"/>
        <w:rPr>
          <w:noProof/>
          <w:color w:val="000000" w:themeColor="text1"/>
          <w:szCs w:val="24"/>
        </w:rPr>
      </w:pPr>
      <w:hyperlink w:anchor="_Toc492634907" w:history="1">
        <w:r w:rsidR="002C192D" w:rsidRPr="00687B52">
          <w:rPr>
            <w:rStyle w:val="ad"/>
            <w:rFonts w:hint="eastAsia"/>
            <w:noProof/>
            <w:color w:val="000000" w:themeColor="text1"/>
            <w:szCs w:val="24"/>
          </w:rPr>
          <w:t>表</w:t>
        </w:r>
        <w:r w:rsidR="002C192D" w:rsidRPr="00687B52">
          <w:rPr>
            <w:rStyle w:val="ad"/>
            <w:noProof/>
            <w:color w:val="000000" w:themeColor="text1"/>
            <w:szCs w:val="24"/>
          </w:rPr>
          <w:t>3-6.1</w:t>
        </w:r>
        <w:r w:rsidR="002C192D" w:rsidRPr="00687B52">
          <w:rPr>
            <w:rStyle w:val="ad"/>
            <w:rFonts w:hint="eastAsia"/>
            <w:noProof/>
            <w:color w:val="000000" w:themeColor="text1"/>
            <w:szCs w:val="24"/>
          </w:rPr>
          <w:t>危险化学品储存、经营企业专业检查表</w:t>
        </w:r>
        <w:r w:rsidR="0019589A" w:rsidRPr="00687B52">
          <w:rPr>
            <w:rStyle w:val="ad"/>
            <w:rFonts w:hint="eastAsia"/>
            <w:noProof/>
            <w:color w:val="000000" w:themeColor="text1"/>
            <w:szCs w:val="24"/>
          </w:rPr>
          <w:t>（</w:t>
        </w:r>
        <w:r w:rsidR="002C192D" w:rsidRPr="00687B52">
          <w:rPr>
            <w:rStyle w:val="ad"/>
            <w:rFonts w:hint="eastAsia"/>
            <w:noProof/>
            <w:color w:val="000000" w:themeColor="text1"/>
            <w:szCs w:val="24"/>
          </w:rPr>
          <w:t>气体充装</w:t>
        </w:r>
        <w:r w:rsidR="0019589A" w:rsidRPr="00687B52">
          <w:rPr>
            <w:rStyle w:val="ad"/>
            <w:rFonts w:hint="eastAsia"/>
            <w:noProof/>
            <w:color w:val="000000" w:themeColor="text1"/>
            <w:szCs w:val="24"/>
          </w:rPr>
          <w:t>—</w:t>
        </w:r>
        <w:r w:rsidR="002C192D" w:rsidRPr="00687B52">
          <w:rPr>
            <w:rStyle w:val="ad"/>
            <w:rFonts w:hint="eastAsia"/>
            <w:noProof/>
            <w:color w:val="000000" w:themeColor="text1"/>
            <w:szCs w:val="24"/>
          </w:rPr>
          <w:t>氧、氮、氩等）</w:t>
        </w:r>
        <w:r w:rsidR="002C192D" w:rsidRPr="00687B52">
          <w:rPr>
            <w:noProof/>
            <w:webHidden/>
            <w:color w:val="000000" w:themeColor="text1"/>
            <w:szCs w:val="24"/>
          </w:rPr>
          <w:tab/>
        </w:r>
        <w:r w:rsidR="003912E3" w:rsidRPr="00687B52">
          <w:rPr>
            <w:noProof/>
            <w:webHidden/>
            <w:color w:val="000000" w:themeColor="text1"/>
            <w:szCs w:val="24"/>
          </w:rPr>
          <w:fldChar w:fldCharType="begin"/>
        </w:r>
        <w:r w:rsidR="002C192D" w:rsidRPr="00687B52">
          <w:rPr>
            <w:noProof/>
            <w:webHidden/>
            <w:color w:val="000000" w:themeColor="text1"/>
            <w:szCs w:val="24"/>
          </w:rPr>
          <w:instrText xml:space="preserve"> PAGEREF _Toc492634907 \h </w:instrText>
        </w:r>
        <w:r w:rsidR="003912E3" w:rsidRPr="00687B52">
          <w:rPr>
            <w:noProof/>
            <w:webHidden/>
            <w:color w:val="000000" w:themeColor="text1"/>
            <w:szCs w:val="24"/>
          </w:rPr>
        </w:r>
        <w:r w:rsidR="003912E3" w:rsidRPr="00687B52">
          <w:rPr>
            <w:noProof/>
            <w:webHidden/>
            <w:color w:val="000000" w:themeColor="text1"/>
            <w:szCs w:val="24"/>
          </w:rPr>
          <w:fldChar w:fldCharType="separate"/>
        </w:r>
        <w:r w:rsidR="00687B52" w:rsidRPr="00687B52">
          <w:rPr>
            <w:noProof/>
            <w:webHidden/>
            <w:color w:val="000000" w:themeColor="text1"/>
            <w:szCs w:val="24"/>
          </w:rPr>
          <w:t>374</w:t>
        </w:r>
        <w:r w:rsidR="003912E3" w:rsidRPr="00687B52">
          <w:rPr>
            <w:noProof/>
            <w:webHidden/>
            <w:color w:val="000000" w:themeColor="text1"/>
            <w:szCs w:val="24"/>
          </w:rPr>
          <w:fldChar w:fldCharType="end"/>
        </w:r>
      </w:hyperlink>
    </w:p>
    <w:p w:rsidR="002C192D" w:rsidRPr="00687B52" w:rsidRDefault="00F54DF7" w:rsidP="002C192D">
      <w:pPr>
        <w:pStyle w:val="30"/>
        <w:tabs>
          <w:tab w:val="right" w:leader="dot" w:pos="8296"/>
        </w:tabs>
        <w:spacing w:line="400" w:lineRule="exact"/>
        <w:ind w:left="420"/>
        <w:rPr>
          <w:noProof/>
          <w:color w:val="000000" w:themeColor="text1"/>
          <w:szCs w:val="24"/>
        </w:rPr>
      </w:pPr>
      <w:hyperlink w:anchor="_Toc492634908" w:history="1">
        <w:r w:rsidR="002C192D" w:rsidRPr="00687B52">
          <w:rPr>
            <w:rStyle w:val="ad"/>
            <w:rFonts w:hint="eastAsia"/>
            <w:noProof/>
            <w:color w:val="000000" w:themeColor="text1"/>
            <w:szCs w:val="24"/>
          </w:rPr>
          <w:t>表</w:t>
        </w:r>
        <w:r w:rsidR="002C192D" w:rsidRPr="00687B52">
          <w:rPr>
            <w:rStyle w:val="ad"/>
            <w:noProof/>
            <w:color w:val="000000" w:themeColor="text1"/>
            <w:szCs w:val="24"/>
          </w:rPr>
          <w:t>3-6.2</w:t>
        </w:r>
        <w:r w:rsidR="002C192D" w:rsidRPr="00687B52">
          <w:rPr>
            <w:rStyle w:val="ad"/>
            <w:rFonts w:hint="eastAsia"/>
            <w:noProof/>
            <w:color w:val="000000" w:themeColor="text1"/>
            <w:szCs w:val="24"/>
          </w:rPr>
          <w:t>危险化学品储存、经营企业专业检查表（气体充装—氢气）</w:t>
        </w:r>
        <w:r w:rsidR="002C192D" w:rsidRPr="00687B52">
          <w:rPr>
            <w:noProof/>
            <w:webHidden/>
            <w:color w:val="000000" w:themeColor="text1"/>
            <w:szCs w:val="24"/>
          </w:rPr>
          <w:tab/>
        </w:r>
        <w:r w:rsidR="003912E3" w:rsidRPr="00687B52">
          <w:rPr>
            <w:noProof/>
            <w:webHidden/>
            <w:color w:val="000000" w:themeColor="text1"/>
            <w:szCs w:val="24"/>
          </w:rPr>
          <w:fldChar w:fldCharType="begin"/>
        </w:r>
        <w:r w:rsidR="002C192D" w:rsidRPr="00687B52">
          <w:rPr>
            <w:noProof/>
            <w:webHidden/>
            <w:color w:val="000000" w:themeColor="text1"/>
            <w:szCs w:val="24"/>
          </w:rPr>
          <w:instrText xml:space="preserve"> PAGEREF _Toc492634908 \h </w:instrText>
        </w:r>
        <w:r w:rsidR="003912E3" w:rsidRPr="00687B52">
          <w:rPr>
            <w:noProof/>
            <w:webHidden/>
            <w:color w:val="000000" w:themeColor="text1"/>
            <w:szCs w:val="24"/>
          </w:rPr>
        </w:r>
        <w:r w:rsidR="003912E3" w:rsidRPr="00687B52">
          <w:rPr>
            <w:noProof/>
            <w:webHidden/>
            <w:color w:val="000000" w:themeColor="text1"/>
            <w:szCs w:val="24"/>
          </w:rPr>
          <w:fldChar w:fldCharType="separate"/>
        </w:r>
        <w:r w:rsidR="00687B52" w:rsidRPr="00687B52">
          <w:rPr>
            <w:noProof/>
            <w:webHidden/>
            <w:color w:val="000000" w:themeColor="text1"/>
            <w:szCs w:val="24"/>
          </w:rPr>
          <w:t>390</w:t>
        </w:r>
        <w:r w:rsidR="003912E3" w:rsidRPr="00687B52">
          <w:rPr>
            <w:noProof/>
            <w:webHidden/>
            <w:color w:val="000000" w:themeColor="text1"/>
            <w:szCs w:val="24"/>
          </w:rPr>
          <w:fldChar w:fldCharType="end"/>
        </w:r>
      </w:hyperlink>
    </w:p>
    <w:p w:rsidR="002C192D" w:rsidRPr="00687B52" w:rsidRDefault="00F54DF7" w:rsidP="002C192D">
      <w:pPr>
        <w:pStyle w:val="22"/>
        <w:tabs>
          <w:tab w:val="right" w:leader="dot" w:pos="8296"/>
        </w:tabs>
        <w:spacing w:line="400" w:lineRule="exact"/>
        <w:ind w:leftChars="95" w:left="199"/>
        <w:rPr>
          <w:noProof/>
          <w:color w:val="000000" w:themeColor="text1"/>
          <w:szCs w:val="24"/>
        </w:rPr>
      </w:pPr>
      <w:hyperlink w:anchor="_Toc492634909" w:history="1">
        <w:r w:rsidR="002C192D" w:rsidRPr="00687B52">
          <w:rPr>
            <w:rStyle w:val="ad"/>
            <w:noProof/>
            <w:color w:val="000000" w:themeColor="text1"/>
            <w:szCs w:val="24"/>
          </w:rPr>
          <w:t>4.4</w:t>
        </w:r>
        <w:r w:rsidR="002C192D" w:rsidRPr="00687B52">
          <w:rPr>
            <w:rStyle w:val="ad"/>
            <w:rFonts w:hint="eastAsia"/>
            <w:noProof/>
            <w:color w:val="000000" w:themeColor="text1"/>
            <w:szCs w:val="24"/>
          </w:rPr>
          <w:t>涉氯、涉氨及煤气站的企业专业检查表</w:t>
        </w:r>
        <w:r w:rsidR="002C192D" w:rsidRPr="00687B52">
          <w:rPr>
            <w:noProof/>
            <w:webHidden/>
            <w:color w:val="000000" w:themeColor="text1"/>
            <w:szCs w:val="24"/>
          </w:rPr>
          <w:tab/>
        </w:r>
        <w:r w:rsidR="003912E3" w:rsidRPr="00687B52">
          <w:rPr>
            <w:noProof/>
            <w:webHidden/>
            <w:color w:val="000000" w:themeColor="text1"/>
            <w:szCs w:val="24"/>
          </w:rPr>
          <w:fldChar w:fldCharType="begin"/>
        </w:r>
        <w:r w:rsidR="002C192D" w:rsidRPr="00687B52">
          <w:rPr>
            <w:noProof/>
            <w:webHidden/>
            <w:color w:val="000000" w:themeColor="text1"/>
            <w:szCs w:val="24"/>
          </w:rPr>
          <w:instrText xml:space="preserve"> PAGEREF _Toc492634909 \h </w:instrText>
        </w:r>
        <w:r w:rsidR="003912E3" w:rsidRPr="00687B52">
          <w:rPr>
            <w:noProof/>
            <w:webHidden/>
            <w:color w:val="000000" w:themeColor="text1"/>
            <w:szCs w:val="24"/>
          </w:rPr>
        </w:r>
        <w:r w:rsidR="003912E3" w:rsidRPr="00687B52">
          <w:rPr>
            <w:noProof/>
            <w:webHidden/>
            <w:color w:val="000000" w:themeColor="text1"/>
            <w:szCs w:val="24"/>
          </w:rPr>
          <w:fldChar w:fldCharType="separate"/>
        </w:r>
        <w:r w:rsidR="00687B52" w:rsidRPr="00687B52">
          <w:rPr>
            <w:noProof/>
            <w:webHidden/>
            <w:color w:val="000000" w:themeColor="text1"/>
            <w:szCs w:val="24"/>
          </w:rPr>
          <w:t>404</w:t>
        </w:r>
        <w:r w:rsidR="003912E3" w:rsidRPr="00687B52">
          <w:rPr>
            <w:noProof/>
            <w:webHidden/>
            <w:color w:val="000000" w:themeColor="text1"/>
            <w:szCs w:val="24"/>
          </w:rPr>
          <w:fldChar w:fldCharType="end"/>
        </w:r>
      </w:hyperlink>
    </w:p>
    <w:p w:rsidR="002C192D" w:rsidRPr="00687B52" w:rsidRDefault="00F54DF7" w:rsidP="002C192D">
      <w:pPr>
        <w:pStyle w:val="30"/>
        <w:tabs>
          <w:tab w:val="right" w:leader="dot" w:pos="8296"/>
        </w:tabs>
        <w:spacing w:line="400" w:lineRule="exact"/>
        <w:ind w:left="420"/>
        <w:rPr>
          <w:noProof/>
          <w:color w:val="000000" w:themeColor="text1"/>
          <w:szCs w:val="24"/>
        </w:rPr>
      </w:pPr>
      <w:hyperlink w:anchor="_Toc492634910" w:history="1">
        <w:r w:rsidR="002C192D" w:rsidRPr="00687B52">
          <w:rPr>
            <w:rStyle w:val="ad"/>
            <w:rFonts w:hint="eastAsia"/>
            <w:noProof/>
            <w:color w:val="000000" w:themeColor="text1"/>
            <w:szCs w:val="24"/>
          </w:rPr>
          <w:t>表</w:t>
        </w:r>
        <w:r w:rsidR="002C192D" w:rsidRPr="00687B52">
          <w:rPr>
            <w:rStyle w:val="ad"/>
            <w:noProof/>
            <w:color w:val="000000" w:themeColor="text1"/>
            <w:szCs w:val="24"/>
          </w:rPr>
          <w:t xml:space="preserve">4-1 </w:t>
        </w:r>
        <w:r w:rsidR="002C192D" w:rsidRPr="00687B52">
          <w:rPr>
            <w:rStyle w:val="ad"/>
            <w:rFonts w:hint="eastAsia"/>
            <w:noProof/>
            <w:color w:val="000000" w:themeColor="text1"/>
            <w:szCs w:val="24"/>
          </w:rPr>
          <w:t>涉氯、涉氨及煤气站的企业专业检查表</w:t>
        </w:r>
        <w:r w:rsidR="002C192D" w:rsidRPr="00687B52">
          <w:rPr>
            <w:noProof/>
            <w:webHidden/>
            <w:color w:val="000000" w:themeColor="text1"/>
            <w:szCs w:val="24"/>
          </w:rPr>
          <w:tab/>
        </w:r>
        <w:r w:rsidR="003912E3" w:rsidRPr="00687B52">
          <w:rPr>
            <w:noProof/>
            <w:webHidden/>
            <w:color w:val="000000" w:themeColor="text1"/>
            <w:szCs w:val="24"/>
          </w:rPr>
          <w:fldChar w:fldCharType="begin"/>
        </w:r>
        <w:r w:rsidR="002C192D" w:rsidRPr="00687B52">
          <w:rPr>
            <w:noProof/>
            <w:webHidden/>
            <w:color w:val="000000" w:themeColor="text1"/>
            <w:szCs w:val="24"/>
          </w:rPr>
          <w:instrText xml:space="preserve"> PAGEREF _Toc492634910 \h </w:instrText>
        </w:r>
        <w:r w:rsidR="003912E3" w:rsidRPr="00687B52">
          <w:rPr>
            <w:noProof/>
            <w:webHidden/>
            <w:color w:val="000000" w:themeColor="text1"/>
            <w:szCs w:val="24"/>
          </w:rPr>
        </w:r>
        <w:r w:rsidR="003912E3" w:rsidRPr="00687B52">
          <w:rPr>
            <w:noProof/>
            <w:webHidden/>
            <w:color w:val="000000" w:themeColor="text1"/>
            <w:szCs w:val="24"/>
          </w:rPr>
          <w:fldChar w:fldCharType="separate"/>
        </w:r>
        <w:r w:rsidR="00687B52" w:rsidRPr="00687B52">
          <w:rPr>
            <w:noProof/>
            <w:webHidden/>
            <w:color w:val="000000" w:themeColor="text1"/>
            <w:szCs w:val="24"/>
          </w:rPr>
          <w:t>404</w:t>
        </w:r>
        <w:r w:rsidR="003912E3" w:rsidRPr="00687B52">
          <w:rPr>
            <w:noProof/>
            <w:webHidden/>
            <w:color w:val="000000" w:themeColor="text1"/>
            <w:szCs w:val="24"/>
          </w:rPr>
          <w:fldChar w:fldCharType="end"/>
        </w:r>
      </w:hyperlink>
    </w:p>
    <w:p w:rsidR="002C192D" w:rsidRPr="00687B52" w:rsidRDefault="00F54DF7" w:rsidP="002C192D">
      <w:pPr>
        <w:pStyle w:val="10"/>
        <w:tabs>
          <w:tab w:val="right" w:leader="dot" w:pos="8296"/>
        </w:tabs>
        <w:spacing w:line="400" w:lineRule="exact"/>
        <w:rPr>
          <w:rFonts w:asciiTheme="minorHAnsi" w:eastAsiaTheme="minorEastAsia" w:hAnsiTheme="minorHAnsi" w:cstheme="minorBidi"/>
          <w:noProof/>
          <w:color w:val="000000" w:themeColor="text1"/>
        </w:rPr>
      </w:pPr>
      <w:hyperlink w:anchor="_Toc492634911" w:history="1">
        <w:r w:rsidR="002C192D" w:rsidRPr="00687B52">
          <w:rPr>
            <w:rStyle w:val="ad"/>
            <w:rFonts w:hint="eastAsia"/>
            <w:noProof/>
            <w:color w:val="000000" w:themeColor="text1"/>
          </w:rPr>
          <w:t>附录</w:t>
        </w:r>
        <w:r w:rsidR="002C192D" w:rsidRPr="00687B52">
          <w:rPr>
            <w:rStyle w:val="ad"/>
            <w:noProof/>
            <w:color w:val="000000" w:themeColor="text1"/>
          </w:rPr>
          <w:t xml:space="preserve">1 </w:t>
        </w:r>
        <w:r w:rsidR="002C192D" w:rsidRPr="00687B52">
          <w:rPr>
            <w:rStyle w:val="ad"/>
            <w:rFonts w:hint="eastAsia"/>
            <w:noProof/>
            <w:color w:val="000000" w:themeColor="text1"/>
          </w:rPr>
          <w:t>安全检查表的适用范围</w:t>
        </w:r>
        <w:r w:rsidR="002C192D" w:rsidRPr="00687B52">
          <w:rPr>
            <w:noProof/>
            <w:webHidden/>
            <w:color w:val="000000" w:themeColor="text1"/>
          </w:rPr>
          <w:tab/>
        </w:r>
        <w:r w:rsidR="003912E3" w:rsidRPr="00687B52">
          <w:rPr>
            <w:noProof/>
            <w:webHidden/>
            <w:color w:val="000000" w:themeColor="text1"/>
          </w:rPr>
          <w:fldChar w:fldCharType="begin"/>
        </w:r>
        <w:r w:rsidR="002C192D" w:rsidRPr="00687B52">
          <w:rPr>
            <w:noProof/>
            <w:webHidden/>
            <w:color w:val="000000" w:themeColor="text1"/>
          </w:rPr>
          <w:instrText xml:space="preserve"> PAGEREF _Toc492634911 \h </w:instrText>
        </w:r>
        <w:r w:rsidR="003912E3" w:rsidRPr="00687B52">
          <w:rPr>
            <w:noProof/>
            <w:webHidden/>
            <w:color w:val="000000" w:themeColor="text1"/>
          </w:rPr>
        </w:r>
        <w:r w:rsidR="003912E3" w:rsidRPr="00687B52">
          <w:rPr>
            <w:noProof/>
            <w:webHidden/>
            <w:color w:val="000000" w:themeColor="text1"/>
          </w:rPr>
          <w:fldChar w:fldCharType="separate"/>
        </w:r>
        <w:r w:rsidR="00687B52" w:rsidRPr="00687B52">
          <w:rPr>
            <w:noProof/>
            <w:webHidden/>
            <w:color w:val="000000" w:themeColor="text1"/>
          </w:rPr>
          <w:t>462</w:t>
        </w:r>
        <w:r w:rsidR="003912E3" w:rsidRPr="00687B52">
          <w:rPr>
            <w:noProof/>
            <w:webHidden/>
            <w:color w:val="000000" w:themeColor="text1"/>
          </w:rPr>
          <w:fldChar w:fldCharType="end"/>
        </w:r>
      </w:hyperlink>
    </w:p>
    <w:p w:rsidR="002C192D" w:rsidRPr="00687B52" w:rsidRDefault="00F54DF7" w:rsidP="002C192D">
      <w:pPr>
        <w:pStyle w:val="10"/>
        <w:tabs>
          <w:tab w:val="right" w:leader="dot" w:pos="8296"/>
        </w:tabs>
        <w:spacing w:line="400" w:lineRule="exact"/>
        <w:rPr>
          <w:rFonts w:asciiTheme="minorHAnsi" w:eastAsiaTheme="minorEastAsia" w:hAnsiTheme="minorHAnsi" w:cstheme="minorBidi"/>
          <w:noProof/>
          <w:color w:val="000000" w:themeColor="text1"/>
        </w:rPr>
      </w:pPr>
      <w:hyperlink w:anchor="_Toc492634912" w:history="1">
        <w:r w:rsidR="002C192D" w:rsidRPr="00687B52">
          <w:rPr>
            <w:rStyle w:val="ad"/>
            <w:rFonts w:hint="eastAsia"/>
            <w:noProof/>
            <w:color w:val="000000" w:themeColor="text1"/>
          </w:rPr>
          <w:t>附录</w:t>
        </w:r>
        <w:r w:rsidR="002C192D" w:rsidRPr="00687B52">
          <w:rPr>
            <w:rStyle w:val="ad"/>
            <w:noProof/>
            <w:color w:val="000000" w:themeColor="text1"/>
          </w:rPr>
          <w:t>2</w:t>
        </w:r>
        <w:r w:rsidR="002C192D" w:rsidRPr="00687B52">
          <w:rPr>
            <w:rStyle w:val="ad"/>
            <w:rFonts w:hint="eastAsia"/>
            <w:noProof/>
            <w:color w:val="000000" w:themeColor="text1"/>
          </w:rPr>
          <w:t>检查表中有关标准的具体要求</w:t>
        </w:r>
        <w:r w:rsidR="002C192D" w:rsidRPr="00687B52">
          <w:rPr>
            <w:noProof/>
            <w:webHidden/>
            <w:color w:val="000000" w:themeColor="text1"/>
          </w:rPr>
          <w:tab/>
        </w:r>
        <w:r w:rsidR="003912E3" w:rsidRPr="00687B52">
          <w:rPr>
            <w:noProof/>
            <w:webHidden/>
            <w:color w:val="000000" w:themeColor="text1"/>
          </w:rPr>
          <w:fldChar w:fldCharType="begin"/>
        </w:r>
        <w:r w:rsidR="002C192D" w:rsidRPr="00687B52">
          <w:rPr>
            <w:noProof/>
            <w:webHidden/>
            <w:color w:val="000000" w:themeColor="text1"/>
          </w:rPr>
          <w:instrText xml:space="preserve"> PAGEREF _Toc492634912 \h </w:instrText>
        </w:r>
        <w:r w:rsidR="003912E3" w:rsidRPr="00687B52">
          <w:rPr>
            <w:noProof/>
            <w:webHidden/>
            <w:color w:val="000000" w:themeColor="text1"/>
          </w:rPr>
        </w:r>
        <w:r w:rsidR="003912E3" w:rsidRPr="00687B52">
          <w:rPr>
            <w:noProof/>
            <w:webHidden/>
            <w:color w:val="000000" w:themeColor="text1"/>
          </w:rPr>
          <w:fldChar w:fldCharType="separate"/>
        </w:r>
        <w:r w:rsidR="00687B52" w:rsidRPr="00687B52">
          <w:rPr>
            <w:noProof/>
            <w:webHidden/>
            <w:color w:val="000000" w:themeColor="text1"/>
          </w:rPr>
          <w:t>466</w:t>
        </w:r>
        <w:r w:rsidR="003912E3" w:rsidRPr="00687B52">
          <w:rPr>
            <w:noProof/>
            <w:webHidden/>
            <w:color w:val="000000" w:themeColor="text1"/>
          </w:rPr>
          <w:fldChar w:fldCharType="end"/>
        </w:r>
      </w:hyperlink>
    </w:p>
    <w:p w:rsidR="00441EEA" w:rsidRPr="00687B52" w:rsidRDefault="003912E3" w:rsidP="00F25ED0">
      <w:pPr>
        <w:spacing w:afterLines="100" w:after="312"/>
        <w:ind w:firstLineChars="200" w:firstLine="560"/>
        <w:jc w:val="left"/>
        <w:rPr>
          <w:color w:val="000000" w:themeColor="text1"/>
          <w:sz w:val="28"/>
          <w:szCs w:val="28"/>
        </w:rPr>
      </w:pPr>
      <w:r w:rsidRPr="00687B52">
        <w:rPr>
          <w:rFonts w:ascii="Times New Roman" w:eastAsia="宋体" w:hAnsi="Times New Roman" w:cs="Times New Roman"/>
          <w:color w:val="000000" w:themeColor="text1"/>
          <w:sz w:val="28"/>
          <w:szCs w:val="28"/>
        </w:rPr>
        <w:fldChar w:fldCharType="end"/>
      </w:r>
    </w:p>
    <w:p w:rsidR="00B94DFF" w:rsidRPr="00687B52" w:rsidRDefault="00B94DFF" w:rsidP="00F25ED0">
      <w:pPr>
        <w:spacing w:afterLines="100" w:after="312"/>
        <w:rPr>
          <w:b/>
          <w:color w:val="000000" w:themeColor="text1"/>
          <w:sz w:val="32"/>
          <w:szCs w:val="32"/>
        </w:rPr>
        <w:sectPr w:rsidR="00B94DFF" w:rsidRPr="00687B52" w:rsidSect="00CD2E6C">
          <w:footerReference w:type="default" r:id="rId9"/>
          <w:pgSz w:w="11906" w:h="16838"/>
          <w:pgMar w:top="1440" w:right="1800" w:bottom="1440" w:left="1800" w:header="851" w:footer="907" w:gutter="0"/>
          <w:pgNumType w:fmt="upperRoman" w:start="1"/>
          <w:cols w:space="425"/>
          <w:docGrid w:type="lines" w:linePitch="312"/>
        </w:sectPr>
      </w:pPr>
    </w:p>
    <w:p w:rsidR="00EC0F7D" w:rsidRPr="00687B52" w:rsidRDefault="00B94DFF" w:rsidP="00F25ED0">
      <w:pPr>
        <w:spacing w:afterLines="100" w:after="312"/>
        <w:jc w:val="center"/>
        <w:rPr>
          <w:b/>
          <w:color w:val="000000" w:themeColor="text1"/>
          <w:sz w:val="32"/>
          <w:szCs w:val="32"/>
        </w:rPr>
      </w:pPr>
      <w:r w:rsidRPr="00687B52">
        <w:rPr>
          <w:rFonts w:hint="eastAsia"/>
          <w:b/>
          <w:color w:val="000000" w:themeColor="text1"/>
          <w:sz w:val="32"/>
          <w:szCs w:val="32"/>
        </w:rPr>
        <w:lastRenderedPageBreak/>
        <w:t>湖南省</w:t>
      </w:r>
      <w:r w:rsidR="004657CA">
        <w:rPr>
          <w:rFonts w:hint="eastAsia"/>
          <w:b/>
          <w:color w:val="000000" w:themeColor="text1"/>
          <w:sz w:val="32"/>
          <w:szCs w:val="32"/>
        </w:rPr>
        <w:t>危险化学品企业安全体检标准</w:t>
      </w:r>
    </w:p>
    <w:p w:rsidR="00EC0F7D" w:rsidRPr="00687B52" w:rsidRDefault="00EC0F7D" w:rsidP="00EF6936">
      <w:pPr>
        <w:pStyle w:val="aff1"/>
        <w:rPr>
          <w:color w:val="000000" w:themeColor="text1"/>
        </w:rPr>
      </w:pPr>
      <w:bookmarkStart w:id="2" w:name="_Toc492634884"/>
      <w:r w:rsidRPr="00687B52">
        <w:rPr>
          <w:rFonts w:hint="eastAsia"/>
          <w:color w:val="000000" w:themeColor="text1"/>
        </w:rPr>
        <w:t>范围</w:t>
      </w:r>
      <w:bookmarkEnd w:id="2"/>
    </w:p>
    <w:p w:rsidR="00456739" w:rsidRPr="00687B52" w:rsidRDefault="00704613" w:rsidP="00B94DFF">
      <w:pPr>
        <w:spacing w:line="480" w:lineRule="exact"/>
        <w:ind w:firstLineChars="200" w:firstLine="560"/>
        <w:rPr>
          <w:color w:val="000000" w:themeColor="text1"/>
          <w:sz w:val="28"/>
          <w:szCs w:val="28"/>
        </w:rPr>
      </w:pPr>
      <w:r w:rsidRPr="00687B52">
        <w:rPr>
          <w:rFonts w:hint="eastAsia"/>
          <w:color w:val="000000" w:themeColor="text1"/>
          <w:sz w:val="28"/>
          <w:szCs w:val="28"/>
        </w:rPr>
        <w:t>本标准</w:t>
      </w:r>
      <w:r w:rsidR="00456739" w:rsidRPr="00687B52">
        <w:rPr>
          <w:rFonts w:hint="eastAsia"/>
          <w:color w:val="000000" w:themeColor="text1"/>
          <w:sz w:val="28"/>
          <w:szCs w:val="28"/>
        </w:rPr>
        <w:t>适用于</w:t>
      </w:r>
      <w:r w:rsidR="00EC0F7D" w:rsidRPr="00687B52">
        <w:rPr>
          <w:rFonts w:hint="eastAsia"/>
          <w:color w:val="000000" w:themeColor="text1"/>
          <w:sz w:val="28"/>
          <w:szCs w:val="28"/>
        </w:rPr>
        <w:t>危险化学品从业单位需取得危险化学品安全生产许可证、经营许可证、使用许可证的企业</w:t>
      </w:r>
      <w:r w:rsidR="00456739" w:rsidRPr="00687B52">
        <w:rPr>
          <w:rFonts w:hint="eastAsia"/>
          <w:color w:val="000000" w:themeColor="text1"/>
          <w:sz w:val="28"/>
          <w:szCs w:val="28"/>
        </w:rPr>
        <w:t>。</w:t>
      </w:r>
    </w:p>
    <w:p w:rsidR="00EC0F7D" w:rsidRPr="00687B52" w:rsidRDefault="00704613" w:rsidP="00456739">
      <w:pPr>
        <w:spacing w:line="480" w:lineRule="exact"/>
        <w:ind w:firstLineChars="200" w:firstLine="560"/>
        <w:rPr>
          <w:color w:val="000000" w:themeColor="text1"/>
          <w:sz w:val="28"/>
          <w:szCs w:val="28"/>
        </w:rPr>
      </w:pPr>
      <w:r w:rsidRPr="00687B52">
        <w:rPr>
          <w:rFonts w:hint="eastAsia"/>
          <w:color w:val="000000" w:themeColor="text1"/>
          <w:sz w:val="28"/>
          <w:szCs w:val="28"/>
        </w:rPr>
        <w:t>相关企业进行安全“体检”时可参考本标准</w:t>
      </w:r>
      <w:r w:rsidR="007B28EA" w:rsidRPr="00687B52">
        <w:rPr>
          <w:rFonts w:hint="eastAsia"/>
          <w:color w:val="000000" w:themeColor="text1"/>
          <w:sz w:val="28"/>
          <w:szCs w:val="28"/>
        </w:rPr>
        <w:t>。</w:t>
      </w:r>
    </w:p>
    <w:p w:rsidR="00EF385B" w:rsidRPr="00687B52" w:rsidRDefault="00EF385B" w:rsidP="00A41C55">
      <w:pPr>
        <w:pStyle w:val="aff1"/>
        <w:rPr>
          <w:color w:val="000000" w:themeColor="text1"/>
        </w:rPr>
      </w:pPr>
      <w:bookmarkStart w:id="3" w:name="_Toc492634885"/>
      <w:r w:rsidRPr="00687B52">
        <w:rPr>
          <w:rFonts w:hint="eastAsia"/>
          <w:color w:val="000000" w:themeColor="text1"/>
        </w:rPr>
        <w:t>编制说明</w:t>
      </w:r>
      <w:bookmarkEnd w:id="3"/>
    </w:p>
    <w:p w:rsidR="00EF385B" w:rsidRPr="00687B52" w:rsidRDefault="00EF6936" w:rsidP="00EF385B">
      <w:pPr>
        <w:spacing w:line="480" w:lineRule="exact"/>
        <w:ind w:firstLineChars="200" w:firstLine="560"/>
        <w:rPr>
          <w:color w:val="000000" w:themeColor="text1"/>
          <w:sz w:val="28"/>
          <w:szCs w:val="28"/>
        </w:rPr>
      </w:pPr>
      <w:r w:rsidRPr="00687B52">
        <w:rPr>
          <w:rFonts w:hint="eastAsia"/>
          <w:color w:val="000000" w:themeColor="text1"/>
          <w:sz w:val="28"/>
          <w:szCs w:val="28"/>
        </w:rPr>
        <w:t>1</w:t>
      </w:r>
      <w:r w:rsidRPr="00687B52">
        <w:rPr>
          <w:rFonts w:hint="eastAsia"/>
          <w:color w:val="000000" w:themeColor="text1"/>
          <w:sz w:val="28"/>
          <w:szCs w:val="28"/>
        </w:rPr>
        <w:t>）</w:t>
      </w:r>
      <w:r w:rsidR="00704613" w:rsidRPr="00687B52">
        <w:rPr>
          <w:rFonts w:hint="eastAsia"/>
          <w:color w:val="000000" w:themeColor="text1"/>
          <w:sz w:val="28"/>
          <w:szCs w:val="28"/>
        </w:rPr>
        <w:t>本标准</w:t>
      </w:r>
      <w:r w:rsidR="00EF385B" w:rsidRPr="00687B52">
        <w:rPr>
          <w:rFonts w:hint="eastAsia"/>
          <w:color w:val="000000" w:themeColor="text1"/>
          <w:sz w:val="28"/>
          <w:szCs w:val="28"/>
        </w:rPr>
        <w:t>由湖南省安全生产监督管理局提出，湖南安全生产科学研究有限公司起草。</w:t>
      </w:r>
    </w:p>
    <w:p w:rsidR="00EF385B" w:rsidRPr="00687B52" w:rsidRDefault="00EF6936" w:rsidP="00EF385B">
      <w:pPr>
        <w:spacing w:line="480" w:lineRule="exact"/>
        <w:ind w:firstLineChars="200" w:firstLine="560"/>
        <w:jc w:val="left"/>
        <w:rPr>
          <w:color w:val="000000" w:themeColor="text1"/>
          <w:sz w:val="28"/>
          <w:szCs w:val="28"/>
        </w:rPr>
      </w:pPr>
      <w:r w:rsidRPr="00687B52">
        <w:rPr>
          <w:rFonts w:hint="eastAsia"/>
          <w:color w:val="000000" w:themeColor="text1"/>
          <w:sz w:val="28"/>
          <w:szCs w:val="28"/>
        </w:rPr>
        <w:t>2</w:t>
      </w:r>
      <w:r w:rsidRPr="00687B52">
        <w:rPr>
          <w:rFonts w:hint="eastAsia"/>
          <w:color w:val="000000" w:themeColor="text1"/>
          <w:sz w:val="28"/>
          <w:szCs w:val="28"/>
        </w:rPr>
        <w:t>）</w:t>
      </w:r>
      <w:r w:rsidR="00704613" w:rsidRPr="00687B52">
        <w:rPr>
          <w:rFonts w:hint="eastAsia"/>
          <w:color w:val="000000" w:themeColor="text1"/>
          <w:sz w:val="28"/>
          <w:szCs w:val="28"/>
        </w:rPr>
        <w:t>本标准</w:t>
      </w:r>
      <w:r w:rsidR="00EF385B" w:rsidRPr="00687B52">
        <w:rPr>
          <w:rFonts w:hint="eastAsia"/>
          <w:color w:val="000000" w:themeColor="text1"/>
          <w:sz w:val="28"/>
          <w:szCs w:val="28"/>
        </w:rPr>
        <w:t>重点结合需取得危险化学品安全生产许可证、经营许可证、使用许可证的企业（以下简称</w:t>
      </w:r>
      <w:r w:rsidR="00704613" w:rsidRPr="00687B52">
        <w:rPr>
          <w:rFonts w:hint="eastAsia"/>
          <w:color w:val="000000" w:themeColor="text1"/>
          <w:sz w:val="28"/>
          <w:szCs w:val="28"/>
        </w:rPr>
        <w:t>“</w:t>
      </w:r>
      <w:r w:rsidR="00EF385B" w:rsidRPr="00687B52">
        <w:rPr>
          <w:rFonts w:hint="eastAsia"/>
          <w:color w:val="000000" w:themeColor="text1"/>
          <w:sz w:val="28"/>
          <w:szCs w:val="28"/>
        </w:rPr>
        <w:t>三证企业</w:t>
      </w:r>
      <w:r w:rsidR="00704613" w:rsidRPr="00687B52">
        <w:rPr>
          <w:rFonts w:hint="eastAsia"/>
          <w:color w:val="000000" w:themeColor="text1"/>
          <w:sz w:val="28"/>
          <w:szCs w:val="28"/>
        </w:rPr>
        <w:t>”</w:t>
      </w:r>
      <w:r w:rsidR="00EF385B" w:rsidRPr="00687B52">
        <w:rPr>
          <w:rFonts w:hint="eastAsia"/>
          <w:color w:val="000000" w:themeColor="text1"/>
          <w:sz w:val="28"/>
          <w:szCs w:val="28"/>
        </w:rPr>
        <w:t>）实际情况，设计不同的安全检查表。</w:t>
      </w:r>
    </w:p>
    <w:p w:rsidR="00EF385B" w:rsidRPr="00687B52" w:rsidRDefault="00EF6936" w:rsidP="00EF385B">
      <w:pPr>
        <w:spacing w:line="480" w:lineRule="exact"/>
        <w:ind w:firstLineChars="200" w:firstLine="560"/>
        <w:jc w:val="left"/>
        <w:rPr>
          <w:color w:val="000000" w:themeColor="text1"/>
          <w:sz w:val="28"/>
          <w:szCs w:val="28"/>
        </w:rPr>
      </w:pPr>
      <w:r w:rsidRPr="00687B52">
        <w:rPr>
          <w:rFonts w:hint="eastAsia"/>
          <w:color w:val="000000" w:themeColor="text1"/>
          <w:sz w:val="28"/>
          <w:szCs w:val="28"/>
        </w:rPr>
        <w:t>3</w:t>
      </w:r>
      <w:r w:rsidRPr="00687B52">
        <w:rPr>
          <w:rFonts w:hint="eastAsia"/>
          <w:color w:val="000000" w:themeColor="text1"/>
          <w:sz w:val="28"/>
          <w:szCs w:val="28"/>
        </w:rPr>
        <w:t>）</w:t>
      </w:r>
      <w:r w:rsidR="00704613" w:rsidRPr="00687B52">
        <w:rPr>
          <w:rFonts w:hint="eastAsia"/>
          <w:color w:val="000000" w:themeColor="text1"/>
          <w:sz w:val="28"/>
          <w:szCs w:val="28"/>
        </w:rPr>
        <w:t>基础管理通用检查表和职业卫生通用检查表适用于所有的危险化学品</w:t>
      </w:r>
      <w:r w:rsidR="006E3843" w:rsidRPr="00687B52">
        <w:rPr>
          <w:rFonts w:hint="eastAsia"/>
          <w:color w:val="000000" w:themeColor="text1"/>
          <w:sz w:val="28"/>
          <w:szCs w:val="28"/>
        </w:rPr>
        <w:t>三证</w:t>
      </w:r>
      <w:r w:rsidR="00EF385B" w:rsidRPr="00687B52">
        <w:rPr>
          <w:rFonts w:hint="eastAsia"/>
          <w:color w:val="000000" w:themeColor="text1"/>
          <w:sz w:val="28"/>
          <w:szCs w:val="28"/>
        </w:rPr>
        <w:t>企业。</w:t>
      </w:r>
      <w:r w:rsidR="006E3843" w:rsidRPr="00687B52">
        <w:rPr>
          <w:rFonts w:hint="eastAsia"/>
          <w:color w:val="000000" w:themeColor="text1"/>
          <w:sz w:val="28"/>
          <w:szCs w:val="28"/>
        </w:rPr>
        <w:t>结合危险化学品生产、使用企业现场通用性的要求设计了“危险化学品生产、使用企业专业检查表（现场通用）”。</w:t>
      </w:r>
    </w:p>
    <w:p w:rsidR="00704613" w:rsidRPr="00687B52" w:rsidRDefault="00704613" w:rsidP="006E3843">
      <w:pPr>
        <w:spacing w:line="480" w:lineRule="exact"/>
        <w:ind w:firstLineChars="200" w:firstLine="560"/>
        <w:jc w:val="left"/>
        <w:rPr>
          <w:color w:val="000000" w:themeColor="text1"/>
          <w:sz w:val="28"/>
          <w:szCs w:val="28"/>
        </w:rPr>
      </w:pPr>
      <w:r w:rsidRPr="00687B52">
        <w:rPr>
          <w:rFonts w:hint="eastAsia"/>
          <w:color w:val="000000" w:themeColor="text1"/>
          <w:sz w:val="28"/>
          <w:szCs w:val="28"/>
        </w:rPr>
        <w:t>4</w:t>
      </w:r>
      <w:r w:rsidR="006E3843" w:rsidRPr="00687B52">
        <w:rPr>
          <w:rFonts w:hint="eastAsia"/>
          <w:color w:val="000000" w:themeColor="text1"/>
          <w:sz w:val="28"/>
          <w:szCs w:val="28"/>
        </w:rPr>
        <w:t>）结合危险化学品生产、使用</w:t>
      </w:r>
      <w:r w:rsidRPr="00687B52">
        <w:rPr>
          <w:rFonts w:hint="eastAsia"/>
          <w:color w:val="000000" w:themeColor="text1"/>
          <w:sz w:val="28"/>
          <w:szCs w:val="28"/>
        </w:rPr>
        <w:t>企业特点，分别设置了石油化工、氯碱、合成氨、硫酸、油漆涂料、氯酸盐、金属粉末、其他化工等专业性检查表。</w:t>
      </w:r>
    </w:p>
    <w:p w:rsidR="00EF385B" w:rsidRPr="00687B52" w:rsidRDefault="006E3843" w:rsidP="00EF385B">
      <w:pPr>
        <w:spacing w:line="480" w:lineRule="exact"/>
        <w:ind w:firstLineChars="200" w:firstLine="560"/>
        <w:jc w:val="left"/>
        <w:rPr>
          <w:color w:val="000000" w:themeColor="text1"/>
          <w:sz w:val="28"/>
          <w:szCs w:val="28"/>
        </w:rPr>
      </w:pPr>
      <w:r w:rsidRPr="00687B52">
        <w:rPr>
          <w:rFonts w:hint="eastAsia"/>
          <w:color w:val="000000" w:themeColor="text1"/>
          <w:sz w:val="28"/>
          <w:szCs w:val="28"/>
        </w:rPr>
        <w:t>5</w:t>
      </w:r>
      <w:r w:rsidR="00EF6936" w:rsidRPr="00687B52">
        <w:rPr>
          <w:rFonts w:hint="eastAsia"/>
          <w:color w:val="000000" w:themeColor="text1"/>
          <w:sz w:val="28"/>
          <w:szCs w:val="28"/>
        </w:rPr>
        <w:t>）</w:t>
      </w:r>
      <w:r w:rsidRPr="00687B52">
        <w:rPr>
          <w:rFonts w:hint="eastAsia"/>
          <w:color w:val="000000" w:themeColor="text1"/>
          <w:sz w:val="28"/>
          <w:szCs w:val="28"/>
        </w:rPr>
        <w:t>结合危险化学品经营</w:t>
      </w:r>
      <w:r w:rsidR="00EF385B" w:rsidRPr="00687B52">
        <w:rPr>
          <w:rFonts w:hint="eastAsia"/>
          <w:color w:val="000000" w:themeColor="text1"/>
          <w:sz w:val="28"/>
          <w:szCs w:val="28"/>
        </w:rPr>
        <w:t>企业的特点，分别设置了加油站、危险化学品仓库、油库、储罐区、长输管线、气体充装等相应的专业安全检查表。</w:t>
      </w:r>
    </w:p>
    <w:p w:rsidR="00EF385B" w:rsidRPr="00687B52" w:rsidRDefault="00EF6936" w:rsidP="00EF385B">
      <w:pPr>
        <w:spacing w:line="480" w:lineRule="exact"/>
        <w:ind w:firstLineChars="200" w:firstLine="560"/>
        <w:jc w:val="left"/>
        <w:rPr>
          <w:color w:val="000000" w:themeColor="text1"/>
          <w:sz w:val="28"/>
          <w:szCs w:val="28"/>
        </w:rPr>
      </w:pPr>
      <w:r w:rsidRPr="00687B52">
        <w:rPr>
          <w:rFonts w:hint="eastAsia"/>
          <w:color w:val="000000" w:themeColor="text1"/>
          <w:sz w:val="28"/>
          <w:szCs w:val="28"/>
        </w:rPr>
        <w:t>6</w:t>
      </w:r>
      <w:r w:rsidRPr="00687B52">
        <w:rPr>
          <w:rFonts w:hint="eastAsia"/>
          <w:color w:val="000000" w:themeColor="text1"/>
          <w:sz w:val="28"/>
          <w:szCs w:val="28"/>
        </w:rPr>
        <w:t>）</w:t>
      </w:r>
      <w:r w:rsidR="00EF385B" w:rsidRPr="00687B52">
        <w:rPr>
          <w:rFonts w:hint="eastAsia"/>
          <w:color w:val="000000" w:themeColor="text1"/>
          <w:sz w:val="28"/>
          <w:szCs w:val="28"/>
        </w:rPr>
        <w:t>安全检查表的选用详见附录</w:t>
      </w:r>
      <w:r w:rsidR="00EF385B" w:rsidRPr="00687B52">
        <w:rPr>
          <w:rFonts w:hint="eastAsia"/>
          <w:color w:val="000000" w:themeColor="text1"/>
          <w:sz w:val="28"/>
          <w:szCs w:val="28"/>
        </w:rPr>
        <w:t>1</w:t>
      </w:r>
      <w:r w:rsidR="006E3843" w:rsidRPr="00687B52">
        <w:rPr>
          <w:rFonts w:hint="eastAsia"/>
          <w:color w:val="000000" w:themeColor="text1"/>
          <w:sz w:val="28"/>
          <w:szCs w:val="28"/>
        </w:rPr>
        <w:t>，</w:t>
      </w:r>
      <w:r w:rsidR="00EF385B" w:rsidRPr="00687B52">
        <w:rPr>
          <w:rFonts w:hint="eastAsia"/>
          <w:color w:val="000000" w:themeColor="text1"/>
          <w:sz w:val="28"/>
          <w:szCs w:val="28"/>
        </w:rPr>
        <w:t>检查表中有关标准的具体要求统一收录在附录</w:t>
      </w:r>
      <w:r w:rsidR="00EF385B" w:rsidRPr="00687B52">
        <w:rPr>
          <w:rFonts w:hint="eastAsia"/>
          <w:color w:val="000000" w:themeColor="text1"/>
          <w:sz w:val="28"/>
          <w:szCs w:val="28"/>
        </w:rPr>
        <w:t>2</w:t>
      </w:r>
      <w:r w:rsidR="00EF385B" w:rsidRPr="00687B52">
        <w:rPr>
          <w:rFonts w:hint="eastAsia"/>
          <w:color w:val="000000" w:themeColor="text1"/>
          <w:sz w:val="28"/>
          <w:szCs w:val="28"/>
        </w:rPr>
        <w:t>。</w:t>
      </w:r>
    </w:p>
    <w:p w:rsidR="00EF385B" w:rsidRPr="00687B52" w:rsidRDefault="00EF6936" w:rsidP="00EF385B">
      <w:pPr>
        <w:spacing w:line="480" w:lineRule="exact"/>
        <w:ind w:firstLineChars="200" w:firstLine="560"/>
        <w:jc w:val="left"/>
        <w:rPr>
          <w:color w:val="000000" w:themeColor="text1"/>
          <w:sz w:val="28"/>
          <w:szCs w:val="28"/>
        </w:rPr>
      </w:pPr>
      <w:r w:rsidRPr="00687B52">
        <w:rPr>
          <w:rFonts w:hint="eastAsia"/>
          <w:color w:val="000000" w:themeColor="text1"/>
          <w:sz w:val="28"/>
          <w:szCs w:val="28"/>
        </w:rPr>
        <w:t>7</w:t>
      </w:r>
      <w:r w:rsidRPr="00687B52">
        <w:rPr>
          <w:rFonts w:hint="eastAsia"/>
          <w:color w:val="000000" w:themeColor="text1"/>
          <w:sz w:val="28"/>
          <w:szCs w:val="28"/>
        </w:rPr>
        <w:t>）</w:t>
      </w:r>
      <w:r w:rsidR="00EF1C5C" w:rsidRPr="00687B52">
        <w:rPr>
          <w:rFonts w:hint="eastAsia"/>
          <w:color w:val="000000" w:themeColor="text1"/>
          <w:sz w:val="28"/>
          <w:szCs w:val="28"/>
        </w:rPr>
        <w:t>对于</w:t>
      </w:r>
      <w:r w:rsidR="006E3843" w:rsidRPr="00687B52">
        <w:rPr>
          <w:rFonts w:hint="eastAsia"/>
          <w:color w:val="000000" w:themeColor="text1"/>
          <w:sz w:val="28"/>
          <w:szCs w:val="28"/>
        </w:rPr>
        <w:t>不需要取得三证但存在涉氨、涉氯装置或煤气站</w:t>
      </w:r>
      <w:r w:rsidR="00EF1C5C" w:rsidRPr="00687B52">
        <w:rPr>
          <w:rFonts w:hint="eastAsia"/>
          <w:color w:val="000000" w:themeColor="text1"/>
          <w:sz w:val="28"/>
          <w:szCs w:val="28"/>
        </w:rPr>
        <w:t>的企业，设置了相应的专业检查表</w:t>
      </w:r>
      <w:r w:rsidR="006E3843" w:rsidRPr="00687B52">
        <w:rPr>
          <w:rFonts w:hint="eastAsia"/>
          <w:color w:val="000000" w:themeColor="text1"/>
          <w:sz w:val="28"/>
          <w:szCs w:val="28"/>
        </w:rPr>
        <w:t>可</w:t>
      </w:r>
      <w:r w:rsidR="00EF1C5C" w:rsidRPr="00687B52">
        <w:rPr>
          <w:rFonts w:hint="eastAsia"/>
          <w:color w:val="000000" w:themeColor="text1"/>
          <w:sz w:val="28"/>
          <w:szCs w:val="28"/>
        </w:rPr>
        <w:t>供</w:t>
      </w:r>
      <w:r w:rsidR="006E3843" w:rsidRPr="00687B52">
        <w:rPr>
          <w:rFonts w:hint="eastAsia"/>
          <w:color w:val="000000" w:themeColor="text1"/>
          <w:sz w:val="28"/>
          <w:szCs w:val="28"/>
        </w:rPr>
        <w:t>选用</w:t>
      </w:r>
      <w:r w:rsidR="00EF1C5C" w:rsidRPr="00687B52">
        <w:rPr>
          <w:rFonts w:hint="eastAsia"/>
          <w:color w:val="000000" w:themeColor="text1"/>
          <w:sz w:val="28"/>
          <w:szCs w:val="28"/>
        </w:rPr>
        <w:t>。</w:t>
      </w:r>
    </w:p>
    <w:p w:rsidR="00EF385B" w:rsidRPr="00687B52" w:rsidRDefault="00EF6936" w:rsidP="00EF385B">
      <w:pPr>
        <w:spacing w:line="480" w:lineRule="exact"/>
        <w:ind w:firstLineChars="200" w:firstLine="560"/>
        <w:jc w:val="left"/>
        <w:rPr>
          <w:color w:val="000000" w:themeColor="text1"/>
          <w:sz w:val="28"/>
          <w:szCs w:val="28"/>
        </w:rPr>
      </w:pPr>
      <w:r w:rsidRPr="00687B52">
        <w:rPr>
          <w:rFonts w:hint="eastAsia"/>
          <w:color w:val="000000" w:themeColor="text1"/>
          <w:sz w:val="28"/>
          <w:szCs w:val="28"/>
        </w:rPr>
        <w:t>8</w:t>
      </w:r>
      <w:r w:rsidRPr="00687B52">
        <w:rPr>
          <w:rFonts w:hint="eastAsia"/>
          <w:color w:val="000000" w:themeColor="text1"/>
          <w:sz w:val="28"/>
          <w:szCs w:val="28"/>
        </w:rPr>
        <w:t>）</w:t>
      </w:r>
      <w:r w:rsidR="00EF385B" w:rsidRPr="00687B52">
        <w:rPr>
          <w:rFonts w:hint="eastAsia"/>
          <w:color w:val="000000" w:themeColor="text1"/>
          <w:sz w:val="28"/>
          <w:szCs w:val="28"/>
        </w:rPr>
        <w:t>检查表中采用的标准</w:t>
      </w:r>
      <w:r w:rsidR="00EF1C5C" w:rsidRPr="00687B52">
        <w:rPr>
          <w:rFonts w:hint="eastAsia"/>
          <w:color w:val="000000" w:themeColor="text1"/>
          <w:sz w:val="28"/>
          <w:szCs w:val="28"/>
        </w:rPr>
        <w:t>更新、替代</w:t>
      </w:r>
      <w:r w:rsidR="00EF385B" w:rsidRPr="00687B52">
        <w:rPr>
          <w:rFonts w:hint="eastAsia"/>
          <w:color w:val="000000" w:themeColor="text1"/>
          <w:sz w:val="28"/>
          <w:szCs w:val="28"/>
        </w:rPr>
        <w:t>，</w:t>
      </w:r>
      <w:r w:rsidR="00EF1C5C" w:rsidRPr="00687B52">
        <w:rPr>
          <w:rFonts w:hint="eastAsia"/>
          <w:color w:val="000000" w:themeColor="text1"/>
          <w:sz w:val="28"/>
          <w:szCs w:val="28"/>
        </w:rPr>
        <w:t>需按新规定执行</w:t>
      </w:r>
      <w:r w:rsidR="00EF385B" w:rsidRPr="00687B52">
        <w:rPr>
          <w:rFonts w:hint="eastAsia"/>
          <w:color w:val="000000" w:themeColor="text1"/>
          <w:sz w:val="28"/>
          <w:szCs w:val="28"/>
        </w:rPr>
        <w:t>。</w:t>
      </w:r>
    </w:p>
    <w:p w:rsidR="0033407C" w:rsidRPr="00687B52" w:rsidRDefault="0033407C" w:rsidP="00A41C55">
      <w:pPr>
        <w:pStyle w:val="aff1"/>
        <w:rPr>
          <w:color w:val="000000" w:themeColor="text1"/>
        </w:rPr>
      </w:pPr>
      <w:bookmarkStart w:id="4" w:name="_Toc492634886"/>
      <w:r w:rsidRPr="00687B52">
        <w:rPr>
          <w:rFonts w:hint="eastAsia"/>
          <w:color w:val="000000" w:themeColor="text1"/>
        </w:rPr>
        <w:t>规范性引用文件</w:t>
      </w:r>
      <w:bookmarkEnd w:id="4"/>
    </w:p>
    <w:p w:rsidR="00D20A06" w:rsidRPr="00687B52" w:rsidRDefault="00E504BB" w:rsidP="00EF6936">
      <w:pPr>
        <w:pStyle w:val="ae"/>
        <w:ind w:firstLine="560"/>
        <w:rPr>
          <w:color w:val="000000" w:themeColor="text1"/>
        </w:rPr>
      </w:pPr>
      <w:r w:rsidRPr="00687B52">
        <w:rPr>
          <w:rFonts w:hint="eastAsia"/>
          <w:color w:val="000000" w:themeColor="text1"/>
        </w:rPr>
        <w:t>《</w:t>
      </w:r>
      <w:r w:rsidR="00257FB4" w:rsidRPr="00687B52">
        <w:rPr>
          <w:rFonts w:hint="eastAsia"/>
          <w:color w:val="000000" w:themeColor="text1"/>
        </w:rPr>
        <w:t>中华人民共和国</w:t>
      </w:r>
      <w:r w:rsidRPr="00687B52">
        <w:rPr>
          <w:rFonts w:hint="eastAsia"/>
          <w:color w:val="000000" w:themeColor="text1"/>
        </w:rPr>
        <w:t>安全生产法》</w:t>
      </w:r>
    </w:p>
    <w:p w:rsidR="00E504BB" w:rsidRPr="00687B52" w:rsidRDefault="00E504BB" w:rsidP="00EF6936">
      <w:pPr>
        <w:pStyle w:val="ae"/>
        <w:ind w:firstLine="560"/>
        <w:rPr>
          <w:color w:val="000000" w:themeColor="text1"/>
        </w:rPr>
      </w:pPr>
      <w:r w:rsidRPr="00687B52">
        <w:rPr>
          <w:rFonts w:hint="eastAsia"/>
          <w:color w:val="000000" w:themeColor="text1"/>
        </w:rPr>
        <w:t>《</w:t>
      </w:r>
      <w:r w:rsidR="00417A3F" w:rsidRPr="00687B52">
        <w:rPr>
          <w:rFonts w:hint="eastAsia"/>
          <w:color w:val="000000" w:themeColor="text1"/>
        </w:rPr>
        <w:t>中华人民共和国</w:t>
      </w:r>
      <w:r w:rsidRPr="00687B52">
        <w:rPr>
          <w:rFonts w:hint="eastAsia"/>
          <w:color w:val="000000" w:themeColor="text1"/>
        </w:rPr>
        <w:t>职业病防治法》</w:t>
      </w:r>
    </w:p>
    <w:p w:rsidR="00E504BB" w:rsidRPr="00687B52" w:rsidRDefault="00E504BB" w:rsidP="00EF6936">
      <w:pPr>
        <w:pStyle w:val="ae"/>
        <w:ind w:firstLine="560"/>
        <w:rPr>
          <w:color w:val="000000" w:themeColor="text1"/>
        </w:rPr>
      </w:pPr>
      <w:r w:rsidRPr="00687B52">
        <w:rPr>
          <w:rFonts w:hint="eastAsia"/>
          <w:color w:val="000000" w:themeColor="text1"/>
        </w:rPr>
        <w:lastRenderedPageBreak/>
        <w:t>《</w:t>
      </w:r>
      <w:r w:rsidR="00417A3F" w:rsidRPr="00687B52">
        <w:rPr>
          <w:rFonts w:hint="eastAsia"/>
          <w:color w:val="000000" w:themeColor="text1"/>
        </w:rPr>
        <w:t>中华人民共和国</w:t>
      </w:r>
      <w:r w:rsidRPr="00687B52">
        <w:rPr>
          <w:rFonts w:hint="eastAsia"/>
          <w:color w:val="000000" w:themeColor="text1"/>
        </w:rPr>
        <w:t>消防法》</w:t>
      </w:r>
    </w:p>
    <w:p w:rsidR="00E504BB" w:rsidRPr="00687B52" w:rsidRDefault="00E504BB" w:rsidP="00EF6936">
      <w:pPr>
        <w:pStyle w:val="ae"/>
        <w:ind w:firstLine="560"/>
        <w:rPr>
          <w:color w:val="000000" w:themeColor="text1"/>
        </w:rPr>
      </w:pPr>
      <w:r w:rsidRPr="00687B52">
        <w:rPr>
          <w:rFonts w:hint="eastAsia"/>
          <w:color w:val="000000" w:themeColor="text1"/>
        </w:rPr>
        <w:t>《</w:t>
      </w:r>
      <w:r w:rsidR="00417A3F" w:rsidRPr="00687B52">
        <w:rPr>
          <w:rFonts w:hint="eastAsia"/>
          <w:color w:val="000000" w:themeColor="text1"/>
        </w:rPr>
        <w:t>中华人民共和国</w:t>
      </w:r>
      <w:r w:rsidRPr="00687B52">
        <w:rPr>
          <w:rFonts w:hint="eastAsia"/>
          <w:color w:val="000000" w:themeColor="text1"/>
        </w:rPr>
        <w:t>特种设备安全法》</w:t>
      </w:r>
    </w:p>
    <w:p w:rsidR="00417A3F" w:rsidRPr="00687B52" w:rsidRDefault="00417A3F" w:rsidP="00EF6936">
      <w:pPr>
        <w:pStyle w:val="ae"/>
        <w:ind w:firstLine="560"/>
        <w:rPr>
          <w:color w:val="000000" w:themeColor="text1"/>
        </w:rPr>
      </w:pPr>
      <w:r w:rsidRPr="00687B52">
        <w:rPr>
          <w:rFonts w:hint="eastAsia"/>
          <w:color w:val="000000" w:themeColor="text1"/>
        </w:rPr>
        <w:t>《中华人民共和国公路法》</w:t>
      </w:r>
    </w:p>
    <w:p w:rsidR="00417A3F" w:rsidRPr="00687B52" w:rsidRDefault="00417A3F" w:rsidP="00EF6936">
      <w:pPr>
        <w:pStyle w:val="ae"/>
        <w:ind w:firstLine="560"/>
        <w:rPr>
          <w:color w:val="000000" w:themeColor="text1"/>
        </w:rPr>
      </w:pPr>
      <w:r w:rsidRPr="00687B52">
        <w:rPr>
          <w:rFonts w:hint="eastAsia"/>
          <w:color w:val="000000" w:themeColor="text1"/>
        </w:rPr>
        <w:t>《中华人民共和国铁路法》</w:t>
      </w:r>
    </w:p>
    <w:p w:rsidR="00417A3F" w:rsidRPr="00687B52" w:rsidRDefault="00417A3F" w:rsidP="00EF6936">
      <w:pPr>
        <w:pStyle w:val="ae"/>
        <w:ind w:firstLine="560"/>
        <w:rPr>
          <w:color w:val="000000" w:themeColor="text1"/>
        </w:rPr>
      </w:pPr>
      <w:r w:rsidRPr="00687B52">
        <w:rPr>
          <w:rFonts w:hint="eastAsia"/>
          <w:color w:val="000000" w:themeColor="text1"/>
        </w:rPr>
        <w:t>《中华人民共和国石油天然气管道保护法》</w:t>
      </w:r>
    </w:p>
    <w:p w:rsidR="00E504BB" w:rsidRPr="00687B52" w:rsidRDefault="00E504BB" w:rsidP="00EF6936">
      <w:pPr>
        <w:pStyle w:val="ae"/>
        <w:ind w:firstLine="560"/>
        <w:rPr>
          <w:color w:val="000000" w:themeColor="text1"/>
        </w:rPr>
      </w:pPr>
      <w:r w:rsidRPr="00687B52">
        <w:rPr>
          <w:rFonts w:hint="eastAsia"/>
          <w:color w:val="000000" w:themeColor="text1"/>
        </w:rPr>
        <w:t>《防雷减灾管理办法》</w:t>
      </w:r>
    </w:p>
    <w:p w:rsidR="00E504BB" w:rsidRPr="00687B52" w:rsidRDefault="00E504BB" w:rsidP="00EF6936">
      <w:pPr>
        <w:pStyle w:val="ae"/>
        <w:ind w:firstLine="560"/>
        <w:rPr>
          <w:color w:val="000000" w:themeColor="text1"/>
        </w:rPr>
      </w:pPr>
      <w:r w:rsidRPr="00687B52">
        <w:rPr>
          <w:rFonts w:hint="eastAsia"/>
          <w:color w:val="000000" w:themeColor="text1"/>
        </w:rPr>
        <w:t>《特种设备安全监察条例》</w:t>
      </w:r>
    </w:p>
    <w:p w:rsidR="00E504BB" w:rsidRPr="00687B52" w:rsidRDefault="00E504BB" w:rsidP="00EF6936">
      <w:pPr>
        <w:pStyle w:val="ae"/>
        <w:ind w:firstLine="560"/>
        <w:rPr>
          <w:color w:val="000000" w:themeColor="text1"/>
        </w:rPr>
      </w:pPr>
      <w:r w:rsidRPr="00687B52">
        <w:rPr>
          <w:rFonts w:hint="eastAsia"/>
          <w:color w:val="000000" w:themeColor="text1"/>
        </w:rPr>
        <w:t>《生产安全事故报告和调查处理条例》</w:t>
      </w:r>
    </w:p>
    <w:p w:rsidR="002605C0" w:rsidRPr="00687B52" w:rsidRDefault="002605C0" w:rsidP="00EF6936">
      <w:pPr>
        <w:pStyle w:val="ae"/>
        <w:ind w:firstLine="560"/>
        <w:rPr>
          <w:color w:val="000000" w:themeColor="text1"/>
        </w:rPr>
      </w:pPr>
      <w:r w:rsidRPr="00687B52">
        <w:rPr>
          <w:color w:val="000000" w:themeColor="text1"/>
        </w:rPr>
        <w:t>《公路安全保护条例》</w:t>
      </w:r>
    </w:p>
    <w:p w:rsidR="00616FEA" w:rsidRPr="00687B52" w:rsidRDefault="00616FEA" w:rsidP="00EF6936">
      <w:pPr>
        <w:pStyle w:val="ae"/>
        <w:ind w:firstLine="560"/>
        <w:rPr>
          <w:color w:val="000000" w:themeColor="text1"/>
        </w:rPr>
      </w:pPr>
      <w:r w:rsidRPr="00687B52">
        <w:rPr>
          <w:rFonts w:hint="eastAsia"/>
          <w:color w:val="000000" w:themeColor="text1"/>
        </w:rPr>
        <w:t>《安全生产许可证条例》</w:t>
      </w:r>
    </w:p>
    <w:p w:rsidR="00616FEA" w:rsidRPr="00687B52" w:rsidRDefault="00616FEA" w:rsidP="00EF6936">
      <w:pPr>
        <w:pStyle w:val="ae"/>
        <w:ind w:firstLine="560"/>
        <w:rPr>
          <w:color w:val="000000" w:themeColor="text1"/>
        </w:rPr>
      </w:pPr>
      <w:r w:rsidRPr="00687B52">
        <w:rPr>
          <w:rFonts w:hint="eastAsia"/>
          <w:color w:val="000000" w:themeColor="text1"/>
        </w:rPr>
        <w:t>《危险化学品管理条例》</w:t>
      </w:r>
    </w:p>
    <w:p w:rsidR="00616FEA" w:rsidRPr="00687B52" w:rsidRDefault="00616FEA" w:rsidP="00EF6936">
      <w:pPr>
        <w:pStyle w:val="ae"/>
        <w:ind w:firstLine="560"/>
        <w:rPr>
          <w:color w:val="000000" w:themeColor="text1"/>
        </w:rPr>
      </w:pPr>
      <w:r w:rsidRPr="00687B52">
        <w:rPr>
          <w:rFonts w:hint="eastAsia"/>
          <w:color w:val="000000" w:themeColor="text1"/>
        </w:rPr>
        <w:t>《</w:t>
      </w:r>
      <w:r w:rsidRPr="00687B52">
        <w:rPr>
          <w:color w:val="000000" w:themeColor="text1"/>
        </w:rPr>
        <w:t>国务院安委会关于深入开展涉氨制冷企业液氨使用专项治理的通知</w:t>
      </w:r>
      <w:r w:rsidRPr="00687B52">
        <w:rPr>
          <w:rFonts w:hint="eastAsia"/>
          <w:color w:val="000000" w:themeColor="text1"/>
        </w:rPr>
        <w:t>》</w:t>
      </w:r>
    </w:p>
    <w:p w:rsidR="00616FEA" w:rsidRPr="00687B52" w:rsidRDefault="00616FEA" w:rsidP="00EF6936">
      <w:pPr>
        <w:pStyle w:val="ae"/>
        <w:ind w:firstLine="560"/>
        <w:rPr>
          <w:color w:val="000000" w:themeColor="text1"/>
        </w:rPr>
      </w:pPr>
      <w:r w:rsidRPr="00687B52">
        <w:rPr>
          <w:color w:val="000000" w:themeColor="text1"/>
        </w:rPr>
        <w:t>《国务院安委会办公室关于进一步加强危险化学品安全生产工作的指导意见》</w:t>
      </w:r>
    </w:p>
    <w:p w:rsidR="00952CA3" w:rsidRPr="00687B52" w:rsidRDefault="00952CA3" w:rsidP="00EF6936">
      <w:pPr>
        <w:pStyle w:val="ae"/>
        <w:ind w:firstLine="560"/>
        <w:rPr>
          <w:color w:val="000000" w:themeColor="text1"/>
        </w:rPr>
      </w:pPr>
      <w:r w:rsidRPr="00687B52">
        <w:rPr>
          <w:color w:val="000000" w:themeColor="text1"/>
        </w:rPr>
        <w:t>《国务院安委会关于深入开展涉氨制冷企业液氨使用专项治理的通知》</w:t>
      </w:r>
    </w:p>
    <w:p w:rsidR="00A12E2B" w:rsidRPr="00687B52" w:rsidRDefault="00616FEA" w:rsidP="00EF6936">
      <w:pPr>
        <w:pStyle w:val="ae"/>
        <w:ind w:firstLine="560"/>
        <w:rPr>
          <w:color w:val="000000" w:themeColor="text1"/>
        </w:rPr>
      </w:pPr>
      <w:r w:rsidRPr="00687B52">
        <w:rPr>
          <w:rFonts w:hint="eastAsia"/>
          <w:color w:val="000000" w:themeColor="text1"/>
        </w:rPr>
        <w:t>《交通运输部国家能源局国家安全监管总局关于规范公路桥梁与石油天然气管道交叉工程管理的通知》</w:t>
      </w:r>
    </w:p>
    <w:p w:rsidR="00952CA3" w:rsidRPr="00687B52" w:rsidRDefault="00952CA3" w:rsidP="00EF6936">
      <w:pPr>
        <w:pStyle w:val="ae"/>
        <w:ind w:firstLine="560"/>
        <w:rPr>
          <w:color w:val="000000" w:themeColor="text1"/>
        </w:rPr>
      </w:pPr>
      <w:r w:rsidRPr="00687B52">
        <w:rPr>
          <w:color w:val="000000" w:themeColor="text1"/>
        </w:rPr>
        <w:t>《危险化学品储存场所安全专项整治工作方案》</w:t>
      </w:r>
    </w:p>
    <w:p w:rsidR="00E504BB" w:rsidRPr="00687B52" w:rsidRDefault="00F273C7" w:rsidP="00EF6936">
      <w:pPr>
        <w:pStyle w:val="ae"/>
        <w:ind w:firstLine="560"/>
        <w:rPr>
          <w:color w:val="000000" w:themeColor="text1"/>
        </w:rPr>
      </w:pPr>
      <w:r w:rsidRPr="00687B52">
        <w:rPr>
          <w:color w:val="000000" w:themeColor="text1"/>
        </w:rPr>
        <w:t>《国家安全监管总局关于印发淘汰落后安全技术装备目录（</w:t>
      </w:r>
      <w:r w:rsidRPr="00687B52">
        <w:rPr>
          <w:color w:val="000000" w:themeColor="text1"/>
        </w:rPr>
        <w:t>2015</w:t>
      </w:r>
      <w:r w:rsidRPr="00687B52">
        <w:rPr>
          <w:color w:val="000000" w:themeColor="text1"/>
        </w:rPr>
        <w:t>年第一批）的通知》</w:t>
      </w:r>
    </w:p>
    <w:p w:rsidR="00616FEA" w:rsidRPr="00687B52" w:rsidRDefault="00616FEA" w:rsidP="00EF6936">
      <w:pPr>
        <w:pStyle w:val="ae"/>
        <w:ind w:firstLine="560"/>
        <w:rPr>
          <w:color w:val="000000" w:themeColor="text1"/>
        </w:rPr>
      </w:pPr>
      <w:r w:rsidRPr="00687B52">
        <w:rPr>
          <w:color w:val="000000" w:themeColor="text1"/>
        </w:rPr>
        <w:t>《国家安全监管总局关于印发淘汰落后安全技术工艺、设备目录（</w:t>
      </w:r>
      <w:r w:rsidRPr="00687B52">
        <w:rPr>
          <w:color w:val="000000" w:themeColor="text1"/>
        </w:rPr>
        <w:t>2016</w:t>
      </w:r>
      <w:r w:rsidRPr="00687B52">
        <w:rPr>
          <w:color w:val="000000" w:themeColor="text1"/>
        </w:rPr>
        <w:t>年）的通知》</w:t>
      </w:r>
    </w:p>
    <w:p w:rsidR="00CC355F" w:rsidRPr="00687B52" w:rsidRDefault="00CC355F" w:rsidP="00EF6936">
      <w:pPr>
        <w:pStyle w:val="ae"/>
        <w:ind w:firstLine="560"/>
        <w:rPr>
          <w:color w:val="000000" w:themeColor="text1"/>
        </w:rPr>
      </w:pPr>
      <w:r w:rsidRPr="00687B52">
        <w:rPr>
          <w:rFonts w:hint="eastAsia"/>
          <w:color w:val="000000" w:themeColor="text1"/>
        </w:rPr>
        <w:t>《国家安全监管总局关于公布首批重点监管的危险化工工艺目录的通知》</w:t>
      </w:r>
    </w:p>
    <w:p w:rsidR="00CC355F" w:rsidRPr="00687B52" w:rsidRDefault="00CC355F" w:rsidP="00EF6936">
      <w:pPr>
        <w:pStyle w:val="ae"/>
        <w:ind w:firstLine="560"/>
        <w:rPr>
          <w:color w:val="000000" w:themeColor="text1"/>
        </w:rPr>
      </w:pPr>
      <w:r w:rsidRPr="00687B52">
        <w:rPr>
          <w:rFonts w:hint="eastAsia"/>
          <w:color w:val="000000" w:themeColor="text1"/>
        </w:rPr>
        <w:t>《</w:t>
      </w:r>
      <w:r w:rsidRPr="00687B52">
        <w:rPr>
          <w:color w:val="000000" w:themeColor="text1"/>
        </w:rPr>
        <w:t>国家安全监管总局关于公布第二批重点监管危险化工工艺目录和调整首批重点监管危险化工工艺中部分典型工艺的通知</w:t>
      </w:r>
      <w:r w:rsidRPr="00687B52">
        <w:rPr>
          <w:rFonts w:hint="eastAsia"/>
          <w:color w:val="000000" w:themeColor="text1"/>
        </w:rPr>
        <w:t>》</w:t>
      </w:r>
    </w:p>
    <w:p w:rsidR="00CC355F" w:rsidRPr="00687B52" w:rsidRDefault="00CC355F" w:rsidP="00EF6936">
      <w:pPr>
        <w:pStyle w:val="ae"/>
        <w:ind w:firstLine="560"/>
        <w:rPr>
          <w:color w:val="000000" w:themeColor="text1"/>
        </w:rPr>
      </w:pPr>
      <w:r w:rsidRPr="00687B52">
        <w:rPr>
          <w:rFonts w:hint="eastAsia"/>
          <w:color w:val="000000" w:themeColor="text1"/>
        </w:rPr>
        <w:t>《国家安全监管总局关于公布首批重点监管的危险化学品名录的通知》</w:t>
      </w:r>
    </w:p>
    <w:p w:rsidR="00CC355F" w:rsidRPr="00687B52" w:rsidRDefault="00CC355F" w:rsidP="00EF6936">
      <w:pPr>
        <w:pStyle w:val="ae"/>
        <w:ind w:firstLine="560"/>
        <w:rPr>
          <w:color w:val="000000" w:themeColor="text1"/>
        </w:rPr>
      </w:pPr>
      <w:r w:rsidRPr="00687B52">
        <w:rPr>
          <w:rFonts w:hint="eastAsia"/>
          <w:color w:val="000000" w:themeColor="text1"/>
        </w:rPr>
        <w:lastRenderedPageBreak/>
        <w:t>《国家安全监管总局关于公布第二批重点监管危险化学品名录的通知》</w:t>
      </w:r>
    </w:p>
    <w:p w:rsidR="00D20A06" w:rsidRPr="00687B52" w:rsidRDefault="00E504BB" w:rsidP="00EF6936">
      <w:pPr>
        <w:pStyle w:val="ae"/>
        <w:ind w:firstLine="560"/>
        <w:rPr>
          <w:color w:val="000000" w:themeColor="text1"/>
        </w:rPr>
      </w:pPr>
      <w:r w:rsidRPr="00687B52">
        <w:rPr>
          <w:rFonts w:hint="eastAsia"/>
          <w:color w:val="000000" w:themeColor="text1"/>
        </w:rPr>
        <w:t>《危险化学品生产企业安全生产许可证实施办法》</w:t>
      </w:r>
    </w:p>
    <w:p w:rsidR="00E504BB" w:rsidRPr="00687B52" w:rsidRDefault="00E504BB" w:rsidP="00EF6936">
      <w:pPr>
        <w:pStyle w:val="ae"/>
        <w:ind w:firstLine="560"/>
        <w:rPr>
          <w:color w:val="000000" w:themeColor="text1"/>
        </w:rPr>
      </w:pPr>
      <w:r w:rsidRPr="00687B52">
        <w:rPr>
          <w:rFonts w:hint="eastAsia"/>
          <w:color w:val="000000" w:themeColor="text1"/>
        </w:rPr>
        <w:t>《危险化学品经营许可证管理办法》</w:t>
      </w:r>
    </w:p>
    <w:p w:rsidR="00E504BB" w:rsidRPr="00687B52" w:rsidRDefault="00E504BB" w:rsidP="00EF6936">
      <w:pPr>
        <w:pStyle w:val="ae"/>
        <w:ind w:firstLine="560"/>
        <w:rPr>
          <w:color w:val="000000" w:themeColor="text1"/>
        </w:rPr>
      </w:pPr>
      <w:r w:rsidRPr="00687B52">
        <w:rPr>
          <w:rFonts w:hint="eastAsia"/>
          <w:color w:val="000000" w:themeColor="text1"/>
        </w:rPr>
        <w:t>《危险化学品安全使用许可证实施办法》</w:t>
      </w:r>
    </w:p>
    <w:p w:rsidR="00E504BB" w:rsidRPr="00687B52" w:rsidRDefault="00E504BB" w:rsidP="00EF6936">
      <w:pPr>
        <w:pStyle w:val="ae"/>
        <w:ind w:firstLine="560"/>
        <w:rPr>
          <w:color w:val="000000" w:themeColor="text1"/>
        </w:rPr>
      </w:pPr>
      <w:r w:rsidRPr="00687B52">
        <w:rPr>
          <w:rFonts w:hint="eastAsia"/>
          <w:color w:val="000000" w:themeColor="text1"/>
        </w:rPr>
        <w:t>《建设项目安全设施“三同时”监督管理办法》</w:t>
      </w:r>
    </w:p>
    <w:p w:rsidR="00E504BB" w:rsidRPr="00687B52" w:rsidRDefault="00E504BB" w:rsidP="00EF6936">
      <w:pPr>
        <w:pStyle w:val="ae"/>
        <w:ind w:firstLine="560"/>
        <w:rPr>
          <w:color w:val="000000" w:themeColor="text1"/>
        </w:rPr>
      </w:pPr>
      <w:r w:rsidRPr="00687B52">
        <w:rPr>
          <w:rFonts w:hint="eastAsia"/>
          <w:color w:val="000000" w:themeColor="text1"/>
        </w:rPr>
        <w:t>《建设项目职业病防护设施“三同时”监督管理办法》</w:t>
      </w:r>
    </w:p>
    <w:p w:rsidR="00E504BB" w:rsidRPr="00687B52" w:rsidRDefault="00E504BB" w:rsidP="00EF6936">
      <w:pPr>
        <w:pStyle w:val="ae"/>
        <w:ind w:firstLine="560"/>
        <w:rPr>
          <w:color w:val="000000" w:themeColor="text1"/>
        </w:rPr>
      </w:pPr>
      <w:r w:rsidRPr="00687B52">
        <w:rPr>
          <w:rFonts w:hint="eastAsia"/>
          <w:color w:val="000000" w:themeColor="text1"/>
        </w:rPr>
        <w:t>《企业安全生产费用提取和使用管理办法》</w:t>
      </w:r>
    </w:p>
    <w:p w:rsidR="00E504BB" w:rsidRPr="00687B52" w:rsidRDefault="00E504BB" w:rsidP="00EF6936">
      <w:pPr>
        <w:pStyle w:val="ae"/>
        <w:ind w:firstLine="560"/>
        <w:rPr>
          <w:color w:val="000000" w:themeColor="text1"/>
        </w:rPr>
      </w:pPr>
      <w:r w:rsidRPr="00687B52">
        <w:rPr>
          <w:rFonts w:hint="eastAsia"/>
          <w:color w:val="000000" w:themeColor="text1"/>
        </w:rPr>
        <w:t>《特种作业人员安全技术培训考核管理规定》</w:t>
      </w:r>
    </w:p>
    <w:p w:rsidR="00E504BB" w:rsidRPr="00687B52" w:rsidRDefault="00E504BB" w:rsidP="00EF6936">
      <w:pPr>
        <w:pStyle w:val="ae"/>
        <w:ind w:firstLine="560"/>
        <w:rPr>
          <w:color w:val="000000" w:themeColor="text1"/>
        </w:rPr>
      </w:pPr>
      <w:r w:rsidRPr="00687B52">
        <w:rPr>
          <w:rFonts w:hint="eastAsia"/>
          <w:color w:val="000000" w:themeColor="text1"/>
        </w:rPr>
        <w:t>《生产经营单位安全培训规定》</w:t>
      </w:r>
    </w:p>
    <w:p w:rsidR="00E504BB" w:rsidRPr="00687B52" w:rsidRDefault="00E504BB" w:rsidP="00EF6936">
      <w:pPr>
        <w:pStyle w:val="ae"/>
        <w:ind w:firstLine="560"/>
        <w:rPr>
          <w:color w:val="000000" w:themeColor="text1"/>
        </w:rPr>
      </w:pPr>
      <w:r w:rsidRPr="00687B52">
        <w:rPr>
          <w:rFonts w:hint="eastAsia"/>
          <w:color w:val="000000" w:themeColor="text1"/>
        </w:rPr>
        <w:t>《安全生产事故隐患排查治理暂行规定》</w:t>
      </w:r>
    </w:p>
    <w:p w:rsidR="00E504BB" w:rsidRPr="00687B52" w:rsidRDefault="00E504BB" w:rsidP="00EF6936">
      <w:pPr>
        <w:pStyle w:val="ae"/>
        <w:ind w:firstLine="560"/>
        <w:rPr>
          <w:color w:val="000000" w:themeColor="text1"/>
        </w:rPr>
      </w:pPr>
      <w:r w:rsidRPr="00687B52">
        <w:rPr>
          <w:rFonts w:hint="eastAsia"/>
          <w:color w:val="000000" w:themeColor="text1"/>
        </w:rPr>
        <w:t>《危险化学品重大危险源监督管理暂行规定》</w:t>
      </w:r>
    </w:p>
    <w:p w:rsidR="00257FB4" w:rsidRPr="00687B52" w:rsidRDefault="00257FB4" w:rsidP="00EF6936">
      <w:pPr>
        <w:pStyle w:val="ae"/>
        <w:ind w:firstLine="560"/>
        <w:rPr>
          <w:color w:val="000000" w:themeColor="text1"/>
        </w:rPr>
      </w:pPr>
      <w:r w:rsidRPr="00687B52">
        <w:rPr>
          <w:rFonts w:hint="eastAsia"/>
          <w:color w:val="000000" w:themeColor="text1"/>
        </w:rPr>
        <w:t>《氯碱（烧碱、聚氯乙烯）行业准入条件》</w:t>
      </w:r>
    </w:p>
    <w:p w:rsidR="00257FB4" w:rsidRPr="00687B52" w:rsidRDefault="00417A3F" w:rsidP="00EF6936">
      <w:pPr>
        <w:pStyle w:val="ae"/>
        <w:ind w:firstLine="560"/>
        <w:rPr>
          <w:color w:val="000000" w:themeColor="text1"/>
        </w:rPr>
      </w:pPr>
      <w:r w:rsidRPr="00687B52">
        <w:rPr>
          <w:rFonts w:hint="eastAsia"/>
          <w:color w:val="000000" w:themeColor="text1"/>
        </w:rPr>
        <w:t>《危险化学品输送管道安全管理规定》</w:t>
      </w:r>
    </w:p>
    <w:p w:rsidR="00E504BB" w:rsidRPr="00687B52" w:rsidRDefault="00E504BB" w:rsidP="00EF6936">
      <w:pPr>
        <w:pStyle w:val="ae"/>
        <w:ind w:firstLine="560"/>
        <w:rPr>
          <w:color w:val="000000" w:themeColor="text1"/>
        </w:rPr>
      </w:pPr>
      <w:r w:rsidRPr="00687B52">
        <w:rPr>
          <w:rFonts w:hint="eastAsia"/>
          <w:color w:val="000000" w:themeColor="text1"/>
        </w:rPr>
        <w:t>《生产安全事故应急预案管理办法》</w:t>
      </w:r>
    </w:p>
    <w:p w:rsidR="00F70472" w:rsidRPr="00687B52" w:rsidRDefault="00F70472" w:rsidP="00EF6936">
      <w:pPr>
        <w:pStyle w:val="ae"/>
        <w:ind w:firstLine="560"/>
        <w:rPr>
          <w:color w:val="000000" w:themeColor="text1"/>
        </w:rPr>
      </w:pPr>
      <w:r w:rsidRPr="00687B52">
        <w:rPr>
          <w:color w:val="000000" w:themeColor="text1"/>
        </w:rPr>
        <w:t>《工作场所职业卫生监督管理规定》</w:t>
      </w:r>
    </w:p>
    <w:p w:rsidR="00F70472" w:rsidRPr="00687B52" w:rsidRDefault="00F70472" w:rsidP="00EF6936">
      <w:pPr>
        <w:pStyle w:val="ae"/>
        <w:ind w:firstLine="560"/>
        <w:rPr>
          <w:color w:val="000000" w:themeColor="text1"/>
        </w:rPr>
      </w:pPr>
      <w:r w:rsidRPr="00687B52">
        <w:rPr>
          <w:rFonts w:hint="eastAsia"/>
          <w:color w:val="000000" w:themeColor="text1"/>
        </w:rPr>
        <w:t>《用人单位职业健康监督管理办法》</w:t>
      </w:r>
    </w:p>
    <w:p w:rsidR="00F70472" w:rsidRPr="00687B52" w:rsidRDefault="007D0F83" w:rsidP="00EF6936">
      <w:pPr>
        <w:pStyle w:val="ae"/>
        <w:ind w:firstLine="560"/>
        <w:rPr>
          <w:color w:val="000000" w:themeColor="text1"/>
        </w:rPr>
      </w:pPr>
      <w:r w:rsidRPr="00687B52">
        <w:rPr>
          <w:rFonts w:hint="eastAsia"/>
          <w:color w:val="000000" w:themeColor="text1"/>
        </w:rPr>
        <w:t>《用人单位劳动防护用品管理规范》</w:t>
      </w:r>
    </w:p>
    <w:p w:rsidR="00FC3BA1" w:rsidRPr="00687B52" w:rsidRDefault="00FC3BA1" w:rsidP="00EF6936">
      <w:pPr>
        <w:pStyle w:val="ae"/>
        <w:ind w:firstLine="560"/>
        <w:rPr>
          <w:color w:val="000000" w:themeColor="text1"/>
        </w:rPr>
      </w:pPr>
      <w:r w:rsidRPr="00687B52">
        <w:rPr>
          <w:rFonts w:hint="eastAsia"/>
          <w:color w:val="000000" w:themeColor="text1"/>
        </w:rPr>
        <w:t>《化工（危险化学品）企业安全检查重点指导目录》</w:t>
      </w:r>
    </w:p>
    <w:p w:rsidR="00E504BB" w:rsidRPr="00687B52" w:rsidRDefault="00E504BB" w:rsidP="00EF6936">
      <w:pPr>
        <w:pStyle w:val="ae"/>
        <w:ind w:firstLine="560"/>
        <w:rPr>
          <w:color w:val="000000" w:themeColor="text1"/>
        </w:rPr>
      </w:pPr>
      <w:r w:rsidRPr="00687B52">
        <w:rPr>
          <w:rFonts w:hint="eastAsia"/>
          <w:color w:val="000000" w:themeColor="text1"/>
        </w:rPr>
        <w:t>《湖南省安全生产条例》</w:t>
      </w:r>
    </w:p>
    <w:p w:rsidR="003D0488" w:rsidRPr="00687B52" w:rsidRDefault="003D0488" w:rsidP="00EF6936">
      <w:pPr>
        <w:pStyle w:val="ae"/>
        <w:ind w:firstLine="560"/>
        <w:rPr>
          <w:color w:val="000000" w:themeColor="text1"/>
        </w:rPr>
      </w:pPr>
      <w:r w:rsidRPr="00687B52">
        <w:rPr>
          <w:rFonts w:hint="eastAsia"/>
          <w:color w:val="000000" w:themeColor="text1"/>
        </w:rPr>
        <w:t>《爆炸危险场所安全规定》</w:t>
      </w:r>
    </w:p>
    <w:p w:rsidR="003D0488" w:rsidRPr="00687B52" w:rsidRDefault="003D0488" w:rsidP="00EF6936">
      <w:pPr>
        <w:pStyle w:val="ae"/>
        <w:ind w:firstLine="560"/>
        <w:rPr>
          <w:color w:val="000000" w:themeColor="text1"/>
        </w:rPr>
      </w:pPr>
      <w:r w:rsidRPr="00687B52">
        <w:rPr>
          <w:rFonts w:hint="eastAsia"/>
          <w:color w:val="000000" w:themeColor="text1"/>
        </w:rPr>
        <w:t>《有机热载体炉安全技术监察规程》</w:t>
      </w:r>
    </w:p>
    <w:p w:rsidR="00616FEA" w:rsidRPr="00687B52" w:rsidRDefault="000E293C" w:rsidP="00EF6936">
      <w:pPr>
        <w:pStyle w:val="ae"/>
        <w:ind w:firstLine="560"/>
        <w:rPr>
          <w:color w:val="000000" w:themeColor="text1"/>
        </w:rPr>
      </w:pPr>
      <w:r w:rsidRPr="00687B52">
        <w:rPr>
          <w:color w:val="000000" w:themeColor="text1"/>
        </w:rPr>
        <w:t>《危险化学品从业单位安全生产标准化评审标准》</w:t>
      </w:r>
    </w:p>
    <w:p w:rsidR="000E293C" w:rsidRPr="00687B52" w:rsidRDefault="009A6389" w:rsidP="00EF6936">
      <w:pPr>
        <w:pStyle w:val="ae"/>
        <w:ind w:firstLine="560"/>
        <w:rPr>
          <w:color w:val="000000" w:themeColor="text1"/>
        </w:rPr>
      </w:pPr>
      <w:r w:rsidRPr="00687B52">
        <w:rPr>
          <w:color w:val="000000" w:themeColor="text1"/>
        </w:rPr>
        <w:t>《光气及光气化产品安全生产管理指南》</w:t>
      </w:r>
    </w:p>
    <w:p w:rsidR="006E7A37" w:rsidRPr="00687B52" w:rsidRDefault="006E7A37" w:rsidP="00EF6936">
      <w:pPr>
        <w:pStyle w:val="ae"/>
        <w:ind w:firstLine="560"/>
        <w:rPr>
          <w:color w:val="000000" w:themeColor="text1"/>
        </w:rPr>
      </w:pPr>
      <w:r w:rsidRPr="00687B52">
        <w:rPr>
          <w:color w:val="000000" w:themeColor="text1"/>
        </w:rPr>
        <w:t>《小氮肥安全技术规程》</w:t>
      </w:r>
    </w:p>
    <w:p w:rsidR="00E504BB" w:rsidRPr="00687B52" w:rsidRDefault="00E504BB" w:rsidP="00EF6936">
      <w:pPr>
        <w:pStyle w:val="ae"/>
        <w:ind w:firstLine="560"/>
        <w:rPr>
          <w:color w:val="000000" w:themeColor="text1"/>
        </w:rPr>
      </w:pPr>
      <w:r w:rsidRPr="00687B52">
        <w:rPr>
          <w:rFonts w:hint="eastAsia"/>
          <w:color w:val="000000" w:themeColor="text1"/>
        </w:rPr>
        <w:t>GB30871</w:t>
      </w:r>
      <w:r w:rsidRPr="00687B52">
        <w:rPr>
          <w:rFonts w:hint="eastAsia"/>
          <w:color w:val="000000" w:themeColor="text1"/>
        </w:rPr>
        <w:t>《化学品生产单位特殊作业安全规范》</w:t>
      </w:r>
    </w:p>
    <w:p w:rsidR="00E504BB" w:rsidRPr="00687B52" w:rsidRDefault="00616FEA" w:rsidP="00EF6936">
      <w:pPr>
        <w:pStyle w:val="ae"/>
        <w:ind w:firstLine="560"/>
        <w:rPr>
          <w:color w:val="000000" w:themeColor="text1"/>
        </w:rPr>
      </w:pPr>
      <w:r w:rsidRPr="00687B52">
        <w:rPr>
          <w:rFonts w:hint="eastAsia"/>
          <w:color w:val="000000" w:themeColor="text1"/>
        </w:rPr>
        <w:t>GB16483</w:t>
      </w:r>
      <w:r w:rsidR="00E504BB" w:rsidRPr="00687B52">
        <w:rPr>
          <w:rFonts w:hint="eastAsia"/>
          <w:color w:val="000000" w:themeColor="text1"/>
        </w:rPr>
        <w:t>《化学品安全技术说明书内容和项目顺序》</w:t>
      </w:r>
    </w:p>
    <w:p w:rsidR="00E504BB" w:rsidRPr="00687B52" w:rsidRDefault="00616FEA" w:rsidP="00EF6936">
      <w:pPr>
        <w:pStyle w:val="ae"/>
        <w:ind w:firstLine="560"/>
        <w:rPr>
          <w:color w:val="000000" w:themeColor="text1"/>
        </w:rPr>
      </w:pPr>
      <w:r w:rsidRPr="00687B52">
        <w:rPr>
          <w:rFonts w:hint="eastAsia"/>
          <w:color w:val="000000" w:themeColor="text1"/>
        </w:rPr>
        <w:t>GB15258</w:t>
      </w:r>
      <w:r w:rsidR="00E504BB" w:rsidRPr="00687B52">
        <w:rPr>
          <w:rFonts w:hint="eastAsia"/>
          <w:color w:val="000000" w:themeColor="text1"/>
        </w:rPr>
        <w:t>《化学品安全标签编写规定》</w:t>
      </w:r>
    </w:p>
    <w:p w:rsidR="001678F7" w:rsidRPr="00687B52" w:rsidRDefault="006E7A37" w:rsidP="00EF6936">
      <w:pPr>
        <w:pStyle w:val="ae"/>
        <w:ind w:firstLine="560"/>
        <w:rPr>
          <w:color w:val="000000" w:themeColor="text1"/>
        </w:rPr>
      </w:pPr>
      <w:r w:rsidRPr="00687B52">
        <w:rPr>
          <w:rFonts w:hint="eastAsia"/>
          <w:color w:val="000000" w:themeColor="text1"/>
        </w:rPr>
        <w:lastRenderedPageBreak/>
        <w:t>GB158</w:t>
      </w:r>
      <w:r w:rsidR="00F70472" w:rsidRPr="00687B52">
        <w:rPr>
          <w:rFonts w:hint="eastAsia"/>
          <w:color w:val="000000" w:themeColor="text1"/>
        </w:rPr>
        <w:t>《工作场所职业病危害警示标识》</w:t>
      </w:r>
    </w:p>
    <w:p w:rsidR="001678F7" w:rsidRPr="00687B52" w:rsidRDefault="00616FEA" w:rsidP="00EF6936">
      <w:pPr>
        <w:pStyle w:val="ae"/>
        <w:ind w:firstLine="560"/>
        <w:rPr>
          <w:color w:val="000000" w:themeColor="text1"/>
        </w:rPr>
      </w:pPr>
      <w:r w:rsidRPr="00687B52">
        <w:rPr>
          <w:color w:val="000000" w:themeColor="text1"/>
        </w:rPr>
        <w:t>GBZ/T203</w:t>
      </w:r>
      <w:r w:rsidRPr="00687B52">
        <w:rPr>
          <w:color w:val="000000" w:themeColor="text1"/>
        </w:rPr>
        <w:t>《高毒物品作业岗位职业病危害告知规范》</w:t>
      </w:r>
    </w:p>
    <w:p w:rsidR="00F70472" w:rsidRPr="00687B52" w:rsidRDefault="00616FEA" w:rsidP="00EF6936">
      <w:pPr>
        <w:pStyle w:val="ae"/>
        <w:ind w:firstLine="560"/>
        <w:rPr>
          <w:color w:val="000000" w:themeColor="text1"/>
        </w:rPr>
      </w:pPr>
      <w:r w:rsidRPr="00687B52">
        <w:rPr>
          <w:color w:val="000000" w:themeColor="text1"/>
        </w:rPr>
        <w:t>GB/T11651</w:t>
      </w:r>
      <w:r w:rsidRPr="00687B52">
        <w:rPr>
          <w:rFonts w:hint="eastAsia"/>
          <w:color w:val="000000" w:themeColor="text1"/>
        </w:rPr>
        <w:t>《个体防护装备选用规范》</w:t>
      </w:r>
    </w:p>
    <w:p w:rsidR="00F70472" w:rsidRPr="00687B52" w:rsidRDefault="00616FEA" w:rsidP="00EF6936">
      <w:pPr>
        <w:pStyle w:val="ae"/>
        <w:ind w:firstLine="560"/>
        <w:rPr>
          <w:color w:val="000000" w:themeColor="text1"/>
        </w:rPr>
      </w:pPr>
      <w:r w:rsidRPr="00687B52">
        <w:rPr>
          <w:rFonts w:hint="eastAsia"/>
          <w:color w:val="000000" w:themeColor="text1"/>
        </w:rPr>
        <w:t>GB/T12801</w:t>
      </w:r>
      <w:r w:rsidR="00F70472" w:rsidRPr="00687B52">
        <w:rPr>
          <w:rFonts w:hint="eastAsia"/>
          <w:color w:val="000000" w:themeColor="text1"/>
        </w:rPr>
        <w:t>《生产过程安全卫生要求总则》</w:t>
      </w:r>
    </w:p>
    <w:p w:rsidR="00F70472" w:rsidRPr="00687B52" w:rsidRDefault="00616FEA" w:rsidP="00EF6936">
      <w:pPr>
        <w:pStyle w:val="ae"/>
        <w:ind w:firstLine="560"/>
        <w:rPr>
          <w:color w:val="000000" w:themeColor="text1"/>
        </w:rPr>
      </w:pPr>
      <w:r w:rsidRPr="00687B52">
        <w:rPr>
          <w:rFonts w:hint="eastAsia"/>
          <w:color w:val="000000" w:themeColor="text1"/>
        </w:rPr>
        <w:t>GB15630</w:t>
      </w:r>
      <w:r w:rsidR="00F70472" w:rsidRPr="00687B52">
        <w:rPr>
          <w:rFonts w:hint="eastAsia"/>
          <w:color w:val="000000" w:themeColor="text1"/>
        </w:rPr>
        <w:t>《消防安全标志设置要求》</w:t>
      </w:r>
    </w:p>
    <w:p w:rsidR="000771C5" w:rsidRPr="00687B52" w:rsidRDefault="00616FEA" w:rsidP="00EF6936">
      <w:pPr>
        <w:pStyle w:val="ae"/>
        <w:ind w:firstLine="560"/>
        <w:rPr>
          <w:color w:val="000000" w:themeColor="text1"/>
        </w:rPr>
      </w:pPr>
      <w:r w:rsidRPr="00687B52">
        <w:rPr>
          <w:rFonts w:hint="eastAsia"/>
          <w:color w:val="000000" w:themeColor="text1"/>
        </w:rPr>
        <w:t>GB2894</w:t>
      </w:r>
      <w:r w:rsidR="007D0F83" w:rsidRPr="00687B52">
        <w:rPr>
          <w:rFonts w:hint="eastAsia"/>
          <w:color w:val="000000" w:themeColor="text1"/>
        </w:rPr>
        <w:t>《安全标志及其使用导则》</w:t>
      </w:r>
    </w:p>
    <w:p w:rsidR="007D0F83" w:rsidRPr="00687B52" w:rsidRDefault="00616FEA" w:rsidP="00EF6936">
      <w:pPr>
        <w:pStyle w:val="ae"/>
        <w:ind w:firstLine="560"/>
        <w:rPr>
          <w:color w:val="000000" w:themeColor="text1"/>
        </w:rPr>
      </w:pPr>
      <w:r w:rsidRPr="00687B52">
        <w:rPr>
          <w:color w:val="000000" w:themeColor="text1"/>
        </w:rPr>
        <w:t>GB</w:t>
      </w:r>
      <w:r w:rsidRPr="00687B52">
        <w:rPr>
          <w:rFonts w:hint="eastAsia"/>
          <w:color w:val="000000" w:themeColor="text1"/>
        </w:rPr>
        <w:t>/</w:t>
      </w:r>
      <w:r w:rsidRPr="00687B52">
        <w:rPr>
          <w:color w:val="000000" w:themeColor="text1"/>
        </w:rPr>
        <w:t>T11651</w:t>
      </w:r>
      <w:r w:rsidR="007D0F83" w:rsidRPr="00687B52">
        <w:rPr>
          <w:rFonts w:hint="eastAsia"/>
          <w:color w:val="000000" w:themeColor="text1"/>
        </w:rPr>
        <w:t>《</w:t>
      </w:r>
      <w:r w:rsidR="007D0F83" w:rsidRPr="00687B52">
        <w:rPr>
          <w:color w:val="000000" w:themeColor="text1"/>
        </w:rPr>
        <w:t>个体防护装备选用规范</w:t>
      </w:r>
      <w:r w:rsidR="007D0F83" w:rsidRPr="00687B52">
        <w:rPr>
          <w:rFonts w:hint="eastAsia"/>
          <w:color w:val="000000" w:themeColor="text1"/>
        </w:rPr>
        <w:t>》</w:t>
      </w:r>
    </w:p>
    <w:p w:rsidR="00C85E5A" w:rsidRPr="00687B52" w:rsidRDefault="00616FEA" w:rsidP="00EF6936">
      <w:pPr>
        <w:pStyle w:val="ae"/>
        <w:ind w:firstLine="560"/>
        <w:rPr>
          <w:color w:val="000000" w:themeColor="text1"/>
        </w:rPr>
      </w:pPr>
      <w:r w:rsidRPr="00687B52">
        <w:rPr>
          <w:rFonts w:hint="eastAsia"/>
          <w:color w:val="000000" w:themeColor="text1"/>
        </w:rPr>
        <w:t>GB4053.1</w:t>
      </w:r>
      <w:r w:rsidR="003B14D3" w:rsidRPr="00687B52">
        <w:rPr>
          <w:rFonts w:hint="eastAsia"/>
          <w:color w:val="000000" w:themeColor="text1"/>
        </w:rPr>
        <w:t>《</w:t>
      </w:r>
      <w:r w:rsidR="009A6389" w:rsidRPr="00687B52">
        <w:rPr>
          <w:rFonts w:hint="eastAsia"/>
          <w:color w:val="000000" w:themeColor="text1"/>
        </w:rPr>
        <w:t>固定式钢梯及平台安全要求第</w:t>
      </w:r>
      <w:r w:rsidR="009A6389" w:rsidRPr="00687B52">
        <w:rPr>
          <w:rFonts w:hint="eastAsia"/>
          <w:color w:val="000000" w:themeColor="text1"/>
        </w:rPr>
        <w:t>1</w:t>
      </w:r>
      <w:r w:rsidR="009A6389" w:rsidRPr="00687B52">
        <w:rPr>
          <w:rFonts w:hint="eastAsia"/>
          <w:color w:val="000000" w:themeColor="text1"/>
        </w:rPr>
        <w:t>部分：钢直梯</w:t>
      </w:r>
      <w:r w:rsidR="003B14D3" w:rsidRPr="00687B52">
        <w:rPr>
          <w:rFonts w:hint="eastAsia"/>
          <w:color w:val="000000" w:themeColor="text1"/>
        </w:rPr>
        <w:t>》</w:t>
      </w:r>
    </w:p>
    <w:p w:rsidR="009A6389" w:rsidRPr="00687B52" w:rsidRDefault="00616FEA" w:rsidP="00EF6936">
      <w:pPr>
        <w:pStyle w:val="ae"/>
        <w:ind w:firstLine="560"/>
        <w:rPr>
          <w:color w:val="000000" w:themeColor="text1"/>
        </w:rPr>
      </w:pPr>
      <w:r w:rsidRPr="00687B52">
        <w:rPr>
          <w:rFonts w:hint="eastAsia"/>
          <w:color w:val="000000" w:themeColor="text1"/>
        </w:rPr>
        <w:t>GB4053.2</w:t>
      </w:r>
      <w:r w:rsidR="009A6389" w:rsidRPr="00687B52">
        <w:rPr>
          <w:rFonts w:hint="eastAsia"/>
          <w:color w:val="000000" w:themeColor="text1"/>
        </w:rPr>
        <w:t>《固定式钢梯及平台安全要求第</w:t>
      </w:r>
      <w:r w:rsidR="009A6389" w:rsidRPr="00687B52">
        <w:rPr>
          <w:rFonts w:hint="eastAsia"/>
          <w:color w:val="000000" w:themeColor="text1"/>
        </w:rPr>
        <w:t>2</w:t>
      </w:r>
      <w:r w:rsidR="009A6389" w:rsidRPr="00687B52">
        <w:rPr>
          <w:rFonts w:hint="eastAsia"/>
          <w:color w:val="000000" w:themeColor="text1"/>
        </w:rPr>
        <w:t>部分：钢斜梯</w:t>
      </w:r>
      <w:bookmarkStart w:id="5" w:name="1"/>
      <w:bookmarkEnd w:id="5"/>
      <w:r w:rsidR="009A6389" w:rsidRPr="00687B52">
        <w:rPr>
          <w:rFonts w:hint="eastAsia"/>
          <w:color w:val="000000" w:themeColor="text1"/>
        </w:rPr>
        <w:t>》</w:t>
      </w:r>
    </w:p>
    <w:p w:rsidR="000C7E3D" w:rsidRPr="00687B52" w:rsidRDefault="00616FEA" w:rsidP="00EF6936">
      <w:pPr>
        <w:pStyle w:val="ae"/>
        <w:ind w:firstLine="560"/>
        <w:rPr>
          <w:color w:val="000000" w:themeColor="text1"/>
        </w:rPr>
      </w:pPr>
      <w:r w:rsidRPr="00687B52">
        <w:rPr>
          <w:color w:val="000000" w:themeColor="text1"/>
        </w:rPr>
        <w:t>GB4053.3</w:t>
      </w:r>
      <w:r w:rsidR="000C7E3D" w:rsidRPr="00687B52">
        <w:rPr>
          <w:color w:val="000000" w:themeColor="text1"/>
        </w:rPr>
        <w:t>《</w:t>
      </w:r>
      <w:r w:rsidR="000C7E3D" w:rsidRPr="00687B52">
        <w:rPr>
          <w:rFonts w:hint="eastAsia"/>
          <w:color w:val="000000" w:themeColor="text1"/>
        </w:rPr>
        <w:t>固定式钢梯及平台安全要求第</w:t>
      </w:r>
      <w:r w:rsidR="000C7E3D" w:rsidRPr="00687B52">
        <w:rPr>
          <w:rFonts w:hint="eastAsia"/>
          <w:color w:val="000000" w:themeColor="text1"/>
        </w:rPr>
        <w:t>3</w:t>
      </w:r>
      <w:r w:rsidR="000C7E3D" w:rsidRPr="00687B52">
        <w:rPr>
          <w:rFonts w:hint="eastAsia"/>
          <w:color w:val="000000" w:themeColor="text1"/>
        </w:rPr>
        <w:t>部分工业防护栏杆及钢平台</w:t>
      </w:r>
      <w:r w:rsidR="000C7E3D" w:rsidRPr="00687B52">
        <w:rPr>
          <w:color w:val="000000" w:themeColor="text1"/>
        </w:rPr>
        <w:t>》</w:t>
      </w:r>
    </w:p>
    <w:p w:rsidR="00C85E5A" w:rsidRPr="00687B52" w:rsidRDefault="00616FEA" w:rsidP="00EF6936">
      <w:pPr>
        <w:pStyle w:val="ae"/>
        <w:ind w:firstLine="560"/>
        <w:rPr>
          <w:color w:val="000000" w:themeColor="text1"/>
        </w:rPr>
      </w:pPr>
      <w:r w:rsidRPr="00687B52">
        <w:rPr>
          <w:color w:val="000000" w:themeColor="text1"/>
        </w:rPr>
        <w:t>GB5083</w:t>
      </w:r>
      <w:r w:rsidR="000E3609" w:rsidRPr="00687B52">
        <w:rPr>
          <w:rFonts w:hint="eastAsia"/>
          <w:color w:val="000000" w:themeColor="text1"/>
        </w:rPr>
        <w:t>《生产设备安全卫生设计总则》</w:t>
      </w:r>
    </w:p>
    <w:p w:rsidR="000E3609" w:rsidRPr="00687B52" w:rsidRDefault="00AE1952" w:rsidP="00EF6936">
      <w:pPr>
        <w:pStyle w:val="ae"/>
        <w:ind w:firstLine="560"/>
        <w:rPr>
          <w:color w:val="000000" w:themeColor="text1"/>
        </w:rPr>
      </w:pPr>
      <w:r w:rsidRPr="00687B52">
        <w:rPr>
          <w:rFonts w:hint="eastAsia"/>
          <w:color w:val="000000" w:themeColor="text1"/>
        </w:rPr>
        <w:t>GB/T8196</w:t>
      </w:r>
      <w:r w:rsidR="00940F69" w:rsidRPr="00687B52">
        <w:rPr>
          <w:rFonts w:hint="eastAsia"/>
          <w:color w:val="000000" w:themeColor="text1"/>
        </w:rPr>
        <w:t>《机械安全防护装置固定式和活动式防护装置设计与制造一般要求》</w:t>
      </w:r>
    </w:p>
    <w:p w:rsidR="00940F69" w:rsidRPr="00687B52" w:rsidRDefault="00616FEA" w:rsidP="00EF6936">
      <w:pPr>
        <w:pStyle w:val="ae"/>
        <w:ind w:firstLine="560"/>
        <w:rPr>
          <w:color w:val="000000" w:themeColor="text1"/>
        </w:rPr>
      </w:pPr>
      <w:r w:rsidRPr="00687B52">
        <w:rPr>
          <w:color w:val="000000" w:themeColor="text1"/>
        </w:rPr>
        <w:t>GB 50264</w:t>
      </w:r>
      <w:r w:rsidR="00940F69" w:rsidRPr="00687B52">
        <w:rPr>
          <w:rFonts w:hint="eastAsia"/>
          <w:color w:val="000000" w:themeColor="text1"/>
        </w:rPr>
        <w:t>《工业设备及管道绝热工程设计规范》</w:t>
      </w:r>
    </w:p>
    <w:p w:rsidR="00C85E5A" w:rsidRPr="00687B52" w:rsidRDefault="00616FEA" w:rsidP="00EF6936">
      <w:pPr>
        <w:pStyle w:val="ae"/>
        <w:ind w:firstLine="560"/>
        <w:rPr>
          <w:color w:val="000000" w:themeColor="text1"/>
        </w:rPr>
      </w:pPr>
      <w:r w:rsidRPr="00687B52">
        <w:rPr>
          <w:rFonts w:hint="eastAsia"/>
          <w:color w:val="000000" w:themeColor="text1"/>
        </w:rPr>
        <w:t>GB 7231</w:t>
      </w:r>
      <w:r w:rsidR="00940F69" w:rsidRPr="00687B52">
        <w:rPr>
          <w:rFonts w:hint="eastAsia"/>
          <w:color w:val="000000" w:themeColor="text1"/>
        </w:rPr>
        <w:t>《工业管道的基本识别色、识别符号和安全标</w:t>
      </w:r>
      <w:r w:rsidR="009F4860" w:rsidRPr="00687B52">
        <w:rPr>
          <w:rFonts w:hint="eastAsia"/>
          <w:color w:val="000000" w:themeColor="text1"/>
        </w:rPr>
        <w:t>识</w:t>
      </w:r>
      <w:r w:rsidR="00940F69" w:rsidRPr="00687B52">
        <w:rPr>
          <w:rFonts w:hint="eastAsia"/>
          <w:color w:val="000000" w:themeColor="text1"/>
        </w:rPr>
        <w:t>》</w:t>
      </w:r>
    </w:p>
    <w:p w:rsidR="00C85E5A" w:rsidRPr="00687B52" w:rsidRDefault="00616FEA" w:rsidP="00EF6936">
      <w:pPr>
        <w:pStyle w:val="ae"/>
        <w:ind w:firstLine="560"/>
        <w:rPr>
          <w:color w:val="000000" w:themeColor="text1"/>
        </w:rPr>
      </w:pPr>
      <w:r w:rsidRPr="00687B52">
        <w:rPr>
          <w:rFonts w:hint="eastAsia"/>
          <w:color w:val="000000" w:themeColor="text1"/>
        </w:rPr>
        <w:t>GBZ1</w:t>
      </w:r>
      <w:r w:rsidR="00940F69" w:rsidRPr="00687B52">
        <w:rPr>
          <w:rFonts w:hint="eastAsia"/>
          <w:color w:val="000000" w:themeColor="text1"/>
        </w:rPr>
        <w:t>《工业企业设计卫生标准》</w:t>
      </w:r>
    </w:p>
    <w:p w:rsidR="00C85E5A" w:rsidRPr="00687B52" w:rsidRDefault="00616FEA" w:rsidP="00EF6936">
      <w:pPr>
        <w:pStyle w:val="ae"/>
        <w:ind w:firstLine="560"/>
        <w:rPr>
          <w:color w:val="000000" w:themeColor="text1"/>
        </w:rPr>
      </w:pPr>
      <w:r w:rsidRPr="00687B52">
        <w:rPr>
          <w:rFonts w:hint="eastAsia"/>
          <w:color w:val="000000" w:themeColor="text1"/>
        </w:rPr>
        <w:t>GB4387</w:t>
      </w:r>
      <w:r w:rsidR="00A73C87" w:rsidRPr="00687B52">
        <w:rPr>
          <w:rFonts w:hint="eastAsia"/>
          <w:color w:val="000000" w:themeColor="text1"/>
        </w:rPr>
        <w:t>《工业企业厂内铁路、道路运输安全规程》</w:t>
      </w:r>
    </w:p>
    <w:p w:rsidR="00E856E4" w:rsidRPr="00687B52" w:rsidRDefault="00616FEA" w:rsidP="00EF6936">
      <w:pPr>
        <w:pStyle w:val="ae"/>
        <w:ind w:firstLine="560"/>
        <w:rPr>
          <w:color w:val="000000" w:themeColor="text1"/>
        </w:rPr>
      </w:pPr>
      <w:r w:rsidRPr="00687B52">
        <w:rPr>
          <w:rFonts w:hint="eastAsia"/>
          <w:color w:val="000000" w:themeColor="text1"/>
        </w:rPr>
        <w:t>GB50493</w:t>
      </w:r>
      <w:r w:rsidR="00E856E4" w:rsidRPr="00687B52">
        <w:rPr>
          <w:rFonts w:hint="eastAsia"/>
          <w:color w:val="000000" w:themeColor="text1"/>
        </w:rPr>
        <w:t>《石油化工可燃气体和有毒气体检测报警设计规范》</w:t>
      </w:r>
    </w:p>
    <w:p w:rsidR="00C85E5A" w:rsidRPr="00687B52" w:rsidRDefault="00616FEA" w:rsidP="00EF6936">
      <w:pPr>
        <w:pStyle w:val="ae"/>
        <w:ind w:firstLine="560"/>
        <w:rPr>
          <w:color w:val="000000" w:themeColor="text1"/>
        </w:rPr>
      </w:pPr>
      <w:r w:rsidRPr="00687B52">
        <w:rPr>
          <w:rFonts w:hint="eastAsia"/>
          <w:color w:val="000000" w:themeColor="text1"/>
        </w:rPr>
        <w:t>GB50016</w:t>
      </w:r>
      <w:r w:rsidR="00E856E4" w:rsidRPr="00687B52">
        <w:rPr>
          <w:rFonts w:hint="eastAsia"/>
          <w:color w:val="000000" w:themeColor="text1"/>
        </w:rPr>
        <w:t>《建筑设计防火规范》</w:t>
      </w:r>
    </w:p>
    <w:p w:rsidR="00C85E5A" w:rsidRPr="00687B52" w:rsidRDefault="00616FEA" w:rsidP="00EF6936">
      <w:pPr>
        <w:pStyle w:val="ae"/>
        <w:ind w:firstLine="560"/>
        <w:rPr>
          <w:color w:val="000000" w:themeColor="text1"/>
        </w:rPr>
      </w:pPr>
      <w:r w:rsidRPr="00687B52">
        <w:rPr>
          <w:rFonts w:hint="eastAsia"/>
          <w:color w:val="000000" w:themeColor="text1"/>
        </w:rPr>
        <w:t>GB50974</w:t>
      </w:r>
      <w:r w:rsidR="00B87BB6" w:rsidRPr="00687B52">
        <w:rPr>
          <w:rFonts w:hint="eastAsia"/>
          <w:color w:val="000000" w:themeColor="text1"/>
        </w:rPr>
        <w:t>《消防给水及消火栓系统技术规范》</w:t>
      </w:r>
    </w:p>
    <w:p w:rsidR="00B87BB6" w:rsidRPr="00687B52" w:rsidRDefault="00616FEA" w:rsidP="00EF6936">
      <w:pPr>
        <w:pStyle w:val="ae"/>
        <w:ind w:firstLine="560"/>
        <w:rPr>
          <w:color w:val="000000" w:themeColor="text1"/>
        </w:rPr>
      </w:pPr>
      <w:r w:rsidRPr="00687B52">
        <w:rPr>
          <w:color w:val="000000" w:themeColor="text1"/>
        </w:rPr>
        <w:t>GB50</w:t>
      </w:r>
      <w:r w:rsidRPr="00687B52">
        <w:rPr>
          <w:rFonts w:hint="eastAsia"/>
          <w:color w:val="000000" w:themeColor="text1"/>
        </w:rPr>
        <w:t>1</w:t>
      </w:r>
      <w:r w:rsidRPr="00687B52">
        <w:rPr>
          <w:color w:val="000000" w:themeColor="text1"/>
        </w:rPr>
        <w:t>16</w:t>
      </w:r>
      <w:r w:rsidR="005A314E" w:rsidRPr="00687B52">
        <w:rPr>
          <w:rFonts w:hint="eastAsia"/>
          <w:color w:val="000000" w:themeColor="text1"/>
        </w:rPr>
        <w:t>《火灾自动报警系统设计规范》</w:t>
      </w:r>
    </w:p>
    <w:p w:rsidR="00B87BB6" w:rsidRPr="00687B52" w:rsidRDefault="00616FEA" w:rsidP="00EF6936">
      <w:pPr>
        <w:pStyle w:val="ae"/>
        <w:ind w:firstLine="560"/>
        <w:rPr>
          <w:color w:val="000000" w:themeColor="text1"/>
        </w:rPr>
      </w:pPr>
      <w:r w:rsidRPr="00687B52">
        <w:rPr>
          <w:color w:val="000000" w:themeColor="text1"/>
        </w:rPr>
        <w:t>GB50140</w:t>
      </w:r>
      <w:r w:rsidR="00115AAE" w:rsidRPr="00687B52">
        <w:rPr>
          <w:rFonts w:hint="eastAsia"/>
          <w:color w:val="000000" w:themeColor="text1"/>
        </w:rPr>
        <w:t>《建筑灭火器配置设计规范》</w:t>
      </w:r>
    </w:p>
    <w:p w:rsidR="00115AAE" w:rsidRPr="00687B52" w:rsidRDefault="00616FEA" w:rsidP="00EF6936">
      <w:pPr>
        <w:pStyle w:val="ae"/>
        <w:ind w:firstLine="560"/>
        <w:rPr>
          <w:color w:val="000000" w:themeColor="text1"/>
        </w:rPr>
      </w:pPr>
      <w:r w:rsidRPr="00687B52">
        <w:rPr>
          <w:color w:val="000000" w:themeColor="text1"/>
        </w:rPr>
        <w:t>GB500</w:t>
      </w:r>
      <w:r w:rsidRPr="00687B52">
        <w:rPr>
          <w:rFonts w:hint="eastAsia"/>
          <w:color w:val="000000" w:themeColor="text1"/>
        </w:rPr>
        <w:t>59</w:t>
      </w:r>
      <w:r w:rsidR="00115AAE" w:rsidRPr="00687B52">
        <w:rPr>
          <w:rFonts w:hint="eastAsia"/>
          <w:color w:val="000000" w:themeColor="text1"/>
        </w:rPr>
        <w:t>《</w:t>
      </w:r>
      <w:r w:rsidR="00115AAE" w:rsidRPr="00687B52">
        <w:rPr>
          <w:rFonts w:hint="eastAsia"/>
          <w:color w:val="000000" w:themeColor="text1"/>
        </w:rPr>
        <w:t>35kV</w:t>
      </w:r>
      <w:r w:rsidR="00115AAE" w:rsidRPr="00687B52">
        <w:rPr>
          <w:rFonts w:hint="eastAsia"/>
          <w:color w:val="000000" w:themeColor="text1"/>
        </w:rPr>
        <w:t>～</w:t>
      </w:r>
      <w:r w:rsidR="00115AAE" w:rsidRPr="00687B52">
        <w:rPr>
          <w:rFonts w:hint="eastAsia"/>
          <w:color w:val="000000" w:themeColor="text1"/>
        </w:rPr>
        <w:t>110kV</w:t>
      </w:r>
      <w:r w:rsidR="00115AAE" w:rsidRPr="00687B52">
        <w:rPr>
          <w:rFonts w:hint="eastAsia"/>
          <w:color w:val="000000" w:themeColor="text1"/>
        </w:rPr>
        <w:t>变电站设计规范》</w:t>
      </w:r>
    </w:p>
    <w:p w:rsidR="000F36F4" w:rsidRPr="00687B52" w:rsidRDefault="00616FEA" w:rsidP="00EF6936">
      <w:pPr>
        <w:pStyle w:val="ae"/>
        <w:ind w:firstLine="560"/>
        <w:rPr>
          <w:color w:val="000000" w:themeColor="text1"/>
        </w:rPr>
      </w:pPr>
      <w:r w:rsidRPr="00687B52">
        <w:rPr>
          <w:rFonts w:hint="eastAsia"/>
          <w:color w:val="000000" w:themeColor="text1"/>
        </w:rPr>
        <w:t>GB50029</w:t>
      </w:r>
      <w:r w:rsidR="000F36F4" w:rsidRPr="00687B52">
        <w:rPr>
          <w:rFonts w:hint="eastAsia"/>
          <w:color w:val="000000" w:themeColor="text1"/>
        </w:rPr>
        <w:t>《</w:t>
      </w:r>
      <w:hyperlink r:id="rId10" w:tgtFrame="_blank" w:history="1">
        <w:r w:rsidR="000F36F4" w:rsidRPr="00687B52">
          <w:rPr>
            <w:color w:val="000000" w:themeColor="text1"/>
          </w:rPr>
          <w:t>压缩空气站设计规范</w:t>
        </w:r>
      </w:hyperlink>
      <w:r w:rsidR="000F36F4" w:rsidRPr="00687B52">
        <w:rPr>
          <w:rFonts w:hint="eastAsia"/>
          <w:color w:val="000000" w:themeColor="text1"/>
        </w:rPr>
        <w:t>》</w:t>
      </w:r>
    </w:p>
    <w:p w:rsidR="00115AAE" w:rsidRPr="00687B52" w:rsidRDefault="00616FEA" w:rsidP="00EF6936">
      <w:pPr>
        <w:pStyle w:val="ae"/>
        <w:ind w:firstLine="560"/>
        <w:rPr>
          <w:color w:val="000000" w:themeColor="text1"/>
        </w:rPr>
      </w:pPr>
      <w:r w:rsidRPr="00687B52">
        <w:rPr>
          <w:rFonts w:hint="eastAsia"/>
          <w:color w:val="000000" w:themeColor="text1"/>
        </w:rPr>
        <w:t>GB50054</w:t>
      </w:r>
      <w:r w:rsidR="000F36F4" w:rsidRPr="00687B52">
        <w:rPr>
          <w:rFonts w:hint="eastAsia"/>
          <w:color w:val="000000" w:themeColor="text1"/>
        </w:rPr>
        <w:t>《低压配电设计规范》</w:t>
      </w:r>
    </w:p>
    <w:p w:rsidR="00115AAE" w:rsidRPr="00687B52" w:rsidRDefault="00616FEA" w:rsidP="00EF6936">
      <w:pPr>
        <w:pStyle w:val="ae"/>
        <w:ind w:firstLine="560"/>
        <w:rPr>
          <w:color w:val="000000" w:themeColor="text1"/>
        </w:rPr>
      </w:pPr>
      <w:r w:rsidRPr="00687B52">
        <w:rPr>
          <w:rFonts w:hint="eastAsia"/>
          <w:color w:val="000000" w:themeColor="text1"/>
        </w:rPr>
        <w:t>GB/T13869</w:t>
      </w:r>
      <w:r w:rsidR="000F36F4" w:rsidRPr="00687B52">
        <w:rPr>
          <w:rFonts w:hint="eastAsia"/>
          <w:color w:val="000000" w:themeColor="text1"/>
        </w:rPr>
        <w:t>《用电安全导则》</w:t>
      </w:r>
    </w:p>
    <w:p w:rsidR="00115AAE" w:rsidRPr="00687B52" w:rsidRDefault="00616FEA" w:rsidP="00EF6936">
      <w:pPr>
        <w:pStyle w:val="ae"/>
        <w:ind w:firstLine="560"/>
        <w:rPr>
          <w:color w:val="000000" w:themeColor="text1"/>
        </w:rPr>
      </w:pPr>
      <w:r w:rsidRPr="00687B52">
        <w:rPr>
          <w:rFonts w:hint="eastAsia"/>
          <w:color w:val="000000" w:themeColor="text1"/>
        </w:rPr>
        <w:lastRenderedPageBreak/>
        <w:t>GB50052</w:t>
      </w:r>
      <w:r w:rsidR="000F36F4" w:rsidRPr="00687B52">
        <w:rPr>
          <w:rFonts w:hint="eastAsia"/>
          <w:color w:val="000000" w:themeColor="text1"/>
        </w:rPr>
        <w:t>《供配电系统设计规范》</w:t>
      </w:r>
    </w:p>
    <w:p w:rsidR="00115AAE" w:rsidRPr="00687B52" w:rsidRDefault="00616FEA" w:rsidP="00EF6936">
      <w:pPr>
        <w:pStyle w:val="ae"/>
        <w:ind w:firstLine="560"/>
        <w:rPr>
          <w:color w:val="000000" w:themeColor="text1"/>
        </w:rPr>
      </w:pPr>
      <w:r w:rsidRPr="00687B52">
        <w:rPr>
          <w:rFonts w:hint="eastAsia"/>
          <w:color w:val="000000" w:themeColor="text1"/>
        </w:rPr>
        <w:t>GB 50058</w:t>
      </w:r>
      <w:r w:rsidR="000F36F4" w:rsidRPr="00687B52">
        <w:rPr>
          <w:rFonts w:hint="eastAsia"/>
          <w:color w:val="000000" w:themeColor="text1"/>
        </w:rPr>
        <w:t>《爆炸危险环境电力装置设计规</w:t>
      </w:r>
      <w:r w:rsidR="006124DC" w:rsidRPr="00687B52">
        <w:rPr>
          <w:rFonts w:hint="eastAsia"/>
          <w:color w:val="000000" w:themeColor="text1"/>
        </w:rPr>
        <w:t>范</w:t>
      </w:r>
      <w:r w:rsidR="000F36F4" w:rsidRPr="00687B52">
        <w:rPr>
          <w:rFonts w:hint="eastAsia"/>
          <w:color w:val="000000" w:themeColor="text1"/>
        </w:rPr>
        <w:t>》</w:t>
      </w:r>
    </w:p>
    <w:p w:rsidR="000F36F4" w:rsidRPr="00687B52" w:rsidRDefault="00616FEA" w:rsidP="00EF6936">
      <w:pPr>
        <w:pStyle w:val="ae"/>
        <w:ind w:firstLine="560"/>
        <w:rPr>
          <w:color w:val="000000" w:themeColor="text1"/>
        </w:rPr>
      </w:pPr>
      <w:r w:rsidRPr="00687B52">
        <w:rPr>
          <w:color w:val="000000" w:themeColor="text1"/>
        </w:rPr>
        <w:t>GB50160</w:t>
      </w:r>
      <w:r w:rsidR="000F36F4" w:rsidRPr="00687B52">
        <w:rPr>
          <w:color w:val="000000" w:themeColor="text1"/>
        </w:rPr>
        <w:t>《石油化工企业设计防火规范》</w:t>
      </w:r>
    </w:p>
    <w:p w:rsidR="000F36F4" w:rsidRPr="00687B52" w:rsidRDefault="00616FEA" w:rsidP="00EF6936">
      <w:pPr>
        <w:pStyle w:val="ae"/>
        <w:ind w:firstLine="560"/>
        <w:rPr>
          <w:color w:val="000000" w:themeColor="text1"/>
        </w:rPr>
      </w:pPr>
      <w:r w:rsidRPr="00687B52">
        <w:rPr>
          <w:rFonts w:hint="eastAsia"/>
          <w:color w:val="000000" w:themeColor="text1"/>
        </w:rPr>
        <w:t>GB50235</w:t>
      </w:r>
      <w:r w:rsidR="000F36F4" w:rsidRPr="00687B52">
        <w:rPr>
          <w:rFonts w:hint="eastAsia"/>
          <w:color w:val="000000" w:themeColor="text1"/>
        </w:rPr>
        <w:t>《工业金属管道工程施工规范》</w:t>
      </w:r>
    </w:p>
    <w:p w:rsidR="000F36F4" w:rsidRPr="00687B52" w:rsidRDefault="00F2172B" w:rsidP="00EF6936">
      <w:pPr>
        <w:pStyle w:val="ae"/>
        <w:ind w:firstLine="560"/>
        <w:rPr>
          <w:color w:val="000000" w:themeColor="text1"/>
        </w:rPr>
      </w:pPr>
      <w:r w:rsidRPr="00687B52">
        <w:rPr>
          <w:rFonts w:hint="eastAsia"/>
          <w:color w:val="000000" w:themeColor="text1"/>
        </w:rPr>
        <w:t>GB50041</w:t>
      </w:r>
      <w:r w:rsidR="000F36F4" w:rsidRPr="00687B52">
        <w:rPr>
          <w:rFonts w:hint="eastAsia"/>
          <w:color w:val="000000" w:themeColor="text1"/>
        </w:rPr>
        <w:t>《锅炉房设计规范》</w:t>
      </w:r>
    </w:p>
    <w:p w:rsidR="00310737" w:rsidRPr="00687B52" w:rsidRDefault="00F2172B" w:rsidP="00EF6936">
      <w:pPr>
        <w:pStyle w:val="ae"/>
        <w:ind w:firstLine="560"/>
        <w:rPr>
          <w:color w:val="000000" w:themeColor="text1"/>
        </w:rPr>
      </w:pPr>
      <w:r w:rsidRPr="00687B52">
        <w:rPr>
          <w:color w:val="000000" w:themeColor="text1"/>
        </w:rPr>
        <w:t>GB</w:t>
      </w:r>
      <w:r w:rsidRPr="00687B52">
        <w:rPr>
          <w:rFonts w:hint="eastAsia"/>
          <w:color w:val="000000" w:themeColor="text1"/>
        </w:rPr>
        <w:t>8195</w:t>
      </w:r>
      <w:r w:rsidR="00310737" w:rsidRPr="00687B52">
        <w:rPr>
          <w:color w:val="000000" w:themeColor="text1"/>
        </w:rPr>
        <w:t>《</w:t>
      </w:r>
      <w:r w:rsidR="00310737" w:rsidRPr="00687B52">
        <w:rPr>
          <w:rFonts w:hint="eastAsia"/>
          <w:color w:val="000000" w:themeColor="text1"/>
        </w:rPr>
        <w:t>石油加工业卫生防护距离</w:t>
      </w:r>
      <w:r w:rsidR="00310737" w:rsidRPr="00687B52">
        <w:rPr>
          <w:color w:val="000000" w:themeColor="text1"/>
        </w:rPr>
        <w:t>》</w:t>
      </w:r>
    </w:p>
    <w:p w:rsidR="00F273C7" w:rsidRPr="00687B52" w:rsidRDefault="00F2172B" w:rsidP="00EF6936">
      <w:pPr>
        <w:pStyle w:val="ae"/>
        <w:ind w:firstLine="560"/>
        <w:rPr>
          <w:color w:val="000000" w:themeColor="text1"/>
        </w:rPr>
      </w:pPr>
      <w:r w:rsidRPr="00687B52">
        <w:rPr>
          <w:color w:val="000000" w:themeColor="text1"/>
        </w:rPr>
        <w:t>GB</w:t>
      </w:r>
      <w:r w:rsidR="00D85C33" w:rsidRPr="00687B52">
        <w:rPr>
          <w:rFonts w:hint="eastAsia"/>
          <w:color w:val="000000" w:themeColor="text1"/>
        </w:rPr>
        <w:t>/T</w:t>
      </w:r>
      <w:r w:rsidRPr="00687B52">
        <w:rPr>
          <w:color w:val="000000" w:themeColor="text1"/>
        </w:rPr>
        <w:t>11666</w:t>
      </w:r>
      <w:r w:rsidR="00F273C7" w:rsidRPr="00687B52">
        <w:rPr>
          <w:color w:val="000000" w:themeColor="text1"/>
        </w:rPr>
        <w:t>《肥料制造企业卫生防护》</w:t>
      </w:r>
    </w:p>
    <w:p w:rsidR="002605C0" w:rsidRPr="00687B52" w:rsidRDefault="006E7A37" w:rsidP="00EF6936">
      <w:pPr>
        <w:pStyle w:val="ae"/>
        <w:ind w:firstLine="560"/>
        <w:rPr>
          <w:color w:val="000000" w:themeColor="text1"/>
        </w:rPr>
      </w:pPr>
      <w:r w:rsidRPr="00687B52">
        <w:rPr>
          <w:color w:val="000000" w:themeColor="text1"/>
        </w:rPr>
        <w:t>GB50489</w:t>
      </w:r>
      <w:r w:rsidR="002605C0" w:rsidRPr="00687B52">
        <w:rPr>
          <w:color w:val="000000" w:themeColor="text1"/>
        </w:rPr>
        <w:t>《</w:t>
      </w:r>
      <w:r w:rsidR="002605C0" w:rsidRPr="00687B52">
        <w:rPr>
          <w:rFonts w:hint="eastAsia"/>
          <w:color w:val="000000" w:themeColor="text1"/>
        </w:rPr>
        <w:t>化工企业总图运输设计规范</w:t>
      </w:r>
      <w:r w:rsidR="002605C0" w:rsidRPr="00687B52">
        <w:rPr>
          <w:color w:val="000000" w:themeColor="text1"/>
        </w:rPr>
        <w:t>》</w:t>
      </w:r>
    </w:p>
    <w:p w:rsidR="002605C0" w:rsidRPr="00687B52" w:rsidRDefault="006E7A37" w:rsidP="00EF6936">
      <w:pPr>
        <w:pStyle w:val="ae"/>
        <w:ind w:firstLine="560"/>
        <w:rPr>
          <w:color w:val="000000" w:themeColor="text1"/>
        </w:rPr>
      </w:pPr>
      <w:r w:rsidRPr="00687B52">
        <w:rPr>
          <w:color w:val="000000" w:themeColor="text1"/>
        </w:rPr>
        <w:t>GB50187</w:t>
      </w:r>
      <w:hyperlink r:id="rId11" w:tgtFrame="_blank" w:history="1">
        <w:r w:rsidR="002605C0" w:rsidRPr="00687B52">
          <w:rPr>
            <w:color w:val="000000" w:themeColor="text1"/>
          </w:rPr>
          <w:t>《工业企业总平面设计规范》</w:t>
        </w:r>
      </w:hyperlink>
    </w:p>
    <w:p w:rsidR="00257FB4" w:rsidRPr="00687B52" w:rsidRDefault="006E7A37" w:rsidP="00EF6936">
      <w:pPr>
        <w:pStyle w:val="ae"/>
        <w:ind w:firstLine="560"/>
        <w:rPr>
          <w:color w:val="000000" w:themeColor="text1"/>
        </w:rPr>
      </w:pPr>
      <w:r w:rsidRPr="00687B52">
        <w:rPr>
          <w:rFonts w:hint="eastAsia"/>
          <w:color w:val="000000" w:themeColor="text1"/>
        </w:rPr>
        <w:t>GB50351</w:t>
      </w:r>
      <w:r w:rsidR="00257FB4" w:rsidRPr="00687B52">
        <w:rPr>
          <w:rFonts w:hint="eastAsia"/>
          <w:color w:val="000000" w:themeColor="text1"/>
        </w:rPr>
        <w:t>《储罐区防火堤设计规范》</w:t>
      </w:r>
    </w:p>
    <w:p w:rsidR="00257FB4" w:rsidRPr="00687B52" w:rsidRDefault="006E7A37" w:rsidP="00EF6936">
      <w:pPr>
        <w:pStyle w:val="ae"/>
        <w:ind w:firstLine="560"/>
        <w:rPr>
          <w:color w:val="000000" w:themeColor="text1"/>
        </w:rPr>
      </w:pPr>
      <w:r w:rsidRPr="00687B52">
        <w:rPr>
          <w:rFonts w:hint="eastAsia"/>
          <w:color w:val="000000" w:themeColor="text1"/>
        </w:rPr>
        <w:t>GB4962</w:t>
      </w:r>
      <w:r w:rsidR="00257FB4" w:rsidRPr="00687B52">
        <w:rPr>
          <w:rFonts w:hint="eastAsia"/>
          <w:color w:val="000000" w:themeColor="text1"/>
        </w:rPr>
        <w:t>《氢气使用安全技术规程》</w:t>
      </w:r>
    </w:p>
    <w:p w:rsidR="00257FB4" w:rsidRPr="00687B52" w:rsidRDefault="006E7A37" w:rsidP="00EF6936">
      <w:pPr>
        <w:pStyle w:val="ae"/>
        <w:ind w:firstLine="560"/>
        <w:rPr>
          <w:color w:val="000000" w:themeColor="text1"/>
        </w:rPr>
      </w:pPr>
      <w:r w:rsidRPr="00687B52">
        <w:rPr>
          <w:rFonts w:hint="eastAsia"/>
          <w:color w:val="000000" w:themeColor="text1"/>
        </w:rPr>
        <w:t>GB11984</w:t>
      </w:r>
      <w:r w:rsidR="00257FB4" w:rsidRPr="00687B52">
        <w:rPr>
          <w:rFonts w:hint="eastAsia"/>
          <w:color w:val="000000" w:themeColor="text1"/>
        </w:rPr>
        <w:t>《氯气安全规程》</w:t>
      </w:r>
    </w:p>
    <w:p w:rsidR="00385CA7" w:rsidRPr="00687B52" w:rsidRDefault="006E7A37" w:rsidP="00EF6936">
      <w:pPr>
        <w:pStyle w:val="ae"/>
        <w:ind w:firstLine="560"/>
        <w:rPr>
          <w:color w:val="000000" w:themeColor="text1"/>
        </w:rPr>
      </w:pPr>
      <w:r w:rsidRPr="00687B52">
        <w:rPr>
          <w:rFonts w:hint="eastAsia"/>
          <w:color w:val="000000" w:themeColor="text1"/>
        </w:rPr>
        <w:t>GB 15603</w:t>
      </w:r>
      <w:r w:rsidR="00385CA7" w:rsidRPr="00687B52">
        <w:rPr>
          <w:rFonts w:hint="eastAsia"/>
          <w:color w:val="000000" w:themeColor="text1"/>
        </w:rPr>
        <w:t>《常用危险化学品贮存通则》</w:t>
      </w:r>
    </w:p>
    <w:p w:rsidR="00257FB4" w:rsidRPr="00687B52" w:rsidRDefault="006E7A37" w:rsidP="00EF6936">
      <w:pPr>
        <w:pStyle w:val="ae"/>
        <w:ind w:firstLine="560"/>
        <w:rPr>
          <w:color w:val="000000" w:themeColor="text1"/>
        </w:rPr>
      </w:pPr>
      <w:r w:rsidRPr="00687B52">
        <w:rPr>
          <w:rFonts w:hint="eastAsia"/>
          <w:color w:val="000000" w:themeColor="text1"/>
        </w:rPr>
        <w:t>GB17914</w:t>
      </w:r>
      <w:r w:rsidR="00385CA7" w:rsidRPr="00687B52">
        <w:rPr>
          <w:rFonts w:hint="eastAsia"/>
          <w:color w:val="000000" w:themeColor="text1"/>
        </w:rPr>
        <w:t>《易燃易爆性商品储存养护技术条件》</w:t>
      </w:r>
    </w:p>
    <w:p w:rsidR="00941529" w:rsidRPr="00687B52" w:rsidRDefault="006E7A37" w:rsidP="00EF6936">
      <w:pPr>
        <w:pStyle w:val="ae"/>
        <w:ind w:firstLine="560"/>
        <w:rPr>
          <w:color w:val="000000" w:themeColor="text1"/>
        </w:rPr>
      </w:pPr>
      <w:r w:rsidRPr="00687B52">
        <w:rPr>
          <w:rFonts w:hint="eastAsia"/>
          <w:color w:val="000000" w:themeColor="text1"/>
        </w:rPr>
        <w:t>GB/T 18071.3</w:t>
      </w:r>
      <w:r w:rsidR="00941529" w:rsidRPr="00687B52">
        <w:rPr>
          <w:rFonts w:hint="eastAsia"/>
          <w:color w:val="000000" w:themeColor="text1"/>
        </w:rPr>
        <w:t>《基础化学原料制造业卫生防护距离第</w:t>
      </w:r>
      <w:r w:rsidR="00941529" w:rsidRPr="00687B52">
        <w:rPr>
          <w:rFonts w:hint="eastAsia"/>
          <w:color w:val="000000" w:themeColor="text1"/>
        </w:rPr>
        <w:t>3</w:t>
      </w:r>
      <w:r w:rsidR="00941529" w:rsidRPr="00687B52">
        <w:rPr>
          <w:rFonts w:hint="eastAsia"/>
          <w:color w:val="000000" w:themeColor="text1"/>
        </w:rPr>
        <w:t>部分：硫酸制造业》</w:t>
      </w:r>
    </w:p>
    <w:p w:rsidR="004A3DA0" w:rsidRPr="00687B52" w:rsidRDefault="006E7A37" w:rsidP="00EF6936">
      <w:pPr>
        <w:pStyle w:val="ae"/>
        <w:ind w:firstLine="560"/>
        <w:rPr>
          <w:color w:val="000000" w:themeColor="text1"/>
        </w:rPr>
      </w:pPr>
      <w:r w:rsidRPr="00687B52">
        <w:rPr>
          <w:rFonts w:hint="eastAsia"/>
          <w:color w:val="000000" w:themeColor="text1"/>
        </w:rPr>
        <w:t>GB50046</w:t>
      </w:r>
      <w:r w:rsidR="004A3DA0" w:rsidRPr="00687B52">
        <w:rPr>
          <w:rFonts w:hint="eastAsia"/>
          <w:color w:val="000000" w:themeColor="text1"/>
        </w:rPr>
        <w:t>《工业建筑防腐蚀设计规范》</w:t>
      </w:r>
    </w:p>
    <w:p w:rsidR="004A3DA0" w:rsidRPr="00687B52" w:rsidRDefault="006E7A37" w:rsidP="00EF6936">
      <w:pPr>
        <w:pStyle w:val="ae"/>
        <w:ind w:firstLine="560"/>
        <w:rPr>
          <w:color w:val="000000" w:themeColor="text1"/>
        </w:rPr>
      </w:pPr>
      <w:r w:rsidRPr="00687B52">
        <w:rPr>
          <w:rFonts w:hint="eastAsia"/>
          <w:color w:val="000000" w:themeColor="text1"/>
        </w:rPr>
        <w:t>GB17915</w:t>
      </w:r>
      <w:r w:rsidR="004A3DA0" w:rsidRPr="00687B52">
        <w:rPr>
          <w:rFonts w:hint="eastAsia"/>
          <w:color w:val="000000" w:themeColor="text1"/>
        </w:rPr>
        <w:t>《腐蚀性商品储存养护技术条件》</w:t>
      </w:r>
    </w:p>
    <w:p w:rsidR="00061ED5" w:rsidRPr="00687B52" w:rsidRDefault="006A18D8" w:rsidP="00EF6936">
      <w:pPr>
        <w:pStyle w:val="ae"/>
        <w:ind w:firstLine="560"/>
        <w:rPr>
          <w:color w:val="000000" w:themeColor="text1"/>
        </w:rPr>
      </w:pPr>
      <w:r w:rsidRPr="00687B52">
        <w:rPr>
          <w:rFonts w:hint="eastAsia"/>
          <w:color w:val="000000" w:themeColor="text1"/>
        </w:rPr>
        <w:t>GB18070</w:t>
      </w:r>
      <w:r w:rsidR="00061ED5" w:rsidRPr="00687B52">
        <w:rPr>
          <w:rFonts w:hint="eastAsia"/>
          <w:color w:val="000000" w:themeColor="text1"/>
        </w:rPr>
        <w:t>《油漆厂卫生防护距离标准》</w:t>
      </w:r>
    </w:p>
    <w:p w:rsidR="00E206CB" w:rsidRPr="00687B52" w:rsidRDefault="006A18D8" w:rsidP="00EF6936">
      <w:pPr>
        <w:pStyle w:val="ae"/>
        <w:ind w:firstLine="560"/>
        <w:rPr>
          <w:color w:val="000000" w:themeColor="text1"/>
        </w:rPr>
      </w:pPr>
      <w:r w:rsidRPr="00687B52">
        <w:rPr>
          <w:rFonts w:hint="eastAsia"/>
          <w:color w:val="000000" w:themeColor="text1"/>
        </w:rPr>
        <w:t>GB15577</w:t>
      </w:r>
      <w:r w:rsidR="00E206CB" w:rsidRPr="00687B52">
        <w:rPr>
          <w:rFonts w:hint="eastAsia"/>
          <w:color w:val="000000" w:themeColor="text1"/>
        </w:rPr>
        <w:t>《粉尘防爆安全规程》</w:t>
      </w:r>
    </w:p>
    <w:p w:rsidR="001A35CD" w:rsidRPr="00687B52" w:rsidRDefault="00282953" w:rsidP="00EF6936">
      <w:pPr>
        <w:pStyle w:val="ae"/>
        <w:ind w:firstLine="560"/>
        <w:rPr>
          <w:color w:val="000000" w:themeColor="text1"/>
        </w:rPr>
      </w:pPr>
      <w:r w:rsidRPr="00687B52">
        <w:rPr>
          <w:color w:val="000000" w:themeColor="text1"/>
        </w:rPr>
        <w:t>GB17269</w:t>
      </w:r>
      <w:r w:rsidR="001A35CD" w:rsidRPr="00687B52">
        <w:rPr>
          <w:color w:val="000000" w:themeColor="text1"/>
        </w:rPr>
        <w:t>《</w:t>
      </w:r>
      <w:r w:rsidR="001A35CD" w:rsidRPr="00687B52">
        <w:rPr>
          <w:rFonts w:hint="eastAsia"/>
          <w:color w:val="000000" w:themeColor="text1"/>
        </w:rPr>
        <w:t>铝镁粉加工粉尘防爆安全规程</w:t>
      </w:r>
      <w:r w:rsidR="001A35CD" w:rsidRPr="00687B52">
        <w:rPr>
          <w:color w:val="000000" w:themeColor="text1"/>
        </w:rPr>
        <w:t>》</w:t>
      </w:r>
    </w:p>
    <w:p w:rsidR="009A6389" w:rsidRPr="00687B52" w:rsidRDefault="00282953" w:rsidP="00EF6936">
      <w:pPr>
        <w:pStyle w:val="ae"/>
        <w:ind w:firstLine="560"/>
        <w:rPr>
          <w:color w:val="000000" w:themeColor="text1"/>
        </w:rPr>
      </w:pPr>
      <w:r w:rsidRPr="00687B52">
        <w:rPr>
          <w:color w:val="000000" w:themeColor="text1"/>
        </w:rPr>
        <w:t>GB19041</w:t>
      </w:r>
      <w:r w:rsidR="009A6389" w:rsidRPr="00687B52">
        <w:rPr>
          <w:color w:val="000000" w:themeColor="text1"/>
        </w:rPr>
        <w:t>《光气及光气化产品生产安全规程》</w:t>
      </w:r>
    </w:p>
    <w:p w:rsidR="00282953" w:rsidRPr="00687B52" w:rsidRDefault="00282953" w:rsidP="00EF6936">
      <w:pPr>
        <w:pStyle w:val="ae"/>
        <w:ind w:firstLine="560"/>
        <w:rPr>
          <w:color w:val="000000" w:themeColor="text1"/>
        </w:rPr>
      </w:pPr>
      <w:r w:rsidRPr="00687B52">
        <w:rPr>
          <w:rFonts w:hint="eastAsia"/>
          <w:color w:val="000000" w:themeColor="text1"/>
        </w:rPr>
        <w:t>GB50156</w:t>
      </w:r>
      <w:r w:rsidR="00B20C87" w:rsidRPr="00687B52">
        <w:rPr>
          <w:rFonts w:hint="eastAsia"/>
          <w:color w:val="000000" w:themeColor="text1"/>
        </w:rPr>
        <w:t>《汽车加油加气站设计与施工规范》</w:t>
      </w:r>
    </w:p>
    <w:p w:rsidR="00B20C87" w:rsidRPr="00687B52" w:rsidRDefault="00282953" w:rsidP="00EF6936">
      <w:pPr>
        <w:pStyle w:val="ae"/>
        <w:ind w:firstLine="560"/>
        <w:rPr>
          <w:color w:val="000000" w:themeColor="text1"/>
        </w:rPr>
      </w:pPr>
      <w:r w:rsidRPr="00687B52">
        <w:rPr>
          <w:rFonts w:hint="eastAsia"/>
          <w:color w:val="000000" w:themeColor="text1"/>
        </w:rPr>
        <w:t>GB18265</w:t>
      </w:r>
      <w:r w:rsidR="00B20C87" w:rsidRPr="00687B52">
        <w:rPr>
          <w:rFonts w:hint="eastAsia"/>
          <w:color w:val="000000" w:themeColor="text1"/>
        </w:rPr>
        <w:t>《危险化学品经营企业开业条件和技术要求》</w:t>
      </w:r>
    </w:p>
    <w:p w:rsidR="00B20C87" w:rsidRPr="00687B52" w:rsidRDefault="00282953" w:rsidP="00EF6936">
      <w:pPr>
        <w:pStyle w:val="ae"/>
        <w:ind w:firstLine="560"/>
        <w:rPr>
          <w:color w:val="000000" w:themeColor="text1"/>
        </w:rPr>
      </w:pPr>
      <w:r w:rsidRPr="00687B52">
        <w:rPr>
          <w:rFonts w:hint="eastAsia"/>
          <w:color w:val="000000" w:themeColor="text1"/>
        </w:rPr>
        <w:t>GB17916</w:t>
      </w:r>
      <w:r w:rsidR="00B20C87" w:rsidRPr="00687B52">
        <w:rPr>
          <w:rFonts w:hint="eastAsia"/>
          <w:color w:val="000000" w:themeColor="text1"/>
        </w:rPr>
        <w:t>《毒害性商品储存养护技术条件》</w:t>
      </w:r>
    </w:p>
    <w:p w:rsidR="00B20C87" w:rsidRPr="00687B52" w:rsidRDefault="00282953" w:rsidP="00EF6936">
      <w:pPr>
        <w:pStyle w:val="ae"/>
        <w:ind w:firstLine="560"/>
        <w:rPr>
          <w:color w:val="000000" w:themeColor="text1"/>
        </w:rPr>
      </w:pPr>
      <w:r w:rsidRPr="00687B52">
        <w:rPr>
          <w:rFonts w:hint="eastAsia"/>
          <w:color w:val="000000" w:themeColor="text1"/>
        </w:rPr>
        <w:t>GB50074</w:t>
      </w:r>
      <w:r w:rsidR="00B20C87" w:rsidRPr="00687B52">
        <w:rPr>
          <w:rFonts w:hint="eastAsia"/>
          <w:color w:val="000000" w:themeColor="text1"/>
        </w:rPr>
        <w:t>《石油库设计规范》</w:t>
      </w:r>
    </w:p>
    <w:p w:rsidR="00B20C87" w:rsidRPr="00687B52" w:rsidRDefault="00282953" w:rsidP="00EF6936">
      <w:pPr>
        <w:pStyle w:val="ae"/>
        <w:ind w:firstLine="560"/>
        <w:rPr>
          <w:color w:val="000000" w:themeColor="text1"/>
        </w:rPr>
      </w:pPr>
      <w:r w:rsidRPr="00687B52">
        <w:rPr>
          <w:rFonts w:hint="eastAsia"/>
          <w:color w:val="000000" w:themeColor="text1"/>
        </w:rPr>
        <w:t>GB50183</w:t>
      </w:r>
      <w:r w:rsidR="00417A3F" w:rsidRPr="00687B52">
        <w:rPr>
          <w:rFonts w:hint="eastAsia"/>
          <w:color w:val="000000" w:themeColor="text1"/>
        </w:rPr>
        <w:t>《石油天然气工程设计防火规范》</w:t>
      </w:r>
    </w:p>
    <w:p w:rsidR="00417A3F" w:rsidRPr="00687B52" w:rsidRDefault="00952CA3" w:rsidP="00EF6936">
      <w:pPr>
        <w:pStyle w:val="ae"/>
        <w:ind w:firstLine="560"/>
        <w:rPr>
          <w:color w:val="000000" w:themeColor="text1"/>
        </w:rPr>
      </w:pPr>
      <w:r w:rsidRPr="00687B52">
        <w:rPr>
          <w:rFonts w:hint="eastAsia"/>
          <w:color w:val="000000" w:themeColor="text1"/>
        </w:rPr>
        <w:lastRenderedPageBreak/>
        <w:t>GB50253</w:t>
      </w:r>
      <w:r w:rsidR="00417A3F" w:rsidRPr="00687B52">
        <w:rPr>
          <w:rFonts w:hint="eastAsia"/>
          <w:color w:val="000000" w:themeColor="text1"/>
        </w:rPr>
        <w:t>《输油管道工程设计规范》</w:t>
      </w:r>
    </w:p>
    <w:p w:rsidR="00B20C87" w:rsidRPr="00687B52" w:rsidRDefault="00952CA3" w:rsidP="00EF6936">
      <w:pPr>
        <w:pStyle w:val="ae"/>
        <w:ind w:firstLine="560"/>
        <w:rPr>
          <w:color w:val="000000" w:themeColor="text1"/>
        </w:rPr>
      </w:pPr>
      <w:r w:rsidRPr="00687B52">
        <w:rPr>
          <w:rFonts w:hint="eastAsia"/>
          <w:color w:val="000000" w:themeColor="text1"/>
        </w:rPr>
        <w:t>GB50251</w:t>
      </w:r>
      <w:r w:rsidR="00417A3F" w:rsidRPr="00687B52">
        <w:rPr>
          <w:rFonts w:hint="eastAsia"/>
          <w:color w:val="000000" w:themeColor="text1"/>
        </w:rPr>
        <w:t>《输气管道工程设计规范》</w:t>
      </w:r>
    </w:p>
    <w:p w:rsidR="00B20C87" w:rsidRPr="00687B52" w:rsidRDefault="00952CA3" w:rsidP="00EF6936">
      <w:pPr>
        <w:pStyle w:val="ae"/>
        <w:ind w:firstLine="560"/>
        <w:rPr>
          <w:color w:val="000000" w:themeColor="text1"/>
        </w:rPr>
      </w:pPr>
      <w:r w:rsidRPr="00687B52">
        <w:rPr>
          <w:rFonts w:hint="eastAsia"/>
          <w:color w:val="000000" w:themeColor="text1"/>
        </w:rPr>
        <w:t>GB/T50698</w:t>
      </w:r>
      <w:r w:rsidR="00417A3F" w:rsidRPr="00687B52">
        <w:rPr>
          <w:rFonts w:hint="eastAsia"/>
          <w:color w:val="000000" w:themeColor="text1"/>
        </w:rPr>
        <w:t>《埋地钢制管道交流干扰防护技术标准》</w:t>
      </w:r>
    </w:p>
    <w:p w:rsidR="00B20C87" w:rsidRPr="00687B52" w:rsidRDefault="00952CA3" w:rsidP="00EF6936">
      <w:pPr>
        <w:pStyle w:val="ae"/>
        <w:ind w:firstLine="560"/>
        <w:rPr>
          <w:color w:val="000000" w:themeColor="text1"/>
        </w:rPr>
      </w:pPr>
      <w:r w:rsidRPr="00687B52">
        <w:rPr>
          <w:rFonts w:hint="eastAsia"/>
          <w:color w:val="000000" w:themeColor="text1"/>
        </w:rPr>
        <w:t>GB50061</w:t>
      </w:r>
      <w:r w:rsidR="00417A3F" w:rsidRPr="00687B52">
        <w:rPr>
          <w:rFonts w:hint="eastAsia"/>
          <w:color w:val="000000" w:themeColor="text1"/>
        </w:rPr>
        <w:t>《</w:t>
      </w:r>
      <w:r w:rsidR="00417A3F" w:rsidRPr="00687B52">
        <w:rPr>
          <w:rFonts w:hint="eastAsia"/>
          <w:color w:val="000000" w:themeColor="text1"/>
        </w:rPr>
        <w:t>66kv</w:t>
      </w:r>
      <w:r w:rsidR="00417A3F" w:rsidRPr="00687B52">
        <w:rPr>
          <w:rFonts w:hint="eastAsia"/>
          <w:color w:val="000000" w:themeColor="text1"/>
        </w:rPr>
        <w:t>及以下架空电力线路设计规范》</w:t>
      </w:r>
    </w:p>
    <w:p w:rsidR="00417A3F" w:rsidRPr="00687B52" w:rsidRDefault="00952CA3" w:rsidP="00EF6936">
      <w:pPr>
        <w:pStyle w:val="ae"/>
        <w:ind w:firstLine="560"/>
        <w:rPr>
          <w:color w:val="000000" w:themeColor="text1"/>
        </w:rPr>
      </w:pPr>
      <w:r w:rsidRPr="00687B52">
        <w:rPr>
          <w:rFonts w:hint="eastAsia"/>
          <w:color w:val="000000" w:themeColor="text1"/>
        </w:rPr>
        <w:t>GB50545</w:t>
      </w:r>
      <w:r w:rsidR="00417A3F" w:rsidRPr="00687B52">
        <w:rPr>
          <w:rFonts w:hint="eastAsia"/>
          <w:color w:val="000000" w:themeColor="text1"/>
        </w:rPr>
        <w:t>《</w:t>
      </w:r>
      <w:r w:rsidR="00417A3F" w:rsidRPr="00687B52">
        <w:rPr>
          <w:rFonts w:hint="eastAsia"/>
          <w:color w:val="000000" w:themeColor="text1"/>
        </w:rPr>
        <w:t>110kV~750kV</w:t>
      </w:r>
      <w:r w:rsidR="00417A3F" w:rsidRPr="00687B52">
        <w:rPr>
          <w:rFonts w:hint="eastAsia"/>
          <w:color w:val="000000" w:themeColor="text1"/>
        </w:rPr>
        <w:t>架空输电线路设计规范》</w:t>
      </w:r>
    </w:p>
    <w:p w:rsidR="00417A3F" w:rsidRPr="00687B52" w:rsidRDefault="00952CA3" w:rsidP="00EF6936">
      <w:pPr>
        <w:pStyle w:val="ae"/>
        <w:ind w:firstLine="560"/>
        <w:rPr>
          <w:color w:val="000000" w:themeColor="text1"/>
        </w:rPr>
      </w:pPr>
      <w:r w:rsidRPr="00687B52">
        <w:rPr>
          <w:rFonts w:hint="eastAsia"/>
          <w:color w:val="000000" w:themeColor="text1"/>
        </w:rPr>
        <w:t>GB50423</w:t>
      </w:r>
      <w:r w:rsidR="00417A3F" w:rsidRPr="00687B52">
        <w:rPr>
          <w:rFonts w:hint="eastAsia"/>
          <w:color w:val="000000" w:themeColor="text1"/>
        </w:rPr>
        <w:t>《油气输送管道穿越工程设计规范》</w:t>
      </w:r>
    </w:p>
    <w:p w:rsidR="00417A3F" w:rsidRPr="00687B52" w:rsidRDefault="00952CA3" w:rsidP="00EF6936">
      <w:pPr>
        <w:pStyle w:val="ae"/>
        <w:ind w:firstLine="560"/>
        <w:rPr>
          <w:color w:val="000000" w:themeColor="text1"/>
        </w:rPr>
      </w:pPr>
      <w:r w:rsidRPr="00687B52">
        <w:rPr>
          <w:rFonts w:hint="eastAsia"/>
          <w:color w:val="000000" w:themeColor="text1"/>
        </w:rPr>
        <w:t>GB50459</w:t>
      </w:r>
      <w:r w:rsidR="00417A3F" w:rsidRPr="00687B52">
        <w:rPr>
          <w:rFonts w:hint="eastAsia"/>
          <w:color w:val="000000" w:themeColor="text1"/>
        </w:rPr>
        <w:t>《油气输送管道跨越工程设计规范》</w:t>
      </w:r>
    </w:p>
    <w:p w:rsidR="00417A3F" w:rsidRPr="00687B52" w:rsidRDefault="00952CA3" w:rsidP="00EF6936">
      <w:pPr>
        <w:pStyle w:val="ae"/>
        <w:ind w:firstLine="560"/>
        <w:rPr>
          <w:color w:val="000000" w:themeColor="text1"/>
        </w:rPr>
      </w:pPr>
      <w:r w:rsidRPr="00687B52">
        <w:rPr>
          <w:rFonts w:hint="eastAsia"/>
          <w:color w:val="000000" w:themeColor="text1"/>
        </w:rPr>
        <w:t>GB50030</w:t>
      </w:r>
      <w:r w:rsidR="00417A3F" w:rsidRPr="00687B52">
        <w:rPr>
          <w:rFonts w:hint="eastAsia"/>
          <w:color w:val="000000" w:themeColor="text1"/>
        </w:rPr>
        <w:t>《氧气站设计规范》</w:t>
      </w:r>
    </w:p>
    <w:p w:rsidR="00417A3F" w:rsidRPr="00687B52" w:rsidRDefault="00952CA3" w:rsidP="00EF6936">
      <w:pPr>
        <w:pStyle w:val="ae"/>
        <w:ind w:firstLine="560"/>
        <w:rPr>
          <w:color w:val="000000" w:themeColor="text1"/>
        </w:rPr>
      </w:pPr>
      <w:r w:rsidRPr="00687B52">
        <w:rPr>
          <w:rFonts w:hint="eastAsia"/>
          <w:color w:val="000000" w:themeColor="text1"/>
        </w:rPr>
        <w:t>GB16912</w:t>
      </w:r>
      <w:r w:rsidR="00417A3F" w:rsidRPr="00687B52">
        <w:rPr>
          <w:rFonts w:hint="eastAsia"/>
          <w:color w:val="000000" w:themeColor="text1"/>
        </w:rPr>
        <w:t>《深度冷冻法生产氧气机相关气体安全技术规程》</w:t>
      </w:r>
    </w:p>
    <w:p w:rsidR="00417A3F" w:rsidRPr="00687B52" w:rsidRDefault="00952CA3" w:rsidP="00EF6936">
      <w:pPr>
        <w:pStyle w:val="ae"/>
        <w:ind w:firstLine="560"/>
        <w:rPr>
          <w:color w:val="000000" w:themeColor="text1"/>
        </w:rPr>
      </w:pPr>
      <w:r w:rsidRPr="00687B52">
        <w:rPr>
          <w:rFonts w:hint="eastAsia"/>
          <w:color w:val="000000" w:themeColor="text1"/>
        </w:rPr>
        <w:t>GB50177</w:t>
      </w:r>
      <w:r w:rsidR="00417A3F" w:rsidRPr="00687B52">
        <w:rPr>
          <w:rFonts w:hint="eastAsia"/>
          <w:color w:val="000000" w:themeColor="text1"/>
        </w:rPr>
        <w:t>《氢气站设计规范》</w:t>
      </w:r>
    </w:p>
    <w:p w:rsidR="00417A3F" w:rsidRPr="00687B52" w:rsidRDefault="00952CA3" w:rsidP="00EF6936">
      <w:pPr>
        <w:pStyle w:val="ae"/>
        <w:ind w:firstLine="560"/>
        <w:rPr>
          <w:color w:val="000000" w:themeColor="text1"/>
        </w:rPr>
      </w:pPr>
      <w:r w:rsidRPr="00687B52">
        <w:rPr>
          <w:rFonts w:hint="eastAsia"/>
          <w:color w:val="000000" w:themeColor="text1"/>
        </w:rPr>
        <w:t>GB/T33000</w:t>
      </w:r>
      <w:r w:rsidR="00417A3F" w:rsidRPr="00687B52">
        <w:rPr>
          <w:color w:val="000000" w:themeColor="text1"/>
        </w:rPr>
        <w:t>《</w:t>
      </w:r>
      <w:r w:rsidR="00417A3F" w:rsidRPr="00687B52">
        <w:rPr>
          <w:rFonts w:hint="eastAsia"/>
          <w:color w:val="000000" w:themeColor="text1"/>
        </w:rPr>
        <w:t>企业安全生产标准化基本</w:t>
      </w:r>
      <w:r w:rsidR="00417A3F" w:rsidRPr="00687B52">
        <w:rPr>
          <w:color w:val="000000" w:themeColor="text1"/>
        </w:rPr>
        <w:t>规范》</w:t>
      </w:r>
    </w:p>
    <w:p w:rsidR="00417A3F" w:rsidRPr="00687B52" w:rsidRDefault="00952CA3" w:rsidP="00EF6936">
      <w:pPr>
        <w:pStyle w:val="ae"/>
        <w:ind w:firstLine="560"/>
        <w:rPr>
          <w:color w:val="000000" w:themeColor="text1"/>
        </w:rPr>
      </w:pPr>
      <w:r w:rsidRPr="00687B52">
        <w:rPr>
          <w:rFonts w:hint="eastAsia"/>
          <w:color w:val="000000" w:themeColor="text1"/>
        </w:rPr>
        <w:t>GBT 29639</w:t>
      </w:r>
      <w:r w:rsidR="00417A3F" w:rsidRPr="00687B52">
        <w:rPr>
          <w:color w:val="000000" w:themeColor="text1"/>
        </w:rPr>
        <w:t>《</w:t>
      </w:r>
      <w:r w:rsidR="00417A3F" w:rsidRPr="00687B52">
        <w:rPr>
          <w:rFonts w:hint="eastAsia"/>
          <w:color w:val="000000" w:themeColor="text1"/>
        </w:rPr>
        <w:t>生产经营单位生产安全事故应急预案编制导则</w:t>
      </w:r>
      <w:r w:rsidR="00417A3F" w:rsidRPr="00687B52">
        <w:rPr>
          <w:color w:val="000000" w:themeColor="text1"/>
        </w:rPr>
        <w:t>》</w:t>
      </w:r>
    </w:p>
    <w:p w:rsidR="00417BB8" w:rsidRPr="00687B52" w:rsidRDefault="00952CA3" w:rsidP="00EF6936">
      <w:pPr>
        <w:pStyle w:val="ae"/>
        <w:ind w:firstLine="560"/>
        <w:rPr>
          <w:color w:val="000000" w:themeColor="text1"/>
        </w:rPr>
      </w:pPr>
      <w:r w:rsidRPr="00687B52">
        <w:rPr>
          <w:color w:val="000000" w:themeColor="text1"/>
        </w:rPr>
        <w:t>GB50072</w:t>
      </w:r>
      <w:r w:rsidR="00417BB8" w:rsidRPr="00687B52">
        <w:rPr>
          <w:color w:val="000000" w:themeColor="text1"/>
        </w:rPr>
        <w:t>《冷库设计规范》</w:t>
      </w:r>
    </w:p>
    <w:p w:rsidR="00B9156B" w:rsidRPr="00687B52" w:rsidRDefault="00952CA3" w:rsidP="00EF6936">
      <w:pPr>
        <w:pStyle w:val="ae"/>
        <w:ind w:firstLine="560"/>
        <w:rPr>
          <w:color w:val="000000" w:themeColor="text1"/>
        </w:rPr>
      </w:pPr>
      <w:r w:rsidRPr="00687B52">
        <w:rPr>
          <w:color w:val="000000" w:themeColor="text1"/>
        </w:rPr>
        <w:t>GB50195</w:t>
      </w:r>
      <w:r w:rsidR="00417BB8" w:rsidRPr="00687B52">
        <w:rPr>
          <w:color w:val="000000" w:themeColor="text1"/>
        </w:rPr>
        <w:t>《发生炉煤气站设计规范》</w:t>
      </w:r>
    </w:p>
    <w:p w:rsidR="006E288A" w:rsidRPr="00687B52" w:rsidRDefault="006E288A" w:rsidP="00EF6936">
      <w:pPr>
        <w:pStyle w:val="ae"/>
        <w:ind w:firstLine="560"/>
        <w:rPr>
          <w:color w:val="000000" w:themeColor="text1"/>
        </w:rPr>
      </w:pPr>
      <w:r w:rsidRPr="00687B52">
        <w:rPr>
          <w:rFonts w:hint="eastAsia"/>
          <w:color w:val="000000" w:themeColor="text1"/>
        </w:rPr>
        <w:t>AQ3013</w:t>
      </w:r>
      <w:r w:rsidRPr="00687B52">
        <w:rPr>
          <w:rFonts w:hint="eastAsia"/>
          <w:color w:val="000000" w:themeColor="text1"/>
        </w:rPr>
        <w:t>《危险化学品从业单位安全标准化通用规范》</w:t>
      </w:r>
    </w:p>
    <w:p w:rsidR="006E288A" w:rsidRPr="00687B52" w:rsidRDefault="006E288A" w:rsidP="00EF6936">
      <w:pPr>
        <w:pStyle w:val="ae"/>
        <w:ind w:firstLine="560"/>
        <w:rPr>
          <w:color w:val="000000" w:themeColor="text1"/>
        </w:rPr>
      </w:pPr>
      <w:r w:rsidRPr="00687B52">
        <w:rPr>
          <w:rFonts w:hint="eastAsia"/>
          <w:color w:val="000000" w:themeColor="text1"/>
        </w:rPr>
        <w:t>AQ3034/T</w:t>
      </w:r>
      <w:r w:rsidRPr="00687B52">
        <w:rPr>
          <w:rFonts w:hint="eastAsia"/>
          <w:color w:val="000000" w:themeColor="text1"/>
        </w:rPr>
        <w:t>《化工企业工业安全管理实施导则》</w:t>
      </w:r>
    </w:p>
    <w:p w:rsidR="006E288A" w:rsidRPr="00687B52" w:rsidRDefault="006E288A" w:rsidP="00EF6936">
      <w:pPr>
        <w:pStyle w:val="ae"/>
        <w:ind w:firstLine="560"/>
        <w:rPr>
          <w:color w:val="000000" w:themeColor="text1"/>
        </w:rPr>
      </w:pPr>
      <w:r w:rsidRPr="00687B52">
        <w:rPr>
          <w:color w:val="000000" w:themeColor="text1"/>
        </w:rPr>
        <w:t>HG20571</w:t>
      </w:r>
      <w:r w:rsidRPr="00687B52">
        <w:rPr>
          <w:rFonts w:hint="eastAsia"/>
          <w:color w:val="000000" w:themeColor="text1"/>
        </w:rPr>
        <w:t>《</w:t>
      </w:r>
      <w:hyperlink r:id="rId12" w:tgtFrame="_blank" w:history="1">
        <w:r w:rsidRPr="00687B52">
          <w:rPr>
            <w:color w:val="000000" w:themeColor="text1"/>
          </w:rPr>
          <w:t>化工企业安全卫生设计规范</w:t>
        </w:r>
      </w:hyperlink>
      <w:r w:rsidRPr="00687B52">
        <w:rPr>
          <w:rFonts w:hint="eastAsia"/>
          <w:color w:val="000000" w:themeColor="text1"/>
        </w:rPr>
        <w:t>》</w:t>
      </w:r>
    </w:p>
    <w:p w:rsidR="006E288A" w:rsidRPr="00687B52" w:rsidRDefault="006E288A" w:rsidP="00EF6936">
      <w:pPr>
        <w:pStyle w:val="ae"/>
        <w:ind w:firstLine="560"/>
        <w:rPr>
          <w:color w:val="000000" w:themeColor="text1"/>
        </w:rPr>
      </w:pPr>
      <w:r w:rsidRPr="00687B52">
        <w:rPr>
          <w:rFonts w:hint="eastAsia"/>
          <w:color w:val="000000" w:themeColor="text1"/>
        </w:rPr>
        <w:t>Q/SY1365</w:t>
      </w:r>
      <w:r w:rsidRPr="00687B52">
        <w:rPr>
          <w:rFonts w:hint="eastAsia"/>
          <w:color w:val="000000" w:themeColor="text1"/>
        </w:rPr>
        <w:t>《气瓶使用安全管理规范》</w:t>
      </w:r>
    </w:p>
    <w:p w:rsidR="006E288A" w:rsidRPr="00687B52" w:rsidRDefault="006E288A" w:rsidP="00EF6936">
      <w:pPr>
        <w:pStyle w:val="ae"/>
        <w:ind w:firstLine="560"/>
        <w:rPr>
          <w:color w:val="000000" w:themeColor="text1"/>
        </w:rPr>
      </w:pPr>
      <w:r w:rsidRPr="00687B52">
        <w:rPr>
          <w:color w:val="000000" w:themeColor="text1"/>
        </w:rPr>
        <w:t>TSG21</w:t>
      </w:r>
      <w:r w:rsidRPr="00687B52">
        <w:rPr>
          <w:color w:val="000000" w:themeColor="text1"/>
        </w:rPr>
        <w:t>《固定式压力容器安全技术监察规程》</w:t>
      </w:r>
    </w:p>
    <w:p w:rsidR="006E288A" w:rsidRPr="00687B52" w:rsidRDefault="006E288A" w:rsidP="00EF6936">
      <w:pPr>
        <w:pStyle w:val="ae"/>
        <w:ind w:firstLine="560"/>
        <w:rPr>
          <w:color w:val="000000" w:themeColor="text1"/>
        </w:rPr>
      </w:pPr>
      <w:r w:rsidRPr="00687B52">
        <w:rPr>
          <w:rFonts w:hint="eastAsia"/>
          <w:color w:val="000000" w:themeColor="text1"/>
        </w:rPr>
        <w:t>SH3020</w:t>
      </w:r>
      <w:r w:rsidRPr="00687B52">
        <w:rPr>
          <w:rFonts w:hint="eastAsia"/>
          <w:color w:val="000000" w:themeColor="text1"/>
        </w:rPr>
        <w:t>《石油化工仪表供气设计规范》</w:t>
      </w:r>
    </w:p>
    <w:p w:rsidR="006E288A" w:rsidRPr="00687B52" w:rsidRDefault="006E288A" w:rsidP="00EF6936">
      <w:pPr>
        <w:pStyle w:val="ae"/>
        <w:ind w:firstLine="560"/>
        <w:rPr>
          <w:color w:val="000000" w:themeColor="text1"/>
        </w:rPr>
      </w:pPr>
      <w:r w:rsidRPr="00687B52">
        <w:rPr>
          <w:rFonts w:hint="eastAsia"/>
          <w:color w:val="000000" w:themeColor="text1"/>
        </w:rPr>
        <w:t>SH/T3081</w:t>
      </w:r>
      <w:r w:rsidRPr="00687B52">
        <w:rPr>
          <w:rFonts w:hint="eastAsia"/>
          <w:color w:val="000000" w:themeColor="text1"/>
        </w:rPr>
        <w:t>《石油化工仪表接地设计规范》</w:t>
      </w:r>
    </w:p>
    <w:p w:rsidR="003D4298" w:rsidRPr="00687B52" w:rsidRDefault="003D4298" w:rsidP="00EF6936">
      <w:pPr>
        <w:pStyle w:val="ae"/>
        <w:ind w:firstLine="560"/>
        <w:rPr>
          <w:color w:val="000000" w:themeColor="text1"/>
        </w:rPr>
      </w:pPr>
      <w:r w:rsidRPr="00687B52">
        <w:rPr>
          <w:rFonts w:hint="eastAsia"/>
          <w:color w:val="000000" w:themeColor="text1"/>
        </w:rPr>
        <w:t>SH3097</w:t>
      </w:r>
      <w:r w:rsidRPr="00687B52">
        <w:rPr>
          <w:rFonts w:hint="eastAsia"/>
          <w:color w:val="000000" w:themeColor="text1"/>
        </w:rPr>
        <w:t>《石油化工静电接地设计规范》</w:t>
      </w:r>
    </w:p>
    <w:p w:rsidR="006E288A" w:rsidRPr="00687B52" w:rsidRDefault="006E288A" w:rsidP="00EF6936">
      <w:pPr>
        <w:pStyle w:val="ae"/>
        <w:ind w:firstLine="560"/>
        <w:rPr>
          <w:color w:val="000000" w:themeColor="text1"/>
        </w:rPr>
      </w:pPr>
      <w:r w:rsidRPr="00687B52">
        <w:rPr>
          <w:rFonts w:hint="eastAsia"/>
          <w:color w:val="000000" w:themeColor="text1"/>
        </w:rPr>
        <w:t>HG20556</w:t>
      </w:r>
      <w:r w:rsidRPr="00687B52">
        <w:rPr>
          <w:rFonts w:hint="eastAsia"/>
          <w:color w:val="000000" w:themeColor="text1"/>
        </w:rPr>
        <w:t>《化工厂控制室建筑设计规定》</w:t>
      </w:r>
    </w:p>
    <w:p w:rsidR="006E288A" w:rsidRPr="00687B52" w:rsidRDefault="006E288A" w:rsidP="00EF6936">
      <w:pPr>
        <w:pStyle w:val="ae"/>
        <w:ind w:firstLine="560"/>
        <w:rPr>
          <w:color w:val="000000" w:themeColor="text1"/>
        </w:rPr>
      </w:pPr>
      <w:r w:rsidRPr="00687B52">
        <w:rPr>
          <w:rFonts w:hint="eastAsia"/>
          <w:color w:val="000000" w:themeColor="text1"/>
        </w:rPr>
        <w:t>DB11/527</w:t>
      </w:r>
      <w:r w:rsidRPr="00687B52">
        <w:rPr>
          <w:rFonts w:hint="eastAsia"/>
          <w:color w:val="000000" w:themeColor="text1"/>
        </w:rPr>
        <w:t>《变配电室安全管理规范》</w:t>
      </w:r>
    </w:p>
    <w:p w:rsidR="006E288A" w:rsidRPr="00687B52" w:rsidRDefault="006E288A" w:rsidP="00EF6936">
      <w:pPr>
        <w:pStyle w:val="ae"/>
        <w:ind w:firstLine="560"/>
        <w:rPr>
          <w:color w:val="000000" w:themeColor="text1"/>
        </w:rPr>
      </w:pPr>
      <w:r w:rsidRPr="00687B52">
        <w:rPr>
          <w:rFonts w:hint="eastAsia"/>
          <w:color w:val="000000" w:themeColor="text1"/>
        </w:rPr>
        <w:t>HG/T20675</w:t>
      </w:r>
      <w:r w:rsidRPr="00687B52">
        <w:rPr>
          <w:rFonts w:hint="eastAsia"/>
          <w:color w:val="000000" w:themeColor="text1"/>
        </w:rPr>
        <w:t>《化工企业静电接地设计规程》</w:t>
      </w:r>
    </w:p>
    <w:p w:rsidR="006E288A" w:rsidRPr="00687B52" w:rsidRDefault="006E288A" w:rsidP="00EF6936">
      <w:pPr>
        <w:pStyle w:val="ae"/>
        <w:ind w:firstLine="560"/>
        <w:rPr>
          <w:color w:val="000000" w:themeColor="text1"/>
        </w:rPr>
      </w:pPr>
      <w:r w:rsidRPr="00687B52">
        <w:rPr>
          <w:rFonts w:hint="eastAsia"/>
          <w:color w:val="000000" w:themeColor="text1"/>
        </w:rPr>
        <w:t>SH3047</w:t>
      </w:r>
      <w:r w:rsidRPr="00687B52">
        <w:rPr>
          <w:rFonts w:hint="eastAsia"/>
          <w:color w:val="000000" w:themeColor="text1"/>
        </w:rPr>
        <w:t>《石油化工企业职业安全卫生设计规范》</w:t>
      </w:r>
    </w:p>
    <w:p w:rsidR="006E288A" w:rsidRPr="00687B52" w:rsidRDefault="006E288A" w:rsidP="00EF6936">
      <w:pPr>
        <w:pStyle w:val="ae"/>
        <w:ind w:firstLine="560"/>
        <w:rPr>
          <w:color w:val="000000" w:themeColor="text1"/>
        </w:rPr>
      </w:pPr>
      <w:r w:rsidRPr="00687B52">
        <w:rPr>
          <w:color w:val="000000" w:themeColor="text1"/>
        </w:rPr>
        <w:t>HG/T20583</w:t>
      </w:r>
      <w:r w:rsidRPr="00687B52">
        <w:rPr>
          <w:color w:val="000000" w:themeColor="text1"/>
        </w:rPr>
        <w:t>《钢制化工容器结构设计规定》</w:t>
      </w:r>
    </w:p>
    <w:p w:rsidR="006E288A" w:rsidRPr="00687B52" w:rsidRDefault="006E288A" w:rsidP="00EF6936">
      <w:pPr>
        <w:pStyle w:val="ae"/>
        <w:ind w:firstLine="560"/>
        <w:rPr>
          <w:color w:val="000000" w:themeColor="text1"/>
        </w:rPr>
      </w:pPr>
      <w:r w:rsidRPr="00687B52">
        <w:rPr>
          <w:rFonts w:hint="eastAsia"/>
          <w:color w:val="000000" w:themeColor="text1"/>
        </w:rPr>
        <w:lastRenderedPageBreak/>
        <w:t>AQ5204</w:t>
      </w:r>
      <w:r w:rsidRPr="00687B52">
        <w:rPr>
          <w:rFonts w:hint="eastAsia"/>
          <w:color w:val="000000" w:themeColor="text1"/>
        </w:rPr>
        <w:t>《涂料生产企业安全技术规程》</w:t>
      </w:r>
    </w:p>
    <w:p w:rsidR="006E288A" w:rsidRPr="00687B52" w:rsidRDefault="006E288A" w:rsidP="00EF6936">
      <w:pPr>
        <w:pStyle w:val="ae"/>
        <w:ind w:firstLine="560"/>
        <w:rPr>
          <w:color w:val="000000" w:themeColor="text1"/>
        </w:rPr>
      </w:pPr>
      <w:r w:rsidRPr="00687B52">
        <w:rPr>
          <w:color w:val="000000" w:themeColor="text1"/>
        </w:rPr>
        <w:t>AQ4254</w:t>
      </w:r>
      <w:r w:rsidRPr="00687B52">
        <w:rPr>
          <w:color w:val="000000" w:themeColor="text1"/>
        </w:rPr>
        <w:t>《涂料生产企业职业健康技术规范》</w:t>
      </w:r>
    </w:p>
    <w:p w:rsidR="006E288A" w:rsidRPr="00687B52" w:rsidRDefault="006E288A" w:rsidP="00EF6936">
      <w:pPr>
        <w:pStyle w:val="ae"/>
        <w:ind w:firstLine="560"/>
        <w:rPr>
          <w:color w:val="000000" w:themeColor="text1"/>
        </w:rPr>
      </w:pPr>
      <w:r w:rsidRPr="00687B52">
        <w:rPr>
          <w:color w:val="000000" w:themeColor="text1"/>
        </w:rPr>
        <w:t>AQ 5216</w:t>
      </w:r>
      <w:r w:rsidRPr="00687B52">
        <w:rPr>
          <w:rFonts w:hint="eastAsia"/>
          <w:color w:val="000000" w:themeColor="text1"/>
        </w:rPr>
        <w:t>《涂料与辅助材料使用安全通则》</w:t>
      </w:r>
    </w:p>
    <w:p w:rsidR="006E288A" w:rsidRPr="00687B52" w:rsidRDefault="006E288A" w:rsidP="00EF6936">
      <w:pPr>
        <w:pStyle w:val="ae"/>
        <w:ind w:firstLine="560"/>
        <w:rPr>
          <w:color w:val="000000" w:themeColor="text1"/>
        </w:rPr>
      </w:pPr>
      <w:r w:rsidRPr="00687B52">
        <w:rPr>
          <w:rFonts w:hint="eastAsia"/>
          <w:color w:val="000000" w:themeColor="text1"/>
        </w:rPr>
        <w:t>HG20532</w:t>
      </w:r>
      <w:r w:rsidRPr="00687B52">
        <w:rPr>
          <w:rFonts w:hint="eastAsia"/>
          <w:color w:val="000000" w:themeColor="text1"/>
        </w:rPr>
        <w:t>《化工粉体工程设计安全卫生规定》</w:t>
      </w:r>
    </w:p>
    <w:p w:rsidR="006E288A" w:rsidRPr="00687B52" w:rsidRDefault="006E288A" w:rsidP="00EF6936">
      <w:pPr>
        <w:pStyle w:val="ae"/>
        <w:ind w:firstLine="560"/>
        <w:rPr>
          <w:color w:val="000000" w:themeColor="text1"/>
        </w:rPr>
      </w:pPr>
      <w:r w:rsidRPr="00687B52">
        <w:rPr>
          <w:color w:val="000000" w:themeColor="text1"/>
        </w:rPr>
        <w:t>JT618</w:t>
      </w:r>
      <w:r w:rsidRPr="00687B52">
        <w:rPr>
          <w:rFonts w:hint="eastAsia"/>
          <w:color w:val="000000" w:themeColor="text1"/>
        </w:rPr>
        <w:t>《</w:t>
      </w:r>
      <w:r w:rsidRPr="00687B52">
        <w:rPr>
          <w:color w:val="000000" w:themeColor="text1"/>
        </w:rPr>
        <w:t>汽车运输装卸危险货物作业规程</w:t>
      </w:r>
      <w:r w:rsidRPr="00687B52">
        <w:rPr>
          <w:rFonts w:hint="eastAsia"/>
          <w:color w:val="000000" w:themeColor="text1"/>
        </w:rPr>
        <w:t>》</w:t>
      </w:r>
    </w:p>
    <w:p w:rsidR="006E288A" w:rsidRPr="00687B52" w:rsidRDefault="006E288A" w:rsidP="00EF6936">
      <w:pPr>
        <w:pStyle w:val="ae"/>
        <w:ind w:firstLine="560"/>
        <w:rPr>
          <w:color w:val="000000" w:themeColor="text1"/>
        </w:rPr>
      </w:pPr>
      <w:r w:rsidRPr="00687B52">
        <w:rPr>
          <w:rFonts w:hint="eastAsia"/>
          <w:color w:val="000000" w:themeColor="text1"/>
        </w:rPr>
        <w:t>AQ 3037</w:t>
      </w:r>
      <w:r w:rsidRPr="00687B52">
        <w:rPr>
          <w:rFonts w:hint="eastAsia"/>
          <w:color w:val="000000" w:themeColor="text1"/>
        </w:rPr>
        <w:t>《硫酸生产企业安全生产标准化实施指南》</w:t>
      </w:r>
    </w:p>
    <w:p w:rsidR="006E288A" w:rsidRPr="00687B52" w:rsidRDefault="006E288A" w:rsidP="00EF6936">
      <w:pPr>
        <w:pStyle w:val="ae"/>
        <w:ind w:firstLine="560"/>
        <w:rPr>
          <w:color w:val="000000" w:themeColor="text1"/>
        </w:rPr>
      </w:pPr>
      <w:r w:rsidRPr="00687B52">
        <w:rPr>
          <w:color w:val="000000" w:themeColor="text1"/>
        </w:rPr>
        <w:t>DL/T 5092</w:t>
      </w:r>
      <w:r w:rsidRPr="00687B52">
        <w:rPr>
          <w:color w:val="000000" w:themeColor="text1"/>
        </w:rPr>
        <w:t>《</w:t>
      </w:r>
      <w:r w:rsidRPr="00687B52">
        <w:rPr>
          <w:color w:val="000000" w:themeColor="text1"/>
        </w:rPr>
        <w:t>ll0</w:t>
      </w:r>
      <w:r w:rsidRPr="00687B52">
        <w:rPr>
          <w:color w:val="000000" w:themeColor="text1"/>
        </w:rPr>
        <w:t>～</w:t>
      </w:r>
      <w:r w:rsidRPr="00687B52">
        <w:rPr>
          <w:color w:val="000000" w:themeColor="text1"/>
        </w:rPr>
        <w:t xml:space="preserve">500kV </w:t>
      </w:r>
      <w:r w:rsidRPr="00687B52">
        <w:rPr>
          <w:color w:val="000000" w:themeColor="text1"/>
        </w:rPr>
        <w:t>架空送电线路设计技术规程》</w:t>
      </w:r>
    </w:p>
    <w:p w:rsidR="006E288A" w:rsidRPr="00687B52" w:rsidRDefault="006E288A" w:rsidP="00EF6936">
      <w:pPr>
        <w:pStyle w:val="ae"/>
        <w:ind w:firstLine="560"/>
        <w:rPr>
          <w:color w:val="000000" w:themeColor="text1"/>
        </w:rPr>
      </w:pPr>
      <w:r w:rsidRPr="00687B52">
        <w:rPr>
          <w:rFonts w:hint="eastAsia"/>
          <w:color w:val="000000" w:themeColor="text1"/>
        </w:rPr>
        <w:t>AQ/T3016</w:t>
      </w:r>
      <w:r w:rsidRPr="00687B52">
        <w:rPr>
          <w:rFonts w:hint="eastAsia"/>
          <w:color w:val="000000" w:themeColor="text1"/>
        </w:rPr>
        <w:t>《</w:t>
      </w:r>
      <w:r w:rsidRPr="00687B52">
        <w:rPr>
          <w:color w:val="000000" w:themeColor="text1"/>
        </w:rPr>
        <w:t>氯碱生产企业安全标准化实施指南</w:t>
      </w:r>
      <w:r w:rsidRPr="00687B52">
        <w:rPr>
          <w:rFonts w:hint="eastAsia"/>
          <w:color w:val="000000" w:themeColor="text1"/>
        </w:rPr>
        <w:t>》</w:t>
      </w:r>
    </w:p>
    <w:p w:rsidR="006E288A" w:rsidRPr="00687B52" w:rsidRDefault="006E288A" w:rsidP="00EF6936">
      <w:pPr>
        <w:pStyle w:val="ae"/>
        <w:ind w:firstLine="560"/>
        <w:rPr>
          <w:color w:val="000000" w:themeColor="text1"/>
        </w:rPr>
      </w:pPr>
      <w:r w:rsidRPr="00687B52">
        <w:rPr>
          <w:rFonts w:hint="eastAsia"/>
          <w:color w:val="000000" w:themeColor="text1"/>
        </w:rPr>
        <w:t>DB37/T1933</w:t>
      </w:r>
      <w:r w:rsidRPr="00687B52">
        <w:rPr>
          <w:rFonts w:hint="eastAsia"/>
          <w:color w:val="000000" w:themeColor="text1"/>
        </w:rPr>
        <w:t>《氯碱安全生产技术规范》</w:t>
      </w:r>
    </w:p>
    <w:p w:rsidR="006E288A" w:rsidRPr="00687B52" w:rsidRDefault="006E288A" w:rsidP="00EF6936">
      <w:pPr>
        <w:pStyle w:val="ae"/>
        <w:ind w:firstLine="560"/>
        <w:rPr>
          <w:color w:val="000000" w:themeColor="text1"/>
        </w:rPr>
      </w:pPr>
      <w:r w:rsidRPr="00687B52">
        <w:rPr>
          <w:color w:val="000000" w:themeColor="text1"/>
        </w:rPr>
        <w:t>HG/T20570</w:t>
      </w:r>
      <w:r w:rsidRPr="00687B52">
        <w:rPr>
          <w:color w:val="000000" w:themeColor="text1"/>
        </w:rPr>
        <w:t>《安全阀的设置和选用》</w:t>
      </w:r>
    </w:p>
    <w:p w:rsidR="006E288A" w:rsidRPr="00687B52" w:rsidRDefault="006E288A" w:rsidP="00EF6936">
      <w:pPr>
        <w:pStyle w:val="ae"/>
        <w:ind w:firstLine="560"/>
        <w:rPr>
          <w:color w:val="000000" w:themeColor="text1"/>
        </w:rPr>
      </w:pPr>
      <w:r w:rsidRPr="00687B52">
        <w:rPr>
          <w:color w:val="000000" w:themeColor="text1"/>
        </w:rPr>
        <w:t>AQ/T3017</w:t>
      </w:r>
      <w:r w:rsidRPr="00687B52">
        <w:rPr>
          <w:color w:val="000000" w:themeColor="text1"/>
        </w:rPr>
        <w:t>《合成氨生产企业安全标准化实施指南》</w:t>
      </w:r>
    </w:p>
    <w:p w:rsidR="006E288A" w:rsidRPr="00687B52" w:rsidRDefault="006E288A" w:rsidP="00EF6936">
      <w:pPr>
        <w:pStyle w:val="ae"/>
        <w:ind w:firstLine="560"/>
        <w:rPr>
          <w:color w:val="000000" w:themeColor="text1"/>
        </w:rPr>
      </w:pPr>
      <w:r w:rsidRPr="00687B52">
        <w:rPr>
          <w:color w:val="000000" w:themeColor="text1"/>
        </w:rPr>
        <w:t>HG/T20679</w:t>
      </w:r>
      <w:r w:rsidRPr="00687B52">
        <w:rPr>
          <w:color w:val="000000" w:themeColor="text1"/>
        </w:rPr>
        <w:t>《化工设备、管道外防腐设计规定》</w:t>
      </w:r>
    </w:p>
    <w:p w:rsidR="006E288A" w:rsidRPr="00687B52" w:rsidRDefault="006E288A" w:rsidP="00EF6936">
      <w:pPr>
        <w:pStyle w:val="ae"/>
        <w:ind w:firstLine="560"/>
        <w:rPr>
          <w:color w:val="000000" w:themeColor="text1"/>
        </w:rPr>
      </w:pPr>
      <w:r w:rsidRPr="00687B52">
        <w:rPr>
          <w:color w:val="000000" w:themeColor="text1"/>
        </w:rPr>
        <w:t>AQ 3040</w:t>
      </w:r>
      <w:r w:rsidRPr="00687B52">
        <w:rPr>
          <w:color w:val="000000" w:themeColor="text1"/>
        </w:rPr>
        <w:t>《涂料生产企业安全生产标准化实施指南》</w:t>
      </w:r>
    </w:p>
    <w:p w:rsidR="006E288A" w:rsidRPr="00687B52" w:rsidRDefault="006E288A" w:rsidP="00EF6936">
      <w:pPr>
        <w:pStyle w:val="ae"/>
        <w:ind w:firstLine="560"/>
        <w:rPr>
          <w:color w:val="000000" w:themeColor="text1"/>
        </w:rPr>
      </w:pPr>
      <w:r w:rsidRPr="00687B52">
        <w:rPr>
          <w:rFonts w:hint="eastAsia"/>
          <w:color w:val="000000" w:themeColor="text1"/>
        </w:rPr>
        <w:t>SHT3007</w:t>
      </w:r>
      <w:r w:rsidRPr="00687B52">
        <w:rPr>
          <w:rFonts w:hint="eastAsia"/>
          <w:color w:val="000000" w:themeColor="text1"/>
        </w:rPr>
        <w:t>《石油化工储运系统罐区设计规范》</w:t>
      </w:r>
    </w:p>
    <w:p w:rsidR="006E288A" w:rsidRPr="00687B52" w:rsidRDefault="006E288A" w:rsidP="00EF6936">
      <w:pPr>
        <w:pStyle w:val="ae"/>
        <w:ind w:firstLine="560"/>
        <w:rPr>
          <w:color w:val="000000" w:themeColor="text1"/>
        </w:rPr>
      </w:pPr>
      <w:r w:rsidRPr="00687B52">
        <w:rPr>
          <w:rFonts w:hint="eastAsia"/>
          <w:color w:val="000000" w:themeColor="text1"/>
        </w:rPr>
        <w:t>JTG B01</w:t>
      </w:r>
      <w:r w:rsidRPr="00687B52">
        <w:rPr>
          <w:rFonts w:hint="eastAsia"/>
          <w:color w:val="000000" w:themeColor="text1"/>
        </w:rPr>
        <w:t>《</w:t>
      </w:r>
      <w:r w:rsidRPr="00687B52">
        <w:rPr>
          <w:color w:val="000000" w:themeColor="text1"/>
        </w:rPr>
        <w:t>公路工程技术标准</w:t>
      </w:r>
      <w:r w:rsidRPr="00687B52">
        <w:rPr>
          <w:rFonts w:hint="eastAsia"/>
          <w:color w:val="000000" w:themeColor="text1"/>
        </w:rPr>
        <w:t>》</w:t>
      </w:r>
    </w:p>
    <w:p w:rsidR="006E288A" w:rsidRPr="00687B52" w:rsidRDefault="006E288A" w:rsidP="00EF6936">
      <w:pPr>
        <w:pStyle w:val="ae"/>
        <w:ind w:firstLine="560"/>
        <w:rPr>
          <w:color w:val="000000" w:themeColor="text1"/>
        </w:rPr>
      </w:pPr>
      <w:r w:rsidRPr="00687B52">
        <w:rPr>
          <w:rFonts w:hint="eastAsia"/>
          <w:color w:val="000000" w:themeColor="text1"/>
        </w:rPr>
        <w:t>JTG D20</w:t>
      </w:r>
      <w:r w:rsidRPr="00687B52">
        <w:rPr>
          <w:rFonts w:hint="eastAsia"/>
          <w:color w:val="000000" w:themeColor="text1"/>
        </w:rPr>
        <w:t>《公路路线设计规范》</w:t>
      </w:r>
    </w:p>
    <w:p w:rsidR="006E288A" w:rsidRPr="00687B52" w:rsidRDefault="006E288A" w:rsidP="00EF6936">
      <w:pPr>
        <w:pStyle w:val="ae"/>
        <w:ind w:firstLine="560"/>
        <w:rPr>
          <w:color w:val="000000" w:themeColor="text1"/>
        </w:rPr>
      </w:pPr>
      <w:r w:rsidRPr="00687B52">
        <w:rPr>
          <w:rFonts w:hint="eastAsia"/>
          <w:color w:val="000000" w:themeColor="text1"/>
        </w:rPr>
        <w:t>JB/T6898</w:t>
      </w:r>
      <w:r w:rsidRPr="00687B52">
        <w:rPr>
          <w:rFonts w:hint="eastAsia"/>
          <w:color w:val="000000" w:themeColor="text1"/>
        </w:rPr>
        <w:t>《低温液体贮运设备使用安全规则》</w:t>
      </w:r>
    </w:p>
    <w:p w:rsidR="00B9156B" w:rsidRPr="00687B52" w:rsidRDefault="006E288A" w:rsidP="00EF6936">
      <w:pPr>
        <w:pStyle w:val="ae"/>
        <w:ind w:firstLine="560"/>
        <w:rPr>
          <w:color w:val="000000" w:themeColor="text1"/>
        </w:rPr>
      </w:pPr>
      <w:r w:rsidRPr="00687B52">
        <w:rPr>
          <w:color w:val="000000" w:themeColor="text1"/>
        </w:rPr>
        <w:t>HJ563</w:t>
      </w:r>
      <w:r w:rsidRPr="00687B52">
        <w:rPr>
          <w:color w:val="000000" w:themeColor="text1"/>
        </w:rPr>
        <w:t>《火电厂脱硝工程技术规范选择性非催化还原法》</w:t>
      </w:r>
    </w:p>
    <w:p w:rsidR="00B9156B" w:rsidRPr="00687B52" w:rsidRDefault="00B9156B" w:rsidP="00EF6936">
      <w:pPr>
        <w:pStyle w:val="ae"/>
        <w:ind w:firstLine="560"/>
        <w:rPr>
          <w:color w:val="000000" w:themeColor="text1"/>
        </w:rPr>
      </w:pPr>
      <w:r w:rsidRPr="00687B52">
        <w:rPr>
          <w:color w:val="000000" w:themeColor="text1"/>
        </w:rPr>
        <w:t>AQ/T3044</w:t>
      </w:r>
      <w:r w:rsidRPr="00687B52">
        <w:rPr>
          <w:color w:val="000000" w:themeColor="text1"/>
        </w:rPr>
        <w:t>《氨气检测报警仪技术规范》</w:t>
      </w:r>
    </w:p>
    <w:p w:rsidR="00B9156B" w:rsidRPr="00687B52" w:rsidRDefault="00B9156B" w:rsidP="00EF6936">
      <w:pPr>
        <w:pStyle w:val="ae"/>
        <w:ind w:firstLine="560"/>
        <w:rPr>
          <w:color w:val="000000" w:themeColor="text1"/>
        </w:rPr>
      </w:pPr>
      <w:r w:rsidRPr="00687B52">
        <w:rPr>
          <w:color w:val="000000" w:themeColor="text1"/>
        </w:rPr>
        <w:t>AQ3036</w:t>
      </w:r>
      <w:r w:rsidRPr="00687B52">
        <w:rPr>
          <w:color w:val="000000" w:themeColor="text1"/>
        </w:rPr>
        <w:t>《危险化学品重大危险源罐区现场安全监控装备设置规范》</w:t>
      </w:r>
    </w:p>
    <w:p w:rsidR="00B9156B" w:rsidRPr="00687B52" w:rsidRDefault="00B9156B" w:rsidP="00EF6936">
      <w:pPr>
        <w:pStyle w:val="ae"/>
        <w:ind w:firstLine="560"/>
        <w:rPr>
          <w:color w:val="000000" w:themeColor="text1"/>
        </w:rPr>
      </w:pPr>
      <w:r w:rsidRPr="00687B52">
        <w:rPr>
          <w:color w:val="000000" w:themeColor="text1"/>
        </w:rPr>
        <w:t>YH-MSDS</w:t>
      </w:r>
      <w:r w:rsidRPr="00687B52">
        <w:rPr>
          <w:color w:val="000000" w:themeColor="text1"/>
        </w:rPr>
        <w:t>《液氨安全技术说明书》</w:t>
      </w:r>
    </w:p>
    <w:p w:rsidR="00CC58EE" w:rsidRPr="00687B52" w:rsidRDefault="00B9156B" w:rsidP="00C05B82">
      <w:pPr>
        <w:pStyle w:val="ae"/>
        <w:ind w:firstLine="560"/>
        <w:rPr>
          <w:color w:val="000000" w:themeColor="text1"/>
        </w:rPr>
      </w:pPr>
      <w:r w:rsidRPr="00687B52">
        <w:rPr>
          <w:color w:val="000000" w:themeColor="text1"/>
        </w:rPr>
        <w:t>AQ3014</w:t>
      </w:r>
      <w:r w:rsidRPr="00687B52">
        <w:rPr>
          <w:color w:val="000000" w:themeColor="text1"/>
        </w:rPr>
        <w:t>《液氯使用安全技术要求》</w:t>
      </w:r>
    </w:p>
    <w:p w:rsidR="00CC58EE" w:rsidRPr="00687B52" w:rsidRDefault="00CC58EE" w:rsidP="00FC4FE2">
      <w:pPr>
        <w:spacing w:line="480" w:lineRule="exact"/>
        <w:jc w:val="left"/>
        <w:rPr>
          <w:color w:val="000000" w:themeColor="text1"/>
          <w:sz w:val="28"/>
          <w:szCs w:val="28"/>
        </w:rPr>
        <w:sectPr w:rsidR="00CC58EE" w:rsidRPr="00687B52" w:rsidSect="00CD2E6C">
          <w:pgSz w:w="11906" w:h="16838"/>
          <w:pgMar w:top="1797" w:right="1440" w:bottom="1797" w:left="1440" w:header="851" w:footer="907" w:gutter="0"/>
          <w:pgNumType w:start="1"/>
          <w:cols w:space="425"/>
          <w:docGrid w:type="lines" w:linePitch="312"/>
        </w:sectPr>
      </w:pPr>
    </w:p>
    <w:p w:rsidR="00B94DFF" w:rsidRPr="00687B52" w:rsidRDefault="00B94DFF" w:rsidP="00C05B82">
      <w:pPr>
        <w:pStyle w:val="aff1"/>
        <w:rPr>
          <w:color w:val="000000" w:themeColor="text1"/>
        </w:rPr>
      </w:pPr>
      <w:bookmarkStart w:id="6" w:name="_Toc492634887"/>
      <w:r w:rsidRPr="00687B52">
        <w:rPr>
          <w:rFonts w:hint="eastAsia"/>
          <w:color w:val="000000" w:themeColor="text1"/>
        </w:rPr>
        <w:lastRenderedPageBreak/>
        <w:t>安全</w:t>
      </w:r>
      <w:r w:rsidR="000408BD" w:rsidRPr="00687B52">
        <w:rPr>
          <w:rFonts w:hint="eastAsia"/>
          <w:color w:val="000000" w:themeColor="text1"/>
        </w:rPr>
        <w:t>体检标准</w:t>
      </w:r>
      <w:bookmarkEnd w:id="6"/>
    </w:p>
    <w:p w:rsidR="00B94DFF" w:rsidRPr="00687B52" w:rsidRDefault="003E6F05" w:rsidP="00763863">
      <w:pPr>
        <w:pStyle w:val="aff2"/>
        <w:ind w:firstLine="562"/>
        <w:rPr>
          <w:color w:val="000000" w:themeColor="text1"/>
        </w:rPr>
      </w:pPr>
      <w:bookmarkStart w:id="7" w:name="_Toc492562319"/>
      <w:bookmarkStart w:id="8" w:name="_Toc492563455"/>
      <w:bookmarkStart w:id="9" w:name="_Toc492563788"/>
      <w:bookmarkStart w:id="10" w:name="_Toc492563972"/>
      <w:bookmarkStart w:id="11" w:name="_Toc492564961"/>
      <w:bookmarkStart w:id="12" w:name="_Toc492634888"/>
      <w:bookmarkStart w:id="13" w:name="_Toc492644875"/>
      <w:bookmarkStart w:id="14" w:name="_Toc492647587"/>
      <w:bookmarkStart w:id="15" w:name="_Toc493856946"/>
      <w:bookmarkStart w:id="16" w:name="_Toc493857056"/>
      <w:r w:rsidRPr="00687B52">
        <w:rPr>
          <w:rFonts w:hint="eastAsia"/>
          <w:color w:val="000000" w:themeColor="text1"/>
        </w:rPr>
        <w:t>4.1</w:t>
      </w:r>
      <w:r w:rsidR="001816B4" w:rsidRPr="00687B52">
        <w:rPr>
          <w:rFonts w:hint="eastAsia"/>
          <w:color w:val="000000" w:themeColor="text1"/>
        </w:rPr>
        <w:t>危险化学品生产、经营、储存、使用企业</w:t>
      </w:r>
      <w:r w:rsidR="00B94DFF" w:rsidRPr="00687B52">
        <w:rPr>
          <w:rFonts w:hint="eastAsia"/>
          <w:color w:val="000000" w:themeColor="text1"/>
        </w:rPr>
        <w:t>通用检查表</w:t>
      </w:r>
      <w:bookmarkEnd w:id="7"/>
      <w:bookmarkEnd w:id="8"/>
      <w:bookmarkEnd w:id="9"/>
      <w:bookmarkEnd w:id="10"/>
      <w:bookmarkEnd w:id="11"/>
      <w:bookmarkEnd w:id="12"/>
      <w:bookmarkEnd w:id="13"/>
      <w:bookmarkEnd w:id="14"/>
      <w:bookmarkEnd w:id="15"/>
      <w:bookmarkEnd w:id="16"/>
    </w:p>
    <w:p w:rsidR="000C2455" w:rsidRPr="00687B52" w:rsidRDefault="00B94DFF" w:rsidP="00C05B82">
      <w:pPr>
        <w:pStyle w:val="aff3"/>
        <w:numPr>
          <w:ilvl w:val="0"/>
          <w:numId w:val="0"/>
        </w:numPr>
        <w:rPr>
          <w:color w:val="000000" w:themeColor="text1"/>
        </w:rPr>
      </w:pPr>
      <w:bookmarkStart w:id="17" w:name="_Toc492634889"/>
      <w:r w:rsidRPr="00687B52">
        <w:rPr>
          <w:rFonts w:hint="eastAsia"/>
          <w:color w:val="000000" w:themeColor="text1"/>
        </w:rPr>
        <w:t>表</w:t>
      </w:r>
      <w:r w:rsidR="000C2455" w:rsidRPr="00687B52">
        <w:rPr>
          <w:rFonts w:hint="eastAsia"/>
          <w:color w:val="000000" w:themeColor="text1"/>
        </w:rPr>
        <w:t xml:space="preserve">1-1 </w:t>
      </w:r>
      <w:r w:rsidR="000C2455" w:rsidRPr="00687B52">
        <w:rPr>
          <w:rFonts w:hint="eastAsia"/>
          <w:color w:val="000000" w:themeColor="text1"/>
        </w:rPr>
        <w:t>基础管理通用检查表</w:t>
      </w:r>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656"/>
        <w:gridCol w:w="3212"/>
        <w:gridCol w:w="3570"/>
      </w:tblGrid>
      <w:tr w:rsidR="000C2455" w:rsidRPr="00687B52" w:rsidTr="00E93DDA">
        <w:trPr>
          <w:tblHeade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序号</w:t>
            </w:r>
          </w:p>
        </w:tc>
        <w:tc>
          <w:tcPr>
            <w:tcW w:w="2101"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检查内容</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检查依据</w:t>
            </w:r>
          </w:p>
        </w:tc>
        <w:tc>
          <w:tcPr>
            <w:tcW w:w="1326"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检查情况</w:t>
            </w:r>
          </w:p>
        </w:tc>
      </w:tr>
      <w:tr w:rsidR="000C2455" w:rsidRPr="00687B52" w:rsidTr="00E93DDA">
        <w:trPr>
          <w:jc w:val="center"/>
        </w:trPr>
        <w:tc>
          <w:tcPr>
            <w:tcW w:w="380" w:type="pct"/>
            <w:vAlign w:val="center"/>
          </w:tcPr>
          <w:p w:rsidR="000C2455" w:rsidRPr="00687B52" w:rsidRDefault="000C2455" w:rsidP="003E1D2A">
            <w:pPr>
              <w:pStyle w:val="a7"/>
              <w:rPr>
                <w:b/>
                <w:color w:val="000000" w:themeColor="text1"/>
                <w:szCs w:val="24"/>
              </w:rPr>
            </w:pPr>
            <w:r w:rsidRPr="00687B52">
              <w:rPr>
                <w:rFonts w:hint="eastAsia"/>
                <w:b/>
                <w:color w:val="000000" w:themeColor="text1"/>
                <w:szCs w:val="24"/>
              </w:rPr>
              <w:t>1</w:t>
            </w:r>
          </w:p>
        </w:tc>
        <w:tc>
          <w:tcPr>
            <w:tcW w:w="2101" w:type="pct"/>
            <w:vAlign w:val="center"/>
          </w:tcPr>
          <w:p w:rsidR="000C2455" w:rsidRPr="00687B52" w:rsidRDefault="000C2455" w:rsidP="003E1D2A">
            <w:pPr>
              <w:pStyle w:val="a7"/>
              <w:jc w:val="left"/>
              <w:rPr>
                <w:b/>
                <w:color w:val="000000" w:themeColor="text1"/>
                <w:szCs w:val="24"/>
              </w:rPr>
            </w:pPr>
            <w:r w:rsidRPr="00687B52">
              <w:rPr>
                <w:rFonts w:hint="eastAsia"/>
                <w:b/>
                <w:color w:val="000000" w:themeColor="text1"/>
                <w:szCs w:val="24"/>
              </w:rPr>
              <w:t>证照文书</w:t>
            </w:r>
          </w:p>
        </w:tc>
        <w:tc>
          <w:tcPr>
            <w:tcW w:w="1193" w:type="pct"/>
            <w:vAlign w:val="center"/>
          </w:tcPr>
          <w:p w:rsidR="000C2455" w:rsidRPr="00687B52" w:rsidRDefault="000C2455" w:rsidP="003E1D2A">
            <w:pPr>
              <w:pStyle w:val="a7"/>
              <w:rPr>
                <w:color w:val="000000" w:themeColor="text1"/>
                <w:szCs w:val="24"/>
              </w:rPr>
            </w:pPr>
          </w:p>
        </w:tc>
        <w:tc>
          <w:tcPr>
            <w:tcW w:w="1326" w:type="pct"/>
            <w:vAlign w:val="center"/>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B94434">
            <w:pPr>
              <w:pStyle w:val="a7"/>
              <w:numPr>
                <w:ilvl w:val="0"/>
                <w:numId w:val="2"/>
              </w:numPr>
              <w:rPr>
                <w:color w:val="000000" w:themeColor="text1"/>
                <w:szCs w:val="24"/>
              </w:rPr>
            </w:pPr>
          </w:p>
        </w:tc>
        <w:tc>
          <w:tcPr>
            <w:tcW w:w="2101" w:type="pct"/>
            <w:vAlign w:val="center"/>
          </w:tcPr>
          <w:p w:rsidR="000C2455" w:rsidRPr="00687B52" w:rsidRDefault="000C2455" w:rsidP="003E1D2A">
            <w:pPr>
              <w:pStyle w:val="a7"/>
              <w:jc w:val="left"/>
              <w:rPr>
                <w:color w:val="000000" w:themeColor="text1"/>
              </w:rPr>
            </w:pPr>
            <w:r w:rsidRPr="00687B52">
              <w:rPr>
                <w:rFonts w:hint="eastAsia"/>
                <w:color w:val="000000" w:themeColor="text1"/>
              </w:rPr>
              <w:t>企业依法取得企业法人营业执照。</w:t>
            </w:r>
          </w:p>
        </w:tc>
        <w:tc>
          <w:tcPr>
            <w:tcW w:w="1193" w:type="pct"/>
            <w:vAlign w:val="center"/>
          </w:tcPr>
          <w:p w:rsidR="000C2455" w:rsidRPr="00687B52" w:rsidRDefault="000C2455" w:rsidP="003E1D2A">
            <w:pPr>
              <w:pStyle w:val="a7"/>
              <w:rPr>
                <w:color w:val="000000" w:themeColor="text1"/>
              </w:rPr>
            </w:pPr>
            <w:r w:rsidRPr="00687B52">
              <w:rPr>
                <w:rFonts w:hint="eastAsia"/>
                <w:color w:val="000000" w:themeColor="text1"/>
              </w:rPr>
              <w:t>《危险化学品生产企业安全生产许可证实施办法》第</w:t>
            </w:r>
            <w:r w:rsidRPr="00687B52">
              <w:rPr>
                <w:rFonts w:hint="eastAsia"/>
                <w:color w:val="000000" w:themeColor="text1"/>
              </w:rPr>
              <w:t>2</w:t>
            </w:r>
            <w:r w:rsidRPr="00687B52">
              <w:rPr>
                <w:rFonts w:hint="eastAsia"/>
                <w:color w:val="000000" w:themeColor="text1"/>
              </w:rPr>
              <w:t>条</w:t>
            </w:r>
          </w:p>
        </w:tc>
        <w:tc>
          <w:tcPr>
            <w:tcW w:w="1326" w:type="pct"/>
            <w:vAlign w:val="center"/>
          </w:tcPr>
          <w:p w:rsidR="000C2455" w:rsidRPr="00687B52" w:rsidRDefault="000C2455" w:rsidP="003E1D2A">
            <w:pPr>
              <w:pStyle w:val="a7"/>
              <w:rPr>
                <w:color w:val="000000" w:themeColor="text1"/>
              </w:rPr>
            </w:pPr>
          </w:p>
        </w:tc>
      </w:tr>
      <w:tr w:rsidR="000C2455" w:rsidRPr="00687B52" w:rsidTr="00E93DDA">
        <w:trPr>
          <w:jc w:val="center"/>
        </w:trPr>
        <w:tc>
          <w:tcPr>
            <w:tcW w:w="380" w:type="pct"/>
            <w:vAlign w:val="center"/>
          </w:tcPr>
          <w:p w:rsidR="000C2455" w:rsidRPr="00687B52" w:rsidRDefault="000C2455" w:rsidP="00B94434">
            <w:pPr>
              <w:pStyle w:val="a7"/>
              <w:numPr>
                <w:ilvl w:val="0"/>
                <w:numId w:val="2"/>
              </w:numPr>
              <w:rPr>
                <w:color w:val="000000" w:themeColor="text1"/>
                <w:szCs w:val="24"/>
              </w:rPr>
            </w:pPr>
          </w:p>
        </w:tc>
        <w:tc>
          <w:tcPr>
            <w:tcW w:w="2101" w:type="pct"/>
            <w:vAlign w:val="center"/>
          </w:tcPr>
          <w:p w:rsidR="000C2455" w:rsidRPr="00687B52" w:rsidRDefault="000C2455" w:rsidP="003E1D2A">
            <w:pPr>
              <w:pStyle w:val="a7"/>
              <w:jc w:val="left"/>
              <w:rPr>
                <w:color w:val="000000" w:themeColor="text1"/>
              </w:rPr>
            </w:pPr>
            <w:r w:rsidRPr="00687B52">
              <w:rPr>
                <w:rFonts w:hint="eastAsia"/>
                <w:color w:val="000000" w:themeColor="text1"/>
              </w:rPr>
              <w:t>危险化学品生产企业应当依法取得危险化学品安全生产许可证，生产许可证上有关内容应与企业实际情况一致，且在有效期内。</w:t>
            </w:r>
          </w:p>
        </w:tc>
        <w:tc>
          <w:tcPr>
            <w:tcW w:w="1193" w:type="pct"/>
            <w:vAlign w:val="center"/>
          </w:tcPr>
          <w:p w:rsidR="000C2455" w:rsidRPr="00687B52" w:rsidRDefault="000C2455" w:rsidP="003E1D2A">
            <w:pPr>
              <w:pStyle w:val="a7"/>
              <w:rPr>
                <w:color w:val="000000" w:themeColor="text1"/>
              </w:rPr>
            </w:pPr>
            <w:r w:rsidRPr="00687B52">
              <w:rPr>
                <w:rFonts w:hint="eastAsia"/>
                <w:color w:val="000000" w:themeColor="text1"/>
              </w:rPr>
              <w:t>《安全生产许可证条例》</w:t>
            </w:r>
          </w:p>
        </w:tc>
        <w:tc>
          <w:tcPr>
            <w:tcW w:w="1326" w:type="pct"/>
            <w:vAlign w:val="center"/>
          </w:tcPr>
          <w:p w:rsidR="000C2455" w:rsidRPr="00687B52" w:rsidRDefault="000C2455" w:rsidP="003E1D2A">
            <w:pPr>
              <w:pStyle w:val="a7"/>
              <w:rPr>
                <w:color w:val="000000" w:themeColor="text1"/>
              </w:rPr>
            </w:pPr>
          </w:p>
        </w:tc>
      </w:tr>
      <w:tr w:rsidR="000C2455" w:rsidRPr="00687B52" w:rsidTr="00E93DDA">
        <w:trPr>
          <w:jc w:val="center"/>
        </w:trPr>
        <w:tc>
          <w:tcPr>
            <w:tcW w:w="380" w:type="pct"/>
            <w:vAlign w:val="center"/>
          </w:tcPr>
          <w:p w:rsidR="000C2455" w:rsidRPr="00687B52" w:rsidRDefault="000C2455" w:rsidP="00B94434">
            <w:pPr>
              <w:pStyle w:val="a7"/>
              <w:numPr>
                <w:ilvl w:val="0"/>
                <w:numId w:val="2"/>
              </w:numPr>
              <w:rPr>
                <w:color w:val="000000" w:themeColor="text1"/>
                <w:szCs w:val="24"/>
              </w:rPr>
            </w:pPr>
          </w:p>
        </w:tc>
        <w:tc>
          <w:tcPr>
            <w:tcW w:w="2101" w:type="pct"/>
            <w:vAlign w:val="center"/>
          </w:tcPr>
          <w:p w:rsidR="000C2455" w:rsidRPr="00687B52" w:rsidRDefault="000C2455" w:rsidP="003E1D2A">
            <w:pPr>
              <w:pStyle w:val="a7"/>
              <w:jc w:val="left"/>
              <w:rPr>
                <w:color w:val="000000" w:themeColor="text1"/>
              </w:rPr>
            </w:pPr>
            <w:r w:rsidRPr="00687B52">
              <w:rPr>
                <w:rFonts w:hint="eastAsia"/>
                <w:color w:val="000000" w:themeColor="text1"/>
              </w:rPr>
              <w:t>危险化学品经营（包括仓储经营）企业应当依法取得危险化学品经营许可证，经营许可证上有关内容应与企业实际情况一致，且在有效期内。</w:t>
            </w:r>
          </w:p>
        </w:tc>
        <w:tc>
          <w:tcPr>
            <w:tcW w:w="1193" w:type="pct"/>
            <w:vAlign w:val="center"/>
          </w:tcPr>
          <w:p w:rsidR="000C2455" w:rsidRPr="00687B52" w:rsidRDefault="000C2455" w:rsidP="003E1D2A">
            <w:pPr>
              <w:pStyle w:val="a7"/>
              <w:rPr>
                <w:color w:val="000000" w:themeColor="text1"/>
              </w:rPr>
            </w:pPr>
            <w:r w:rsidRPr="00687B52">
              <w:rPr>
                <w:rFonts w:hint="eastAsia"/>
                <w:color w:val="000000" w:themeColor="text1"/>
              </w:rPr>
              <w:t>《危险化学品经营许可证管理办法》</w:t>
            </w:r>
          </w:p>
        </w:tc>
        <w:tc>
          <w:tcPr>
            <w:tcW w:w="1326" w:type="pct"/>
            <w:vAlign w:val="center"/>
          </w:tcPr>
          <w:p w:rsidR="000C2455" w:rsidRPr="00687B52" w:rsidRDefault="000C2455" w:rsidP="003E1D2A">
            <w:pPr>
              <w:pStyle w:val="a7"/>
              <w:rPr>
                <w:color w:val="000000" w:themeColor="text1"/>
              </w:rPr>
            </w:pPr>
          </w:p>
        </w:tc>
      </w:tr>
      <w:tr w:rsidR="000C2455" w:rsidRPr="00687B52" w:rsidTr="00E93DDA">
        <w:trPr>
          <w:jc w:val="center"/>
        </w:trPr>
        <w:tc>
          <w:tcPr>
            <w:tcW w:w="380" w:type="pct"/>
            <w:vAlign w:val="center"/>
          </w:tcPr>
          <w:p w:rsidR="000C2455" w:rsidRPr="00687B52" w:rsidRDefault="000C2455" w:rsidP="00B94434">
            <w:pPr>
              <w:pStyle w:val="a7"/>
              <w:numPr>
                <w:ilvl w:val="0"/>
                <w:numId w:val="2"/>
              </w:numPr>
              <w:rPr>
                <w:color w:val="000000" w:themeColor="text1"/>
                <w:szCs w:val="24"/>
              </w:rPr>
            </w:pPr>
          </w:p>
        </w:tc>
        <w:tc>
          <w:tcPr>
            <w:tcW w:w="2101" w:type="pct"/>
            <w:vAlign w:val="center"/>
          </w:tcPr>
          <w:p w:rsidR="000C2455" w:rsidRPr="00687B52" w:rsidRDefault="000C2455" w:rsidP="003E1D2A">
            <w:pPr>
              <w:pStyle w:val="a7"/>
              <w:jc w:val="left"/>
              <w:rPr>
                <w:color w:val="000000" w:themeColor="text1"/>
              </w:rPr>
            </w:pPr>
            <w:r w:rsidRPr="00687B52">
              <w:rPr>
                <w:rFonts w:hint="eastAsia"/>
                <w:color w:val="000000" w:themeColor="text1"/>
              </w:rPr>
              <w:t>使用危险化学品从事生产且使用量达到规定数量的化工企业应依法取得危险化学品安全使用许可证，使用许可证上有关内容应与企业实际情况一致，且在有效期内。</w:t>
            </w:r>
          </w:p>
        </w:tc>
        <w:tc>
          <w:tcPr>
            <w:tcW w:w="1193" w:type="pct"/>
            <w:vAlign w:val="center"/>
          </w:tcPr>
          <w:p w:rsidR="000C2455" w:rsidRPr="00687B52" w:rsidRDefault="000C2455" w:rsidP="003E1D2A">
            <w:pPr>
              <w:pStyle w:val="a7"/>
              <w:rPr>
                <w:color w:val="000000" w:themeColor="text1"/>
              </w:rPr>
            </w:pPr>
            <w:r w:rsidRPr="00687B52">
              <w:rPr>
                <w:rFonts w:hint="eastAsia"/>
                <w:color w:val="000000" w:themeColor="text1"/>
              </w:rPr>
              <w:t>《危险化学品安全使用许可证实施办法》</w:t>
            </w:r>
          </w:p>
        </w:tc>
        <w:tc>
          <w:tcPr>
            <w:tcW w:w="1326" w:type="pct"/>
            <w:vAlign w:val="center"/>
          </w:tcPr>
          <w:p w:rsidR="000C2455" w:rsidRPr="00687B52" w:rsidRDefault="000C2455" w:rsidP="003E1D2A">
            <w:pPr>
              <w:pStyle w:val="a7"/>
              <w:rPr>
                <w:color w:val="000000" w:themeColor="text1"/>
              </w:rPr>
            </w:pPr>
          </w:p>
        </w:tc>
      </w:tr>
      <w:tr w:rsidR="000C2455" w:rsidRPr="00687B52" w:rsidTr="00E93DDA">
        <w:trPr>
          <w:jc w:val="center"/>
        </w:trPr>
        <w:tc>
          <w:tcPr>
            <w:tcW w:w="380" w:type="pct"/>
            <w:vAlign w:val="center"/>
          </w:tcPr>
          <w:p w:rsidR="000C2455" w:rsidRPr="00687B52" w:rsidRDefault="000C2455" w:rsidP="00B94434">
            <w:pPr>
              <w:pStyle w:val="a7"/>
              <w:numPr>
                <w:ilvl w:val="0"/>
                <w:numId w:val="2"/>
              </w:numPr>
              <w:rPr>
                <w:color w:val="000000" w:themeColor="text1"/>
                <w:szCs w:val="24"/>
              </w:rPr>
            </w:pPr>
          </w:p>
        </w:tc>
        <w:tc>
          <w:tcPr>
            <w:tcW w:w="2101" w:type="pct"/>
            <w:vAlign w:val="center"/>
          </w:tcPr>
          <w:p w:rsidR="000C2455" w:rsidRPr="00687B52" w:rsidRDefault="00F11C28" w:rsidP="003E1D2A">
            <w:pPr>
              <w:pStyle w:val="a7"/>
              <w:jc w:val="left"/>
              <w:rPr>
                <w:color w:val="000000" w:themeColor="text1"/>
              </w:rPr>
            </w:pPr>
            <w:r w:rsidRPr="00687B52">
              <w:rPr>
                <w:rFonts w:hint="eastAsia"/>
                <w:color w:val="000000" w:themeColor="text1"/>
              </w:rPr>
              <w:t>从事危险化学品道路运输、水路运输的，应当</w:t>
            </w:r>
            <w:r w:rsidR="000C2455" w:rsidRPr="00687B52">
              <w:rPr>
                <w:rFonts w:hint="eastAsia"/>
                <w:color w:val="000000" w:themeColor="text1"/>
              </w:rPr>
              <w:t>依法取得危险货物道路运输许可、危险货物水路运输许可。</w:t>
            </w:r>
          </w:p>
        </w:tc>
        <w:tc>
          <w:tcPr>
            <w:tcW w:w="1193" w:type="pct"/>
            <w:vAlign w:val="center"/>
          </w:tcPr>
          <w:p w:rsidR="000C2455" w:rsidRPr="00687B52" w:rsidRDefault="000C2455" w:rsidP="003E1D2A">
            <w:pPr>
              <w:pStyle w:val="a7"/>
              <w:rPr>
                <w:color w:val="000000" w:themeColor="text1"/>
              </w:rPr>
            </w:pPr>
            <w:r w:rsidRPr="00687B52">
              <w:rPr>
                <w:rFonts w:hint="eastAsia"/>
                <w:color w:val="000000" w:themeColor="text1"/>
              </w:rPr>
              <w:t>《危险化学品管理条例》第</w:t>
            </w:r>
            <w:r w:rsidRPr="00687B52">
              <w:rPr>
                <w:rFonts w:hint="eastAsia"/>
                <w:color w:val="000000" w:themeColor="text1"/>
              </w:rPr>
              <w:t>43</w:t>
            </w:r>
            <w:r w:rsidRPr="00687B52">
              <w:rPr>
                <w:rFonts w:hint="eastAsia"/>
                <w:color w:val="000000" w:themeColor="text1"/>
              </w:rPr>
              <w:t>条</w:t>
            </w:r>
          </w:p>
        </w:tc>
        <w:tc>
          <w:tcPr>
            <w:tcW w:w="1326" w:type="pct"/>
            <w:vAlign w:val="center"/>
          </w:tcPr>
          <w:p w:rsidR="000C2455" w:rsidRPr="00687B52" w:rsidRDefault="000C2455" w:rsidP="003E1D2A">
            <w:pPr>
              <w:pStyle w:val="a7"/>
              <w:rPr>
                <w:color w:val="000000" w:themeColor="text1"/>
              </w:rPr>
            </w:pPr>
          </w:p>
        </w:tc>
      </w:tr>
      <w:tr w:rsidR="000C2455" w:rsidRPr="00687B52" w:rsidTr="00E93DDA">
        <w:trPr>
          <w:jc w:val="center"/>
        </w:trPr>
        <w:tc>
          <w:tcPr>
            <w:tcW w:w="380" w:type="pct"/>
            <w:vAlign w:val="center"/>
          </w:tcPr>
          <w:p w:rsidR="000C2455" w:rsidRPr="00687B52" w:rsidRDefault="000C2455" w:rsidP="00B94434">
            <w:pPr>
              <w:pStyle w:val="a7"/>
              <w:numPr>
                <w:ilvl w:val="0"/>
                <w:numId w:val="2"/>
              </w:numPr>
              <w:rPr>
                <w:color w:val="000000" w:themeColor="text1"/>
                <w:szCs w:val="24"/>
              </w:rPr>
            </w:pPr>
          </w:p>
        </w:tc>
        <w:tc>
          <w:tcPr>
            <w:tcW w:w="2101" w:type="pct"/>
            <w:vAlign w:val="center"/>
          </w:tcPr>
          <w:p w:rsidR="000C2455" w:rsidRPr="00687B52" w:rsidRDefault="000C2455" w:rsidP="003E1D2A">
            <w:pPr>
              <w:pStyle w:val="a7"/>
              <w:jc w:val="left"/>
              <w:rPr>
                <w:rFonts w:asciiTheme="minorHAnsi" w:eastAsiaTheme="minorEastAsia" w:hAnsiTheme="minorHAnsi"/>
                <w:color w:val="000000" w:themeColor="text1"/>
              </w:rPr>
            </w:pPr>
            <w:r w:rsidRPr="00687B52">
              <w:rPr>
                <w:rFonts w:hint="eastAsia"/>
                <w:color w:val="000000" w:themeColor="text1"/>
              </w:rPr>
              <w:t>危险化学品建设项目应当依法开展安全预评价、安全设施设计专篇及安全设施竣工验收。</w:t>
            </w:r>
          </w:p>
        </w:tc>
        <w:tc>
          <w:tcPr>
            <w:tcW w:w="1193" w:type="pct"/>
            <w:vAlign w:val="center"/>
          </w:tcPr>
          <w:p w:rsidR="000C2455" w:rsidRPr="00687B52" w:rsidRDefault="000C2455" w:rsidP="003E1D2A">
            <w:pPr>
              <w:pStyle w:val="a7"/>
              <w:rPr>
                <w:rFonts w:ascii="宋体" w:hAnsi="宋体"/>
                <w:color w:val="000000" w:themeColor="text1"/>
                <w:spacing w:val="-10"/>
              </w:rPr>
            </w:pPr>
            <w:r w:rsidRPr="00687B52">
              <w:rPr>
                <w:rFonts w:asciiTheme="minorHAnsi" w:eastAsiaTheme="minorEastAsia" w:hAnsiTheme="minorHAnsi" w:hint="eastAsia"/>
                <w:color w:val="000000" w:themeColor="text1"/>
              </w:rPr>
              <w:t>《建设项目安全设施“三同时”监督管理办法》</w:t>
            </w:r>
          </w:p>
        </w:tc>
        <w:tc>
          <w:tcPr>
            <w:tcW w:w="1326" w:type="pct"/>
            <w:vAlign w:val="center"/>
          </w:tcPr>
          <w:p w:rsidR="000C2455" w:rsidRPr="00687B52" w:rsidRDefault="000C2455" w:rsidP="003E1D2A">
            <w:pPr>
              <w:pStyle w:val="a7"/>
              <w:rPr>
                <w:color w:val="000000" w:themeColor="text1"/>
              </w:rPr>
            </w:pPr>
          </w:p>
        </w:tc>
      </w:tr>
      <w:tr w:rsidR="000C2455" w:rsidRPr="00687B52" w:rsidTr="00E93DDA">
        <w:trPr>
          <w:trHeight w:val="482"/>
          <w:jc w:val="center"/>
        </w:trPr>
        <w:tc>
          <w:tcPr>
            <w:tcW w:w="380" w:type="pct"/>
            <w:vAlign w:val="center"/>
          </w:tcPr>
          <w:p w:rsidR="000C2455" w:rsidRPr="00687B52" w:rsidRDefault="000C2455" w:rsidP="00B94434">
            <w:pPr>
              <w:pStyle w:val="a7"/>
              <w:numPr>
                <w:ilvl w:val="0"/>
                <w:numId w:val="2"/>
              </w:numPr>
              <w:rPr>
                <w:color w:val="000000" w:themeColor="text1"/>
                <w:szCs w:val="24"/>
              </w:rPr>
            </w:pPr>
          </w:p>
        </w:tc>
        <w:tc>
          <w:tcPr>
            <w:tcW w:w="2101" w:type="pct"/>
            <w:vAlign w:val="center"/>
          </w:tcPr>
          <w:p w:rsidR="000C2455" w:rsidRPr="00687B52" w:rsidRDefault="000C2455" w:rsidP="003E1D2A">
            <w:pPr>
              <w:pStyle w:val="a7"/>
              <w:jc w:val="left"/>
              <w:rPr>
                <w:color w:val="000000" w:themeColor="text1"/>
                <w:kern w:val="0"/>
              </w:rPr>
            </w:pPr>
            <w:r w:rsidRPr="00687B52">
              <w:rPr>
                <w:rFonts w:hint="eastAsia"/>
                <w:color w:val="000000" w:themeColor="text1"/>
                <w:kern w:val="0"/>
              </w:rPr>
              <w:t>建设工程应当</w:t>
            </w:r>
            <w:r w:rsidRPr="00687B52">
              <w:rPr>
                <w:color w:val="000000" w:themeColor="text1"/>
                <w:kern w:val="0"/>
              </w:rPr>
              <w:t>进行消防验收</w:t>
            </w:r>
            <w:r w:rsidRPr="00687B52">
              <w:rPr>
                <w:rFonts w:hint="eastAsia"/>
                <w:color w:val="000000" w:themeColor="text1"/>
                <w:kern w:val="0"/>
              </w:rPr>
              <w:t>，验收合格后，方可投入使用。</w:t>
            </w:r>
          </w:p>
        </w:tc>
        <w:tc>
          <w:tcPr>
            <w:tcW w:w="1193" w:type="pct"/>
            <w:vAlign w:val="center"/>
          </w:tcPr>
          <w:p w:rsidR="000C2455" w:rsidRPr="00687B52" w:rsidRDefault="000C2455" w:rsidP="003E1D2A">
            <w:pPr>
              <w:pStyle w:val="a7"/>
              <w:rPr>
                <w:color w:val="000000" w:themeColor="text1"/>
              </w:rPr>
            </w:pPr>
            <w:r w:rsidRPr="00687B52">
              <w:rPr>
                <w:rFonts w:hint="eastAsia"/>
                <w:color w:val="000000" w:themeColor="text1"/>
              </w:rPr>
              <w:t>《消防法》第</w:t>
            </w:r>
            <w:r w:rsidRPr="00687B52">
              <w:rPr>
                <w:rFonts w:hint="eastAsia"/>
                <w:color w:val="000000" w:themeColor="text1"/>
              </w:rPr>
              <w:t>13</w:t>
            </w:r>
            <w:r w:rsidRPr="00687B52">
              <w:rPr>
                <w:rFonts w:hint="eastAsia"/>
                <w:color w:val="000000" w:themeColor="text1"/>
              </w:rPr>
              <w:t>条</w:t>
            </w:r>
          </w:p>
        </w:tc>
        <w:tc>
          <w:tcPr>
            <w:tcW w:w="1326" w:type="pct"/>
            <w:vAlign w:val="center"/>
          </w:tcPr>
          <w:p w:rsidR="000C2455" w:rsidRPr="00687B52" w:rsidRDefault="000C2455" w:rsidP="003E1D2A">
            <w:pPr>
              <w:pStyle w:val="a7"/>
              <w:rPr>
                <w:color w:val="000000" w:themeColor="text1"/>
              </w:rPr>
            </w:pPr>
          </w:p>
        </w:tc>
      </w:tr>
      <w:tr w:rsidR="000C2455" w:rsidRPr="00687B52" w:rsidTr="00E93DDA">
        <w:trPr>
          <w:trHeight w:val="372"/>
          <w:jc w:val="center"/>
        </w:trPr>
        <w:tc>
          <w:tcPr>
            <w:tcW w:w="380" w:type="pct"/>
            <w:vAlign w:val="center"/>
          </w:tcPr>
          <w:p w:rsidR="000C2455" w:rsidRPr="00687B52" w:rsidRDefault="000C2455" w:rsidP="00B94434">
            <w:pPr>
              <w:pStyle w:val="a7"/>
              <w:numPr>
                <w:ilvl w:val="0"/>
                <w:numId w:val="2"/>
              </w:numPr>
              <w:rPr>
                <w:color w:val="000000" w:themeColor="text1"/>
                <w:szCs w:val="24"/>
              </w:rPr>
            </w:pPr>
          </w:p>
        </w:tc>
        <w:tc>
          <w:tcPr>
            <w:tcW w:w="2101" w:type="pct"/>
            <w:vAlign w:val="center"/>
          </w:tcPr>
          <w:p w:rsidR="000C2455" w:rsidRPr="00687B52" w:rsidRDefault="000C2455" w:rsidP="003E1D2A">
            <w:pPr>
              <w:pStyle w:val="a7"/>
              <w:jc w:val="left"/>
              <w:rPr>
                <w:color w:val="000000" w:themeColor="text1"/>
                <w:kern w:val="0"/>
              </w:rPr>
            </w:pPr>
            <w:r w:rsidRPr="00687B52">
              <w:rPr>
                <w:rFonts w:ascii="Arial" w:hint="eastAsia"/>
                <w:color w:val="000000" w:themeColor="text1"/>
                <w:kern w:val="0"/>
              </w:rPr>
              <w:t>建构筑物应设置防雷设施，</w:t>
            </w:r>
            <w:r w:rsidRPr="00687B52">
              <w:rPr>
                <w:rFonts w:ascii="Arial"/>
                <w:color w:val="000000" w:themeColor="text1"/>
                <w:kern w:val="0"/>
              </w:rPr>
              <w:t>防雷装置应当每年检测一次，对爆炸和火灾危险环境场所的防雷装置应当每半</w:t>
            </w:r>
            <w:r w:rsidRPr="00687B52">
              <w:rPr>
                <w:rFonts w:ascii="Arial"/>
                <w:color w:val="000000" w:themeColor="text1"/>
                <w:kern w:val="0"/>
              </w:rPr>
              <w:lastRenderedPageBreak/>
              <w:t>年检测一次</w:t>
            </w:r>
            <w:r w:rsidRPr="00687B52">
              <w:rPr>
                <w:rFonts w:ascii="Arial" w:hint="eastAsia"/>
                <w:color w:val="000000" w:themeColor="text1"/>
                <w:kern w:val="0"/>
              </w:rPr>
              <w:t>，检测报告应在有效期内，检测结果应合格。</w:t>
            </w:r>
          </w:p>
        </w:tc>
        <w:tc>
          <w:tcPr>
            <w:tcW w:w="1193" w:type="pct"/>
            <w:vAlign w:val="center"/>
          </w:tcPr>
          <w:p w:rsidR="000C2455" w:rsidRPr="00687B52" w:rsidRDefault="000C2455" w:rsidP="003E1D2A">
            <w:pPr>
              <w:pStyle w:val="a7"/>
              <w:rPr>
                <w:color w:val="000000" w:themeColor="text1"/>
              </w:rPr>
            </w:pPr>
            <w:r w:rsidRPr="00687B52">
              <w:rPr>
                <w:rFonts w:hint="eastAsia"/>
                <w:color w:val="000000" w:themeColor="text1"/>
              </w:rPr>
              <w:lastRenderedPageBreak/>
              <w:t>《防雷减灾管理办法》第</w:t>
            </w:r>
            <w:r w:rsidRPr="00687B52">
              <w:rPr>
                <w:rFonts w:hint="eastAsia"/>
                <w:color w:val="000000" w:themeColor="text1"/>
              </w:rPr>
              <w:t>19</w:t>
            </w:r>
            <w:r w:rsidRPr="00687B52">
              <w:rPr>
                <w:rFonts w:hint="eastAsia"/>
                <w:color w:val="000000" w:themeColor="text1"/>
              </w:rPr>
              <w:t>条</w:t>
            </w:r>
          </w:p>
        </w:tc>
        <w:tc>
          <w:tcPr>
            <w:tcW w:w="1326" w:type="pct"/>
            <w:vAlign w:val="center"/>
          </w:tcPr>
          <w:p w:rsidR="000C2455" w:rsidRPr="00687B52" w:rsidRDefault="000C2455" w:rsidP="003E1D2A">
            <w:pPr>
              <w:pStyle w:val="a7"/>
              <w:rPr>
                <w:color w:val="000000" w:themeColor="text1"/>
              </w:rPr>
            </w:pPr>
          </w:p>
        </w:tc>
      </w:tr>
      <w:tr w:rsidR="000C2455" w:rsidRPr="00687B52" w:rsidTr="00E93DDA">
        <w:trPr>
          <w:jc w:val="center"/>
        </w:trPr>
        <w:tc>
          <w:tcPr>
            <w:tcW w:w="380" w:type="pct"/>
            <w:vAlign w:val="center"/>
          </w:tcPr>
          <w:p w:rsidR="000C2455" w:rsidRPr="00687B52" w:rsidRDefault="000C2455" w:rsidP="003E1D2A">
            <w:pPr>
              <w:pStyle w:val="a7"/>
              <w:rPr>
                <w:b/>
                <w:color w:val="000000" w:themeColor="text1"/>
                <w:szCs w:val="24"/>
              </w:rPr>
            </w:pPr>
            <w:r w:rsidRPr="00687B52">
              <w:rPr>
                <w:rFonts w:hint="eastAsia"/>
                <w:b/>
                <w:color w:val="000000" w:themeColor="text1"/>
                <w:szCs w:val="24"/>
              </w:rPr>
              <w:lastRenderedPageBreak/>
              <w:t>2</w:t>
            </w:r>
          </w:p>
        </w:tc>
        <w:tc>
          <w:tcPr>
            <w:tcW w:w="2101" w:type="pct"/>
            <w:vAlign w:val="center"/>
          </w:tcPr>
          <w:p w:rsidR="000C2455" w:rsidRPr="00687B52" w:rsidRDefault="000C2455" w:rsidP="003E1D2A">
            <w:pPr>
              <w:pStyle w:val="a7"/>
              <w:jc w:val="left"/>
              <w:rPr>
                <w:b/>
                <w:color w:val="000000" w:themeColor="text1"/>
                <w:szCs w:val="24"/>
              </w:rPr>
            </w:pPr>
            <w:r w:rsidRPr="00687B52">
              <w:rPr>
                <w:rFonts w:hint="eastAsia"/>
                <w:b/>
                <w:color w:val="000000" w:themeColor="text1"/>
                <w:szCs w:val="24"/>
              </w:rPr>
              <w:t>机构、职责与管理制度</w:t>
            </w:r>
          </w:p>
        </w:tc>
        <w:tc>
          <w:tcPr>
            <w:tcW w:w="1193" w:type="pct"/>
            <w:vAlign w:val="center"/>
          </w:tcPr>
          <w:p w:rsidR="000C2455" w:rsidRPr="00687B52" w:rsidRDefault="000C2455" w:rsidP="003E1D2A">
            <w:pPr>
              <w:pStyle w:val="a7"/>
              <w:rPr>
                <w:color w:val="000000" w:themeColor="text1"/>
                <w:szCs w:val="24"/>
              </w:rPr>
            </w:pPr>
          </w:p>
        </w:tc>
        <w:tc>
          <w:tcPr>
            <w:tcW w:w="1326" w:type="pct"/>
            <w:vAlign w:val="center"/>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2.1</w:t>
            </w:r>
          </w:p>
        </w:tc>
        <w:tc>
          <w:tcPr>
            <w:tcW w:w="2101" w:type="pct"/>
          </w:tcPr>
          <w:p w:rsidR="000C2455" w:rsidRPr="00687B52" w:rsidRDefault="000C2455" w:rsidP="003E1D2A">
            <w:pPr>
              <w:pStyle w:val="a7"/>
              <w:jc w:val="left"/>
              <w:rPr>
                <w:color w:val="000000" w:themeColor="text1"/>
                <w:szCs w:val="24"/>
              </w:rPr>
            </w:pPr>
            <w:r w:rsidRPr="00687B52">
              <w:rPr>
                <w:rFonts w:hint="eastAsia"/>
                <w:color w:val="000000" w:themeColor="text1"/>
                <w:szCs w:val="24"/>
              </w:rPr>
              <w:t>企业</w:t>
            </w:r>
            <w:r w:rsidRPr="00687B52">
              <w:rPr>
                <w:color w:val="000000" w:themeColor="text1"/>
                <w:szCs w:val="24"/>
              </w:rPr>
              <w:t>应当设置安全生产管理机构或者配备专职安全生产管理人员。</w:t>
            </w:r>
            <w:r w:rsidRPr="00687B52">
              <w:rPr>
                <w:rFonts w:hint="eastAsia"/>
                <w:color w:val="000000" w:themeColor="text1"/>
                <w:szCs w:val="24"/>
              </w:rPr>
              <w:t>安全生产管理人员的任免，应当告知安全生产监督管理部门。</w:t>
            </w:r>
          </w:p>
        </w:tc>
        <w:tc>
          <w:tcPr>
            <w:tcW w:w="1193" w:type="pct"/>
            <w:vAlign w:val="center"/>
          </w:tcPr>
          <w:p w:rsidR="000C2455" w:rsidRPr="00687B52" w:rsidRDefault="000C2455" w:rsidP="003E1D2A">
            <w:pPr>
              <w:pStyle w:val="a7"/>
              <w:rPr>
                <w:rFonts w:ascii="宋体" w:hAnsi="宋体" w:cs="宋体"/>
                <w:color w:val="000000" w:themeColor="text1"/>
                <w:szCs w:val="24"/>
              </w:rPr>
            </w:pPr>
            <w:r w:rsidRPr="00687B52">
              <w:rPr>
                <w:rFonts w:hint="eastAsia"/>
                <w:color w:val="000000" w:themeColor="text1"/>
                <w:szCs w:val="24"/>
              </w:rPr>
              <w:t>《安全生产法》第</w:t>
            </w:r>
            <w:r w:rsidRPr="00687B52">
              <w:rPr>
                <w:rFonts w:hint="eastAsia"/>
                <w:color w:val="000000" w:themeColor="text1"/>
                <w:szCs w:val="24"/>
              </w:rPr>
              <w:t>21</w:t>
            </w:r>
            <w:r w:rsidRPr="00687B52">
              <w:rPr>
                <w:rFonts w:hint="eastAsia"/>
                <w:color w:val="000000" w:themeColor="text1"/>
                <w:szCs w:val="24"/>
              </w:rPr>
              <w:t>、</w:t>
            </w:r>
            <w:r w:rsidRPr="00687B52">
              <w:rPr>
                <w:rFonts w:hint="eastAsia"/>
                <w:color w:val="000000" w:themeColor="text1"/>
                <w:szCs w:val="24"/>
              </w:rPr>
              <w:t>23</w:t>
            </w:r>
            <w:r w:rsidRPr="00687B52">
              <w:rPr>
                <w:rFonts w:hint="eastAsia"/>
                <w:color w:val="000000" w:themeColor="text1"/>
                <w:szCs w:val="24"/>
              </w:rPr>
              <w:t>条</w:t>
            </w:r>
          </w:p>
        </w:tc>
        <w:tc>
          <w:tcPr>
            <w:tcW w:w="1326"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查组织机构图或红头文件</w:t>
            </w: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2.2</w:t>
            </w:r>
          </w:p>
        </w:tc>
        <w:tc>
          <w:tcPr>
            <w:tcW w:w="2101" w:type="pct"/>
            <w:vAlign w:val="center"/>
          </w:tcPr>
          <w:p w:rsidR="000C2455" w:rsidRPr="00687B52" w:rsidRDefault="000C2455" w:rsidP="003E1D2A">
            <w:pPr>
              <w:pStyle w:val="a7"/>
              <w:jc w:val="both"/>
              <w:rPr>
                <w:color w:val="000000" w:themeColor="text1"/>
                <w:szCs w:val="24"/>
              </w:rPr>
            </w:pPr>
            <w:r w:rsidRPr="00687B52">
              <w:rPr>
                <w:color w:val="000000" w:themeColor="text1"/>
                <w:szCs w:val="24"/>
              </w:rPr>
              <w:t>企业应</w:t>
            </w:r>
            <w:r w:rsidRPr="00687B52">
              <w:rPr>
                <w:rFonts w:hint="eastAsia"/>
                <w:color w:val="000000" w:themeColor="text1"/>
                <w:szCs w:val="24"/>
              </w:rPr>
              <w:t>设置安委会或领导小组。</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《危险化学品从业单位安全标准化通用规范》</w:t>
            </w:r>
          </w:p>
        </w:tc>
        <w:tc>
          <w:tcPr>
            <w:tcW w:w="1326"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查安委会的红头文件</w:t>
            </w: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2.3</w:t>
            </w:r>
          </w:p>
        </w:tc>
        <w:tc>
          <w:tcPr>
            <w:tcW w:w="2101" w:type="pct"/>
          </w:tcPr>
          <w:p w:rsidR="000C2455" w:rsidRPr="00687B52" w:rsidRDefault="000C2455" w:rsidP="003E1D2A">
            <w:pPr>
              <w:pStyle w:val="a7"/>
              <w:jc w:val="left"/>
              <w:rPr>
                <w:color w:val="000000" w:themeColor="text1"/>
                <w:szCs w:val="24"/>
              </w:rPr>
            </w:pPr>
            <w:r w:rsidRPr="00687B52">
              <w:rPr>
                <w:rFonts w:hint="eastAsia"/>
                <w:color w:val="000000" w:themeColor="text1"/>
                <w:szCs w:val="24"/>
              </w:rPr>
              <w:t>企业应</w:t>
            </w:r>
            <w:r w:rsidRPr="00687B52">
              <w:rPr>
                <w:color w:val="000000" w:themeColor="text1"/>
                <w:szCs w:val="24"/>
              </w:rPr>
              <w:t>建立</w:t>
            </w:r>
            <w:r w:rsidRPr="00687B52">
              <w:rPr>
                <w:rFonts w:hint="eastAsia"/>
                <w:color w:val="000000" w:themeColor="text1"/>
                <w:szCs w:val="24"/>
              </w:rPr>
              <w:t>全员</w:t>
            </w:r>
            <w:r w:rsidRPr="00687B52">
              <w:rPr>
                <w:color w:val="000000" w:themeColor="text1"/>
                <w:szCs w:val="24"/>
              </w:rPr>
              <w:t>安全生产责任制</w:t>
            </w:r>
            <w:r w:rsidRPr="00687B52">
              <w:rPr>
                <w:rFonts w:hint="eastAsia"/>
                <w:color w:val="000000" w:themeColor="text1"/>
                <w:szCs w:val="24"/>
              </w:rPr>
              <w:t>，</w:t>
            </w:r>
            <w:r w:rsidRPr="00687B52">
              <w:rPr>
                <w:color w:val="000000" w:themeColor="text1"/>
                <w:szCs w:val="24"/>
              </w:rPr>
              <w:t>明确各岗位的责任人员、责任范围和考核标准等内容</w:t>
            </w:r>
            <w:r w:rsidRPr="00687B52">
              <w:rPr>
                <w:rFonts w:hint="eastAsia"/>
                <w:color w:val="000000" w:themeColor="text1"/>
                <w:szCs w:val="24"/>
              </w:rPr>
              <w:t>；保证每位从业人员的安全生产责任与职务、岗位相匹配。</w:t>
            </w:r>
            <w:r w:rsidRPr="00687B52">
              <w:rPr>
                <w:color w:val="000000" w:themeColor="text1"/>
                <w:szCs w:val="24"/>
              </w:rPr>
              <w:t>应当对安全生产责任制落实情况的</w:t>
            </w:r>
            <w:r w:rsidRPr="00687B52">
              <w:rPr>
                <w:rFonts w:hint="eastAsia"/>
                <w:color w:val="000000" w:themeColor="text1"/>
                <w:szCs w:val="24"/>
              </w:rPr>
              <w:t>进行</w:t>
            </w:r>
            <w:r w:rsidRPr="00687B52">
              <w:rPr>
                <w:color w:val="000000" w:themeColor="text1"/>
                <w:szCs w:val="24"/>
              </w:rPr>
              <w:t>监督考核。</w:t>
            </w:r>
          </w:p>
        </w:tc>
        <w:tc>
          <w:tcPr>
            <w:tcW w:w="1193" w:type="pct"/>
            <w:vAlign w:val="center"/>
          </w:tcPr>
          <w:p w:rsidR="000C2455" w:rsidRPr="00687B52" w:rsidRDefault="000C2455" w:rsidP="004D7D3D">
            <w:pPr>
              <w:pStyle w:val="a7"/>
              <w:rPr>
                <w:color w:val="000000" w:themeColor="text1"/>
                <w:szCs w:val="24"/>
              </w:rPr>
            </w:pPr>
            <w:r w:rsidRPr="00687B52">
              <w:rPr>
                <w:rFonts w:hint="eastAsia"/>
                <w:color w:val="000000" w:themeColor="text1"/>
                <w:szCs w:val="24"/>
              </w:rPr>
              <w:t>《安全生产法》第</w:t>
            </w:r>
            <w:r w:rsidRPr="00687B52">
              <w:rPr>
                <w:rFonts w:hint="eastAsia"/>
                <w:color w:val="000000" w:themeColor="text1"/>
                <w:szCs w:val="24"/>
              </w:rPr>
              <w:t>5</w:t>
            </w:r>
            <w:r w:rsidRPr="00687B52">
              <w:rPr>
                <w:rFonts w:hint="eastAsia"/>
                <w:color w:val="000000" w:themeColor="text1"/>
                <w:szCs w:val="24"/>
              </w:rPr>
              <w:t>、</w:t>
            </w:r>
            <w:r w:rsidRPr="00687B52">
              <w:rPr>
                <w:rFonts w:hint="eastAsia"/>
                <w:color w:val="000000" w:themeColor="text1"/>
                <w:szCs w:val="24"/>
              </w:rPr>
              <w:t>19</w:t>
            </w:r>
            <w:r w:rsidRPr="00687B52">
              <w:rPr>
                <w:rFonts w:hint="eastAsia"/>
                <w:color w:val="000000" w:themeColor="text1"/>
                <w:szCs w:val="24"/>
              </w:rPr>
              <w:t>条、《危险化学品生产企业安全生产许可证实施办法》第</w:t>
            </w:r>
            <w:r w:rsidRPr="00687B52">
              <w:rPr>
                <w:rFonts w:hint="eastAsia"/>
                <w:color w:val="000000" w:themeColor="text1"/>
                <w:szCs w:val="24"/>
              </w:rPr>
              <w:t>13</w:t>
            </w:r>
            <w:r w:rsidRPr="00687B52">
              <w:rPr>
                <w:rFonts w:hint="eastAsia"/>
                <w:color w:val="000000" w:themeColor="text1"/>
                <w:szCs w:val="24"/>
              </w:rPr>
              <w:t>条</w:t>
            </w:r>
          </w:p>
        </w:tc>
        <w:tc>
          <w:tcPr>
            <w:tcW w:w="1326" w:type="pct"/>
            <w:vAlign w:val="center"/>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spacing w:line="240" w:lineRule="auto"/>
              <w:rPr>
                <w:color w:val="000000" w:themeColor="text1"/>
                <w:szCs w:val="24"/>
              </w:rPr>
            </w:pPr>
            <w:r w:rsidRPr="00687B52">
              <w:rPr>
                <w:rFonts w:hint="eastAsia"/>
                <w:color w:val="000000" w:themeColor="text1"/>
                <w:szCs w:val="24"/>
              </w:rPr>
              <w:t>2.4</w:t>
            </w:r>
          </w:p>
        </w:tc>
        <w:tc>
          <w:tcPr>
            <w:tcW w:w="2101" w:type="pct"/>
          </w:tcPr>
          <w:p w:rsidR="000C2455" w:rsidRPr="00687B52" w:rsidRDefault="000C2455" w:rsidP="003E1D2A">
            <w:pPr>
              <w:pStyle w:val="a7"/>
              <w:jc w:val="left"/>
              <w:rPr>
                <w:color w:val="000000" w:themeColor="text1"/>
                <w:szCs w:val="24"/>
              </w:rPr>
            </w:pPr>
            <w:r w:rsidRPr="00687B52">
              <w:rPr>
                <w:color w:val="000000" w:themeColor="text1"/>
                <w:szCs w:val="24"/>
              </w:rPr>
              <w:t>主要负责人</w:t>
            </w:r>
            <w:r w:rsidRPr="00687B52">
              <w:rPr>
                <w:rFonts w:hint="eastAsia"/>
                <w:color w:val="000000" w:themeColor="text1"/>
                <w:szCs w:val="24"/>
              </w:rPr>
              <w:t>应</w:t>
            </w:r>
            <w:r w:rsidRPr="00687B52">
              <w:rPr>
                <w:color w:val="000000" w:themeColor="text1"/>
                <w:szCs w:val="24"/>
              </w:rPr>
              <w:t>对本单位的安全生产工作全面负责。</w:t>
            </w:r>
            <w:r w:rsidRPr="00687B52">
              <w:rPr>
                <w:rFonts w:hint="eastAsia"/>
                <w:color w:val="000000" w:themeColor="text1"/>
                <w:szCs w:val="24"/>
              </w:rPr>
              <w:t>并</w:t>
            </w:r>
            <w:r w:rsidRPr="00687B52">
              <w:rPr>
                <w:color w:val="000000" w:themeColor="text1"/>
                <w:szCs w:val="24"/>
              </w:rPr>
              <w:t>负有下列职责：</w:t>
            </w:r>
          </w:p>
          <w:p w:rsidR="000C2455" w:rsidRPr="00687B52" w:rsidRDefault="000C2455" w:rsidP="003E1D2A">
            <w:pPr>
              <w:pStyle w:val="a7"/>
              <w:jc w:val="left"/>
              <w:rPr>
                <w:color w:val="000000" w:themeColor="text1"/>
                <w:szCs w:val="24"/>
              </w:rPr>
            </w:pPr>
            <w:r w:rsidRPr="00687B52">
              <w:rPr>
                <w:rFonts w:hint="eastAsia"/>
                <w:color w:val="000000" w:themeColor="text1"/>
                <w:szCs w:val="24"/>
              </w:rPr>
              <w:t>1</w:t>
            </w:r>
            <w:r w:rsidRPr="00687B52">
              <w:rPr>
                <w:rFonts w:hint="eastAsia"/>
                <w:color w:val="000000" w:themeColor="text1"/>
                <w:szCs w:val="24"/>
              </w:rPr>
              <w:t>）</w:t>
            </w:r>
            <w:r w:rsidRPr="00687B52">
              <w:rPr>
                <w:color w:val="000000" w:themeColor="text1"/>
                <w:szCs w:val="24"/>
              </w:rPr>
              <w:t>建立、健全本单位安全生产责任制</w:t>
            </w:r>
            <w:r w:rsidRPr="00687B52">
              <w:rPr>
                <w:rFonts w:hint="eastAsia"/>
                <w:color w:val="000000" w:themeColor="text1"/>
                <w:szCs w:val="24"/>
              </w:rPr>
              <w:t>；</w:t>
            </w:r>
          </w:p>
          <w:p w:rsidR="000C2455" w:rsidRPr="00687B52" w:rsidRDefault="000C2455" w:rsidP="003E1D2A">
            <w:pPr>
              <w:pStyle w:val="a7"/>
              <w:jc w:val="left"/>
              <w:rPr>
                <w:color w:val="000000" w:themeColor="text1"/>
                <w:szCs w:val="24"/>
              </w:rPr>
            </w:pPr>
            <w:r w:rsidRPr="00687B52">
              <w:rPr>
                <w:rFonts w:hint="eastAsia"/>
                <w:color w:val="000000" w:themeColor="text1"/>
                <w:szCs w:val="24"/>
              </w:rPr>
              <w:t>2</w:t>
            </w:r>
            <w:r w:rsidRPr="00687B52">
              <w:rPr>
                <w:rFonts w:hint="eastAsia"/>
                <w:color w:val="000000" w:themeColor="text1"/>
                <w:szCs w:val="24"/>
              </w:rPr>
              <w:t>）</w:t>
            </w:r>
            <w:r w:rsidRPr="00687B52">
              <w:rPr>
                <w:color w:val="000000" w:themeColor="text1"/>
                <w:szCs w:val="24"/>
              </w:rPr>
              <w:t>组织制定本单位安全生产规章制度和操作规程</w:t>
            </w:r>
            <w:r w:rsidRPr="00687B52">
              <w:rPr>
                <w:rFonts w:hint="eastAsia"/>
                <w:color w:val="000000" w:themeColor="text1"/>
                <w:szCs w:val="24"/>
              </w:rPr>
              <w:t>；</w:t>
            </w:r>
          </w:p>
          <w:p w:rsidR="000C2455" w:rsidRPr="00687B52" w:rsidRDefault="000C2455" w:rsidP="003E1D2A">
            <w:pPr>
              <w:pStyle w:val="a7"/>
              <w:jc w:val="left"/>
              <w:rPr>
                <w:color w:val="000000" w:themeColor="text1"/>
                <w:szCs w:val="24"/>
              </w:rPr>
            </w:pPr>
            <w:r w:rsidRPr="00687B52">
              <w:rPr>
                <w:rFonts w:hint="eastAsia"/>
                <w:color w:val="000000" w:themeColor="text1"/>
                <w:szCs w:val="24"/>
              </w:rPr>
              <w:t>3</w:t>
            </w:r>
            <w:r w:rsidRPr="00687B52">
              <w:rPr>
                <w:rFonts w:hint="eastAsia"/>
                <w:color w:val="000000" w:themeColor="text1"/>
                <w:szCs w:val="24"/>
              </w:rPr>
              <w:t>）</w:t>
            </w:r>
            <w:r w:rsidRPr="00687B52">
              <w:rPr>
                <w:color w:val="000000" w:themeColor="text1"/>
                <w:szCs w:val="24"/>
              </w:rPr>
              <w:t>组织制定并实施本单位安全生产教育和培训计划</w:t>
            </w:r>
            <w:r w:rsidRPr="00687B52">
              <w:rPr>
                <w:rFonts w:hint="eastAsia"/>
                <w:color w:val="000000" w:themeColor="text1"/>
                <w:szCs w:val="24"/>
              </w:rPr>
              <w:t>；</w:t>
            </w:r>
          </w:p>
          <w:p w:rsidR="000C2455" w:rsidRPr="00687B52" w:rsidRDefault="000C2455" w:rsidP="003E1D2A">
            <w:pPr>
              <w:pStyle w:val="a7"/>
              <w:jc w:val="left"/>
              <w:rPr>
                <w:color w:val="000000" w:themeColor="text1"/>
                <w:szCs w:val="24"/>
              </w:rPr>
            </w:pPr>
            <w:r w:rsidRPr="00687B52">
              <w:rPr>
                <w:rFonts w:hint="eastAsia"/>
                <w:color w:val="000000" w:themeColor="text1"/>
                <w:szCs w:val="24"/>
              </w:rPr>
              <w:t>4</w:t>
            </w:r>
            <w:r w:rsidRPr="00687B52">
              <w:rPr>
                <w:rFonts w:hint="eastAsia"/>
                <w:color w:val="000000" w:themeColor="text1"/>
                <w:szCs w:val="24"/>
              </w:rPr>
              <w:t>）</w:t>
            </w:r>
            <w:r w:rsidRPr="00687B52">
              <w:rPr>
                <w:color w:val="000000" w:themeColor="text1"/>
                <w:szCs w:val="24"/>
              </w:rPr>
              <w:t>保证本单位安全生产投入的有效实施</w:t>
            </w:r>
            <w:r w:rsidRPr="00687B52">
              <w:rPr>
                <w:rFonts w:hint="eastAsia"/>
                <w:color w:val="000000" w:themeColor="text1"/>
                <w:szCs w:val="24"/>
              </w:rPr>
              <w:t>；</w:t>
            </w:r>
          </w:p>
          <w:p w:rsidR="000C2455" w:rsidRPr="00687B52" w:rsidRDefault="000C2455" w:rsidP="003E1D2A">
            <w:pPr>
              <w:pStyle w:val="a7"/>
              <w:jc w:val="left"/>
              <w:rPr>
                <w:color w:val="000000" w:themeColor="text1"/>
                <w:szCs w:val="24"/>
              </w:rPr>
            </w:pPr>
            <w:r w:rsidRPr="00687B52">
              <w:rPr>
                <w:rFonts w:hint="eastAsia"/>
                <w:color w:val="000000" w:themeColor="text1"/>
                <w:szCs w:val="24"/>
              </w:rPr>
              <w:t>5</w:t>
            </w:r>
            <w:r w:rsidRPr="00687B52">
              <w:rPr>
                <w:rFonts w:hint="eastAsia"/>
                <w:color w:val="000000" w:themeColor="text1"/>
                <w:szCs w:val="24"/>
              </w:rPr>
              <w:t>）</w:t>
            </w:r>
            <w:r w:rsidRPr="00687B52">
              <w:rPr>
                <w:color w:val="000000" w:themeColor="text1"/>
                <w:szCs w:val="24"/>
              </w:rPr>
              <w:t>督促、检查本单位的安全生产工作，及时消除生产安全事故隐患</w:t>
            </w:r>
            <w:r w:rsidRPr="00687B52">
              <w:rPr>
                <w:rFonts w:hint="eastAsia"/>
                <w:color w:val="000000" w:themeColor="text1"/>
                <w:szCs w:val="24"/>
              </w:rPr>
              <w:t>；</w:t>
            </w:r>
          </w:p>
          <w:p w:rsidR="000C2455" w:rsidRPr="00687B52" w:rsidRDefault="000C2455" w:rsidP="003E1D2A">
            <w:pPr>
              <w:pStyle w:val="a7"/>
              <w:jc w:val="left"/>
              <w:rPr>
                <w:color w:val="000000" w:themeColor="text1"/>
                <w:szCs w:val="24"/>
              </w:rPr>
            </w:pPr>
            <w:r w:rsidRPr="00687B52">
              <w:rPr>
                <w:rFonts w:hint="eastAsia"/>
                <w:color w:val="000000" w:themeColor="text1"/>
                <w:szCs w:val="24"/>
              </w:rPr>
              <w:t>6</w:t>
            </w:r>
            <w:r w:rsidRPr="00687B52">
              <w:rPr>
                <w:rFonts w:hint="eastAsia"/>
                <w:color w:val="000000" w:themeColor="text1"/>
                <w:szCs w:val="24"/>
              </w:rPr>
              <w:t>）</w:t>
            </w:r>
            <w:r w:rsidRPr="00687B52">
              <w:rPr>
                <w:color w:val="000000" w:themeColor="text1"/>
                <w:szCs w:val="24"/>
              </w:rPr>
              <w:t>组织制定并实施本单位的生产安全事故应急救援预案</w:t>
            </w:r>
            <w:r w:rsidRPr="00687B52">
              <w:rPr>
                <w:rFonts w:hint="eastAsia"/>
                <w:color w:val="000000" w:themeColor="text1"/>
                <w:szCs w:val="24"/>
              </w:rPr>
              <w:t>；</w:t>
            </w:r>
          </w:p>
          <w:p w:rsidR="000C2455" w:rsidRPr="00687B52" w:rsidRDefault="000C2455" w:rsidP="003E1D2A">
            <w:pPr>
              <w:pStyle w:val="a7"/>
              <w:jc w:val="left"/>
              <w:rPr>
                <w:color w:val="000000" w:themeColor="text1"/>
                <w:szCs w:val="24"/>
              </w:rPr>
            </w:pPr>
            <w:r w:rsidRPr="00687B52">
              <w:rPr>
                <w:rFonts w:hint="eastAsia"/>
                <w:color w:val="000000" w:themeColor="text1"/>
                <w:szCs w:val="24"/>
              </w:rPr>
              <w:t>7</w:t>
            </w:r>
            <w:r w:rsidRPr="00687B52">
              <w:rPr>
                <w:rFonts w:hint="eastAsia"/>
                <w:color w:val="000000" w:themeColor="text1"/>
                <w:szCs w:val="24"/>
              </w:rPr>
              <w:t>）</w:t>
            </w:r>
            <w:r w:rsidRPr="00687B52">
              <w:rPr>
                <w:color w:val="000000" w:themeColor="text1"/>
                <w:szCs w:val="24"/>
              </w:rPr>
              <w:t>及时、如实报告生产安全事故。</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《安全生产法》第</w:t>
            </w:r>
            <w:r w:rsidRPr="00687B52">
              <w:rPr>
                <w:rFonts w:hint="eastAsia"/>
                <w:color w:val="000000" w:themeColor="text1"/>
                <w:szCs w:val="24"/>
              </w:rPr>
              <w:t>18</w:t>
            </w:r>
            <w:r w:rsidRPr="00687B52">
              <w:rPr>
                <w:rFonts w:hint="eastAsia"/>
                <w:color w:val="000000" w:themeColor="text1"/>
                <w:szCs w:val="24"/>
              </w:rPr>
              <w:t>条</w:t>
            </w:r>
          </w:p>
        </w:tc>
        <w:tc>
          <w:tcPr>
            <w:tcW w:w="1326" w:type="pct"/>
            <w:vAlign w:val="center"/>
          </w:tcPr>
          <w:p w:rsidR="000C2455" w:rsidRPr="00687B52" w:rsidRDefault="000C2455" w:rsidP="003E1D2A">
            <w:pPr>
              <w:pStyle w:val="a7"/>
              <w:rPr>
                <w:color w:val="000000" w:themeColor="text1"/>
                <w:szCs w:val="24"/>
              </w:rPr>
            </w:pPr>
          </w:p>
        </w:tc>
      </w:tr>
      <w:tr w:rsidR="000C2455" w:rsidRPr="00687B52" w:rsidTr="00F11C28">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2.5</w:t>
            </w:r>
          </w:p>
        </w:tc>
        <w:tc>
          <w:tcPr>
            <w:tcW w:w="2101" w:type="pct"/>
            <w:vAlign w:val="center"/>
          </w:tcPr>
          <w:p w:rsidR="000C2455" w:rsidRPr="00687B52" w:rsidRDefault="000C2455" w:rsidP="00F11C28">
            <w:pPr>
              <w:pStyle w:val="a7"/>
              <w:jc w:val="both"/>
              <w:rPr>
                <w:color w:val="000000" w:themeColor="text1"/>
                <w:szCs w:val="24"/>
              </w:rPr>
            </w:pPr>
            <w:r w:rsidRPr="00687B52">
              <w:rPr>
                <w:rFonts w:hint="eastAsia"/>
                <w:color w:val="000000" w:themeColor="text1"/>
                <w:szCs w:val="24"/>
              </w:rPr>
              <w:t>企业应当根据化工工艺、装置、设施等实际情况，制定完善下列主要安全生产规章制度（不限于以下制度）：</w:t>
            </w:r>
          </w:p>
          <w:p w:rsidR="000C2455" w:rsidRPr="00687B52" w:rsidRDefault="000C2455" w:rsidP="00F11C28">
            <w:pPr>
              <w:pStyle w:val="a7"/>
              <w:jc w:val="both"/>
              <w:rPr>
                <w:color w:val="000000" w:themeColor="text1"/>
                <w:szCs w:val="24"/>
              </w:rPr>
            </w:pPr>
            <w:r w:rsidRPr="00687B52">
              <w:rPr>
                <w:rFonts w:hint="eastAsia"/>
                <w:color w:val="000000" w:themeColor="text1"/>
                <w:szCs w:val="24"/>
              </w:rPr>
              <w:lastRenderedPageBreak/>
              <w:t>1</w:t>
            </w:r>
            <w:r w:rsidRPr="00687B52">
              <w:rPr>
                <w:rFonts w:hint="eastAsia"/>
                <w:color w:val="000000" w:themeColor="text1"/>
                <w:szCs w:val="24"/>
              </w:rPr>
              <w:t>）安全生产例会等安全生产会议制度；</w:t>
            </w:r>
          </w:p>
          <w:p w:rsidR="000C2455" w:rsidRPr="00687B52" w:rsidRDefault="000C2455" w:rsidP="00F11C28">
            <w:pPr>
              <w:pStyle w:val="a7"/>
              <w:jc w:val="both"/>
              <w:rPr>
                <w:color w:val="000000" w:themeColor="text1"/>
                <w:szCs w:val="24"/>
              </w:rPr>
            </w:pPr>
            <w:r w:rsidRPr="00687B52">
              <w:rPr>
                <w:rFonts w:hint="eastAsia"/>
                <w:color w:val="000000" w:themeColor="text1"/>
                <w:szCs w:val="24"/>
              </w:rPr>
              <w:t>2</w:t>
            </w:r>
            <w:r w:rsidRPr="00687B52">
              <w:rPr>
                <w:rFonts w:hint="eastAsia"/>
                <w:color w:val="000000" w:themeColor="text1"/>
                <w:szCs w:val="24"/>
              </w:rPr>
              <w:t>）安全投入保障制度；</w:t>
            </w:r>
          </w:p>
          <w:p w:rsidR="000C2455" w:rsidRPr="00687B52" w:rsidRDefault="000C2455" w:rsidP="00F11C28">
            <w:pPr>
              <w:pStyle w:val="a7"/>
              <w:jc w:val="both"/>
              <w:rPr>
                <w:color w:val="000000" w:themeColor="text1"/>
                <w:szCs w:val="24"/>
              </w:rPr>
            </w:pPr>
            <w:r w:rsidRPr="00687B52">
              <w:rPr>
                <w:rFonts w:hint="eastAsia"/>
                <w:color w:val="000000" w:themeColor="text1"/>
                <w:szCs w:val="24"/>
              </w:rPr>
              <w:t>3</w:t>
            </w:r>
            <w:r w:rsidRPr="00687B52">
              <w:rPr>
                <w:rFonts w:hint="eastAsia"/>
                <w:color w:val="000000" w:themeColor="text1"/>
                <w:szCs w:val="24"/>
              </w:rPr>
              <w:t>）安全生产奖惩制度；</w:t>
            </w:r>
          </w:p>
          <w:p w:rsidR="000C2455" w:rsidRPr="00687B52" w:rsidRDefault="000C2455" w:rsidP="00F11C28">
            <w:pPr>
              <w:pStyle w:val="a7"/>
              <w:jc w:val="both"/>
              <w:rPr>
                <w:color w:val="000000" w:themeColor="text1"/>
                <w:szCs w:val="24"/>
              </w:rPr>
            </w:pPr>
            <w:r w:rsidRPr="00687B52">
              <w:rPr>
                <w:rFonts w:hint="eastAsia"/>
                <w:color w:val="000000" w:themeColor="text1"/>
                <w:szCs w:val="24"/>
              </w:rPr>
              <w:t>4</w:t>
            </w:r>
            <w:r w:rsidRPr="00687B52">
              <w:rPr>
                <w:rFonts w:hint="eastAsia"/>
                <w:color w:val="000000" w:themeColor="text1"/>
                <w:szCs w:val="24"/>
              </w:rPr>
              <w:t>）安全培训教育制度；</w:t>
            </w:r>
          </w:p>
          <w:p w:rsidR="000C2455" w:rsidRPr="00687B52" w:rsidRDefault="000C2455" w:rsidP="00F11C28">
            <w:pPr>
              <w:pStyle w:val="a7"/>
              <w:jc w:val="both"/>
              <w:rPr>
                <w:color w:val="000000" w:themeColor="text1"/>
                <w:szCs w:val="24"/>
              </w:rPr>
            </w:pPr>
            <w:r w:rsidRPr="00687B52">
              <w:rPr>
                <w:rFonts w:hint="eastAsia"/>
                <w:color w:val="000000" w:themeColor="text1"/>
                <w:szCs w:val="24"/>
              </w:rPr>
              <w:t>5</w:t>
            </w:r>
            <w:r w:rsidRPr="00687B52">
              <w:rPr>
                <w:rFonts w:hint="eastAsia"/>
                <w:color w:val="000000" w:themeColor="text1"/>
                <w:szCs w:val="24"/>
              </w:rPr>
              <w:t>）领导干部轮流现场带班制度；</w:t>
            </w:r>
          </w:p>
          <w:p w:rsidR="000C2455" w:rsidRPr="00687B52" w:rsidRDefault="000C2455" w:rsidP="00F11C28">
            <w:pPr>
              <w:pStyle w:val="a7"/>
              <w:jc w:val="both"/>
              <w:rPr>
                <w:color w:val="000000" w:themeColor="text1"/>
                <w:szCs w:val="24"/>
              </w:rPr>
            </w:pPr>
            <w:r w:rsidRPr="00687B52">
              <w:rPr>
                <w:rFonts w:hint="eastAsia"/>
                <w:color w:val="000000" w:themeColor="text1"/>
                <w:szCs w:val="24"/>
              </w:rPr>
              <w:t>6</w:t>
            </w:r>
            <w:r w:rsidRPr="00687B52">
              <w:rPr>
                <w:rFonts w:hint="eastAsia"/>
                <w:color w:val="000000" w:themeColor="text1"/>
                <w:szCs w:val="24"/>
              </w:rPr>
              <w:t>）特种作业人员管理制度；</w:t>
            </w:r>
          </w:p>
          <w:p w:rsidR="000C2455" w:rsidRPr="00687B52" w:rsidRDefault="000C2455" w:rsidP="00F11C28">
            <w:pPr>
              <w:pStyle w:val="a7"/>
              <w:jc w:val="both"/>
              <w:rPr>
                <w:color w:val="000000" w:themeColor="text1"/>
                <w:szCs w:val="24"/>
              </w:rPr>
            </w:pPr>
            <w:r w:rsidRPr="00687B52">
              <w:rPr>
                <w:rFonts w:hint="eastAsia"/>
                <w:color w:val="000000" w:themeColor="text1"/>
                <w:szCs w:val="24"/>
              </w:rPr>
              <w:t>7</w:t>
            </w:r>
            <w:r w:rsidRPr="00687B52">
              <w:rPr>
                <w:rFonts w:hint="eastAsia"/>
                <w:color w:val="000000" w:themeColor="text1"/>
                <w:szCs w:val="24"/>
              </w:rPr>
              <w:t>）安全检查和隐患排查治理制度；</w:t>
            </w:r>
          </w:p>
          <w:p w:rsidR="000C2455" w:rsidRPr="00687B52" w:rsidRDefault="000C2455" w:rsidP="00F11C28">
            <w:pPr>
              <w:pStyle w:val="a7"/>
              <w:jc w:val="both"/>
              <w:rPr>
                <w:color w:val="000000" w:themeColor="text1"/>
                <w:szCs w:val="24"/>
              </w:rPr>
            </w:pPr>
            <w:r w:rsidRPr="00687B52">
              <w:rPr>
                <w:rFonts w:hint="eastAsia"/>
                <w:color w:val="000000" w:themeColor="text1"/>
                <w:szCs w:val="24"/>
              </w:rPr>
              <w:t>8</w:t>
            </w:r>
            <w:r w:rsidRPr="00687B52">
              <w:rPr>
                <w:rFonts w:hint="eastAsia"/>
                <w:color w:val="000000" w:themeColor="text1"/>
                <w:szCs w:val="24"/>
              </w:rPr>
              <w:t>）重大危险源评估和安全管理制度；</w:t>
            </w:r>
          </w:p>
          <w:p w:rsidR="000C2455" w:rsidRPr="00687B52" w:rsidRDefault="000C2455" w:rsidP="00F11C28">
            <w:pPr>
              <w:pStyle w:val="a7"/>
              <w:jc w:val="both"/>
              <w:rPr>
                <w:color w:val="000000" w:themeColor="text1"/>
                <w:szCs w:val="24"/>
              </w:rPr>
            </w:pPr>
            <w:r w:rsidRPr="00687B52">
              <w:rPr>
                <w:rFonts w:hint="eastAsia"/>
                <w:color w:val="000000" w:themeColor="text1"/>
                <w:szCs w:val="24"/>
              </w:rPr>
              <w:t>9</w:t>
            </w:r>
            <w:r w:rsidRPr="00687B52">
              <w:rPr>
                <w:rFonts w:hint="eastAsia"/>
                <w:color w:val="000000" w:themeColor="text1"/>
                <w:szCs w:val="24"/>
              </w:rPr>
              <w:t>）变更管理制度；</w:t>
            </w:r>
          </w:p>
          <w:p w:rsidR="000C2455" w:rsidRPr="00687B52" w:rsidRDefault="000C2455" w:rsidP="00F11C28">
            <w:pPr>
              <w:pStyle w:val="a7"/>
              <w:jc w:val="both"/>
              <w:rPr>
                <w:color w:val="000000" w:themeColor="text1"/>
                <w:szCs w:val="24"/>
              </w:rPr>
            </w:pPr>
            <w:r w:rsidRPr="00687B52">
              <w:rPr>
                <w:rFonts w:hint="eastAsia"/>
                <w:color w:val="000000" w:themeColor="text1"/>
                <w:szCs w:val="24"/>
              </w:rPr>
              <w:t>10</w:t>
            </w:r>
            <w:r w:rsidRPr="00687B52">
              <w:rPr>
                <w:rFonts w:hint="eastAsia"/>
                <w:color w:val="000000" w:themeColor="text1"/>
                <w:szCs w:val="24"/>
              </w:rPr>
              <w:t>）应急管理制度；</w:t>
            </w:r>
          </w:p>
          <w:p w:rsidR="000C2455" w:rsidRPr="00687B52" w:rsidRDefault="000C2455" w:rsidP="00F11C28">
            <w:pPr>
              <w:pStyle w:val="a7"/>
              <w:jc w:val="both"/>
              <w:rPr>
                <w:color w:val="000000" w:themeColor="text1"/>
                <w:szCs w:val="24"/>
              </w:rPr>
            </w:pPr>
            <w:r w:rsidRPr="00687B52">
              <w:rPr>
                <w:rFonts w:hint="eastAsia"/>
                <w:color w:val="000000" w:themeColor="text1"/>
                <w:szCs w:val="24"/>
              </w:rPr>
              <w:t>11</w:t>
            </w:r>
            <w:r w:rsidRPr="00687B52">
              <w:rPr>
                <w:rFonts w:hint="eastAsia"/>
                <w:color w:val="000000" w:themeColor="text1"/>
                <w:szCs w:val="24"/>
              </w:rPr>
              <w:t>）生产安全事故或者重大事件管理制度；</w:t>
            </w:r>
          </w:p>
          <w:p w:rsidR="000C2455" w:rsidRPr="00687B52" w:rsidRDefault="000C2455" w:rsidP="00F11C28">
            <w:pPr>
              <w:pStyle w:val="a7"/>
              <w:jc w:val="both"/>
              <w:rPr>
                <w:color w:val="000000" w:themeColor="text1"/>
                <w:szCs w:val="24"/>
              </w:rPr>
            </w:pPr>
            <w:r w:rsidRPr="00687B52">
              <w:rPr>
                <w:rFonts w:hint="eastAsia"/>
                <w:color w:val="000000" w:themeColor="text1"/>
                <w:szCs w:val="24"/>
              </w:rPr>
              <w:t>12</w:t>
            </w:r>
            <w:r w:rsidRPr="00687B52">
              <w:rPr>
                <w:rFonts w:hint="eastAsia"/>
                <w:color w:val="000000" w:themeColor="text1"/>
                <w:szCs w:val="24"/>
              </w:rPr>
              <w:t>）防火、防爆、防中毒、防泄漏管理制度；</w:t>
            </w:r>
          </w:p>
          <w:p w:rsidR="000C2455" w:rsidRPr="00687B52" w:rsidRDefault="000C2455" w:rsidP="00F11C28">
            <w:pPr>
              <w:pStyle w:val="a7"/>
              <w:jc w:val="both"/>
              <w:rPr>
                <w:color w:val="000000" w:themeColor="text1"/>
                <w:szCs w:val="24"/>
              </w:rPr>
            </w:pPr>
            <w:r w:rsidRPr="00687B52">
              <w:rPr>
                <w:rFonts w:hint="eastAsia"/>
                <w:color w:val="000000" w:themeColor="text1"/>
                <w:szCs w:val="24"/>
              </w:rPr>
              <w:t>13</w:t>
            </w:r>
            <w:r w:rsidRPr="00687B52">
              <w:rPr>
                <w:rFonts w:hint="eastAsia"/>
                <w:color w:val="000000" w:themeColor="text1"/>
                <w:szCs w:val="24"/>
              </w:rPr>
              <w:t>）工艺、设备、电气仪表、公用工程安全管理制度；</w:t>
            </w:r>
          </w:p>
          <w:p w:rsidR="000C2455" w:rsidRPr="00687B52" w:rsidRDefault="000C2455" w:rsidP="00F11C28">
            <w:pPr>
              <w:pStyle w:val="a7"/>
              <w:jc w:val="both"/>
              <w:rPr>
                <w:color w:val="000000" w:themeColor="text1"/>
                <w:szCs w:val="24"/>
              </w:rPr>
            </w:pPr>
            <w:r w:rsidRPr="00687B52">
              <w:rPr>
                <w:rFonts w:hint="eastAsia"/>
                <w:color w:val="000000" w:themeColor="text1"/>
                <w:szCs w:val="24"/>
              </w:rPr>
              <w:t>14</w:t>
            </w:r>
            <w:r w:rsidRPr="00687B52">
              <w:rPr>
                <w:rFonts w:hint="eastAsia"/>
                <w:color w:val="000000" w:themeColor="text1"/>
                <w:szCs w:val="24"/>
              </w:rPr>
              <w:t>）动火、进入受限空间、吊装、高处、盲板抽堵、动土、断路、设备检维修等作业安全管理制度；</w:t>
            </w:r>
          </w:p>
          <w:p w:rsidR="000C2455" w:rsidRPr="00687B52" w:rsidRDefault="000C2455" w:rsidP="00F11C28">
            <w:pPr>
              <w:pStyle w:val="a7"/>
              <w:jc w:val="both"/>
              <w:rPr>
                <w:color w:val="000000" w:themeColor="text1"/>
                <w:szCs w:val="24"/>
              </w:rPr>
            </w:pPr>
            <w:r w:rsidRPr="00687B52">
              <w:rPr>
                <w:rFonts w:hint="eastAsia"/>
                <w:color w:val="000000" w:themeColor="text1"/>
                <w:szCs w:val="24"/>
              </w:rPr>
              <w:t>15</w:t>
            </w:r>
            <w:r w:rsidRPr="00687B52">
              <w:rPr>
                <w:rFonts w:hint="eastAsia"/>
                <w:color w:val="000000" w:themeColor="text1"/>
                <w:szCs w:val="24"/>
              </w:rPr>
              <w:t>）危险化学品安全管理制度；</w:t>
            </w:r>
          </w:p>
          <w:p w:rsidR="000C2455" w:rsidRPr="00687B52" w:rsidRDefault="000C2455" w:rsidP="00F11C28">
            <w:pPr>
              <w:pStyle w:val="a7"/>
              <w:jc w:val="both"/>
              <w:rPr>
                <w:color w:val="000000" w:themeColor="text1"/>
                <w:szCs w:val="24"/>
              </w:rPr>
            </w:pPr>
            <w:r w:rsidRPr="00687B52">
              <w:rPr>
                <w:rFonts w:hint="eastAsia"/>
                <w:color w:val="000000" w:themeColor="text1"/>
                <w:szCs w:val="24"/>
              </w:rPr>
              <w:t>16</w:t>
            </w:r>
            <w:r w:rsidRPr="00687B52">
              <w:rPr>
                <w:rFonts w:hint="eastAsia"/>
                <w:color w:val="000000" w:themeColor="text1"/>
                <w:szCs w:val="24"/>
              </w:rPr>
              <w:t>）职业健康相关管理制度；</w:t>
            </w:r>
          </w:p>
          <w:p w:rsidR="000C2455" w:rsidRPr="00687B52" w:rsidRDefault="000C2455" w:rsidP="00F11C28">
            <w:pPr>
              <w:pStyle w:val="a7"/>
              <w:jc w:val="both"/>
              <w:rPr>
                <w:color w:val="000000" w:themeColor="text1"/>
                <w:szCs w:val="24"/>
              </w:rPr>
            </w:pPr>
            <w:r w:rsidRPr="00687B52">
              <w:rPr>
                <w:rFonts w:hint="eastAsia"/>
                <w:color w:val="000000" w:themeColor="text1"/>
                <w:szCs w:val="24"/>
              </w:rPr>
              <w:t>17</w:t>
            </w:r>
            <w:r w:rsidRPr="00687B52">
              <w:rPr>
                <w:rFonts w:hint="eastAsia"/>
                <w:color w:val="000000" w:themeColor="text1"/>
                <w:szCs w:val="24"/>
              </w:rPr>
              <w:t>）劳动防护用品使用维护管理制度；</w:t>
            </w:r>
          </w:p>
          <w:p w:rsidR="000C2455" w:rsidRPr="00687B52" w:rsidRDefault="000C2455" w:rsidP="00F11C28">
            <w:pPr>
              <w:pStyle w:val="a7"/>
              <w:jc w:val="both"/>
              <w:rPr>
                <w:color w:val="000000" w:themeColor="text1"/>
                <w:szCs w:val="24"/>
              </w:rPr>
            </w:pPr>
            <w:r w:rsidRPr="00687B52">
              <w:rPr>
                <w:rFonts w:hint="eastAsia"/>
                <w:color w:val="000000" w:themeColor="text1"/>
                <w:szCs w:val="24"/>
              </w:rPr>
              <w:t>18</w:t>
            </w:r>
            <w:r w:rsidRPr="00687B52">
              <w:rPr>
                <w:rFonts w:hint="eastAsia"/>
                <w:color w:val="000000" w:themeColor="text1"/>
                <w:szCs w:val="24"/>
              </w:rPr>
              <w:t>）承包商管理制度；</w:t>
            </w:r>
          </w:p>
          <w:p w:rsidR="000C2455" w:rsidRPr="00687B52" w:rsidRDefault="000C2455" w:rsidP="00F11C28">
            <w:pPr>
              <w:pStyle w:val="a7"/>
              <w:jc w:val="both"/>
              <w:rPr>
                <w:color w:val="000000" w:themeColor="text1"/>
                <w:szCs w:val="24"/>
              </w:rPr>
            </w:pPr>
            <w:r w:rsidRPr="00687B52">
              <w:rPr>
                <w:rFonts w:hint="eastAsia"/>
                <w:color w:val="000000" w:themeColor="text1"/>
                <w:szCs w:val="24"/>
              </w:rPr>
              <w:t>19</w:t>
            </w:r>
            <w:r w:rsidRPr="00687B52">
              <w:rPr>
                <w:rFonts w:hint="eastAsia"/>
                <w:color w:val="000000" w:themeColor="text1"/>
                <w:szCs w:val="24"/>
              </w:rPr>
              <w:t>）安全管理制度及操作规程定期修订制度。</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lastRenderedPageBreak/>
              <w:t>《危险化学品生产企业安全生产许可证实施办法》第</w:t>
            </w:r>
            <w:r w:rsidRPr="00687B52">
              <w:rPr>
                <w:rFonts w:hint="eastAsia"/>
                <w:color w:val="000000" w:themeColor="text1"/>
                <w:szCs w:val="24"/>
              </w:rPr>
              <w:t xml:space="preserve"> 14</w:t>
            </w:r>
            <w:r w:rsidRPr="00687B52">
              <w:rPr>
                <w:rFonts w:hint="eastAsia"/>
                <w:color w:val="000000" w:themeColor="text1"/>
                <w:szCs w:val="24"/>
              </w:rPr>
              <w:t>条</w:t>
            </w:r>
          </w:p>
        </w:tc>
        <w:tc>
          <w:tcPr>
            <w:tcW w:w="1326" w:type="pct"/>
            <w:vAlign w:val="center"/>
          </w:tcPr>
          <w:p w:rsidR="000C2455" w:rsidRPr="00687B52" w:rsidRDefault="000C2455" w:rsidP="003E1D2A">
            <w:pPr>
              <w:pStyle w:val="a7"/>
              <w:rPr>
                <w:color w:val="000000" w:themeColor="text1"/>
                <w:szCs w:val="24"/>
              </w:rPr>
            </w:pPr>
          </w:p>
        </w:tc>
      </w:tr>
      <w:tr w:rsidR="000C2455" w:rsidRPr="00687B52" w:rsidTr="00F11C28">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lastRenderedPageBreak/>
              <w:t>2.6</w:t>
            </w:r>
          </w:p>
        </w:tc>
        <w:tc>
          <w:tcPr>
            <w:tcW w:w="2101" w:type="pct"/>
            <w:vAlign w:val="center"/>
          </w:tcPr>
          <w:p w:rsidR="000C2455" w:rsidRPr="00687B52" w:rsidRDefault="000C2455" w:rsidP="00F11C28">
            <w:pPr>
              <w:pStyle w:val="a7"/>
              <w:jc w:val="both"/>
              <w:rPr>
                <w:color w:val="000000" w:themeColor="text1"/>
                <w:szCs w:val="24"/>
              </w:rPr>
            </w:pPr>
            <w:r w:rsidRPr="00687B52">
              <w:rPr>
                <w:rFonts w:hint="eastAsia"/>
                <w:color w:val="000000" w:themeColor="text1"/>
                <w:szCs w:val="24"/>
              </w:rPr>
              <w:t>企业应当根据危险化学品的生产工艺、技术、设备特点和原辅料、产品的危险性编制岗位操作安全规程。</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《危险化学品生产企业安全生产许可证实施办法》第</w:t>
            </w:r>
            <w:r w:rsidRPr="00687B52">
              <w:rPr>
                <w:rFonts w:hint="eastAsia"/>
                <w:color w:val="000000" w:themeColor="text1"/>
                <w:szCs w:val="24"/>
              </w:rPr>
              <w:t xml:space="preserve"> 15</w:t>
            </w:r>
            <w:r w:rsidRPr="00687B52">
              <w:rPr>
                <w:rFonts w:hint="eastAsia"/>
                <w:color w:val="000000" w:themeColor="text1"/>
                <w:szCs w:val="24"/>
              </w:rPr>
              <w:t>条</w:t>
            </w:r>
          </w:p>
        </w:tc>
        <w:tc>
          <w:tcPr>
            <w:tcW w:w="1326" w:type="pct"/>
            <w:vAlign w:val="center"/>
          </w:tcPr>
          <w:p w:rsidR="000C2455" w:rsidRPr="00687B52" w:rsidRDefault="000C2455" w:rsidP="003E1D2A">
            <w:pPr>
              <w:pStyle w:val="a7"/>
              <w:rPr>
                <w:color w:val="000000" w:themeColor="text1"/>
                <w:szCs w:val="24"/>
              </w:rPr>
            </w:pPr>
          </w:p>
        </w:tc>
      </w:tr>
      <w:tr w:rsidR="000C2455" w:rsidRPr="00687B52" w:rsidTr="00F11C28">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2.7</w:t>
            </w:r>
          </w:p>
        </w:tc>
        <w:tc>
          <w:tcPr>
            <w:tcW w:w="2101" w:type="pct"/>
            <w:vAlign w:val="center"/>
          </w:tcPr>
          <w:p w:rsidR="000C2455" w:rsidRPr="00687B52" w:rsidRDefault="000C2455" w:rsidP="003A3D8D">
            <w:pPr>
              <w:pStyle w:val="a7"/>
              <w:jc w:val="both"/>
              <w:rPr>
                <w:color w:val="000000" w:themeColor="text1"/>
                <w:szCs w:val="24"/>
              </w:rPr>
            </w:pPr>
            <w:r w:rsidRPr="00687B52">
              <w:rPr>
                <w:rFonts w:hint="eastAsia"/>
                <w:color w:val="000000" w:themeColor="text1"/>
                <w:szCs w:val="24"/>
              </w:rPr>
              <w:t>安全生产管理制度和操作规</w:t>
            </w:r>
            <w:r w:rsidR="003A3D8D" w:rsidRPr="00687B52">
              <w:rPr>
                <w:rFonts w:hint="eastAsia"/>
                <w:color w:val="000000" w:themeColor="text1"/>
                <w:szCs w:val="24"/>
              </w:rPr>
              <w:t>程</w:t>
            </w:r>
            <w:r w:rsidRPr="00687B52">
              <w:rPr>
                <w:rFonts w:hint="eastAsia"/>
                <w:color w:val="000000" w:themeColor="text1"/>
                <w:szCs w:val="24"/>
              </w:rPr>
              <w:t>应当及时修订，作业现场应保留有效版本。</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《危险化学品从业单位安全生产标准化通用规范》</w:t>
            </w:r>
            <w:r w:rsidRPr="00687B52">
              <w:rPr>
                <w:rFonts w:hint="eastAsia"/>
                <w:color w:val="000000" w:themeColor="text1"/>
                <w:szCs w:val="24"/>
              </w:rPr>
              <w:t>AQ3013-2008</w:t>
            </w:r>
          </w:p>
        </w:tc>
        <w:tc>
          <w:tcPr>
            <w:tcW w:w="1326" w:type="pct"/>
            <w:vAlign w:val="center"/>
          </w:tcPr>
          <w:p w:rsidR="000C2455" w:rsidRPr="00687B52" w:rsidRDefault="000C2455" w:rsidP="003E1D2A">
            <w:pPr>
              <w:pStyle w:val="a7"/>
              <w:rPr>
                <w:color w:val="000000" w:themeColor="text1"/>
                <w:szCs w:val="24"/>
              </w:rPr>
            </w:pPr>
          </w:p>
        </w:tc>
      </w:tr>
      <w:tr w:rsidR="000C2455" w:rsidRPr="00687B52" w:rsidTr="00F11C28">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2.8</w:t>
            </w:r>
          </w:p>
        </w:tc>
        <w:tc>
          <w:tcPr>
            <w:tcW w:w="2101" w:type="pct"/>
            <w:vAlign w:val="center"/>
          </w:tcPr>
          <w:p w:rsidR="000C2455" w:rsidRPr="00687B52" w:rsidRDefault="000C2455" w:rsidP="00F11C28">
            <w:pPr>
              <w:pStyle w:val="a7"/>
              <w:jc w:val="both"/>
              <w:rPr>
                <w:color w:val="000000" w:themeColor="text1"/>
                <w:szCs w:val="24"/>
              </w:rPr>
            </w:pPr>
            <w:r w:rsidRPr="00687B52">
              <w:rPr>
                <w:color w:val="000000" w:themeColor="text1"/>
                <w:szCs w:val="24"/>
              </w:rPr>
              <w:t>特种设备使用单位应当建立岗位责任、隐患治理、应</w:t>
            </w:r>
            <w:r w:rsidRPr="00687B52">
              <w:rPr>
                <w:color w:val="000000" w:themeColor="text1"/>
                <w:szCs w:val="24"/>
              </w:rPr>
              <w:lastRenderedPageBreak/>
              <w:t>急救援等安全管理制度，制定操作规程，保证特种设备安全运行。</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lastRenderedPageBreak/>
              <w:t>《特种设备安全法》第</w:t>
            </w:r>
            <w:r w:rsidRPr="00687B52">
              <w:rPr>
                <w:rFonts w:hint="eastAsia"/>
                <w:color w:val="000000" w:themeColor="text1"/>
                <w:szCs w:val="24"/>
              </w:rPr>
              <w:t>34</w:t>
            </w:r>
            <w:r w:rsidRPr="00687B52">
              <w:rPr>
                <w:rFonts w:hint="eastAsia"/>
                <w:color w:val="000000" w:themeColor="text1"/>
                <w:szCs w:val="24"/>
              </w:rPr>
              <w:t>条</w:t>
            </w:r>
          </w:p>
        </w:tc>
        <w:tc>
          <w:tcPr>
            <w:tcW w:w="1326" w:type="pct"/>
            <w:vAlign w:val="center"/>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lastRenderedPageBreak/>
              <w:t>2.9</w:t>
            </w:r>
          </w:p>
        </w:tc>
        <w:tc>
          <w:tcPr>
            <w:tcW w:w="2101" w:type="pct"/>
            <w:vAlign w:val="center"/>
          </w:tcPr>
          <w:p w:rsidR="000C2455" w:rsidRPr="00687B52" w:rsidRDefault="000C2455" w:rsidP="003E1D2A">
            <w:pPr>
              <w:pStyle w:val="a7"/>
              <w:jc w:val="left"/>
              <w:rPr>
                <w:color w:val="000000" w:themeColor="text1"/>
                <w:szCs w:val="24"/>
              </w:rPr>
            </w:pPr>
            <w:r w:rsidRPr="00687B52">
              <w:rPr>
                <w:rFonts w:hint="eastAsia"/>
                <w:color w:val="000000" w:themeColor="text1"/>
                <w:szCs w:val="24"/>
              </w:rPr>
              <w:t>剧毒化学品以及储存数量构成重大危险源的其他危险化学品，实行双人收发、双人保管制度。</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《危险化学品管理条例》第</w:t>
            </w:r>
            <w:r w:rsidRPr="00687B52">
              <w:rPr>
                <w:rFonts w:hint="eastAsia"/>
                <w:color w:val="000000" w:themeColor="text1"/>
                <w:szCs w:val="24"/>
              </w:rPr>
              <w:t>24</w:t>
            </w:r>
            <w:r w:rsidRPr="00687B52">
              <w:rPr>
                <w:rFonts w:hint="eastAsia"/>
                <w:color w:val="000000" w:themeColor="text1"/>
                <w:szCs w:val="24"/>
              </w:rPr>
              <w:t>条</w:t>
            </w:r>
          </w:p>
        </w:tc>
        <w:tc>
          <w:tcPr>
            <w:tcW w:w="1326" w:type="pct"/>
            <w:vAlign w:val="center"/>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2.10</w:t>
            </w:r>
          </w:p>
        </w:tc>
        <w:tc>
          <w:tcPr>
            <w:tcW w:w="2101" w:type="pct"/>
          </w:tcPr>
          <w:p w:rsidR="000C2455" w:rsidRPr="00687B52" w:rsidRDefault="000C2455" w:rsidP="003E1D2A">
            <w:pPr>
              <w:pStyle w:val="a7"/>
              <w:jc w:val="left"/>
              <w:rPr>
                <w:color w:val="000000" w:themeColor="text1"/>
                <w:szCs w:val="24"/>
              </w:rPr>
            </w:pPr>
            <w:r w:rsidRPr="00687B52">
              <w:rPr>
                <w:rFonts w:hint="eastAsia"/>
                <w:color w:val="000000" w:themeColor="text1"/>
                <w:szCs w:val="24"/>
              </w:rPr>
              <w:t>储存危险化学品的单位应当建立危险化学品出入库核查、登记制度。</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《危险化学品管理条例》第</w:t>
            </w:r>
            <w:r w:rsidRPr="00687B52">
              <w:rPr>
                <w:rFonts w:hint="eastAsia"/>
                <w:color w:val="000000" w:themeColor="text1"/>
                <w:szCs w:val="24"/>
              </w:rPr>
              <w:t>25</w:t>
            </w:r>
            <w:r w:rsidRPr="00687B52">
              <w:rPr>
                <w:rFonts w:hint="eastAsia"/>
                <w:color w:val="000000" w:themeColor="text1"/>
                <w:szCs w:val="24"/>
              </w:rPr>
              <w:t>条</w:t>
            </w:r>
          </w:p>
        </w:tc>
        <w:tc>
          <w:tcPr>
            <w:tcW w:w="1326" w:type="pct"/>
            <w:vAlign w:val="center"/>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2.11</w:t>
            </w:r>
          </w:p>
        </w:tc>
        <w:tc>
          <w:tcPr>
            <w:tcW w:w="2101" w:type="pct"/>
            <w:vAlign w:val="center"/>
          </w:tcPr>
          <w:p w:rsidR="000C2455" w:rsidRPr="00687B52" w:rsidRDefault="000C2455" w:rsidP="003E1D2A">
            <w:pPr>
              <w:pStyle w:val="a7"/>
              <w:jc w:val="left"/>
              <w:rPr>
                <w:color w:val="000000" w:themeColor="text1"/>
                <w:szCs w:val="24"/>
              </w:rPr>
            </w:pPr>
            <w:r w:rsidRPr="00687B52">
              <w:rPr>
                <w:rFonts w:hint="eastAsia"/>
                <w:color w:val="000000" w:themeColor="text1"/>
                <w:szCs w:val="24"/>
              </w:rPr>
              <w:t>企业应编制并实施书面的操作规程，规程应与工艺安全信息保持一致。企业应鼓励员工参与操作规程的编制，并组织进行相关培训。操作规程应至少包括以下内容：</w:t>
            </w:r>
          </w:p>
          <w:p w:rsidR="000C2455" w:rsidRPr="00687B52" w:rsidRDefault="000C2455" w:rsidP="003E1D2A">
            <w:pPr>
              <w:pStyle w:val="a7"/>
              <w:jc w:val="left"/>
              <w:rPr>
                <w:color w:val="000000" w:themeColor="text1"/>
                <w:szCs w:val="24"/>
              </w:rPr>
            </w:pPr>
            <w:r w:rsidRPr="00687B52">
              <w:rPr>
                <w:rFonts w:hint="eastAsia"/>
                <w:color w:val="000000" w:themeColor="text1"/>
                <w:szCs w:val="24"/>
              </w:rPr>
              <w:t>1</w:t>
            </w:r>
            <w:r w:rsidRPr="00687B52">
              <w:rPr>
                <w:rFonts w:hint="eastAsia"/>
                <w:color w:val="000000" w:themeColor="text1"/>
                <w:szCs w:val="24"/>
              </w:rPr>
              <w:t>）初始开车、正常操作、临时操作、应急操作、正常停车、紧急停车等各个操作阶段的操作步骤；</w:t>
            </w:r>
          </w:p>
          <w:p w:rsidR="000C2455" w:rsidRPr="00687B52" w:rsidRDefault="000C2455" w:rsidP="003E1D2A">
            <w:pPr>
              <w:pStyle w:val="a7"/>
              <w:jc w:val="left"/>
              <w:rPr>
                <w:color w:val="000000" w:themeColor="text1"/>
                <w:szCs w:val="24"/>
              </w:rPr>
            </w:pPr>
            <w:r w:rsidRPr="00687B52">
              <w:rPr>
                <w:rFonts w:hint="eastAsia"/>
                <w:color w:val="000000" w:themeColor="text1"/>
                <w:szCs w:val="24"/>
              </w:rPr>
              <w:t>2</w:t>
            </w:r>
            <w:r w:rsidRPr="00687B52">
              <w:rPr>
                <w:rFonts w:hint="eastAsia"/>
                <w:color w:val="000000" w:themeColor="text1"/>
                <w:szCs w:val="24"/>
              </w:rPr>
              <w:t>）正常工况控制范围、偏离正常工况的后果；纠正或防止偏离正常工况的步骤；</w:t>
            </w:r>
          </w:p>
          <w:p w:rsidR="000C2455" w:rsidRPr="00687B52" w:rsidRDefault="000C2455" w:rsidP="003E1D2A">
            <w:pPr>
              <w:pStyle w:val="a7"/>
              <w:jc w:val="left"/>
              <w:rPr>
                <w:color w:val="000000" w:themeColor="text1"/>
                <w:szCs w:val="24"/>
              </w:rPr>
            </w:pPr>
            <w:r w:rsidRPr="00687B52">
              <w:rPr>
                <w:rFonts w:hint="eastAsia"/>
                <w:color w:val="000000" w:themeColor="text1"/>
                <w:szCs w:val="24"/>
              </w:rPr>
              <w:t>3</w:t>
            </w:r>
            <w:r w:rsidRPr="00687B52">
              <w:rPr>
                <w:rFonts w:hint="eastAsia"/>
                <w:color w:val="000000" w:themeColor="text1"/>
                <w:szCs w:val="24"/>
              </w:rPr>
              <w:t>）安全、健康和环境相关的事项。如危险化学品的特性与危害、防止暴露的必要措施、发生身体接触或暴露后的处理措施、安全系统及其功能（联锁、监测和抑制系统）等。</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《化工企业工业安全管理实施导则》</w:t>
            </w:r>
            <w:r w:rsidRPr="00687B52">
              <w:rPr>
                <w:rFonts w:hint="eastAsia"/>
                <w:color w:val="000000" w:themeColor="text1"/>
                <w:szCs w:val="24"/>
              </w:rPr>
              <w:t>AQ3034/T-2010</w:t>
            </w:r>
          </w:p>
          <w:p w:rsidR="000C2455" w:rsidRPr="00687B52" w:rsidRDefault="000C2455" w:rsidP="003E1D2A">
            <w:pPr>
              <w:pStyle w:val="a7"/>
              <w:rPr>
                <w:color w:val="000000" w:themeColor="text1"/>
                <w:szCs w:val="24"/>
              </w:rPr>
            </w:pPr>
            <w:r w:rsidRPr="00687B52">
              <w:rPr>
                <w:rFonts w:hint="eastAsia"/>
                <w:color w:val="000000" w:themeColor="text1"/>
                <w:szCs w:val="24"/>
              </w:rPr>
              <w:t>第</w:t>
            </w:r>
            <w:smartTag w:uri="urn:schemas-microsoft-com:office:smarttags" w:element="chsdate">
              <w:smartTagPr>
                <w:attr w:name="Year" w:val="1899"/>
                <w:attr w:name="Month" w:val="12"/>
                <w:attr w:name="Day" w:val="30"/>
                <w:attr w:name="IsLunarDate" w:val="False"/>
                <w:attr w:name="IsROCDate" w:val="False"/>
              </w:smartTagPr>
              <w:r w:rsidRPr="00687B52">
                <w:rPr>
                  <w:rFonts w:hint="eastAsia"/>
                  <w:color w:val="000000" w:themeColor="text1"/>
                  <w:szCs w:val="24"/>
                </w:rPr>
                <w:t>4.3.1</w:t>
              </w:r>
            </w:smartTag>
            <w:r w:rsidRPr="00687B52">
              <w:rPr>
                <w:rFonts w:hint="eastAsia"/>
                <w:color w:val="000000" w:themeColor="text1"/>
                <w:szCs w:val="24"/>
              </w:rPr>
              <w:t>条</w:t>
            </w:r>
          </w:p>
        </w:tc>
        <w:tc>
          <w:tcPr>
            <w:tcW w:w="1326" w:type="pct"/>
            <w:vAlign w:val="center"/>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F6557C" w:rsidP="003E1D2A">
            <w:pPr>
              <w:pStyle w:val="a7"/>
              <w:rPr>
                <w:b/>
                <w:color w:val="000000" w:themeColor="text1"/>
                <w:szCs w:val="24"/>
              </w:rPr>
            </w:pPr>
            <w:r w:rsidRPr="00687B52">
              <w:rPr>
                <w:rFonts w:hint="eastAsia"/>
                <w:b/>
                <w:color w:val="000000" w:themeColor="text1"/>
                <w:szCs w:val="24"/>
              </w:rPr>
              <w:t>3</w:t>
            </w:r>
          </w:p>
        </w:tc>
        <w:tc>
          <w:tcPr>
            <w:tcW w:w="2101" w:type="pct"/>
            <w:vAlign w:val="center"/>
          </w:tcPr>
          <w:p w:rsidR="000C2455" w:rsidRPr="00687B52" w:rsidRDefault="000C2455" w:rsidP="003E1D2A">
            <w:pPr>
              <w:pStyle w:val="a7"/>
              <w:jc w:val="left"/>
              <w:rPr>
                <w:b/>
                <w:color w:val="000000" w:themeColor="text1"/>
                <w:szCs w:val="24"/>
              </w:rPr>
            </w:pPr>
            <w:r w:rsidRPr="00687B52">
              <w:rPr>
                <w:rFonts w:hint="eastAsia"/>
                <w:b/>
                <w:color w:val="000000" w:themeColor="text1"/>
                <w:szCs w:val="24"/>
              </w:rPr>
              <w:t>安全投入</w:t>
            </w:r>
          </w:p>
        </w:tc>
        <w:tc>
          <w:tcPr>
            <w:tcW w:w="1193" w:type="pct"/>
            <w:vAlign w:val="center"/>
          </w:tcPr>
          <w:p w:rsidR="000C2455" w:rsidRPr="00687B52" w:rsidRDefault="000C2455" w:rsidP="003E1D2A">
            <w:pPr>
              <w:pStyle w:val="a7"/>
              <w:rPr>
                <w:color w:val="000000" w:themeColor="text1"/>
                <w:szCs w:val="24"/>
              </w:rPr>
            </w:pP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3.1</w:t>
            </w:r>
          </w:p>
        </w:tc>
        <w:tc>
          <w:tcPr>
            <w:tcW w:w="2101" w:type="pct"/>
            <w:vAlign w:val="center"/>
          </w:tcPr>
          <w:p w:rsidR="000C2455" w:rsidRPr="00687B52" w:rsidRDefault="000C2455" w:rsidP="001816B4">
            <w:pPr>
              <w:pStyle w:val="a7"/>
              <w:jc w:val="both"/>
              <w:rPr>
                <w:color w:val="000000" w:themeColor="text1"/>
                <w:szCs w:val="24"/>
              </w:rPr>
            </w:pPr>
            <w:r w:rsidRPr="00687B52">
              <w:rPr>
                <w:rFonts w:hint="eastAsia"/>
                <w:color w:val="000000" w:themeColor="text1"/>
                <w:szCs w:val="24"/>
              </w:rPr>
              <w:t>企业应当严格执行安全投入保障制度，制度中应明确安全费用提取和使用的程序、职责及权限。</w:t>
            </w:r>
          </w:p>
        </w:tc>
        <w:tc>
          <w:tcPr>
            <w:tcW w:w="1193" w:type="pct"/>
            <w:vAlign w:val="center"/>
          </w:tcPr>
          <w:p w:rsidR="000C2455" w:rsidRPr="00687B52" w:rsidRDefault="000C2455" w:rsidP="001816B4">
            <w:pPr>
              <w:pStyle w:val="a7"/>
              <w:jc w:val="both"/>
              <w:rPr>
                <w:color w:val="000000" w:themeColor="text1"/>
                <w:szCs w:val="24"/>
              </w:rPr>
            </w:pPr>
            <w:r w:rsidRPr="00687B52">
              <w:rPr>
                <w:rFonts w:hint="eastAsia"/>
                <w:color w:val="000000" w:themeColor="text1"/>
                <w:szCs w:val="24"/>
              </w:rPr>
              <w:t>《企业安全生产费用提取和使用管理办法》第</w:t>
            </w:r>
            <w:r w:rsidRPr="00687B52">
              <w:rPr>
                <w:rFonts w:hint="eastAsia"/>
                <w:color w:val="000000" w:themeColor="text1"/>
                <w:szCs w:val="24"/>
              </w:rPr>
              <w:t xml:space="preserve"> 31</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3.2</w:t>
            </w:r>
          </w:p>
        </w:tc>
        <w:tc>
          <w:tcPr>
            <w:tcW w:w="2101" w:type="pct"/>
            <w:vAlign w:val="center"/>
          </w:tcPr>
          <w:p w:rsidR="000C2455" w:rsidRPr="00687B52" w:rsidRDefault="000C2455" w:rsidP="001816B4">
            <w:pPr>
              <w:pStyle w:val="a7"/>
              <w:jc w:val="both"/>
              <w:rPr>
                <w:color w:val="000000" w:themeColor="text1"/>
                <w:szCs w:val="24"/>
              </w:rPr>
            </w:pPr>
            <w:r w:rsidRPr="00687B52">
              <w:rPr>
                <w:rFonts w:hint="eastAsia"/>
                <w:color w:val="000000" w:themeColor="text1"/>
                <w:szCs w:val="24"/>
              </w:rPr>
              <w:t>企业以上年度实际营业收入为计提依据，采取超额累退方式按照以下标准平均逐月提取：</w:t>
            </w:r>
          </w:p>
          <w:p w:rsidR="000C2455" w:rsidRPr="00687B52" w:rsidRDefault="000C2455" w:rsidP="001816B4">
            <w:pPr>
              <w:pStyle w:val="a7"/>
              <w:jc w:val="both"/>
              <w:rPr>
                <w:color w:val="000000" w:themeColor="text1"/>
                <w:szCs w:val="24"/>
              </w:rPr>
            </w:pPr>
            <w:r w:rsidRPr="00687B52">
              <w:rPr>
                <w:rFonts w:hint="eastAsia"/>
                <w:color w:val="000000" w:themeColor="text1"/>
                <w:szCs w:val="24"/>
              </w:rPr>
              <w:t>1</w:t>
            </w:r>
            <w:r w:rsidRPr="00687B52">
              <w:rPr>
                <w:rFonts w:hint="eastAsia"/>
                <w:color w:val="000000" w:themeColor="text1"/>
                <w:szCs w:val="24"/>
              </w:rPr>
              <w:t>）营业收入不超过</w:t>
            </w:r>
            <w:r w:rsidRPr="00687B52">
              <w:rPr>
                <w:rFonts w:hint="eastAsia"/>
                <w:color w:val="000000" w:themeColor="text1"/>
                <w:szCs w:val="24"/>
              </w:rPr>
              <w:t>1000</w:t>
            </w:r>
            <w:r w:rsidRPr="00687B52">
              <w:rPr>
                <w:rFonts w:hint="eastAsia"/>
                <w:color w:val="000000" w:themeColor="text1"/>
                <w:szCs w:val="24"/>
              </w:rPr>
              <w:t>万元的，按照</w:t>
            </w:r>
            <w:r w:rsidRPr="00687B52">
              <w:rPr>
                <w:rFonts w:hint="eastAsia"/>
                <w:color w:val="000000" w:themeColor="text1"/>
                <w:szCs w:val="24"/>
              </w:rPr>
              <w:t>4%</w:t>
            </w:r>
            <w:r w:rsidRPr="00687B52">
              <w:rPr>
                <w:rFonts w:hint="eastAsia"/>
                <w:color w:val="000000" w:themeColor="text1"/>
                <w:szCs w:val="24"/>
              </w:rPr>
              <w:t>提取；</w:t>
            </w:r>
          </w:p>
          <w:p w:rsidR="000C2455" w:rsidRPr="00687B52" w:rsidRDefault="000C2455" w:rsidP="001816B4">
            <w:pPr>
              <w:pStyle w:val="a7"/>
              <w:jc w:val="both"/>
              <w:rPr>
                <w:color w:val="000000" w:themeColor="text1"/>
                <w:szCs w:val="24"/>
              </w:rPr>
            </w:pPr>
            <w:r w:rsidRPr="00687B52">
              <w:rPr>
                <w:rFonts w:hint="eastAsia"/>
                <w:color w:val="000000" w:themeColor="text1"/>
                <w:szCs w:val="24"/>
              </w:rPr>
              <w:t>2</w:t>
            </w:r>
            <w:r w:rsidRPr="00687B52">
              <w:rPr>
                <w:rFonts w:hint="eastAsia"/>
                <w:color w:val="000000" w:themeColor="text1"/>
                <w:szCs w:val="24"/>
              </w:rPr>
              <w:t>）营业收入超过</w:t>
            </w:r>
            <w:r w:rsidRPr="00687B52">
              <w:rPr>
                <w:rFonts w:hint="eastAsia"/>
                <w:color w:val="000000" w:themeColor="text1"/>
                <w:szCs w:val="24"/>
              </w:rPr>
              <w:t>1000</w:t>
            </w:r>
            <w:r w:rsidRPr="00687B52">
              <w:rPr>
                <w:rFonts w:hint="eastAsia"/>
                <w:color w:val="000000" w:themeColor="text1"/>
                <w:szCs w:val="24"/>
              </w:rPr>
              <w:t>万元至</w:t>
            </w:r>
            <w:r w:rsidRPr="00687B52">
              <w:rPr>
                <w:rFonts w:hint="eastAsia"/>
                <w:color w:val="000000" w:themeColor="text1"/>
                <w:szCs w:val="24"/>
              </w:rPr>
              <w:t>1</w:t>
            </w:r>
            <w:r w:rsidRPr="00687B52">
              <w:rPr>
                <w:rFonts w:hint="eastAsia"/>
                <w:color w:val="000000" w:themeColor="text1"/>
                <w:szCs w:val="24"/>
              </w:rPr>
              <w:t>亿元的部分，按照</w:t>
            </w:r>
            <w:r w:rsidRPr="00687B52">
              <w:rPr>
                <w:rFonts w:hint="eastAsia"/>
                <w:color w:val="000000" w:themeColor="text1"/>
                <w:szCs w:val="24"/>
              </w:rPr>
              <w:t>2%</w:t>
            </w:r>
            <w:r w:rsidRPr="00687B52">
              <w:rPr>
                <w:rFonts w:hint="eastAsia"/>
                <w:color w:val="000000" w:themeColor="text1"/>
                <w:szCs w:val="24"/>
              </w:rPr>
              <w:t>提取；</w:t>
            </w:r>
          </w:p>
          <w:p w:rsidR="000C2455" w:rsidRPr="00687B52" w:rsidRDefault="000C2455" w:rsidP="001816B4">
            <w:pPr>
              <w:pStyle w:val="a7"/>
              <w:jc w:val="both"/>
              <w:rPr>
                <w:color w:val="000000" w:themeColor="text1"/>
                <w:szCs w:val="24"/>
              </w:rPr>
            </w:pPr>
            <w:r w:rsidRPr="00687B52">
              <w:rPr>
                <w:rFonts w:hint="eastAsia"/>
                <w:color w:val="000000" w:themeColor="text1"/>
                <w:szCs w:val="24"/>
              </w:rPr>
              <w:lastRenderedPageBreak/>
              <w:t>3</w:t>
            </w:r>
            <w:r w:rsidRPr="00687B52">
              <w:rPr>
                <w:rFonts w:hint="eastAsia"/>
                <w:color w:val="000000" w:themeColor="text1"/>
                <w:szCs w:val="24"/>
              </w:rPr>
              <w:t>）营业收入超过</w:t>
            </w:r>
            <w:r w:rsidRPr="00687B52">
              <w:rPr>
                <w:rFonts w:hint="eastAsia"/>
                <w:color w:val="000000" w:themeColor="text1"/>
                <w:szCs w:val="24"/>
              </w:rPr>
              <w:t>1</w:t>
            </w:r>
            <w:r w:rsidRPr="00687B52">
              <w:rPr>
                <w:rFonts w:hint="eastAsia"/>
                <w:color w:val="000000" w:themeColor="text1"/>
                <w:szCs w:val="24"/>
              </w:rPr>
              <w:t>亿元至</w:t>
            </w:r>
            <w:r w:rsidRPr="00687B52">
              <w:rPr>
                <w:rFonts w:hint="eastAsia"/>
                <w:color w:val="000000" w:themeColor="text1"/>
                <w:szCs w:val="24"/>
              </w:rPr>
              <w:t>10</w:t>
            </w:r>
            <w:r w:rsidRPr="00687B52">
              <w:rPr>
                <w:rFonts w:hint="eastAsia"/>
                <w:color w:val="000000" w:themeColor="text1"/>
                <w:szCs w:val="24"/>
              </w:rPr>
              <w:t>亿元的部分，按照</w:t>
            </w:r>
            <w:r w:rsidRPr="00687B52">
              <w:rPr>
                <w:rFonts w:hint="eastAsia"/>
                <w:color w:val="000000" w:themeColor="text1"/>
                <w:szCs w:val="24"/>
              </w:rPr>
              <w:t>0.5%</w:t>
            </w:r>
            <w:r w:rsidRPr="00687B52">
              <w:rPr>
                <w:rFonts w:hint="eastAsia"/>
                <w:color w:val="000000" w:themeColor="text1"/>
                <w:szCs w:val="24"/>
              </w:rPr>
              <w:t>提取；</w:t>
            </w:r>
          </w:p>
          <w:p w:rsidR="000C2455" w:rsidRPr="00687B52" w:rsidRDefault="000C2455" w:rsidP="001816B4">
            <w:pPr>
              <w:pStyle w:val="a7"/>
              <w:jc w:val="both"/>
              <w:rPr>
                <w:color w:val="000000" w:themeColor="text1"/>
                <w:szCs w:val="24"/>
              </w:rPr>
            </w:pPr>
            <w:r w:rsidRPr="00687B52">
              <w:rPr>
                <w:rFonts w:hint="eastAsia"/>
                <w:color w:val="000000" w:themeColor="text1"/>
                <w:szCs w:val="24"/>
              </w:rPr>
              <w:t>4</w:t>
            </w:r>
            <w:r w:rsidRPr="00687B52">
              <w:rPr>
                <w:rFonts w:hint="eastAsia"/>
                <w:color w:val="000000" w:themeColor="text1"/>
                <w:szCs w:val="24"/>
              </w:rPr>
              <w:t>）营业收入超过</w:t>
            </w:r>
            <w:r w:rsidRPr="00687B52">
              <w:rPr>
                <w:rFonts w:hint="eastAsia"/>
                <w:color w:val="000000" w:themeColor="text1"/>
                <w:szCs w:val="24"/>
              </w:rPr>
              <w:t>10</w:t>
            </w:r>
            <w:r w:rsidRPr="00687B52">
              <w:rPr>
                <w:rFonts w:hint="eastAsia"/>
                <w:color w:val="000000" w:themeColor="text1"/>
                <w:szCs w:val="24"/>
              </w:rPr>
              <w:t>亿元的部分，按照</w:t>
            </w:r>
            <w:r w:rsidRPr="00687B52">
              <w:rPr>
                <w:rFonts w:hint="eastAsia"/>
                <w:color w:val="000000" w:themeColor="text1"/>
                <w:szCs w:val="24"/>
              </w:rPr>
              <w:t>0.2%</w:t>
            </w:r>
            <w:r w:rsidRPr="00687B52">
              <w:rPr>
                <w:rFonts w:hint="eastAsia"/>
                <w:color w:val="000000" w:themeColor="text1"/>
                <w:szCs w:val="24"/>
              </w:rPr>
              <w:t>提取。</w:t>
            </w:r>
          </w:p>
        </w:tc>
        <w:tc>
          <w:tcPr>
            <w:tcW w:w="1193" w:type="pct"/>
            <w:vAlign w:val="center"/>
          </w:tcPr>
          <w:p w:rsidR="000C2455" w:rsidRPr="00687B52" w:rsidRDefault="000C2455" w:rsidP="007A380D">
            <w:pPr>
              <w:pStyle w:val="a7"/>
              <w:jc w:val="both"/>
              <w:rPr>
                <w:color w:val="000000" w:themeColor="text1"/>
                <w:szCs w:val="24"/>
              </w:rPr>
            </w:pPr>
            <w:r w:rsidRPr="00687B52">
              <w:rPr>
                <w:rFonts w:hint="eastAsia"/>
                <w:color w:val="000000" w:themeColor="text1"/>
                <w:szCs w:val="24"/>
              </w:rPr>
              <w:lastRenderedPageBreak/>
              <w:t>《危险化学品生产企业安全生产许可证实施办法》第</w:t>
            </w:r>
            <w:r w:rsidRPr="00687B52">
              <w:rPr>
                <w:rFonts w:hint="eastAsia"/>
                <w:color w:val="000000" w:themeColor="text1"/>
                <w:szCs w:val="24"/>
              </w:rPr>
              <w:t>17</w:t>
            </w:r>
            <w:r w:rsidRPr="00687B52">
              <w:rPr>
                <w:rFonts w:hint="eastAsia"/>
                <w:color w:val="000000" w:themeColor="text1"/>
                <w:szCs w:val="24"/>
              </w:rPr>
              <w:t>条、《企业安全生产费用提取和使用管理办法》第</w:t>
            </w:r>
            <w:r w:rsidR="007A380D" w:rsidRPr="00687B52">
              <w:rPr>
                <w:rFonts w:hint="eastAsia"/>
                <w:color w:val="000000" w:themeColor="text1"/>
                <w:szCs w:val="24"/>
              </w:rPr>
              <w:t>8</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lastRenderedPageBreak/>
              <w:t>3.3</w:t>
            </w:r>
          </w:p>
        </w:tc>
        <w:tc>
          <w:tcPr>
            <w:tcW w:w="2101" w:type="pct"/>
            <w:vAlign w:val="center"/>
          </w:tcPr>
          <w:p w:rsidR="000C2455" w:rsidRPr="00687B52" w:rsidRDefault="000C2455" w:rsidP="001816B4">
            <w:pPr>
              <w:pStyle w:val="a7"/>
              <w:jc w:val="both"/>
              <w:rPr>
                <w:color w:val="000000" w:themeColor="text1"/>
                <w:szCs w:val="24"/>
              </w:rPr>
            </w:pPr>
            <w:r w:rsidRPr="00687B52">
              <w:rPr>
                <w:rFonts w:hint="eastAsia"/>
                <w:color w:val="000000" w:themeColor="text1"/>
                <w:szCs w:val="24"/>
              </w:rPr>
              <w:t>企业安全费用应当按照以下范围使用：</w:t>
            </w:r>
          </w:p>
          <w:p w:rsidR="000C2455" w:rsidRPr="00687B52" w:rsidRDefault="000C2455" w:rsidP="001816B4">
            <w:pPr>
              <w:pStyle w:val="a7"/>
              <w:jc w:val="both"/>
              <w:rPr>
                <w:color w:val="000000" w:themeColor="text1"/>
                <w:szCs w:val="24"/>
              </w:rPr>
            </w:pPr>
            <w:r w:rsidRPr="00687B52">
              <w:rPr>
                <w:rFonts w:hint="eastAsia"/>
                <w:color w:val="000000" w:themeColor="text1"/>
                <w:szCs w:val="24"/>
              </w:rPr>
              <w:t>1</w:t>
            </w:r>
            <w:r w:rsidRPr="00687B52">
              <w:rPr>
                <w:rFonts w:hint="eastAsia"/>
                <w:color w:val="000000" w:themeColor="text1"/>
                <w:szCs w:val="24"/>
              </w:rPr>
              <w:t>）完善、改造和维护安全防护设施设备支出（不含“三同时”要求初期投入的安全设施），包括车间、库房、罐区等作业场所的监控、监测、通风、防晒、调温、防火、灭火、防爆、泄压、防毒、消毒、中和、防潮、防雷、防静电、防腐、防渗漏、防护围堤或者隔离操作等设施设备支出；</w:t>
            </w:r>
          </w:p>
          <w:p w:rsidR="000C2455" w:rsidRPr="00687B52" w:rsidRDefault="000C2455" w:rsidP="001816B4">
            <w:pPr>
              <w:pStyle w:val="a7"/>
              <w:jc w:val="both"/>
              <w:rPr>
                <w:color w:val="000000" w:themeColor="text1"/>
                <w:szCs w:val="24"/>
              </w:rPr>
            </w:pPr>
            <w:r w:rsidRPr="00687B52">
              <w:rPr>
                <w:rFonts w:hint="eastAsia"/>
                <w:color w:val="000000" w:themeColor="text1"/>
                <w:szCs w:val="24"/>
              </w:rPr>
              <w:t>2</w:t>
            </w:r>
            <w:r w:rsidRPr="00687B52">
              <w:rPr>
                <w:rFonts w:hint="eastAsia"/>
                <w:color w:val="000000" w:themeColor="text1"/>
                <w:szCs w:val="24"/>
              </w:rPr>
              <w:t>）配备、维护、保养应急救援器材、设备支出和应急演练支出；</w:t>
            </w:r>
          </w:p>
          <w:p w:rsidR="000C2455" w:rsidRPr="00687B52" w:rsidRDefault="000C2455" w:rsidP="001816B4">
            <w:pPr>
              <w:pStyle w:val="a7"/>
              <w:jc w:val="both"/>
              <w:rPr>
                <w:color w:val="000000" w:themeColor="text1"/>
                <w:szCs w:val="24"/>
              </w:rPr>
            </w:pPr>
            <w:r w:rsidRPr="00687B52">
              <w:rPr>
                <w:rFonts w:hint="eastAsia"/>
                <w:color w:val="000000" w:themeColor="text1"/>
                <w:szCs w:val="24"/>
              </w:rPr>
              <w:t>3</w:t>
            </w:r>
            <w:r w:rsidRPr="00687B52">
              <w:rPr>
                <w:rFonts w:hint="eastAsia"/>
                <w:color w:val="000000" w:themeColor="text1"/>
                <w:szCs w:val="24"/>
              </w:rPr>
              <w:t>）开展重大危险源和事故隐患评估、监控和整改支出；</w:t>
            </w:r>
          </w:p>
          <w:p w:rsidR="000C2455" w:rsidRPr="00687B52" w:rsidRDefault="000C2455" w:rsidP="001816B4">
            <w:pPr>
              <w:pStyle w:val="a7"/>
              <w:jc w:val="both"/>
              <w:rPr>
                <w:color w:val="000000" w:themeColor="text1"/>
                <w:szCs w:val="24"/>
              </w:rPr>
            </w:pPr>
            <w:r w:rsidRPr="00687B52">
              <w:rPr>
                <w:rFonts w:hint="eastAsia"/>
                <w:color w:val="000000" w:themeColor="text1"/>
                <w:szCs w:val="24"/>
              </w:rPr>
              <w:t>4</w:t>
            </w:r>
            <w:r w:rsidRPr="00687B52">
              <w:rPr>
                <w:rFonts w:hint="eastAsia"/>
                <w:color w:val="000000" w:themeColor="text1"/>
                <w:szCs w:val="24"/>
              </w:rPr>
              <w:t>）安全生产检查、评价（不包括新建、改建、扩建项目安全评价）、咨询和标准化建设支出；</w:t>
            </w:r>
          </w:p>
          <w:p w:rsidR="000C2455" w:rsidRPr="00687B52" w:rsidRDefault="000C2455" w:rsidP="001816B4">
            <w:pPr>
              <w:pStyle w:val="a7"/>
              <w:jc w:val="both"/>
              <w:rPr>
                <w:color w:val="000000" w:themeColor="text1"/>
                <w:szCs w:val="24"/>
              </w:rPr>
            </w:pPr>
            <w:r w:rsidRPr="00687B52">
              <w:rPr>
                <w:rFonts w:hint="eastAsia"/>
                <w:color w:val="000000" w:themeColor="text1"/>
                <w:szCs w:val="24"/>
              </w:rPr>
              <w:t>5</w:t>
            </w:r>
            <w:r w:rsidRPr="00687B52">
              <w:rPr>
                <w:rFonts w:hint="eastAsia"/>
                <w:color w:val="000000" w:themeColor="text1"/>
                <w:szCs w:val="24"/>
              </w:rPr>
              <w:t>）配备和更新现场作业人员安全防护用品支出；</w:t>
            </w:r>
          </w:p>
          <w:p w:rsidR="000C2455" w:rsidRPr="00687B52" w:rsidRDefault="000C2455" w:rsidP="001816B4">
            <w:pPr>
              <w:pStyle w:val="a7"/>
              <w:jc w:val="both"/>
              <w:rPr>
                <w:color w:val="000000" w:themeColor="text1"/>
                <w:szCs w:val="24"/>
              </w:rPr>
            </w:pPr>
            <w:r w:rsidRPr="00687B52">
              <w:rPr>
                <w:rFonts w:hint="eastAsia"/>
                <w:color w:val="000000" w:themeColor="text1"/>
                <w:szCs w:val="24"/>
              </w:rPr>
              <w:t>6</w:t>
            </w:r>
            <w:r w:rsidRPr="00687B52">
              <w:rPr>
                <w:rFonts w:hint="eastAsia"/>
                <w:color w:val="000000" w:themeColor="text1"/>
                <w:szCs w:val="24"/>
              </w:rPr>
              <w:t>）安全生产宣传、教育、培训支出；</w:t>
            </w:r>
          </w:p>
          <w:p w:rsidR="000C2455" w:rsidRPr="00687B52" w:rsidRDefault="000C2455" w:rsidP="001816B4">
            <w:pPr>
              <w:pStyle w:val="a7"/>
              <w:jc w:val="both"/>
              <w:rPr>
                <w:color w:val="000000" w:themeColor="text1"/>
                <w:szCs w:val="24"/>
              </w:rPr>
            </w:pPr>
            <w:r w:rsidRPr="00687B52">
              <w:rPr>
                <w:rFonts w:hint="eastAsia"/>
                <w:color w:val="000000" w:themeColor="text1"/>
                <w:szCs w:val="24"/>
              </w:rPr>
              <w:t>7</w:t>
            </w:r>
            <w:r w:rsidRPr="00687B52">
              <w:rPr>
                <w:rFonts w:hint="eastAsia"/>
                <w:color w:val="000000" w:themeColor="text1"/>
                <w:szCs w:val="24"/>
              </w:rPr>
              <w:t>）安全生产适用的新技术、新标准、新工艺、新装备的推广应用支出；</w:t>
            </w:r>
          </w:p>
          <w:p w:rsidR="000C2455" w:rsidRPr="00687B52" w:rsidRDefault="000C2455" w:rsidP="001816B4">
            <w:pPr>
              <w:pStyle w:val="a7"/>
              <w:jc w:val="both"/>
              <w:rPr>
                <w:color w:val="000000" w:themeColor="text1"/>
                <w:szCs w:val="24"/>
              </w:rPr>
            </w:pPr>
            <w:r w:rsidRPr="00687B52">
              <w:rPr>
                <w:rFonts w:hint="eastAsia"/>
                <w:color w:val="000000" w:themeColor="text1"/>
                <w:szCs w:val="24"/>
              </w:rPr>
              <w:t>8</w:t>
            </w:r>
            <w:r w:rsidRPr="00687B52">
              <w:rPr>
                <w:rFonts w:hint="eastAsia"/>
                <w:color w:val="000000" w:themeColor="text1"/>
                <w:szCs w:val="24"/>
              </w:rPr>
              <w:t>）安全设施及特种设备检测检验支出；</w:t>
            </w:r>
          </w:p>
          <w:p w:rsidR="000C2455" w:rsidRPr="00687B52" w:rsidRDefault="000C2455" w:rsidP="001816B4">
            <w:pPr>
              <w:pStyle w:val="a7"/>
              <w:jc w:val="both"/>
              <w:rPr>
                <w:color w:val="000000" w:themeColor="text1"/>
                <w:szCs w:val="24"/>
              </w:rPr>
            </w:pPr>
            <w:r w:rsidRPr="00687B52">
              <w:rPr>
                <w:rFonts w:hint="eastAsia"/>
                <w:color w:val="000000" w:themeColor="text1"/>
                <w:szCs w:val="24"/>
              </w:rPr>
              <w:t>9</w:t>
            </w:r>
            <w:r w:rsidRPr="00687B52">
              <w:rPr>
                <w:rFonts w:hint="eastAsia"/>
                <w:color w:val="000000" w:themeColor="text1"/>
                <w:szCs w:val="24"/>
              </w:rPr>
              <w:t>）其他与安全生产直接相关的支出。</w:t>
            </w:r>
          </w:p>
        </w:tc>
        <w:tc>
          <w:tcPr>
            <w:tcW w:w="1193" w:type="pct"/>
            <w:vAlign w:val="center"/>
          </w:tcPr>
          <w:p w:rsidR="000C2455" w:rsidRPr="00687B52" w:rsidRDefault="000C2455" w:rsidP="001816B4">
            <w:pPr>
              <w:pStyle w:val="a7"/>
              <w:jc w:val="both"/>
              <w:rPr>
                <w:color w:val="000000" w:themeColor="text1"/>
                <w:szCs w:val="24"/>
              </w:rPr>
            </w:pPr>
            <w:r w:rsidRPr="00687B52">
              <w:rPr>
                <w:rFonts w:hint="eastAsia"/>
                <w:color w:val="000000" w:themeColor="text1"/>
                <w:szCs w:val="24"/>
              </w:rPr>
              <w:t>《企业安全生产费用提取和使用管理办法》第</w:t>
            </w:r>
            <w:r w:rsidR="007A380D" w:rsidRPr="00687B52">
              <w:rPr>
                <w:rFonts w:hint="eastAsia"/>
                <w:color w:val="000000" w:themeColor="text1"/>
                <w:szCs w:val="24"/>
              </w:rPr>
              <w:t>20</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3.4</w:t>
            </w:r>
          </w:p>
        </w:tc>
        <w:tc>
          <w:tcPr>
            <w:tcW w:w="2101" w:type="pct"/>
            <w:vAlign w:val="center"/>
          </w:tcPr>
          <w:p w:rsidR="000C2455" w:rsidRPr="00687B52" w:rsidRDefault="000C2455" w:rsidP="001816B4">
            <w:pPr>
              <w:pStyle w:val="a7"/>
              <w:jc w:val="both"/>
              <w:rPr>
                <w:color w:val="000000" w:themeColor="text1"/>
                <w:szCs w:val="24"/>
              </w:rPr>
            </w:pPr>
            <w:r w:rsidRPr="00687B52">
              <w:rPr>
                <w:rFonts w:hint="eastAsia"/>
                <w:color w:val="000000" w:themeColor="text1"/>
                <w:szCs w:val="24"/>
              </w:rPr>
              <w:t>用人单位应当保障职业病防治所需的资金投入，不得挤占、挪用，并对因资金投入不足导致的后果承担责任。</w:t>
            </w:r>
          </w:p>
        </w:tc>
        <w:tc>
          <w:tcPr>
            <w:tcW w:w="1193" w:type="pct"/>
            <w:vAlign w:val="center"/>
          </w:tcPr>
          <w:p w:rsidR="000C2455" w:rsidRPr="00687B52" w:rsidRDefault="000C2455" w:rsidP="001816B4">
            <w:pPr>
              <w:pStyle w:val="a7"/>
              <w:jc w:val="both"/>
              <w:rPr>
                <w:color w:val="000000" w:themeColor="text1"/>
                <w:szCs w:val="24"/>
              </w:rPr>
            </w:pPr>
            <w:r w:rsidRPr="00687B52">
              <w:rPr>
                <w:rFonts w:hint="eastAsia"/>
                <w:color w:val="000000" w:themeColor="text1"/>
                <w:szCs w:val="24"/>
              </w:rPr>
              <w:t>《职业病防治法》第</w:t>
            </w:r>
            <w:r w:rsidRPr="00687B52">
              <w:rPr>
                <w:rFonts w:hint="eastAsia"/>
                <w:color w:val="000000" w:themeColor="text1"/>
                <w:szCs w:val="24"/>
              </w:rPr>
              <w:t>21</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spacing w:line="240" w:lineRule="auto"/>
              <w:rPr>
                <w:color w:val="000000" w:themeColor="text1"/>
                <w:szCs w:val="24"/>
              </w:rPr>
            </w:pPr>
            <w:r w:rsidRPr="00687B52">
              <w:rPr>
                <w:rFonts w:hint="eastAsia"/>
                <w:color w:val="000000" w:themeColor="text1"/>
                <w:szCs w:val="24"/>
              </w:rPr>
              <w:t>3.5</w:t>
            </w:r>
          </w:p>
        </w:tc>
        <w:tc>
          <w:tcPr>
            <w:tcW w:w="2101" w:type="pct"/>
            <w:vAlign w:val="center"/>
          </w:tcPr>
          <w:p w:rsidR="000C2455" w:rsidRPr="00687B52" w:rsidRDefault="000C2455" w:rsidP="001816B4">
            <w:pPr>
              <w:pStyle w:val="a7"/>
              <w:jc w:val="both"/>
              <w:rPr>
                <w:color w:val="000000" w:themeColor="text1"/>
                <w:szCs w:val="24"/>
              </w:rPr>
            </w:pPr>
            <w:r w:rsidRPr="00687B52">
              <w:rPr>
                <w:rFonts w:hint="eastAsia"/>
                <w:color w:val="000000" w:themeColor="text1"/>
                <w:szCs w:val="24"/>
              </w:rPr>
              <w:t>企业应建立安全投入台账，其</w:t>
            </w:r>
            <w:r w:rsidRPr="00687B52">
              <w:rPr>
                <w:color w:val="000000" w:themeColor="text1"/>
                <w:szCs w:val="24"/>
              </w:rPr>
              <w:t>安全生产费用在成本中据实列支</w:t>
            </w:r>
            <w:r w:rsidRPr="00687B52">
              <w:rPr>
                <w:rFonts w:hint="eastAsia"/>
                <w:color w:val="000000" w:themeColor="text1"/>
                <w:szCs w:val="24"/>
              </w:rPr>
              <w:t>。</w:t>
            </w:r>
          </w:p>
        </w:tc>
        <w:tc>
          <w:tcPr>
            <w:tcW w:w="1193" w:type="pct"/>
            <w:vAlign w:val="center"/>
          </w:tcPr>
          <w:p w:rsidR="000C2455" w:rsidRPr="00687B52" w:rsidRDefault="000C2455" w:rsidP="001816B4">
            <w:pPr>
              <w:pStyle w:val="a7"/>
              <w:jc w:val="both"/>
              <w:rPr>
                <w:color w:val="000000" w:themeColor="text1"/>
                <w:szCs w:val="24"/>
              </w:rPr>
            </w:pPr>
            <w:r w:rsidRPr="00687B52">
              <w:rPr>
                <w:rFonts w:hint="eastAsia"/>
                <w:color w:val="000000" w:themeColor="text1"/>
                <w:szCs w:val="24"/>
              </w:rPr>
              <w:t>《安全生产法》第</w:t>
            </w:r>
            <w:r w:rsidRPr="00687B52">
              <w:rPr>
                <w:rFonts w:hint="eastAsia"/>
                <w:color w:val="000000" w:themeColor="text1"/>
                <w:szCs w:val="24"/>
              </w:rPr>
              <w:t xml:space="preserve"> 20</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spacing w:line="240" w:lineRule="auto"/>
              <w:rPr>
                <w:color w:val="000000" w:themeColor="text1"/>
                <w:szCs w:val="24"/>
              </w:rPr>
            </w:pPr>
            <w:r w:rsidRPr="00687B52">
              <w:rPr>
                <w:rFonts w:hint="eastAsia"/>
                <w:color w:val="000000" w:themeColor="text1"/>
                <w:szCs w:val="24"/>
              </w:rPr>
              <w:lastRenderedPageBreak/>
              <w:t>3.6</w:t>
            </w:r>
          </w:p>
        </w:tc>
        <w:tc>
          <w:tcPr>
            <w:tcW w:w="2101" w:type="pct"/>
            <w:vAlign w:val="center"/>
          </w:tcPr>
          <w:p w:rsidR="000C2455" w:rsidRPr="00687B52" w:rsidRDefault="000C2455" w:rsidP="001816B4">
            <w:pPr>
              <w:pStyle w:val="a7"/>
              <w:jc w:val="both"/>
              <w:rPr>
                <w:color w:val="000000" w:themeColor="text1"/>
                <w:szCs w:val="24"/>
              </w:rPr>
            </w:pPr>
            <w:r w:rsidRPr="00687B52">
              <w:rPr>
                <w:color w:val="000000" w:themeColor="text1"/>
                <w:szCs w:val="24"/>
              </w:rPr>
              <w:t>生产经营单位必须依法参加工伤保险，为从业人员缴纳保险费。</w:t>
            </w:r>
          </w:p>
        </w:tc>
        <w:tc>
          <w:tcPr>
            <w:tcW w:w="1193" w:type="pct"/>
            <w:vAlign w:val="center"/>
          </w:tcPr>
          <w:p w:rsidR="000C2455" w:rsidRPr="00687B52" w:rsidRDefault="000C2455" w:rsidP="001816B4">
            <w:pPr>
              <w:pStyle w:val="a7"/>
              <w:jc w:val="both"/>
              <w:rPr>
                <w:color w:val="000000" w:themeColor="text1"/>
                <w:szCs w:val="24"/>
              </w:rPr>
            </w:pPr>
            <w:r w:rsidRPr="00687B52">
              <w:rPr>
                <w:rFonts w:hint="eastAsia"/>
                <w:color w:val="000000" w:themeColor="text1"/>
                <w:szCs w:val="24"/>
              </w:rPr>
              <w:t>《安全生产法》第</w:t>
            </w:r>
            <w:r w:rsidRPr="00687B52">
              <w:rPr>
                <w:rFonts w:hint="eastAsia"/>
                <w:color w:val="000000" w:themeColor="text1"/>
                <w:szCs w:val="24"/>
              </w:rPr>
              <w:t>48</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F6557C" w:rsidP="003E1D2A">
            <w:pPr>
              <w:pStyle w:val="a7"/>
              <w:rPr>
                <w:b/>
                <w:color w:val="000000" w:themeColor="text1"/>
                <w:szCs w:val="24"/>
              </w:rPr>
            </w:pPr>
            <w:r w:rsidRPr="00687B52">
              <w:rPr>
                <w:rFonts w:hint="eastAsia"/>
                <w:b/>
                <w:color w:val="000000" w:themeColor="text1"/>
                <w:szCs w:val="24"/>
              </w:rPr>
              <w:t>4</w:t>
            </w:r>
          </w:p>
        </w:tc>
        <w:tc>
          <w:tcPr>
            <w:tcW w:w="2101" w:type="pct"/>
            <w:vAlign w:val="center"/>
          </w:tcPr>
          <w:p w:rsidR="000C2455" w:rsidRPr="00687B52" w:rsidRDefault="000C2455" w:rsidP="003E1D2A">
            <w:pPr>
              <w:pStyle w:val="a7"/>
              <w:jc w:val="left"/>
              <w:rPr>
                <w:b/>
                <w:color w:val="000000" w:themeColor="text1"/>
                <w:szCs w:val="24"/>
              </w:rPr>
            </w:pPr>
            <w:r w:rsidRPr="00687B52">
              <w:rPr>
                <w:rFonts w:hint="eastAsia"/>
                <w:b/>
                <w:color w:val="000000" w:themeColor="text1"/>
                <w:szCs w:val="24"/>
              </w:rPr>
              <w:t>教育培训</w:t>
            </w:r>
          </w:p>
        </w:tc>
        <w:tc>
          <w:tcPr>
            <w:tcW w:w="1193" w:type="pct"/>
            <w:vAlign w:val="center"/>
          </w:tcPr>
          <w:p w:rsidR="000C2455" w:rsidRPr="00687B52" w:rsidRDefault="000C2455" w:rsidP="003E1D2A">
            <w:pPr>
              <w:pStyle w:val="a7"/>
              <w:rPr>
                <w:color w:val="000000" w:themeColor="text1"/>
                <w:szCs w:val="24"/>
              </w:rPr>
            </w:pP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spacing w:line="240" w:lineRule="auto"/>
              <w:rPr>
                <w:color w:val="000000" w:themeColor="text1"/>
                <w:szCs w:val="24"/>
              </w:rPr>
            </w:pPr>
            <w:r w:rsidRPr="00687B52">
              <w:rPr>
                <w:rFonts w:hint="eastAsia"/>
                <w:color w:val="000000" w:themeColor="text1"/>
                <w:szCs w:val="24"/>
              </w:rPr>
              <w:t>4.1</w:t>
            </w:r>
          </w:p>
        </w:tc>
        <w:tc>
          <w:tcPr>
            <w:tcW w:w="2101" w:type="pct"/>
            <w:vAlign w:val="center"/>
          </w:tcPr>
          <w:p w:rsidR="000C2455" w:rsidRPr="00687B52" w:rsidRDefault="000C2455" w:rsidP="003E1D2A">
            <w:pPr>
              <w:pStyle w:val="a7"/>
              <w:jc w:val="left"/>
              <w:rPr>
                <w:color w:val="000000" w:themeColor="text1"/>
                <w:szCs w:val="24"/>
              </w:rPr>
            </w:pPr>
            <w:r w:rsidRPr="00687B52">
              <w:rPr>
                <w:rFonts w:hint="eastAsia"/>
                <w:color w:val="000000" w:themeColor="text1"/>
                <w:szCs w:val="24"/>
              </w:rPr>
              <w:t>企业应严格执行安全培训教育管理制度，定期识别培训需求，</w:t>
            </w:r>
            <w:r w:rsidRPr="00687B52">
              <w:rPr>
                <w:rFonts w:cs="宋体" w:hint="eastAsia"/>
                <w:color w:val="000000" w:themeColor="text1"/>
                <w:kern w:val="0"/>
                <w:szCs w:val="24"/>
              </w:rPr>
              <w:t>主要负责人负责组织制定并实施本单位安全培训计划，</w:t>
            </w:r>
            <w:r w:rsidRPr="00687B52">
              <w:rPr>
                <w:rFonts w:hint="eastAsia"/>
                <w:color w:val="000000" w:themeColor="text1"/>
                <w:szCs w:val="24"/>
              </w:rPr>
              <w:t>保障培训所需的资金、人员和设施。</w:t>
            </w:r>
          </w:p>
        </w:tc>
        <w:tc>
          <w:tcPr>
            <w:tcW w:w="1193" w:type="pct"/>
            <w:vAlign w:val="center"/>
          </w:tcPr>
          <w:p w:rsidR="000C2455" w:rsidRPr="00687B52" w:rsidRDefault="000C2455" w:rsidP="003E1D2A">
            <w:pPr>
              <w:pStyle w:val="a7"/>
              <w:rPr>
                <w:color w:val="000000" w:themeColor="text1"/>
              </w:rPr>
            </w:pPr>
            <w:r w:rsidRPr="00687B52">
              <w:rPr>
                <w:rFonts w:hint="eastAsia"/>
                <w:color w:val="000000" w:themeColor="text1"/>
              </w:rPr>
              <w:t>《危险化学品从业单位安全生产标准化通用规范》</w:t>
            </w:r>
            <w:r w:rsidRPr="00687B52">
              <w:rPr>
                <w:rFonts w:hint="eastAsia"/>
                <w:color w:val="000000" w:themeColor="text1"/>
              </w:rPr>
              <w:t>AQ3013-2008</w:t>
            </w:r>
          </w:p>
        </w:tc>
        <w:tc>
          <w:tcPr>
            <w:tcW w:w="1326" w:type="pct"/>
          </w:tcPr>
          <w:p w:rsidR="000C2455" w:rsidRPr="00687B52" w:rsidRDefault="000C2455" w:rsidP="003E1D2A">
            <w:pPr>
              <w:pStyle w:val="a7"/>
              <w:rPr>
                <w:color w:val="000000" w:themeColor="text1"/>
                <w:szCs w:val="24"/>
              </w:rPr>
            </w:pPr>
            <w:r w:rsidRPr="00687B52">
              <w:rPr>
                <w:rFonts w:hint="eastAsia"/>
                <w:color w:val="000000" w:themeColor="text1"/>
              </w:rPr>
              <w:t>查培训需求调查表、培训计划表、培训记录等</w:t>
            </w: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rPr>
            </w:pPr>
            <w:r w:rsidRPr="00687B52">
              <w:rPr>
                <w:rFonts w:hint="eastAsia"/>
                <w:color w:val="000000" w:themeColor="text1"/>
              </w:rPr>
              <w:t>4.2</w:t>
            </w:r>
          </w:p>
        </w:tc>
        <w:tc>
          <w:tcPr>
            <w:tcW w:w="2101" w:type="pct"/>
            <w:vAlign w:val="center"/>
          </w:tcPr>
          <w:p w:rsidR="000C2455" w:rsidRPr="00687B52" w:rsidRDefault="000C2455" w:rsidP="003E1D2A">
            <w:pPr>
              <w:pStyle w:val="a7"/>
              <w:jc w:val="left"/>
              <w:rPr>
                <w:color w:val="000000" w:themeColor="text1"/>
              </w:rPr>
            </w:pPr>
            <w:r w:rsidRPr="00687B52">
              <w:rPr>
                <w:rFonts w:ascii="宋体" w:hAnsi="宋体" w:hint="eastAsia"/>
                <w:color w:val="000000" w:themeColor="text1"/>
              </w:rPr>
              <w:t>主要负责人、安全生产管理人员应</w:t>
            </w:r>
            <w:r w:rsidRPr="00687B52">
              <w:rPr>
                <w:color w:val="000000" w:themeColor="text1"/>
              </w:rPr>
              <w:t>当由主管的负有安全生产监督管理职责的部门对其安全生产知识和管理能力考核合格</w:t>
            </w:r>
            <w:r w:rsidRPr="00687B52">
              <w:rPr>
                <w:rFonts w:hint="eastAsia"/>
                <w:color w:val="000000" w:themeColor="text1"/>
              </w:rPr>
              <w:t>，</w:t>
            </w:r>
            <w:r w:rsidRPr="00687B52">
              <w:rPr>
                <w:rFonts w:ascii="宋体" w:hAnsi="宋体" w:hint="eastAsia"/>
                <w:color w:val="000000" w:themeColor="text1"/>
              </w:rPr>
              <w:t>并取得安全资格证书。</w:t>
            </w:r>
          </w:p>
        </w:tc>
        <w:tc>
          <w:tcPr>
            <w:tcW w:w="1193" w:type="pct"/>
            <w:vAlign w:val="center"/>
          </w:tcPr>
          <w:p w:rsidR="000C2455" w:rsidRPr="00687B52" w:rsidRDefault="000C2455" w:rsidP="003E1D2A">
            <w:pPr>
              <w:pStyle w:val="a7"/>
              <w:rPr>
                <w:color w:val="000000" w:themeColor="text1"/>
              </w:rPr>
            </w:pPr>
            <w:r w:rsidRPr="00687B52">
              <w:rPr>
                <w:rFonts w:hint="eastAsia"/>
                <w:color w:val="000000" w:themeColor="text1"/>
              </w:rPr>
              <w:t>《安全生产法》第</w:t>
            </w:r>
            <w:r w:rsidRPr="00687B52">
              <w:rPr>
                <w:rFonts w:hint="eastAsia"/>
                <w:color w:val="000000" w:themeColor="text1"/>
              </w:rPr>
              <w:t>16</w:t>
            </w:r>
            <w:r w:rsidRPr="00687B52">
              <w:rPr>
                <w:rFonts w:hint="eastAsia"/>
                <w:color w:val="000000" w:themeColor="text1"/>
              </w:rPr>
              <w:t>条</w:t>
            </w:r>
          </w:p>
        </w:tc>
        <w:tc>
          <w:tcPr>
            <w:tcW w:w="1326" w:type="pct"/>
          </w:tcPr>
          <w:p w:rsidR="000C2455" w:rsidRPr="00687B52" w:rsidRDefault="000C2455" w:rsidP="003E1D2A">
            <w:pPr>
              <w:pStyle w:val="a7"/>
              <w:rPr>
                <w:color w:val="000000" w:themeColor="text1"/>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rPr>
            </w:pPr>
            <w:r w:rsidRPr="00687B52">
              <w:rPr>
                <w:rFonts w:hint="eastAsia"/>
                <w:color w:val="000000" w:themeColor="text1"/>
              </w:rPr>
              <w:t>4.3</w:t>
            </w:r>
          </w:p>
        </w:tc>
        <w:tc>
          <w:tcPr>
            <w:tcW w:w="2101" w:type="pct"/>
            <w:vAlign w:val="center"/>
          </w:tcPr>
          <w:p w:rsidR="000C2455" w:rsidRPr="00687B52" w:rsidRDefault="000C2455" w:rsidP="003E1D2A">
            <w:pPr>
              <w:pStyle w:val="a7"/>
              <w:jc w:val="left"/>
              <w:rPr>
                <w:rFonts w:ascii="宋体" w:hAnsi="宋体"/>
                <w:color w:val="000000" w:themeColor="text1"/>
              </w:rPr>
            </w:pPr>
            <w:r w:rsidRPr="00687B52">
              <w:rPr>
                <w:rFonts w:hint="eastAsia"/>
                <w:color w:val="000000" w:themeColor="text1"/>
                <w:kern w:val="0"/>
              </w:rPr>
              <w:t>特种作业人员必须取得</w:t>
            </w:r>
            <w:r w:rsidRPr="00687B52">
              <w:rPr>
                <w:rFonts w:cs="宋体" w:hint="eastAsia"/>
                <w:color w:val="000000" w:themeColor="text1"/>
                <w:kern w:val="0"/>
              </w:rPr>
              <w:t>《中华人民共和国特种作业操作证》</w:t>
            </w:r>
            <w:r w:rsidRPr="00687B52">
              <w:rPr>
                <w:rFonts w:hint="eastAsia"/>
                <w:color w:val="000000" w:themeColor="text1"/>
                <w:kern w:val="0"/>
              </w:rPr>
              <w:t>，方可上岗作业，证书应在有效期内。</w:t>
            </w:r>
          </w:p>
        </w:tc>
        <w:tc>
          <w:tcPr>
            <w:tcW w:w="1193" w:type="pct"/>
            <w:vAlign w:val="center"/>
          </w:tcPr>
          <w:p w:rsidR="000C2455" w:rsidRPr="00687B52" w:rsidRDefault="000C2455" w:rsidP="003E1D2A">
            <w:pPr>
              <w:pStyle w:val="a7"/>
              <w:rPr>
                <w:color w:val="000000" w:themeColor="text1"/>
              </w:rPr>
            </w:pPr>
            <w:r w:rsidRPr="00687B52">
              <w:rPr>
                <w:rFonts w:hint="eastAsia"/>
                <w:color w:val="000000" w:themeColor="text1"/>
              </w:rPr>
              <w:t>《安全生产法》第</w:t>
            </w:r>
            <w:r w:rsidRPr="00687B52">
              <w:rPr>
                <w:rFonts w:hint="eastAsia"/>
                <w:color w:val="000000" w:themeColor="text1"/>
              </w:rPr>
              <w:t>27</w:t>
            </w:r>
            <w:r w:rsidRPr="00687B52">
              <w:rPr>
                <w:rFonts w:hint="eastAsia"/>
                <w:color w:val="000000" w:themeColor="text1"/>
              </w:rPr>
              <w:t>条</w:t>
            </w:r>
          </w:p>
          <w:p w:rsidR="000C2455" w:rsidRPr="00687B52" w:rsidRDefault="000C2455" w:rsidP="003E1D2A">
            <w:pPr>
              <w:pStyle w:val="a7"/>
              <w:rPr>
                <w:color w:val="000000" w:themeColor="text1"/>
              </w:rPr>
            </w:pPr>
            <w:r w:rsidRPr="00687B52">
              <w:rPr>
                <w:rFonts w:hint="eastAsia"/>
                <w:color w:val="000000" w:themeColor="text1"/>
              </w:rPr>
              <w:t>《特种作业人员安全技术培训考核管理规定》第</w:t>
            </w:r>
            <w:r w:rsidRPr="00687B52">
              <w:rPr>
                <w:rFonts w:hint="eastAsia"/>
                <w:color w:val="000000" w:themeColor="text1"/>
              </w:rPr>
              <w:t>4</w:t>
            </w:r>
            <w:r w:rsidRPr="00687B52">
              <w:rPr>
                <w:rFonts w:hint="eastAsia"/>
                <w:color w:val="000000" w:themeColor="text1"/>
              </w:rPr>
              <w:t>条</w:t>
            </w:r>
          </w:p>
        </w:tc>
        <w:tc>
          <w:tcPr>
            <w:tcW w:w="1326" w:type="pct"/>
          </w:tcPr>
          <w:p w:rsidR="000C2455" w:rsidRPr="00687B52" w:rsidRDefault="000C2455" w:rsidP="003E1D2A">
            <w:pPr>
              <w:pStyle w:val="a7"/>
              <w:rPr>
                <w:color w:val="000000" w:themeColor="text1"/>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rPr>
            </w:pPr>
            <w:r w:rsidRPr="00687B52">
              <w:rPr>
                <w:rFonts w:hint="eastAsia"/>
                <w:color w:val="000000" w:themeColor="text1"/>
              </w:rPr>
              <w:t>4.3</w:t>
            </w:r>
          </w:p>
        </w:tc>
        <w:tc>
          <w:tcPr>
            <w:tcW w:w="2101" w:type="pct"/>
            <w:vAlign w:val="center"/>
          </w:tcPr>
          <w:p w:rsidR="000C2455" w:rsidRPr="00687B52" w:rsidRDefault="000C2455" w:rsidP="003E1D2A">
            <w:pPr>
              <w:pStyle w:val="a7"/>
              <w:jc w:val="left"/>
              <w:rPr>
                <w:color w:val="000000" w:themeColor="text1"/>
                <w:kern w:val="0"/>
              </w:rPr>
            </w:pPr>
            <w:r w:rsidRPr="00687B52">
              <w:rPr>
                <w:rFonts w:hint="eastAsia"/>
                <w:color w:val="000000" w:themeColor="text1"/>
                <w:kern w:val="0"/>
              </w:rPr>
              <w:t>特种设备作业人员应取得特种设备作业人员证，证书应在有效期内。</w:t>
            </w:r>
          </w:p>
        </w:tc>
        <w:tc>
          <w:tcPr>
            <w:tcW w:w="1193" w:type="pct"/>
            <w:vAlign w:val="center"/>
          </w:tcPr>
          <w:p w:rsidR="000C2455" w:rsidRPr="00687B52" w:rsidRDefault="000C2455" w:rsidP="003E1D2A">
            <w:pPr>
              <w:pStyle w:val="a7"/>
              <w:rPr>
                <w:color w:val="000000" w:themeColor="text1"/>
              </w:rPr>
            </w:pPr>
            <w:r w:rsidRPr="00687B52">
              <w:rPr>
                <w:rFonts w:hint="eastAsia"/>
                <w:color w:val="000000" w:themeColor="text1"/>
              </w:rPr>
              <w:t>《</w:t>
            </w:r>
            <w:r w:rsidRPr="00687B52">
              <w:rPr>
                <w:color w:val="000000" w:themeColor="text1"/>
              </w:rPr>
              <w:t>特种设备安全监察条例</w:t>
            </w:r>
            <w:r w:rsidRPr="00687B52">
              <w:rPr>
                <w:rFonts w:hint="eastAsia"/>
                <w:color w:val="000000" w:themeColor="text1"/>
              </w:rPr>
              <w:t>》</w:t>
            </w:r>
            <w:r w:rsidRPr="00687B52">
              <w:rPr>
                <w:color w:val="000000" w:themeColor="text1"/>
              </w:rPr>
              <w:t>第</w:t>
            </w:r>
            <w:r w:rsidRPr="00687B52">
              <w:rPr>
                <w:rFonts w:hint="eastAsia"/>
                <w:color w:val="000000" w:themeColor="text1"/>
              </w:rPr>
              <w:t>38</w:t>
            </w:r>
            <w:r w:rsidRPr="00687B52">
              <w:rPr>
                <w:color w:val="000000" w:themeColor="text1"/>
              </w:rPr>
              <w:t>条</w:t>
            </w:r>
          </w:p>
        </w:tc>
        <w:tc>
          <w:tcPr>
            <w:tcW w:w="1326" w:type="pct"/>
          </w:tcPr>
          <w:p w:rsidR="000C2455" w:rsidRPr="00687B52" w:rsidRDefault="000C2455" w:rsidP="003E1D2A">
            <w:pPr>
              <w:pStyle w:val="a7"/>
              <w:rPr>
                <w:color w:val="000000" w:themeColor="text1"/>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rPr>
            </w:pPr>
            <w:r w:rsidRPr="00687B52">
              <w:rPr>
                <w:rFonts w:hint="eastAsia"/>
                <w:color w:val="000000" w:themeColor="text1"/>
              </w:rPr>
              <w:t>4.4</w:t>
            </w:r>
          </w:p>
        </w:tc>
        <w:tc>
          <w:tcPr>
            <w:tcW w:w="2101" w:type="pct"/>
            <w:vAlign w:val="center"/>
          </w:tcPr>
          <w:p w:rsidR="000C2455" w:rsidRPr="00687B52" w:rsidRDefault="000C2455" w:rsidP="003E1D2A">
            <w:pPr>
              <w:pStyle w:val="a7"/>
              <w:jc w:val="left"/>
              <w:rPr>
                <w:color w:val="000000" w:themeColor="text1"/>
              </w:rPr>
            </w:pPr>
            <w:r w:rsidRPr="00687B52">
              <w:rPr>
                <w:rFonts w:hint="eastAsia"/>
                <w:color w:val="000000" w:themeColor="text1"/>
              </w:rPr>
              <w:t>对危险化学品运输的驾驶员、船员。押运员必须经所在地交通部门考核合格取得从业资格证，方可上岗，资格证书应在有效期内。</w:t>
            </w:r>
          </w:p>
        </w:tc>
        <w:tc>
          <w:tcPr>
            <w:tcW w:w="1193" w:type="pct"/>
            <w:vAlign w:val="center"/>
          </w:tcPr>
          <w:p w:rsidR="000C2455" w:rsidRPr="00687B52" w:rsidRDefault="000C2455" w:rsidP="003E1D2A">
            <w:pPr>
              <w:pStyle w:val="a7"/>
              <w:rPr>
                <w:color w:val="000000" w:themeColor="text1"/>
              </w:rPr>
            </w:pPr>
            <w:r w:rsidRPr="00687B52">
              <w:rPr>
                <w:rFonts w:hint="eastAsia"/>
                <w:color w:val="000000" w:themeColor="text1"/>
              </w:rPr>
              <w:t>《危险化学品从业单位安全生产标准化通用规范》</w:t>
            </w:r>
            <w:r w:rsidRPr="00687B52">
              <w:rPr>
                <w:rFonts w:hint="eastAsia"/>
                <w:color w:val="000000" w:themeColor="text1"/>
              </w:rPr>
              <w:t>AQ3013-2008</w:t>
            </w:r>
          </w:p>
        </w:tc>
        <w:tc>
          <w:tcPr>
            <w:tcW w:w="1326" w:type="pct"/>
          </w:tcPr>
          <w:p w:rsidR="000C2455" w:rsidRPr="00687B52" w:rsidRDefault="000C2455" w:rsidP="003E1D2A">
            <w:pPr>
              <w:pStyle w:val="a7"/>
              <w:rPr>
                <w:color w:val="000000" w:themeColor="text1"/>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rPr>
            </w:pPr>
            <w:r w:rsidRPr="00687B52">
              <w:rPr>
                <w:rFonts w:hint="eastAsia"/>
                <w:color w:val="000000" w:themeColor="text1"/>
              </w:rPr>
              <w:t>4.5</w:t>
            </w:r>
          </w:p>
        </w:tc>
        <w:tc>
          <w:tcPr>
            <w:tcW w:w="2101" w:type="pct"/>
            <w:vAlign w:val="center"/>
          </w:tcPr>
          <w:p w:rsidR="000C2455" w:rsidRPr="00687B52" w:rsidRDefault="000C2455" w:rsidP="003E1D2A">
            <w:pPr>
              <w:pStyle w:val="a7"/>
              <w:jc w:val="left"/>
              <w:rPr>
                <w:color w:val="000000" w:themeColor="text1"/>
              </w:rPr>
            </w:pPr>
            <w:r w:rsidRPr="00687B52">
              <w:rPr>
                <w:rFonts w:hint="eastAsia"/>
                <w:color w:val="000000" w:themeColor="text1"/>
              </w:rPr>
              <w:t>新上岗从业人员应接受“三级”安全教育，并经考试合格后上岗。新上岗的从业人员安全培训时间不得少于</w:t>
            </w:r>
            <w:r w:rsidRPr="00687B52">
              <w:rPr>
                <w:color w:val="000000" w:themeColor="text1"/>
              </w:rPr>
              <w:t>72</w:t>
            </w:r>
            <w:r w:rsidRPr="00687B52">
              <w:rPr>
                <w:rFonts w:hint="eastAsia"/>
                <w:color w:val="000000" w:themeColor="text1"/>
              </w:rPr>
              <w:t>学时，每年再培训的时间不得少于</w:t>
            </w:r>
            <w:r w:rsidRPr="00687B52">
              <w:rPr>
                <w:color w:val="000000" w:themeColor="text1"/>
              </w:rPr>
              <w:t>20</w:t>
            </w:r>
            <w:r w:rsidRPr="00687B52">
              <w:rPr>
                <w:rFonts w:hint="eastAsia"/>
                <w:color w:val="000000" w:themeColor="text1"/>
              </w:rPr>
              <w:t>学时。培训内容主要有安全管理制度、操作规程、职业卫生管理、风险识别及应对措施等。</w:t>
            </w:r>
          </w:p>
        </w:tc>
        <w:tc>
          <w:tcPr>
            <w:tcW w:w="1193" w:type="pct"/>
            <w:vAlign w:val="center"/>
          </w:tcPr>
          <w:p w:rsidR="000C2455" w:rsidRPr="00687B52" w:rsidRDefault="000C2455" w:rsidP="003E1D2A">
            <w:pPr>
              <w:pStyle w:val="a7"/>
              <w:rPr>
                <w:color w:val="000000" w:themeColor="text1"/>
              </w:rPr>
            </w:pPr>
            <w:r w:rsidRPr="00687B52">
              <w:rPr>
                <w:rFonts w:hint="eastAsia"/>
                <w:color w:val="000000" w:themeColor="text1"/>
              </w:rPr>
              <w:t>《生产经营单位安全培训规定》第</w:t>
            </w:r>
            <w:r w:rsidRPr="00687B52">
              <w:rPr>
                <w:rFonts w:hint="eastAsia"/>
                <w:color w:val="000000" w:themeColor="text1"/>
              </w:rPr>
              <w:t>13</w:t>
            </w:r>
            <w:r w:rsidRPr="00687B52">
              <w:rPr>
                <w:rFonts w:hint="eastAsia"/>
                <w:color w:val="000000" w:themeColor="text1"/>
              </w:rPr>
              <w:t>条</w:t>
            </w:r>
          </w:p>
        </w:tc>
        <w:tc>
          <w:tcPr>
            <w:tcW w:w="1326" w:type="pct"/>
          </w:tcPr>
          <w:p w:rsidR="000C2455" w:rsidRPr="00687B52" w:rsidRDefault="000C2455" w:rsidP="003E1D2A">
            <w:pPr>
              <w:pStyle w:val="a7"/>
              <w:rPr>
                <w:color w:val="000000" w:themeColor="text1"/>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rPr>
            </w:pPr>
            <w:r w:rsidRPr="00687B52">
              <w:rPr>
                <w:rFonts w:hint="eastAsia"/>
                <w:color w:val="000000" w:themeColor="text1"/>
              </w:rPr>
              <w:t>4.6</w:t>
            </w:r>
          </w:p>
        </w:tc>
        <w:tc>
          <w:tcPr>
            <w:tcW w:w="2101" w:type="pct"/>
            <w:vAlign w:val="center"/>
          </w:tcPr>
          <w:p w:rsidR="000C2455" w:rsidRPr="00687B52" w:rsidRDefault="000C2455" w:rsidP="003E1D2A">
            <w:pPr>
              <w:pStyle w:val="a7"/>
              <w:jc w:val="left"/>
              <w:rPr>
                <w:rFonts w:ascii="宋体" w:hAnsi="宋体"/>
                <w:color w:val="000000" w:themeColor="text1"/>
              </w:rPr>
            </w:pPr>
            <w:r w:rsidRPr="00687B52">
              <w:rPr>
                <w:rFonts w:ascii="宋体" w:hAnsi="宋体" w:hint="eastAsia"/>
                <w:color w:val="000000" w:themeColor="text1"/>
              </w:rPr>
              <w:t>转岗、复岗从业人员应接受“两级”安全教育，“四新”投用前应对从业人员进行安全培训。</w:t>
            </w:r>
          </w:p>
        </w:tc>
        <w:tc>
          <w:tcPr>
            <w:tcW w:w="1193" w:type="pct"/>
            <w:vAlign w:val="center"/>
          </w:tcPr>
          <w:p w:rsidR="000C2455" w:rsidRPr="00687B52" w:rsidRDefault="000C2455" w:rsidP="003E1D2A">
            <w:pPr>
              <w:pStyle w:val="a7"/>
              <w:rPr>
                <w:color w:val="000000" w:themeColor="text1"/>
              </w:rPr>
            </w:pPr>
            <w:r w:rsidRPr="00687B52">
              <w:rPr>
                <w:rFonts w:hint="eastAsia"/>
                <w:color w:val="000000" w:themeColor="text1"/>
              </w:rPr>
              <w:t>《安全生产法》第</w:t>
            </w:r>
            <w:r w:rsidRPr="00687B52">
              <w:rPr>
                <w:rFonts w:hint="eastAsia"/>
                <w:color w:val="000000" w:themeColor="text1"/>
              </w:rPr>
              <w:t>26</w:t>
            </w:r>
            <w:r w:rsidRPr="00687B52">
              <w:rPr>
                <w:rFonts w:hint="eastAsia"/>
                <w:color w:val="000000" w:themeColor="text1"/>
              </w:rPr>
              <w:t>条</w:t>
            </w:r>
          </w:p>
          <w:p w:rsidR="000C2455" w:rsidRPr="00687B52" w:rsidRDefault="000C2455" w:rsidP="003E1D2A">
            <w:pPr>
              <w:pStyle w:val="a7"/>
              <w:rPr>
                <w:color w:val="000000" w:themeColor="text1"/>
              </w:rPr>
            </w:pPr>
            <w:r w:rsidRPr="00687B52">
              <w:rPr>
                <w:rFonts w:hint="eastAsia"/>
                <w:color w:val="000000" w:themeColor="text1"/>
              </w:rPr>
              <w:t>《湖南省安全生产条例》第</w:t>
            </w:r>
            <w:r w:rsidRPr="00687B52">
              <w:rPr>
                <w:rFonts w:hint="eastAsia"/>
                <w:color w:val="000000" w:themeColor="text1"/>
              </w:rPr>
              <w:t>13</w:t>
            </w:r>
            <w:r w:rsidRPr="00687B52">
              <w:rPr>
                <w:rFonts w:hint="eastAsia"/>
                <w:color w:val="000000" w:themeColor="text1"/>
              </w:rPr>
              <w:t>条</w:t>
            </w:r>
          </w:p>
        </w:tc>
        <w:tc>
          <w:tcPr>
            <w:tcW w:w="1326" w:type="pct"/>
          </w:tcPr>
          <w:p w:rsidR="000C2455" w:rsidRPr="00687B52" w:rsidRDefault="000C2455" w:rsidP="003E1D2A">
            <w:pPr>
              <w:pStyle w:val="a7"/>
              <w:rPr>
                <w:color w:val="000000" w:themeColor="text1"/>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rPr>
            </w:pPr>
            <w:r w:rsidRPr="00687B52">
              <w:rPr>
                <w:rFonts w:hint="eastAsia"/>
                <w:color w:val="000000" w:themeColor="text1"/>
              </w:rPr>
              <w:t>4.7</w:t>
            </w:r>
          </w:p>
        </w:tc>
        <w:tc>
          <w:tcPr>
            <w:tcW w:w="2101" w:type="pct"/>
            <w:vAlign w:val="center"/>
          </w:tcPr>
          <w:p w:rsidR="000C2455" w:rsidRPr="00687B52" w:rsidRDefault="000C2455" w:rsidP="003E1D2A">
            <w:pPr>
              <w:pStyle w:val="a7"/>
              <w:jc w:val="left"/>
              <w:rPr>
                <w:color w:val="000000" w:themeColor="text1"/>
              </w:rPr>
            </w:pPr>
            <w:r w:rsidRPr="00687B52">
              <w:rPr>
                <w:rFonts w:hint="eastAsia"/>
                <w:color w:val="000000" w:themeColor="text1"/>
              </w:rPr>
              <w:t>对外来人员的参观和学习人员应进行有关安全规定</w:t>
            </w:r>
            <w:r w:rsidRPr="00687B52">
              <w:rPr>
                <w:rFonts w:hint="eastAsia"/>
                <w:color w:val="000000" w:themeColor="text1"/>
              </w:rPr>
              <w:lastRenderedPageBreak/>
              <w:t>和安全注意事项的培训教育。</w:t>
            </w:r>
          </w:p>
        </w:tc>
        <w:tc>
          <w:tcPr>
            <w:tcW w:w="1193" w:type="pct"/>
            <w:vAlign w:val="center"/>
          </w:tcPr>
          <w:p w:rsidR="000C2455" w:rsidRPr="00687B52" w:rsidRDefault="000C2455" w:rsidP="003E1D2A">
            <w:pPr>
              <w:pStyle w:val="a7"/>
              <w:rPr>
                <w:color w:val="000000" w:themeColor="text1"/>
              </w:rPr>
            </w:pPr>
            <w:r w:rsidRPr="00687B52">
              <w:rPr>
                <w:rFonts w:hint="eastAsia"/>
                <w:color w:val="000000" w:themeColor="text1"/>
              </w:rPr>
              <w:lastRenderedPageBreak/>
              <w:t>《危险化学品从业单位安全</w:t>
            </w:r>
            <w:r w:rsidRPr="00687B52">
              <w:rPr>
                <w:rFonts w:hint="eastAsia"/>
                <w:color w:val="000000" w:themeColor="text1"/>
              </w:rPr>
              <w:lastRenderedPageBreak/>
              <w:t>生产标准化通用规范》</w:t>
            </w:r>
            <w:r w:rsidRPr="00687B52">
              <w:rPr>
                <w:rFonts w:hint="eastAsia"/>
                <w:color w:val="000000" w:themeColor="text1"/>
              </w:rPr>
              <w:t>AQ3013-2008</w:t>
            </w:r>
          </w:p>
        </w:tc>
        <w:tc>
          <w:tcPr>
            <w:tcW w:w="1326" w:type="pct"/>
          </w:tcPr>
          <w:p w:rsidR="000C2455" w:rsidRPr="00687B52" w:rsidRDefault="000C2455" w:rsidP="003E1D2A">
            <w:pPr>
              <w:pStyle w:val="a7"/>
              <w:rPr>
                <w:color w:val="000000" w:themeColor="text1"/>
              </w:rPr>
            </w:pPr>
            <w:r w:rsidRPr="00687B52">
              <w:rPr>
                <w:rFonts w:hint="eastAsia"/>
                <w:color w:val="000000" w:themeColor="text1"/>
              </w:rPr>
              <w:lastRenderedPageBreak/>
              <w:t>查外来参观学习人员培训记录</w:t>
            </w: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rPr>
            </w:pPr>
            <w:r w:rsidRPr="00687B52">
              <w:rPr>
                <w:rFonts w:hint="eastAsia"/>
                <w:color w:val="000000" w:themeColor="text1"/>
              </w:rPr>
              <w:lastRenderedPageBreak/>
              <w:t>4.8</w:t>
            </w:r>
          </w:p>
        </w:tc>
        <w:tc>
          <w:tcPr>
            <w:tcW w:w="2101" w:type="pct"/>
            <w:vAlign w:val="center"/>
          </w:tcPr>
          <w:p w:rsidR="000C2455" w:rsidRPr="00687B52" w:rsidRDefault="000C2455" w:rsidP="003E1D2A">
            <w:pPr>
              <w:pStyle w:val="a7"/>
              <w:jc w:val="left"/>
              <w:rPr>
                <w:color w:val="000000" w:themeColor="text1"/>
              </w:rPr>
            </w:pPr>
            <w:r w:rsidRPr="00687B52">
              <w:rPr>
                <w:rFonts w:hint="eastAsia"/>
                <w:color w:val="000000" w:themeColor="text1"/>
              </w:rPr>
              <w:t>企业应对承包商的作业人员进行入厂安全培训教育，经考核合格发放入场证，保存安全培训教育记录。</w:t>
            </w:r>
          </w:p>
        </w:tc>
        <w:tc>
          <w:tcPr>
            <w:tcW w:w="1193" w:type="pct"/>
            <w:vAlign w:val="center"/>
          </w:tcPr>
          <w:p w:rsidR="000C2455" w:rsidRPr="00687B52" w:rsidRDefault="000C2455" w:rsidP="003E1D2A">
            <w:pPr>
              <w:pStyle w:val="a7"/>
              <w:rPr>
                <w:color w:val="000000" w:themeColor="text1"/>
              </w:rPr>
            </w:pPr>
            <w:r w:rsidRPr="00687B52">
              <w:rPr>
                <w:rFonts w:hint="eastAsia"/>
                <w:color w:val="000000" w:themeColor="text1"/>
              </w:rPr>
              <w:t>《危险化学品从业单位安全生产标准化通用规范》</w:t>
            </w:r>
            <w:r w:rsidRPr="00687B52">
              <w:rPr>
                <w:rFonts w:hint="eastAsia"/>
                <w:color w:val="000000" w:themeColor="text1"/>
              </w:rPr>
              <w:t>AQ3013-2008</w:t>
            </w:r>
          </w:p>
        </w:tc>
        <w:tc>
          <w:tcPr>
            <w:tcW w:w="1326" w:type="pct"/>
          </w:tcPr>
          <w:p w:rsidR="000C2455" w:rsidRPr="00687B52" w:rsidRDefault="000C2455" w:rsidP="003E1D2A">
            <w:pPr>
              <w:pStyle w:val="a7"/>
              <w:rPr>
                <w:color w:val="000000" w:themeColor="text1"/>
              </w:rPr>
            </w:pPr>
            <w:r w:rsidRPr="00687B52">
              <w:rPr>
                <w:rFonts w:hint="eastAsia"/>
                <w:color w:val="000000" w:themeColor="text1"/>
              </w:rPr>
              <w:t>查承包商作业人员培训记录</w:t>
            </w: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rPr>
            </w:pPr>
            <w:r w:rsidRPr="00687B52">
              <w:rPr>
                <w:rFonts w:hint="eastAsia"/>
                <w:color w:val="000000" w:themeColor="text1"/>
              </w:rPr>
              <w:t>4.9</w:t>
            </w:r>
          </w:p>
        </w:tc>
        <w:tc>
          <w:tcPr>
            <w:tcW w:w="2101" w:type="pct"/>
            <w:vAlign w:val="center"/>
          </w:tcPr>
          <w:p w:rsidR="000C2455" w:rsidRPr="00687B52" w:rsidRDefault="000C2455" w:rsidP="003E1D2A">
            <w:pPr>
              <w:pStyle w:val="a7"/>
              <w:jc w:val="left"/>
              <w:rPr>
                <w:color w:val="000000" w:themeColor="text1"/>
              </w:rPr>
            </w:pPr>
            <w:r w:rsidRPr="00687B52">
              <w:rPr>
                <w:color w:val="000000" w:themeColor="text1"/>
              </w:rPr>
              <w:t>应当建立安全生产教育和培训档案，如实记录安全生产教育和培训的时间、内容、参加人员以及考核结果等情况。</w:t>
            </w:r>
          </w:p>
        </w:tc>
        <w:tc>
          <w:tcPr>
            <w:tcW w:w="1193" w:type="pct"/>
            <w:vAlign w:val="center"/>
          </w:tcPr>
          <w:p w:rsidR="000C2455" w:rsidRPr="00687B52" w:rsidRDefault="000C2455" w:rsidP="003E1D2A">
            <w:pPr>
              <w:pStyle w:val="a7"/>
              <w:rPr>
                <w:color w:val="000000" w:themeColor="text1"/>
              </w:rPr>
            </w:pPr>
            <w:r w:rsidRPr="00687B52">
              <w:rPr>
                <w:rFonts w:hint="eastAsia"/>
                <w:color w:val="000000" w:themeColor="text1"/>
              </w:rPr>
              <w:t>《安全生产法》第</w:t>
            </w:r>
            <w:r w:rsidRPr="00687B52">
              <w:rPr>
                <w:rFonts w:hint="eastAsia"/>
                <w:color w:val="000000" w:themeColor="text1"/>
              </w:rPr>
              <w:t>25</w:t>
            </w:r>
            <w:r w:rsidRPr="00687B52">
              <w:rPr>
                <w:rFonts w:hint="eastAsia"/>
                <w:color w:val="000000" w:themeColor="text1"/>
              </w:rPr>
              <w:t>条、《生产经营单位安全培训规定》第</w:t>
            </w:r>
            <w:r w:rsidRPr="00687B52">
              <w:rPr>
                <w:rFonts w:hint="eastAsia"/>
                <w:color w:val="000000" w:themeColor="text1"/>
              </w:rPr>
              <w:t>4</w:t>
            </w:r>
            <w:r w:rsidRPr="00687B52">
              <w:rPr>
                <w:rFonts w:hint="eastAsia"/>
                <w:color w:val="000000" w:themeColor="text1"/>
              </w:rPr>
              <w:t>条</w:t>
            </w:r>
          </w:p>
        </w:tc>
        <w:tc>
          <w:tcPr>
            <w:tcW w:w="1326" w:type="pct"/>
          </w:tcPr>
          <w:p w:rsidR="000C2455" w:rsidRPr="00687B52" w:rsidRDefault="000C2455" w:rsidP="003E1D2A">
            <w:pPr>
              <w:pStyle w:val="a7"/>
              <w:rPr>
                <w:color w:val="000000" w:themeColor="text1"/>
              </w:rPr>
            </w:pPr>
            <w:r w:rsidRPr="00687B52">
              <w:rPr>
                <w:rFonts w:hint="eastAsia"/>
                <w:color w:val="000000" w:themeColor="text1"/>
              </w:rPr>
              <w:t>查培训教育档案</w:t>
            </w:r>
          </w:p>
        </w:tc>
      </w:tr>
      <w:tr w:rsidR="000C2455" w:rsidRPr="00687B52" w:rsidTr="00E93DDA">
        <w:trPr>
          <w:jc w:val="center"/>
        </w:trPr>
        <w:tc>
          <w:tcPr>
            <w:tcW w:w="380" w:type="pct"/>
            <w:vAlign w:val="center"/>
          </w:tcPr>
          <w:p w:rsidR="000C2455" w:rsidRPr="00687B52" w:rsidRDefault="00F6557C" w:rsidP="003E1D2A">
            <w:pPr>
              <w:pStyle w:val="a7"/>
              <w:rPr>
                <w:b/>
                <w:color w:val="000000" w:themeColor="text1"/>
                <w:szCs w:val="24"/>
              </w:rPr>
            </w:pPr>
            <w:r w:rsidRPr="00687B52">
              <w:rPr>
                <w:rFonts w:hint="eastAsia"/>
                <w:b/>
                <w:color w:val="000000" w:themeColor="text1"/>
                <w:szCs w:val="24"/>
              </w:rPr>
              <w:t>5</w:t>
            </w:r>
          </w:p>
        </w:tc>
        <w:tc>
          <w:tcPr>
            <w:tcW w:w="2101" w:type="pct"/>
            <w:vAlign w:val="center"/>
          </w:tcPr>
          <w:p w:rsidR="000C2455" w:rsidRPr="00687B52" w:rsidRDefault="000C2455" w:rsidP="003E1D2A">
            <w:pPr>
              <w:pStyle w:val="a7"/>
              <w:jc w:val="left"/>
              <w:rPr>
                <w:b/>
                <w:color w:val="000000" w:themeColor="text1"/>
                <w:szCs w:val="24"/>
              </w:rPr>
            </w:pPr>
            <w:r w:rsidRPr="00687B52">
              <w:rPr>
                <w:rFonts w:hint="eastAsia"/>
                <w:b/>
                <w:color w:val="000000" w:themeColor="text1"/>
                <w:szCs w:val="24"/>
              </w:rPr>
              <w:t>作业安全管理</w:t>
            </w:r>
          </w:p>
        </w:tc>
        <w:tc>
          <w:tcPr>
            <w:tcW w:w="1193" w:type="pct"/>
            <w:vAlign w:val="center"/>
          </w:tcPr>
          <w:p w:rsidR="000C2455" w:rsidRPr="00687B52" w:rsidRDefault="000C2455" w:rsidP="003E1D2A">
            <w:pPr>
              <w:pStyle w:val="a7"/>
              <w:rPr>
                <w:color w:val="000000" w:themeColor="text1"/>
                <w:szCs w:val="24"/>
              </w:rPr>
            </w:pP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5.1</w:t>
            </w:r>
          </w:p>
        </w:tc>
        <w:tc>
          <w:tcPr>
            <w:tcW w:w="2101" w:type="pct"/>
            <w:vAlign w:val="center"/>
          </w:tcPr>
          <w:p w:rsidR="000C2455" w:rsidRPr="00687B52" w:rsidRDefault="000C2455" w:rsidP="003E1D2A">
            <w:pPr>
              <w:pStyle w:val="a7"/>
              <w:jc w:val="left"/>
              <w:rPr>
                <w:color w:val="000000" w:themeColor="text1"/>
                <w:szCs w:val="24"/>
              </w:rPr>
            </w:pPr>
            <w:r w:rsidRPr="00687B52">
              <w:rPr>
                <w:rFonts w:ascii="宋体" w:hAnsi="宋体" w:hint="eastAsia"/>
                <w:bCs/>
                <w:color w:val="000000" w:themeColor="text1"/>
              </w:rPr>
              <w:t>对</w:t>
            </w:r>
            <w:r w:rsidRPr="00687B52">
              <w:rPr>
                <w:rFonts w:ascii="宋体" w:hAnsi="宋体"/>
                <w:bCs/>
                <w:color w:val="000000" w:themeColor="text1"/>
              </w:rPr>
              <w:t>动火作业</w:t>
            </w:r>
            <w:r w:rsidRPr="00687B52">
              <w:rPr>
                <w:rFonts w:ascii="宋体" w:hAnsi="宋体" w:hint="eastAsia"/>
                <w:bCs/>
                <w:color w:val="000000" w:themeColor="text1"/>
              </w:rPr>
              <w:t>、</w:t>
            </w:r>
            <w:r w:rsidRPr="00687B52">
              <w:rPr>
                <w:rFonts w:ascii="宋体" w:hAnsi="宋体"/>
                <w:bCs/>
                <w:color w:val="000000" w:themeColor="text1"/>
              </w:rPr>
              <w:t>进入受限空间作业</w:t>
            </w:r>
            <w:r w:rsidRPr="00687B52">
              <w:rPr>
                <w:rFonts w:ascii="宋体" w:hAnsi="宋体" w:hint="eastAsia"/>
                <w:bCs/>
                <w:color w:val="000000" w:themeColor="text1"/>
              </w:rPr>
              <w:t>、</w:t>
            </w:r>
            <w:r w:rsidRPr="00687B52">
              <w:rPr>
                <w:rFonts w:ascii="宋体" w:hAnsi="宋体"/>
                <w:bCs/>
                <w:color w:val="000000" w:themeColor="text1"/>
              </w:rPr>
              <w:t>破土作业</w:t>
            </w:r>
            <w:r w:rsidRPr="00687B52">
              <w:rPr>
                <w:rFonts w:ascii="宋体" w:hAnsi="宋体" w:hint="eastAsia"/>
                <w:bCs/>
                <w:color w:val="000000" w:themeColor="text1"/>
              </w:rPr>
              <w:t>、</w:t>
            </w:r>
            <w:r w:rsidRPr="00687B52">
              <w:rPr>
                <w:rFonts w:ascii="宋体" w:hAnsi="宋体"/>
                <w:bCs/>
                <w:color w:val="000000" w:themeColor="text1"/>
              </w:rPr>
              <w:t>临时用电作业</w:t>
            </w:r>
            <w:r w:rsidRPr="00687B52">
              <w:rPr>
                <w:rFonts w:ascii="宋体" w:hAnsi="宋体" w:hint="eastAsia"/>
                <w:bCs/>
                <w:color w:val="000000" w:themeColor="text1"/>
              </w:rPr>
              <w:t>、</w:t>
            </w:r>
            <w:r w:rsidRPr="00687B52">
              <w:rPr>
                <w:rFonts w:ascii="宋体" w:hAnsi="宋体"/>
                <w:bCs/>
                <w:color w:val="000000" w:themeColor="text1"/>
              </w:rPr>
              <w:t>高处作业</w:t>
            </w:r>
            <w:r w:rsidRPr="00687B52">
              <w:rPr>
                <w:rFonts w:ascii="宋体" w:hAnsi="宋体" w:hint="eastAsia"/>
                <w:bCs/>
                <w:color w:val="000000" w:themeColor="text1"/>
              </w:rPr>
              <w:t>、</w:t>
            </w:r>
            <w:r w:rsidRPr="00687B52">
              <w:rPr>
                <w:rFonts w:ascii="宋体" w:hAnsi="宋体"/>
                <w:bCs/>
                <w:color w:val="000000" w:themeColor="text1"/>
              </w:rPr>
              <w:t>断路作业</w:t>
            </w:r>
            <w:r w:rsidRPr="00687B52">
              <w:rPr>
                <w:rFonts w:ascii="宋体" w:hAnsi="宋体" w:hint="eastAsia"/>
                <w:bCs/>
                <w:color w:val="000000" w:themeColor="text1"/>
              </w:rPr>
              <w:t>、</w:t>
            </w:r>
            <w:r w:rsidRPr="00687B52">
              <w:rPr>
                <w:rFonts w:ascii="宋体" w:hAnsi="宋体"/>
                <w:bCs/>
                <w:color w:val="000000" w:themeColor="text1"/>
              </w:rPr>
              <w:t>吊装作业</w:t>
            </w:r>
            <w:r w:rsidRPr="00687B52">
              <w:rPr>
                <w:rFonts w:ascii="宋体" w:hAnsi="宋体" w:hint="eastAsia"/>
                <w:bCs/>
                <w:color w:val="000000" w:themeColor="text1"/>
              </w:rPr>
              <w:t>、</w:t>
            </w:r>
            <w:r w:rsidRPr="00687B52">
              <w:rPr>
                <w:rFonts w:ascii="宋体" w:hAnsi="宋体"/>
                <w:bCs/>
                <w:color w:val="000000" w:themeColor="text1"/>
              </w:rPr>
              <w:t>设备检修作业</w:t>
            </w:r>
            <w:r w:rsidRPr="00687B52">
              <w:rPr>
                <w:rFonts w:ascii="宋体" w:hAnsi="宋体" w:hint="eastAsia"/>
                <w:bCs/>
                <w:color w:val="000000" w:themeColor="text1"/>
              </w:rPr>
              <w:t>和</w:t>
            </w:r>
            <w:r w:rsidRPr="00687B52">
              <w:rPr>
                <w:rFonts w:ascii="宋体" w:hAnsi="宋体"/>
                <w:bCs/>
                <w:color w:val="000000" w:themeColor="text1"/>
              </w:rPr>
              <w:t>抽堵盲板作业</w:t>
            </w:r>
            <w:r w:rsidRPr="00687B52">
              <w:rPr>
                <w:rFonts w:ascii="宋体" w:hAnsi="宋体" w:hint="eastAsia"/>
                <w:bCs/>
                <w:color w:val="000000" w:themeColor="text1"/>
              </w:rPr>
              <w:t>等危险性作业实施作业许可管理，严格履行审批手续；并严格按照相关作业安全规程的要求执行。</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《化学品生产单位特殊作业安全规范》</w:t>
            </w:r>
            <w:r w:rsidRPr="00687B52">
              <w:rPr>
                <w:rFonts w:hint="eastAsia"/>
                <w:color w:val="000000" w:themeColor="text1"/>
                <w:szCs w:val="24"/>
              </w:rPr>
              <w:t>GB30871-2014</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5.2</w:t>
            </w:r>
          </w:p>
        </w:tc>
        <w:tc>
          <w:tcPr>
            <w:tcW w:w="2101" w:type="pct"/>
            <w:vAlign w:val="center"/>
          </w:tcPr>
          <w:p w:rsidR="000C2455" w:rsidRPr="00687B52" w:rsidRDefault="000C2455" w:rsidP="003E1D2A">
            <w:pPr>
              <w:pStyle w:val="a7"/>
              <w:jc w:val="left"/>
              <w:rPr>
                <w:color w:val="000000" w:themeColor="text1"/>
                <w:szCs w:val="24"/>
              </w:rPr>
            </w:pPr>
            <w:r w:rsidRPr="00687B52">
              <w:rPr>
                <w:rFonts w:ascii="宋体" w:hAnsi="宋体"/>
                <w:bCs/>
                <w:color w:val="000000" w:themeColor="text1"/>
              </w:rPr>
              <w:t>企业应在危险性作业活动作业前进行危险、有害因素识别，制定控制措施。在作业现场配备相应的安全防护用品（具）及消防设施与器材，规范现场人员作业行为。</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《化学品生产单位特殊作业安全规范》</w:t>
            </w:r>
            <w:r w:rsidRPr="00687B52">
              <w:rPr>
                <w:rFonts w:hint="eastAsia"/>
                <w:color w:val="000000" w:themeColor="text1"/>
                <w:szCs w:val="24"/>
              </w:rPr>
              <w:t>GB30871-2014</w:t>
            </w:r>
            <w:r w:rsidRPr="00687B52">
              <w:rPr>
                <w:rFonts w:hint="eastAsia"/>
                <w:color w:val="000000" w:themeColor="text1"/>
                <w:szCs w:val="24"/>
              </w:rPr>
              <w:t>第</w:t>
            </w:r>
            <w:r w:rsidRPr="00687B52">
              <w:rPr>
                <w:rFonts w:hint="eastAsia"/>
                <w:color w:val="000000" w:themeColor="text1"/>
                <w:szCs w:val="24"/>
              </w:rPr>
              <w:t>4.1</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5.4</w:t>
            </w:r>
          </w:p>
        </w:tc>
        <w:tc>
          <w:tcPr>
            <w:tcW w:w="2101" w:type="pct"/>
            <w:vAlign w:val="center"/>
          </w:tcPr>
          <w:p w:rsidR="000C2455" w:rsidRPr="00687B52" w:rsidRDefault="000C2455" w:rsidP="003E1D2A">
            <w:pPr>
              <w:pStyle w:val="a7"/>
              <w:jc w:val="left"/>
              <w:rPr>
                <w:color w:val="000000" w:themeColor="text1"/>
              </w:rPr>
            </w:pPr>
            <w:r w:rsidRPr="00687B52">
              <w:rPr>
                <w:rFonts w:ascii="宋体" w:hAnsi="宋体"/>
                <w:bCs/>
                <w:color w:val="000000" w:themeColor="text1"/>
              </w:rPr>
              <w:t>企业作业人员在进行作业活动时，应持相应的作业许可证作业。</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《化学品生产单位特殊作业安全规范》</w:t>
            </w:r>
            <w:r w:rsidRPr="00687B52">
              <w:rPr>
                <w:rFonts w:hint="eastAsia"/>
                <w:color w:val="000000" w:themeColor="text1"/>
                <w:szCs w:val="24"/>
              </w:rPr>
              <w:t>GB30871-2014</w:t>
            </w:r>
            <w:r w:rsidRPr="00687B52">
              <w:rPr>
                <w:rFonts w:hint="eastAsia"/>
                <w:color w:val="000000" w:themeColor="text1"/>
                <w:szCs w:val="24"/>
              </w:rPr>
              <w:t>第</w:t>
            </w:r>
            <w:r w:rsidRPr="00687B52">
              <w:rPr>
                <w:rFonts w:hint="eastAsia"/>
                <w:color w:val="000000" w:themeColor="text1"/>
                <w:szCs w:val="24"/>
              </w:rPr>
              <w:t>4.6</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5.5</w:t>
            </w:r>
          </w:p>
        </w:tc>
        <w:tc>
          <w:tcPr>
            <w:tcW w:w="2101" w:type="pct"/>
            <w:vAlign w:val="center"/>
          </w:tcPr>
          <w:p w:rsidR="000C2455" w:rsidRPr="00687B52" w:rsidRDefault="000C2455" w:rsidP="003E1D2A">
            <w:pPr>
              <w:pStyle w:val="a7"/>
              <w:jc w:val="left"/>
              <w:rPr>
                <w:color w:val="000000" w:themeColor="text1"/>
              </w:rPr>
            </w:pPr>
            <w:r w:rsidRPr="00687B52">
              <w:rPr>
                <w:rFonts w:ascii="宋体" w:hAnsi="宋体"/>
                <w:bCs/>
                <w:color w:val="000000" w:themeColor="text1"/>
              </w:rPr>
              <w:t>企业作业活动监护人员应具备基本救护技能和作业现场的应急处理能力，持相应作业许可证进行监护作业，作业过程中不得离开监护岗位。</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《化学品生产单位特殊作业安全规范》</w:t>
            </w:r>
            <w:r w:rsidRPr="00687B52">
              <w:rPr>
                <w:rFonts w:hint="eastAsia"/>
                <w:color w:val="000000" w:themeColor="text1"/>
                <w:szCs w:val="24"/>
              </w:rPr>
              <w:t>GB30871-2014</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5.6</w:t>
            </w:r>
          </w:p>
        </w:tc>
        <w:tc>
          <w:tcPr>
            <w:tcW w:w="2101" w:type="pct"/>
            <w:vAlign w:val="center"/>
          </w:tcPr>
          <w:p w:rsidR="000C2455" w:rsidRPr="00687B52" w:rsidRDefault="000C2455" w:rsidP="003E1D2A">
            <w:pPr>
              <w:pStyle w:val="a7"/>
              <w:jc w:val="left"/>
              <w:rPr>
                <w:color w:val="000000" w:themeColor="text1"/>
                <w:kern w:val="0"/>
                <w:szCs w:val="24"/>
              </w:rPr>
            </w:pPr>
            <w:r w:rsidRPr="00687B52">
              <w:rPr>
                <w:color w:val="000000" w:themeColor="text1"/>
                <w:kern w:val="0"/>
                <w:szCs w:val="24"/>
              </w:rPr>
              <w:t>两个以上生产经营单位在同一作业区域内进行生产经营活动，可能危及对方生产安全的，应当签订安全</w:t>
            </w:r>
            <w:r w:rsidRPr="00687B52">
              <w:rPr>
                <w:color w:val="000000" w:themeColor="text1"/>
                <w:kern w:val="0"/>
                <w:szCs w:val="24"/>
              </w:rPr>
              <w:lastRenderedPageBreak/>
              <w:t>生产管理协议，明确各自的安全生产管理职责和应当采取的安全措施，并指定专职安全生产管理人员进行安全检查与协调。</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lastRenderedPageBreak/>
              <w:t>《安全生产法》第</w:t>
            </w:r>
            <w:r w:rsidRPr="00687B52">
              <w:rPr>
                <w:rFonts w:hint="eastAsia"/>
                <w:color w:val="000000" w:themeColor="text1"/>
                <w:szCs w:val="24"/>
              </w:rPr>
              <w:t>45</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lastRenderedPageBreak/>
              <w:t>5.7</w:t>
            </w:r>
          </w:p>
        </w:tc>
        <w:tc>
          <w:tcPr>
            <w:tcW w:w="2101" w:type="pct"/>
            <w:vAlign w:val="center"/>
          </w:tcPr>
          <w:p w:rsidR="000C2455" w:rsidRPr="00687B52" w:rsidRDefault="000C2455" w:rsidP="003E1D2A">
            <w:pPr>
              <w:pStyle w:val="a7"/>
              <w:jc w:val="left"/>
              <w:rPr>
                <w:color w:val="000000" w:themeColor="text1"/>
                <w:kern w:val="0"/>
                <w:szCs w:val="24"/>
              </w:rPr>
            </w:pPr>
            <w:r w:rsidRPr="00687B52">
              <w:rPr>
                <w:color w:val="000000" w:themeColor="text1"/>
                <w:kern w:val="0"/>
                <w:szCs w:val="24"/>
              </w:rPr>
              <w:t>从业人员在作业过程中，应当严格遵守本单位的安全生产规章制度和操作规程，服从管理，正确佩戴和使用劳动防护用品。</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《安全生产法》第</w:t>
            </w:r>
            <w:r w:rsidRPr="00687B52">
              <w:rPr>
                <w:rFonts w:hint="eastAsia"/>
                <w:color w:val="000000" w:themeColor="text1"/>
                <w:szCs w:val="24"/>
              </w:rPr>
              <w:t>54</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5.8</w:t>
            </w:r>
          </w:p>
        </w:tc>
        <w:tc>
          <w:tcPr>
            <w:tcW w:w="2101" w:type="pct"/>
            <w:vAlign w:val="center"/>
          </w:tcPr>
          <w:p w:rsidR="000C2455" w:rsidRPr="00687B52" w:rsidRDefault="000C2455" w:rsidP="003E1D2A">
            <w:pPr>
              <w:pStyle w:val="a7"/>
              <w:jc w:val="left"/>
              <w:rPr>
                <w:color w:val="000000" w:themeColor="text1"/>
              </w:rPr>
            </w:pPr>
            <w:r w:rsidRPr="00687B52">
              <w:rPr>
                <w:color w:val="000000" w:themeColor="text1"/>
              </w:rPr>
              <w:t>企业同一作业区域内有两个以上承包商进行生产经营活动，可能危及对方生产安全时，应组织并监督承包商之间签订安全生产协议，明确各自的安全生产管理职责和应当采取的安全措施，并指定专职安全生产管理人员进行安全检查与协调。</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rPr>
              <w:t>《危险化学品从业单位安全标准化通用规范》</w:t>
            </w:r>
            <w:r w:rsidRPr="00687B52">
              <w:rPr>
                <w:rFonts w:hint="eastAsia"/>
                <w:color w:val="000000" w:themeColor="text1"/>
              </w:rPr>
              <w:t>AQ3013-2008</w:t>
            </w:r>
            <w:r w:rsidRPr="00687B52">
              <w:rPr>
                <w:rFonts w:hint="eastAsia"/>
                <w:color w:val="000000" w:themeColor="text1"/>
              </w:rPr>
              <w:t>第</w:t>
            </w:r>
            <w:r w:rsidRPr="00687B52">
              <w:rPr>
                <w:rFonts w:hint="eastAsia"/>
                <w:color w:val="000000" w:themeColor="text1"/>
              </w:rPr>
              <w:t>5.6.3.6</w:t>
            </w:r>
            <w:r w:rsidRPr="00687B52">
              <w:rPr>
                <w:rFonts w:hint="eastAsia"/>
                <w:color w:val="000000" w:themeColor="text1"/>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F6557C" w:rsidP="003E1D2A">
            <w:pPr>
              <w:pStyle w:val="a7"/>
              <w:rPr>
                <w:b/>
                <w:color w:val="000000" w:themeColor="text1"/>
                <w:szCs w:val="24"/>
              </w:rPr>
            </w:pPr>
            <w:r w:rsidRPr="00687B52">
              <w:rPr>
                <w:rFonts w:hint="eastAsia"/>
                <w:b/>
                <w:color w:val="000000" w:themeColor="text1"/>
                <w:szCs w:val="24"/>
              </w:rPr>
              <w:t>6</w:t>
            </w:r>
          </w:p>
        </w:tc>
        <w:tc>
          <w:tcPr>
            <w:tcW w:w="2101" w:type="pct"/>
            <w:vAlign w:val="center"/>
          </w:tcPr>
          <w:p w:rsidR="000C2455" w:rsidRPr="00687B52" w:rsidRDefault="000C2455" w:rsidP="003E1D2A">
            <w:pPr>
              <w:pStyle w:val="a7"/>
              <w:jc w:val="left"/>
              <w:rPr>
                <w:b/>
                <w:color w:val="000000" w:themeColor="text1"/>
                <w:szCs w:val="24"/>
              </w:rPr>
            </w:pPr>
            <w:r w:rsidRPr="00687B52">
              <w:rPr>
                <w:rFonts w:hint="eastAsia"/>
                <w:b/>
                <w:color w:val="000000" w:themeColor="text1"/>
                <w:szCs w:val="24"/>
              </w:rPr>
              <w:t>设备设施管理</w:t>
            </w:r>
          </w:p>
        </w:tc>
        <w:tc>
          <w:tcPr>
            <w:tcW w:w="1193" w:type="pct"/>
            <w:vAlign w:val="center"/>
          </w:tcPr>
          <w:p w:rsidR="000C2455" w:rsidRPr="00687B52" w:rsidRDefault="000C2455" w:rsidP="003E1D2A">
            <w:pPr>
              <w:pStyle w:val="a7"/>
              <w:rPr>
                <w:color w:val="000000" w:themeColor="text1"/>
                <w:szCs w:val="24"/>
              </w:rPr>
            </w:pP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6.1</w:t>
            </w:r>
          </w:p>
        </w:tc>
        <w:tc>
          <w:tcPr>
            <w:tcW w:w="2101" w:type="pct"/>
            <w:vAlign w:val="center"/>
          </w:tcPr>
          <w:p w:rsidR="000C2455" w:rsidRPr="00687B52" w:rsidRDefault="000C2455" w:rsidP="003E1D2A">
            <w:pPr>
              <w:pStyle w:val="a7"/>
              <w:jc w:val="left"/>
              <w:rPr>
                <w:color w:val="000000" w:themeColor="text1"/>
                <w:szCs w:val="24"/>
              </w:rPr>
            </w:pPr>
            <w:r w:rsidRPr="00687B52">
              <w:rPr>
                <w:rFonts w:hint="eastAsia"/>
                <w:color w:val="000000" w:themeColor="text1"/>
                <w:szCs w:val="24"/>
              </w:rPr>
              <w:t>企业应严格执行安全设施管理制度，建立安全设施台账，由专人负责管理，定期</w:t>
            </w:r>
            <w:r w:rsidRPr="00687B52">
              <w:rPr>
                <w:color w:val="000000" w:themeColor="text1"/>
                <w:szCs w:val="24"/>
              </w:rPr>
              <w:t>进行</w:t>
            </w:r>
            <w:r w:rsidRPr="00687B52">
              <w:rPr>
                <w:rFonts w:hint="eastAsia"/>
                <w:color w:val="000000" w:themeColor="text1"/>
                <w:szCs w:val="24"/>
              </w:rPr>
              <w:t>检查、</w:t>
            </w:r>
            <w:r w:rsidRPr="00687B52">
              <w:rPr>
                <w:color w:val="000000" w:themeColor="text1"/>
                <w:szCs w:val="24"/>
              </w:rPr>
              <w:t>维护、保养，</w:t>
            </w:r>
            <w:r w:rsidRPr="00687B52">
              <w:rPr>
                <w:rFonts w:hint="eastAsia"/>
                <w:color w:val="000000" w:themeColor="text1"/>
                <w:szCs w:val="24"/>
              </w:rPr>
              <w:t>确保其有效</w:t>
            </w:r>
            <w:r w:rsidRPr="00687B52">
              <w:rPr>
                <w:color w:val="000000" w:themeColor="text1"/>
                <w:szCs w:val="24"/>
              </w:rPr>
              <w:t>。</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《安全生产法》第</w:t>
            </w:r>
            <w:r w:rsidRPr="00687B52">
              <w:rPr>
                <w:rFonts w:hint="eastAsia"/>
                <w:color w:val="000000" w:themeColor="text1"/>
                <w:szCs w:val="24"/>
              </w:rPr>
              <w:t>33</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6.2</w:t>
            </w:r>
          </w:p>
        </w:tc>
        <w:tc>
          <w:tcPr>
            <w:tcW w:w="2101" w:type="pct"/>
            <w:vAlign w:val="center"/>
          </w:tcPr>
          <w:p w:rsidR="000C2455" w:rsidRPr="00687B52" w:rsidRDefault="000C2455" w:rsidP="003E1D2A">
            <w:pPr>
              <w:pStyle w:val="a7"/>
              <w:jc w:val="left"/>
              <w:rPr>
                <w:color w:val="000000" w:themeColor="text1"/>
                <w:szCs w:val="24"/>
              </w:rPr>
            </w:pPr>
            <w:r w:rsidRPr="00687B52">
              <w:rPr>
                <w:color w:val="000000" w:themeColor="text1"/>
              </w:rPr>
              <w:t>企业应对监视和测量设备进行规范管理，建立监视和测量设备台帐</w:t>
            </w:r>
            <w:r w:rsidRPr="00687B52">
              <w:rPr>
                <w:rFonts w:hint="eastAsia"/>
                <w:color w:val="000000" w:themeColor="text1"/>
              </w:rPr>
              <w:t>（也可合并进入安全设施台账）</w:t>
            </w:r>
            <w:r w:rsidRPr="00687B52">
              <w:rPr>
                <w:color w:val="000000" w:themeColor="text1"/>
              </w:rPr>
              <w:t>，定期进行校准和维护，并保存校准和维护活动的记录。</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rPr>
              <w:t>《</w:t>
            </w:r>
            <w:r w:rsidRPr="00687B52">
              <w:rPr>
                <w:rFonts w:hint="eastAsia"/>
                <w:color w:val="000000" w:themeColor="text1"/>
                <w:szCs w:val="24"/>
              </w:rPr>
              <w:t>危险化学品从业单位安全标准化通用规范</w:t>
            </w:r>
            <w:r w:rsidRPr="00687B52">
              <w:rPr>
                <w:rFonts w:hint="eastAsia"/>
                <w:color w:val="000000" w:themeColor="text1"/>
              </w:rPr>
              <w:t>》</w:t>
            </w:r>
            <w:r w:rsidRPr="00687B52">
              <w:rPr>
                <w:rFonts w:hint="eastAsia"/>
                <w:color w:val="000000" w:themeColor="text1"/>
                <w:szCs w:val="24"/>
              </w:rPr>
              <w:t>第</w:t>
            </w:r>
            <w:r w:rsidRPr="00687B52">
              <w:rPr>
                <w:rFonts w:hint="eastAsia"/>
                <w:color w:val="000000" w:themeColor="text1"/>
                <w:szCs w:val="24"/>
              </w:rPr>
              <w:t>5.5.2.5</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6.3</w:t>
            </w:r>
          </w:p>
        </w:tc>
        <w:tc>
          <w:tcPr>
            <w:tcW w:w="2101" w:type="pct"/>
            <w:vAlign w:val="center"/>
          </w:tcPr>
          <w:p w:rsidR="000C2455" w:rsidRPr="00687B52" w:rsidRDefault="000C2455" w:rsidP="003E1D2A">
            <w:pPr>
              <w:pStyle w:val="a7"/>
              <w:jc w:val="left"/>
              <w:rPr>
                <w:color w:val="000000" w:themeColor="text1"/>
                <w:szCs w:val="24"/>
              </w:rPr>
            </w:pPr>
            <w:r w:rsidRPr="00687B52">
              <w:rPr>
                <w:color w:val="000000" w:themeColor="text1"/>
                <w:szCs w:val="24"/>
              </w:rPr>
              <w:t>特种设备必</w:t>
            </w:r>
            <w:r w:rsidRPr="00687B52">
              <w:rPr>
                <w:rFonts w:hint="eastAsia"/>
                <w:color w:val="000000" w:themeColor="text1"/>
                <w:szCs w:val="24"/>
              </w:rPr>
              <w:t>在投用前须</w:t>
            </w:r>
            <w:r w:rsidRPr="00687B52">
              <w:rPr>
                <w:color w:val="000000" w:themeColor="text1"/>
                <w:szCs w:val="24"/>
              </w:rPr>
              <w:t>取得安全使用</w:t>
            </w:r>
            <w:r w:rsidRPr="00687B52">
              <w:rPr>
                <w:rFonts w:hint="eastAsia"/>
                <w:color w:val="000000" w:themeColor="text1"/>
                <w:szCs w:val="24"/>
              </w:rPr>
              <w:t>登记</w:t>
            </w:r>
            <w:r w:rsidRPr="00687B52">
              <w:rPr>
                <w:color w:val="000000" w:themeColor="text1"/>
                <w:szCs w:val="24"/>
              </w:rPr>
              <w:t>证或者安全标志。</w:t>
            </w:r>
            <w:r w:rsidRPr="00687B52">
              <w:rPr>
                <w:rFonts w:hint="eastAsia"/>
                <w:color w:val="000000" w:themeColor="text1"/>
                <w:szCs w:val="24"/>
              </w:rPr>
              <w:t>特种设备作业人员应持证上岗。</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《安全生产法》第</w:t>
            </w:r>
            <w:r w:rsidRPr="00687B52">
              <w:rPr>
                <w:rFonts w:hint="eastAsia"/>
                <w:color w:val="000000" w:themeColor="text1"/>
                <w:szCs w:val="24"/>
              </w:rPr>
              <w:t>34</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6.4</w:t>
            </w:r>
          </w:p>
        </w:tc>
        <w:tc>
          <w:tcPr>
            <w:tcW w:w="2101" w:type="pct"/>
            <w:vAlign w:val="center"/>
          </w:tcPr>
          <w:p w:rsidR="000C2455" w:rsidRPr="00687B52" w:rsidRDefault="000C2455" w:rsidP="003E1D2A">
            <w:pPr>
              <w:pStyle w:val="a7"/>
              <w:jc w:val="left"/>
              <w:rPr>
                <w:rFonts w:ascii="inherit" w:hAnsi="inherit" w:cs="宋体" w:hint="eastAsia"/>
                <w:color w:val="000000" w:themeColor="text1"/>
                <w:kern w:val="0"/>
                <w:szCs w:val="24"/>
              </w:rPr>
            </w:pPr>
            <w:r w:rsidRPr="00687B52">
              <w:rPr>
                <w:color w:val="000000" w:themeColor="text1"/>
                <w:szCs w:val="24"/>
              </w:rPr>
              <w:t>特种设备应当</w:t>
            </w:r>
            <w:r w:rsidRPr="00687B52">
              <w:rPr>
                <w:rFonts w:hint="eastAsia"/>
                <w:color w:val="000000" w:themeColor="text1"/>
                <w:szCs w:val="24"/>
              </w:rPr>
              <w:t>进行</w:t>
            </w:r>
            <w:r w:rsidRPr="00687B52">
              <w:rPr>
                <w:color w:val="000000" w:themeColor="text1"/>
                <w:szCs w:val="24"/>
              </w:rPr>
              <w:t>经常性维护保养和</w:t>
            </w:r>
            <w:r w:rsidRPr="00687B52">
              <w:rPr>
                <w:rFonts w:cs="宋体" w:hint="eastAsia"/>
                <w:color w:val="000000" w:themeColor="text1"/>
                <w:kern w:val="0"/>
                <w:szCs w:val="24"/>
              </w:rPr>
              <w:t>至少每月进行一次自行检查</w:t>
            </w:r>
            <w:r w:rsidRPr="00687B52">
              <w:rPr>
                <w:color w:val="000000" w:themeColor="text1"/>
                <w:szCs w:val="24"/>
              </w:rPr>
              <w:t>，并作出记录</w:t>
            </w:r>
            <w:r w:rsidRPr="00687B52">
              <w:rPr>
                <w:rFonts w:hint="eastAsia"/>
                <w:color w:val="000000" w:themeColor="text1"/>
                <w:szCs w:val="24"/>
              </w:rPr>
              <w:t>。</w:t>
            </w:r>
            <w:r w:rsidRPr="00687B52">
              <w:rPr>
                <w:rFonts w:ascii="inherit" w:hAnsi="inherit" w:cs="宋体"/>
                <w:color w:val="000000" w:themeColor="text1"/>
                <w:kern w:val="0"/>
                <w:szCs w:val="24"/>
              </w:rPr>
              <w:t>特种设备的安全附件、安全保护装置进行定期校验、检修，并作出记录。</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《特种设备安全法》第</w:t>
            </w:r>
            <w:r w:rsidRPr="00687B52">
              <w:rPr>
                <w:rFonts w:hint="eastAsia"/>
                <w:color w:val="000000" w:themeColor="text1"/>
                <w:szCs w:val="24"/>
              </w:rPr>
              <w:t>39</w:t>
            </w:r>
            <w:r w:rsidRPr="00687B52">
              <w:rPr>
                <w:rFonts w:hint="eastAsia"/>
                <w:color w:val="000000" w:themeColor="text1"/>
                <w:szCs w:val="24"/>
              </w:rPr>
              <w:t>条、《特种设备安全监察条例》第</w:t>
            </w:r>
            <w:r w:rsidRPr="00687B52">
              <w:rPr>
                <w:rFonts w:hint="eastAsia"/>
                <w:color w:val="000000" w:themeColor="text1"/>
                <w:szCs w:val="24"/>
              </w:rPr>
              <w:t>27</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6.5</w:t>
            </w:r>
          </w:p>
        </w:tc>
        <w:tc>
          <w:tcPr>
            <w:tcW w:w="2101" w:type="pct"/>
            <w:vAlign w:val="center"/>
          </w:tcPr>
          <w:p w:rsidR="000C2455" w:rsidRPr="00687B52" w:rsidRDefault="000C2455" w:rsidP="003E1D2A">
            <w:pPr>
              <w:pStyle w:val="a7"/>
              <w:jc w:val="left"/>
              <w:rPr>
                <w:color w:val="000000" w:themeColor="text1"/>
                <w:kern w:val="0"/>
                <w:szCs w:val="24"/>
              </w:rPr>
            </w:pPr>
            <w:r w:rsidRPr="00687B52">
              <w:rPr>
                <w:rFonts w:hint="eastAsia"/>
                <w:color w:val="000000" w:themeColor="text1"/>
                <w:kern w:val="0"/>
                <w:szCs w:val="24"/>
              </w:rPr>
              <w:t>特种设备</w:t>
            </w:r>
            <w:r w:rsidRPr="00687B52">
              <w:rPr>
                <w:color w:val="000000" w:themeColor="text1"/>
                <w:kern w:val="0"/>
                <w:szCs w:val="24"/>
              </w:rPr>
              <w:t>应</w:t>
            </w:r>
            <w:r w:rsidRPr="00687B52">
              <w:rPr>
                <w:rFonts w:hint="eastAsia"/>
                <w:color w:val="000000" w:themeColor="text1"/>
                <w:kern w:val="0"/>
                <w:szCs w:val="24"/>
              </w:rPr>
              <w:t>定期进行</w:t>
            </w:r>
            <w:r w:rsidRPr="00687B52">
              <w:rPr>
                <w:color w:val="000000" w:themeColor="text1"/>
                <w:kern w:val="0"/>
                <w:szCs w:val="24"/>
              </w:rPr>
              <w:t>检验</w:t>
            </w:r>
            <w:r w:rsidRPr="00687B52">
              <w:rPr>
                <w:rFonts w:hint="eastAsia"/>
                <w:color w:val="000000" w:themeColor="text1"/>
                <w:kern w:val="0"/>
                <w:szCs w:val="24"/>
              </w:rPr>
              <w:t>，</w:t>
            </w:r>
            <w:r w:rsidRPr="00687B52">
              <w:rPr>
                <w:color w:val="000000" w:themeColor="text1"/>
                <w:kern w:val="0"/>
                <w:szCs w:val="24"/>
              </w:rPr>
              <w:t>检验标志置于该特种设备的显著位置。未经定期检验或者检验不合格的特种设备，不得继续使用</w:t>
            </w:r>
            <w:r w:rsidRPr="00687B52">
              <w:rPr>
                <w:rFonts w:hint="eastAsia"/>
                <w:color w:val="000000" w:themeColor="text1"/>
                <w:kern w:val="0"/>
                <w:szCs w:val="24"/>
              </w:rPr>
              <w:t>。</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《特种设备安全法》第</w:t>
            </w:r>
            <w:r w:rsidRPr="00687B52">
              <w:rPr>
                <w:rFonts w:hint="eastAsia"/>
                <w:color w:val="000000" w:themeColor="text1"/>
                <w:szCs w:val="24"/>
              </w:rPr>
              <w:t>40</w:t>
            </w:r>
            <w:r w:rsidRPr="00687B52">
              <w:rPr>
                <w:rFonts w:hint="eastAsia"/>
                <w:color w:val="000000" w:themeColor="text1"/>
                <w:szCs w:val="24"/>
              </w:rPr>
              <w:t>条、《特种设备安全监察条例》第</w:t>
            </w:r>
            <w:r w:rsidRPr="00687B52">
              <w:rPr>
                <w:rFonts w:hint="eastAsia"/>
                <w:color w:val="000000" w:themeColor="text1"/>
                <w:szCs w:val="24"/>
              </w:rPr>
              <w:t>28</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lastRenderedPageBreak/>
              <w:t>6.6</w:t>
            </w:r>
          </w:p>
        </w:tc>
        <w:tc>
          <w:tcPr>
            <w:tcW w:w="2101" w:type="pct"/>
            <w:vAlign w:val="center"/>
          </w:tcPr>
          <w:p w:rsidR="000C2455" w:rsidRPr="00687B52" w:rsidRDefault="000C2455" w:rsidP="003E1D2A">
            <w:pPr>
              <w:pStyle w:val="a7"/>
              <w:jc w:val="left"/>
              <w:rPr>
                <w:rFonts w:ascii="inherit" w:hAnsi="inherit" w:cs="宋体" w:hint="eastAsia"/>
                <w:color w:val="000000" w:themeColor="text1"/>
                <w:kern w:val="0"/>
                <w:szCs w:val="24"/>
              </w:rPr>
            </w:pPr>
            <w:r w:rsidRPr="00687B52">
              <w:rPr>
                <w:rFonts w:ascii="inherit" w:hAnsi="inherit" w:cs="宋体"/>
                <w:color w:val="000000" w:themeColor="text1"/>
                <w:kern w:val="0"/>
                <w:szCs w:val="24"/>
              </w:rPr>
              <w:t>建立特种设备安全技术档案</w:t>
            </w:r>
            <w:r w:rsidRPr="00687B52">
              <w:rPr>
                <w:rFonts w:ascii="inherit" w:hAnsi="inherit" w:cs="宋体" w:hint="eastAsia"/>
                <w:color w:val="000000" w:themeColor="text1"/>
                <w:kern w:val="0"/>
                <w:szCs w:val="24"/>
              </w:rPr>
              <w:t>，应</w:t>
            </w:r>
            <w:r w:rsidRPr="00687B52">
              <w:rPr>
                <w:rFonts w:ascii="inherit" w:hAnsi="inherit" w:cs="宋体"/>
                <w:color w:val="000000" w:themeColor="text1"/>
                <w:kern w:val="0"/>
                <w:szCs w:val="24"/>
              </w:rPr>
              <w:t>包括以下内容：</w:t>
            </w:r>
          </w:p>
          <w:p w:rsidR="000C2455" w:rsidRPr="00687B52" w:rsidRDefault="000C2455" w:rsidP="003E1D2A">
            <w:pPr>
              <w:pStyle w:val="a7"/>
              <w:jc w:val="left"/>
              <w:rPr>
                <w:rFonts w:ascii="inherit" w:hAnsi="inherit" w:cs="宋体" w:hint="eastAsia"/>
                <w:color w:val="000000" w:themeColor="text1"/>
                <w:kern w:val="0"/>
                <w:szCs w:val="24"/>
              </w:rPr>
            </w:pPr>
            <w:r w:rsidRPr="00687B52">
              <w:rPr>
                <w:rFonts w:ascii="inherit" w:hAnsi="inherit" w:cs="宋体" w:hint="eastAsia"/>
                <w:color w:val="000000" w:themeColor="text1"/>
                <w:kern w:val="0"/>
                <w:szCs w:val="24"/>
              </w:rPr>
              <w:t>1</w:t>
            </w:r>
            <w:r w:rsidRPr="00687B52">
              <w:rPr>
                <w:rFonts w:ascii="inherit" w:hAnsi="inherit" w:cs="宋体"/>
                <w:color w:val="000000" w:themeColor="text1"/>
                <w:kern w:val="0"/>
                <w:szCs w:val="24"/>
              </w:rPr>
              <w:t>）特种设备的设计文件、产品质量合格证明、安装及使用维护保养说明、监督检验证明等相关技术资料和文件；</w:t>
            </w:r>
          </w:p>
          <w:p w:rsidR="000C2455" w:rsidRPr="00687B52" w:rsidRDefault="000C2455" w:rsidP="003E1D2A">
            <w:pPr>
              <w:pStyle w:val="a7"/>
              <w:jc w:val="left"/>
              <w:rPr>
                <w:rFonts w:ascii="inherit" w:hAnsi="inherit" w:cs="宋体" w:hint="eastAsia"/>
                <w:color w:val="000000" w:themeColor="text1"/>
                <w:kern w:val="0"/>
                <w:szCs w:val="24"/>
              </w:rPr>
            </w:pPr>
            <w:r w:rsidRPr="00687B52">
              <w:rPr>
                <w:rFonts w:ascii="inherit" w:hAnsi="inherit" w:cs="宋体" w:hint="eastAsia"/>
                <w:color w:val="000000" w:themeColor="text1"/>
                <w:kern w:val="0"/>
                <w:szCs w:val="24"/>
              </w:rPr>
              <w:t>2</w:t>
            </w:r>
            <w:r w:rsidRPr="00687B52">
              <w:rPr>
                <w:rFonts w:ascii="inherit" w:hAnsi="inherit" w:cs="宋体"/>
                <w:color w:val="000000" w:themeColor="text1"/>
                <w:kern w:val="0"/>
                <w:szCs w:val="24"/>
              </w:rPr>
              <w:t>）特种设备的定期检验和定期自行检查记录；</w:t>
            </w:r>
          </w:p>
          <w:p w:rsidR="000C2455" w:rsidRPr="00687B52" w:rsidRDefault="000C2455" w:rsidP="003E1D2A">
            <w:pPr>
              <w:pStyle w:val="a7"/>
              <w:jc w:val="left"/>
              <w:rPr>
                <w:rFonts w:ascii="inherit" w:hAnsi="inherit" w:cs="宋体" w:hint="eastAsia"/>
                <w:color w:val="000000" w:themeColor="text1"/>
                <w:kern w:val="0"/>
                <w:szCs w:val="24"/>
              </w:rPr>
            </w:pPr>
            <w:r w:rsidRPr="00687B52">
              <w:rPr>
                <w:rFonts w:ascii="inherit" w:hAnsi="inherit" w:cs="宋体" w:hint="eastAsia"/>
                <w:color w:val="000000" w:themeColor="text1"/>
                <w:kern w:val="0"/>
                <w:szCs w:val="24"/>
              </w:rPr>
              <w:t>3</w:t>
            </w:r>
            <w:r w:rsidRPr="00687B52">
              <w:rPr>
                <w:rFonts w:ascii="inherit" w:hAnsi="inherit" w:cs="宋体"/>
                <w:color w:val="000000" w:themeColor="text1"/>
                <w:kern w:val="0"/>
                <w:szCs w:val="24"/>
              </w:rPr>
              <w:t>）特种设备的日常使用状况记录；</w:t>
            </w:r>
          </w:p>
          <w:p w:rsidR="000C2455" w:rsidRPr="00687B52" w:rsidRDefault="000C2455" w:rsidP="003E1D2A">
            <w:pPr>
              <w:pStyle w:val="a7"/>
              <w:jc w:val="left"/>
              <w:rPr>
                <w:rFonts w:ascii="inherit" w:hAnsi="inherit" w:cs="宋体" w:hint="eastAsia"/>
                <w:color w:val="000000" w:themeColor="text1"/>
                <w:kern w:val="0"/>
                <w:szCs w:val="24"/>
              </w:rPr>
            </w:pPr>
            <w:r w:rsidRPr="00687B52">
              <w:rPr>
                <w:rFonts w:ascii="inherit" w:hAnsi="inherit" w:cs="宋体" w:hint="eastAsia"/>
                <w:color w:val="000000" w:themeColor="text1"/>
                <w:kern w:val="0"/>
                <w:szCs w:val="24"/>
              </w:rPr>
              <w:t>4</w:t>
            </w:r>
            <w:r w:rsidRPr="00687B52">
              <w:rPr>
                <w:rFonts w:ascii="inherit" w:hAnsi="inherit" w:cs="宋体"/>
                <w:color w:val="000000" w:themeColor="text1"/>
                <w:kern w:val="0"/>
                <w:szCs w:val="24"/>
              </w:rPr>
              <w:t>）特种设备及其附属仪器仪表的维护保养记录；</w:t>
            </w:r>
          </w:p>
          <w:p w:rsidR="000C2455" w:rsidRPr="00687B52" w:rsidRDefault="000C2455" w:rsidP="003E1D2A">
            <w:pPr>
              <w:pStyle w:val="a7"/>
              <w:jc w:val="left"/>
              <w:rPr>
                <w:rFonts w:ascii="inherit" w:hAnsi="inherit" w:cs="宋体" w:hint="eastAsia"/>
                <w:color w:val="000000" w:themeColor="text1"/>
                <w:kern w:val="0"/>
                <w:szCs w:val="24"/>
              </w:rPr>
            </w:pPr>
            <w:r w:rsidRPr="00687B52">
              <w:rPr>
                <w:rFonts w:ascii="inherit" w:hAnsi="inherit" w:cs="宋体" w:hint="eastAsia"/>
                <w:color w:val="000000" w:themeColor="text1"/>
                <w:kern w:val="0"/>
                <w:szCs w:val="24"/>
              </w:rPr>
              <w:t>5</w:t>
            </w:r>
            <w:r w:rsidRPr="00687B52">
              <w:rPr>
                <w:rFonts w:ascii="inherit" w:hAnsi="inherit" w:cs="宋体"/>
                <w:color w:val="000000" w:themeColor="text1"/>
                <w:kern w:val="0"/>
                <w:szCs w:val="24"/>
              </w:rPr>
              <w:t>）特种设备的运行故障和事故记录。</w:t>
            </w:r>
          </w:p>
          <w:p w:rsidR="000C2455" w:rsidRPr="00687B52" w:rsidRDefault="000C2455" w:rsidP="003E1D2A">
            <w:pPr>
              <w:pStyle w:val="a7"/>
              <w:jc w:val="left"/>
              <w:rPr>
                <w:b/>
                <w:color w:val="000000" w:themeColor="text1"/>
                <w:szCs w:val="24"/>
              </w:rPr>
            </w:pPr>
            <w:r w:rsidRPr="00687B52">
              <w:rPr>
                <w:rFonts w:cs="宋体" w:hint="eastAsia"/>
                <w:color w:val="000000" w:themeColor="text1"/>
                <w:kern w:val="0"/>
                <w:szCs w:val="24"/>
              </w:rPr>
              <w:t>6</w:t>
            </w:r>
            <w:r w:rsidRPr="00687B52">
              <w:rPr>
                <w:rFonts w:cs="宋体" w:hint="eastAsia"/>
                <w:color w:val="000000" w:themeColor="text1"/>
                <w:kern w:val="0"/>
                <w:szCs w:val="24"/>
              </w:rPr>
              <w:t>）高耗能特种设备的能效测试报告、能耗状况记录以及节能改造技术资料。</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《特种设备安全法》第</w:t>
            </w:r>
            <w:r w:rsidRPr="00687B52">
              <w:rPr>
                <w:rFonts w:hint="eastAsia"/>
                <w:color w:val="000000" w:themeColor="text1"/>
                <w:szCs w:val="24"/>
              </w:rPr>
              <w:t>35</w:t>
            </w:r>
            <w:r w:rsidRPr="00687B52">
              <w:rPr>
                <w:rFonts w:hint="eastAsia"/>
                <w:color w:val="000000" w:themeColor="text1"/>
                <w:szCs w:val="24"/>
              </w:rPr>
              <w:t>条、《特种设备安全监察条例》第</w:t>
            </w:r>
            <w:r w:rsidRPr="00687B52">
              <w:rPr>
                <w:rFonts w:hint="eastAsia"/>
                <w:color w:val="000000" w:themeColor="text1"/>
                <w:szCs w:val="24"/>
              </w:rPr>
              <w:t>26</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6.7</w:t>
            </w:r>
          </w:p>
        </w:tc>
        <w:tc>
          <w:tcPr>
            <w:tcW w:w="2101" w:type="pct"/>
            <w:vAlign w:val="center"/>
          </w:tcPr>
          <w:p w:rsidR="000C2455" w:rsidRPr="00687B52" w:rsidRDefault="000C2455" w:rsidP="003E1D2A">
            <w:pPr>
              <w:pStyle w:val="a7"/>
              <w:jc w:val="left"/>
              <w:rPr>
                <w:b/>
                <w:color w:val="000000" w:themeColor="text1"/>
                <w:szCs w:val="24"/>
              </w:rPr>
            </w:pPr>
            <w:r w:rsidRPr="00687B52">
              <w:rPr>
                <w:color w:val="000000" w:themeColor="text1"/>
                <w:szCs w:val="24"/>
              </w:rPr>
              <w:t>不得使用</w:t>
            </w:r>
            <w:r w:rsidRPr="00687B52">
              <w:rPr>
                <w:rFonts w:hint="eastAsia"/>
                <w:color w:val="000000" w:themeColor="text1"/>
                <w:szCs w:val="24"/>
              </w:rPr>
              <w:t>列入</w:t>
            </w:r>
            <w:r w:rsidRPr="00687B52">
              <w:rPr>
                <w:rFonts w:hAnsi="Times New Roman" w:cs="宋体" w:hint="eastAsia"/>
                <w:color w:val="000000" w:themeColor="text1"/>
                <w:kern w:val="0"/>
                <w:szCs w:val="24"/>
              </w:rPr>
              <w:t>《淘汰落后安全技术装备目录》内的淘汰设备。</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《安全生产法》第</w:t>
            </w:r>
            <w:r w:rsidRPr="00687B52">
              <w:rPr>
                <w:rFonts w:hint="eastAsia"/>
                <w:color w:val="000000" w:themeColor="text1"/>
                <w:szCs w:val="24"/>
              </w:rPr>
              <w:t>35</w:t>
            </w:r>
            <w:r w:rsidRPr="00687B52">
              <w:rPr>
                <w:rFonts w:hint="eastAsia"/>
                <w:color w:val="000000" w:themeColor="text1"/>
                <w:szCs w:val="24"/>
              </w:rPr>
              <w:t>条、</w:t>
            </w:r>
            <w:r w:rsidRPr="00687B52">
              <w:rPr>
                <w:rFonts w:hAnsi="Times New Roman" w:cs="宋体" w:hint="eastAsia"/>
                <w:color w:val="000000" w:themeColor="text1"/>
                <w:kern w:val="0"/>
                <w:szCs w:val="24"/>
              </w:rPr>
              <w:t>《淘汰落后安全技术装备目录》</w:t>
            </w:r>
          </w:p>
        </w:tc>
        <w:tc>
          <w:tcPr>
            <w:tcW w:w="1326" w:type="pct"/>
            <w:vAlign w:val="center"/>
          </w:tcPr>
          <w:p w:rsidR="000C2455" w:rsidRPr="00687B52" w:rsidRDefault="000C2455" w:rsidP="003E1D2A">
            <w:pPr>
              <w:pStyle w:val="a7"/>
              <w:jc w:val="both"/>
              <w:rPr>
                <w:color w:val="000000" w:themeColor="text1"/>
                <w:szCs w:val="24"/>
              </w:rPr>
            </w:pPr>
            <w:r w:rsidRPr="00687B52">
              <w:rPr>
                <w:rFonts w:hint="eastAsia"/>
                <w:color w:val="000000" w:themeColor="text1"/>
                <w:szCs w:val="24"/>
              </w:rPr>
              <w:t>当有新的目录时需及时更新。</w:t>
            </w:r>
          </w:p>
        </w:tc>
      </w:tr>
      <w:tr w:rsidR="000C2455" w:rsidRPr="00687B52" w:rsidTr="00E93DDA">
        <w:trPr>
          <w:jc w:val="center"/>
        </w:trPr>
        <w:tc>
          <w:tcPr>
            <w:tcW w:w="380" w:type="pct"/>
            <w:vAlign w:val="center"/>
          </w:tcPr>
          <w:p w:rsidR="000C2455" w:rsidRPr="00687B52" w:rsidRDefault="00F6557C" w:rsidP="003E1D2A">
            <w:pPr>
              <w:pStyle w:val="a7"/>
              <w:rPr>
                <w:b/>
                <w:color w:val="000000" w:themeColor="text1"/>
                <w:szCs w:val="24"/>
              </w:rPr>
            </w:pPr>
            <w:r w:rsidRPr="00687B52">
              <w:rPr>
                <w:rFonts w:hint="eastAsia"/>
                <w:b/>
                <w:color w:val="000000" w:themeColor="text1"/>
                <w:szCs w:val="24"/>
              </w:rPr>
              <w:t>7</w:t>
            </w:r>
          </w:p>
        </w:tc>
        <w:tc>
          <w:tcPr>
            <w:tcW w:w="2101" w:type="pct"/>
            <w:vAlign w:val="center"/>
          </w:tcPr>
          <w:p w:rsidR="000C2455" w:rsidRPr="00687B52" w:rsidRDefault="000C2455" w:rsidP="003E1D2A">
            <w:pPr>
              <w:pStyle w:val="a7"/>
              <w:jc w:val="left"/>
              <w:rPr>
                <w:b/>
                <w:color w:val="000000" w:themeColor="text1"/>
                <w:szCs w:val="24"/>
              </w:rPr>
            </w:pPr>
            <w:r w:rsidRPr="00687B52">
              <w:rPr>
                <w:rFonts w:hint="eastAsia"/>
                <w:b/>
                <w:color w:val="000000" w:themeColor="text1"/>
                <w:szCs w:val="24"/>
              </w:rPr>
              <w:t>危险化学品重大危险源管理</w:t>
            </w:r>
          </w:p>
        </w:tc>
        <w:tc>
          <w:tcPr>
            <w:tcW w:w="1193" w:type="pct"/>
            <w:vAlign w:val="center"/>
          </w:tcPr>
          <w:p w:rsidR="000C2455" w:rsidRPr="00687B52" w:rsidRDefault="000C2455" w:rsidP="003E1D2A">
            <w:pPr>
              <w:pStyle w:val="a7"/>
              <w:rPr>
                <w:color w:val="000000" w:themeColor="text1"/>
                <w:szCs w:val="24"/>
              </w:rPr>
            </w:pP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7.1</w:t>
            </w:r>
          </w:p>
        </w:tc>
        <w:tc>
          <w:tcPr>
            <w:tcW w:w="2101" w:type="pct"/>
            <w:vAlign w:val="center"/>
          </w:tcPr>
          <w:p w:rsidR="000C2455" w:rsidRPr="00687B52" w:rsidRDefault="000C2455" w:rsidP="003E1D2A">
            <w:pPr>
              <w:pStyle w:val="a7"/>
              <w:jc w:val="left"/>
              <w:rPr>
                <w:color w:val="000000" w:themeColor="text1"/>
                <w:szCs w:val="24"/>
              </w:rPr>
            </w:pPr>
            <w:r w:rsidRPr="00687B52">
              <w:rPr>
                <w:rFonts w:hint="eastAsia"/>
                <w:color w:val="000000" w:themeColor="text1"/>
                <w:szCs w:val="24"/>
              </w:rPr>
              <w:t>企业应对所有危险化学品，包括产品、原料和中间产品进行普查，建立危险化学品档案，包括：</w:t>
            </w:r>
            <w:r w:rsidRPr="00687B52">
              <w:rPr>
                <w:rFonts w:hint="eastAsia"/>
                <w:color w:val="000000" w:themeColor="text1"/>
                <w:szCs w:val="24"/>
              </w:rPr>
              <w:br/>
              <w:t>1</w:t>
            </w:r>
            <w:r w:rsidRPr="00687B52">
              <w:rPr>
                <w:rFonts w:hint="eastAsia"/>
                <w:color w:val="000000" w:themeColor="text1"/>
                <w:szCs w:val="24"/>
              </w:rPr>
              <w:t>）名称，包括别名、英文名等；</w:t>
            </w:r>
            <w:r w:rsidRPr="00687B52">
              <w:rPr>
                <w:rFonts w:hint="eastAsia"/>
                <w:color w:val="000000" w:themeColor="text1"/>
                <w:szCs w:val="24"/>
              </w:rPr>
              <w:br/>
              <w:t>2</w:t>
            </w:r>
            <w:r w:rsidRPr="00687B52">
              <w:rPr>
                <w:rFonts w:hint="eastAsia"/>
                <w:color w:val="000000" w:themeColor="text1"/>
                <w:szCs w:val="24"/>
              </w:rPr>
              <w:t>）存放、生产、使用地点；</w:t>
            </w:r>
            <w:r w:rsidRPr="00687B52">
              <w:rPr>
                <w:rFonts w:hint="eastAsia"/>
                <w:color w:val="000000" w:themeColor="text1"/>
                <w:szCs w:val="24"/>
              </w:rPr>
              <w:br/>
              <w:t>3</w:t>
            </w:r>
            <w:r w:rsidRPr="00687B52">
              <w:rPr>
                <w:rFonts w:hint="eastAsia"/>
                <w:color w:val="000000" w:themeColor="text1"/>
                <w:szCs w:val="24"/>
              </w:rPr>
              <w:t>）数量；</w:t>
            </w:r>
            <w:r w:rsidRPr="00687B52">
              <w:rPr>
                <w:rFonts w:hint="eastAsia"/>
                <w:color w:val="000000" w:themeColor="text1"/>
                <w:szCs w:val="24"/>
              </w:rPr>
              <w:br/>
              <w:t>4</w:t>
            </w:r>
            <w:r w:rsidRPr="00687B52">
              <w:rPr>
                <w:rFonts w:hint="eastAsia"/>
                <w:color w:val="000000" w:themeColor="text1"/>
                <w:szCs w:val="24"/>
              </w:rPr>
              <w:t>）危险性分类、危规号、包装类别、登记号；</w:t>
            </w:r>
            <w:r w:rsidRPr="00687B52">
              <w:rPr>
                <w:rFonts w:hint="eastAsia"/>
                <w:color w:val="000000" w:themeColor="text1"/>
                <w:szCs w:val="24"/>
              </w:rPr>
              <w:br/>
              <w:t>5</w:t>
            </w:r>
            <w:r w:rsidRPr="00687B52">
              <w:rPr>
                <w:rFonts w:hint="eastAsia"/>
                <w:color w:val="000000" w:themeColor="text1"/>
                <w:szCs w:val="24"/>
              </w:rPr>
              <w:t>）安全技术说明书与安全标签。</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《危险化学品从业单位安全生产标准化通用规范》</w:t>
            </w:r>
            <w:r w:rsidRPr="00687B52">
              <w:rPr>
                <w:rFonts w:hint="eastAsia"/>
                <w:color w:val="000000" w:themeColor="text1"/>
                <w:szCs w:val="24"/>
              </w:rPr>
              <w:t>AQ3013</w:t>
            </w:r>
            <w:r w:rsidRPr="00687B52">
              <w:rPr>
                <w:rFonts w:hint="eastAsia"/>
                <w:color w:val="000000" w:themeColor="text1"/>
                <w:szCs w:val="24"/>
              </w:rPr>
              <w:t>－</w:t>
            </w:r>
            <w:r w:rsidRPr="00687B52">
              <w:rPr>
                <w:rFonts w:hint="eastAsia"/>
                <w:color w:val="000000" w:themeColor="text1"/>
                <w:szCs w:val="24"/>
              </w:rPr>
              <w:t>2008</w:t>
            </w:r>
            <w:r w:rsidRPr="00687B52">
              <w:rPr>
                <w:rFonts w:hint="eastAsia"/>
                <w:color w:val="000000" w:themeColor="text1"/>
                <w:szCs w:val="24"/>
              </w:rPr>
              <w:t>第</w:t>
            </w:r>
            <w:r w:rsidRPr="00687B52">
              <w:rPr>
                <w:rFonts w:hint="eastAsia"/>
                <w:color w:val="000000" w:themeColor="text1"/>
                <w:szCs w:val="24"/>
              </w:rPr>
              <w:t>5.7.1</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7.2</w:t>
            </w:r>
          </w:p>
        </w:tc>
        <w:tc>
          <w:tcPr>
            <w:tcW w:w="2101" w:type="pct"/>
            <w:vAlign w:val="center"/>
          </w:tcPr>
          <w:p w:rsidR="000C2455" w:rsidRPr="00687B52" w:rsidRDefault="000C2455" w:rsidP="003E1D2A">
            <w:pPr>
              <w:pStyle w:val="a7"/>
              <w:jc w:val="left"/>
              <w:rPr>
                <w:rFonts w:ascii="宋体" w:hAnsi="宋体" w:cs="宋体"/>
                <w:b/>
                <w:bCs/>
                <w:color w:val="000000" w:themeColor="text1"/>
                <w:kern w:val="0"/>
                <w:szCs w:val="24"/>
              </w:rPr>
            </w:pPr>
            <w:r w:rsidRPr="00687B52">
              <w:rPr>
                <w:rFonts w:ascii="宋体" w:hAnsi="宋体" w:cs="宋体" w:hint="eastAsia"/>
                <w:color w:val="000000" w:themeColor="text1"/>
                <w:kern w:val="0"/>
                <w:szCs w:val="24"/>
              </w:rPr>
              <w:t>产品是危险化学品的应当办理危险化学品登记，登记证内容与企业实际生产情况相符并在有效期内。</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《危险化学品管理条例》第</w:t>
            </w:r>
            <w:r w:rsidRPr="00687B52">
              <w:rPr>
                <w:rFonts w:hint="eastAsia"/>
                <w:color w:val="000000" w:themeColor="text1"/>
                <w:szCs w:val="24"/>
              </w:rPr>
              <w:t>67</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7.3</w:t>
            </w:r>
          </w:p>
        </w:tc>
        <w:tc>
          <w:tcPr>
            <w:tcW w:w="2101" w:type="pct"/>
            <w:vAlign w:val="center"/>
          </w:tcPr>
          <w:p w:rsidR="000C2455" w:rsidRPr="00687B52" w:rsidRDefault="000C2455" w:rsidP="003E1D2A">
            <w:pPr>
              <w:pStyle w:val="a7"/>
              <w:jc w:val="left"/>
              <w:rPr>
                <w:color w:val="000000" w:themeColor="text1"/>
                <w:szCs w:val="24"/>
              </w:rPr>
            </w:pPr>
            <w:r w:rsidRPr="00687B52">
              <w:rPr>
                <w:rFonts w:hint="eastAsia"/>
                <w:color w:val="000000" w:themeColor="text1"/>
                <w:szCs w:val="24"/>
              </w:rPr>
              <w:t>企业应按有关标准编制产品的危险化学品安全技术说明书和安全标签，并提供给用户；采购危险化学品时，应索取危险化学品安全技术说明书和安全标签。</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《化学品安全技术说明书内容和项目顺序》</w:t>
            </w:r>
            <w:r w:rsidRPr="00687B52">
              <w:rPr>
                <w:rFonts w:hint="eastAsia"/>
                <w:color w:val="000000" w:themeColor="text1"/>
                <w:szCs w:val="24"/>
              </w:rPr>
              <w:t>GB16483-2008</w:t>
            </w:r>
            <w:r w:rsidRPr="00687B52">
              <w:rPr>
                <w:rFonts w:hint="eastAsia"/>
                <w:color w:val="000000" w:themeColor="text1"/>
                <w:szCs w:val="24"/>
              </w:rPr>
              <w:t>、《化学品安全标签编写规定》</w:t>
            </w:r>
            <w:r w:rsidRPr="00687B52">
              <w:rPr>
                <w:rFonts w:hint="eastAsia"/>
                <w:color w:val="000000" w:themeColor="text1"/>
                <w:szCs w:val="24"/>
              </w:rPr>
              <w:lastRenderedPageBreak/>
              <w:t>GB15258-2009</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lastRenderedPageBreak/>
              <w:t>7.4</w:t>
            </w:r>
          </w:p>
        </w:tc>
        <w:tc>
          <w:tcPr>
            <w:tcW w:w="2101" w:type="pct"/>
            <w:vAlign w:val="center"/>
          </w:tcPr>
          <w:p w:rsidR="000C2455" w:rsidRPr="00687B52" w:rsidRDefault="000C2455" w:rsidP="003E1D2A">
            <w:pPr>
              <w:pStyle w:val="a7"/>
              <w:jc w:val="left"/>
              <w:rPr>
                <w:color w:val="000000" w:themeColor="text1"/>
                <w:szCs w:val="24"/>
              </w:rPr>
            </w:pPr>
            <w:r w:rsidRPr="00687B52">
              <w:rPr>
                <w:rFonts w:hint="eastAsia"/>
                <w:color w:val="000000" w:themeColor="text1"/>
                <w:szCs w:val="24"/>
              </w:rPr>
              <w:t>危险化学品包装物、容器的材质以及危险化学品包装的型式、规格、方法和单件质量（重量），应当与所包装的危险化学品的性质和用途相适应。</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《危险化学品管理条例》第</w:t>
            </w:r>
            <w:r w:rsidRPr="00687B52">
              <w:rPr>
                <w:rFonts w:hint="eastAsia"/>
                <w:color w:val="000000" w:themeColor="text1"/>
                <w:szCs w:val="24"/>
              </w:rPr>
              <w:t>17</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7.5</w:t>
            </w:r>
          </w:p>
        </w:tc>
        <w:tc>
          <w:tcPr>
            <w:tcW w:w="2101" w:type="pct"/>
            <w:vAlign w:val="center"/>
          </w:tcPr>
          <w:p w:rsidR="000C2455" w:rsidRPr="00687B52" w:rsidRDefault="000C2455" w:rsidP="003E1D2A">
            <w:pPr>
              <w:pStyle w:val="a7"/>
              <w:jc w:val="left"/>
              <w:rPr>
                <w:color w:val="000000" w:themeColor="text1"/>
                <w:szCs w:val="24"/>
              </w:rPr>
            </w:pPr>
            <w:r w:rsidRPr="00687B52">
              <w:rPr>
                <w:rFonts w:hint="eastAsia"/>
                <w:color w:val="000000" w:themeColor="text1"/>
                <w:szCs w:val="24"/>
              </w:rPr>
              <w:t>生产、储存剧毒化学品、易制爆危险化学品的单位，应当如实记录其数量、流向，应当设置治安保卫机构，配备专职治安保卫人员。剧毒化学品应在公安机关备案。</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《危险化学品管理条例》第</w:t>
            </w:r>
            <w:r w:rsidRPr="00687B52">
              <w:rPr>
                <w:rFonts w:hint="eastAsia"/>
                <w:color w:val="000000" w:themeColor="text1"/>
                <w:szCs w:val="24"/>
              </w:rPr>
              <w:t>23</w:t>
            </w:r>
            <w:r w:rsidRPr="00687B52">
              <w:rPr>
                <w:rFonts w:hint="eastAsia"/>
                <w:color w:val="000000" w:themeColor="text1"/>
                <w:szCs w:val="24"/>
              </w:rPr>
              <w:t>条</w:t>
            </w:r>
          </w:p>
        </w:tc>
        <w:tc>
          <w:tcPr>
            <w:tcW w:w="1326" w:type="pct"/>
            <w:vAlign w:val="center"/>
          </w:tcPr>
          <w:p w:rsidR="000C2455" w:rsidRPr="00687B52" w:rsidRDefault="000C2455" w:rsidP="003E1D2A">
            <w:pPr>
              <w:pStyle w:val="a7"/>
              <w:jc w:val="both"/>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7.6</w:t>
            </w:r>
          </w:p>
        </w:tc>
        <w:tc>
          <w:tcPr>
            <w:tcW w:w="2101" w:type="pct"/>
            <w:vAlign w:val="center"/>
          </w:tcPr>
          <w:p w:rsidR="000C2455" w:rsidRPr="00687B52" w:rsidRDefault="000C2455" w:rsidP="003E1D2A">
            <w:pPr>
              <w:pStyle w:val="a7"/>
              <w:jc w:val="left"/>
              <w:rPr>
                <w:color w:val="000000" w:themeColor="text1"/>
                <w:szCs w:val="24"/>
              </w:rPr>
            </w:pPr>
            <w:r w:rsidRPr="00687B52">
              <w:rPr>
                <w:rFonts w:hint="eastAsia"/>
                <w:color w:val="000000" w:themeColor="text1"/>
                <w:szCs w:val="24"/>
              </w:rPr>
              <w:t>储存危险化学品的单位应当建立危险化学品出入库核查、登记制度，并按制度建立相关记录。</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《危险化学品管理条例》第</w:t>
            </w:r>
            <w:r w:rsidRPr="00687B52">
              <w:rPr>
                <w:rFonts w:hint="eastAsia"/>
                <w:color w:val="000000" w:themeColor="text1"/>
                <w:szCs w:val="24"/>
              </w:rPr>
              <w:t>25</w:t>
            </w:r>
            <w:r w:rsidRPr="00687B52">
              <w:rPr>
                <w:rFonts w:hint="eastAsia"/>
                <w:color w:val="000000" w:themeColor="text1"/>
                <w:szCs w:val="24"/>
              </w:rPr>
              <w:t>条</w:t>
            </w:r>
          </w:p>
        </w:tc>
        <w:tc>
          <w:tcPr>
            <w:tcW w:w="1326" w:type="pct"/>
            <w:vAlign w:val="center"/>
          </w:tcPr>
          <w:p w:rsidR="000C2455" w:rsidRPr="00687B52" w:rsidRDefault="000C2455" w:rsidP="003E1D2A">
            <w:pPr>
              <w:pStyle w:val="a7"/>
              <w:jc w:val="both"/>
              <w:rPr>
                <w:color w:val="000000" w:themeColor="text1"/>
                <w:szCs w:val="24"/>
              </w:rPr>
            </w:pPr>
            <w:r w:rsidRPr="00687B52">
              <w:rPr>
                <w:rFonts w:hint="eastAsia"/>
                <w:color w:val="000000" w:themeColor="text1"/>
                <w:szCs w:val="24"/>
              </w:rPr>
              <w:t>查制度和记录</w:t>
            </w:r>
          </w:p>
        </w:tc>
      </w:tr>
      <w:tr w:rsidR="000C2455" w:rsidRPr="00687B52" w:rsidTr="00B735E5">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7.7</w:t>
            </w:r>
          </w:p>
        </w:tc>
        <w:tc>
          <w:tcPr>
            <w:tcW w:w="2101" w:type="pct"/>
            <w:vAlign w:val="center"/>
          </w:tcPr>
          <w:p w:rsidR="000C2455" w:rsidRPr="00687B52" w:rsidRDefault="000C2455" w:rsidP="00B735E5">
            <w:pPr>
              <w:pStyle w:val="a7"/>
              <w:jc w:val="both"/>
              <w:rPr>
                <w:color w:val="000000" w:themeColor="text1"/>
              </w:rPr>
            </w:pPr>
            <w:r w:rsidRPr="00687B52">
              <w:rPr>
                <w:rFonts w:hint="eastAsia"/>
                <w:color w:val="000000" w:themeColor="text1"/>
              </w:rPr>
              <w:t>危险化学品单位应当按照有关规定对重大危险源进行安全评估。有下列情形之一的，应重新进行辨识、评估及分级：</w:t>
            </w:r>
          </w:p>
          <w:p w:rsidR="000C2455" w:rsidRPr="00687B52" w:rsidRDefault="000C2455" w:rsidP="00B735E5">
            <w:pPr>
              <w:pStyle w:val="a7"/>
              <w:jc w:val="both"/>
              <w:rPr>
                <w:color w:val="000000" w:themeColor="text1"/>
              </w:rPr>
            </w:pPr>
            <w:r w:rsidRPr="00687B52">
              <w:rPr>
                <w:rFonts w:hint="eastAsia"/>
                <w:color w:val="000000" w:themeColor="text1"/>
              </w:rPr>
              <w:t>1</w:t>
            </w:r>
            <w:r w:rsidRPr="00687B52">
              <w:rPr>
                <w:rFonts w:hint="eastAsia"/>
                <w:color w:val="000000" w:themeColor="text1"/>
              </w:rPr>
              <w:t>）重大危险源安全评估已满三年的；</w:t>
            </w:r>
          </w:p>
          <w:p w:rsidR="000C2455" w:rsidRPr="00687B52" w:rsidRDefault="000C2455" w:rsidP="00B735E5">
            <w:pPr>
              <w:pStyle w:val="a7"/>
              <w:jc w:val="both"/>
              <w:rPr>
                <w:color w:val="000000" w:themeColor="text1"/>
              </w:rPr>
            </w:pPr>
            <w:r w:rsidRPr="00687B52">
              <w:rPr>
                <w:rFonts w:hint="eastAsia"/>
                <w:color w:val="000000" w:themeColor="text1"/>
              </w:rPr>
              <w:t>2</w:t>
            </w:r>
            <w:r w:rsidRPr="00687B52">
              <w:rPr>
                <w:rFonts w:hint="eastAsia"/>
                <w:color w:val="000000" w:themeColor="text1"/>
              </w:rPr>
              <w:t>）构成重大危险源的装置、设施或者场所进行新建、改建、扩建的；</w:t>
            </w:r>
          </w:p>
          <w:p w:rsidR="000C2455" w:rsidRPr="00687B52" w:rsidRDefault="000C2455" w:rsidP="00B735E5">
            <w:pPr>
              <w:pStyle w:val="a7"/>
              <w:jc w:val="both"/>
              <w:rPr>
                <w:color w:val="000000" w:themeColor="text1"/>
              </w:rPr>
            </w:pPr>
            <w:r w:rsidRPr="00687B52">
              <w:rPr>
                <w:rFonts w:hint="eastAsia"/>
                <w:color w:val="000000" w:themeColor="text1"/>
              </w:rPr>
              <w:t>3</w:t>
            </w:r>
            <w:r w:rsidRPr="00687B52">
              <w:rPr>
                <w:rFonts w:hint="eastAsia"/>
                <w:color w:val="000000" w:themeColor="text1"/>
              </w:rPr>
              <w:t>）危险化学品种类、数量、生产、使用工艺或者储存方式及重要设备、设施等发生变化，影响重大危险源级别或者风险程度的；</w:t>
            </w:r>
          </w:p>
          <w:p w:rsidR="000C2455" w:rsidRPr="00687B52" w:rsidRDefault="000C2455" w:rsidP="00B735E5">
            <w:pPr>
              <w:pStyle w:val="a7"/>
              <w:jc w:val="both"/>
              <w:rPr>
                <w:color w:val="000000" w:themeColor="text1"/>
              </w:rPr>
            </w:pPr>
            <w:r w:rsidRPr="00687B52">
              <w:rPr>
                <w:rFonts w:hint="eastAsia"/>
                <w:color w:val="000000" w:themeColor="text1"/>
              </w:rPr>
              <w:t>4</w:t>
            </w:r>
            <w:r w:rsidRPr="00687B52">
              <w:rPr>
                <w:rFonts w:hint="eastAsia"/>
                <w:color w:val="000000" w:themeColor="text1"/>
              </w:rPr>
              <w:t>）外界生产安全环境因素发生变化，影响重大危险源级别和风险程度的；</w:t>
            </w:r>
          </w:p>
          <w:p w:rsidR="000C2455" w:rsidRPr="00687B52" w:rsidRDefault="000C2455" w:rsidP="00B735E5">
            <w:pPr>
              <w:pStyle w:val="a7"/>
              <w:jc w:val="both"/>
              <w:rPr>
                <w:color w:val="000000" w:themeColor="text1"/>
              </w:rPr>
            </w:pPr>
            <w:r w:rsidRPr="00687B52">
              <w:rPr>
                <w:rFonts w:hint="eastAsia"/>
                <w:color w:val="000000" w:themeColor="text1"/>
              </w:rPr>
              <w:t>5</w:t>
            </w:r>
            <w:r w:rsidRPr="00687B52">
              <w:rPr>
                <w:rFonts w:hint="eastAsia"/>
                <w:color w:val="000000" w:themeColor="text1"/>
              </w:rPr>
              <w:t>）发生危险化学品事故造成人员死亡，或者</w:t>
            </w:r>
            <w:r w:rsidRPr="00687B52">
              <w:rPr>
                <w:color w:val="000000" w:themeColor="text1"/>
              </w:rPr>
              <w:t>10</w:t>
            </w:r>
            <w:r w:rsidRPr="00687B52">
              <w:rPr>
                <w:rFonts w:hint="eastAsia"/>
                <w:color w:val="000000" w:themeColor="text1"/>
              </w:rPr>
              <w:t>人以上受伤，或者影响到公共安全的；</w:t>
            </w:r>
          </w:p>
          <w:p w:rsidR="000C2455" w:rsidRPr="00687B52" w:rsidRDefault="000C2455" w:rsidP="00B735E5">
            <w:pPr>
              <w:pStyle w:val="a7"/>
              <w:jc w:val="both"/>
              <w:rPr>
                <w:color w:val="000000" w:themeColor="text1"/>
              </w:rPr>
            </w:pPr>
            <w:r w:rsidRPr="00687B52">
              <w:rPr>
                <w:rFonts w:hint="eastAsia"/>
                <w:color w:val="000000" w:themeColor="text1"/>
              </w:rPr>
              <w:t>6</w:t>
            </w:r>
            <w:r w:rsidRPr="00687B52">
              <w:rPr>
                <w:rFonts w:hint="eastAsia"/>
                <w:color w:val="000000" w:themeColor="text1"/>
              </w:rPr>
              <w:t>）有关重大危险源辨识和安全评估的国家标准、行业标准发生变化的。</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《危险化学品重大危险源监督管理暂行规定》第</w:t>
            </w:r>
            <w:r w:rsidRPr="00687B52">
              <w:rPr>
                <w:rFonts w:hint="eastAsia"/>
                <w:color w:val="000000" w:themeColor="text1"/>
                <w:szCs w:val="24"/>
              </w:rPr>
              <w:t>8</w:t>
            </w:r>
            <w:r w:rsidRPr="00687B52">
              <w:rPr>
                <w:rFonts w:hint="eastAsia"/>
                <w:color w:val="000000" w:themeColor="text1"/>
                <w:szCs w:val="24"/>
              </w:rPr>
              <w:t>、</w:t>
            </w:r>
            <w:r w:rsidRPr="00687B52">
              <w:rPr>
                <w:rFonts w:hint="eastAsia"/>
                <w:color w:val="000000" w:themeColor="text1"/>
                <w:szCs w:val="24"/>
              </w:rPr>
              <w:t>11</w:t>
            </w:r>
            <w:r w:rsidRPr="00687B52">
              <w:rPr>
                <w:rFonts w:hint="eastAsia"/>
                <w:color w:val="000000" w:themeColor="text1"/>
                <w:szCs w:val="24"/>
              </w:rPr>
              <w:t>条</w:t>
            </w:r>
          </w:p>
        </w:tc>
        <w:tc>
          <w:tcPr>
            <w:tcW w:w="1326" w:type="pct"/>
            <w:vAlign w:val="center"/>
          </w:tcPr>
          <w:p w:rsidR="000C2455" w:rsidRPr="00687B52" w:rsidRDefault="000C2455" w:rsidP="003E1D2A">
            <w:pPr>
              <w:pStyle w:val="a7"/>
              <w:jc w:val="both"/>
              <w:rPr>
                <w:color w:val="000000" w:themeColor="text1"/>
                <w:szCs w:val="24"/>
              </w:rPr>
            </w:pPr>
          </w:p>
        </w:tc>
      </w:tr>
      <w:tr w:rsidR="000C2455" w:rsidRPr="00687B52" w:rsidTr="00B735E5">
        <w:trPr>
          <w:trHeight w:val="533"/>
          <w:jc w:val="center"/>
        </w:trPr>
        <w:tc>
          <w:tcPr>
            <w:tcW w:w="380" w:type="pct"/>
            <w:vAlign w:val="center"/>
          </w:tcPr>
          <w:p w:rsidR="000C2455" w:rsidRPr="00687B52" w:rsidRDefault="000C2455" w:rsidP="00B735E5">
            <w:pPr>
              <w:pStyle w:val="a7"/>
              <w:rPr>
                <w:color w:val="000000" w:themeColor="text1"/>
                <w:szCs w:val="24"/>
              </w:rPr>
            </w:pPr>
            <w:r w:rsidRPr="00687B52">
              <w:rPr>
                <w:rFonts w:hint="eastAsia"/>
                <w:color w:val="000000" w:themeColor="text1"/>
                <w:szCs w:val="24"/>
              </w:rPr>
              <w:t>7.8</w:t>
            </w:r>
          </w:p>
        </w:tc>
        <w:tc>
          <w:tcPr>
            <w:tcW w:w="2101" w:type="pct"/>
            <w:vAlign w:val="center"/>
          </w:tcPr>
          <w:p w:rsidR="000C2455" w:rsidRPr="00687B52" w:rsidRDefault="000C2455" w:rsidP="00F25ED0">
            <w:pPr>
              <w:widowControl/>
              <w:spacing w:afterLines="100" w:after="312" w:line="360" w:lineRule="exact"/>
              <w:rPr>
                <w:rFonts w:ascii="宋体" w:eastAsia="宋体" w:hAnsi="宋体" w:cs="宋体"/>
                <w:color w:val="000000" w:themeColor="text1"/>
                <w:kern w:val="0"/>
                <w:sz w:val="24"/>
                <w:szCs w:val="24"/>
              </w:rPr>
            </w:pPr>
            <w:r w:rsidRPr="00687B52">
              <w:rPr>
                <w:rFonts w:ascii="Times New Roman" w:eastAsia="宋体" w:hAnsi="Times New Roman" w:cs="宋体" w:hint="eastAsia"/>
                <w:color w:val="000000" w:themeColor="text1"/>
                <w:kern w:val="0"/>
                <w:sz w:val="24"/>
                <w:szCs w:val="24"/>
              </w:rPr>
              <w:t>构成重大危险源的应及时在所在地安全生产监督管</w:t>
            </w:r>
            <w:r w:rsidRPr="00687B52">
              <w:rPr>
                <w:rFonts w:ascii="Times New Roman" w:eastAsia="宋体" w:hAnsi="Times New Roman" w:cs="宋体" w:hint="eastAsia"/>
                <w:color w:val="000000" w:themeColor="text1"/>
                <w:kern w:val="0"/>
                <w:sz w:val="24"/>
                <w:szCs w:val="24"/>
              </w:rPr>
              <w:lastRenderedPageBreak/>
              <w:t>理部门备案。</w:t>
            </w:r>
          </w:p>
        </w:tc>
        <w:tc>
          <w:tcPr>
            <w:tcW w:w="1193" w:type="pct"/>
            <w:vAlign w:val="center"/>
          </w:tcPr>
          <w:p w:rsidR="000C2455" w:rsidRPr="00687B52" w:rsidRDefault="000C2455" w:rsidP="00B735E5">
            <w:pPr>
              <w:pStyle w:val="a7"/>
              <w:rPr>
                <w:color w:val="000000" w:themeColor="text1"/>
                <w:szCs w:val="24"/>
              </w:rPr>
            </w:pPr>
            <w:r w:rsidRPr="00687B52">
              <w:rPr>
                <w:rFonts w:hint="eastAsia"/>
                <w:color w:val="000000" w:themeColor="text1"/>
                <w:szCs w:val="24"/>
              </w:rPr>
              <w:lastRenderedPageBreak/>
              <w:t>《危险化学品重大危险源监</w:t>
            </w:r>
            <w:r w:rsidRPr="00687B52">
              <w:rPr>
                <w:rFonts w:hint="eastAsia"/>
                <w:color w:val="000000" w:themeColor="text1"/>
                <w:szCs w:val="24"/>
              </w:rPr>
              <w:lastRenderedPageBreak/>
              <w:t>督管理暂行规定》第</w:t>
            </w:r>
            <w:r w:rsidRPr="00687B52">
              <w:rPr>
                <w:rFonts w:hint="eastAsia"/>
                <w:color w:val="000000" w:themeColor="text1"/>
                <w:szCs w:val="24"/>
              </w:rPr>
              <w:t>23</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lastRenderedPageBreak/>
              <w:t>7.9</w:t>
            </w:r>
          </w:p>
        </w:tc>
        <w:tc>
          <w:tcPr>
            <w:tcW w:w="2101" w:type="pct"/>
            <w:vAlign w:val="center"/>
          </w:tcPr>
          <w:p w:rsidR="000C2455" w:rsidRPr="00687B52" w:rsidRDefault="000C2455" w:rsidP="003E1D2A">
            <w:pPr>
              <w:pStyle w:val="a7"/>
              <w:jc w:val="left"/>
              <w:rPr>
                <w:color w:val="000000" w:themeColor="text1"/>
                <w:szCs w:val="24"/>
              </w:rPr>
            </w:pPr>
            <w:r w:rsidRPr="00687B52">
              <w:rPr>
                <w:rFonts w:hint="eastAsia"/>
                <w:color w:val="000000" w:themeColor="text1"/>
                <w:szCs w:val="24"/>
              </w:rPr>
              <w:t>企业应对重大危险源进行登记建档，包括以下：</w:t>
            </w:r>
          </w:p>
          <w:p w:rsidR="000C2455" w:rsidRPr="00687B52" w:rsidRDefault="000C2455" w:rsidP="003E1D2A">
            <w:pPr>
              <w:pStyle w:val="a7"/>
              <w:jc w:val="left"/>
              <w:rPr>
                <w:color w:val="000000" w:themeColor="text1"/>
                <w:szCs w:val="24"/>
              </w:rPr>
            </w:pPr>
            <w:r w:rsidRPr="00687B52">
              <w:rPr>
                <w:rFonts w:hint="eastAsia"/>
                <w:color w:val="000000" w:themeColor="text1"/>
                <w:szCs w:val="24"/>
              </w:rPr>
              <w:t>1</w:t>
            </w:r>
            <w:r w:rsidRPr="00687B52">
              <w:rPr>
                <w:rFonts w:hint="eastAsia"/>
                <w:color w:val="000000" w:themeColor="text1"/>
                <w:szCs w:val="24"/>
              </w:rPr>
              <w:t>）辨识、分级记录；</w:t>
            </w:r>
          </w:p>
          <w:p w:rsidR="000C2455" w:rsidRPr="00687B52" w:rsidRDefault="000C2455" w:rsidP="003E1D2A">
            <w:pPr>
              <w:pStyle w:val="a7"/>
              <w:jc w:val="left"/>
              <w:rPr>
                <w:color w:val="000000" w:themeColor="text1"/>
                <w:szCs w:val="24"/>
              </w:rPr>
            </w:pPr>
            <w:r w:rsidRPr="00687B52">
              <w:rPr>
                <w:rFonts w:hint="eastAsia"/>
                <w:color w:val="000000" w:themeColor="text1"/>
                <w:szCs w:val="24"/>
              </w:rPr>
              <w:t>2</w:t>
            </w:r>
            <w:r w:rsidRPr="00687B52">
              <w:rPr>
                <w:rFonts w:hint="eastAsia"/>
                <w:color w:val="000000" w:themeColor="text1"/>
                <w:szCs w:val="24"/>
              </w:rPr>
              <w:t>）重大危险源基本特征表；</w:t>
            </w:r>
          </w:p>
          <w:p w:rsidR="000C2455" w:rsidRPr="00687B52" w:rsidRDefault="000C2455" w:rsidP="003E1D2A">
            <w:pPr>
              <w:pStyle w:val="a7"/>
              <w:jc w:val="left"/>
              <w:rPr>
                <w:color w:val="000000" w:themeColor="text1"/>
                <w:szCs w:val="24"/>
              </w:rPr>
            </w:pPr>
            <w:r w:rsidRPr="00687B52">
              <w:rPr>
                <w:rFonts w:hint="eastAsia"/>
                <w:color w:val="000000" w:themeColor="text1"/>
                <w:szCs w:val="24"/>
              </w:rPr>
              <w:t>3</w:t>
            </w:r>
            <w:r w:rsidRPr="00687B52">
              <w:rPr>
                <w:rFonts w:hint="eastAsia"/>
                <w:color w:val="000000" w:themeColor="text1"/>
                <w:szCs w:val="24"/>
              </w:rPr>
              <w:t>）涉及的所有化学品安全技术说明书；</w:t>
            </w:r>
          </w:p>
          <w:p w:rsidR="000C2455" w:rsidRPr="00687B52" w:rsidRDefault="000C2455" w:rsidP="003E1D2A">
            <w:pPr>
              <w:pStyle w:val="a7"/>
              <w:jc w:val="left"/>
              <w:rPr>
                <w:color w:val="000000" w:themeColor="text1"/>
                <w:szCs w:val="24"/>
              </w:rPr>
            </w:pPr>
            <w:r w:rsidRPr="00687B52">
              <w:rPr>
                <w:rFonts w:hint="eastAsia"/>
                <w:color w:val="000000" w:themeColor="text1"/>
                <w:szCs w:val="24"/>
              </w:rPr>
              <w:t>4</w:t>
            </w:r>
            <w:r w:rsidRPr="00687B52">
              <w:rPr>
                <w:rFonts w:hint="eastAsia"/>
                <w:color w:val="000000" w:themeColor="text1"/>
                <w:szCs w:val="24"/>
              </w:rPr>
              <w:t>）区域位置图、平面布置图、工艺流程图和主要设备一览表；</w:t>
            </w:r>
          </w:p>
          <w:p w:rsidR="000C2455" w:rsidRPr="00687B52" w:rsidRDefault="000C2455" w:rsidP="003E1D2A">
            <w:pPr>
              <w:pStyle w:val="a7"/>
              <w:jc w:val="left"/>
              <w:rPr>
                <w:color w:val="000000" w:themeColor="text1"/>
                <w:szCs w:val="24"/>
              </w:rPr>
            </w:pPr>
            <w:r w:rsidRPr="00687B52">
              <w:rPr>
                <w:rFonts w:hint="eastAsia"/>
                <w:color w:val="000000" w:themeColor="text1"/>
                <w:szCs w:val="24"/>
              </w:rPr>
              <w:t>5</w:t>
            </w:r>
            <w:r w:rsidRPr="00687B52">
              <w:rPr>
                <w:rFonts w:hint="eastAsia"/>
                <w:color w:val="000000" w:themeColor="text1"/>
                <w:szCs w:val="24"/>
              </w:rPr>
              <w:t>）重大危险源安全管理规章制度及安全操作规程；</w:t>
            </w:r>
          </w:p>
          <w:p w:rsidR="000C2455" w:rsidRPr="00687B52" w:rsidRDefault="000C2455" w:rsidP="003E1D2A">
            <w:pPr>
              <w:pStyle w:val="a7"/>
              <w:jc w:val="left"/>
              <w:rPr>
                <w:color w:val="000000" w:themeColor="text1"/>
                <w:szCs w:val="24"/>
              </w:rPr>
            </w:pPr>
            <w:r w:rsidRPr="00687B52">
              <w:rPr>
                <w:rFonts w:hint="eastAsia"/>
                <w:color w:val="000000" w:themeColor="text1"/>
                <w:szCs w:val="24"/>
              </w:rPr>
              <w:t>6</w:t>
            </w:r>
            <w:r w:rsidRPr="00687B52">
              <w:rPr>
                <w:rFonts w:hint="eastAsia"/>
                <w:color w:val="000000" w:themeColor="text1"/>
                <w:szCs w:val="24"/>
              </w:rPr>
              <w:t>）安全监测监控系统、措施说明、检测、检验结果；</w:t>
            </w:r>
          </w:p>
          <w:p w:rsidR="000C2455" w:rsidRPr="00687B52" w:rsidRDefault="000C2455" w:rsidP="003E1D2A">
            <w:pPr>
              <w:pStyle w:val="a7"/>
              <w:jc w:val="left"/>
              <w:rPr>
                <w:color w:val="000000" w:themeColor="text1"/>
                <w:szCs w:val="24"/>
              </w:rPr>
            </w:pPr>
            <w:r w:rsidRPr="00687B52">
              <w:rPr>
                <w:rFonts w:hint="eastAsia"/>
                <w:color w:val="000000" w:themeColor="text1"/>
                <w:szCs w:val="24"/>
              </w:rPr>
              <w:t>7</w:t>
            </w:r>
            <w:r w:rsidRPr="00687B52">
              <w:rPr>
                <w:rFonts w:hint="eastAsia"/>
                <w:color w:val="000000" w:themeColor="text1"/>
                <w:szCs w:val="24"/>
              </w:rPr>
              <w:t>）重大危险源事故应急预案、评审意见、演练计划和评估报告；</w:t>
            </w:r>
          </w:p>
          <w:p w:rsidR="000C2455" w:rsidRPr="00687B52" w:rsidRDefault="000C2455" w:rsidP="003E1D2A">
            <w:pPr>
              <w:pStyle w:val="a7"/>
              <w:jc w:val="left"/>
              <w:rPr>
                <w:color w:val="000000" w:themeColor="text1"/>
                <w:szCs w:val="24"/>
              </w:rPr>
            </w:pPr>
            <w:r w:rsidRPr="00687B52">
              <w:rPr>
                <w:rFonts w:hint="eastAsia"/>
                <w:color w:val="000000" w:themeColor="text1"/>
                <w:szCs w:val="24"/>
              </w:rPr>
              <w:t>8</w:t>
            </w:r>
            <w:r w:rsidRPr="00687B52">
              <w:rPr>
                <w:rFonts w:hint="eastAsia"/>
                <w:color w:val="000000" w:themeColor="text1"/>
                <w:szCs w:val="24"/>
              </w:rPr>
              <w:t>）安全评估报告或者安全评价报告；</w:t>
            </w:r>
          </w:p>
          <w:p w:rsidR="000C2455" w:rsidRPr="00687B52" w:rsidRDefault="000C2455" w:rsidP="003E1D2A">
            <w:pPr>
              <w:pStyle w:val="a7"/>
              <w:jc w:val="left"/>
              <w:rPr>
                <w:color w:val="000000" w:themeColor="text1"/>
                <w:szCs w:val="24"/>
              </w:rPr>
            </w:pPr>
            <w:r w:rsidRPr="00687B52">
              <w:rPr>
                <w:rFonts w:hint="eastAsia"/>
                <w:color w:val="000000" w:themeColor="text1"/>
                <w:szCs w:val="24"/>
              </w:rPr>
              <w:t>9</w:t>
            </w:r>
            <w:r w:rsidRPr="00687B52">
              <w:rPr>
                <w:rFonts w:hint="eastAsia"/>
                <w:color w:val="000000" w:themeColor="text1"/>
                <w:szCs w:val="24"/>
              </w:rPr>
              <w:t>）重大危险源关键装置、重点部位的责任人、责任机构名称；</w:t>
            </w:r>
          </w:p>
          <w:p w:rsidR="000C2455" w:rsidRPr="00687B52" w:rsidRDefault="000C2455" w:rsidP="003E1D2A">
            <w:pPr>
              <w:pStyle w:val="a7"/>
              <w:jc w:val="left"/>
              <w:rPr>
                <w:color w:val="000000" w:themeColor="text1"/>
                <w:szCs w:val="24"/>
              </w:rPr>
            </w:pPr>
            <w:r w:rsidRPr="00687B52">
              <w:rPr>
                <w:rFonts w:hint="eastAsia"/>
                <w:color w:val="000000" w:themeColor="text1"/>
                <w:szCs w:val="24"/>
              </w:rPr>
              <w:t>10</w:t>
            </w:r>
            <w:r w:rsidRPr="00687B52">
              <w:rPr>
                <w:rFonts w:hint="eastAsia"/>
                <w:color w:val="000000" w:themeColor="text1"/>
                <w:szCs w:val="24"/>
              </w:rPr>
              <w:t>）重大危险源场所安全警示标志的设置情况；</w:t>
            </w:r>
          </w:p>
          <w:p w:rsidR="000C2455" w:rsidRPr="00687B52" w:rsidRDefault="000C2455" w:rsidP="003E1D2A">
            <w:pPr>
              <w:pStyle w:val="a7"/>
              <w:jc w:val="left"/>
              <w:rPr>
                <w:color w:val="000000" w:themeColor="text1"/>
                <w:szCs w:val="24"/>
              </w:rPr>
            </w:pPr>
            <w:r w:rsidRPr="00687B52">
              <w:rPr>
                <w:rFonts w:hint="eastAsia"/>
                <w:color w:val="000000" w:themeColor="text1"/>
                <w:szCs w:val="24"/>
              </w:rPr>
              <w:t>11</w:t>
            </w:r>
            <w:r w:rsidRPr="00687B52">
              <w:rPr>
                <w:rFonts w:hint="eastAsia"/>
                <w:color w:val="000000" w:themeColor="text1"/>
                <w:szCs w:val="24"/>
              </w:rPr>
              <w:t>）其他文件、资料。</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《危险化学品重大危险源监督管理暂行规定》第</w:t>
            </w:r>
            <w:r w:rsidRPr="00687B52">
              <w:rPr>
                <w:rFonts w:hint="eastAsia"/>
                <w:color w:val="000000" w:themeColor="text1"/>
                <w:szCs w:val="24"/>
              </w:rPr>
              <w:t>22</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F6557C" w:rsidP="003E1D2A">
            <w:pPr>
              <w:pStyle w:val="a7"/>
              <w:rPr>
                <w:b/>
                <w:color w:val="000000" w:themeColor="text1"/>
                <w:szCs w:val="24"/>
              </w:rPr>
            </w:pPr>
            <w:r w:rsidRPr="00687B52">
              <w:rPr>
                <w:rFonts w:hint="eastAsia"/>
                <w:b/>
                <w:color w:val="000000" w:themeColor="text1"/>
                <w:szCs w:val="24"/>
              </w:rPr>
              <w:t>8</w:t>
            </w:r>
          </w:p>
        </w:tc>
        <w:tc>
          <w:tcPr>
            <w:tcW w:w="2101" w:type="pct"/>
            <w:vAlign w:val="center"/>
          </w:tcPr>
          <w:p w:rsidR="000C2455" w:rsidRPr="00687B52" w:rsidRDefault="000C2455" w:rsidP="003E1D2A">
            <w:pPr>
              <w:pStyle w:val="a7"/>
              <w:jc w:val="left"/>
              <w:rPr>
                <w:b/>
                <w:color w:val="000000" w:themeColor="text1"/>
                <w:szCs w:val="24"/>
              </w:rPr>
            </w:pPr>
            <w:r w:rsidRPr="00687B52">
              <w:rPr>
                <w:rFonts w:hint="eastAsia"/>
                <w:b/>
                <w:color w:val="000000" w:themeColor="text1"/>
                <w:szCs w:val="24"/>
              </w:rPr>
              <w:t>隐患排查治理</w:t>
            </w:r>
          </w:p>
        </w:tc>
        <w:tc>
          <w:tcPr>
            <w:tcW w:w="1193" w:type="pct"/>
            <w:vAlign w:val="center"/>
          </w:tcPr>
          <w:p w:rsidR="000C2455" w:rsidRPr="00687B52" w:rsidRDefault="000C2455" w:rsidP="003E1D2A">
            <w:pPr>
              <w:pStyle w:val="a7"/>
              <w:rPr>
                <w:color w:val="000000" w:themeColor="text1"/>
                <w:szCs w:val="24"/>
              </w:rPr>
            </w:pP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8.1</w:t>
            </w:r>
          </w:p>
        </w:tc>
        <w:tc>
          <w:tcPr>
            <w:tcW w:w="2101" w:type="pct"/>
            <w:vAlign w:val="center"/>
          </w:tcPr>
          <w:p w:rsidR="000C2455" w:rsidRPr="00687B52" w:rsidRDefault="000C2455" w:rsidP="003E1D2A">
            <w:pPr>
              <w:pStyle w:val="a7"/>
              <w:jc w:val="left"/>
              <w:rPr>
                <w:color w:val="000000" w:themeColor="text1"/>
                <w:szCs w:val="24"/>
              </w:rPr>
            </w:pPr>
            <w:r w:rsidRPr="00687B52">
              <w:rPr>
                <w:rFonts w:hint="eastAsia"/>
                <w:color w:val="000000" w:themeColor="text1"/>
                <w:szCs w:val="24"/>
              </w:rPr>
              <w:t>企业应制定安全检查计划表，并编制各类安全检查表，包括综合、专项、节假日、季节、日常安全检查表。</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《危险化学品从业单位安全标准化通用规范》</w:t>
            </w:r>
            <w:r w:rsidRPr="00687B52">
              <w:rPr>
                <w:rFonts w:hint="eastAsia"/>
                <w:color w:val="000000" w:themeColor="text1"/>
                <w:szCs w:val="24"/>
              </w:rPr>
              <w:t>AQ3013-2008</w:t>
            </w:r>
            <w:r w:rsidRPr="00687B52">
              <w:rPr>
                <w:rFonts w:hint="eastAsia"/>
                <w:color w:val="000000" w:themeColor="text1"/>
                <w:szCs w:val="24"/>
              </w:rPr>
              <w:t>第</w:t>
            </w:r>
            <w:r w:rsidRPr="00687B52">
              <w:rPr>
                <w:rFonts w:hint="eastAsia"/>
                <w:color w:val="000000" w:themeColor="text1"/>
                <w:szCs w:val="24"/>
              </w:rPr>
              <w:t>5.2.4.1</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8.2</w:t>
            </w:r>
          </w:p>
        </w:tc>
        <w:tc>
          <w:tcPr>
            <w:tcW w:w="2101" w:type="pct"/>
            <w:vAlign w:val="center"/>
          </w:tcPr>
          <w:p w:rsidR="000C2455" w:rsidRPr="00687B52" w:rsidRDefault="000C2455" w:rsidP="003E1D2A">
            <w:pPr>
              <w:pStyle w:val="a7"/>
              <w:jc w:val="left"/>
              <w:rPr>
                <w:rFonts w:ascii="宋体" w:hAnsi="宋体"/>
                <w:color w:val="000000" w:themeColor="text1"/>
                <w:szCs w:val="24"/>
              </w:rPr>
            </w:pPr>
            <w:r w:rsidRPr="00687B52">
              <w:rPr>
                <w:rFonts w:ascii="宋体" w:hAnsi="宋体" w:hint="eastAsia"/>
                <w:color w:val="000000" w:themeColor="text1"/>
                <w:szCs w:val="24"/>
              </w:rPr>
              <w:t>企业对排查出的事故隐患，建立隐患台账，并对事故隐患进行分级管理，对隐患进行原因分析，及时整改并对整改情况进行验证。</w:t>
            </w:r>
          </w:p>
        </w:tc>
        <w:tc>
          <w:tcPr>
            <w:tcW w:w="1193" w:type="pct"/>
            <w:vAlign w:val="center"/>
          </w:tcPr>
          <w:p w:rsidR="000C2455" w:rsidRPr="00687B52" w:rsidRDefault="000C2455" w:rsidP="003E1D2A">
            <w:pPr>
              <w:pStyle w:val="a7"/>
              <w:rPr>
                <w:rFonts w:ascii="宋体" w:hAnsi="宋体"/>
                <w:color w:val="000000" w:themeColor="text1"/>
                <w:szCs w:val="24"/>
              </w:rPr>
            </w:pPr>
            <w:r w:rsidRPr="00687B52">
              <w:rPr>
                <w:rFonts w:hint="eastAsia"/>
                <w:color w:val="000000" w:themeColor="text1"/>
                <w:szCs w:val="24"/>
              </w:rPr>
              <w:t>《危险化学品从业单位安全标准化通用规范》</w:t>
            </w:r>
            <w:r w:rsidRPr="00687B52">
              <w:rPr>
                <w:rFonts w:hint="eastAsia"/>
                <w:color w:val="000000" w:themeColor="text1"/>
                <w:szCs w:val="24"/>
              </w:rPr>
              <w:t>AQ3013-2008</w:t>
            </w:r>
            <w:r w:rsidRPr="00687B52">
              <w:rPr>
                <w:rFonts w:hint="eastAsia"/>
                <w:color w:val="000000" w:themeColor="text1"/>
                <w:szCs w:val="24"/>
              </w:rPr>
              <w:t>第</w:t>
            </w:r>
            <w:r w:rsidRPr="00687B52">
              <w:rPr>
                <w:rFonts w:hint="eastAsia"/>
                <w:color w:val="000000" w:themeColor="text1"/>
                <w:szCs w:val="24"/>
              </w:rPr>
              <w:t>5.2.4.1</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8.3</w:t>
            </w:r>
          </w:p>
        </w:tc>
        <w:tc>
          <w:tcPr>
            <w:tcW w:w="2101" w:type="pct"/>
            <w:vAlign w:val="center"/>
          </w:tcPr>
          <w:p w:rsidR="000C2455" w:rsidRPr="00687B52" w:rsidRDefault="000C2455" w:rsidP="003E1D2A">
            <w:pPr>
              <w:pStyle w:val="a7"/>
              <w:jc w:val="left"/>
              <w:rPr>
                <w:color w:val="000000" w:themeColor="text1"/>
                <w:szCs w:val="24"/>
              </w:rPr>
            </w:pPr>
            <w:r w:rsidRPr="00687B52">
              <w:rPr>
                <w:rFonts w:hint="eastAsia"/>
                <w:color w:val="000000" w:themeColor="text1"/>
                <w:szCs w:val="24"/>
              </w:rPr>
              <w:t>不能及时整改的隐患项目，应下达隐患治理通知，限期治理，做到定治理措施、定负责人、定资金来源、</w:t>
            </w:r>
            <w:r w:rsidRPr="00687B52">
              <w:rPr>
                <w:rFonts w:hint="eastAsia"/>
                <w:color w:val="000000" w:themeColor="text1"/>
                <w:szCs w:val="24"/>
              </w:rPr>
              <w:lastRenderedPageBreak/>
              <w:t>定治理期限。</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lastRenderedPageBreak/>
              <w:t>《危险化学品从业单位安全标准化通用规范》</w:t>
            </w:r>
            <w:r w:rsidRPr="00687B52">
              <w:rPr>
                <w:rFonts w:hint="eastAsia"/>
                <w:color w:val="000000" w:themeColor="text1"/>
                <w:szCs w:val="24"/>
              </w:rPr>
              <w:lastRenderedPageBreak/>
              <w:t>AQ3013-2008</w:t>
            </w:r>
            <w:r w:rsidRPr="00687B52">
              <w:rPr>
                <w:rFonts w:hint="eastAsia"/>
                <w:color w:val="000000" w:themeColor="text1"/>
                <w:szCs w:val="24"/>
              </w:rPr>
              <w:t>第</w:t>
            </w:r>
            <w:r w:rsidRPr="00687B52">
              <w:rPr>
                <w:rFonts w:hint="eastAsia"/>
                <w:color w:val="000000" w:themeColor="text1"/>
                <w:szCs w:val="24"/>
              </w:rPr>
              <w:t>5.2.4.1</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lastRenderedPageBreak/>
              <w:t>8.4</w:t>
            </w:r>
          </w:p>
        </w:tc>
        <w:tc>
          <w:tcPr>
            <w:tcW w:w="2101" w:type="pct"/>
            <w:vAlign w:val="center"/>
          </w:tcPr>
          <w:p w:rsidR="000C2455" w:rsidRPr="00687B52" w:rsidRDefault="000C2455" w:rsidP="003E1D2A">
            <w:pPr>
              <w:pStyle w:val="a7"/>
              <w:jc w:val="left"/>
              <w:rPr>
                <w:color w:val="000000" w:themeColor="text1"/>
                <w:szCs w:val="24"/>
              </w:rPr>
            </w:pPr>
            <w:r w:rsidRPr="00687B52">
              <w:rPr>
                <w:rFonts w:hint="eastAsia"/>
                <w:color w:val="000000" w:themeColor="text1"/>
                <w:szCs w:val="24"/>
              </w:rPr>
              <w:t>企业应当每季、每年对本单位事故隐患排查治理情况进行统计分析，并向有关部门报送书面统计分析表。统计分析表应当由生产经营单位主要负责人签字。（隐患自查自报</w:t>
            </w:r>
            <w:r w:rsidR="00B735E5" w:rsidRPr="00687B52">
              <w:rPr>
                <w:rFonts w:hint="eastAsia"/>
                <w:color w:val="000000" w:themeColor="text1"/>
                <w:szCs w:val="24"/>
              </w:rPr>
              <w:t>）</w:t>
            </w:r>
          </w:p>
        </w:tc>
        <w:tc>
          <w:tcPr>
            <w:tcW w:w="1193" w:type="pct"/>
            <w:vAlign w:val="center"/>
          </w:tcPr>
          <w:p w:rsidR="000C2455" w:rsidRPr="00687B52" w:rsidRDefault="000C2455" w:rsidP="003E1D2A">
            <w:pPr>
              <w:pStyle w:val="a7"/>
              <w:rPr>
                <w:rFonts w:ascii="宋体" w:hAnsi="宋体" w:cs="宋体"/>
                <w:color w:val="000000" w:themeColor="text1"/>
                <w:szCs w:val="24"/>
              </w:rPr>
            </w:pPr>
            <w:r w:rsidRPr="00687B52">
              <w:rPr>
                <w:rFonts w:hint="eastAsia"/>
                <w:color w:val="000000" w:themeColor="text1"/>
                <w:szCs w:val="24"/>
              </w:rPr>
              <w:t>《安全生产事故隐患排查治理暂行规定》第</w:t>
            </w:r>
            <w:r w:rsidRPr="00687B52">
              <w:rPr>
                <w:rFonts w:hint="eastAsia"/>
                <w:color w:val="000000" w:themeColor="text1"/>
                <w:szCs w:val="24"/>
              </w:rPr>
              <w:t>14</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8.5</w:t>
            </w:r>
          </w:p>
        </w:tc>
        <w:tc>
          <w:tcPr>
            <w:tcW w:w="2101" w:type="pct"/>
            <w:vAlign w:val="center"/>
          </w:tcPr>
          <w:p w:rsidR="000C2455" w:rsidRPr="00687B52" w:rsidRDefault="000C2455" w:rsidP="003E1D2A">
            <w:pPr>
              <w:pStyle w:val="a7"/>
              <w:jc w:val="left"/>
              <w:rPr>
                <w:color w:val="000000" w:themeColor="text1"/>
                <w:szCs w:val="24"/>
              </w:rPr>
            </w:pPr>
            <w:r w:rsidRPr="00687B52">
              <w:rPr>
                <w:rFonts w:hint="eastAsia"/>
                <w:color w:val="000000" w:themeColor="text1"/>
                <w:szCs w:val="24"/>
              </w:rPr>
              <w:t>企业应对确定的重大隐患项目建立档案，档案内容应包括以下内容：</w:t>
            </w:r>
            <w:r w:rsidRPr="00687B52">
              <w:rPr>
                <w:rFonts w:hint="eastAsia"/>
                <w:color w:val="000000" w:themeColor="text1"/>
                <w:szCs w:val="24"/>
              </w:rPr>
              <w:br/>
              <w:t>1</w:t>
            </w:r>
            <w:r w:rsidRPr="00687B52">
              <w:rPr>
                <w:rFonts w:hint="eastAsia"/>
                <w:color w:val="000000" w:themeColor="text1"/>
                <w:szCs w:val="24"/>
              </w:rPr>
              <w:t>）评价报告与技术结论；</w:t>
            </w:r>
            <w:r w:rsidRPr="00687B52">
              <w:rPr>
                <w:rFonts w:hint="eastAsia"/>
                <w:color w:val="000000" w:themeColor="text1"/>
                <w:szCs w:val="24"/>
              </w:rPr>
              <w:br/>
              <w:t>2</w:t>
            </w:r>
            <w:r w:rsidRPr="00687B52">
              <w:rPr>
                <w:rFonts w:hint="eastAsia"/>
                <w:color w:val="000000" w:themeColor="text1"/>
                <w:szCs w:val="24"/>
              </w:rPr>
              <w:t>）评审意见；</w:t>
            </w:r>
            <w:r w:rsidRPr="00687B52">
              <w:rPr>
                <w:rFonts w:hint="eastAsia"/>
                <w:color w:val="000000" w:themeColor="text1"/>
                <w:szCs w:val="24"/>
              </w:rPr>
              <w:br/>
              <w:t>3</w:t>
            </w:r>
            <w:r w:rsidRPr="00687B52">
              <w:rPr>
                <w:rFonts w:hint="eastAsia"/>
                <w:color w:val="000000" w:themeColor="text1"/>
                <w:szCs w:val="24"/>
              </w:rPr>
              <w:t>）隐患治理方案，包括资金概预算情况等；</w:t>
            </w:r>
            <w:r w:rsidRPr="00687B52">
              <w:rPr>
                <w:rFonts w:hint="eastAsia"/>
                <w:color w:val="000000" w:themeColor="text1"/>
                <w:szCs w:val="24"/>
              </w:rPr>
              <w:br/>
              <w:t>4</w:t>
            </w:r>
            <w:r w:rsidRPr="00687B52">
              <w:rPr>
                <w:rFonts w:hint="eastAsia"/>
                <w:color w:val="000000" w:themeColor="text1"/>
                <w:szCs w:val="24"/>
              </w:rPr>
              <w:t>）治理时间表和责任人；</w:t>
            </w:r>
            <w:r w:rsidRPr="00687B52">
              <w:rPr>
                <w:rFonts w:hint="eastAsia"/>
                <w:color w:val="000000" w:themeColor="text1"/>
                <w:szCs w:val="24"/>
              </w:rPr>
              <w:br/>
              <w:t>5</w:t>
            </w:r>
            <w:r w:rsidRPr="00687B52">
              <w:rPr>
                <w:rFonts w:hint="eastAsia"/>
                <w:color w:val="000000" w:themeColor="text1"/>
                <w:szCs w:val="24"/>
              </w:rPr>
              <w:t>）竣工验收报告；</w:t>
            </w:r>
            <w:r w:rsidRPr="00687B52">
              <w:rPr>
                <w:rFonts w:hint="eastAsia"/>
                <w:color w:val="000000" w:themeColor="text1"/>
                <w:szCs w:val="24"/>
              </w:rPr>
              <w:br/>
              <w:t>6</w:t>
            </w:r>
            <w:r w:rsidRPr="00687B52">
              <w:rPr>
                <w:rFonts w:hint="eastAsia"/>
                <w:color w:val="000000" w:themeColor="text1"/>
                <w:szCs w:val="24"/>
              </w:rPr>
              <w:t>）备案文件。</w:t>
            </w:r>
          </w:p>
        </w:tc>
        <w:tc>
          <w:tcPr>
            <w:tcW w:w="1193" w:type="pct"/>
            <w:vAlign w:val="center"/>
          </w:tcPr>
          <w:p w:rsidR="000C2455" w:rsidRPr="00687B52" w:rsidRDefault="009B39EC" w:rsidP="003E1D2A">
            <w:pPr>
              <w:pStyle w:val="a7"/>
              <w:rPr>
                <w:color w:val="000000" w:themeColor="text1"/>
                <w:szCs w:val="24"/>
              </w:rPr>
            </w:pPr>
            <w:r w:rsidRPr="00687B52">
              <w:rPr>
                <w:rFonts w:hint="eastAsia"/>
                <w:color w:val="000000" w:themeColor="text1"/>
                <w:szCs w:val="24"/>
              </w:rPr>
              <w:t>《</w:t>
            </w:r>
            <w:r w:rsidR="000C2455" w:rsidRPr="00687B52">
              <w:rPr>
                <w:rFonts w:hint="eastAsia"/>
                <w:color w:val="000000" w:themeColor="text1"/>
                <w:szCs w:val="24"/>
              </w:rPr>
              <w:t>危险化学品从业单位安全标准化通用规范</w:t>
            </w:r>
            <w:r w:rsidRPr="00687B52">
              <w:rPr>
                <w:rFonts w:hint="eastAsia"/>
                <w:color w:val="000000" w:themeColor="text1"/>
                <w:szCs w:val="24"/>
              </w:rPr>
              <w:t>》</w:t>
            </w:r>
            <w:r w:rsidR="000C2455" w:rsidRPr="00687B52">
              <w:rPr>
                <w:rFonts w:hint="eastAsia"/>
                <w:color w:val="000000" w:themeColor="text1"/>
                <w:szCs w:val="24"/>
              </w:rPr>
              <w:t>AQ3013-2008</w:t>
            </w:r>
            <w:r w:rsidR="000C2455" w:rsidRPr="00687B52">
              <w:rPr>
                <w:rFonts w:hint="eastAsia"/>
                <w:color w:val="000000" w:themeColor="text1"/>
                <w:szCs w:val="24"/>
              </w:rPr>
              <w:t>第</w:t>
            </w:r>
            <w:r w:rsidR="000C2455" w:rsidRPr="00687B52">
              <w:rPr>
                <w:rFonts w:hint="eastAsia"/>
                <w:color w:val="000000" w:themeColor="text1"/>
                <w:szCs w:val="24"/>
              </w:rPr>
              <w:t>5.2.4.2</w:t>
            </w:r>
            <w:r w:rsidR="000C2455"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F6557C" w:rsidP="003E1D2A">
            <w:pPr>
              <w:pStyle w:val="a7"/>
              <w:rPr>
                <w:b/>
                <w:color w:val="000000" w:themeColor="text1"/>
                <w:szCs w:val="24"/>
              </w:rPr>
            </w:pPr>
            <w:r w:rsidRPr="00687B52">
              <w:rPr>
                <w:rFonts w:hint="eastAsia"/>
                <w:b/>
                <w:color w:val="000000" w:themeColor="text1"/>
                <w:szCs w:val="24"/>
              </w:rPr>
              <w:t>9</w:t>
            </w:r>
          </w:p>
        </w:tc>
        <w:tc>
          <w:tcPr>
            <w:tcW w:w="2101" w:type="pct"/>
            <w:vAlign w:val="center"/>
          </w:tcPr>
          <w:p w:rsidR="000C2455" w:rsidRPr="00687B52" w:rsidRDefault="000C2455" w:rsidP="003E1D2A">
            <w:pPr>
              <w:pStyle w:val="a7"/>
              <w:jc w:val="left"/>
              <w:rPr>
                <w:b/>
                <w:color w:val="000000" w:themeColor="text1"/>
                <w:szCs w:val="24"/>
              </w:rPr>
            </w:pPr>
            <w:r w:rsidRPr="00687B52">
              <w:rPr>
                <w:rFonts w:hint="eastAsia"/>
                <w:b/>
                <w:color w:val="000000" w:themeColor="text1"/>
                <w:szCs w:val="24"/>
              </w:rPr>
              <w:t>应急与事故管理</w:t>
            </w:r>
          </w:p>
        </w:tc>
        <w:tc>
          <w:tcPr>
            <w:tcW w:w="1193" w:type="pct"/>
            <w:vAlign w:val="center"/>
          </w:tcPr>
          <w:p w:rsidR="000C2455" w:rsidRPr="00687B52" w:rsidRDefault="000C2455" w:rsidP="003E1D2A">
            <w:pPr>
              <w:pStyle w:val="a7"/>
              <w:rPr>
                <w:color w:val="000000" w:themeColor="text1"/>
                <w:szCs w:val="24"/>
              </w:rPr>
            </w:pP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9.1</w:t>
            </w:r>
          </w:p>
        </w:tc>
        <w:tc>
          <w:tcPr>
            <w:tcW w:w="2101" w:type="pct"/>
            <w:vAlign w:val="center"/>
          </w:tcPr>
          <w:p w:rsidR="000C2455" w:rsidRPr="00687B52" w:rsidRDefault="000C2455" w:rsidP="003E1D2A">
            <w:pPr>
              <w:pStyle w:val="a7"/>
              <w:jc w:val="left"/>
              <w:rPr>
                <w:color w:val="000000" w:themeColor="text1"/>
              </w:rPr>
            </w:pPr>
            <w:r w:rsidRPr="00687B52">
              <w:rPr>
                <w:rFonts w:hint="eastAsia"/>
                <w:color w:val="000000" w:themeColor="text1"/>
              </w:rPr>
              <w:t>企业</w:t>
            </w:r>
            <w:r w:rsidRPr="00687B52">
              <w:rPr>
                <w:color w:val="000000" w:themeColor="text1"/>
              </w:rPr>
              <w:t>应建立应急救援组织；生产经营规模较小，可以不建立应急救援组织的，应当指定兼职的应急救援人员。</w:t>
            </w:r>
            <w:r w:rsidRPr="00687B52">
              <w:rPr>
                <w:rFonts w:hint="eastAsia"/>
                <w:color w:val="000000" w:themeColor="text1"/>
              </w:rPr>
              <w:t>应急组织包括急指挥系统、应急救援队伍，明确各级应急指挥系统和救援队的职责。</w:t>
            </w:r>
          </w:p>
        </w:tc>
        <w:tc>
          <w:tcPr>
            <w:tcW w:w="1193" w:type="pct"/>
            <w:vAlign w:val="center"/>
          </w:tcPr>
          <w:p w:rsidR="000C2455" w:rsidRPr="00687B52" w:rsidRDefault="000C2455" w:rsidP="003E1D2A">
            <w:pPr>
              <w:pStyle w:val="a7"/>
              <w:rPr>
                <w:color w:val="000000" w:themeColor="text1"/>
              </w:rPr>
            </w:pPr>
            <w:r w:rsidRPr="00687B52">
              <w:rPr>
                <w:rFonts w:hint="eastAsia"/>
                <w:color w:val="000000" w:themeColor="text1"/>
              </w:rPr>
              <w:t>《安全生产法》第</w:t>
            </w:r>
            <w:r w:rsidRPr="00687B52">
              <w:rPr>
                <w:rFonts w:hint="eastAsia"/>
                <w:color w:val="000000" w:themeColor="text1"/>
              </w:rPr>
              <w:t>69</w:t>
            </w:r>
            <w:r w:rsidRPr="00687B52">
              <w:rPr>
                <w:rFonts w:hint="eastAsia"/>
                <w:color w:val="000000" w:themeColor="text1"/>
              </w:rPr>
              <w:t>条</w:t>
            </w:r>
          </w:p>
          <w:p w:rsidR="000C2455" w:rsidRPr="00687B52" w:rsidRDefault="000C2455" w:rsidP="003E1D2A">
            <w:pPr>
              <w:pStyle w:val="a7"/>
              <w:rPr>
                <w:color w:val="000000" w:themeColor="text1"/>
              </w:rPr>
            </w:pPr>
            <w:r w:rsidRPr="00687B52">
              <w:rPr>
                <w:rFonts w:hint="eastAsia"/>
                <w:color w:val="000000" w:themeColor="text1"/>
              </w:rPr>
              <w:t>《危险化学品从业单位安全生产标准化通用规范》</w:t>
            </w:r>
            <w:r w:rsidRPr="00687B52">
              <w:rPr>
                <w:color w:val="000000" w:themeColor="text1"/>
              </w:rPr>
              <w:t>(AQ3013</w:t>
            </w:r>
            <w:r w:rsidRPr="00687B52">
              <w:rPr>
                <w:rFonts w:hint="eastAsia"/>
                <w:color w:val="000000" w:themeColor="text1"/>
              </w:rPr>
              <w:t>－</w:t>
            </w:r>
            <w:r w:rsidRPr="00687B52">
              <w:rPr>
                <w:color w:val="000000" w:themeColor="text1"/>
              </w:rPr>
              <w:t>2008)</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9.2</w:t>
            </w:r>
          </w:p>
        </w:tc>
        <w:tc>
          <w:tcPr>
            <w:tcW w:w="2101" w:type="pct"/>
            <w:vAlign w:val="center"/>
          </w:tcPr>
          <w:p w:rsidR="000C2455" w:rsidRPr="00687B52" w:rsidRDefault="000C2455" w:rsidP="003E1D2A">
            <w:pPr>
              <w:pStyle w:val="a7"/>
              <w:jc w:val="left"/>
              <w:rPr>
                <w:color w:val="000000" w:themeColor="text1"/>
              </w:rPr>
            </w:pPr>
            <w:r w:rsidRPr="00687B52">
              <w:rPr>
                <w:rFonts w:hint="eastAsia"/>
                <w:color w:val="000000" w:themeColor="text1"/>
              </w:rPr>
              <w:t>企业应依据有关标准</w:t>
            </w:r>
            <w:r w:rsidRPr="00687B52">
              <w:rPr>
                <w:color w:val="000000" w:themeColor="text1"/>
              </w:rPr>
              <w:t>制定本单位的生产安全事故应急救援预案</w:t>
            </w:r>
            <w:r w:rsidRPr="00687B52">
              <w:rPr>
                <w:rFonts w:hint="eastAsia"/>
                <w:color w:val="000000" w:themeColor="text1"/>
              </w:rPr>
              <w:t>，并经企业负责人签字生效后</w:t>
            </w:r>
            <w:r w:rsidRPr="00687B52">
              <w:rPr>
                <w:rFonts w:hint="eastAsia"/>
                <w:color w:val="000000" w:themeColor="text1"/>
                <w:szCs w:val="24"/>
              </w:rPr>
              <w:t>报所在地设区的市级人民政府安全生产监督管理部门备案。构成</w:t>
            </w:r>
            <w:r w:rsidRPr="00687B52">
              <w:rPr>
                <w:rFonts w:hint="eastAsia"/>
                <w:color w:val="000000" w:themeColor="text1"/>
                <w:kern w:val="0"/>
                <w:szCs w:val="24"/>
              </w:rPr>
              <w:t>重大危险源的企业应制定重大危险源事故专项应急预案；</w:t>
            </w:r>
            <w:r w:rsidRPr="00687B52">
              <w:rPr>
                <w:rFonts w:ascii="inherit" w:hAnsi="inherit" w:cs="宋体"/>
                <w:color w:val="000000" w:themeColor="text1"/>
                <w:kern w:val="0"/>
                <w:szCs w:val="24"/>
              </w:rPr>
              <w:t>特种设备使用单位应当制定特种设备事故应急专项预案</w:t>
            </w:r>
            <w:r w:rsidRPr="00687B52">
              <w:rPr>
                <w:rFonts w:ascii="inherit" w:hAnsi="inherit" w:cs="宋体" w:hint="eastAsia"/>
                <w:color w:val="000000" w:themeColor="text1"/>
                <w:kern w:val="0"/>
                <w:szCs w:val="24"/>
              </w:rPr>
              <w:t>。</w:t>
            </w:r>
          </w:p>
        </w:tc>
        <w:tc>
          <w:tcPr>
            <w:tcW w:w="1193" w:type="pct"/>
            <w:vAlign w:val="center"/>
          </w:tcPr>
          <w:p w:rsidR="000C2455" w:rsidRPr="00687B52" w:rsidRDefault="000C2455" w:rsidP="003E1D2A">
            <w:pPr>
              <w:pStyle w:val="a7"/>
              <w:rPr>
                <w:color w:val="000000" w:themeColor="text1"/>
              </w:rPr>
            </w:pPr>
            <w:r w:rsidRPr="00687B52">
              <w:rPr>
                <w:rFonts w:hint="eastAsia"/>
                <w:color w:val="000000" w:themeColor="text1"/>
              </w:rPr>
              <w:t>《安全生产法》第</w:t>
            </w:r>
            <w:r w:rsidRPr="00687B52">
              <w:rPr>
                <w:rFonts w:hint="eastAsia"/>
                <w:color w:val="000000" w:themeColor="text1"/>
              </w:rPr>
              <w:t>17</w:t>
            </w:r>
            <w:r w:rsidRPr="00687B52">
              <w:rPr>
                <w:rFonts w:hint="eastAsia"/>
                <w:color w:val="000000" w:themeColor="text1"/>
              </w:rPr>
              <w:t>条</w:t>
            </w:r>
          </w:p>
          <w:p w:rsidR="000C2455" w:rsidRPr="00687B52" w:rsidRDefault="000C2455" w:rsidP="003E1D2A">
            <w:pPr>
              <w:pStyle w:val="a7"/>
              <w:rPr>
                <w:color w:val="000000" w:themeColor="text1"/>
                <w:szCs w:val="24"/>
              </w:rPr>
            </w:pPr>
            <w:r w:rsidRPr="00687B52">
              <w:rPr>
                <w:rFonts w:hint="eastAsia"/>
                <w:color w:val="000000" w:themeColor="text1"/>
                <w:szCs w:val="24"/>
              </w:rPr>
              <w:t>《生产安全事故应急预案管理办法》第</w:t>
            </w:r>
            <w:r w:rsidRPr="00687B52">
              <w:rPr>
                <w:rFonts w:hint="eastAsia"/>
                <w:color w:val="000000" w:themeColor="text1"/>
                <w:szCs w:val="24"/>
              </w:rPr>
              <w:t>13</w:t>
            </w:r>
            <w:r w:rsidRPr="00687B52">
              <w:rPr>
                <w:rFonts w:hint="eastAsia"/>
                <w:color w:val="000000" w:themeColor="text1"/>
                <w:szCs w:val="24"/>
              </w:rPr>
              <w:t>条</w:t>
            </w:r>
          </w:p>
          <w:p w:rsidR="000C2455" w:rsidRPr="00687B52" w:rsidRDefault="00841EB0" w:rsidP="003E1D2A">
            <w:pPr>
              <w:pStyle w:val="a7"/>
              <w:rPr>
                <w:color w:val="000000" w:themeColor="text1"/>
              </w:rPr>
            </w:pPr>
            <w:r w:rsidRPr="00687B52">
              <w:rPr>
                <w:rFonts w:hint="eastAsia"/>
                <w:color w:val="000000" w:themeColor="text1"/>
              </w:rPr>
              <w:t>《生产经营单位生产安全</w:t>
            </w:r>
            <w:r w:rsidR="000C2455" w:rsidRPr="00687B52">
              <w:rPr>
                <w:rFonts w:hint="eastAsia"/>
                <w:color w:val="000000" w:themeColor="text1"/>
              </w:rPr>
              <w:t>事故应急预案编制导则》</w:t>
            </w:r>
          </w:p>
          <w:p w:rsidR="000C2455" w:rsidRPr="00687B52" w:rsidRDefault="00841EB0" w:rsidP="003E1D2A">
            <w:pPr>
              <w:pStyle w:val="a7"/>
              <w:rPr>
                <w:color w:val="000000" w:themeColor="text1"/>
              </w:rPr>
            </w:pPr>
            <w:r w:rsidRPr="00687B52">
              <w:rPr>
                <w:rFonts w:hint="eastAsia"/>
                <w:color w:val="000000" w:themeColor="text1"/>
              </w:rPr>
              <w:t>GBT 29639-2013</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9.3</w:t>
            </w:r>
          </w:p>
        </w:tc>
        <w:tc>
          <w:tcPr>
            <w:tcW w:w="2101" w:type="pct"/>
            <w:vAlign w:val="center"/>
          </w:tcPr>
          <w:p w:rsidR="000C2455" w:rsidRPr="00687B52" w:rsidRDefault="000C2455" w:rsidP="003E1D2A">
            <w:pPr>
              <w:pStyle w:val="a7"/>
              <w:jc w:val="left"/>
              <w:rPr>
                <w:color w:val="000000" w:themeColor="text1"/>
              </w:rPr>
            </w:pPr>
            <w:r w:rsidRPr="00687B52">
              <w:rPr>
                <w:rFonts w:hint="eastAsia"/>
                <w:color w:val="000000" w:themeColor="text1"/>
              </w:rPr>
              <w:t>企业应按照应急救援预案定期组织演练，并保留演练记录。并对演练效果进行评估，根据评估结果修订预</w:t>
            </w:r>
            <w:r w:rsidRPr="00687B52">
              <w:rPr>
                <w:rFonts w:hint="eastAsia"/>
                <w:color w:val="000000" w:themeColor="text1"/>
              </w:rPr>
              <w:lastRenderedPageBreak/>
              <w:t>案。</w:t>
            </w:r>
          </w:p>
        </w:tc>
        <w:tc>
          <w:tcPr>
            <w:tcW w:w="1193" w:type="pct"/>
            <w:vAlign w:val="center"/>
          </w:tcPr>
          <w:p w:rsidR="000C2455" w:rsidRPr="00687B52" w:rsidRDefault="000C2455" w:rsidP="003E1D2A">
            <w:pPr>
              <w:pStyle w:val="a7"/>
              <w:rPr>
                <w:color w:val="000000" w:themeColor="text1"/>
              </w:rPr>
            </w:pPr>
            <w:r w:rsidRPr="00687B52">
              <w:rPr>
                <w:rFonts w:hint="eastAsia"/>
                <w:color w:val="000000" w:themeColor="text1"/>
              </w:rPr>
              <w:lastRenderedPageBreak/>
              <w:t>《生产安全事故应急预案管理办法》（安监总局令第</w:t>
            </w:r>
            <w:r w:rsidRPr="00687B52">
              <w:rPr>
                <w:rFonts w:hint="eastAsia"/>
                <w:color w:val="000000" w:themeColor="text1"/>
              </w:rPr>
              <w:t>17</w:t>
            </w:r>
            <w:r w:rsidRPr="00687B52">
              <w:rPr>
                <w:rFonts w:hint="eastAsia"/>
                <w:color w:val="000000" w:themeColor="text1"/>
              </w:rPr>
              <w:lastRenderedPageBreak/>
              <w:t>号）</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lastRenderedPageBreak/>
              <w:t>9.4</w:t>
            </w:r>
          </w:p>
        </w:tc>
        <w:tc>
          <w:tcPr>
            <w:tcW w:w="2101" w:type="pct"/>
            <w:vAlign w:val="center"/>
          </w:tcPr>
          <w:p w:rsidR="000C2455" w:rsidRPr="00687B52" w:rsidRDefault="000C2455" w:rsidP="003E1D2A">
            <w:pPr>
              <w:pStyle w:val="a7"/>
              <w:jc w:val="left"/>
              <w:rPr>
                <w:color w:val="000000" w:themeColor="text1"/>
              </w:rPr>
            </w:pPr>
            <w:r w:rsidRPr="00687B52">
              <w:rPr>
                <w:rFonts w:hint="eastAsia"/>
                <w:color w:val="000000" w:themeColor="text1"/>
              </w:rPr>
              <w:t>预案至少每三年修订一次，下列情形之一的，应及时修订：</w:t>
            </w:r>
          </w:p>
          <w:p w:rsidR="000C2455" w:rsidRPr="00687B52" w:rsidRDefault="000C2455" w:rsidP="003E1D2A">
            <w:pPr>
              <w:pStyle w:val="a7"/>
              <w:jc w:val="left"/>
              <w:rPr>
                <w:color w:val="000000" w:themeColor="text1"/>
              </w:rPr>
            </w:pPr>
            <w:r w:rsidRPr="00687B52">
              <w:rPr>
                <w:rFonts w:hint="eastAsia"/>
                <w:color w:val="000000" w:themeColor="text1"/>
              </w:rPr>
              <w:t>1</w:t>
            </w:r>
            <w:r w:rsidRPr="00687B52">
              <w:rPr>
                <w:rFonts w:hint="eastAsia"/>
                <w:color w:val="000000" w:themeColor="text1"/>
              </w:rPr>
              <w:t>）生产经营单位因兼并、重组、转制等导致隶属关系、经营方式、法定代表人发生变化的；</w:t>
            </w:r>
          </w:p>
          <w:p w:rsidR="000C2455" w:rsidRPr="00687B52" w:rsidRDefault="000C2455" w:rsidP="003E1D2A">
            <w:pPr>
              <w:pStyle w:val="a7"/>
              <w:jc w:val="left"/>
              <w:rPr>
                <w:color w:val="000000" w:themeColor="text1"/>
              </w:rPr>
            </w:pPr>
            <w:r w:rsidRPr="00687B52">
              <w:rPr>
                <w:rFonts w:hint="eastAsia"/>
                <w:color w:val="000000" w:themeColor="text1"/>
              </w:rPr>
              <w:t>2</w:t>
            </w:r>
            <w:r w:rsidRPr="00687B52">
              <w:rPr>
                <w:rFonts w:hint="eastAsia"/>
                <w:color w:val="000000" w:themeColor="text1"/>
              </w:rPr>
              <w:t>）生产经营单位生产工艺和技术发生变化的；</w:t>
            </w:r>
          </w:p>
          <w:p w:rsidR="000C2455" w:rsidRPr="00687B52" w:rsidRDefault="000C2455" w:rsidP="003E1D2A">
            <w:pPr>
              <w:pStyle w:val="a7"/>
              <w:jc w:val="left"/>
              <w:rPr>
                <w:color w:val="000000" w:themeColor="text1"/>
              </w:rPr>
            </w:pPr>
            <w:r w:rsidRPr="00687B52">
              <w:rPr>
                <w:rFonts w:hint="eastAsia"/>
                <w:color w:val="000000" w:themeColor="text1"/>
              </w:rPr>
              <w:t>3</w:t>
            </w:r>
            <w:r w:rsidRPr="00687B52">
              <w:rPr>
                <w:rFonts w:hint="eastAsia"/>
                <w:color w:val="000000" w:themeColor="text1"/>
              </w:rPr>
              <w:t>）周围环境发生变化，形成新的重大危险源的；</w:t>
            </w:r>
          </w:p>
          <w:p w:rsidR="000C2455" w:rsidRPr="00687B52" w:rsidRDefault="000C2455" w:rsidP="003E1D2A">
            <w:pPr>
              <w:pStyle w:val="a7"/>
              <w:jc w:val="left"/>
              <w:rPr>
                <w:color w:val="000000" w:themeColor="text1"/>
              </w:rPr>
            </w:pPr>
            <w:r w:rsidRPr="00687B52">
              <w:rPr>
                <w:rFonts w:hint="eastAsia"/>
                <w:color w:val="000000" w:themeColor="text1"/>
              </w:rPr>
              <w:t>4</w:t>
            </w:r>
            <w:r w:rsidRPr="00687B52">
              <w:rPr>
                <w:rFonts w:hint="eastAsia"/>
                <w:color w:val="000000" w:themeColor="text1"/>
              </w:rPr>
              <w:t>）应急组织指挥体系或者职责已经调整的；</w:t>
            </w:r>
          </w:p>
          <w:p w:rsidR="000C2455" w:rsidRPr="00687B52" w:rsidRDefault="000C2455" w:rsidP="003E1D2A">
            <w:pPr>
              <w:pStyle w:val="a7"/>
              <w:jc w:val="left"/>
              <w:rPr>
                <w:color w:val="000000" w:themeColor="text1"/>
              </w:rPr>
            </w:pPr>
            <w:r w:rsidRPr="00687B52">
              <w:rPr>
                <w:rFonts w:hint="eastAsia"/>
                <w:color w:val="000000" w:themeColor="text1"/>
              </w:rPr>
              <w:t>5</w:t>
            </w:r>
            <w:r w:rsidRPr="00687B52">
              <w:rPr>
                <w:rFonts w:hint="eastAsia"/>
                <w:color w:val="000000" w:themeColor="text1"/>
              </w:rPr>
              <w:t>）依据的法律、法规、规章和标准发生变化的；</w:t>
            </w:r>
          </w:p>
          <w:p w:rsidR="000C2455" w:rsidRPr="00687B52" w:rsidRDefault="000C2455" w:rsidP="003E1D2A">
            <w:pPr>
              <w:pStyle w:val="a7"/>
              <w:jc w:val="left"/>
              <w:rPr>
                <w:color w:val="000000" w:themeColor="text1"/>
              </w:rPr>
            </w:pPr>
            <w:r w:rsidRPr="00687B52">
              <w:rPr>
                <w:rFonts w:hint="eastAsia"/>
                <w:color w:val="000000" w:themeColor="text1"/>
              </w:rPr>
              <w:t>6</w:t>
            </w:r>
            <w:r w:rsidRPr="00687B52">
              <w:rPr>
                <w:rFonts w:hint="eastAsia"/>
                <w:color w:val="000000" w:themeColor="text1"/>
              </w:rPr>
              <w:t>）应急预案演练评估报告要求修订的；</w:t>
            </w:r>
          </w:p>
          <w:p w:rsidR="000C2455" w:rsidRPr="00687B52" w:rsidRDefault="000C2455" w:rsidP="003E1D2A">
            <w:pPr>
              <w:pStyle w:val="a7"/>
              <w:jc w:val="left"/>
              <w:rPr>
                <w:color w:val="000000" w:themeColor="text1"/>
              </w:rPr>
            </w:pPr>
            <w:r w:rsidRPr="00687B52">
              <w:rPr>
                <w:rFonts w:hint="eastAsia"/>
                <w:color w:val="000000" w:themeColor="text1"/>
              </w:rPr>
              <w:t>7</w:t>
            </w:r>
            <w:r w:rsidRPr="00687B52">
              <w:rPr>
                <w:rFonts w:hint="eastAsia"/>
                <w:color w:val="000000" w:themeColor="text1"/>
              </w:rPr>
              <w:t>）应急预案管理部门要求修订的。</w:t>
            </w:r>
          </w:p>
        </w:tc>
        <w:tc>
          <w:tcPr>
            <w:tcW w:w="1193" w:type="pct"/>
            <w:vAlign w:val="center"/>
          </w:tcPr>
          <w:p w:rsidR="000C2455" w:rsidRPr="00687B52" w:rsidRDefault="000C2455" w:rsidP="003E1D2A">
            <w:pPr>
              <w:pStyle w:val="a7"/>
              <w:rPr>
                <w:color w:val="000000" w:themeColor="text1"/>
              </w:rPr>
            </w:pPr>
            <w:r w:rsidRPr="00687B52">
              <w:rPr>
                <w:rFonts w:hint="eastAsia"/>
                <w:color w:val="000000" w:themeColor="text1"/>
              </w:rPr>
              <w:t>《生产安全事故应急预案管理办法》第</w:t>
            </w:r>
            <w:r w:rsidRPr="00687B52">
              <w:rPr>
                <w:rFonts w:hint="eastAsia"/>
                <w:color w:val="000000" w:themeColor="text1"/>
              </w:rPr>
              <w:t>35</w:t>
            </w:r>
            <w:r w:rsidRPr="00687B52">
              <w:rPr>
                <w:rFonts w:hint="eastAsia"/>
                <w:color w:val="000000" w:themeColor="text1"/>
              </w:rPr>
              <w:t>、</w:t>
            </w:r>
            <w:r w:rsidRPr="00687B52">
              <w:rPr>
                <w:rFonts w:hint="eastAsia"/>
                <w:color w:val="000000" w:themeColor="text1"/>
              </w:rPr>
              <w:t>36</w:t>
            </w:r>
            <w:r w:rsidRPr="00687B52">
              <w:rPr>
                <w:rFonts w:hint="eastAsia"/>
                <w:color w:val="000000" w:themeColor="text1"/>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9.5</w:t>
            </w:r>
          </w:p>
        </w:tc>
        <w:tc>
          <w:tcPr>
            <w:tcW w:w="2101" w:type="pct"/>
            <w:vAlign w:val="center"/>
          </w:tcPr>
          <w:p w:rsidR="000C2455" w:rsidRPr="00687B52" w:rsidRDefault="000C2455" w:rsidP="003E1D2A">
            <w:pPr>
              <w:pStyle w:val="a7"/>
              <w:jc w:val="left"/>
              <w:rPr>
                <w:color w:val="000000" w:themeColor="text1"/>
              </w:rPr>
            </w:pPr>
            <w:r w:rsidRPr="00687B52">
              <w:rPr>
                <w:rFonts w:hint="eastAsia"/>
                <w:color w:val="000000" w:themeColor="text1"/>
              </w:rPr>
              <w:t>企业</w:t>
            </w:r>
            <w:r w:rsidRPr="00687B52">
              <w:rPr>
                <w:color w:val="000000" w:themeColor="text1"/>
              </w:rPr>
              <w:t>应配备必要的应急救援器材、设备，并</w:t>
            </w:r>
            <w:r w:rsidRPr="00687B52">
              <w:rPr>
                <w:rFonts w:hint="eastAsia"/>
                <w:color w:val="000000" w:themeColor="text1"/>
              </w:rPr>
              <w:t>建立应急救援器材台账，有专人</w:t>
            </w:r>
            <w:r w:rsidRPr="00687B52">
              <w:rPr>
                <w:color w:val="000000" w:themeColor="text1"/>
              </w:rPr>
              <w:t>进行经常性维护、保养</w:t>
            </w:r>
            <w:r w:rsidRPr="00687B52">
              <w:rPr>
                <w:rFonts w:hint="eastAsia"/>
                <w:color w:val="000000" w:themeColor="text1"/>
              </w:rPr>
              <w:t>并记录，保证其处于完好状态</w:t>
            </w:r>
            <w:r w:rsidRPr="00687B52">
              <w:rPr>
                <w:color w:val="000000" w:themeColor="text1"/>
              </w:rPr>
              <w:t>。</w:t>
            </w:r>
          </w:p>
        </w:tc>
        <w:tc>
          <w:tcPr>
            <w:tcW w:w="1193" w:type="pct"/>
            <w:vAlign w:val="center"/>
          </w:tcPr>
          <w:p w:rsidR="000C2455" w:rsidRPr="00687B52" w:rsidRDefault="000C2455" w:rsidP="003E1D2A">
            <w:pPr>
              <w:pStyle w:val="a7"/>
              <w:rPr>
                <w:color w:val="000000" w:themeColor="text1"/>
              </w:rPr>
            </w:pPr>
            <w:r w:rsidRPr="00687B52">
              <w:rPr>
                <w:rFonts w:hint="eastAsia"/>
                <w:color w:val="000000" w:themeColor="text1"/>
              </w:rPr>
              <w:t>《安全生产法》第</w:t>
            </w:r>
            <w:r w:rsidRPr="00687B52">
              <w:rPr>
                <w:rFonts w:hint="eastAsia"/>
                <w:color w:val="000000" w:themeColor="text1"/>
              </w:rPr>
              <w:t>69</w:t>
            </w:r>
            <w:r w:rsidRPr="00687B52">
              <w:rPr>
                <w:rFonts w:hint="eastAsia"/>
                <w:color w:val="000000" w:themeColor="text1"/>
              </w:rPr>
              <w:t>条</w:t>
            </w:r>
          </w:p>
          <w:p w:rsidR="000C2455" w:rsidRPr="00687B52" w:rsidRDefault="000C2455" w:rsidP="003E1D2A">
            <w:pPr>
              <w:pStyle w:val="a7"/>
              <w:rPr>
                <w:color w:val="000000" w:themeColor="text1"/>
              </w:rPr>
            </w:pPr>
            <w:r w:rsidRPr="00687B52">
              <w:rPr>
                <w:rFonts w:hint="eastAsia"/>
                <w:color w:val="000000" w:themeColor="text1"/>
              </w:rPr>
              <w:t>《危险化学品从业单位安全生产标准化通用规范》</w:t>
            </w:r>
            <w:r w:rsidRPr="00687B52">
              <w:rPr>
                <w:color w:val="000000" w:themeColor="text1"/>
              </w:rPr>
              <w:t>(AQ3013</w:t>
            </w:r>
            <w:r w:rsidRPr="00687B52">
              <w:rPr>
                <w:rFonts w:hint="eastAsia"/>
                <w:color w:val="000000" w:themeColor="text1"/>
              </w:rPr>
              <w:t>－</w:t>
            </w:r>
            <w:r w:rsidRPr="00687B52">
              <w:rPr>
                <w:color w:val="000000" w:themeColor="text1"/>
              </w:rPr>
              <w:t>2008)</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9.6</w:t>
            </w:r>
          </w:p>
        </w:tc>
        <w:tc>
          <w:tcPr>
            <w:tcW w:w="2101" w:type="pct"/>
            <w:vAlign w:val="center"/>
          </w:tcPr>
          <w:p w:rsidR="000C2455" w:rsidRPr="00687B52" w:rsidRDefault="000C2455" w:rsidP="003E1D2A">
            <w:pPr>
              <w:pStyle w:val="a7"/>
              <w:jc w:val="left"/>
              <w:rPr>
                <w:color w:val="000000" w:themeColor="text1"/>
                <w:kern w:val="0"/>
                <w:szCs w:val="24"/>
              </w:rPr>
            </w:pPr>
            <w:r w:rsidRPr="00687B52">
              <w:rPr>
                <w:color w:val="000000" w:themeColor="text1"/>
                <w:kern w:val="0"/>
                <w:szCs w:val="24"/>
              </w:rPr>
              <w:t>发生生产安全事故后，事故现场有关人员应当立即报告本单位负责人。单位负责人接到事故报告后，</w:t>
            </w:r>
            <w:r w:rsidRPr="00687B52">
              <w:rPr>
                <w:rFonts w:hint="eastAsia"/>
                <w:color w:val="000000" w:themeColor="text1"/>
                <w:szCs w:val="24"/>
              </w:rPr>
              <w:t>应当于</w:t>
            </w:r>
            <w:r w:rsidRPr="00687B52">
              <w:rPr>
                <w:rFonts w:hint="eastAsia"/>
                <w:color w:val="000000" w:themeColor="text1"/>
                <w:szCs w:val="24"/>
              </w:rPr>
              <w:t>1</w:t>
            </w:r>
            <w:r w:rsidRPr="00687B52">
              <w:rPr>
                <w:rFonts w:hint="eastAsia"/>
                <w:color w:val="000000" w:themeColor="text1"/>
                <w:szCs w:val="24"/>
              </w:rPr>
              <w:t>小时内向事故发生地有关部门报告。</w:t>
            </w:r>
          </w:p>
        </w:tc>
        <w:tc>
          <w:tcPr>
            <w:tcW w:w="119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《安全生产法》第</w:t>
            </w:r>
            <w:r w:rsidRPr="00687B52">
              <w:rPr>
                <w:rFonts w:hint="eastAsia"/>
                <w:color w:val="000000" w:themeColor="text1"/>
                <w:szCs w:val="24"/>
              </w:rPr>
              <w:t>80</w:t>
            </w:r>
            <w:r w:rsidRPr="00687B52">
              <w:rPr>
                <w:rFonts w:hint="eastAsia"/>
                <w:color w:val="000000" w:themeColor="text1"/>
                <w:szCs w:val="24"/>
              </w:rPr>
              <w:t>条、《生产安全事故报告和调查处理条例》第</w:t>
            </w:r>
            <w:r w:rsidRPr="00687B52">
              <w:rPr>
                <w:rFonts w:hint="eastAsia"/>
                <w:color w:val="000000" w:themeColor="text1"/>
                <w:szCs w:val="24"/>
              </w:rPr>
              <w:t>9</w:t>
            </w:r>
            <w:r w:rsidRPr="00687B52">
              <w:rPr>
                <w:rFonts w:hint="eastAsia"/>
                <w:color w:val="000000" w:themeColor="text1"/>
                <w:szCs w:val="24"/>
              </w:rPr>
              <w:t>条</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rPr>
            </w:pPr>
            <w:r w:rsidRPr="00687B52">
              <w:rPr>
                <w:rFonts w:hint="eastAsia"/>
                <w:color w:val="000000" w:themeColor="text1"/>
              </w:rPr>
              <w:t>9.7</w:t>
            </w:r>
          </w:p>
        </w:tc>
        <w:tc>
          <w:tcPr>
            <w:tcW w:w="2101" w:type="pct"/>
            <w:vAlign w:val="center"/>
          </w:tcPr>
          <w:p w:rsidR="000C2455" w:rsidRPr="00687B52" w:rsidRDefault="000C2455" w:rsidP="003E1D2A">
            <w:pPr>
              <w:pStyle w:val="a7"/>
              <w:jc w:val="both"/>
              <w:rPr>
                <w:color w:val="000000" w:themeColor="text1"/>
              </w:rPr>
            </w:pPr>
            <w:r w:rsidRPr="00687B52">
              <w:rPr>
                <w:rFonts w:hint="eastAsia"/>
                <w:color w:val="000000" w:themeColor="text1"/>
              </w:rPr>
              <w:t>企业应建立事故档案和事故管理台账。</w:t>
            </w:r>
          </w:p>
        </w:tc>
        <w:tc>
          <w:tcPr>
            <w:tcW w:w="1193" w:type="pct"/>
            <w:vAlign w:val="center"/>
          </w:tcPr>
          <w:p w:rsidR="000C2455" w:rsidRPr="00687B52" w:rsidRDefault="000C2455" w:rsidP="003E1D2A">
            <w:pPr>
              <w:pStyle w:val="a7"/>
              <w:rPr>
                <w:color w:val="000000" w:themeColor="text1"/>
              </w:rPr>
            </w:pPr>
            <w:r w:rsidRPr="00687B52">
              <w:rPr>
                <w:rFonts w:hint="eastAsia"/>
                <w:color w:val="000000" w:themeColor="text1"/>
              </w:rPr>
              <w:t>《危险化学品从业单位安全生产标准化通用规范》</w:t>
            </w:r>
            <w:r w:rsidRPr="00687B52">
              <w:rPr>
                <w:color w:val="000000" w:themeColor="text1"/>
              </w:rPr>
              <w:t>(AQ3013</w:t>
            </w:r>
            <w:r w:rsidRPr="00687B52">
              <w:rPr>
                <w:rFonts w:hint="eastAsia"/>
                <w:color w:val="000000" w:themeColor="text1"/>
              </w:rPr>
              <w:t>－</w:t>
            </w:r>
            <w:r w:rsidRPr="00687B52">
              <w:rPr>
                <w:color w:val="000000" w:themeColor="text1"/>
              </w:rPr>
              <w:t>2008)</w:t>
            </w:r>
          </w:p>
        </w:tc>
        <w:tc>
          <w:tcPr>
            <w:tcW w:w="1326" w:type="pct"/>
          </w:tcPr>
          <w:p w:rsidR="000C2455" w:rsidRPr="00687B52" w:rsidRDefault="000C2455" w:rsidP="003E1D2A">
            <w:pPr>
              <w:pStyle w:val="a7"/>
              <w:rPr>
                <w:color w:val="000000" w:themeColor="text1"/>
                <w:szCs w:val="24"/>
              </w:rPr>
            </w:pPr>
          </w:p>
        </w:tc>
      </w:tr>
      <w:tr w:rsidR="000C2455" w:rsidRPr="00687B52" w:rsidTr="00E93DDA">
        <w:trPr>
          <w:jc w:val="center"/>
        </w:trPr>
        <w:tc>
          <w:tcPr>
            <w:tcW w:w="380" w:type="pct"/>
            <w:vAlign w:val="center"/>
          </w:tcPr>
          <w:p w:rsidR="000C2455" w:rsidRPr="00687B52" w:rsidRDefault="000C2455" w:rsidP="003E1D2A">
            <w:pPr>
              <w:pStyle w:val="a7"/>
              <w:rPr>
                <w:color w:val="000000" w:themeColor="text1"/>
              </w:rPr>
            </w:pPr>
            <w:r w:rsidRPr="00687B52">
              <w:rPr>
                <w:rFonts w:hint="eastAsia"/>
                <w:color w:val="000000" w:themeColor="text1"/>
              </w:rPr>
              <w:t>9.8</w:t>
            </w:r>
          </w:p>
        </w:tc>
        <w:tc>
          <w:tcPr>
            <w:tcW w:w="2101" w:type="pct"/>
          </w:tcPr>
          <w:p w:rsidR="000C2455" w:rsidRPr="00687B52" w:rsidRDefault="000C2455" w:rsidP="003E1D2A">
            <w:pPr>
              <w:pStyle w:val="a7"/>
              <w:jc w:val="left"/>
              <w:rPr>
                <w:rFonts w:ascii="宋体" w:hAnsi="宋体" w:cs="Times New Roman"/>
                <w:bCs/>
                <w:color w:val="000000" w:themeColor="text1"/>
              </w:rPr>
            </w:pPr>
            <w:r w:rsidRPr="00687B52">
              <w:rPr>
                <w:rFonts w:ascii="宋体" w:hAnsi="宋体" w:cs="Times New Roman"/>
                <w:bCs/>
                <w:color w:val="000000" w:themeColor="text1"/>
              </w:rPr>
              <w:t>企业应落实事故整改和预防措施，防止事故再次发生。整改和预防措施应包括：</w:t>
            </w:r>
          </w:p>
          <w:p w:rsidR="000C2455" w:rsidRPr="00687B52" w:rsidRDefault="000C2455" w:rsidP="003E1D2A">
            <w:pPr>
              <w:pStyle w:val="a7"/>
              <w:jc w:val="left"/>
              <w:rPr>
                <w:rFonts w:ascii="宋体" w:hAnsi="宋体" w:cs="Times New Roman"/>
                <w:bCs/>
                <w:color w:val="000000" w:themeColor="text1"/>
              </w:rPr>
            </w:pPr>
            <w:r w:rsidRPr="00687B52">
              <w:rPr>
                <w:rFonts w:ascii="宋体" w:hAnsi="宋体" w:cs="Times New Roman"/>
                <w:bCs/>
                <w:color w:val="000000" w:themeColor="text1"/>
              </w:rPr>
              <w:t>1）工程技术措施；</w:t>
            </w:r>
          </w:p>
          <w:p w:rsidR="000C2455" w:rsidRPr="00687B52" w:rsidRDefault="000C2455" w:rsidP="003E1D2A">
            <w:pPr>
              <w:pStyle w:val="a7"/>
              <w:jc w:val="left"/>
              <w:rPr>
                <w:rFonts w:ascii="宋体" w:hAnsi="宋体" w:cs="Times New Roman"/>
                <w:bCs/>
                <w:color w:val="000000" w:themeColor="text1"/>
              </w:rPr>
            </w:pPr>
            <w:r w:rsidRPr="00687B52">
              <w:rPr>
                <w:rFonts w:ascii="宋体" w:hAnsi="宋体" w:cs="Times New Roman"/>
                <w:bCs/>
                <w:color w:val="000000" w:themeColor="text1"/>
              </w:rPr>
              <w:t>2）培训教育措施；</w:t>
            </w:r>
          </w:p>
          <w:p w:rsidR="000C2455" w:rsidRPr="00687B52" w:rsidRDefault="000C2455" w:rsidP="003E1D2A">
            <w:pPr>
              <w:pStyle w:val="a7"/>
              <w:jc w:val="left"/>
              <w:rPr>
                <w:rFonts w:ascii="宋体" w:hAnsi="宋体" w:cs="Times New Roman"/>
                <w:bCs/>
                <w:color w:val="000000" w:themeColor="text1"/>
              </w:rPr>
            </w:pPr>
            <w:r w:rsidRPr="00687B52">
              <w:rPr>
                <w:rFonts w:ascii="宋体" w:hAnsi="宋体" w:cs="Times New Roman"/>
                <w:bCs/>
                <w:color w:val="000000" w:themeColor="text1"/>
              </w:rPr>
              <w:t>3）管理措施。</w:t>
            </w:r>
          </w:p>
        </w:tc>
        <w:tc>
          <w:tcPr>
            <w:tcW w:w="1193" w:type="pct"/>
            <w:vAlign w:val="center"/>
          </w:tcPr>
          <w:p w:rsidR="000C2455" w:rsidRPr="00687B52" w:rsidRDefault="000C2455" w:rsidP="003E1D2A">
            <w:pPr>
              <w:pStyle w:val="a7"/>
              <w:rPr>
                <w:color w:val="000000" w:themeColor="text1"/>
              </w:rPr>
            </w:pPr>
            <w:r w:rsidRPr="00687B52">
              <w:rPr>
                <w:rFonts w:hint="eastAsia"/>
                <w:color w:val="000000" w:themeColor="text1"/>
              </w:rPr>
              <w:t>《危险化学品从业单位安全生产标准化通用规范》</w:t>
            </w:r>
            <w:r w:rsidRPr="00687B52">
              <w:rPr>
                <w:color w:val="000000" w:themeColor="text1"/>
              </w:rPr>
              <w:t>(AQ3013</w:t>
            </w:r>
            <w:r w:rsidRPr="00687B52">
              <w:rPr>
                <w:rFonts w:hint="eastAsia"/>
                <w:color w:val="000000" w:themeColor="text1"/>
              </w:rPr>
              <w:t>－</w:t>
            </w:r>
            <w:r w:rsidRPr="00687B52">
              <w:rPr>
                <w:color w:val="000000" w:themeColor="text1"/>
              </w:rPr>
              <w:t>2008)</w:t>
            </w:r>
          </w:p>
        </w:tc>
        <w:tc>
          <w:tcPr>
            <w:tcW w:w="1326" w:type="pct"/>
          </w:tcPr>
          <w:p w:rsidR="000C2455" w:rsidRPr="00687B52" w:rsidRDefault="000C2455" w:rsidP="003E1D2A">
            <w:pPr>
              <w:pStyle w:val="a7"/>
              <w:rPr>
                <w:color w:val="000000" w:themeColor="text1"/>
                <w:szCs w:val="24"/>
              </w:rPr>
            </w:pPr>
          </w:p>
        </w:tc>
      </w:tr>
    </w:tbl>
    <w:p w:rsidR="000C2455" w:rsidRPr="00687B52" w:rsidRDefault="000C2455" w:rsidP="000C2455">
      <w:pPr>
        <w:widowControl/>
        <w:spacing w:before="100" w:beforeAutospacing="1" w:after="100" w:afterAutospacing="1"/>
        <w:rPr>
          <w:rFonts w:ascii="宋体" w:eastAsia="宋体" w:hAnsi="宋体" w:cs="宋体"/>
          <w:b/>
          <w:color w:val="000000" w:themeColor="text1"/>
          <w:kern w:val="0"/>
          <w:sz w:val="28"/>
          <w:szCs w:val="28"/>
        </w:rPr>
        <w:sectPr w:rsidR="000C2455" w:rsidRPr="00687B52" w:rsidSect="00C05B82">
          <w:pgSz w:w="16838" w:h="11906" w:orient="landscape"/>
          <w:pgMar w:top="1440" w:right="1797" w:bottom="1440" w:left="1797" w:header="851" w:footer="992" w:gutter="0"/>
          <w:cols w:space="425"/>
          <w:docGrid w:type="lines" w:linePitch="312"/>
        </w:sectPr>
      </w:pPr>
    </w:p>
    <w:p w:rsidR="000C2455" w:rsidRPr="00687B52" w:rsidRDefault="008F7442" w:rsidP="00C05B82">
      <w:pPr>
        <w:pStyle w:val="aff3"/>
        <w:numPr>
          <w:ilvl w:val="0"/>
          <w:numId w:val="0"/>
        </w:numPr>
        <w:rPr>
          <w:color w:val="000000" w:themeColor="text1"/>
        </w:rPr>
      </w:pPr>
      <w:bookmarkStart w:id="18" w:name="_Toc492634890"/>
      <w:r w:rsidRPr="00687B52">
        <w:rPr>
          <w:rFonts w:hint="eastAsia"/>
          <w:color w:val="000000" w:themeColor="text1"/>
        </w:rPr>
        <w:lastRenderedPageBreak/>
        <w:t>表</w:t>
      </w:r>
      <w:r w:rsidRPr="00687B52">
        <w:rPr>
          <w:rFonts w:hint="eastAsia"/>
          <w:color w:val="000000" w:themeColor="text1"/>
        </w:rPr>
        <w:t xml:space="preserve">1-2 </w:t>
      </w:r>
      <w:r w:rsidR="000C2455" w:rsidRPr="00687B52">
        <w:rPr>
          <w:rFonts w:hint="eastAsia"/>
          <w:color w:val="000000" w:themeColor="text1"/>
        </w:rPr>
        <w:t>职业卫生</w:t>
      </w:r>
      <w:r w:rsidRPr="00687B52">
        <w:rPr>
          <w:rFonts w:hint="eastAsia"/>
          <w:color w:val="000000" w:themeColor="text1"/>
        </w:rPr>
        <w:t>通用</w:t>
      </w:r>
      <w:r w:rsidR="000C2455" w:rsidRPr="00687B52">
        <w:rPr>
          <w:rFonts w:hint="eastAsia"/>
          <w:color w:val="000000" w:themeColor="text1"/>
        </w:rPr>
        <w:t>检查表</w:t>
      </w:r>
      <w:bookmarkEnd w:id="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5538"/>
        <w:gridCol w:w="3355"/>
        <w:gridCol w:w="3576"/>
      </w:tblGrid>
      <w:tr w:rsidR="000C2455" w:rsidRPr="00687B52" w:rsidTr="004D7D3D">
        <w:trPr>
          <w:jc w:val="center"/>
        </w:trPr>
        <w:tc>
          <w:tcPr>
            <w:tcW w:w="380" w:type="pct"/>
            <w:vAlign w:val="center"/>
          </w:tcPr>
          <w:p w:rsidR="000C2455" w:rsidRPr="00687B52" w:rsidRDefault="000C2455" w:rsidP="00C05B82">
            <w:pPr>
              <w:pStyle w:val="a7"/>
              <w:rPr>
                <w:color w:val="000000" w:themeColor="text1"/>
                <w:szCs w:val="24"/>
              </w:rPr>
            </w:pPr>
            <w:r w:rsidRPr="00687B52">
              <w:rPr>
                <w:rFonts w:hint="eastAsia"/>
                <w:color w:val="000000" w:themeColor="text1"/>
                <w:szCs w:val="24"/>
              </w:rPr>
              <w:t>序号</w:t>
            </w:r>
          </w:p>
        </w:tc>
        <w:tc>
          <w:tcPr>
            <w:tcW w:w="2052"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检查内容</w:t>
            </w:r>
          </w:p>
        </w:tc>
        <w:tc>
          <w:tcPr>
            <w:tcW w:w="124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检查依据</w:t>
            </w:r>
          </w:p>
        </w:tc>
        <w:tc>
          <w:tcPr>
            <w:tcW w:w="1325"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检查情况</w:t>
            </w:r>
          </w:p>
        </w:tc>
      </w:tr>
      <w:tr w:rsidR="000C2455" w:rsidRPr="00687B52" w:rsidTr="004D7D3D">
        <w:trPr>
          <w:jc w:val="center"/>
        </w:trPr>
        <w:tc>
          <w:tcPr>
            <w:tcW w:w="380" w:type="pct"/>
            <w:vAlign w:val="center"/>
          </w:tcPr>
          <w:p w:rsidR="000C2455" w:rsidRPr="00687B52" w:rsidRDefault="004A5011" w:rsidP="00C05B82">
            <w:pPr>
              <w:pStyle w:val="a7"/>
              <w:rPr>
                <w:rFonts w:ascii="宋体" w:hAnsi="宋体"/>
                <w:b/>
                <w:color w:val="000000" w:themeColor="text1"/>
                <w:szCs w:val="24"/>
              </w:rPr>
            </w:pPr>
            <w:r w:rsidRPr="00687B52">
              <w:rPr>
                <w:rFonts w:ascii="宋体" w:hAnsi="宋体" w:hint="eastAsia"/>
                <w:b/>
                <w:color w:val="000000" w:themeColor="text1"/>
                <w:szCs w:val="24"/>
              </w:rPr>
              <w:t>1</w:t>
            </w:r>
          </w:p>
        </w:tc>
        <w:tc>
          <w:tcPr>
            <w:tcW w:w="2052" w:type="pct"/>
            <w:vAlign w:val="center"/>
          </w:tcPr>
          <w:p w:rsidR="000C2455" w:rsidRPr="00687B52" w:rsidRDefault="000C2455" w:rsidP="003E1D2A">
            <w:pPr>
              <w:pStyle w:val="a7"/>
              <w:jc w:val="left"/>
              <w:rPr>
                <w:rFonts w:ascii="宋体" w:hAnsi="宋体"/>
                <w:b/>
                <w:color w:val="000000" w:themeColor="text1"/>
                <w:szCs w:val="24"/>
              </w:rPr>
            </w:pPr>
            <w:r w:rsidRPr="00687B52">
              <w:rPr>
                <w:rFonts w:ascii="宋体" w:hAnsi="宋体" w:hint="eastAsia"/>
                <w:b/>
                <w:color w:val="000000" w:themeColor="text1"/>
                <w:szCs w:val="24"/>
              </w:rPr>
              <w:t>组织、机构和制度</w:t>
            </w:r>
          </w:p>
        </w:tc>
        <w:tc>
          <w:tcPr>
            <w:tcW w:w="1243" w:type="pct"/>
            <w:vAlign w:val="center"/>
          </w:tcPr>
          <w:p w:rsidR="000C2455" w:rsidRPr="00687B52" w:rsidRDefault="000C2455" w:rsidP="003E1D2A">
            <w:pPr>
              <w:pStyle w:val="a7"/>
              <w:rPr>
                <w:color w:val="000000" w:themeColor="text1"/>
                <w:szCs w:val="24"/>
              </w:rPr>
            </w:pPr>
          </w:p>
        </w:tc>
        <w:tc>
          <w:tcPr>
            <w:tcW w:w="1325" w:type="pct"/>
          </w:tcPr>
          <w:p w:rsidR="000C2455" w:rsidRPr="00687B52" w:rsidRDefault="000C2455" w:rsidP="003E1D2A">
            <w:pPr>
              <w:pStyle w:val="a7"/>
              <w:rPr>
                <w:color w:val="000000" w:themeColor="text1"/>
                <w:szCs w:val="24"/>
              </w:rPr>
            </w:pPr>
          </w:p>
        </w:tc>
      </w:tr>
      <w:tr w:rsidR="000C2455" w:rsidRPr="00687B52" w:rsidTr="004D7D3D">
        <w:trPr>
          <w:jc w:val="center"/>
        </w:trPr>
        <w:tc>
          <w:tcPr>
            <w:tcW w:w="380" w:type="pct"/>
            <w:vAlign w:val="center"/>
          </w:tcPr>
          <w:p w:rsidR="000C2455" w:rsidRPr="00687B52" w:rsidRDefault="000C2455" w:rsidP="00C05B82">
            <w:pPr>
              <w:pStyle w:val="a7"/>
              <w:rPr>
                <w:color w:val="000000" w:themeColor="text1"/>
                <w:szCs w:val="24"/>
              </w:rPr>
            </w:pPr>
            <w:r w:rsidRPr="00687B52">
              <w:rPr>
                <w:rFonts w:hint="eastAsia"/>
                <w:color w:val="000000" w:themeColor="text1"/>
                <w:szCs w:val="24"/>
              </w:rPr>
              <w:t>1</w:t>
            </w:r>
            <w:r w:rsidR="004D7D3D" w:rsidRPr="00687B52">
              <w:rPr>
                <w:rFonts w:hint="eastAsia"/>
                <w:color w:val="000000" w:themeColor="text1"/>
                <w:szCs w:val="24"/>
              </w:rPr>
              <w:t>.1</w:t>
            </w:r>
          </w:p>
        </w:tc>
        <w:tc>
          <w:tcPr>
            <w:tcW w:w="2052" w:type="pct"/>
            <w:vAlign w:val="center"/>
          </w:tcPr>
          <w:p w:rsidR="000C2455" w:rsidRPr="00687B52" w:rsidRDefault="000C2455" w:rsidP="003E1D2A">
            <w:pPr>
              <w:pStyle w:val="a7"/>
              <w:jc w:val="left"/>
              <w:rPr>
                <w:color w:val="000000" w:themeColor="text1"/>
                <w:szCs w:val="24"/>
              </w:rPr>
            </w:pPr>
            <w:r w:rsidRPr="00687B52">
              <w:rPr>
                <w:rFonts w:hint="eastAsia"/>
                <w:color w:val="000000" w:themeColor="text1"/>
                <w:szCs w:val="24"/>
              </w:rPr>
              <w:t>企业应制定职业病防治计划和实施方案，建立、健全职业卫生管理制度和操作规程，制度包括：</w:t>
            </w:r>
            <w:r w:rsidRPr="00687B52">
              <w:rPr>
                <w:rFonts w:hint="eastAsia"/>
                <w:color w:val="000000" w:themeColor="text1"/>
                <w:kern w:val="0"/>
                <w:szCs w:val="24"/>
              </w:rPr>
              <w:t>职业病危害防治责任、职业病危害警示与告知、职业病危害项目申报、职业病防治宣传教育培训、职业病防护设施维护检修、职业病防护用品管理、职业病危害监测及评价管理、建设项目职业卫生“三同时”管理、劳动者职业健康监护及其档案管理、职业病危害事故处置与报告、职业病危害应急救援与管理、岗位职业卫生操作规程等制度</w:t>
            </w:r>
            <w:r w:rsidR="00B735E5" w:rsidRPr="00687B52">
              <w:rPr>
                <w:rFonts w:hint="eastAsia"/>
                <w:color w:val="000000" w:themeColor="text1"/>
                <w:kern w:val="0"/>
                <w:szCs w:val="24"/>
              </w:rPr>
              <w:t>等。</w:t>
            </w:r>
          </w:p>
        </w:tc>
        <w:tc>
          <w:tcPr>
            <w:tcW w:w="1243" w:type="pct"/>
            <w:vAlign w:val="center"/>
          </w:tcPr>
          <w:p w:rsidR="000C2455" w:rsidRPr="00687B52" w:rsidRDefault="000C2455" w:rsidP="003E1D2A">
            <w:pPr>
              <w:pStyle w:val="a7"/>
              <w:rPr>
                <w:color w:val="000000" w:themeColor="text1"/>
                <w:szCs w:val="24"/>
              </w:rPr>
            </w:pPr>
            <w:r w:rsidRPr="00687B52">
              <w:rPr>
                <w:rFonts w:ascii="宋体" w:hAnsi="宋体"/>
                <w:color w:val="000000" w:themeColor="text1"/>
                <w:szCs w:val="24"/>
              </w:rPr>
              <w:t>《工作场所职业卫生监督管理规定》</w:t>
            </w:r>
          </w:p>
        </w:tc>
        <w:tc>
          <w:tcPr>
            <w:tcW w:w="1325" w:type="pct"/>
          </w:tcPr>
          <w:p w:rsidR="000C2455" w:rsidRPr="00687B52" w:rsidRDefault="000C2455" w:rsidP="003E1D2A">
            <w:pPr>
              <w:pStyle w:val="a7"/>
              <w:jc w:val="left"/>
              <w:rPr>
                <w:color w:val="000000" w:themeColor="text1"/>
                <w:szCs w:val="24"/>
              </w:rPr>
            </w:pPr>
          </w:p>
        </w:tc>
      </w:tr>
      <w:tr w:rsidR="000C2455" w:rsidRPr="00687B52" w:rsidTr="004D7D3D">
        <w:trPr>
          <w:jc w:val="center"/>
        </w:trPr>
        <w:tc>
          <w:tcPr>
            <w:tcW w:w="380" w:type="pct"/>
            <w:vAlign w:val="center"/>
          </w:tcPr>
          <w:p w:rsidR="000C2455" w:rsidRPr="00687B52" w:rsidRDefault="004D7D3D" w:rsidP="00C05B82">
            <w:pPr>
              <w:pStyle w:val="a7"/>
              <w:rPr>
                <w:color w:val="000000" w:themeColor="text1"/>
                <w:szCs w:val="24"/>
              </w:rPr>
            </w:pPr>
            <w:r w:rsidRPr="00687B52">
              <w:rPr>
                <w:rFonts w:hint="eastAsia"/>
                <w:color w:val="000000" w:themeColor="text1"/>
                <w:szCs w:val="24"/>
              </w:rPr>
              <w:t>1.</w:t>
            </w:r>
            <w:r w:rsidR="000C2455" w:rsidRPr="00687B52">
              <w:rPr>
                <w:rFonts w:hint="eastAsia"/>
                <w:color w:val="000000" w:themeColor="text1"/>
                <w:szCs w:val="24"/>
              </w:rPr>
              <w:t>2</w:t>
            </w:r>
          </w:p>
        </w:tc>
        <w:tc>
          <w:tcPr>
            <w:tcW w:w="2052" w:type="pct"/>
            <w:vAlign w:val="center"/>
          </w:tcPr>
          <w:p w:rsidR="000C2455" w:rsidRPr="00687B52" w:rsidRDefault="000C2455" w:rsidP="003E1D2A">
            <w:pPr>
              <w:pStyle w:val="a7"/>
              <w:jc w:val="left"/>
              <w:rPr>
                <w:rFonts w:ascii="宋体" w:hAnsi="宋体" w:cs="宋体"/>
                <w:color w:val="000000" w:themeColor="text1"/>
                <w:kern w:val="0"/>
                <w:szCs w:val="24"/>
              </w:rPr>
            </w:pPr>
            <w:r w:rsidRPr="00687B52">
              <w:rPr>
                <w:rFonts w:hAnsi="Times New Roman" w:cs="宋体" w:hint="eastAsia"/>
                <w:color w:val="000000" w:themeColor="text1"/>
                <w:kern w:val="0"/>
                <w:szCs w:val="24"/>
              </w:rPr>
              <w:t>用人单位应当建立健全下列职业卫生档案资料：</w:t>
            </w:r>
          </w:p>
          <w:p w:rsidR="000C2455" w:rsidRPr="00687B52" w:rsidRDefault="000C2455" w:rsidP="003E1D2A">
            <w:pPr>
              <w:pStyle w:val="a7"/>
              <w:jc w:val="left"/>
              <w:rPr>
                <w:rFonts w:ascii="宋体" w:hAnsi="宋体" w:cs="宋体"/>
                <w:color w:val="000000" w:themeColor="text1"/>
                <w:kern w:val="0"/>
                <w:szCs w:val="24"/>
              </w:rPr>
            </w:pPr>
            <w:r w:rsidRPr="00687B52">
              <w:rPr>
                <w:rFonts w:hAnsi="Times New Roman" w:cs="宋体" w:hint="eastAsia"/>
                <w:color w:val="000000" w:themeColor="text1"/>
                <w:kern w:val="0"/>
                <w:szCs w:val="24"/>
              </w:rPr>
              <w:t>1</w:t>
            </w:r>
            <w:r w:rsidRPr="00687B52">
              <w:rPr>
                <w:rFonts w:hAnsi="Times New Roman" w:cs="宋体" w:hint="eastAsia"/>
                <w:color w:val="000000" w:themeColor="text1"/>
                <w:kern w:val="0"/>
                <w:szCs w:val="24"/>
              </w:rPr>
              <w:t>）职业病防治责任制文件；</w:t>
            </w:r>
          </w:p>
          <w:p w:rsidR="000C2455" w:rsidRPr="00687B52" w:rsidRDefault="000C2455" w:rsidP="003E1D2A">
            <w:pPr>
              <w:pStyle w:val="a7"/>
              <w:jc w:val="left"/>
              <w:rPr>
                <w:rFonts w:ascii="宋体" w:hAnsi="宋体" w:cs="宋体"/>
                <w:color w:val="000000" w:themeColor="text1"/>
                <w:kern w:val="0"/>
                <w:szCs w:val="24"/>
              </w:rPr>
            </w:pPr>
            <w:r w:rsidRPr="00687B52">
              <w:rPr>
                <w:rFonts w:hAnsi="Times New Roman" w:cs="宋体" w:hint="eastAsia"/>
                <w:color w:val="000000" w:themeColor="text1"/>
                <w:kern w:val="0"/>
                <w:szCs w:val="24"/>
              </w:rPr>
              <w:t>2</w:t>
            </w:r>
            <w:r w:rsidRPr="00687B52">
              <w:rPr>
                <w:rFonts w:hAnsi="Times New Roman" w:cs="宋体" w:hint="eastAsia"/>
                <w:color w:val="000000" w:themeColor="text1"/>
                <w:kern w:val="0"/>
                <w:szCs w:val="24"/>
              </w:rPr>
              <w:t>）职业卫生管理规章制度、操作规程；</w:t>
            </w:r>
          </w:p>
          <w:p w:rsidR="000C2455" w:rsidRPr="00687B52" w:rsidRDefault="000C2455" w:rsidP="003E1D2A">
            <w:pPr>
              <w:pStyle w:val="a7"/>
              <w:jc w:val="left"/>
              <w:rPr>
                <w:rFonts w:ascii="宋体" w:hAnsi="宋体" w:cs="宋体"/>
                <w:color w:val="000000" w:themeColor="text1"/>
                <w:kern w:val="0"/>
                <w:szCs w:val="24"/>
              </w:rPr>
            </w:pPr>
            <w:r w:rsidRPr="00687B52">
              <w:rPr>
                <w:rFonts w:hAnsi="Times New Roman" w:cs="宋体" w:hint="eastAsia"/>
                <w:color w:val="000000" w:themeColor="text1"/>
                <w:kern w:val="0"/>
                <w:szCs w:val="24"/>
              </w:rPr>
              <w:t>3</w:t>
            </w:r>
            <w:r w:rsidRPr="00687B52">
              <w:rPr>
                <w:rFonts w:hAnsi="Times New Roman" w:cs="宋体" w:hint="eastAsia"/>
                <w:color w:val="000000" w:themeColor="text1"/>
                <w:kern w:val="0"/>
                <w:szCs w:val="24"/>
              </w:rPr>
              <w:t>）工作场所职业病危害因素种类清单、岗位分布以及作业人员接触情况等资料；</w:t>
            </w:r>
          </w:p>
          <w:p w:rsidR="000C2455" w:rsidRPr="00687B52" w:rsidRDefault="000C2455" w:rsidP="003E1D2A">
            <w:pPr>
              <w:pStyle w:val="a7"/>
              <w:jc w:val="left"/>
              <w:rPr>
                <w:rFonts w:ascii="宋体" w:hAnsi="宋体" w:cs="宋体"/>
                <w:color w:val="000000" w:themeColor="text1"/>
                <w:kern w:val="0"/>
                <w:szCs w:val="24"/>
              </w:rPr>
            </w:pPr>
            <w:r w:rsidRPr="00687B52">
              <w:rPr>
                <w:rFonts w:hAnsi="Times New Roman" w:cs="宋体" w:hint="eastAsia"/>
                <w:color w:val="000000" w:themeColor="text1"/>
                <w:kern w:val="0"/>
                <w:szCs w:val="24"/>
              </w:rPr>
              <w:t>4</w:t>
            </w:r>
            <w:r w:rsidRPr="00687B52">
              <w:rPr>
                <w:rFonts w:hAnsi="Times New Roman" w:cs="宋体" w:hint="eastAsia"/>
                <w:color w:val="000000" w:themeColor="text1"/>
                <w:kern w:val="0"/>
                <w:szCs w:val="24"/>
              </w:rPr>
              <w:t>）职业病防护设施、应急救援设施基本信息，以及其配置、使用、维护、检修与更换等记录；</w:t>
            </w:r>
          </w:p>
          <w:p w:rsidR="000C2455" w:rsidRPr="00687B52" w:rsidRDefault="000C2455" w:rsidP="003E1D2A">
            <w:pPr>
              <w:pStyle w:val="a7"/>
              <w:jc w:val="left"/>
              <w:rPr>
                <w:rFonts w:ascii="宋体" w:hAnsi="宋体" w:cs="宋体"/>
                <w:color w:val="000000" w:themeColor="text1"/>
                <w:kern w:val="0"/>
                <w:szCs w:val="24"/>
              </w:rPr>
            </w:pPr>
            <w:r w:rsidRPr="00687B52">
              <w:rPr>
                <w:rFonts w:hAnsi="Times New Roman" w:cs="宋体" w:hint="eastAsia"/>
                <w:color w:val="000000" w:themeColor="text1"/>
                <w:kern w:val="0"/>
                <w:szCs w:val="24"/>
              </w:rPr>
              <w:t>5</w:t>
            </w:r>
            <w:r w:rsidRPr="00687B52">
              <w:rPr>
                <w:rFonts w:hAnsi="Times New Roman" w:cs="宋体" w:hint="eastAsia"/>
                <w:color w:val="000000" w:themeColor="text1"/>
                <w:kern w:val="0"/>
                <w:szCs w:val="24"/>
              </w:rPr>
              <w:t>）工作场所职业病危害因素检测、评价报告与记录；</w:t>
            </w:r>
          </w:p>
          <w:p w:rsidR="000C2455" w:rsidRPr="00687B52" w:rsidRDefault="000C2455" w:rsidP="003E1D2A">
            <w:pPr>
              <w:pStyle w:val="a7"/>
              <w:jc w:val="left"/>
              <w:rPr>
                <w:rFonts w:ascii="宋体" w:hAnsi="宋体" w:cs="宋体"/>
                <w:color w:val="000000" w:themeColor="text1"/>
                <w:kern w:val="0"/>
                <w:szCs w:val="24"/>
              </w:rPr>
            </w:pPr>
            <w:r w:rsidRPr="00687B52">
              <w:rPr>
                <w:rFonts w:hAnsi="Times New Roman" w:cs="宋体" w:hint="eastAsia"/>
                <w:color w:val="000000" w:themeColor="text1"/>
                <w:kern w:val="0"/>
                <w:szCs w:val="24"/>
              </w:rPr>
              <w:t>6</w:t>
            </w:r>
            <w:r w:rsidRPr="00687B52">
              <w:rPr>
                <w:rFonts w:hAnsi="Times New Roman" w:cs="宋体" w:hint="eastAsia"/>
                <w:color w:val="000000" w:themeColor="text1"/>
                <w:kern w:val="0"/>
                <w:szCs w:val="24"/>
              </w:rPr>
              <w:t>）职业病防护用品配备、发放、维护与更换等记录；</w:t>
            </w:r>
          </w:p>
          <w:p w:rsidR="000C2455" w:rsidRPr="00687B52" w:rsidRDefault="000C2455" w:rsidP="003E1D2A">
            <w:pPr>
              <w:pStyle w:val="a7"/>
              <w:jc w:val="left"/>
              <w:rPr>
                <w:rFonts w:ascii="宋体" w:hAnsi="宋体" w:cs="宋体"/>
                <w:color w:val="000000" w:themeColor="text1"/>
                <w:kern w:val="0"/>
                <w:szCs w:val="24"/>
              </w:rPr>
            </w:pPr>
            <w:r w:rsidRPr="00687B52">
              <w:rPr>
                <w:rFonts w:hAnsi="Times New Roman" w:cs="宋体" w:hint="eastAsia"/>
                <w:color w:val="000000" w:themeColor="text1"/>
                <w:kern w:val="0"/>
                <w:szCs w:val="24"/>
              </w:rPr>
              <w:t>7</w:t>
            </w:r>
            <w:r w:rsidRPr="00687B52">
              <w:rPr>
                <w:rFonts w:hAnsi="Times New Roman" w:cs="宋体" w:hint="eastAsia"/>
                <w:color w:val="000000" w:themeColor="text1"/>
                <w:kern w:val="0"/>
                <w:szCs w:val="24"/>
              </w:rPr>
              <w:t>）主要负责人、职业卫生管理人员和职业病危害严重工作岗位的劳动者等相关人员职业卫生培训资料；</w:t>
            </w:r>
          </w:p>
          <w:p w:rsidR="000C2455" w:rsidRPr="00687B52" w:rsidRDefault="000C2455" w:rsidP="003E1D2A">
            <w:pPr>
              <w:pStyle w:val="a7"/>
              <w:jc w:val="left"/>
              <w:rPr>
                <w:rFonts w:ascii="宋体" w:hAnsi="宋体" w:cs="宋体"/>
                <w:color w:val="000000" w:themeColor="text1"/>
                <w:kern w:val="0"/>
                <w:szCs w:val="24"/>
              </w:rPr>
            </w:pPr>
            <w:r w:rsidRPr="00687B52">
              <w:rPr>
                <w:rFonts w:hAnsi="Times New Roman" w:cs="宋体" w:hint="eastAsia"/>
                <w:color w:val="000000" w:themeColor="text1"/>
                <w:kern w:val="0"/>
                <w:szCs w:val="24"/>
              </w:rPr>
              <w:t>8</w:t>
            </w:r>
            <w:r w:rsidRPr="00687B52">
              <w:rPr>
                <w:rFonts w:hAnsi="Times New Roman" w:cs="宋体" w:hint="eastAsia"/>
                <w:color w:val="000000" w:themeColor="text1"/>
                <w:kern w:val="0"/>
                <w:szCs w:val="24"/>
              </w:rPr>
              <w:t>）职业病危害事故报告与应急处置记录；</w:t>
            </w:r>
          </w:p>
          <w:p w:rsidR="000C2455" w:rsidRPr="00687B52" w:rsidRDefault="000C2455" w:rsidP="003E1D2A">
            <w:pPr>
              <w:pStyle w:val="a7"/>
              <w:jc w:val="left"/>
              <w:rPr>
                <w:rFonts w:ascii="宋体" w:hAnsi="宋体" w:cs="宋体"/>
                <w:color w:val="000000" w:themeColor="text1"/>
                <w:kern w:val="0"/>
                <w:szCs w:val="24"/>
              </w:rPr>
            </w:pPr>
            <w:r w:rsidRPr="00687B52">
              <w:rPr>
                <w:rFonts w:hAnsi="Times New Roman" w:cs="宋体" w:hint="eastAsia"/>
                <w:color w:val="000000" w:themeColor="text1"/>
                <w:kern w:val="0"/>
                <w:szCs w:val="24"/>
              </w:rPr>
              <w:t>9</w:t>
            </w:r>
            <w:r w:rsidRPr="00687B52">
              <w:rPr>
                <w:rFonts w:hAnsi="Times New Roman" w:cs="宋体" w:hint="eastAsia"/>
                <w:color w:val="000000" w:themeColor="text1"/>
                <w:kern w:val="0"/>
                <w:szCs w:val="24"/>
              </w:rPr>
              <w:t>）劳动者职业健康检查结果汇总资料，存在职业禁忌证、职业健康损害或者职业病的劳动者处理和安</w:t>
            </w:r>
            <w:r w:rsidRPr="00687B52">
              <w:rPr>
                <w:rFonts w:hAnsi="Times New Roman" w:cs="宋体" w:hint="eastAsia"/>
                <w:color w:val="000000" w:themeColor="text1"/>
                <w:kern w:val="0"/>
                <w:szCs w:val="24"/>
              </w:rPr>
              <w:lastRenderedPageBreak/>
              <w:t>置情况记录；</w:t>
            </w:r>
          </w:p>
          <w:p w:rsidR="000C2455" w:rsidRPr="00687B52" w:rsidRDefault="000C2455" w:rsidP="00590288">
            <w:pPr>
              <w:pStyle w:val="a7"/>
              <w:jc w:val="left"/>
              <w:rPr>
                <w:rFonts w:ascii="宋体" w:hAnsi="宋体" w:cs="宋体"/>
                <w:color w:val="000000" w:themeColor="text1"/>
                <w:kern w:val="0"/>
                <w:szCs w:val="24"/>
              </w:rPr>
            </w:pPr>
            <w:r w:rsidRPr="00687B52">
              <w:rPr>
                <w:rFonts w:hAnsi="Times New Roman" w:cs="宋体" w:hint="eastAsia"/>
                <w:color w:val="000000" w:themeColor="text1"/>
                <w:kern w:val="0"/>
                <w:szCs w:val="24"/>
              </w:rPr>
              <w:t>1</w:t>
            </w:r>
            <w:r w:rsidR="00590288" w:rsidRPr="00687B52">
              <w:rPr>
                <w:rFonts w:hAnsi="Times New Roman" w:cs="宋体" w:hint="eastAsia"/>
                <w:color w:val="000000" w:themeColor="text1"/>
                <w:kern w:val="0"/>
                <w:szCs w:val="24"/>
              </w:rPr>
              <w:t>0</w:t>
            </w:r>
            <w:r w:rsidRPr="00687B52">
              <w:rPr>
                <w:rFonts w:hAnsi="Times New Roman" w:cs="宋体" w:hint="eastAsia"/>
                <w:color w:val="000000" w:themeColor="text1"/>
                <w:kern w:val="0"/>
                <w:szCs w:val="24"/>
              </w:rPr>
              <w:t>）其他有关职业卫生管理的资料或者文件。</w:t>
            </w:r>
          </w:p>
        </w:tc>
        <w:tc>
          <w:tcPr>
            <w:tcW w:w="124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lastRenderedPageBreak/>
              <w:t>《工作场所职业卫生监督管理规定》第</w:t>
            </w:r>
            <w:r w:rsidRPr="00687B52">
              <w:rPr>
                <w:rFonts w:hint="eastAsia"/>
                <w:color w:val="000000" w:themeColor="text1"/>
                <w:szCs w:val="24"/>
              </w:rPr>
              <w:t>24</w:t>
            </w:r>
            <w:r w:rsidRPr="00687B52">
              <w:rPr>
                <w:rFonts w:hint="eastAsia"/>
                <w:color w:val="000000" w:themeColor="text1"/>
                <w:szCs w:val="24"/>
              </w:rPr>
              <w:t>条</w:t>
            </w:r>
          </w:p>
        </w:tc>
        <w:tc>
          <w:tcPr>
            <w:tcW w:w="1325" w:type="pct"/>
          </w:tcPr>
          <w:p w:rsidR="000C2455" w:rsidRPr="00687B52" w:rsidRDefault="000C2455" w:rsidP="003E1D2A">
            <w:pPr>
              <w:pStyle w:val="a7"/>
              <w:jc w:val="left"/>
              <w:rPr>
                <w:color w:val="000000" w:themeColor="text1"/>
                <w:szCs w:val="24"/>
              </w:rPr>
            </w:pPr>
          </w:p>
        </w:tc>
      </w:tr>
      <w:tr w:rsidR="000C2455" w:rsidRPr="00687B52" w:rsidTr="004D7D3D">
        <w:trPr>
          <w:jc w:val="center"/>
        </w:trPr>
        <w:tc>
          <w:tcPr>
            <w:tcW w:w="380" w:type="pct"/>
            <w:vAlign w:val="center"/>
          </w:tcPr>
          <w:p w:rsidR="000C2455" w:rsidRPr="00687B52" w:rsidRDefault="004D7D3D" w:rsidP="00C05B82">
            <w:pPr>
              <w:pStyle w:val="a7"/>
              <w:rPr>
                <w:color w:val="000000" w:themeColor="text1"/>
                <w:szCs w:val="24"/>
              </w:rPr>
            </w:pPr>
            <w:r w:rsidRPr="00687B52">
              <w:rPr>
                <w:rFonts w:hint="eastAsia"/>
                <w:color w:val="000000" w:themeColor="text1"/>
                <w:szCs w:val="24"/>
              </w:rPr>
              <w:lastRenderedPageBreak/>
              <w:t>1.</w:t>
            </w:r>
            <w:r w:rsidR="000C2455" w:rsidRPr="00687B52">
              <w:rPr>
                <w:rFonts w:hint="eastAsia"/>
                <w:color w:val="000000" w:themeColor="text1"/>
                <w:szCs w:val="24"/>
              </w:rPr>
              <w:t>3</w:t>
            </w:r>
          </w:p>
        </w:tc>
        <w:tc>
          <w:tcPr>
            <w:tcW w:w="2052" w:type="pct"/>
            <w:vAlign w:val="center"/>
          </w:tcPr>
          <w:p w:rsidR="000C2455" w:rsidRPr="00687B52" w:rsidRDefault="000C2455" w:rsidP="003E1D2A">
            <w:pPr>
              <w:pStyle w:val="a7"/>
              <w:jc w:val="left"/>
              <w:rPr>
                <w:rFonts w:ascii="宋体" w:hAnsi="宋体"/>
                <w:color w:val="000000" w:themeColor="text1"/>
                <w:szCs w:val="24"/>
              </w:rPr>
            </w:pPr>
            <w:r w:rsidRPr="00687B52">
              <w:rPr>
                <w:rFonts w:ascii="方正仿宋_GBK" w:eastAsia="方正仿宋_GBK" w:hAnsi="宋体" w:cs="宋体" w:hint="eastAsia"/>
                <w:color w:val="000000" w:themeColor="text1"/>
                <w:kern w:val="0"/>
                <w:szCs w:val="24"/>
              </w:rPr>
              <w:t>对于新建、改建、扩建建设项目和技术改造、技术引进项目，要编制预评价报告、设计专篇、控制效果评价报告，并组织职业病防护设施竣工验收。</w:t>
            </w:r>
          </w:p>
        </w:tc>
        <w:tc>
          <w:tcPr>
            <w:tcW w:w="1243" w:type="pct"/>
            <w:vAlign w:val="center"/>
          </w:tcPr>
          <w:p w:rsidR="000C2455" w:rsidRPr="00687B52" w:rsidRDefault="000C2455" w:rsidP="003E1D2A">
            <w:pPr>
              <w:pStyle w:val="a7"/>
              <w:rPr>
                <w:color w:val="000000" w:themeColor="text1"/>
                <w:szCs w:val="24"/>
              </w:rPr>
            </w:pPr>
            <w:r w:rsidRPr="00687B52">
              <w:rPr>
                <w:rFonts w:ascii="方正仿宋_GBK" w:eastAsia="方正仿宋_GBK" w:hAnsi="宋体" w:cs="宋体" w:hint="eastAsia"/>
                <w:color w:val="000000" w:themeColor="text1"/>
                <w:kern w:val="0"/>
                <w:szCs w:val="24"/>
              </w:rPr>
              <w:t>《建设项目职业病防护设施“三同时”监督管理办法》（国家安全监管总局令第</w:t>
            </w:r>
            <w:r w:rsidRPr="00687B52">
              <w:rPr>
                <w:rFonts w:ascii="方正仿宋_GBK" w:eastAsia="方正仿宋_GBK" w:hAnsi="宋体" w:cs="宋体"/>
                <w:color w:val="000000" w:themeColor="text1"/>
                <w:kern w:val="0"/>
                <w:szCs w:val="24"/>
              </w:rPr>
              <w:t>90</w:t>
            </w:r>
            <w:r w:rsidRPr="00687B52">
              <w:rPr>
                <w:rFonts w:ascii="方正仿宋_GBK" w:eastAsia="方正仿宋_GBK" w:hAnsi="宋体" w:cs="宋体" w:hint="eastAsia"/>
                <w:color w:val="000000" w:themeColor="text1"/>
                <w:kern w:val="0"/>
                <w:szCs w:val="24"/>
              </w:rPr>
              <w:t>号）</w:t>
            </w:r>
          </w:p>
        </w:tc>
        <w:tc>
          <w:tcPr>
            <w:tcW w:w="1325" w:type="pct"/>
          </w:tcPr>
          <w:p w:rsidR="000C2455" w:rsidRPr="00687B52" w:rsidRDefault="000C2455" w:rsidP="003E1D2A">
            <w:pPr>
              <w:pStyle w:val="a7"/>
              <w:jc w:val="left"/>
              <w:rPr>
                <w:color w:val="000000" w:themeColor="text1"/>
                <w:szCs w:val="24"/>
              </w:rPr>
            </w:pPr>
          </w:p>
        </w:tc>
      </w:tr>
      <w:tr w:rsidR="000C2455" w:rsidRPr="00687B52" w:rsidTr="004D7D3D">
        <w:trPr>
          <w:jc w:val="center"/>
        </w:trPr>
        <w:tc>
          <w:tcPr>
            <w:tcW w:w="380" w:type="pct"/>
            <w:vAlign w:val="center"/>
          </w:tcPr>
          <w:p w:rsidR="000C2455" w:rsidRPr="00687B52" w:rsidRDefault="004D7D3D" w:rsidP="00C05B82">
            <w:pPr>
              <w:pStyle w:val="a7"/>
              <w:rPr>
                <w:color w:val="000000" w:themeColor="text1"/>
                <w:szCs w:val="24"/>
              </w:rPr>
            </w:pPr>
            <w:r w:rsidRPr="00687B52">
              <w:rPr>
                <w:rFonts w:hint="eastAsia"/>
                <w:color w:val="000000" w:themeColor="text1"/>
                <w:szCs w:val="24"/>
              </w:rPr>
              <w:t>1.</w:t>
            </w:r>
            <w:r w:rsidR="000C2455" w:rsidRPr="00687B52">
              <w:rPr>
                <w:rFonts w:hint="eastAsia"/>
                <w:color w:val="000000" w:themeColor="text1"/>
                <w:szCs w:val="24"/>
              </w:rPr>
              <w:t>4</w:t>
            </w:r>
          </w:p>
        </w:tc>
        <w:tc>
          <w:tcPr>
            <w:tcW w:w="2052" w:type="pct"/>
            <w:vAlign w:val="center"/>
          </w:tcPr>
          <w:p w:rsidR="000C2455" w:rsidRPr="00687B52" w:rsidRDefault="000C2455" w:rsidP="003E1D2A">
            <w:pPr>
              <w:pStyle w:val="a7"/>
              <w:jc w:val="left"/>
              <w:rPr>
                <w:color w:val="000000" w:themeColor="text1"/>
                <w:szCs w:val="24"/>
              </w:rPr>
            </w:pPr>
            <w:r w:rsidRPr="00687B52">
              <w:rPr>
                <w:rFonts w:ascii="宋体" w:hAnsi="宋体"/>
                <w:color w:val="000000" w:themeColor="text1"/>
                <w:szCs w:val="24"/>
              </w:rPr>
              <w:t>职业病危害严重的单位</w:t>
            </w:r>
            <w:r w:rsidRPr="00687B52">
              <w:rPr>
                <w:rFonts w:ascii="宋体" w:hAnsi="宋体" w:hint="eastAsia"/>
                <w:color w:val="000000" w:themeColor="text1"/>
                <w:szCs w:val="24"/>
              </w:rPr>
              <w:t>或</w:t>
            </w:r>
            <w:r w:rsidRPr="00687B52">
              <w:rPr>
                <w:rFonts w:ascii="宋体" w:hAnsi="宋体"/>
                <w:color w:val="000000" w:themeColor="text1"/>
                <w:szCs w:val="24"/>
              </w:rPr>
              <w:t>其他存在职业病危害</w:t>
            </w:r>
            <w:r w:rsidRPr="00687B52">
              <w:rPr>
                <w:rFonts w:ascii="宋体" w:hAnsi="宋体" w:hint="eastAsia"/>
                <w:color w:val="000000" w:themeColor="text1"/>
                <w:szCs w:val="24"/>
              </w:rPr>
              <w:t>且</w:t>
            </w:r>
            <w:r w:rsidRPr="00687B52">
              <w:rPr>
                <w:rFonts w:ascii="宋体" w:hAnsi="宋体"/>
                <w:color w:val="000000" w:themeColor="text1"/>
                <w:szCs w:val="24"/>
              </w:rPr>
              <w:t>超过100人的单位，应当设置或者指定职业卫生管理机构或者组织，配备专职职业卫生管理人员</w:t>
            </w:r>
            <w:r w:rsidRPr="00687B52">
              <w:rPr>
                <w:rFonts w:ascii="宋体" w:hAnsi="宋体" w:hint="eastAsia"/>
                <w:color w:val="000000" w:themeColor="text1"/>
                <w:szCs w:val="24"/>
              </w:rPr>
              <w:t>；</w:t>
            </w:r>
            <w:r w:rsidRPr="00687B52">
              <w:rPr>
                <w:rFonts w:ascii="宋体" w:hAnsi="宋体"/>
                <w:color w:val="000000" w:themeColor="text1"/>
                <w:szCs w:val="24"/>
              </w:rPr>
              <w:t>其他存在职业病危害</w:t>
            </w:r>
            <w:r w:rsidRPr="00687B52">
              <w:rPr>
                <w:rFonts w:ascii="宋体" w:hAnsi="宋体" w:hint="eastAsia"/>
                <w:color w:val="000000" w:themeColor="text1"/>
                <w:szCs w:val="24"/>
              </w:rPr>
              <w:t>且</w:t>
            </w:r>
            <w:r w:rsidRPr="00687B52">
              <w:rPr>
                <w:rFonts w:ascii="宋体" w:hAnsi="宋体"/>
                <w:color w:val="000000" w:themeColor="text1"/>
                <w:szCs w:val="24"/>
              </w:rPr>
              <w:t>劳动者在100人以下的</w:t>
            </w:r>
            <w:r w:rsidRPr="00687B52">
              <w:rPr>
                <w:rFonts w:ascii="宋体" w:hAnsi="宋体" w:hint="eastAsia"/>
                <w:color w:val="000000" w:themeColor="text1"/>
                <w:szCs w:val="24"/>
              </w:rPr>
              <w:t>单位</w:t>
            </w:r>
            <w:r w:rsidRPr="00687B52">
              <w:rPr>
                <w:rFonts w:ascii="宋体" w:hAnsi="宋体"/>
                <w:color w:val="000000" w:themeColor="text1"/>
                <w:szCs w:val="24"/>
              </w:rPr>
              <w:t>，应当配备专职或者兼职的职业卫生管理人员</w:t>
            </w:r>
            <w:r w:rsidRPr="00687B52">
              <w:rPr>
                <w:rFonts w:hint="eastAsia"/>
                <w:color w:val="000000" w:themeColor="text1"/>
                <w:szCs w:val="24"/>
              </w:rPr>
              <w:t>。</w:t>
            </w:r>
          </w:p>
        </w:tc>
        <w:tc>
          <w:tcPr>
            <w:tcW w:w="124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《职业病防治法》第</w:t>
            </w:r>
            <w:r w:rsidRPr="00687B52">
              <w:rPr>
                <w:rFonts w:hint="eastAsia"/>
                <w:color w:val="000000" w:themeColor="text1"/>
                <w:szCs w:val="24"/>
              </w:rPr>
              <w:t>20</w:t>
            </w:r>
            <w:r w:rsidRPr="00687B52">
              <w:rPr>
                <w:rFonts w:hint="eastAsia"/>
                <w:color w:val="000000" w:themeColor="text1"/>
                <w:szCs w:val="24"/>
              </w:rPr>
              <w:t>条、</w:t>
            </w:r>
            <w:r w:rsidRPr="00687B52">
              <w:rPr>
                <w:rFonts w:ascii="宋体" w:hAnsi="宋体"/>
                <w:color w:val="000000" w:themeColor="text1"/>
                <w:szCs w:val="24"/>
              </w:rPr>
              <w:t>《工作场所职业卫生监督管理规定》</w:t>
            </w:r>
          </w:p>
        </w:tc>
        <w:tc>
          <w:tcPr>
            <w:tcW w:w="1325" w:type="pct"/>
          </w:tcPr>
          <w:p w:rsidR="000C2455" w:rsidRPr="00687B52" w:rsidRDefault="000C2455" w:rsidP="003E1D2A">
            <w:pPr>
              <w:pStyle w:val="a7"/>
              <w:jc w:val="left"/>
              <w:rPr>
                <w:color w:val="000000" w:themeColor="text1"/>
                <w:szCs w:val="24"/>
              </w:rPr>
            </w:pPr>
          </w:p>
        </w:tc>
      </w:tr>
      <w:tr w:rsidR="000C2455" w:rsidRPr="00687B52" w:rsidTr="004D7D3D">
        <w:trPr>
          <w:jc w:val="center"/>
        </w:trPr>
        <w:tc>
          <w:tcPr>
            <w:tcW w:w="380" w:type="pct"/>
            <w:vAlign w:val="center"/>
          </w:tcPr>
          <w:p w:rsidR="000C2455" w:rsidRPr="00687B52" w:rsidRDefault="004D7D3D" w:rsidP="00C05B82">
            <w:pPr>
              <w:pStyle w:val="a7"/>
              <w:rPr>
                <w:color w:val="000000" w:themeColor="text1"/>
                <w:szCs w:val="24"/>
              </w:rPr>
            </w:pPr>
            <w:r w:rsidRPr="00687B52">
              <w:rPr>
                <w:rFonts w:hint="eastAsia"/>
                <w:color w:val="000000" w:themeColor="text1"/>
                <w:szCs w:val="24"/>
              </w:rPr>
              <w:t>1.</w:t>
            </w:r>
            <w:r w:rsidR="000C2455" w:rsidRPr="00687B52">
              <w:rPr>
                <w:rFonts w:hint="eastAsia"/>
                <w:color w:val="000000" w:themeColor="text1"/>
                <w:szCs w:val="24"/>
              </w:rPr>
              <w:t>5</w:t>
            </w:r>
          </w:p>
        </w:tc>
        <w:tc>
          <w:tcPr>
            <w:tcW w:w="2052" w:type="pct"/>
            <w:vAlign w:val="center"/>
          </w:tcPr>
          <w:p w:rsidR="000C2455" w:rsidRPr="00687B52" w:rsidRDefault="000C2455" w:rsidP="003E1D2A">
            <w:pPr>
              <w:pStyle w:val="a7"/>
              <w:jc w:val="left"/>
              <w:rPr>
                <w:rFonts w:ascii="宋体" w:hAnsi="宋体"/>
                <w:color w:val="000000" w:themeColor="text1"/>
                <w:szCs w:val="24"/>
              </w:rPr>
            </w:pPr>
            <w:r w:rsidRPr="00687B52">
              <w:rPr>
                <w:rFonts w:ascii="宋体" w:hAnsi="宋体"/>
                <w:color w:val="000000" w:themeColor="text1"/>
                <w:szCs w:val="24"/>
              </w:rPr>
              <w:t>主要负责人和职业卫生管理人员应当</w:t>
            </w:r>
            <w:r w:rsidRPr="00687B52">
              <w:rPr>
                <w:rFonts w:ascii="宋体" w:hAnsi="宋体" w:hint="eastAsia"/>
                <w:color w:val="000000" w:themeColor="text1"/>
                <w:szCs w:val="24"/>
              </w:rPr>
              <w:t>接受</w:t>
            </w:r>
            <w:r w:rsidRPr="00687B52">
              <w:rPr>
                <w:rFonts w:ascii="宋体" w:hAnsi="宋体"/>
                <w:color w:val="000000" w:themeColor="text1"/>
                <w:szCs w:val="24"/>
              </w:rPr>
              <w:t>职业卫生培训。</w:t>
            </w:r>
          </w:p>
        </w:tc>
        <w:tc>
          <w:tcPr>
            <w:tcW w:w="1243" w:type="pct"/>
            <w:vAlign w:val="center"/>
          </w:tcPr>
          <w:p w:rsidR="000C2455" w:rsidRPr="00687B52" w:rsidRDefault="000C2455" w:rsidP="003E1D2A">
            <w:pPr>
              <w:pStyle w:val="a7"/>
              <w:rPr>
                <w:rFonts w:ascii="宋体" w:hAnsi="宋体"/>
                <w:color w:val="000000" w:themeColor="text1"/>
                <w:szCs w:val="24"/>
              </w:rPr>
            </w:pPr>
            <w:r w:rsidRPr="00687B52">
              <w:rPr>
                <w:rFonts w:ascii="宋体" w:hAnsi="宋体"/>
                <w:color w:val="000000" w:themeColor="text1"/>
                <w:szCs w:val="24"/>
              </w:rPr>
              <w:t>《工作场所职业卫生监督管理规定》（国家安全监管总局令第47号）第</w:t>
            </w:r>
            <w:r w:rsidRPr="00687B52">
              <w:rPr>
                <w:rFonts w:ascii="宋体" w:hAnsi="宋体" w:hint="eastAsia"/>
                <w:color w:val="000000" w:themeColor="text1"/>
                <w:szCs w:val="24"/>
              </w:rPr>
              <w:t>9</w:t>
            </w:r>
            <w:r w:rsidRPr="00687B52">
              <w:rPr>
                <w:rFonts w:ascii="宋体" w:hAnsi="宋体"/>
                <w:color w:val="000000" w:themeColor="text1"/>
                <w:szCs w:val="24"/>
              </w:rPr>
              <w:t>条</w:t>
            </w:r>
          </w:p>
        </w:tc>
        <w:tc>
          <w:tcPr>
            <w:tcW w:w="1325" w:type="pct"/>
          </w:tcPr>
          <w:p w:rsidR="000C2455" w:rsidRPr="00687B52" w:rsidRDefault="000C2455" w:rsidP="003E1D2A">
            <w:pPr>
              <w:pStyle w:val="a7"/>
              <w:jc w:val="left"/>
              <w:rPr>
                <w:color w:val="000000" w:themeColor="text1"/>
                <w:szCs w:val="24"/>
              </w:rPr>
            </w:pPr>
          </w:p>
        </w:tc>
      </w:tr>
      <w:tr w:rsidR="000C2455" w:rsidRPr="00687B52" w:rsidTr="004D7D3D">
        <w:trPr>
          <w:jc w:val="center"/>
        </w:trPr>
        <w:tc>
          <w:tcPr>
            <w:tcW w:w="380" w:type="pct"/>
            <w:vAlign w:val="center"/>
          </w:tcPr>
          <w:p w:rsidR="000C2455" w:rsidRPr="00687B52" w:rsidRDefault="004A5011" w:rsidP="00C05B82">
            <w:pPr>
              <w:pStyle w:val="a7"/>
              <w:rPr>
                <w:b/>
                <w:color w:val="000000" w:themeColor="text1"/>
                <w:szCs w:val="24"/>
              </w:rPr>
            </w:pPr>
            <w:r w:rsidRPr="00687B52">
              <w:rPr>
                <w:rFonts w:hint="eastAsia"/>
                <w:b/>
                <w:color w:val="000000" w:themeColor="text1"/>
                <w:szCs w:val="24"/>
              </w:rPr>
              <w:t>2</w:t>
            </w:r>
          </w:p>
        </w:tc>
        <w:tc>
          <w:tcPr>
            <w:tcW w:w="2052" w:type="pct"/>
            <w:vAlign w:val="center"/>
          </w:tcPr>
          <w:p w:rsidR="000C2455" w:rsidRPr="00687B52" w:rsidRDefault="000C2455" w:rsidP="003E1D2A">
            <w:pPr>
              <w:pStyle w:val="a7"/>
              <w:jc w:val="left"/>
              <w:rPr>
                <w:rFonts w:ascii="宋体" w:hAnsi="宋体"/>
                <w:b/>
                <w:color w:val="000000" w:themeColor="text1"/>
                <w:szCs w:val="24"/>
              </w:rPr>
            </w:pPr>
            <w:r w:rsidRPr="00687B52">
              <w:rPr>
                <w:rFonts w:ascii="宋体" w:hAnsi="宋体" w:hint="eastAsia"/>
                <w:b/>
                <w:color w:val="000000" w:themeColor="text1"/>
                <w:szCs w:val="24"/>
              </w:rPr>
              <w:t>危害因素管理</w:t>
            </w:r>
          </w:p>
        </w:tc>
        <w:tc>
          <w:tcPr>
            <w:tcW w:w="1243" w:type="pct"/>
            <w:vAlign w:val="center"/>
          </w:tcPr>
          <w:p w:rsidR="000C2455" w:rsidRPr="00687B52" w:rsidRDefault="000C2455" w:rsidP="003E1D2A">
            <w:pPr>
              <w:pStyle w:val="a7"/>
              <w:rPr>
                <w:rFonts w:ascii="宋体" w:hAnsi="宋体"/>
                <w:color w:val="000000" w:themeColor="text1"/>
                <w:szCs w:val="24"/>
              </w:rPr>
            </w:pPr>
          </w:p>
        </w:tc>
        <w:tc>
          <w:tcPr>
            <w:tcW w:w="1325" w:type="pct"/>
          </w:tcPr>
          <w:p w:rsidR="000C2455" w:rsidRPr="00687B52" w:rsidRDefault="000C2455" w:rsidP="003E1D2A">
            <w:pPr>
              <w:pStyle w:val="a7"/>
              <w:jc w:val="both"/>
              <w:rPr>
                <w:color w:val="000000" w:themeColor="text1"/>
                <w:szCs w:val="24"/>
              </w:rPr>
            </w:pPr>
          </w:p>
        </w:tc>
      </w:tr>
      <w:tr w:rsidR="000C2455" w:rsidRPr="00687B52" w:rsidTr="004D7D3D">
        <w:trPr>
          <w:jc w:val="center"/>
        </w:trPr>
        <w:tc>
          <w:tcPr>
            <w:tcW w:w="380" w:type="pct"/>
            <w:vAlign w:val="center"/>
          </w:tcPr>
          <w:p w:rsidR="000C2455" w:rsidRPr="00687B52" w:rsidRDefault="004D7D3D" w:rsidP="00C05B82">
            <w:pPr>
              <w:pStyle w:val="a7"/>
              <w:rPr>
                <w:color w:val="000000" w:themeColor="text1"/>
                <w:szCs w:val="24"/>
              </w:rPr>
            </w:pPr>
            <w:r w:rsidRPr="00687B52">
              <w:rPr>
                <w:rFonts w:hint="eastAsia"/>
                <w:color w:val="000000" w:themeColor="text1"/>
                <w:szCs w:val="24"/>
              </w:rPr>
              <w:t>2.</w:t>
            </w:r>
            <w:r w:rsidR="000C2455" w:rsidRPr="00687B52">
              <w:rPr>
                <w:rFonts w:hint="eastAsia"/>
                <w:color w:val="000000" w:themeColor="text1"/>
                <w:szCs w:val="24"/>
              </w:rPr>
              <w:t>1</w:t>
            </w:r>
          </w:p>
        </w:tc>
        <w:tc>
          <w:tcPr>
            <w:tcW w:w="2052" w:type="pct"/>
            <w:vAlign w:val="center"/>
          </w:tcPr>
          <w:p w:rsidR="000C2455" w:rsidRPr="00687B52" w:rsidRDefault="000C2455" w:rsidP="003E1D2A">
            <w:pPr>
              <w:pStyle w:val="a7"/>
              <w:jc w:val="left"/>
              <w:rPr>
                <w:rFonts w:ascii="宋体" w:hAnsi="宋体"/>
                <w:color w:val="000000" w:themeColor="text1"/>
                <w:szCs w:val="24"/>
                <w:shd w:val="clear" w:color="auto" w:fill="FFFFFF"/>
              </w:rPr>
            </w:pPr>
            <w:r w:rsidRPr="00687B52">
              <w:rPr>
                <w:rFonts w:ascii="宋体" w:hAnsi="宋体"/>
                <w:color w:val="000000" w:themeColor="text1"/>
                <w:szCs w:val="24"/>
                <w:shd w:val="clear" w:color="auto" w:fill="FFFFFF"/>
              </w:rPr>
              <w:t>存在职业病危害的</w:t>
            </w:r>
            <w:r w:rsidRPr="00687B52">
              <w:rPr>
                <w:rFonts w:ascii="宋体" w:hAnsi="宋体" w:hint="eastAsia"/>
                <w:color w:val="000000" w:themeColor="text1"/>
                <w:szCs w:val="24"/>
                <w:shd w:val="clear" w:color="auto" w:fill="FFFFFF"/>
              </w:rPr>
              <w:t>企业</w:t>
            </w:r>
            <w:r w:rsidRPr="00687B52">
              <w:rPr>
                <w:rFonts w:ascii="宋体" w:hAnsi="宋体"/>
                <w:color w:val="000000" w:themeColor="text1"/>
                <w:szCs w:val="24"/>
                <w:shd w:val="clear" w:color="auto" w:fill="FFFFFF"/>
              </w:rPr>
              <w:t>，应当委托具有相应资质的职业卫生技术服务机构，每年至少进行一次职业病危害因素检测。</w:t>
            </w:r>
          </w:p>
        </w:tc>
        <w:tc>
          <w:tcPr>
            <w:tcW w:w="1243" w:type="pct"/>
            <w:vAlign w:val="center"/>
          </w:tcPr>
          <w:p w:rsidR="000C2455" w:rsidRPr="00687B52" w:rsidRDefault="000C2455" w:rsidP="003E1D2A">
            <w:pPr>
              <w:pStyle w:val="a7"/>
              <w:rPr>
                <w:rFonts w:ascii="宋体" w:hAnsi="宋体"/>
                <w:color w:val="000000" w:themeColor="text1"/>
                <w:szCs w:val="24"/>
              </w:rPr>
            </w:pPr>
            <w:r w:rsidRPr="00687B52">
              <w:rPr>
                <w:rFonts w:ascii="宋体" w:hAnsi="宋体"/>
                <w:color w:val="000000" w:themeColor="text1"/>
                <w:szCs w:val="24"/>
              </w:rPr>
              <w:t>《工作场所职业卫生监督管理规定》（国家安全监管总局令第47号）第</w:t>
            </w:r>
            <w:r w:rsidRPr="00687B52">
              <w:rPr>
                <w:rFonts w:ascii="宋体" w:hAnsi="宋体" w:hint="eastAsia"/>
                <w:color w:val="000000" w:themeColor="text1"/>
                <w:szCs w:val="24"/>
              </w:rPr>
              <w:t>20</w:t>
            </w:r>
            <w:r w:rsidRPr="00687B52">
              <w:rPr>
                <w:rFonts w:ascii="宋体" w:hAnsi="宋体"/>
                <w:color w:val="000000" w:themeColor="text1"/>
                <w:szCs w:val="24"/>
              </w:rPr>
              <w:t>条</w:t>
            </w:r>
          </w:p>
        </w:tc>
        <w:tc>
          <w:tcPr>
            <w:tcW w:w="1325" w:type="pct"/>
          </w:tcPr>
          <w:p w:rsidR="000C2455" w:rsidRPr="00687B52" w:rsidRDefault="000C2455" w:rsidP="003E1D2A">
            <w:pPr>
              <w:pStyle w:val="a7"/>
              <w:jc w:val="both"/>
              <w:rPr>
                <w:color w:val="000000" w:themeColor="text1"/>
                <w:szCs w:val="24"/>
              </w:rPr>
            </w:pPr>
          </w:p>
        </w:tc>
      </w:tr>
      <w:tr w:rsidR="000C2455" w:rsidRPr="00687B52" w:rsidTr="004D7D3D">
        <w:trPr>
          <w:jc w:val="center"/>
        </w:trPr>
        <w:tc>
          <w:tcPr>
            <w:tcW w:w="380" w:type="pct"/>
            <w:vAlign w:val="center"/>
          </w:tcPr>
          <w:p w:rsidR="000C2455" w:rsidRPr="00687B52" w:rsidRDefault="004D7D3D" w:rsidP="00C05B82">
            <w:pPr>
              <w:pStyle w:val="a7"/>
              <w:rPr>
                <w:color w:val="000000" w:themeColor="text1"/>
                <w:szCs w:val="24"/>
              </w:rPr>
            </w:pPr>
            <w:r w:rsidRPr="00687B52">
              <w:rPr>
                <w:rFonts w:hint="eastAsia"/>
                <w:color w:val="000000" w:themeColor="text1"/>
                <w:szCs w:val="24"/>
              </w:rPr>
              <w:t>2.</w:t>
            </w:r>
            <w:r w:rsidR="000C2455" w:rsidRPr="00687B52">
              <w:rPr>
                <w:rFonts w:hint="eastAsia"/>
                <w:color w:val="000000" w:themeColor="text1"/>
                <w:szCs w:val="24"/>
              </w:rPr>
              <w:t>2</w:t>
            </w:r>
          </w:p>
        </w:tc>
        <w:tc>
          <w:tcPr>
            <w:tcW w:w="2052" w:type="pct"/>
            <w:vAlign w:val="center"/>
          </w:tcPr>
          <w:p w:rsidR="000C2455" w:rsidRPr="00687B52" w:rsidRDefault="000C2455" w:rsidP="003E1D2A">
            <w:pPr>
              <w:pStyle w:val="a7"/>
              <w:jc w:val="left"/>
              <w:rPr>
                <w:rFonts w:cs="宋体"/>
                <w:color w:val="000000" w:themeColor="text1"/>
                <w:kern w:val="0"/>
                <w:szCs w:val="24"/>
              </w:rPr>
            </w:pPr>
            <w:r w:rsidRPr="00687B52">
              <w:rPr>
                <w:rFonts w:ascii="宋体" w:hAnsi="宋体"/>
                <w:color w:val="000000" w:themeColor="text1"/>
                <w:szCs w:val="24"/>
                <w:shd w:val="clear" w:color="auto" w:fill="FFFFFF"/>
              </w:rPr>
              <w:t>职业病危害严重的用人单位，应当委托具有相应资质的职业卫生技术服务机构，每三年至少进行一次职业病危害现状评价。</w:t>
            </w:r>
          </w:p>
        </w:tc>
        <w:tc>
          <w:tcPr>
            <w:tcW w:w="1243" w:type="pct"/>
            <w:vAlign w:val="center"/>
          </w:tcPr>
          <w:p w:rsidR="000C2455" w:rsidRPr="00687B52" w:rsidRDefault="00D2602B" w:rsidP="003E1D2A">
            <w:pPr>
              <w:pStyle w:val="a7"/>
              <w:rPr>
                <w:color w:val="000000" w:themeColor="text1"/>
                <w:szCs w:val="24"/>
              </w:rPr>
            </w:pPr>
            <w:r w:rsidRPr="00687B52">
              <w:rPr>
                <w:rFonts w:ascii="宋体" w:hAnsi="宋体"/>
                <w:color w:val="000000" w:themeColor="text1"/>
                <w:szCs w:val="24"/>
              </w:rPr>
              <w:t>《工作场所职业卫生监督管理规定》（国家安全监管总局令第47号）</w:t>
            </w:r>
          </w:p>
        </w:tc>
        <w:tc>
          <w:tcPr>
            <w:tcW w:w="1325" w:type="pct"/>
          </w:tcPr>
          <w:p w:rsidR="000C2455" w:rsidRPr="00687B52" w:rsidRDefault="000C2455" w:rsidP="003E1D2A">
            <w:pPr>
              <w:pStyle w:val="a7"/>
              <w:rPr>
                <w:color w:val="000000" w:themeColor="text1"/>
                <w:szCs w:val="24"/>
              </w:rPr>
            </w:pPr>
          </w:p>
        </w:tc>
      </w:tr>
      <w:tr w:rsidR="000C2455" w:rsidRPr="00687B52" w:rsidTr="004D7D3D">
        <w:trPr>
          <w:jc w:val="center"/>
        </w:trPr>
        <w:tc>
          <w:tcPr>
            <w:tcW w:w="380" w:type="pct"/>
            <w:vAlign w:val="center"/>
          </w:tcPr>
          <w:p w:rsidR="000C2455" w:rsidRPr="00687B52" w:rsidRDefault="004D7D3D" w:rsidP="00C05B82">
            <w:pPr>
              <w:pStyle w:val="a7"/>
              <w:rPr>
                <w:color w:val="000000" w:themeColor="text1"/>
                <w:szCs w:val="24"/>
              </w:rPr>
            </w:pPr>
            <w:r w:rsidRPr="00687B52">
              <w:rPr>
                <w:rFonts w:hint="eastAsia"/>
                <w:color w:val="000000" w:themeColor="text1"/>
                <w:szCs w:val="24"/>
              </w:rPr>
              <w:t>2.</w:t>
            </w:r>
            <w:r w:rsidR="000C2455" w:rsidRPr="00687B52">
              <w:rPr>
                <w:rFonts w:hint="eastAsia"/>
                <w:color w:val="000000" w:themeColor="text1"/>
                <w:szCs w:val="24"/>
              </w:rPr>
              <w:t>3</w:t>
            </w:r>
          </w:p>
        </w:tc>
        <w:tc>
          <w:tcPr>
            <w:tcW w:w="2052" w:type="pct"/>
            <w:vAlign w:val="center"/>
          </w:tcPr>
          <w:p w:rsidR="000C2455" w:rsidRPr="00687B52" w:rsidRDefault="000C2455" w:rsidP="003E1D2A">
            <w:pPr>
              <w:pStyle w:val="a7"/>
              <w:jc w:val="left"/>
              <w:rPr>
                <w:b/>
                <w:color w:val="000000" w:themeColor="text1"/>
                <w:szCs w:val="24"/>
              </w:rPr>
            </w:pPr>
            <w:r w:rsidRPr="00687B52">
              <w:rPr>
                <w:rFonts w:cs="宋体" w:hint="eastAsia"/>
                <w:color w:val="000000" w:themeColor="text1"/>
                <w:kern w:val="0"/>
                <w:szCs w:val="24"/>
              </w:rPr>
              <w:t>用人单位工作场所存在职业病目录所列职业病的危害因素的，应当及时、如实向所在地安全生产监督管理部门申报危害项目，接受监督。</w:t>
            </w:r>
          </w:p>
        </w:tc>
        <w:tc>
          <w:tcPr>
            <w:tcW w:w="124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《职业病防治法》第</w:t>
            </w:r>
            <w:r w:rsidRPr="00687B52">
              <w:rPr>
                <w:rFonts w:hint="eastAsia"/>
                <w:color w:val="000000" w:themeColor="text1"/>
                <w:szCs w:val="24"/>
              </w:rPr>
              <w:t>16</w:t>
            </w:r>
            <w:r w:rsidRPr="00687B52">
              <w:rPr>
                <w:rFonts w:hint="eastAsia"/>
                <w:color w:val="000000" w:themeColor="text1"/>
                <w:szCs w:val="24"/>
              </w:rPr>
              <w:t>条</w:t>
            </w:r>
          </w:p>
        </w:tc>
        <w:tc>
          <w:tcPr>
            <w:tcW w:w="1325" w:type="pct"/>
          </w:tcPr>
          <w:p w:rsidR="000C2455" w:rsidRPr="00687B52" w:rsidRDefault="000C2455" w:rsidP="003E1D2A">
            <w:pPr>
              <w:pStyle w:val="a7"/>
              <w:rPr>
                <w:color w:val="000000" w:themeColor="text1"/>
                <w:szCs w:val="24"/>
              </w:rPr>
            </w:pPr>
          </w:p>
        </w:tc>
      </w:tr>
      <w:tr w:rsidR="000C2455" w:rsidRPr="00687B52" w:rsidTr="004D7D3D">
        <w:trPr>
          <w:jc w:val="center"/>
        </w:trPr>
        <w:tc>
          <w:tcPr>
            <w:tcW w:w="380" w:type="pct"/>
            <w:vAlign w:val="center"/>
          </w:tcPr>
          <w:p w:rsidR="000C2455" w:rsidRPr="00687B52" w:rsidRDefault="004D7D3D" w:rsidP="00C05B82">
            <w:pPr>
              <w:pStyle w:val="a7"/>
              <w:rPr>
                <w:color w:val="000000" w:themeColor="text1"/>
                <w:szCs w:val="24"/>
              </w:rPr>
            </w:pPr>
            <w:r w:rsidRPr="00687B52">
              <w:rPr>
                <w:rFonts w:hint="eastAsia"/>
                <w:color w:val="000000" w:themeColor="text1"/>
                <w:szCs w:val="24"/>
              </w:rPr>
              <w:t>2.</w:t>
            </w:r>
            <w:r w:rsidR="000C2455" w:rsidRPr="00687B52">
              <w:rPr>
                <w:rFonts w:hint="eastAsia"/>
                <w:color w:val="000000" w:themeColor="text1"/>
                <w:szCs w:val="24"/>
              </w:rPr>
              <w:t>4</w:t>
            </w:r>
          </w:p>
        </w:tc>
        <w:tc>
          <w:tcPr>
            <w:tcW w:w="2052" w:type="pct"/>
            <w:vAlign w:val="center"/>
          </w:tcPr>
          <w:p w:rsidR="000C2455" w:rsidRPr="00687B52" w:rsidRDefault="000C2455" w:rsidP="003E1D2A">
            <w:pPr>
              <w:pStyle w:val="a7"/>
              <w:jc w:val="left"/>
              <w:rPr>
                <w:rFonts w:ascii="宋体" w:hAnsi="宋体"/>
                <w:color w:val="000000" w:themeColor="text1"/>
                <w:szCs w:val="24"/>
                <w:shd w:val="clear" w:color="auto" w:fill="FFFFFF"/>
              </w:rPr>
            </w:pPr>
            <w:r w:rsidRPr="00687B52">
              <w:rPr>
                <w:rFonts w:cs="宋体" w:hint="eastAsia"/>
                <w:color w:val="000000" w:themeColor="text1"/>
                <w:kern w:val="0"/>
                <w:szCs w:val="24"/>
              </w:rPr>
              <w:t>企业</w:t>
            </w:r>
            <w:r w:rsidRPr="00687B52">
              <w:rPr>
                <w:rFonts w:cs="宋体"/>
                <w:color w:val="000000" w:themeColor="text1"/>
                <w:kern w:val="0"/>
                <w:szCs w:val="24"/>
              </w:rPr>
              <w:t>应当在醒目位置</w:t>
            </w:r>
            <w:r w:rsidR="001A7F8F" w:rsidRPr="00687B52">
              <w:rPr>
                <w:rFonts w:cs="宋体" w:hint="eastAsia"/>
                <w:color w:val="000000" w:themeColor="text1"/>
                <w:kern w:val="0"/>
                <w:szCs w:val="24"/>
              </w:rPr>
              <w:t>设置</w:t>
            </w:r>
            <w:r w:rsidRPr="00687B52">
              <w:rPr>
                <w:rFonts w:cs="宋体"/>
                <w:color w:val="000000" w:themeColor="text1"/>
                <w:kern w:val="0"/>
                <w:szCs w:val="24"/>
              </w:rPr>
              <w:t>公告栏，公布有关职业病防治的规章制度、操作规程、职业病危害事故应急救援措施和工作场所职业病危害因素检测结果。</w:t>
            </w:r>
          </w:p>
        </w:tc>
        <w:tc>
          <w:tcPr>
            <w:tcW w:w="1243" w:type="pct"/>
            <w:vAlign w:val="center"/>
          </w:tcPr>
          <w:p w:rsidR="000C2455" w:rsidRPr="00687B52" w:rsidRDefault="000C2455" w:rsidP="003E1D2A">
            <w:pPr>
              <w:pStyle w:val="a7"/>
              <w:rPr>
                <w:rFonts w:ascii="宋体" w:hAnsi="宋体"/>
                <w:color w:val="000000" w:themeColor="text1"/>
                <w:szCs w:val="24"/>
              </w:rPr>
            </w:pPr>
            <w:r w:rsidRPr="00687B52">
              <w:rPr>
                <w:rFonts w:ascii="方正仿宋_GBK" w:eastAsia="方正仿宋_GBK" w:hAnsi="宋体" w:cs="宋体" w:hint="eastAsia"/>
                <w:color w:val="000000" w:themeColor="text1"/>
                <w:kern w:val="0"/>
                <w:szCs w:val="24"/>
              </w:rPr>
              <w:t>《职业病防治法》</w:t>
            </w:r>
            <w:r w:rsidRPr="00687B52">
              <w:rPr>
                <w:rFonts w:hint="eastAsia"/>
                <w:color w:val="000000" w:themeColor="text1"/>
                <w:szCs w:val="24"/>
              </w:rPr>
              <w:t>第</w:t>
            </w:r>
            <w:r w:rsidRPr="00687B52">
              <w:rPr>
                <w:rFonts w:hint="eastAsia"/>
                <w:color w:val="000000" w:themeColor="text1"/>
                <w:szCs w:val="24"/>
              </w:rPr>
              <w:t>25</w:t>
            </w:r>
            <w:r w:rsidRPr="00687B52">
              <w:rPr>
                <w:rFonts w:hint="eastAsia"/>
                <w:color w:val="000000" w:themeColor="text1"/>
                <w:szCs w:val="24"/>
              </w:rPr>
              <w:t>条</w:t>
            </w:r>
          </w:p>
        </w:tc>
        <w:tc>
          <w:tcPr>
            <w:tcW w:w="1325" w:type="pct"/>
          </w:tcPr>
          <w:p w:rsidR="000C2455" w:rsidRPr="00687B52" w:rsidRDefault="000C2455" w:rsidP="003E1D2A">
            <w:pPr>
              <w:pStyle w:val="a7"/>
              <w:rPr>
                <w:color w:val="000000" w:themeColor="text1"/>
                <w:szCs w:val="24"/>
              </w:rPr>
            </w:pPr>
          </w:p>
        </w:tc>
      </w:tr>
      <w:tr w:rsidR="000C2455" w:rsidRPr="00687B52" w:rsidTr="004D7D3D">
        <w:trPr>
          <w:jc w:val="center"/>
        </w:trPr>
        <w:tc>
          <w:tcPr>
            <w:tcW w:w="380" w:type="pct"/>
            <w:vAlign w:val="center"/>
          </w:tcPr>
          <w:p w:rsidR="000C2455" w:rsidRPr="00687B52" w:rsidRDefault="004D7D3D" w:rsidP="00C05B82">
            <w:pPr>
              <w:pStyle w:val="a7"/>
              <w:rPr>
                <w:color w:val="000000" w:themeColor="text1"/>
                <w:szCs w:val="24"/>
              </w:rPr>
            </w:pPr>
            <w:r w:rsidRPr="00687B52">
              <w:rPr>
                <w:rFonts w:hint="eastAsia"/>
                <w:color w:val="000000" w:themeColor="text1"/>
                <w:szCs w:val="24"/>
              </w:rPr>
              <w:t>2.</w:t>
            </w:r>
            <w:r w:rsidR="000C2455" w:rsidRPr="00687B52">
              <w:rPr>
                <w:rFonts w:hint="eastAsia"/>
                <w:color w:val="000000" w:themeColor="text1"/>
                <w:szCs w:val="24"/>
              </w:rPr>
              <w:t>5</w:t>
            </w:r>
          </w:p>
        </w:tc>
        <w:tc>
          <w:tcPr>
            <w:tcW w:w="2052" w:type="pct"/>
            <w:vAlign w:val="center"/>
          </w:tcPr>
          <w:p w:rsidR="000C2455" w:rsidRPr="00687B52" w:rsidRDefault="000C2455" w:rsidP="003E1D2A">
            <w:pPr>
              <w:pStyle w:val="a7"/>
              <w:jc w:val="left"/>
              <w:rPr>
                <w:rFonts w:ascii="宋体" w:hAnsi="宋体"/>
                <w:color w:val="000000" w:themeColor="text1"/>
                <w:kern w:val="0"/>
                <w:szCs w:val="24"/>
              </w:rPr>
            </w:pPr>
            <w:r w:rsidRPr="00687B52">
              <w:rPr>
                <w:rFonts w:hint="eastAsia"/>
                <w:color w:val="000000" w:themeColor="text1"/>
                <w:kern w:val="0"/>
                <w:szCs w:val="24"/>
              </w:rPr>
              <w:t>劳动合同中应当将工作过程中可能产生的职业病危</w:t>
            </w:r>
            <w:r w:rsidRPr="00687B52">
              <w:rPr>
                <w:rFonts w:hint="eastAsia"/>
                <w:color w:val="000000" w:themeColor="text1"/>
                <w:kern w:val="0"/>
                <w:szCs w:val="24"/>
              </w:rPr>
              <w:lastRenderedPageBreak/>
              <w:t>害及其后果、职业病防护措施和待遇等如实告知劳动者，并在劳动合同中写明，不得隐瞒或者欺骗。</w:t>
            </w:r>
          </w:p>
        </w:tc>
        <w:tc>
          <w:tcPr>
            <w:tcW w:w="124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lastRenderedPageBreak/>
              <w:t>《职业病防治法》第</w:t>
            </w:r>
            <w:r w:rsidRPr="00687B52">
              <w:rPr>
                <w:rFonts w:hint="eastAsia"/>
                <w:color w:val="000000" w:themeColor="text1"/>
                <w:szCs w:val="24"/>
              </w:rPr>
              <w:t>32</w:t>
            </w:r>
            <w:r w:rsidRPr="00687B52">
              <w:rPr>
                <w:rFonts w:hint="eastAsia"/>
                <w:color w:val="000000" w:themeColor="text1"/>
                <w:szCs w:val="24"/>
              </w:rPr>
              <w:t>条</w:t>
            </w:r>
          </w:p>
        </w:tc>
        <w:tc>
          <w:tcPr>
            <w:tcW w:w="1325" w:type="pct"/>
          </w:tcPr>
          <w:p w:rsidR="000C2455" w:rsidRPr="00687B52" w:rsidRDefault="000C2455" w:rsidP="003E1D2A">
            <w:pPr>
              <w:pStyle w:val="a7"/>
              <w:rPr>
                <w:color w:val="000000" w:themeColor="text1"/>
                <w:szCs w:val="24"/>
              </w:rPr>
            </w:pPr>
          </w:p>
        </w:tc>
      </w:tr>
      <w:tr w:rsidR="000C2455" w:rsidRPr="00687B52" w:rsidTr="004D7D3D">
        <w:trPr>
          <w:jc w:val="center"/>
        </w:trPr>
        <w:tc>
          <w:tcPr>
            <w:tcW w:w="380" w:type="pct"/>
            <w:vAlign w:val="center"/>
          </w:tcPr>
          <w:p w:rsidR="000C2455" w:rsidRPr="00687B52" w:rsidRDefault="004D7D3D" w:rsidP="00C05B82">
            <w:pPr>
              <w:pStyle w:val="a7"/>
              <w:rPr>
                <w:color w:val="000000" w:themeColor="text1"/>
                <w:szCs w:val="24"/>
              </w:rPr>
            </w:pPr>
            <w:r w:rsidRPr="00687B52">
              <w:rPr>
                <w:rFonts w:hint="eastAsia"/>
                <w:color w:val="000000" w:themeColor="text1"/>
                <w:szCs w:val="24"/>
              </w:rPr>
              <w:lastRenderedPageBreak/>
              <w:t>2.</w:t>
            </w:r>
            <w:r w:rsidR="000C2455" w:rsidRPr="00687B52">
              <w:rPr>
                <w:rFonts w:hint="eastAsia"/>
                <w:color w:val="000000" w:themeColor="text1"/>
                <w:szCs w:val="24"/>
              </w:rPr>
              <w:t>6</w:t>
            </w:r>
          </w:p>
        </w:tc>
        <w:tc>
          <w:tcPr>
            <w:tcW w:w="2052" w:type="pct"/>
            <w:vAlign w:val="center"/>
          </w:tcPr>
          <w:p w:rsidR="000C2455" w:rsidRPr="00687B52" w:rsidRDefault="000C2455" w:rsidP="003E1D2A">
            <w:pPr>
              <w:pStyle w:val="a7"/>
              <w:jc w:val="left"/>
              <w:rPr>
                <w:color w:val="000000" w:themeColor="text1"/>
                <w:kern w:val="0"/>
                <w:szCs w:val="24"/>
              </w:rPr>
            </w:pPr>
            <w:r w:rsidRPr="00687B52">
              <w:rPr>
                <w:color w:val="000000" w:themeColor="text1"/>
                <w:kern w:val="0"/>
                <w:szCs w:val="24"/>
              </w:rPr>
              <w:t>企业应在可能产生严重职业危害作业岗位的醒目位置，按照</w:t>
            </w:r>
            <w:r w:rsidRPr="00687B52">
              <w:rPr>
                <w:color w:val="000000" w:themeColor="text1"/>
                <w:kern w:val="0"/>
                <w:szCs w:val="24"/>
              </w:rPr>
              <w:t>GBZ158</w:t>
            </w:r>
            <w:r w:rsidRPr="00687B52">
              <w:rPr>
                <w:color w:val="000000" w:themeColor="text1"/>
                <w:kern w:val="0"/>
                <w:szCs w:val="24"/>
              </w:rPr>
              <w:t>设置职业危害警示标识，同时设置告知牌，告知产生职业危害的种类、后果、预防及应急救治措施、作业场所职业危害因素检测结果等。</w:t>
            </w:r>
          </w:p>
        </w:tc>
        <w:tc>
          <w:tcPr>
            <w:tcW w:w="1243" w:type="pct"/>
            <w:vAlign w:val="center"/>
          </w:tcPr>
          <w:p w:rsidR="000C2455" w:rsidRPr="00687B52" w:rsidRDefault="000C2455" w:rsidP="003E1D2A">
            <w:pPr>
              <w:pStyle w:val="a7"/>
              <w:rPr>
                <w:color w:val="000000" w:themeColor="text1"/>
                <w:kern w:val="0"/>
                <w:szCs w:val="24"/>
              </w:rPr>
            </w:pPr>
            <w:r w:rsidRPr="00687B52">
              <w:rPr>
                <w:rFonts w:hint="eastAsia"/>
                <w:color w:val="000000" w:themeColor="text1"/>
                <w:kern w:val="0"/>
                <w:szCs w:val="24"/>
              </w:rPr>
              <w:t>《危险化学品从业单位安全标准化通用规范》</w:t>
            </w:r>
            <w:r w:rsidRPr="00687B52">
              <w:rPr>
                <w:rFonts w:hint="eastAsia"/>
                <w:color w:val="000000" w:themeColor="text1"/>
                <w:kern w:val="0"/>
                <w:szCs w:val="24"/>
              </w:rPr>
              <w:t>AQ3013-2008</w:t>
            </w:r>
            <w:r w:rsidRPr="00687B52">
              <w:rPr>
                <w:rFonts w:hint="eastAsia"/>
                <w:color w:val="000000" w:themeColor="text1"/>
                <w:kern w:val="0"/>
                <w:szCs w:val="24"/>
              </w:rPr>
              <w:t>、《工作场所职业病危害警示标识》</w:t>
            </w:r>
            <w:r w:rsidRPr="00687B52">
              <w:rPr>
                <w:rFonts w:hint="eastAsia"/>
                <w:color w:val="000000" w:themeColor="text1"/>
                <w:kern w:val="0"/>
                <w:szCs w:val="24"/>
              </w:rPr>
              <w:t>GB158-2003</w:t>
            </w:r>
          </w:p>
        </w:tc>
        <w:tc>
          <w:tcPr>
            <w:tcW w:w="1325" w:type="pct"/>
          </w:tcPr>
          <w:p w:rsidR="000C2455" w:rsidRPr="00687B52" w:rsidRDefault="000C2455" w:rsidP="003E1D2A">
            <w:pPr>
              <w:pStyle w:val="a7"/>
              <w:rPr>
                <w:color w:val="000000" w:themeColor="text1"/>
                <w:szCs w:val="24"/>
              </w:rPr>
            </w:pPr>
          </w:p>
        </w:tc>
      </w:tr>
      <w:tr w:rsidR="000C2455" w:rsidRPr="00687B52" w:rsidTr="004D7D3D">
        <w:trPr>
          <w:jc w:val="center"/>
        </w:trPr>
        <w:tc>
          <w:tcPr>
            <w:tcW w:w="380" w:type="pct"/>
            <w:vAlign w:val="center"/>
          </w:tcPr>
          <w:p w:rsidR="000C2455" w:rsidRPr="00687B52" w:rsidRDefault="004D7D3D" w:rsidP="00C05B82">
            <w:pPr>
              <w:pStyle w:val="a7"/>
              <w:rPr>
                <w:color w:val="000000" w:themeColor="text1"/>
                <w:szCs w:val="24"/>
              </w:rPr>
            </w:pPr>
            <w:r w:rsidRPr="00687B52">
              <w:rPr>
                <w:rFonts w:hint="eastAsia"/>
                <w:color w:val="000000" w:themeColor="text1"/>
                <w:szCs w:val="24"/>
              </w:rPr>
              <w:t>2.</w:t>
            </w:r>
            <w:r w:rsidR="000C2455" w:rsidRPr="00687B52">
              <w:rPr>
                <w:rFonts w:hint="eastAsia"/>
                <w:color w:val="000000" w:themeColor="text1"/>
                <w:szCs w:val="24"/>
              </w:rPr>
              <w:t>7</w:t>
            </w:r>
          </w:p>
        </w:tc>
        <w:tc>
          <w:tcPr>
            <w:tcW w:w="2052" w:type="pct"/>
            <w:vAlign w:val="center"/>
          </w:tcPr>
          <w:p w:rsidR="000C2455" w:rsidRPr="00687B52" w:rsidRDefault="000C2455" w:rsidP="003E1D2A">
            <w:pPr>
              <w:pStyle w:val="a7"/>
              <w:jc w:val="left"/>
              <w:rPr>
                <w:color w:val="000000" w:themeColor="text1"/>
                <w:kern w:val="0"/>
                <w:szCs w:val="24"/>
              </w:rPr>
            </w:pPr>
            <w:r w:rsidRPr="00687B52">
              <w:rPr>
                <w:rFonts w:ascii="方正仿宋_GBK" w:eastAsia="方正仿宋_GBK" w:hAnsi="宋体" w:cs="宋体" w:hint="eastAsia"/>
                <w:color w:val="000000" w:themeColor="text1"/>
                <w:kern w:val="0"/>
                <w:szCs w:val="24"/>
              </w:rPr>
              <w:t>存在或者产生职业病危害的工作场所、作业岗位、设备、设施，应当在醒目位置设置图形、警示线、警示语句等警示标识和中文警示说明。警示说明应当载明产生职业病危害的种类、后果、预防和应急处置措施等内容。</w:t>
            </w:r>
          </w:p>
        </w:tc>
        <w:tc>
          <w:tcPr>
            <w:tcW w:w="1243" w:type="pct"/>
            <w:vAlign w:val="center"/>
          </w:tcPr>
          <w:p w:rsidR="000C2455" w:rsidRPr="00687B52" w:rsidRDefault="000C2455" w:rsidP="003E1D2A">
            <w:pPr>
              <w:pStyle w:val="a7"/>
              <w:rPr>
                <w:color w:val="000000" w:themeColor="text1"/>
                <w:szCs w:val="24"/>
              </w:rPr>
            </w:pPr>
            <w:r w:rsidRPr="00687B52">
              <w:rPr>
                <w:rFonts w:ascii="方正仿宋_GBK" w:eastAsia="方正仿宋_GBK" w:hAnsi="宋体" w:cs="宋体" w:hint="eastAsia"/>
                <w:color w:val="000000" w:themeColor="text1"/>
                <w:kern w:val="0"/>
                <w:szCs w:val="24"/>
              </w:rPr>
              <w:t>《工作场所职业病</w:t>
            </w:r>
            <w:r w:rsidRPr="00687B52">
              <w:rPr>
                <w:rFonts w:hint="eastAsia"/>
                <w:color w:val="000000" w:themeColor="text1"/>
                <w:kern w:val="0"/>
                <w:szCs w:val="24"/>
              </w:rPr>
              <w:t>危害警示标识》（</w:t>
            </w:r>
            <w:r w:rsidRPr="00687B52">
              <w:rPr>
                <w:color w:val="000000" w:themeColor="text1"/>
                <w:kern w:val="0"/>
                <w:szCs w:val="24"/>
              </w:rPr>
              <w:t>GBZ158</w:t>
            </w:r>
            <w:r w:rsidRPr="00687B52">
              <w:rPr>
                <w:rFonts w:hint="eastAsia"/>
                <w:color w:val="000000" w:themeColor="text1"/>
                <w:kern w:val="0"/>
                <w:szCs w:val="24"/>
              </w:rPr>
              <w:t>）</w:t>
            </w:r>
          </w:p>
        </w:tc>
        <w:tc>
          <w:tcPr>
            <w:tcW w:w="1325" w:type="pct"/>
          </w:tcPr>
          <w:p w:rsidR="000C2455" w:rsidRPr="00687B52" w:rsidRDefault="000C2455" w:rsidP="003E1D2A">
            <w:pPr>
              <w:pStyle w:val="a7"/>
              <w:rPr>
                <w:color w:val="000000" w:themeColor="text1"/>
                <w:szCs w:val="24"/>
              </w:rPr>
            </w:pPr>
          </w:p>
        </w:tc>
      </w:tr>
      <w:tr w:rsidR="000C2455" w:rsidRPr="00687B52" w:rsidTr="004D7D3D">
        <w:trPr>
          <w:jc w:val="center"/>
        </w:trPr>
        <w:tc>
          <w:tcPr>
            <w:tcW w:w="380" w:type="pct"/>
            <w:vAlign w:val="center"/>
          </w:tcPr>
          <w:p w:rsidR="000C2455" w:rsidRPr="00687B52" w:rsidRDefault="004D7D3D" w:rsidP="00C05B82">
            <w:pPr>
              <w:pStyle w:val="a7"/>
              <w:rPr>
                <w:color w:val="000000" w:themeColor="text1"/>
                <w:szCs w:val="24"/>
              </w:rPr>
            </w:pPr>
            <w:r w:rsidRPr="00687B52">
              <w:rPr>
                <w:rFonts w:hint="eastAsia"/>
                <w:color w:val="000000" w:themeColor="text1"/>
                <w:szCs w:val="24"/>
              </w:rPr>
              <w:t>2.</w:t>
            </w:r>
            <w:r w:rsidR="000C2455" w:rsidRPr="00687B52">
              <w:rPr>
                <w:rFonts w:hint="eastAsia"/>
                <w:color w:val="000000" w:themeColor="text1"/>
                <w:szCs w:val="24"/>
              </w:rPr>
              <w:t>8</w:t>
            </w:r>
          </w:p>
        </w:tc>
        <w:tc>
          <w:tcPr>
            <w:tcW w:w="2052" w:type="pct"/>
            <w:vAlign w:val="center"/>
          </w:tcPr>
          <w:p w:rsidR="000C2455" w:rsidRPr="00687B52" w:rsidRDefault="000C2455" w:rsidP="003E1D2A">
            <w:pPr>
              <w:pStyle w:val="a7"/>
              <w:jc w:val="left"/>
              <w:rPr>
                <w:color w:val="000000" w:themeColor="text1"/>
                <w:kern w:val="0"/>
                <w:szCs w:val="24"/>
              </w:rPr>
            </w:pPr>
            <w:r w:rsidRPr="00687B52">
              <w:rPr>
                <w:color w:val="000000" w:themeColor="text1"/>
                <w:kern w:val="0"/>
                <w:szCs w:val="24"/>
              </w:rPr>
              <w:t>存在或产生高毒物品的作业岗位，应在醒目位置设置高毒物品告知卡，告知卡应当载明高毒物品的名称、理化特性、健康危害、防护措施及应急处理等告知内容与警示标识。</w:t>
            </w:r>
          </w:p>
        </w:tc>
        <w:tc>
          <w:tcPr>
            <w:tcW w:w="1243" w:type="pct"/>
            <w:vAlign w:val="center"/>
          </w:tcPr>
          <w:p w:rsidR="000C2455" w:rsidRPr="00687B52" w:rsidRDefault="000C2455" w:rsidP="003E1D2A">
            <w:pPr>
              <w:pStyle w:val="a7"/>
              <w:rPr>
                <w:color w:val="000000" w:themeColor="text1"/>
                <w:kern w:val="0"/>
                <w:szCs w:val="24"/>
              </w:rPr>
            </w:pPr>
            <w:r w:rsidRPr="00687B52">
              <w:rPr>
                <w:color w:val="000000" w:themeColor="text1"/>
                <w:kern w:val="0"/>
                <w:szCs w:val="24"/>
              </w:rPr>
              <w:t>《高毒物品作业岗位职业病危害告知规范》（</w:t>
            </w:r>
            <w:r w:rsidRPr="00687B52">
              <w:rPr>
                <w:color w:val="000000" w:themeColor="text1"/>
                <w:kern w:val="0"/>
                <w:szCs w:val="24"/>
              </w:rPr>
              <w:t>GBZ/T203</w:t>
            </w:r>
            <w:r w:rsidRPr="00687B52">
              <w:rPr>
                <w:color w:val="000000" w:themeColor="text1"/>
                <w:kern w:val="0"/>
                <w:szCs w:val="24"/>
              </w:rPr>
              <w:t>）</w:t>
            </w:r>
          </w:p>
        </w:tc>
        <w:tc>
          <w:tcPr>
            <w:tcW w:w="1325" w:type="pct"/>
          </w:tcPr>
          <w:p w:rsidR="000C2455" w:rsidRPr="00687B52" w:rsidRDefault="000C2455" w:rsidP="003E1D2A">
            <w:pPr>
              <w:pStyle w:val="a7"/>
              <w:rPr>
                <w:color w:val="000000" w:themeColor="text1"/>
                <w:szCs w:val="24"/>
              </w:rPr>
            </w:pPr>
          </w:p>
        </w:tc>
      </w:tr>
      <w:tr w:rsidR="000C2455" w:rsidRPr="00687B52" w:rsidTr="004D7D3D">
        <w:trPr>
          <w:jc w:val="center"/>
        </w:trPr>
        <w:tc>
          <w:tcPr>
            <w:tcW w:w="380" w:type="pct"/>
            <w:vAlign w:val="center"/>
          </w:tcPr>
          <w:p w:rsidR="000C2455" w:rsidRPr="00687B52" w:rsidRDefault="004A5011" w:rsidP="00C05B82">
            <w:pPr>
              <w:pStyle w:val="a7"/>
              <w:rPr>
                <w:b/>
                <w:color w:val="000000" w:themeColor="text1"/>
                <w:szCs w:val="24"/>
              </w:rPr>
            </w:pPr>
            <w:r w:rsidRPr="00687B52">
              <w:rPr>
                <w:rFonts w:hint="eastAsia"/>
                <w:b/>
                <w:color w:val="000000" w:themeColor="text1"/>
                <w:szCs w:val="24"/>
              </w:rPr>
              <w:t>3</w:t>
            </w:r>
          </w:p>
        </w:tc>
        <w:tc>
          <w:tcPr>
            <w:tcW w:w="2052" w:type="pct"/>
            <w:vAlign w:val="center"/>
          </w:tcPr>
          <w:p w:rsidR="000C2455" w:rsidRPr="00687B52" w:rsidRDefault="000C2455" w:rsidP="003E1D2A">
            <w:pPr>
              <w:pStyle w:val="a7"/>
              <w:jc w:val="left"/>
              <w:rPr>
                <w:rFonts w:ascii="宋体" w:hAnsi="宋体"/>
                <w:b/>
                <w:color w:val="000000" w:themeColor="text1"/>
                <w:szCs w:val="24"/>
                <w:shd w:val="clear" w:color="auto" w:fill="FFFFFF"/>
              </w:rPr>
            </w:pPr>
            <w:r w:rsidRPr="00687B52">
              <w:rPr>
                <w:rFonts w:ascii="宋体" w:hAnsi="宋体" w:hint="eastAsia"/>
                <w:b/>
                <w:color w:val="000000" w:themeColor="text1"/>
                <w:szCs w:val="24"/>
                <w:shd w:val="clear" w:color="auto" w:fill="FFFFFF"/>
              </w:rPr>
              <w:t>个体防护和设备设施</w:t>
            </w:r>
          </w:p>
        </w:tc>
        <w:tc>
          <w:tcPr>
            <w:tcW w:w="1243" w:type="pct"/>
            <w:vAlign w:val="center"/>
          </w:tcPr>
          <w:p w:rsidR="000C2455" w:rsidRPr="00687B52" w:rsidRDefault="000C2455" w:rsidP="003E1D2A">
            <w:pPr>
              <w:pStyle w:val="a7"/>
              <w:rPr>
                <w:rFonts w:ascii="宋体" w:hAnsi="宋体"/>
                <w:color w:val="000000" w:themeColor="text1"/>
                <w:szCs w:val="24"/>
              </w:rPr>
            </w:pPr>
          </w:p>
        </w:tc>
        <w:tc>
          <w:tcPr>
            <w:tcW w:w="1325" w:type="pct"/>
          </w:tcPr>
          <w:p w:rsidR="000C2455" w:rsidRPr="00687B52" w:rsidRDefault="000C2455" w:rsidP="003E1D2A">
            <w:pPr>
              <w:pStyle w:val="a7"/>
              <w:rPr>
                <w:color w:val="000000" w:themeColor="text1"/>
                <w:szCs w:val="24"/>
              </w:rPr>
            </w:pPr>
          </w:p>
        </w:tc>
      </w:tr>
      <w:tr w:rsidR="000C2455" w:rsidRPr="00687B52" w:rsidTr="004D7D3D">
        <w:trPr>
          <w:jc w:val="center"/>
        </w:trPr>
        <w:tc>
          <w:tcPr>
            <w:tcW w:w="380" w:type="pct"/>
            <w:vAlign w:val="center"/>
          </w:tcPr>
          <w:p w:rsidR="000C2455" w:rsidRPr="00687B52" w:rsidRDefault="004D7D3D" w:rsidP="00C05B82">
            <w:pPr>
              <w:pStyle w:val="a7"/>
              <w:rPr>
                <w:color w:val="000000" w:themeColor="text1"/>
                <w:szCs w:val="24"/>
              </w:rPr>
            </w:pPr>
            <w:r w:rsidRPr="00687B52">
              <w:rPr>
                <w:rFonts w:hint="eastAsia"/>
                <w:color w:val="000000" w:themeColor="text1"/>
                <w:szCs w:val="24"/>
              </w:rPr>
              <w:t>3.</w:t>
            </w:r>
            <w:r w:rsidR="000C2455" w:rsidRPr="00687B52">
              <w:rPr>
                <w:rFonts w:hint="eastAsia"/>
                <w:color w:val="000000" w:themeColor="text1"/>
                <w:szCs w:val="24"/>
              </w:rPr>
              <w:t>1</w:t>
            </w:r>
          </w:p>
        </w:tc>
        <w:tc>
          <w:tcPr>
            <w:tcW w:w="2052" w:type="pct"/>
            <w:vAlign w:val="center"/>
          </w:tcPr>
          <w:p w:rsidR="000C2455" w:rsidRPr="00687B52" w:rsidRDefault="000C2455" w:rsidP="003E1D2A">
            <w:pPr>
              <w:pStyle w:val="a7"/>
              <w:jc w:val="left"/>
              <w:rPr>
                <w:rFonts w:ascii="宋体" w:hAnsi="宋体"/>
                <w:color w:val="000000" w:themeColor="text1"/>
                <w:szCs w:val="24"/>
                <w:shd w:val="clear" w:color="auto" w:fill="FFFFFF"/>
              </w:rPr>
            </w:pPr>
            <w:r w:rsidRPr="00687B52">
              <w:rPr>
                <w:rFonts w:ascii="宋体" w:hAnsi="宋体" w:hint="eastAsia"/>
                <w:color w:val="000000" w:themeColor="text1"/>
                <w:szCs w:val="24"/>
                <w:shd w:val="clear" w:color="auto" w:fill="FFFFFF"/>
              </w:rPr>
              <w:t>企业应</w:t>
            </w:r>
            <w:r w:rsidRPr="00687B52">
              <w:rPr>
                <w:rFonts w:ascii="宋体" w:hAnsi="宋体"/>
                <w:color w:val="000000" w:themeColor="text1"/>
                <w:szCs w:val="24"/>
                <w:shd w:val="clear" w:color="auto" w:fill="FFFFFF"/>
              </w:rPr>
              <w:t>为劳动者提供</w:t>
            </w:r>
            <w:r w:rsidRPr="00687B52">
              <w:rPr>
                <w:rFonts w:ascii="宋体" w:hAnsi="宋体" w:hint="eastAsia"/>
                <w:color w:val="000000" w:themeColor="text1"/>
                <w:szCs w:val="24"/>
                <w:shd w:val="clear" w:color="auto" w:fill="FFFFFF"/>
              </w:rPr>
              <w:t>个体</w:t>
            </w:r>
            <w:r w:rsidRPr="00687B52">
              <w:rPr>
                <w:rFonts w:ascii="宋体" w:hAnsi="宋体"/>
                <w:color w:val="000000" w:themeColor="text1"/>
                <w:szCs w:val="24"/>
                <w:shd w:val="clear" w:color="auto" w:fill="FFFFFF"/>
              </w:rPr>
              <w:t>防护用品，并督促、指导劳动者按照使用规则正确佩戴、使用</w:t>
            </w:r>
            <w:r w:rsidRPr="00687B52">
              <w:rPr>
                <w:rFonts w:ascii="宋体" w:hAnsi="宋体" w:hint="eastAsia"/>
                <w:color w:val="000000" w:themeColor="text1"/>
                <w:szCs w:val="24"/>
                <w:shd w:val="clear" w:color="auto" w:fill="FFFFFF"/>
              </w:rPr>
              <w:t>。</w:t>
            </w:r>
          </w:p>
        </w:tc>
        <w:tc>
          <w:tcPr>
            <w:tcW w:w="1243" w:type="pct"/>
            <w:vAlign w:val="center"/>
          </w:tcPr>
          <w:p w:rsidR="000C2455" w:rsidRPr="00687B52" w:rsidRDefault="000C2455" w:rsidP="003E1D2A">
            <w:pPr>
              <w:pStyle w:val="a7"/>
              <w:rPr>
                <w:color w:val="000000" w:themeColor="text1"/>
                <w:kern w:val="0"/>
                <w:szCs w:val="24"/>
              </w:rPr>
            </w:pPr>
            <w:r w:rsidRPr="00687B52">
              <w:rPr>
                <w:color w:val="000000" w:themeColor="text1"/>
                <w:kern w:val="0"/>
                <w:szCs w:val="24"/>
              </w:rPr>
              <w:t>《工作场所职业卫生监督管理规定》（国家安全监管总局令第</w:t>
            </w:r>
            <w:r w:rsidRPr="00687B52">
              <w:rPr>
                <w:color w:val="000000" w:themeColor="text1"/>
                <w:kern w:val="0"/>
                <w:szCs w:val="24"/>
              </w:rPr>
              <w:t>47</w:t>
            </w:r>
            <w:r w:rsidRPr="00687B52">
              <w:rPr>
                <w:color w:val="000000" w:themeColor="text1"/>
                <w:kern w:val="0"/>
                <w:szCs w:val="24"/>
              </w:rPr>
              <w:t>号）第</w:t>
            </w:r>
            <w:r w:rsidRPr="00687B52">
              <w:rPr>
                <w:rFonts w:hint="eastAsia"/>
                <w:color w:val="000000" w:themeColor="text1"/>
                <w:kern w:val="0"/>
                <w:szCs w:val="24"/>
              </w:rPr>
              <w:t>16</w:t>
            </w:r>
            <w:r w:rsidRPr="00687B52">
              <w:rPr>
                <w:color w:val="000000" w:themeColor="text1"/>
                <w:kern w:val="0"/>
                <w:szCs w:val="24"/>
              </w:rPr>
              <w:t>条</w:t>
            </w:r>
          </w:p>
        </w:tc>
        <w:tc>
          <w:tcPr>
            <w:tcW w:w="1325" w:type="pct"/>
          </w:tcPr>
          <w:p w:rsidR="000C2455" w:rsidRPr="00687B52" w:rsidRDefault="000C2455" w:rsidP="003E1D2A">
            <w:pPr>
              <w:pStyle w:val="a7"/>
              <w:rPr>
                <w:color w:val="000000" w:themeColor="text1"/>
                <w:szCs w:val="24"/>
              </w:rPr>
            </w:pPr>
            <w:r w:rsidRPr="00687B52">
              <w:rPr>
                <w:rFonts w:hint="eastAsia"/>
                <w:color w:val="000000" w:themeColor="text1"/>
                <w:szCs w:val="24"/>
              </w:rPr>
              <w:t>职业检测</w:t>
            </w:r>
          </w:p>
        </w:tc>
      </w:tr>
      <w:tr w:rsidR="000C2455" w:rsidRPr="00687B52" w:rsidTr="004D7D3D">
        <w:trPr>
          <w:jc w:val="center"/>
        </w:trPr>
        <w:tc>
          <w:tcPr>
            <w:tcW w:w="380" w:type="pct"/>
            <w:vAlign w:val="center"/>
          </w:tcPr>
          <w:p w:rsidR="000C2455" w:rsidRPr="00687B52" w:rsidRDefault="004D7D3D" w:rsidP="00C05B82">
            <w:pPr>
              <w:pStyle w:val="a7"/>
              <w:rPr>
                <w:color w:val="000000" w:themeColor="text1"/>
                <w:szCs w:val="24"/>
              </w:rPr>
            </w:pPr>
            <w:r w:rsidRPr="00687B52">
              <w:rPr>
                <w:rFonts w:hint="eastAsia"/>
                <w:color w:val="000000" w:themeColor="text1"/>
                <w:szCs w:val="24"/>
              </w:rPr>
              <w:t>3.</w:t>
            </w:r>
            <w:r w:rsidR="000C2455" w:rsidRPr="00687B52">
              <w:rPr>
                <w:rFonts w:hint="eastAsia"/>
                <w:color w:val="000000" w:themeColor="text1"/>
                <w:szCs w:val="24"/>
              </w:rPr>
              <w:t>2</w:t>
            </w:r>
          </w:p>
        </w:tc>
        <w:tc>
          <w:tcPr>
            <w:tcW w:w="2052" w:type="pct"/>
            <w:vAlign w:val="center"/>
          </w:tcPr>
          <w:p w:rsidR="000C2455" w:rsidRPr="00687B52" w:rsidRDefault="000C2455" w:rsidP="003E1D2A">
            <w:pPr>
              <w:pStyle w:val="a7"/>
              <w:jc w:val="left"/>
              <w:rPr>
                <w:rFonts w:ascii="宋体" w:hAnsi="宋体"/>
                <w:color w:val="000000" w:themeColor="text1"/>
                <w:szCs w:val="24"/>
                <w:shd w:val="clear" w:color="auto" w:fill="FFFFFF"/>
              </w:rPr>
            </w:pPr>
            <w:r w:rsidRPr="00687B52">
              <w:rPr>
                <w:rFonts w:ascii="方正仿宋_GBK" w:eastAsia="方正仿宋_GBK" w:hAnsi="宋体" w:cs="宋体" w:hint="eastAsia"/>
                <w:color w:val="000000" w:themeColor="text1"/>
                <w:kern w:val="0"/>
                <w:szCs w:val="24"/>
              </w:rPr>
              <w:t>按规定为劳动者配备和及时更换符合职业病防护标准要求的个人防护用品。</w:t>
            </w:r>
          </w:p>
        </w:tc>
        <w:tc>
          <w:tcPr>
            <w:tcW w:w="1243" w:type="pct"/>
            <w:vAlign w:val="center"/>
          </w:tcPr>
          <w:p w:rsidR="000C2455" w:rsidRPr="00687B52" w:rsidRDefault="000C2455" w:rsidP="003E1D2A">
            <w:pPr>
              <w:pStyle w:val="a7"/>
              <w:rPr>
                <w:color w:val="000000" w:themeColor="text1"/>
                <w:kern w:val="0"/>
                <w:szCs w:val="24"/>
              </w:rPr>
            </w:pPr>
            <w:r w:rsidRPr="00687B52">
              <w:rPr>
                <w:rFonts w:hint="eastAsia"/>
                <w:color w:val="000000" w:themeColor="text1"/>
                <w:kern w:val="0"/>
                <w:szCs w:val="24"/>
              </w:rPr>
              <w:t>《个体防护装备选用规范》（</w:t>
            </w:r>
            <w:r w:rsidRPr="00687B52">
              <w:rPr>
                <w:color w:val="000000" w:themeColor="text1"/>
                <w:kern w:val="0"/>
                <w:szCs w:val="24"/>
              </w:rPr>
              <w:t>GB/T11651</w:t>
            </w:r>
            <w:r w:rsidRPr="00687B52">
              <w:rPr>
                <w:rFonts w:hint="eastAsia"/>
                <w:color w:val="000000" w:themeColor="text1"/>
                <w:kern w:val="0"/>
                <w:szCs w:val="24"/>
              </w:rPr>
              <w:t>）</w:t>
            </w:r>
          </w:p>
        </w:tc>
        <w:tc>
          <w:tcPr>
            <w:tcW w:w="1325" w:type="pct"/>
          </w:tcPr>
          <w:p w:rsidR="000C2455" w:rsidRPr="00687B52" w:rsidRDefault="000C2455" w:rsidP="003E1D2A">
            <w:pPr>
              <w:pStyle w:val="a7"/>
              <w:rPr>
                <w:color w:val="000000" w:themeColor="text1"/>
                <w:szCs w:val="24"/>
              </w:rPr>
            </w:pPr>
          </w:p>
        </w:tc>
      </w:tr>
      <w:tr w:rsidR="000C2455" w:rsidRPr="00687B52" w:rsidTr="004D7D3D">
        <w:trPr>
          <w:jc w:val="center"/>
        </w:trPr>
        <w:tc>
          <w:tcPr>
            <w:tcW w:w="380" w:type="pct"/>
            <w:vAlign w:val="center"/>
          </w:tcPr>
          <w:p w:rsidR="000C2455" w:rsidRPr="00687B52" w:rsidRDefault="004D7D3D" w:rsidP="00C05B82">
            <w:pPr>
              <w:pStyle w:val="a7"/>
              <w:rPr>
                <w:color w:val="000000" w:themeColor="text1"/>
                <w:szCs w:val="24"/>
              </w:rPr>
            </w:pPr>
            <w:r w:rsidRPr="00687B52">
              <w:rPr>
                <w:rFonts w:hint="eastAsia"/>
                <w:color w:val="000000" w:themeColor="text1"/>
                <w:szCs w:val="24"/>
              </w:rPr>
              <w:t>3.</w:t>
            </w:r>
            <w:r w:rsidR="000C2455" w:rsidRPr="00687B52">
              <w:rPr>
                <w:rFonts w:hint="eastAsia"/>
                <w:color w:val="000000" w:themeColor="text1"/>
                <w:szCs w:val="24"/>
              </w:rPr>
              <w:t>3</w:t>
            </w:r>
          </w:p>
        </w:tc>
        <w:tc>
          <w:tcPr>
            <w:tcW w:w="2052" w:type="pct"/>
            <w:vAlign w:val="center"/>
          </w:tcPr>
          <w:p w:rsidR="000C2455" w:rsidRPr="00687B52" w:rsidRDefault="000C2455" w:rsidP="003E1D2A">
            <w:pPr>
              <w:pStyle w:val="a7"/>
              <w:jc w:val="left"/>
              <w:rPr>
                <w:rFonts w:ascii="宋体" w:hAnsi="宋体"/>
                <w:color w:val="000000" w:themeColor="text1"/>
                <w:szCs w:val="24"/>
                <w:shd w:val="clear" w:color="auto" w:fill="FFFFFF"/>
              </w:rPr>
            </w:pPr>
            <w:r w:rsidRPr="00687B52">
              <w:rPr>
                <w:rFonts w:ascii="宋体" w:hAnsi="宋体"/>
                <w:color w:val="000000" w:themeColor="text1"/>
                <w:szCs w:val="24"/>
                <w:shd w:val="clear" w:color="auto" w:fill="FFFFFF"/>
              </w:rPr>
              <w:t>对从事接触职业病危害的作业的劳动者，用人单位应当</w:t>
            </w:r>
            <w:r w:rsidRPr="00687B52">
              <w:rPr>
                <w:rFonts w:ascii="宋体" w:hAnsi="宋体" w:hint="eastAsia"/>
                <w:color w:val="000000" w:themeColor="text1"/>
                <w:szCs w:val="24"/>
                <w:shd w:val="clear" w:color="auto" w:fill="FFFFFF"/>
              </w:rPr>
              <w:t>按</w:t>
            </w:r>
            <w:r w:rsidRPr="00687B52">
              <w:rPr>
                <w:rFonts w:ascii="宋体" w:hAnsi="宋体"/>
                <w:color w:val="000000" w:themeColor="text1"/>
                <w:szCs w:val="24"/>
                <w:shd w:val="clear" w:color="auto" w:fill="FFFFFF"/>
              </w:rPr>
              <w:t>规定组织上岗前、在岗期间和离岗时的职业健康检查</w:t>
            </w:r>
            <w:r w:rsidRPr="00687B52">
              <w:rPr>
                <w:rFonts w:ascii="宋体" w:hAnsi="宋体" w:hint="eastAsia"/>
                <w:color w:val="000000" w:themeColor="text1"/>
                <w:szCs w:val="24"/>
                <w:shd w:val="clear" w:color="auto" w:fill="FFFFFF"/>
              </w:rPr>
              <w:t>，并建立健康监护档案</w:t>
            </w:r>
            <w:r w:rsidRPr="00687B52">
              <w:rPr>
                <w:rFonts w:ascii="宋体" w:hAnsi="宋体"/>
                <w:color w:val="000000" w:themeColor="text1"/>
                <w:szCs w:val="24"/>
                <w:shd w:val="clear" w:color="auto" w:fill="FFFFFF"/>
              </w:rPr>
              <w:t>。</w:t>
            </w:r>
          </w:p>
        </w:tc>
        <w:tc>
          <w:tcPr>
            <w:tcW w:w="1243" w:type="pct"/>
            <w:vAlign w:val="center"/>
          </w:tcPr>
          <w:p w:rsidR="000C2455" w:rsidRPr="00687B52" w:rsidRDefault="000C2455" w:rsidP="003E1D2A">
            <w:pPr>
              <w:pStyle w:val="a7"/>
              <w:rPr>
                <w:color w:val="000000" w:themeColor="text1"/>
                <w:kern w:val="0"/>
                <w:szCs w:val="24"/>
              </w:rPr>
            </w:pPr>
            <w:r w:rsidRPr="00687B52">
              <w:rPr>
                <w:color w:val="000000" w:themeColor="text1"/>
                <w:kern w:val="0"/>
                <w:szCs w:val="24"/>
              </w:rPr>
              <w:t>《职业病防治法》</w:t>
            </w:r>
          </w:p>
          <w:p w:rsidR="000C2455" w:rsidRPr="00687B52" w:rsidRDefault="000C2455" w:rsidP="003E1D2A">
            <w:pPr>
              <w:pStyle w:val="a7"/>
              <w:rPr>
                <w:color w:val="000000" w:themeColor="text1"/>
                <w:kern w:val="0"/>
                <w:szCs w:val="24"/>
              </w:rPr>
            </w:pPr>
            <w:r w:rsidRPr="00687B52">
              <w:rPr>
                <w:color w:val="000000" w:themeColor="text1"/>
                <w:kern w:val="0"/>
                <w:szCs w:val="24"/>
              </w:rPr>
              <w:t>第</w:t>
            </w:r>
            <w:r w:rsidRPr="00687B52">
              <w:rPr>
                <w:rFonts w:hint="eastAsia"/>
                <w:color w:val="000000" w:themeColor="text1"/>
                <w:kern w:val="0"/>
                <w:szCs w:val="24"/>
              </w:rPr>
              <w:t>35</w:t>
            </w:r>
            <w:r w:rsidRPr="00687B52">
              <w:rPr>
                <w:color w:val="000000" w:themeColor="text1"/>
                <w:kern w:val="0"/>
                <w:szCs w:val="24"/>
              </w:rPr>
              <w:t>条</w:t>
            </w:r>
          </w:p>
        </w:tc>
        <w:tc>
          <w:tcPr>
            <w:tcW w:w="1325" w:type="pct"/>
          </w:tcPr>
          <w:p w:rsidR="000C2455" w:rsidRPr="00687B52" w:rsidRDefault="000C2455" w:rsidP="003E1D2A">
            <w:pPr>
              <w:pStyle w:val="a7"/>
              <w:rPr>
                <w:color w:val="000000" w:themeColor="text1"/>
                <w:szCs w:val="24"/>
              </w:rPr>
            </w:pPr>
          </w:p>
        </w:tc>
      </w:tr>
      <w:tr w:rsidR="000C2455" w:rsidRPr="00687B52" w:rsidTr="004D7D3D">
        <w:trPr>
          <w:jc w:val="center"/>
        </w:trPr>
        <w:tc>
          <w:tcPr>
            <w:tcW w:w="380" w:type="pct"/>
            <w:vAlign w:val="center"/>
          </w:tcPr>
          <w:p w:rsidR="000C2455" w:rsidRPr="00687B52" w:rsidRDefault="004D7D3D" w:rsidP="00C05B82">
            <w:pPr>
              <w:pStyle w:val="a7"/>
              <w:rPr>
                <w:color w:val="000000" w:themeColor="text1"/>
                <w:szCs w:val="24"/>
              </w:rPr>
            </w:pPr>
            <w:r w:rsidRPr="00687B52">
              <w:rPr>
                <w:rFonts w:hint="eastAsia"/>
                <w:color w:val="000000" w:themeColor="text1"/>
                <w:szCs w:val="24"/>
              </w:rPr>
              <w:t>3.</w:t>
            </w:r>
            <w:r w:rsidR="000C2455" w:rsidRPr="00687B52">
              <w:rPr>
                <w:rFonts w:hint="eastAsia"/>
                <w:color w:val="000000" w:themeColor="text1"/>
                <w:szCs w:val="24"/>
              </w:rPr>
              <w:t>4</w:t>
            </w:r>
          </w:p>
        </w:tc>
        <w:tc>
          <w:tcPr>
            <w:tcW w:w="2052" w:type="pct"/>
            <w:vAlign w:val="center"/>
          </w:tcPr>
          <w:p w:rsidR="000C2455" w:rsidRPr="00687B52" w:rsidRDefault="000C2455" w:rsidP="003E1D2A">
            <w:pPr>
              <w:pStyle w:val="a7"/>
              <w:jc w:val="left"/>
              <w:rPr>
                <w:rFonts w:ascii="宋体" w:hAnsi="宋体"/>
                <w:color w:val="000000" w:themeColor="text1"/>
                <w:szCs w:val="24"/>
                <w:shd w:val="clear" w:color="auto" w:fill="FFFFFF"/>
              </w:rPr>
            </w:pPr>
            <w:r w:rsidRPr="00687B52">
              <w:rPr>
                <w:rFonts w:ascii="方正仿宋_GBK" w:eastAsia="方正仿宋_GBK" w:hAnsi="宋体" w:cs="宋体" w:hint="eastAsia"/>
                <w:color w:val="000000" w:themeColor="text1"/>
                <w:kern w:val="0"/>
                <w:szCs w:val="24"/>
              </w:rPr>
              <w:t>发现疑似职业病病人应当及时安排其进行医学观察或者职业病诊断。不得安排有职业禁忌的劳动者从</w:t>
            </w:r>
            <w:r w:rsidRPr="00687B52">
              <w:rPr>
                <w:rFonts w:ascii="方正仿宋_GBK" w:eastAsia="方正仿宋_GBK" w:hAnsi="宋体" w:cs="宋体" w:hint="eastAsia"/>
                <w:color w:val="000000" w:themeColor="text1"/>
                <w:kern w:val="0"/>
                <w:szCs w:val="24"/>
              </w:rPr>
              <w:lastRenderedPageBreak/>
              <w:t>事其所禁忌的作业。</w:t>
            </w:r>
          </w:p>
        </w:tc>
        <w:tc>
          <w:tcPr>
            <w:tcW w:w="1243" w:type="pct"/>
            <w:vAlign w:val="center"/>
          </w:tcPr>
          <w:p w:rsidR="000C2455" w:rsidRPr="00687B52" w:rsidRDefault="000C2455" w:rsidP="003E1D2A">
            <w:pPr>
              <w:pStyle w:val="a7"/>
              <w:rPr>
                <w:color w:val="000000" w:themeColor="text1"/>
                <w:kern w:val="0"/>
                <w:szCs w:val="24"/>
              </w:rPr>
            </w:pPr>
            <w:r w:rsidRPr="00687B52">
              <w:rPr>
                <w:rFonts w:hint="eastAsia"/>
                <w:color w:val="000000" w:themeColor="text1"/>
                <w:kern w:val="0"/>
                <w:szCs w:val="24"/>
              </w:rPr>
              <w:lastRenderedPageBreak/>
              <w:t>《用人单位职业健康监督管理办法》</w:t>
            </w:r>
          </w:p>
        </w:tc>
        <w:tc>
          <w:tcPr>
            <w:tcW w:w="1325" w:type="pct"/>
          </w:tcPr>
          <w:p w:rsidR="000C2455" w:rsidRPr="00687B52" w:rsidRDefault="000C2455" w:rsidP="003E1D2A">
            <w:pPr>
              <w:pStyle w:val="a7"/>
              <w:rPr>
                <w:color w:val="000000" w:themeColor="text1"/>
                <w:szCs w:val="24"/>
              </w:rPr>
            </w:pPr>
          </w:p>
        </w:tc>
      </w:tr>
      <w:tr w:rsidR="000C2455" w:rsidRPr="00687B52" w:rsidTr="004D7D3D">
        <w:trPr>
          <w:jc w:val="center"/>
        </w:trPr>
        <w:tc>
          <w:tcPr>
            <w:tcW w:w="380" w:type="pct"/>
            <w:vAlign w:val="center"/>
          </w:tcPr>
          <w:p w:rsidR="000C2455" w:rsidRPr="00687B52" w:rsidRDefault="004D7D3D" w:rsidP="00C05B82">
            <w:pPr>
              <w:pStyle w:val="a7"/>
              <w:rPr>
                <w:color w:val="000000" w:themeColor="text1"/>
                <w:szCs w:val="24"/>
              </w:rPr>
            </w:pPr>
            <w:r w:rsidRPr="00687B52">
              <w:rPr>
                <w:rFonts w:hint="eastAsia"/>
                <w:color w:val="000000" w:themeColor="text1"/>
                <w:szCs w:val="24"/>
              </w:rPr>
              <w:lastRenderedPageBreak/>
              <w:t>3.</w:t>
            </w:r>
            <w:r w:rsidR="000C2455" w:rsidRPr="00687B52">
              <w:rPr>
                <w:rFonts w:hint="eastAsia"/>
                <w:color w:val="000000" w:themeColor="text1"/>
                <w:szCs w:val="24"/>
              </w:rPr>
              <w:t>5</w:t>
            </w:r>
          </w:p>
        </w:tc>
        <w:tc>
          <w:tcPr>
            <w:tcW w:w="2052" w:type="pct"/>
            <w:vAlign w:val="center"/>
          </w:tcPr>
          <w:p w:rsidR="000C2455" w:rsidRPr="00687B52" w:rsidRDefault="000C2455" w:rsidP="003E1D2A">
            <w:pPr>
              <w:pStyle w:val="a7"/>
              <w:jc w:val="left"/>
              <w:rPr>
                <w:rFonts w:ascii="方正仿宋_GBK" w:eastAsia="方正仿宋_GBK" w:hAnsi="宋体" w:cs="宋体"/>
                <w:color w:val="000000" w:themeColor="text1"/>
                <w:kern w:val="0"/>
                <w:szCs w:val="24"/>
              </w:rPr>
            </w:pPr>
            <w:r w:rsidRPr="00687B52">
              <w:rPr>
                <w:rFonts w:ascii="方正仿宋_GBK" w:eastAsia="方正仿宋_GBK" w:hAnsi="宋体" w:cs="宋体" w:hint="eastAsia"/>
                <w:color w:val="000000" w:themeColor="text1"/>
                <w:kern w:val="0"/>
                <w:szCs w:val="24"/>
              </w:rPr>
              <w:t>产生职业病危害的工作场所应当符合下列职业卫生要求：</w:t>
            </w:r>
          </w:p>
          <w:p w:rsidR="000C2455" w:rsidRPr="00687B52" w:rsidRDefault="000C2455" w:rsidP="003E1D2A">
            <w:pPr>
              <w:pStyle w:val="a7"/>
              <w:jc w:val="left"/>
              <w:rPr>
                <w:rFonts w:ascii="方正仿宋_GBK" w:eastAsia="方正仿宋_GBK" w:hAnsi="宋体" w:cs="宋体"/>
                <w:color w:val="000000" w:themeColor="text1"/>
                <w:kern w:val="0"/>
                <w:szCs w:val="24"/>
              </w:rPr>
            </w:pPr>
            <w:r w:rsidRPr="00687B52">
              <w:rPr>
                <w:rFonts w:ascii="方正仿宋_GBK" w:eastAsia="方正仿宋_GBK" w:hAnsi="宋体" w:cs="宋体" w:hint="eastAsia"/>
                <w:color w:val="000000" w:themeColor="text1"/>
                <w:kern w:val="0"/>
                <w:szCs w:val="24"/>
              </w:rPr>
              <w:t>①职业病危害因素的强度或者浓度符合国家职业卫生标准；</w:t>
            </w:r>
          </w:p>
          <w:p w:rsidR="000C2455" w:rsidRPr="00687B52" w:rsidRDefault="000C2455" w:rsidP="003E1D2A">
            <w:pPr>
              <w:pStyle w:val="a7"/>
              <w:jc w:val="left"/>
              <w:rPr>
                <w:rFonts w:ascii="方正仿宋_GBK" w:eastAsia="方正仿宋_GBK" w:hAnsi="宋体" w:cs="宋体"/>
                <w:color w:val="000000" w:themeColor="text1"/>
                <w:kern w:val="0"/>
                <w:szCs w:val="24"/>
              </w:rPr>
            </w:pPr>
            <w:r w:rsidRPr="00687B52">
              <w:rPr>
                <w:rFonts w:ascii="方正仿宋_GBK" w:eastAsia="方正仿宋_GBK" w:hAnsi="宋体" w:cs="宋体" w:hint="eastAsia"/>
                <w:color w:val="000000" w:themeColor="text1"/>
                <w:kern w:val="0"/>
                <w:szCs w:val="24"/>
              </w:rPr>
              <w:t>②有与职业病危害防护相适应的设施；</w:t>
            </w:r>
          </w:p>
          <w:p w:rsidR="000C2455" w:rsidRPr="00687B52" w:rsidRDefault="000C2455" w:rsidP="003E1D2A">
            <w:pPr>
              <w:pStyle w:val="a7"/>
              <w:jc w:val="left"/>
              <w:rPr>
                <w:rFonts w:ascii="方正仿宋_GBK" w:eastAsia="方正仿宋_GBK" w:hAnsi="宋体" w:cs="宋体"/>
                <w:color w:val="000000" w:themeColor="text1"/>
                <w:kern w:val="0"/>
                <w:szCs w:val="24"/>
              </w:rPr>
            </w:pPr>
            <w:r w:rsidRPr="00687B52">
              <w:rPr>
                <w:rFonts w:ascii="方正仿宋_GBK" w:eastAsia="方正仿宋_GBK" w:hAnsi="宋体" w:cs="宋体" w:hint="eastAsia"/>
                <w:color w:val="000000" w:themeColor="text1"/>
                <w:kern w:val="0"/>
                <w:szCs w:val="24"/>
              </w:rPr>
              <w:t>③生产布局合理，符合有害与无害作业分开的原则；</w:t>
            </w:r>
          </w:p>
          <w:p w:rsidR="000C2455" w:rsidRPr="00687B52" w:rsidRDefault="000C2455" w:rsidP="003E1D2A">
            <w:pPr>
              <w:pStyle w:val="a7"/>
              <w:jc w:val="left"/>
              <w:rPr>
                <w:rFonts w:ascii="方正仿宋_GBK" w:eastAsia="方正仿宋_GBK" w:hAnsi="宋体" w:cs="宋体"/>
                <w:color w:val="000000" w:themeColor="text1"/>
                <w:kern w:val="0"/>
                <w:szCs w:val="24"/>
              </w:rPr>
            </w:pPr>
            <w:r w:rsidRPr="00687B52">
              <w:rPr>
                <w:rFonts w:ascii="方正仿宋_GBK" w:eastAsia="方正仿宋_GBK" w:hAnsi="宋体" w:cs="宋体" w:hint="eastAsia"/>
                <w:color w:val="000000" w:themeColor="text1"/>
                <w:kern w:val="0"/>
                <w:szCs w:val="24"/>
              </w:rPr>
              <w:t>④有配套的更衣间、洗浴间、孕妇休息间等卫生设施；</w:t>
            </w:r>
          </w:p>
          <w:p w:rsidR="000C2455" w:rsidRPr="00687B52" w:rsidRDefault="000C2455" w:rsidP="003E1D2A">
            <w:pPr>
              <w:pStyle w:val="a7"/>
              <w:jc w:val="left"/>
              <w:rPr>
                <w:rFonts w:ascii="方正仿宋_GBK" w:eastAsia="方正仿宋_GBK" w:hAnsi="宋体" w:cs="宋体"/>
                <w:color w:val="000000" w:themeColor="text1"/>
                <w:kern w:val="0"/>
                <w:szCs w:val="24"/>
              </w:rPr>
            </w:pPr>
            <w:r w:rsidRPr="00687B52">
              <w:rPr>
                <w:rFonts w:ascii="方正仿宋_GBK" w:eastAsia="方正仿宋_GBK" w:hAnsi="宋体" w:cs="宋体" w:hint="eastAsia"/>
                <w:color w:val="000000" w:themeColor="text1"/>
                <w:kern w:val="0"/>
                <w:szCs w:val="24"/>
              </w:rPr>
              <w:t>⑤设备、工具、用具等设施符合保护劳动者生理、心理健康的要求；</w:t>
            </w:r>
          </w:p>
          <w:p w:rsidR="000C2455" w:rsidRPr="00687B52" w:rsidRDefault="000C2455" w:rsidP="003E1D2A">
            <w:pPr>
              <w:pStyle w:val="a7"/>
              <w:jc w:val="left"/>
              <w:rPr>
                <w:rFonts w:ascii="方正仿宋_GBK" w:eastAsia="方正仿宋_GBK" w:hAnsi="宋体" w:cs="宋体"/>
                <w:color w:val="000000" w:themeColor="text1"/>
                <w:kern w:val="0"/>
                <w:szCs w:val="24"/>
              </w:rPr>
            </w:pPr>
            <w:r w:rsidRPr="00687B52">
              <w:rPr>
                <w:rFonts w:ascii="方正仿宋_GBK" w:eastAsia="方正仿宋_GBK" w:hAnsi="宋体" w:cs="宋体" w:hint="eastAsia"/>
                <w:color w:val="000000" w:themeColor="text1"/>
                <w:kern w:val="0"/>
                <w:szCs w:val="24"/>
              </w:rPr>
              <w:t>⑥法律、行政法规和国务院卫生行政部门、安全生产监督管理部门关于保护劳动者健康的其他要求。</w:t>
            </w:r>
          </w:p>
        </w:tc>
        <w:tc>
          <w:tcPr>
            <w:tcW w:w="1243" w:type="pct"/>
            <w:vAlign w:val="center"/>
          </w:tcPr>
          <w:p w:rsidR="000C2455" w:rsidRPr="00687B52" w:rsidRDefault="000C2455" w:rsidP="003E1D2A">
            <w:pPr>
              <w:pStyle w:val="a7"/>
              <w:jc w:val="left"/>
              <w:rPr>
                <w:rFonts w:ascii="方正仿宋_GBK" w:eastAsia="方正仿宋_GBK" w:hAnsi="宋体" w:cs="宋体"/>
                <w:color w:val="000000" w:themeColor="text1"/>
                <w:kern w:val="0"/>
                <w:szCs w:val="24"/>
              </w:rPr>
            </w:pPr>
            <w:r w:rsidRPr="00687B52">
              <w:rPr>
                <w:rFonts w:ascii="方正仿宋_GBK" w:eastAsia="方正仿宋_GBK" w:hAnsi="宋体" w:cs="宋体" w:hint="eastAsia"/>
                <w:color w:val="000000" w:themeColor="text1"/>
                <w:kern w:val="0"/>
                <w:szCs w:val="24"/>
              </w:rPr>
              <w:t>《职业病防治法》第15条</w:t>
            </w:r>
          </w:p>
        </w:tc>
        <w:tc>
          <w:tcPr>
            <w:tcW w:w="1325" w:type="pct"/>
          </w:tcPr>
          <w:p w:rsidR="000C2455" w:rsidRPr="00687B52" w:rsidRDefault="000C2455" w:rsidP="003E1D2A">
            <w:pPr>
              <w:pStyle w:val="a7"/>
              <w:rPr>
                <w:color w:val="000000" w:themeColor="text1"/>
                <w:szCs w:val="24"/>
              </w:rPr>
            </w:pPr>
          </w:p>
        </w:tc>
      </w:tr>
      <w:tr w:rsidR="000C2455" w:rsidRPr="00687B52" w:rsidTr="004D7D3D">
        <w:trPr>
          <w:jc w:val="center"/>
        </w:trPr>
        <w:tc>
          <w:tcPr>
            <w:tcW w:w="380" w:type="pct"/>
            <w:vAlign w:val="center"/>
          </w:tcPr>
          <w:p w:rsidR="000C2455" w:rsidRPr="00687B52" w:rsidRDefault="004D7D3D" w:rsidP="00C05B82">
            <w:pPr>
              <w:pStyle w:val="a7"/>
              <w:rPr>
                <w:color w:val="000000" w:themeColor="text1"/>
                <w:szCs w:val="24"/>
              </w:rPr>
            </w:pPr>
            <w:r w:rsidRPr="00687B52">
              <w:rPr>
                <w:rFonts w:hint="eastAsia"/>
                <w:color w:val="000000" w:themeColor="text1"/>
                <w:szCs w:val="24"/>
              </w:rPr>
              <w:t>3.</w:t>
            </w:r>
            <w:r w:rsidR="000C2455" w:rsidRPr="00687B52">
              <w:rPr>
                <w:rFonts w:hint="eastAsia"/>
                <w:color w:val="000000" w:themeColor="text1"/>
                <w:szCs w:val="24"/>
              </w:rPr>
              <w:t>6</w:t>
            </w:r>
          </w:p>
        </w:tc>
        <w:tc>
          <w:tcPr>
            <w:tcW w:w="2052" w:type="pct"/>
            <w:vAlign w:val="center"/>
          </w:tcPr>
          <w:p w:rsidR="000C2455" w:rsidRPr="00687B52" w:rsidRDefault="000C2455" w:rsidP="003E1D2A">
            <w:pPr>
              <w:pStyle w:val="a7"/>
              <w:jc w:val="left"/>
              <w:rPr>
                <w:rFonts w:ascii="方正仿宋_GBK" w:eastAsia="方正仿宋_GBK" w:hAnsi="宋体" w:cs="宋体"/>
                <w:color w:val="000000" w:themeColor="text1"/>
                <w:kern w:val="0"/>
                <w:szCs w:val="24"/>
              </w:rPr>
            </w:pPr>
            <w:r w:rsidRPr="00687B52">
              <w:rPr>
                <w:rFonts w:ascii="方正仿宋_GBK" w:eastAsia="方正仿宋_GBK" w:hAnsi="宋体" w:cs="宋体"/>
                <w:color w:val="000000" w:themeColor="text1"/>
                <w:kern w:val="0"/>
                <w:szCs w:val="24"/>
              </w:rPr>
              <w:t>对可能发生急性职业损伤的有毒、有害工作场所，应当设置报警装置，配置现场急救用品、冲洗设备、应急撤离通道和必要的泄险区。</w:t>
            </w:r>
          </w:p>
          <w:p w:rsidR="000C2455" w:rsidRPr="00687B52" w:rsidRDefault="000C2455" w:rsidP="003E1D2A">
            <w:pPr>
              <w:pStyle w:val="a7"/>
              <w:jc w:val="left"/>
              <w:rPr>
                <w:rFonts w:ascii="方正仿宋_GBK" w:eastAsia="方正仿宋_GBK" w:hAnsi="宋体" w:cs="宋体"/>
                <w:color w:val="000000" w:themeColor="text1"/>
                <w:kern w:val="0"/>
                <w:szCs w:val="24"/>
              </w:rPr>
            </w:pPr>
            <w:r w:rsidRPr="00687B52">
              <w:rPr>
                <w:rFonts w:ascii="方正仿宋_GBK" w:eastAsia="方正仿宋_GBK" w:hAnsi="宋体" w:cs="宋体"/>
                <w:color w:val="000000" w:themeColor="text1"/>
                <w:kern w:val="0"/>
                <w:szCs w:val="24"/>
              </w:rPr>
              <w:t>现场急救用品、冲洗设备等应当设在可能发生急性职业损伤的工作场所或者临近地点，并在醒目位置设置清晰的标识。</w:t>
            </w:r>
          </w:p>
        </w:tc>
        <w:tc>
          <w:tcPr>
            <w:tcW w:w="1243" w:type="pct"/>
            <w:vAlign w:val="center"/>
          </w:tcPr>
          <w:p w:rsidR="000C2455" w:rsidRPr="00687B52" w:rsidRDefault="000C2455" w:rsidP="003E1D2A">
            <w:pPr>
              <w:pStyle w:val="a7"/>
              <w:jc w:val="left"/>
              <w:rPr>
                <w:rFonts w:ascii="方正仿宋_GBK" w:eastAsia="方正仿宋_GBK" w:hAnsi="宋体" w:cs="宋体"/>
                <w:color w:val="000000" w:themeColor="text1"/>
                <w:kern w:val="0"/>
                <w:szCs w:val="24"/>
              </w:rPr>
            </w:pPr>
            <w:r w:rsidRPr="00687B52">
              <w:rPr>
                <w:rFonts w:ascii="方正仿宋_GBK" w:eastAsia="方正仿宋_GBK" w:hAnsi="宋体" w:cs="宋体"/>
                <w:color w:val="000000" w:themeColor="text1"/>
                <w:kern w:val="0"/>
                <w:szCs w:val="24"/>
              </w:rPr>
              <w:t>《职业病防治法》第25条</w:t>
            </w:r>
          </w:p>
          <w:p w:rsidR="000C2455" w:rsidRPr="00687B52" w:rsidRDefault="000C2455" w:rsidP="003E1D2A">
            <w:pPr>
              <w:pStyle w:val="a7"/>
              <w:jc w:val="left"/>
              <w:rPr>
                <w:rFonts w:ascii="方正仿宋_GBK" w:eastAsia="方正仿宋_GBK" w:hAnsi="宋体" w:cs="宋体"/>
                <w:color w:val="000000" w:themeColor="text1"/>
                <w:kern w:val="0"/>
                <w:szCs w:val="24"/>
              </w:rPr>
            </w:pPr>
            <w:r w:rsidRPr="00687B52">
              <w:rPr>
                <w:rFonts w:ascii="方正仿宋_GBK" w:eastAsia="方正仿宋_GBK" w:hAnsi="宋体" w:cs="宋体"/>
                <w:color w:val="000000" w:themeColor="text1"/>
                <w:kern w:val="0"/>
                <w:szCs w:val="24"/>
              </w:rPr>
              <w:t>《工作场所职业卫生监督管理规定》第</w:t>
            </w:r>
            <w:r w:rsidRPr="00687B52">
              <w:rPr>
                <w:rFonts w:ascii="方正仿宋_GBK" w:eastAsia="方正仿宋_GBK" w:hAnsi="宋体" w:cs="宋体" w:hint="eastAsia"/>
                <w:color w:val="000000" w:themeColor="text1"/>
                <w:kern w:val="0"/>
                <w:szCs w:val="24"/>
              </w:rPr>
              <w:t>17</w:t>
            </w:r>
            <w:r w:rsidRPr="00687B52">
              <w:rPr>
                <w:rFonts w:ascii="方正仿宋_GBK" w:eastAsia="方正仿宋_GBK" w:hAnsi="宋体" w:cs="宋体"/>
                <w:color w:val="000000" w:themeColor="text1"/>
                <w:kern w:val="0"/>
                <w:szCs w:val="24"/>
              </w:rPr>
              <w:t>条</w:t>
            </w:r>
          </w:p>
        </w:tc>
        <w:tc>
          <w:tcPr>
            <w:tcW w:w="1325" w:type="pct"/>
          </w:tcPr>
          <w:p w:rsidR="000C2455" w:rsidRPr="00687B52" w:rsidRDefault="000C2455" w:rsidP="003E1D2A">
            <w:pPr>
              <w:pStyle w:val="a7"/>
              <w:rPr>
                <w:color w:val="000000" w:themeColor="text1"/>
                <w:szCs w:val="24"/>
              </w:rPr>
            </w:pPr>
          </w:p>
        </w:tc>
      </w:tr>
      <w:tr w:rsidR="000C2455" w:rsidRPr="00687B52" w:rsidTr="004D7D3D">
        <w:trPr>
          <w:jc w:val="center"/>
        </w:trPr>
        <w:tc>
          <w:tcPr>
            <w:tcW w:w="380" w:type="pct"/>
            <w:vAlign w:val="center"/>
          </w:tcPr>
          <w:p w:rsidR="000C2455" w:rsidRPr="00687B52" w:rsidRDefault="004D7D3D" w:rsidP="00C05B82">
            <w:pPr>
              <w:pStyle w:val="a7"/>
              <w:rPr>
                <w:color w:val="000000" w:themeColor="text1"/>
                <w:szCs w:val="24"/>
              </w:rPr>
            </w:pPr>
            <w:r w:rsidRPr="00687B52">
              <w:rPr>
                <w:rFonts w:hint="eastAsia"/>
                <w:color w:val="000000" w:themeColor="text1"/>
                <w:szCs w:val="24"/>
              </w:rPr>
              <w:t>3.</w:t>
            </w:r>
            <w:r w:rsidR="000C2455" w:rsidRPr="00687B52">
              <w:rPr>
                <w:rFonts w:hint="eastAsia"/>
                <w:color w:val="000000" w:themeColor="text1"/>
                <w:szCs w:val="24"/>
              </w:rPr>
              <w:t>7</w:t>
            </w:r>
          </w:p>
        </w:tc>
        <w:tc>
          <w:tcPr>
            <w:tcW w:w="2052" w:type="pct"/>
            <w:vAlign w:val="center"/>
          </w:tcPr>
          <w:p w:rsidR="000C2455" w:rsidRPr="00687B52" w:rsidRDefault="000C2455" w:rsidP="003E1D2A">
            <w:pPr>
              <w:pStyle w:val="a7"/>
              <w:jc w:val="left"/>
              <w:rPr>
                <w:rFonts w:ascii="方正仿宋_GBK" w:eastAsia="方正仿宋_GBK" w:hAnsi="宋体" w:cs="宋体"/>
                <w:color w:val="000000" w:themeColor="text1"/>
                <w:kern w:val="0"/>
                <w:szCs w:val="24"/>
              </w:rPr>
            </w:pPr>
            <w:r w:rsidRPr="00687B52">
              <w:rPr>
                <w:rFonts w:ascii="方正仿宋_GBK" w:eastAsia="方正仿宋_GBK" w:hAnsi="宋体" w:cs="宋体" w:hint="eastAsia"/>
                <w:color w:val="000000" w:themeColor="text1"/>
                <w:kern w:val="0"/>
                <w:szCs w:val="24"/>
              </w:rPr>
              <w:t>在可能突然泄漏或者逸出大量有害物质的密闭或者半密闭工作场所，应安装事故通风装置以及与事故排风系统相连锁的泄漏报警装置。</w:t>
            </w:r>
          </w:p>
        </w:tc>
        <w:tc>
          <w:tcPr>
            <w:tcW w:w="1243" w:type="pct"/>
            <w:vAlign w:val="center"/>
          </w:tcPr>
          <w:p w:rsidR="000C2455" w:rsidRPr="00687B52" w:rsidRDefault="000C2455" w:rsidP="003E1D2A">
            <w:pPr>
              <w:pStyle w:val="a7"/>
              <w:rPr>
                <w:rFonts w:ascii="方正仿宋_GBK" w:eastAsia="方正仿宋_GBK" w:hAnsi="宋体" w:cs="宋体"/>
                <w:color w:val="000000" w:themeColor="text1"/>
                <w:kern w:val="0"/>
                <w:szCs w:val="24"/>
              </w:rPr>
            </w:pPr>
            <w:r w:rsidRPr="00687B52">
              <w:rPr>
                <w:rFonts w:ascii="方正仿宋_GBK" w:eastAsia="方正仿宋_GBK" w:hAnsi="宋体" w:cs="宋体" w:hint="eastAsia"/>
                <w:color w:val="000000" w:themeColor="text1"/>
                <w:kern w:val="0"/>
                <w:szCs w:val="24"/>
              </w:rPr>
              <w:t>《工作场所职业卫生监督管理规定》第17条</w:t>
            </w:r>
          </w:p>
        </w:tc>
        <w:tc>
          <w:tcPr>
            <w:tcW w:w="1325" w:type="pct"/>
          </w:tcPr>
          <w:p w:rsidR="000C2455" w:rsidRPr="00687B52" w:rsidRDefault="000C2455" w:rsidP="003E1D2A">
            <w:pPr>
              <w:pStyle w:val="a7"/>
              <w:rPr>
                <w:color w:val="000000" w:themeColor="text1"/>
                <w:szCs w:val="24"/>
              </w:rPr>
            </w:pPr>
          </w:p>
        </w:tc>
      </w:tr>
      <w:tr w:rsidR="000C2455" w:rsidRPr="00687B52" w:rsidTr="004D7D3D">
        <w:trPr>
          <w:jc w:val="center"/>
        </w:trPr>
        <w:tc>
          <w:tcPr>
            <w:tcW w:w="380" w:type="pct"/>
            <w:vAlign w:val="center"/>
          </w:tcPr>
          <w:p w:rsidR="000C2455" w:rsidRPr="00687B52" w:rsidRDefault="004D7D3D" w:rsidP="00C05B82">
            <w:pPr>
              <w:pStyle w:val="a7"/>
              <w:rPr>
                <w:color w:val="000000" w:themeColor="text1"/>
                <w:szCs w:val="24"/>
              </w:rPr>
            </w:pPr>
            <w:r w:rsidRPr="00687B52">
              <w:rPr>
                <w:rFonts w:hint="eastAsia"/>
                <w:color w:val="000000" w:themeColor="text1"/>
                <w:szCs w:val="24"/>
              </w:rPr>
              <w:t>3.</w:t>
            </w:r>
            <w:r w:rsidR="000C2455" w:rsidRPr="00687B52">
              <w:rPr>
                <w:rFonts w:hint="eastAsia"/>
                <w:color w:val="000000" w:themeColor="text1"/>
                <w:szCs w:val="24"/>
              </w:rPr>
              <w:t>8</w:t>
            </w:r>
          </w:p>
        </w:tc>
        <w:tc>
          <w:tcPr>
            <w:tcW w:w="2052" w:type="pct"/>
            <w:vAlign w:val="center"/>
          </w:tcPr>
          <w:p w:rsidR="000C2455" w:rsidRPr="00687B52" w:rsidRDefault="000C2455" w:rsidP="003E1D2A">
            <w:pPr>
              <w:pStyle w:val="a7"/>
              <w:jc w:val="left"/>
              <w:rPr>
                <w:color w:val="000000" w:themeColor="text1"/>
                <w:kern w:val="0"/>
                <w:szCs w:val="24"/>
              </w:rPr>
            </w:pPr>
            <w:r w:rsidRPr="00687B52">
              <w:rPr>
                <w:rFonts w:hAnsi="Times New Roman" w:cs="宋体" w:hint="eastAsia"/>
                <w:color w:val="000000" w:themeColor="text1"/>
                <w:kern w:val="0"/>
                <w:szCs w:val="24"/>
              </w:rPr>
              <w:t>用人单位应当对职业病防护设备、应急救援设施进行经常性的维护、检修和保养，定期检测其性能和效果，确保其处于正常状态，不得擅自拆除或者停止使用。</w:t>
            </w:r>
          </w:p>
        </w:tc>
        <w:tc>
          <w:tcPr>
            <w:tcW w:w="1243"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《工作场所职业卫生监督管理规定》第</w:t>
            </w:r>
            <w:r w:rsidRPr="00687B52">
              <w:rPr>
                <w:rFonts w:hint="eastAsia"/>
                <w:color w:val="000000" w:themeColor="text1"/>
                <w:szCs w:val="24"/>
              </w:rPr>
              <w:t>18</w:t>
            </w:r>
            <w:r w:rsidRPr="00687B52">
              <w:rPr>
                <w:rFonts w:hint="eastAsia"/>
                <w:color w:val="000000" w:themeColor="text1"/>
                <w:szCs w:val="24"/>
              </w:rPr>
              <w:t>条</w:t>
            </w:r>
          </w:p>
        </w:tc>
        <w:tc>
          <w:tcPr>
            <w:tcW w:w="1325" w:type="pct"/>
          </w:tcPr>
          <w:p w:rsidR="000C2455" w:rsidRPr="00687B52" w:rsidRDefault="000C2455" w:rsidP="003E1D2A">
            <w:pPr>
              <w:pStyle w:val="a7"/>
              <w:rPr>
                <w:color w:val="000000" w:themeColor="text1"/>
                <w:szCs w:val="24"/>
              </w:rPr>
            </w:pPr>
          </w:p>
        </w:tc>
      </w:tr>
    </w:tbl>
    <w:p w:rsidR="000C2455" w:rsidRPr="00687B52" w:rsidRDefault="000C2455" w:rsidP="000C2455">
      <w:pPr>
        <w:rPr>
          <w:color w:val="000000" w:themeColor="text1"/>
        </w:rPr>
      </w:pPr>
    </w:p>
    <w:p w:rsidR="000C2455" w:rsidRPr="00687B52" w:rsidRDefault="000C2455" w:rsidP="000C2455">
      <w:pPr>
        <w:widowControl/>
        <w:spacing w:before="100" w:beforeAutospacing="1" w:after="100" w:afterAutospacing="1"/>
        <w:rPr>
          <w:rFonts w:ascii="宋体" w:eastAsia="宋体" w:hAnsi="宋体" w:cs="宋体"/>
          <w:b/>
          <w:color w:val="000000" w:themeColor="text1"/>
          <w:kern w:val="0"/>
          <w:sz w:val="28"/>
          <w:szCs w:val="28"/>
        </w:rPr>
        <w:sectPr w:rsidR="000C2455" w:rsidRPr="00687B52" w:rsidSect="0063733E">
          <w:pgSz w:w="16838" w:h="11906" w:orient="landscape"/>
          <w:pgMar w:top="1457" w:right="1780" w:bottom="1457" w:left="1780" w:header="851" w:footer="992" w:gutter="0"/>
          <w:cols w:space="425"/>
          <w:docGrid w:type="lines" w:linePitch="312"/>
        </w:sectPr>
      </w:pPr>
    </w:p>
    <w:p w:rsidR="004D7D3D" w:rsidRPr="00687B52" w:rsidRDefault="003E6F05" w:rsidP="00763863">
      <w:pPr>
        <w:pStyle w:val="aff2"/>
        <w:ind w:firstLine="562"/>
        <w:rPr>
          <w:color w:val="000000" w:themeColor="text1"/>
        </w:rPr>
      </w:pPr>
      <w:bookmarkStart w:id="19" w:name="_Toc492562320"/>
      <w:bookmarkStart w:id="20" w:name="_Toc492563456"/>
      <w:bookmarkStart w:id="21" w:name="_Toc492563789"/>
      <w:bookmarkStart w:id="22" w:name="_Toc492563973"/>
      <w:bookmarkStart w:id="23" w:name="_Toc492564962"/>
      <w:bookmarkStart w:id="24" w:name="_Toc492634891"/>
      <w:bookmarkStart w:id="25" w:name="_Toc492644876"/>
      <w:bookmarkStart w:id="26" w:name="_Toc492647588"/>
      <w:bookmarkStart w:id="27" w:name="_Toc493856947"/>
      <w:bookmarkStart w:id="28" w:name="_Toc493857057"/>
      <w:r w:rsidRPr="00687B52">
        <w:rPr>
          <w:rFonts w:hint="eastAsia"/>
          <w:color w:val="000000" w:themeColor="text1"/>
        </w:rPr>
        <w:lastRenderedPageBreak/>
        <w:t>4.2</w:t>
      </w:r>
      <w:r w:rsidR="004D7D3D" w:rsidRPr="00687B52">
        <w:rPr>
          <w:rFonts w:hint="eastAsia"/>
          <w:color w:val="000000" w:themeColor="text1"/>
        </w:rPr>
        <w:t>危险化学品生产、使用企业专业检查表</w:t>
      </w:r>
      <w:bookmarkEnd w:id="19"/>
      <w:bookmarkEnd w:id="20"/>
      <w:bookmarkEnd w:id="21"/>
      <w:bookmarkEnd w:id="22"/>
      <w:bookmarkEnd w:id="23"/>
      <w:bookmarkEnd w:id="24"/>
      <w:bookmarkEnd w:id="25"/>
      <w:bookmarkEnd w:id="26"/>
      <w:bookmarkEnd w:id="27"/>
      <w:bookmarkEnd w:id="28"/>
    </w:p>
    <w:p w:rsidR="000C2455" w:rsidRPr="00687B52" w:rsidRDefault="004D7D3D" w:rsidP="004D7D3D">
      <w:pPr>
        <w:pStyle w:val="aff3"/>
        <w:numPr>
          <w:ilvl w:val="0"/>
          <w:numId w:val="0"/>
        </w:numPr>
        <w:rPr>
          <w:color w:val="000000" w:themeColor="text1"/>
        </w:rPr>
      </w:pPr>
      <w:bookmarkStart w:id="29" w:name="_Toc492634892"/>
      <w:r w:rsidRPr="00687B52">
        <w:rPr>
          <w:rFonts w:hint="eastAsia"/>
          <w:color w:val="000000" w:themeColor="text1"/>
        </w:rPr>
        <w:t>表</w:t>
      </w:r>
      <w:r w:rsidRPr="00687B52">
        <w:rPr>
          <w:rFonts w:hint="eastAsia"/>
          <w:color w:val="000000" w:themeColor="text1"/>
        </w:rPr>
        <w:t>2-1</w:t>
      </w:r>
      <w:r w:rsidR="000C2455" w:rsidRPr="00687B52">
        <w:rPr>
          <w:rFonts w:hint="eastAsia"/>
          <w:color w:val="000000" w:themeColor="text1"/>
        </w:rPr>
        <w:t>危险化学品生产</w:t>
      </w:r>
      <w:r w:rsidR="0009032A" w:rsidRPr="00687B52">
        <w:rPr>
          <w:rFonts w:hint="eastAsia"/>
          <w:color w:val="000000" w:themeColor="text1"/>
        </w:rPr>
        <w:t>、使用</w:t>
      </w:r>
      <w:r w:rsidR="000C2455" w:rsidRPr="00687B52">
        <w:rPr>
          <w:rFonts w:hint="eastAsia"/>
          <w:color w:val="000000" w:themeColor="text1"/>
        </w:rPr>
        <w:t>企业</w:t>
      </w:r>
      <w:r w:rsidRPr="00687B52">
        <w:rPr>
          <w:rFonts w:hint="eastAsia"/>
          <w:color w:val="000000" w:themeColor="text1"/>
        </w:rPr>
        <w:t>专业</w:t>
      </w:r>
      <w:r w:rsidR="000C2455" w:rsidRPr="00687B52">
        <w:rPr>
          <w:rFonts w:hint="eastAsia"/>
          <w:color w:val="000000" w:themeColor="text1"/>
        </w:rPr>
        <w:t>检查表</w:t>
      </w:r>
      <w:r w:rsidRPr="00687B52">
        <w:rPr>
          <w:rFonts w:hint="eastAsia"/>
          <w:color w:val="000000" w:themeColor="text1"/>
        </w:rPr>
        <w:t>（现场通用）</w:t>
      </w:r>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6157"/>
        <w:gridCol w:w="3893"/>
        <w:gridCol w:w="2436"/>
      </w:tblGrid>
      <w:tr w:rsidR="000C2455" w:rsidRPr="00687B52" w:rsidTr="004D7D3D">
        <w:trPr>
          <w:tblHeader/>
          <w:jc w:val="center"/>
        </w:trPr>
        <w:tc>
          <w:tcPr>
            <w:tcW w:w="362" w:type="pct"/>
            <w:vAlign w:val="center"/>
          </w:tcPr>
          <w:p w:rsidR="000C2455" w:rsidRPr="00687B52" w:rsidRDefault="000C2455" w:rsidP="003E1D2A">
            <w:pPr>
              <w:pStyle w:val="a7"/>
              <w:rPr>
                <w:color w:val="000000" w:themeColor="text1"/>
              </w:rPr>
            </w:pPr>
            <w:r w:rsidRPr="00687B52">
              <w:rPr>
                <w:rFonts w:hint="eastAsia"/>
                <w:color w:val="000000" w:themeColor="text1"/>
              </w:rPr>
              <w:t>序号</w:t>
            </w:r>
          </w:p>
        </w:tc>
        <w:tc>
          <w:tcPr>
            <w:tcW w:w="2287" w:type="pct"/>
            <w:vAlign w:val="center"/>
          </w:tcPr>
          <w:p w:rsidR="000C2455" w:rsidRPr="00687B52" w:rsidRDefault="000C2455" w:rsidP="003E1D2A">
            <w:pPr>
              <w:pStyle w:val="a7"/>
              <w:rPr>
                <w:color w:val="000000" w:themeColor="text1"/>
              </w:rPr>
            </w:pPr>
            <w:r w:rsidRPr="00687B52">
              <w:rPr>
                <w:rFonts w:hint="eastAsia"/>
                <w:color w:val="000000" w:themeColor="text1"/>
              </w:rPr>
              <w:t>检查内容</w:t>
            </w:r>
          </w:p>
        </w:tc>
        <w:tc>
          <w:tcPr>
            <w:tcW w:w="1446" w:type="pct"/>
            <w:vAlign w:val="center"/>
          </w:tcPr>
          <w:p w:rsidR="000C2455" w:rsidRPr="00687B52" w:rsidRDefault="000C2455" w:rsidP="003E1D2A">
            <w:pPr>
              <w:pStyle w:val="a7"/>
              <w:rPr>
                <w:color w:val="000000" w:themeColor="text1"/>
              </w:rPr>
            </w:pPr>
            <w:r w:rsidRPr="00687B52">
              <w:rPr>
                <w:rFonts w:hint="eastAsia"/>
                <w:color w:val="000000" w:themeColor="text1"/>
              </w:rPr>
              <w:t>检查依据</w:t>
            </w:r>
          </w:p>
        </w:tc>
        <w:tc>
          <w:tcPr>
            <w:tcW w:w="905" w:type="pct"/>
            <w:vAlign w:val="center"/>
          </w:tcPr>
          <w:p w:rsidR="000C2455" w:rsidRPr="00687B52" w:rsidRDefault="000C2455" w:rsidP="003E1D2A">
            <w:pPr>
              <w:pStyle w:val="a7"/>
              <w:rPr>
                <w:color w:val="000000" w:themeColor="text1"/>
              </w:rPr>
            </w:pPr>
            <w:r w:rsidRPr="00687B52">
              <w:rPr>
                <w:rFonts w:hint="eastAsia"/>
                <w:color w:val="000000" w:themeColor="text1"/>
              </w:rPr>
              <w:t>检查情况</w:t>
            </w:r>
          </w:p>
        </w:tc>
      </w:tr>
      <w:tr w:rsidR="000C2455" w:rsidRPr="00687B52" w:rsidTr="004D7D3D">
        <w:trPr>
          <w:jc w:val="center"/>
        </w:trPr>
        <w:tc>
          <w:tcPr>
            <w:tcW w:w="362" w:type="pct"/>
            <w:vAlign w:val="center"/>
          </w:tcPr>
          <w:p w:rsidR="000C2455" w:rsidRPr="00687B52" w:rsidRDefault="000C2455" w:rsidP="003E1D2A">
            <w:pPr>
              <w:pStyle w:val="a7"/>
              <w:rPr>
                <w:b/>
                <w:color w:val="000000" w:themeColor="text1"/>
              </w:rPr>
            </w:pPr>
            <w:r w:rsidRPr="00687B52">
              <w:rPr>
                <w:rFonts w:hint="eastAsia"/>
                <w:b/>
                <w:color w:val="000000" w:themeColor="text1"/>
              </w:rPr>
              <w:t>1</w:t>
            </w:r>
          </w:p>
        </w:tc>
        <w:tc>
          <w:tcPr>
            <w:tcW w:w="2287" w:type="pct"/>
            <w:vAlign w:val="center"/>
          </w:tcPr>
          <w:p w:rsidR="000C2455" w:rsidRPr="00687B52" w:rsidRDefault="000C2455" w:rsidP="003E1D2A">
            <w:pPr>
              <w:pStyle w:val="a7"/>
              <w:jc w:val="left"/>
              <w:rPr>
                <w:b/>
                <w:color w:val="000000" w:themeColor="text1"/>
              </w:rPr>
            </w:pPr>
            <w:r w:rsidRPr="00687B52">
              <w:rPr>
                <w:rFonts w:hint="eastAsia"/>
                <w:b/>
                <w:color w:val="000000" w:themeColor="text1"/>
              </w:rPr>
              <w:t>安全警示标识</w:t>
            </w:r>
          </w:p>
        </w:tc>
        <w:tc>
          <w:tcPr>
            <w:tcW w:w="1446" w:type="pct"/>
            <w:vAlign w:val="center"/>
          </w:tcPr>
          <w:p w:rsidR="000C2455" w:rsidRPr="00687B52" w:rsidRDefault="000C2455" w:rsidP="003E1D2A">
            <w:pPr>
              <w:pStyle w:val="a7"/>
              <w:rPr>
                <w:color w:val="000000" w:themeColor="text1"/>
              </w:rPr>
            </w:pPr>
          </w:p>
        </w:tc>
        <w:tc>
          <w:tcPr>
            <w:tcW w:w="905" w:type="pct"/>
            <w:vAlign w:val="center"/>
          </w:tcPr>
          <w:p w:rsidR="000C2455" w:rsidRPr="00687B52" w:rsidRDefault="000C2455" w:rsidP="003E1D2A">
            <w:pPr>
              <w:pStyle w:val="a7"/>
              <w:rPr>
                <w:color w:val="000000" w:themeColor="text1"/>
              </w:rPr>
            </w:pPr>
          </w:p>
        </w:tc>
      </w:tr>
      <w:tr w:rsidR="000C2455" w:rsidRPr="00687B52" w:rsidTr="004D7D3D">
        <w:trPr>
          <w:jc w:val="center"/>
        </w:trPr>
        <w:tc>
          <w:tcPr>
            <w:tcW w:w="362" w:type="pct"/>
            <w:vAlign w:val="center"/>
          </w:tcPr>
          <w:p w:rsidR="000C2455" w:rsidRPr="00687B52" w:rsidRDefault="000C2455" w:rsidP="003E1D2A">
            <w:pPr>
              <w:pStyle w:val="a7"/>
              <w:rPr>
                <w:color w:val="000000" w:themeColor="text1"/>
              </w:rPr>
            </w:pPr>
            <w:r w:rsidRPr="00687B52">
              <w:rPr>
                <w:rFonts w:hint="eastAsia"/>
                <w:color w:val="000000" w:themeColor="text1"/>
              </w:rPr>
              <w:t>1.1</w:t>
            </w:r>
          </w:p>
        </w:tc>
        <w:tc>
          <w:tcPr>
            <w:tcW w:w="2287" w:type="pct"/>
            <w:vAlign w:val="center"/>
          </w:tcPr>
          <w:p w:rsidR="000C2455" w:rsidRPr="00687B52" w:rsidRDefault="000C2455" w:rsidP="003E1D2A">
            <w:pPr>
              <w:pStyle w:val="a7"/>
              <w:jc w:val="left"/>
              <w:rPr>
                <w:color w:val="000000" w:themeColor="text1"/>
              </w:rPr>
            </w:pPr>
            <w:r w:rsidRPr="00687B52">
              <w:rPr>
                <w:rFonts w:ascii="Calibri"/>
                <w:color w:val="000000" w:themeColor="text1"/>
              </w:rPr>
              <w:t>企业应在易燃、易爆、有毒有害等危险场所</w:t>
            </w:r>
            <w:r w:rsidRPr="00687B52">
              <w:rPr>
                <w:color w:val="000000" w:themeColor="text1"/>
              </w:rPr>
              <w:t>和有关设施、设备</w:t>
            </w:r>
            <w:r w:rsidRPr="00687B52">
              <w:rPr>
                <w:rFonts w:hint="eastAsia"/>
                <w:color w:val="000000" w:themeColor="text1"/>
              </w:rPr>
              <w:t>的</w:t>
            </w:r>
            <w:r w:rsidRPr="00687B52">
              <w:rPr>
                <w:rFonts w:ascii="Calibri"/>
                <w:color w:val="000000" w:themeColor="text1"/>
              </w:rPr>
              <w:t>醒目位置设置</w:t>
            </w:r>
            <w:r w:rsidRPr="00687B52">
              <w:rPr>
                <w:rFonts w:ascii="Calibri" w:hint="eastAsia"/>
                <w:color w:val="000000" w:themeColor="text1"/>
              </w:rPr>
              <w:t>符合</w:t>
            </w:r>
            <w:r w:rsidRPr="00687B52">
              <w:rPr>
                <w:rFonts w:ascii="Calibri" w:hint="eastAsia"/>
                <w:color w:val="000000" w:themeColor="text1"/>
              </w:rPr>
              <w:t>GB2894</w:t>
            </w:r>
            <w:r w:rsidRPr="00687B52">
              <w:rPr>
                <w:rFonts w:ascii="Calibri" w:hint="eastAsia"/>
                <w:color w:val="000000" w:themeColor="text1"/>
              </w:rPr>
              <w:t>规定的</w:t>
            </w:r>
            <w:r w:rsidRPr="00687B52">
              <w:rPr>
                <w:rFonts w:ascii="Calibri"/>
                <w:color w:val="000000" w:themeColor="text1"/>
              </w:rPr>
              <w:t>安全</w:t>
            </w:r>
            <w:r w:rsidRPr="00687B52">
              <w:rPr>
                <w:rFonts w:ascii="Calibri" w:hint="eastAsia"/>
                <w:color w:val="000000" w:themeColor="text1"/>
              </w:rPr>
              <w:t>警示</w:t>
            </w:r>
            <w:r w:rsidRPr="00687B52">
              <w:rPr>
                <w:rFonts w:ascii="Calibri"/>
                <w:color w:val="000000" w:themeColor="text1"/>
              </w:rPr>
              <w:t>标志。</w:t>
            </w:r>
          </w:p>
        </w:tc>
        <w:tc>
          <w:tcPr>
            <w:tcW w:w="1446" w:type="pct"/>
            <w:vAlign w:val="center"/>
          </w:tcPr>
          <w:p w:rsidR="000C2455" w:rsidRPr="00687B52" w:rsidRDefault="000C2455" w:rsidP="003E1D2A">
            <w:pPr>
              <w:pStyle w:val="a7"/>
              <w:rPr>
                <w:color w:val="000000" w:themeColor="text1"/>
              </w:rPr>
            </w:pPr>
            <w:r w:rsidRPr="00687B52">
              <w:rPr>
                <w:rFonts w:hint="eastAsia"/>
                <w:color w:val="000000" w:themeColor="text1"/>
              </w:rPr>
              <w:t>《安全生产法》第</w:t>
            </w:r>
            <w:r w:rsidRPr="00687B52">
              <w:rPr>
                <w:rFonts w:hint="eastAsia"/>
                <w:color w:val="000000" w:themeColor="text1"/>
              </w:rPr>
              <w:t>32</w:t>
            </w:r>
            <w:r w:rsidRPr="00687B52">
              <w:rPr>
                <w:rFonts w:hint="eastAsia"/>
                <w:color w:val="000000" w:themeColor="text1"/>
              </w:rPr>
              <w:t>条、</w:t>
            </w:r>
            <w:r w:rsidRPr="00687B52">
              <w:rPr>
                <w:rFonts w:hint="eastAsia"/>
                <w:color w:val="000000" w:themeColor="text1"/>
                <w:szCs w:val="20"/>
              </w:rPr>
              <w:t>《安全标志及其使用导则》</w:t>
            </w:r>
            <w:r w:rsidRPr="00687B52">
              <w:rPr>
                <w:rFonts w:hint="eastAsia"/>
                <w:color w:val="000000" w:themeColor="text1"/>
                <w:szCs w:val="20"/>
              </w:rPr>
              <w:t>GB2894-2008</w:t>
            </w:r>
          </w:p>
        </w:tc>
        <w:tc>
          <w:tcPr>
            <w:tcW w:w="905" w:type="pct"/>
            <w:vAlign w:val="center"/>
          </w:tcPr>
          <w:p w:rsidR="000C2455" w:rsidRPr="00687B52" w:rsidRDefault="000C2455" w:rsidP="003E1D2A">
            <w:pPr>
              <w:pStyle w:val="a7"/>
              <w:rPr>
                <w:color w:val="000000" w:themeColor="text1"/>
              </w:rPr>
            </w:pPr>
          </w:p>
        </w:tc>
      </w:tr>
      <w:tr w:rsidR="000C2455" w:rsidRPr="00687B52" w:rsidTr="004D7D3D">
        <w:trPr>
          <w:jc w:val="center"/>
        </w:trPr>
        <w:tc>
          <w:tcPr>
            <w:tcW w:w="362" w:type="pct"/>
            <w:vAlign w:val="center"/>
          </w:tcPr>
          <w:p w:rsidR="000C2455" w:rsidRPr="00687B52" w:rsidRDefault="000C2455" w:rsidP="003E1D2A">
            <w:pPr>
              <w:pStyle w:val="a7"/>
              <w:rPr>
                <w:color w:val="000000" w:themeColor="text1"/>
              </w:rPr>
            </w:pPr>
            <w:r w:rsidRPr="00687B52">
              <w:rPr>
                <w:rFonts w:hint="eastAsia"/>
                <w:color w:val="000000" w:themeColor="text1"/>
              </w:rPr>
              <w:t>1.2</w:t>
            </w:r>
          </w:p>
        </w:tc>
        <w:tc>
          <w:tcPr>
            <w:tcW w:w="2287" w:type="pct"/>
            <w:vAlign w:val="center"/>
          </w:tcPr>
          <w:p w:rsidR="000C2455" w:rsidRPr="00687B52" w:rsidRDefault="000C2455" w:rsidP="003E1D2A">
            <w:pPr>
              <w:pStyle w:val="a7"/>
              <w:jc w:val="left"/>
              <w:rPr>
                <w:color w:val="000000" w:themeColor="text1"/>
              </w:rPr>
            </w:pPr>
            <w:r w:rsidRPr="00687B52">
              <w:rPr>
                <w:rFonts w:ascii="Calibri"/>
                <w:color w:val="000000" w:themeColor="text1"/>
              </w:rPr>
              <w:t>企业应在</w:t>
            </w:r>
            <w:r w:rsidRPr="00687B52">
              <w:rPr>
                <w:rFonts w:hAnsi="Times New Roman" w:cs="宋体" w:hint="eastAsia"/>
                <w:color w:val="000000" w:themeColor="text1"/>
                <w:kern w:val="0"/>
              </w:rPr>
              <w:t>在重大危险源所在场所设置明显的安全警示标志，写明紧急情况下的应急处置办法。</w:t>
            </w:r>
          </w:p>
        </w:tc>
        <w:tc>
          <w:tcPr>
            <w:tcW w:w="1446" w:type="pct"/>
            <w:vAlign w:val="center"/>
          </w:tcPr>
          <w:p w:rsidR="000C2455" w:rsidRPr="00687B52" w:rsidRDefault="000C2455" w:rsidP="003E1D2A">
            <w:pPr>
              <w:pStyle w:val="a7"/>
              <w:rPr>
                <w:color w:val="000000" w:themeColor="text1"/>
              </w:rPr>
            </w:pPr>
            <w:r w:rsidRPr="00687B52">
              <w:rPr>
                <w:rFonts w:hint="eastAsia"/>
                <w:color w:val="000000" w:themeColor="text1"/>
              </w:rPr>
              <w:t>《危险化学品重大危险源监督管理暂行规定》第</w:t>
            </w:r>
            <w:r w:rsidRPr="00687B52">
              <w:rPr>
                <w:rFonts w:hint="eastAsia"/>
                <w:color w:val="000000" w:themeColor="text1"/>
              </w:rPr>
              <w:t>17</w:t>
            </w:r>
            <w:r w:rsidRPr="00687B52">
              <w:rPr>
                <w:rFonts w:hint="eastAsia"/>
                <w:color w:val="000000" w:themeColor="text1"/>
              </w:rPr>
              <w:t>条</w:t>
            </w:r>
          </w:p>
        </w:tc>
        <w:tc>
          <w:tcPr>
            <w:tcW w:w="905" w:type="pct"/>
            <w:vAlign w:val="center"/>
          </w:tcPr>
          <w:p w:rsidR="000C2455" w:rsidRPr="00687B52" w:rsidRDefault="000C2455" w:rsidP="003E1D2A">
            <w:pPr>
              <w:pStyle w:val="a7"/>
              <w:rPr>
                <w:color w:val="000000" w:themeColor="text1"/>
              </w:rPr>
            </w:pPr>
          </w:p>
        </w:tc>
      </w:tr>
      <w:tr w:rsidR="000C2455" w:rsidRPr="00687B52" w:rsidTr="004D7D3D">
        <w:trPr>
          <w:jc w:val="center"/>
        </w:trPr>
        <w:tc>
          <w:tcPr>
            <w:tcW w:w="362" w:type="pct"/>
            <w:vAlign w:val="center"/>
          </w:tcPr>
          <w:p w:rsidR="000C2455" w:rsidRPr="00687B52" w:rsidRDefault="000C2455" w:rsidP="003E1D2A">
            <w:pPr>
              <w:pStyle w:val="a7"/>
              <w:rPr>
                <w:color w:val="000000" w:themeColor="text1"/>
              </w:rPr>
            </w:pPr>
            <w:r w:rsidRPr="00687B52">
              <w:rPr>
                <w:rFonts w:hint="eastAsia"/>
                <w:color w:val="000000" w:themeColor="text1"/>
              </w:rPr>
              <w:t>1.3</w:t>
            </w:r>
          </w:p>
        </w:tc>
        <w:tc>
          <w:tcPr>
            <w:tcW w:w="2287" w:type="pct"/>
            <w:vAlign w:val="center"/>
          </w:tcPr>
          <w:p w:rsidR="000C2455" w:rsidRPr="00687B52" w:rsidRDefault="000C2455" w:rsidP="003E1D2A">
            <w:pPr>
              <w:pStyle w:val="a7"/>
              <w:jc w:val="left"/>
              <w:rPr>
                <w:color w:val="000000" w:themeColor="text1"/>
              </w:rPr>
            </w:pPr>
            <w:r w:rsidRPr="00687B52">
              <w:rPr>
                <w:rFonts w:ascii="Calibri"/>
                <w:color w:val="000000" w:themeColor="text1"/>
              </w:rPr>
              <w:t>企业应在生产区域设置风向标</w:t>
            </w:r>
            <w:r w:rsidRPr="00687B52">
              <w:rPr>
                <w:rFonts w:ascii="Calibri" w:hint="eastAsia"/>
                <w:color w:val="000000" w:themeColor="text1"/>
              </w:rPr>
              <w:t>，</w:t>
            </w:r>
            <w:r w:rsidRPr="00687B52">
              <w:rPr>
                <w:rFonts w:ascii="Calibri"/>
                <w:color w:val="000000" w:themeColor="text1"/>
              </w:rPr>
              <w:t>在</w:t>
            </w:r>
            <w:r w:rsidRPr="00687B52">
              <w:rPr>
                <w:rFonts w:ascii="Calibri" w:hint="eastAsia"/>
                <w:color w:val="000000" w:themeColor="text1"/>
              </w:rPr>
              <w:t>厂区</w:t>
            </w:r>
            <w:r w:rsidRPr="00687B52">
              <w:rPr>
                <w:rFonts w:ascii="Calibri"/>
                <w:color w:val="000000" w:themeColor="text1"/>
              </w:rPr>
              <w:t>道路设置限速、限高、禁行等标志。</w:t>
            </w:r>
          </w:p>
        </w:tc>
        <w:tc>
          <w:tcPr>
            <w:tcW w:w="1446" w:type="pct"/>
            <w:vAlign w:val="center"/>
          </w:tcPr>
          <w:p w:rsidR="000C2455" w:rsidRPr="00687B52" w:rsidRDefault="000C2455" w:rsidP="003E1D2A">
            <w:pPr>
              <w:pStyle w:val="a7"/>
              <w:rPr>
                <w:color w:val="000000" w:themeColor="text1"/>
                <w:szCs w:val="20"/>
              </w:rPr>
            </w:pPr>
            <w:r w:rsidRPr="00687B52">
              <w:rPr>
                <w:rFonts w:hint="eastAsia"/>
                <w:color w:val="000000" w:themeColor="text1"/>
                <w:szCs w:val="20"/>
              </w:rPr>
              <w:t>《危险化学品从业单位安全标准化通用规范》</w:t>
            </w:r>
            <w:r w:rsidRPr="00687B52">
              <w:rPr>
                <w:rFonts w:hint="eastAsia"/>
                <w:color w:val="000000" w:themeColor="text1"/>
                <w:szCs w:val="20"/>
              </w:rPr>
              <w:t>AQ3013-2008</w:t>
            </w:r>
          </w:p>
        </w:tc>
        <w:tc>
          <w:tcPr>
            <w:tcW w:w="905" w:type="pct"/>
            <w:vAlign w:val="center"/>
          </w:tcPr>
          <w:p w:rsidR="000C2455" w:rsidRPr="00687B52" w:rsidRDefault="000C2455" w:rsidP="003E1D2A">
            <w:pPr>
              <w:pStyle w:val="a7"/>
              <w:rPr>
                <w:color w:val="000000" w:themeColor="text1"/>
              </w:rPr>
            </w:pPr>
          </w:p>
        </w:tc>
      </w:tr>
      <w:tr w:rsidR="000C2455" w:rsidRPr="00687B52" w:rsidTr="004D7D3D">
        <w:trPr>
          <w:jc w:val="center"/>
        </w:trPr>
        <w:tc>
          <w:tcPr>
            <w:tcW w:w="362" w:type="pct"/>
            <w:vAlign w:val="center"/>
          </w:tcPr>
          <w:p w:rsidR="000C2455" w:rsidRPr="00687B52" w:rsidRDefault="000C2455" w:rsidP="003E1D2A">
            <w:pPr>
              <w:pStyle w:val="a7"/>
              <w:rPr>
                <w:color w:val="000000" w:themeColor="text1"/>
              </w:rPr>
            </w:pPr>
            <w:r w:rsidRPr="00687B52">
              <w:rPr>
                <w:rFonts w:hint="eastAsia"/>
                <w:color w:val="000000" w:themeColor="text1"/>
              </w:rPr>
              <w:t>1.4</w:t>
            </w:r>
          </w:p>
        </w:tc>
        <w:tc>
          <w:tcPr>
            <w:tcW w:w="2287" w:type="pct"/>
            <w:vAlign w:val="center"/>
          </w:tcPr>
          <w:p w:rsidR="000C2455" w:rsidRPr="00687B52" w:rsidRDefault="000C2455" w:rsidP="003E1D2A">
            <w:pPr>
              <w:pStyle w:val="a7"/>
              <w:jc w:val="left"/>
              <w:rPr>
                <w:color w:val="000000" w:themeColor="text1"/>
              </w:rPr>
            </w:pPr>
            <w:r w:rsidRPr="00687B52">
              <w:rPr>
                <w:rFonts w:ascii="Calibri"/>
                <w:color w:val="000000" w:themeColor="text1"/>
              </w:rPr>
              <w:t>企业应在检维修、施工、吊装等作业现场设置警戒区域和安全标志，在检修现场的坑、井、洼、沟、陡坡等场所设置围栏和警示灯。</w:t>
            </w:r>
          </w:p>
        </w:tc>
        <w:tc>
          <w:tcPr>
            <w:tcW w:w="1446" w:type="pct"/>
            <w:vAlign w:val="center"/>
          </w:tcPr>
          <w:p w:rsidR="000C2455" w:rsidRPr="00687B52" w:rsidRDefault="000C2455" w:rsidP="003E1D2A">
            <w:pPr>
              <w:pStyle w:val="a7"/>
              <w:rPr>
                <w:color w:val="000000" w:themeColor="text1"/>
                <w:szCs w:val="20"/>
              </w:rPr>
            </w:pPr>
            <w:r w:rsidRPr="00687B52">
              <w:rPr>
                <w:rFonts w:hint="eastAsia"/>
                <w:color w:val="000000" w:themeColor="text1"/>
                <w:szCs w:val="20"/>
              </w:rPr>
              <w:t>《危险化学品从业单位安全标准化通用规范》</w:t>
            </w:r>
            <w:r w:rsidRPr="00687B52">
              <w:rPr>
                <w:rFonts w:hint="eastAsia"/>
                <w:color w:val="000000" w:themeColor="text1"/>
                <w:szCs w:val="20"/>
              </w:rPr>
              <w:t>AQ3013-2008</w:t>
            </w:r>
            <w:r w:rsidRPr="00687B52">
              <w:rPr>
                <w:rFonts w:hint="eastAsia"/>
                <w:color w:val="000000" w:themeColor="text1"/>
                <w:szCs w:val="20"/>
              </w:rPr>
              <w:t>第</w:t>
            </w:r>
            <w:r w:rsidRPr="00687B52">
              <w:rPr>
                <w:rFonts w:hint="eastAsia"/>
                <w:color w:val="000000" w:themeColor="text1"/>
                <w:szCs w:val="20"/>
              </w:rPr>
              <w:t>5.2.4</w:t>
            </w:r>
            <w:r w:rsidRPr="00687B52">
              <w:rPr>
                <w:rFonts w:hint="eastAsia"/>
                <w:color w:val="000000" w:themeColor="text1"/>
                <w:szCs w:val="20"/>
              </w:rPr>
              <w:t>条</w:t>
            </w:r>
          </w:p>
        </w:tc>
        <w:tc>
          <w:tcPr>
            <w:tcW w:w="905" w:type="pct"/>
            <w:vAlign w:val="center"/>
          </w:tcPr>
          <w:p w:rsidR="000C2455" w:rsidRPr="00687B52" w:rsidRDefault="000C2455" w:rsidP="003E1D2A">
            <w:pPr>
              <w:pStyle w:val="a7"/>
              <w:rPr>
                <w:color w:val="000000" w:themeColor="text1"/>
              </w:rPr>
            </w:pPr>
          </w:p>
        </w:tc>
      </w:tr>
      <w:tr w:rsidR="000C2455" w:rsidRPr="00687B52" w:rsidTr="004D7D3D">
        <w:trPr>
          <w:jc w:val="center"/>
        </w:trPr>
        <w:tc>
          <w:tcPr>
            <w:tcW w:w="362" w:type="pct"/>
            <w:vAlign w:val="center"/>
          </w:tcPr>
          <w:p w:rsidR="000C2455" w:rsidRPr="00687B52" w:rsidRDefault="000C2455" w:rsidP="003E1D2A">
            <w:pPr>
              <w:pStyle w:val="a7"/>
              <w:rPr>
                <w:color w:val="000000" w:themeColor="text1"/>
              </w:rPr>
            </w:pPr>
            <w:r w:rsidRPr="00687B52">
              <w:rPr>
                <w:rFonts w:hint="eastAsia"/>
                <w:color w:val="000000" w:themeColor="text1"/>
              </w:rPr>
              <w:t>1.5</w:t>
            </w:r>
          </w:p>
        </w:tc>
        <w:tc>
          <w:tcPr>
            <w:tcW w:w="2287" w:type="pct"/>
            <w:vAlign w:val="center"/>
          </w:tcPr>
          <w:p w:rsidR="000C2455" w:rsidRPr="00687B52" w:rsidRDefault="000C2455" w:rsidP="003E1D2A">
            <w:pPr>
              <w:pStyle w:val="a7"/>
              <w:jc w:val="left"/>
              <w:rPr>
                <w:color w:val="000000" w:themeColor="text1"/>
              </w:rPr>
            </w:pPr>
            <w:r w:rsidRPr="00687B52">
              <w:rPr>
                <w:rFonts w:hint="eastAsia"/>
                <w:color w:val="000000" w:themeColor="text1"/>
              </w:rPr>
              <w:t>危险性作业场所应设置安全通道，应设安全照明、安全标志和疏散指示标志，门窗应向外开启，通道和出口应保持畅通，出入口的设置应符合有关规定。</w:t>
            </w:r>
          </w:p>
        </w:tc>
        <w:tc>
          <w:tcPr>
            <w:tcW w:w="1446" w:type="pct"/>
            <w:vAlign w:val="center"/>
          </w:tcPr>
          <w:p w:rsidR="000C2455" w:rsidRPr="00687B52" w:rsidRDefault="000C2455" w:rsidP="003E1D2A">
            <w:pPr>
              <w:pStyle w:val="a7"/>
              <w:rPr>
                <w:color w:val="000000" w:themeColor="text1"/>
              </w:rPr>
            </w:pPr>
            <w:r w:rsidRPr="00687B52">
              <w:rPr>
                <w:rFonts w:hint="eastAsia"/>
                <w:color w:val="000000" w:themeColor="text1"/>
              </w:rPr>
              <w:t>《生产过程安全卫生要求总则》</w:t>
            </w:r>
            <w:r w:rsidRPr="00687B52">
              <w:rPr>
                <w:rFonts w:hint="eastAsia"/>
                <w:color w:val="000000" w:themeColor="text1"/>
              </w:rPr>
              <w:t>GB/T12801-2008</w:t>
            </w:r>
            <w:r w:rsidRPr="00687B52">
              <w:rPr>
                <w:rFonts w:hint="eastAsia"/>
                <w:color w:val="000000" w:themeColor="text1"/>
              </w:rPr>
              <w:t>第</w:t>
            </w:r>
            <w:r w:rsidRPr="00687B52">
              <w:rPr>
                <w:rFonts w:hint="eastAsia"/>
                <w:color w:val="000000" w:themeColor="text1"/>
              </w:rPr>
              <w:t>5.4.6</w:t>
            </w:r>
            <w:r w:rsidRPr="00687B52">
              <w:rPr>
                <w:rFonts w:hint="eastAsia"/>
                <w:color w:val="000000" w:themeColor="text1"/>
              </w:rPr>
              <w:t>条</w:t>
            </w:r>
          </w:p>
        </w:tc>
        <w:tc>
          <w:tcPr>
            <w:tcW w:w="905" w:type="pct"/>
            <w:vAlign w:val="center"/>
          </w:tcPr>
          <w:p w:rsidR="000C2455" w:rsidRPr="00687B52" w:rsidRDefault="000C2455" w:rsidP="003E1D2A">
            <w:pPr>
              <w:pStyle w:val="a7"/>
              <w:rPr>
                <w:color w:val="000000" w:themeColor="text1"/>
              </w:rPr>
            </w:pPr>
          </w:p>
        </w:tc>
      </w:tr>
      <w:tr w:rsidR="000C2455" w:rsidRPr="00687B52" w:rsidTr="004D7D3D">
        <w:trPr>
          <w:jc w:val="center"/>
        </w:trPr>
        <w:tc>
          <w:tcPr>
            <w:tcW w:w="362" w:type="pct"/>
            <w:vAlign w:val="center"/>
          </w:tcPr>
          <w:p w:rsidR="000C2455" w:rsidRPr="00687B52" w:rsidRDefault="000C2455" w:rsidP="003E1D2A">
            <w:pPr>
              <w:pStyle w:val="a7"/>
              <w:rPr>
                <w:color w:val="000000" w:themeColor="text1"/>
              </w:rPr>
            </w:pPr>
            <w:r w:rsidRPr="00687B52">
              <w:rPr>
                <w:rFonts w:hint="eastAsia"/>
                <w:color w:val="000000" w:themeColor="text1"/>
              </w:rPr>
              <w:t>1.6</w:t>
            </w:r>
          </w:p>
        </w:tc>
        <w:tc>
          <w:tcPr>
            <w:tcW w:w="2287" w:type="pct"/>
            <w:vAlign w:val="center"/>
          </w:tcPr>
          <w:p w:rsidR="000C2455" w:rsidRPr="00687B52" w:rsidRDefault="000C2455" w:rsidP="003E1D2A">
            <w:pPr>
              <w:pStyle w:val="a7"/>
              <w:jc w:val="left"/>
              <w:rPr>
                <w:color w:val="000000" w:themeColor="text1"/>
                <w:kern w:val="0"/>
              </w:rPr>
            </w:pPr>
            <w:r w:rsidRPr="00687B52">
              <w:rPr>
                <w:rFonts w:hint="eastAsia"/>
                <w:color w:val="000000" w:themeColor="text1"/>
                <w:kern w:val="0"/>
              </w:rPr>
              <w:t>消防安全标志应设在与消防安全有关的醒目的位置。标志的正面或其邻近不得有妨碍公共视读的障碍物。</w:t>
            </w:r>
            <w:r w:rsidRPr="00687B52">
              <w:rPr>
                <w:rFonts w:hint="eastAsia"/>
                <w:color w:val="000000" w:themeColor="text1"/>
                <w:kern w:val="0"/>
              </w:rPr>
              <w:tab/>
            </w:r>
          </w:p>
        </w:tc>
        <w:tc>
          <w:tcPr>
            <w:tcW w:w="1446" w:type="pct"/>
            <w:vAlign w:val="center"/>
          </w:tcPr>
          <w:p w:rsidR="000C2455" w:rsidRPr="00687B52" w:rsidRDefault="000C2455" w:rsidP="003E1D2A">
            <w:pPr>
              <w:pStyle w:val="a7"/>
              <w:rPr>
                <w:color w:val="000000" w:themeColor="text1"/>
              </w:rPr>
            </w:pPr>
            <w:r w:rsidRPr="00687B52">
              <w:rPr>
                <w:rFonts w:hint="eastAsia"/>
                <w:color w:val="000000" w:themeColor="text1"/>
                <w:kern w:val="0"/>
              </w:rPr>
              <w:t>《消防安全标志设置要求》</w:t>
            </w:r>
            <w:r w:rsidRPr="00687B52">
              <w:rPr>
                <w:rFonts w:hint="eastAsia"/>
                <w:color w:val="000000" w:themeColor="text1"/>
                <w:kern w:val="0"/>
              </w:rPr>
              <w:t>GB15630-1995</w:t>
            </w:r>
          </w:p>
        </w:tc>
        <w:tc>
          <w:tcPr>
            <w:tcW w:w="905" w:type="pct"/>
            <w:vAlign w:val="center"/>
          </w:tcPr>
          <w:p w:rsidR="000C2455" w:rsidRPr="00687B52" w:rsidRDefault="000C2455" w:rsidP="003E1D2A">
            <w:pPr>
              <w:pStyle w:val="a7"/>
              <w:rPr>
                <w:color w:val="000000" w:themeColor="text1"/>
              </w:rPr>
            </w:pPr>
          </w:p>
        </w:tc>
      </w:tr>
      <w:tr w:rsidR="000C2455" w:rsidRPr="00687B52" w:rsidTr="004D7D3D">
        <w:trPr>
          <w:jc w:val="center"/>
        </w:trPr>
        <w:tc>
          <w:tcPr>
            <w:tcW w:w="362" w:type="pct"/>
            <w:vAlign w:val="center"/>
          </w:tcPr>
          <w:p w:rsidR="000C2455" w:rsidRPr="00687B52" w:rsidRDefault="000C2455" w:rsidP="003E1D2A">
            <w:pPr>
              <w:pStyle w:val="a7"/>
              <w:rPr>
                <w:b/>
                <w:color w:val="000000" w:themeColor="text1"/>
              </w:rPr>
            </w:pPr>
            <w:r w:rsidRPr="00687B52">
              <w:rPr>
                <w:rFonts w:hint="eastAsia"/>
                <w:b/>
                <w:color w:val="000000" w:themeColor="text1"/>
              </w:rPr>
              <w:t>2</w:t>
            </w:r>
          </w:p>
        </w:tc>
        <w:tc>
          <w:tcPr>
            <w:tcW w:w="2287" w:type="pct"/>
            <w:vAlign w:val="center"/>
          </w:tcPr>
          <w:p w:rsidR="000C2455" w:rsidRPr="00687B52" w:rsidRDefault="000C2455" w:rsidP="003E1D2A">
            <w:pPr>
              <w:pStyle w:val="a7"/>
              <w:jc w:val="left"/>
              <w:rPr>
                <w:b/>
                <w:color w:val="000000" w:themeColor="text1"/>
              </w:rPr>
            </w:pPr>
            <w:r w:rsidRPr="00687B52">
              <w:rPr>
                <w:rFonts w:hint="eastAsia"/>
                <w:b/>
                <w:color w:val="000000" w:themeColor="text1"/>
              </w:rPr>
              <w:t>作业场所</w:t>
            </w:r>
          </w:p>
        </w:tc>
        <w:tc>
          <w:tcPr>
            <w:tcW w:w="1446" w:type="pct"/>
            <w:vAlign w:val="center"/>
          </w:tcPr>
          <w:p w:rsidR="000C2455" w:rsidRPr="00687B52" w:rsidRDefault="000C2455" w:rsidP="003E1D2A">
            <w:pPr>
              <w:pStyle w:val="a7"/>
              <w:rPr>
                <w:color w:val="000000" w:themeColor="text1"/>
                <w:shd w:val="clear" w:color="auto" w:fill="FFFFFF"/>
              </w:rPr>
            </w:pPr>
          </w:p>
        </w:tc>
        <w:tc>
          <w:tcPr>
            <w:tcW w:w="905" w:type="pct"/>
            <w:vAlign w:val="center"/>
          </w:tcPr>
          <w:p w:rsidR="000C2455" w:rsidRPr="00687B52" w:rsidRDefault="000C2455" w:rsidP="003E1D2A">
            <w:pPr>
              <w:pStyle w:val="a7"/>
              <w:rPr>
                <w:color w:val="000000" w:themeColor="text1"/>
              </w:rPr>
            </w:pPr>
          </w:p>
        </w:tc>
      </w:tr>
      <w:tr w:rsidR="000C2455" w:rsidRPr="00687B52" w:rsidTr="004D7D3D">
        <w:trPr>
          <w:jc w:val="center"/>
        </w:trPr>
        <w:tc>
          <w:tcPr>
            <w:tcW w:w="362" w:type="pct"/>
            <w:vAlign w:val="center"/>
          </w:tcPr>
          <w:p w:rsidR="000C2455" w:rsidRPr="00687B52" w:rsidRDefault="000C2455" w:rsidP="003E1D2A">
            <w:pPr>
              <w:pStyle w:val="a7"/>
              <w:rPr>
                <w:color w:val="000000" w:themeColor="text1"/>
              </w:rPr>
            </w:pPr>
            <w:r w:rsidRPr="00687B52">
              <w:rPr>
                <w:rFonts w:hint="eastAsia"/>
                <w:color w:val="000000" w:themeColor="text1"/>
              </w:rPr>
              <w:t>2.1</w:t>
            </w:r>
          </w:p>
        </w:tc>
        <w:tc>
          <w:tcPr>
            <w:tcW w:w="2287" w:type="pct"/>
            <w:vAlign w:val="center"/>
          </w:tcPr>
          <w:p w:rsidR="000C2455" w:rsidRPr="00687B52" w:rsidRDefault="000C2455" w:rsidP="003E1D2A">
            <w:pPr>
              <w:pStyle w:val="a7"/>
              <w:jc w:val="both"/>
              <w:rPr>
                <w:color w:val="000000" w:themeColor="text1"/>
                <w:shd w:val="clear" w:color="auto" w:fill="FFFFFF"/>
              </w:rPr>
            </w:pPr>
            <w:r w:rsidRPr="00687B52">
              <w:rPr>
                <w:rFonts w:hint="eastAsia"/>
                <w:color w:val="000000" w:themeColor="text1"/>
                <w:szCs w:val="24"/>
              </w:rPr>
              <w:t>冲洗设备包括</w:t>
            </w:r>
            <w:r w:rsidRPr="00687B52">
              <w:rPr>
                <w:color w:val="000000" w:themeColor="text1"/>
                <w:szCs w:val="24"/>
              </w:rPr>
              <w:t>洗眼器、淋洗器等</w:t>
            </w:r>
            <w:r w:rsidRPr="00687B52">
              <w:rPr>
                <w:rFonts w:hint="eastAsia"/>
                <w:color w:val="000000" w:themeColor="text1"/>
                <w:szCs w:val="24"/>
              </w:rPr>
              <w:t>安全</w:t>
            </w:r>
            <w:r w:rsidRPr="00687B52">
              <w:rPr>
                <w:color w:val="000000" w:themeColor="text1"/>
                <w:szCs w:val="24"/>
              </w:rPr>
              <w:t>防护</w:t>
            </w:r>
            <w:r w:rsidRPr="00687B52">
              <w:rPr>
                <w:rFonts w:hint="eastAsia"/>
                <w:color w:val="000000" w:themeColor="text1"/>
                <w:szCs w:val="24"/>
              </w:rPr>
              <w:t>措施</w:t>
            </w:r>
            <w:r w:rsidRPr="00687B52">
              <w:rPr>
                <w:color w:val="000000" w:themeColor="text1"/>
                <w:szCs w:val="24"/>
              </w:rPr>
              <w:t>，</w:t>
            </w:r>
            <w:r w:rsidRPr="00687B52">
              <w:rPr>
                <w:rFonts w:hint="eastAsia"/>
                <w:color w:val="000000" w:themeColor="text1"/>
                <w:szCs w:val="24"/>
              </w:rPr>
              <w:t>其</w:t>
            </w:r>
            <w:r w:rsidRPr="00687B52">
              <w:rPr>
                <w:color w:val="000000" w:themeColor="text1"/>
                <w:szCs w:val="24"/>
              </w:rPr>
              <w:t>服务半径小于</w:t>
            </w:r>
            <w:r w:rsidRPr="00687B52">
              <w:rPr>
                <w:color w:val="000000" w:themeColor="text1"/>
                <w:szCs w:val="24"/>
              </w:rPr>
              <w:t>15m</w:t>
            </w:r>
            <w:r w:rsidRPr="00687B52">
              <w:rPr>
                <w:color w:val="000000" w:themeColor="text1"/>
                <w:szCs w:val="24"/>
              </w:rPr>
              <w:t>。</w:t>
            </w:r>
          </w:p>
        </w:tc>
        <w:tc>
          <w:tcPr>
            <w:tcW w:w="1446" w:type="pct"/>
            <w:vAlign w:val="center"/>
          </w:tcPr>
          <w:p w:rsidR="000C2455" w:rsidRPr="00687B52" w:rsidRDefault="000C2455" w:rsidP="003E1D2A">
            <w:pPr>
              <w:pStyle w:val="a7"/>
              <w:rPr>
                <w:color w:val="000000" w:themeColor="text1"/>
              </w:rPr>
            </w:pPr>
            <w:r w:rsidRPr="00687B52">
              <w:rPr>
                <w:rFonts w:hint="eastAsia"/>
                <w:color w:val="000000" w:themeColor="text1"/>
              </w:rPr>
              <w:t>《</w:t>
            </w:r>
            <w:hyperlink r:id="rId13" w:tgtFrame="_blank" w:history="1">
              <w:r w:rsidRPr="00687B52">
                <w:rPr>
                  <w:color w:val="000000" w:themeColor="text1"/>
                </w:rPr>
                <w:t>化工企业安全卫生设计规范</w:t>
              </w:r>
            </w:hyperlink>
            <w:r w:rsidRPr="00687B52">
              <w:rPr>
                <w:rFonts w:hint="eastAsia"/>
                <w:color w:val="000000" w:themeColor="text1"/>
              </w:rPr>
              <w:t>》</w:t>
            </w:r>
            <w:r w:rsidRPr="00687B52">
              <w:rPr>
                <w:color w:val="000000" w:themeColor="text1"/>
              </w:rPr>
              <w:t>HG20571-2014</w:t>
            </w:r>
          </w:p>
          <w:p w:rsidR="000C2455" w:rsidRPr="00687B52" w:rsidRDefault="000C2455" w:rsidP="003E1D2A">
            <w:pPr>
              <w:pStyle w:val="a7"/>
              <w:rPr>
                <w:color w:val="000000" w:themeColor="text1"/>
              </w:rPr>
            </w:pPr>
            <w:r w:rsidRPr="00687B52">
              <w:rPr>
                <w:color w:val="000000" w:themeColor="text1"/>
              </w:rPr>
              <w:t>第</w:t>
            </w:r>
            <w:r w:rsidRPr="00687B52">
              <w:rPr>
                <w:rFonts w:hint="eastAsia"/>
                <w:color w:val="000000" w:themeColor="text1"/>
              </w:rPr>
              <w:t>5.1.6</w:t>
            </w:r>
            <w:r w:rsidRPr="00687B52">
              <w:rPr>
                <w:color w:val="000000" w:themeColor="text1"/>
              </w:rPr>
              <w:t>条</w:t>
            </w:r>
          </w:p>
        </w:tc>
        <w:tc>
          <w:tcPr>
            <w:tcW w:w="905" w:type="pct"/>
            <w:vAlign w:val="center"/>
          </w:tcPr>
          <w:p w:rsidR="000C2455" w:rsidRPr="00687B52" w:rsidRDefault="000C2455" w:rsidP="003E1D2A">
            <w:pPr>
              <w:pStyle w:val="a7"/>
              <w:rPr>
                <w:color w:val="000000" w:themeColor="text1"/>
              </w:rPr>
            </w:pPr>
          </w:p>
        </w:tc>
      </w:tr>
      <w:tr w:rsidR="000C2455" w:rsidRPr="00687B52" w:rsidTr="004D7D3D">
        <w:trPr>
          <w:jc w:val="center"/>
        </w:trPr>
        <w:tc>
          <w:tcPr>
            <w:tcW w:w="362" w:type="pct"/>
            <w:vAlign w:val="center"/>
          </w:tcPr>
          <w:p w:rsidR="000C2455" w:rsidRPr="00687B52" w:rsidRDefault="000C2455" w:rsidP="003E1D2A">
            <w:pPr>
              <w:pStyle w:val="a7"/>
              <w:rPr>
                <w:color w:val="000000" w:themeColor="text1"/>
              </w:rPr>
            </w:pPr>
            <w:r w:rsidRPr="00687B52">
              <w:rPr>
                <w:rFonts w:hint="eastAsia"/>
                <w:color w:val="000000" w:themeColor="text1"/>
              </w:rPr>
              <w:t>2.2</w:t>
            </w:r>
          </w:p>
        </w:tc>
        <w:tc>
          <w:tcPr>
            <w:tcW w:w="2287" w:type="pct"/>
            <w:vAlign w:val="center"/>
          </w:tcPr>
          <w:p w:rsidR="000C2455" w:rsidRPr="00687B52" w:rsidRDefault="000C2455" w:rsidP="003E1D2A">
            <w:pPr>
              <w:pStyle w:val="a7"/>
              <w:jc w:val="both"/>
              <w:rPr>
                <w:rFonts w:asciiTheme="minorEastAsia" w:eastAsiaTheme="minorEastAsia" w:hAnsiTheme="minorEastAsia"/>
                <w:color w:val="000000" w:themeColor="text1"/>
              </w:rPr>
            </w:pPr>
            <w:r w:rsidRPr="00687B52">
              <w:rPr>
                <w:rFonts w:asciiTheme="minorEastAsia" w:eastAsiaTheme="minorEastAsia" w:hAnsiTheme="minorEastAsia" w:hint="eastAsia"/>
                <w:color w:val="000000" w:themeColor="text1"/>
              </w:rPr>
              <w:t>涉及</w:t>
            </w:r>
            <w:r w:rsidRPr="00687B52">
              <w:rPr>
                <w:rFonts w:asciiTheme="minorEastAsia" w:eastAsiaTheme="minorEastAsia" w:hAnsiTheme="minorEastAsia"/>
                <w:color w:val="000000" w:themeColor="text1"/>
              </w:rPr>
              <w:t>具有化学灼伤危害物质的生产过程时，应合理选择流程、设备和管道结构及材料，防止物料外泄或喷溅。</w:t>
            </w:r>
          </w:p>
        </w:tc>
        <w:tc>
          <w:tcPr>
            <w:tcW w:w="1446" w:type="pct"/>
            <w:vAlign w:val="center"/>
          </w:tcPr>
          <w:p w:rsidR="000C2455" w:rsidRPr="00687B52" w:rsidRDefault="000C2455" w:rsidP="003E1D2A">
            <w:pPr>
              <w:pStyle w:val="a7"/>
              <w:rPr>
                <w:color w:val="000000" w:themeColor="text1"/>
              </w:rPr>
            </w:pPr>
            <w:r w:rsidRPr="00687B52">
              <w:rPr>
                <w:rFonts w:hint="eastAsia"/>
                <w:color w:val="000000" w:themeColor="text1"/>
              </w:rPr>
              <w:t>《化工企业安全卫生设计规范》</w:t>
            </w:r>
          </w:p>
          <w:p w:rsidR="000C2455" w:rsidRPr="00687B52" w:rsidRDefault="000C2455" w:rsidP="003E1D2A">
            <w:pPr>
              <w:pStyle w:val="a7"/>
              <w:rPr>
                <w:color w:val="000000" w:themeColor="text1"/>
              </w:rPr>
            </w:pPr>
            <w:r w:rsidRPr="00687B52">
              <w:rPr>
                <w:color w:val="000000" w:themeColor="text1"/>
              </w:rPr>
              <w:t>HG20571-2014</w:t>
            </w:r>
          </w:p>
          <w:p w:rsidR="000C2455" w:rsidRPr="00687B52" w:rsidRDefault="000C2455" w:rsidP="003E1D2A">
            <w:pPr>
              <w:pStyle w:val="a7"/>
              <w:rPr>
                <w:color w:val="000000" w:themeColor="text1"/>
              </w:rPr>
            </w:pPr>
            <w:r w:rsidRPr="00687B52">
              <w:rPr>
                <w:color w:val="000000" w:themeColor="text1"/>
              </w:rPr>
              <w:t>第</w:t>
            </w:r>
            <w:r w:rsidRPr="00687B52">
              <w:rPr>
                <w:rFonts w:hint="eastAsia"/>
                <w:color w:val="000000" w:themeColor="text1"/>
              </w:rPr>
              <w:t>5.6.1</w:t>
            </w:r>
            <w:r w:rsidRPr="00687B52">
              <w:rPr>
                <w:color w:val="000000" w:themeColor="text1"/>
              </w:rPr>
              <w:t>条</w:t>
            </w:r>
          </w:p>
        </w:tc>
        <w:tc>
          <w:tcPr>
            <w:tcW w:w="905" w:type="pct"/>
            <w:vAlign w:val="center"/>
          </w:tcPr>
          <w:p w:rsidR="000C2455" w:rsidRPr="00687B52" w:rsidRDefault="000C2455" w:rsidP="003E1D2A">
            <w:pPr>
              <w:pStyle w:val="a7"/>
              <w:rPr>
                <w:color w:val="000000" w:themeColor="text1"/>
              </w:rPr>
            </w:pPr>
          </w:p>
        </w:tc>
      </w:tr>
      <w:tr w:rsidR="000C2455" w:rsidRPr="00687B52" w:rsidTr="004D7D3D">
        <w:trPr>
          <w:jc w:val="center"/>
        </w:trPr>
        <w:tc>
          <w:tcPr>
            <w:tcW w:w="362" w:type="pct"/>
            <w:vAlign w:val="center"/>
          </w:tcPr>
          <w:p w:rsidR="000C2455" w:rsidRPr="00687B52" w:rsidRDefault="000C2455" w:rsidP="003E1D2A">
            <w:pPr>
              <w:pStyle w:val="a7"/>
              <w:rPr>
                <w:color w:val="000000" w:themeColor="text1"/>
              </w:rPr>
            </w:pPr>
            <w:r w:rsidRPr="00687B52">
              <w:rPr>
                <w:rFonts w:hint="eastAsia"/>
                <w:color w:val="000000" w:themeColor="text1"/>
              </w:rPr>
              <w:t>2.3</w:t>
            </w:r>
          </w:p>
        </w:tc>
        <w:tc>
          <w:tcPr>
            <w:tcW w:w="2287" w:type="pct"/>
            <w:vAlign w:val="center"/>
          </w:tcPr>
          <w:p w:rsidR="000C2455" w:rsidRPr="00687B52" w:rsidRDefault="000C2455" w:rsidP="003E1D2A">
            <w:pPr>
              <w:pStyle w:val="a7"/>
              <w:jc w:val="left"/>
              <w:rPr>
                <w:rFonts w:asciiTheme="minorEastAsia" w:eastAsiaTheme="minorEastAsia" w:hAnsiTheme="minorEastAsia"/>
                <w:color w:val="000000" w:themeColor="text1"/>
              </w:rPr>
            </w:pPr>
            <w:r w:rsidRPr="00687B52">
              <w:rPr>
                <w:rFonts w:asciiTheme="minorEastAsia" w:eastAsiaTheme="minorEastAsia" w:hAnsiTheme="minorEastAsia"/>
                <w:color w:val="000000" w:themeColor="text1"/>
              </w:rPr>
              <w:t>具有化学灼伤危害作业应尽量采用机械化、管道化和自动化，并安装必要的信号报警、安全联锁和保险装置，禁止</w:t>
            </w:r>
            <w:r w:rsidRPr="00687B52">
              <w:rPr>
                <w:rFonts w:asciiTheme="minorEastAsia" w:eastAsiaTheme="minorEastAsia" w:hAnsiTheme="minorEastAsia"/>
                <w:color w:val="000000" w:themeColor="text1"/>
              </w:rPr>
              <w:lastRenderedPageBreak/>
              <w:t>使用玻璃管道、管件、阀门、流量计、压力计等仪表。</w:t>
            </w:r>
          </w:p>
        </w:tc>
        <w:tc>
          <w:tcPr>
            <w:tcW w:w="1446" w:type="pct"/>
            <w:vAlign w:val="center"/>
          </w:tcPr>
          <w:p w:rsidR="000C2455" w:rsidRPr="00687B52" w:rsidRDefault="000C2455" w:rsidP="003E1D2A">
            <w:pPr>
              <w:pStyle w:val="a7"/>
              <w:rPr>
                <w:color w:val="000000" w:themeColor="text1"/>
              </w:rPr>
            </w:pPr>
            <w:r w:rsidRPr="00687B52">
              <w:rPr>
                <w:rFonts w:hint="eastAsia"/>
                <w:color w:val="000000" w:themeColor="text1"/>
              </w:rPr>
              <w:lastRenderedPageBreak/>
              <w:t>《化工企业安全卫生设计规范》</w:t>
            </w:r>
          </w:p>
          <w:p w:rsidR="000C2455" w:rsidRPr="00687B52" w:rsidRDefault="000C2455" w:rsidP="003E1D2A">
            <w:pPr>
              <w:pStyle w:val="a7"/>
              <w:rPr>
                <w:color w:val="000000" w:themeColor="text1"/>
              </w:rPr>
            </w:pPr>
            <w:r w:rsidRPr="00687B52">
              <w:rPr>
                <w:color w:val="000000" w:themeColor="text1"/>
              </w:rPr>
              <w:t>HG20571-2014</w:t>
            </w:r>
          </w:p>
          <w:p w:rsidR="000C2455" w:rsidRPr="00687B52" w:rsidRDefault="000C2455" w:rsidP="003E1D2A">
            <w:pPr>
              <w:pStyle w:val="a7"/>
              <w:rPr>
                <w:color w:val="000000" w:themeColor="text1"/>
              </w:rPr>
            </w:pPr>
            <w:r w:rsidRPr="00687B52">
              <w:rPr>
                <w:color w:val="000000" w:themeColor="text1"/>
              </w:rPr>
              <w:lastRenderedPageBreak/>
              <w:t>第</w:t>
            </w:r>
            <w:r w:rsidRPr="00687B52">
              <w:rPr>
                <w:rFonts w:hint="eastAsia"/>
                <w:color w:val="000000" w:themeColor="text1"/>
              </w:rPr>
              <w:t>5.6.2</w:t>
            </w:r>
            <w:r w:rsidRPr="00687B52">
              <w:rPr>
                <w:color w:val="000000" w:themeColor="text1"/>
              </w:rPr>
              <w:t>条</w:t>
            </w:r>
          </w:p>
        </w:tc>
        <w:tc>
          <w:tcPr>
            <w:tcW w:w="905" w:type="pct"/>
            <w:vAlign w:val="center"/>
          </w:tcPr>
          <w:p w:rsidR="000C2455" w:rsidRPr="00687B52" w:rsidRDefault="000C2455" w:rsidP="003E1D2A">
            <w:pPr>
              <w:pStyle w:val="a7"/>
              <w:rPr>
                <w:color w:val="000000" w:themeColor="text1"/>
              </w:rPr>
            </w:pPr>
          </w:p>
        </w:tc>
      </w:tr>
      <w:tr w:rsidR="000C2455" w:rsidRPr="00687B52" w:rsidTr="004D7D3D">
        <w:trPr>
          <w:jc w:val="center"/>
        </w:trPr>
        <w:tc>
          <w:tcPr>
            <w:tcW w:w="362" w:type="pct"/>
            <w:vAlign w:val="center"/>
          </w:tcPr>
          <w:p w:rsidR="000C2455" w:rsidRPr="00687B52" w:rsidRDefault="000C2455" w:rsidP="003E1D2A">
            <w:pPr>
              <w:pStyle w:val="a7"/>
              <w:rPr>
                <w:color w:val="000000" w:themeColor="text1"/>
              </w:rPr>
            </w:pPr>
            <w:r w:rsidRPr="00687B52">
              <w:rPr>
                <w:rFonts w:hint="eastAsia"/>
                <w:color w:val="000000" w:themeColor="text1"/>
                <w:szCs w:val="24"/>
              </w:rPr>
              <w:lastRenderedPageBreak/>
              <w:t>2.4</w:t>
            </w:r>
          </w:p>
        </w:tc>
        <w:tc>
          <w:tcPr>
            <w:tcW w:w="2287" w:type="pct"/>
            <w:vAlign w:val="center"/>
          </w:tcPr>
          <w:p w:rsidR="000C2455" w:rsidRPr="00687B52" w:rsidRDefault="000C2455" w:rsidP="003E1D2A">
            <w:pPr>
              <w:pStyle w:val="a7"/>
              <w:jc w:val="left"/>
              <w:rPr>
                <w:rFonts w:asciiTheme="minorEastAsia" w:eastAsiaTheme="minorEastAsia" w:hAnsiTheme="minorEastAsia"/>
                <w:color w:val="000000" w:themeColor="text1"/>
              </w:rPr>
            </w:pPr>
            <w:r w:rsidRPr="00687B52">
              <w:rPr>
                <w:rFonts w:asciiTheme="minorEastAsia" w:eastAsiaTheme="minorEastAsia" w:hAnsiTheme="minorEastAsia"/>
                <w:color w:val="000000" w:themeColor="text1"/>
              </w:rPr>
              <w:t>具有化学灼伤危险的生产装置，其设备布置应保证作业场所有足够空间，并保证作业场所畅通，危险作业点装设防护措施</w:t>
            </w:r>
            <w:r w:rsidRPr="00687B52">
              <w:rPr>
                <w:rFonts w:asciiTheme="minorEastAsia" w:eastAsiaTheme="minorEastAsia" w:hAnsiTheme="minorEastAsia" w:hint="eastAsia"/>
                <w:color w:val="000000" w:themeColor="text1"/>
              </w:rPr>
              <w:t>。</w:t>
            </w:r>
          </w:p>
        </w:tc>
        <w:tc>
          <w:tcPr>
            <w:tcW w:w="1446" w:type="pct"/>
            <w:vAlign w:val="center"/>
          </w:tcPr>
          <w:p w:rsidR="000C2455" w:rsidRPr="00687B52" w:rsidRDefault="000C2455" w:rsidP="003E1D2A">
            <w:pPr>
              <w:pStyle w:val="a7"/>
              <w:rPr>
                <w:color w:val="000000" w:themeColor="text1"/>
              </w:rPr>
            </w:pPr>
            <w:r w:rsidRPr="00687B52">
              <w:rPr>
                <w:rFonts w:hint="eastAsia"/>
                <w:color w:val="000000" w:themeColor="text1"/>
              </w:rPr>
              <w:t>《化工企业安全卫生设计规范》</w:t>
            </w:r>
          </w:p>
          <w:p w:rsidR="000C2455" w:rsidRPr="00687B52" w:rsidRDefault="000C2455" w:rsidP="003E1D2A">
            <w:pPr>
              <w:pStyle w:val="a7"/>
              <w:rPr>
                <w:color w:val="000000" w:themeColor="text1"/>
              </w:rPr>
            </w:pPr>
            <w:r w:rsidRPr="00687B52">
              <w:rPr>
                <w:color w:val="000000" w:themeColor="text1"/>
              </w:rPr>
              <w:t>HG20571-2014</w:t>
            </w:r>
          </w:p>
          <w:p w:rsidR="000C2455" w:rsidRPr="00687B52" w:rsidRDefault="000C2455" w:rsidP="003E1D2A">
            <w:pPr>
              <w:pStyle w:val="a7"/>
              <w:rPr>
                <w:color w:val="000000" w:themeColor="text1"/>
              </w:rPr>
            </w:pPr>
            <w:r w:rsidRPr="00687B52">
              <w:rPr>
                <w:color w:val="000000" w:themeColor="text1"/>
              </w:rPr>
              <w:t>第</w:t>
            </w:r>
            <w:r w:rsidRPr="00687B52">
              <w:rPr>
                <w:rFonts w:hint="eastAsia"/>
                <w:color w:val="000000" w:themeColor="text1"/>
              </w:rPr>
              <w:t>5.6.3</w:t>
            </w:r>
            <w:r w:rsidRPr="00687B52">
              <w:rPr>
                <w:color w:val="000000" w:themeColor="text1"/>
              </w:rPr>
              <w:t>条</w:t>
            </w:r>
          </w:p>
        </w:tc>
        <w:tc>
          <w:tcPr>
            <w:tcW w:w="905" w:type="pct"/>
            <w:vAlign w:val="center"/>
          </w:tcPr>
          <w:p w:rsidR="000C2455" w:rsidRPr="00687B52" w:rsidRDefault="000C2455" w:rsidP="003E1D2A">
            <w:pPr>
              <w:pStyle w:val="a7"/>
              <w:rPr>
                <w:color w:val="000000" w:themeColor="text1"/>
              </w:rPr>
            </w:pPr>
          </w:p>
        </w:tc>
      </w:tr>
      <w:tr w:rsidR="000C2455" w:rsidRPr="00687B52" w:rsidTr="004D7D3D">
        <w:trPr>
          <w:jc w:val="center"/>
        </w:trPr>
        <w:tc>
          <w:tcPr>
            <w:tcW w:w="362" w:type="pct"/>
            <w:vAlign w:val="center"/>
          </w:tcPr>
          <w:p w:rsidR="000C2455" w:rsidRPr="00687B52" w:rsidRDefault="000C2455" w:rsidP="003E1D2A">
            <w:pPr>
              <w:pStyle w:val="a7"/>
              <w:rPr>
                <w:color w:val="000000" w:themeColor="text1"/>
              </w:rPr>
            </w:pPr>
            <w:r w:rsidRPr="00687B52">
              <w:rPr>
                <w:rFonts w:hint="eastAsia"/>
                <w:color w:val="000000" w:themeColor="text1"/>
              </w:rPr>
              <w:t>2.5</w:t>
            </w:r>
          </w:p>
        </w:tc>
        <w:tc>
          <w:tcPr>
            <w:tcW w:w="2287" w:type="pct"/>
            <w:vAlign w:val="center"/>
          </w:tcPr>
          <w:p w:rsidR="000C2455" w:rsidRPr="00687B52" w:rsidRDefault="000C2455" w:rsidP="003E1D2A">
            <w:pPr>
              <w:pStyle w:val="a7"/>
              <w:jc w:val="left"/>
              <w:rPr>
                <w:color w:val="000000" w:themeColor="text1"/>
                <w:kern w:val="0"/>
              </w:rPr>
            </w:pPr>
            <w:r w:rsidRPr="00687B52">
              <w:rPr>
                <w:color w:val="000000" w:themeColor="text1"/>
                <w:kern w:val="0"/>
              </w:rPr>
              <w:t>生产、经营、储存、使用危险物品的车间、商店、仓库不得与员工宿舍在同一座建筑物内，并应当与员工宿舍保持安全距离。禁止锁闭、封堵生产经营场所或者员工宿舍的出口。</w:t>
            </w:r>
          </w:p>
        </w:tc>
        <w:tc>
          <w:tcPr>
            <w:tcW w:w="1446" w:type="pct"/>
            <w:vAlign w:val="center"/>
          </w:tcPr>
          <w:p w:rsidR="000C2455" w:rsidRPr="00687B52" w:rsidRDefault="000C2455" w:rsidP="003E1D2A">
            <w:pPr>
              <w:pStyle w:val="a7"/>
              <w:rPr>
                <w:color w:val="000000" w:themeColor="text1"/>
              </w:rPr>
            </w:pPr>
            <w:r w:rsidRPr="00687B52">
              <w:rPr>
                <w:rFonts w:hint="eastAsia"/>
                <w:color w:val="000000" w:themeColor="text1"/>
              </w:rPr>
              <w:t>《安全生产法》第</w:t>
            </w:r>
            <w:r w:rsidRPr="00687B52">
              <w:rPr>
                <w:rFonts w:hint="eastAsia"/>
                <w:color w:val="000000" w:themeColor="text1"/>
              </w:rPr>
              <w:t>39</w:t>
            </w:r>
            <w:r w:rsidRPr="00687B52">
              <w:rPr>
                <w:rFonts w:hint="eastAsia"/>
                <w:color w:val="000000" w:themeColor="text1"/>
              </w:rPr>
              <w:t>条</w:t>
            </w:r>
          </w:p>
        </w:tc>
        <w:tc>
          <w:tcPr>
            <w:tcW w:w="905" w:type="pct"/>
          </w:tcPr>
          <w:p w:rsidR="000C2455" w:rsidRPr="00687B52" w:rsidRDefault="000C2455" w:rsidP="003E1D2A">
            <w:pPr>
              <w:pStyle w:val="a7"/>
              <w:rPr>
                <w:color w:val="000000" w:themeColor="text1"/>
              </w:rPr>
            </w:pPr>
          </w:p>
        </w:tc>
      </w:tr>
      <w:tr w:rsidR="000C2455" w:rsidRPr="00687B52" w:rsidTr="004D7D3D">
        <w:trPr>
          <w:jc w:val="center"/>
        </w:trPr>
        <w:tc>
          <w:tcPr>
            <w:tcW w:w="362" w:type="pct"/>
            <w:vAlign w:val="center"/>
          </w:tcPr>
          <w:p w:rsidR="000C2455" w:rsidRPr="00687B52" w:rsidRDefault="00A0736D" w:rsidP="003E1D2A">
            <w:pPr>
              <w:pStyle w:val="a7"/>
              <w:rPr>
                <w:color w:val="000000" w:themeColor="text1"/>
              </w:rPr>
            </w:pPr>
            <w:r w:rsidRPr="00687B52">
              <w:rPr>
                <w:rFonts w:hint="eastAsia"/>
                <w:color w:val="000000" w:themeColor="text1"/>
              </w:rPr>
              <w:t>2.6</w:t>
            </w:r>
          </w:p>
        </w:tc>
        <w:tc>
          <w:tcPr>
            <w:tcW w:w="2287" w:type="pct"/>
            <w:vAlign w:val="center"/>
          </w:tcPr>
          <w:p w:rsidR="000C2455" w:rsidRPr="00687B52" w:rsidRDefault="000C2455" w:rsidP="003E1D2A">
            <w:pPr>
              <w:pStyle w:val="a7"/>
              <w:jc w:val="left"/>
              <w:rPr>
                <w:color w:val="000000" w:themeColor="text1"/>
                <w:szCs w:val="24"/>
              </w:rPr>
            </w:pPr>
            <w:r w:rsidRPr="00687B52">
              <w:rPr>
                <w:rFonts w:hint="eastAsia"/>
                <w:color w:val="000000" w:themeColor="text1"/>
                <w:szCs w:val="24"/>
              </w:rPr>
              <w:t>爆炸危险场所必须有良好的通风设施，以防止有爆炸危险气体的积聚。生产装置尽可能采用露天、半露天布置，布置在室内应有足够的通风量；通排风设施应根据气体比重确定位置；对局部易泄漏部位应设置局部符合防爆要求的机械排风设施。</w:t>
            </w:r>
            <w:r w:rsidRPr="00687B52">
              <w:rPr>
                <w:rFonts w:hint="eastAsia"/>
                <w:color w:val="000000" w:themeColor="text1"/>
                <w:szCs w:val="24"/>
              </w:rPr>
              <w:tab/>
            </w:r>
          </w:p>
        </w:tc>
        <w:tc>
          <w:tcPr>
            <w:tcW w:w="1446" w:type="pct"/>
            <w:vAlign w:val="center"/>
          </w:tcPr>
          <w:p w:rsidR="000C2455" w:rsidRPr="00687B52" w:rsidRDefault="000C2455" w:rsidP="003E1D2A">
            <w:pPr>
              <w:pStyle w:val="a7"/>
              <w:rPr>
                <w:color w:val="000000" w:themeColor="text1"/>
                <w:szCs w:val="24"/>
              </w:rPr>
            </w:pPr>
            <w:r w:rsidRPr="00687B52">
              <w:rPr>
                <w:rFonts w:hint="eastAsia"/>
                <w:color w:val="000000" w:themeColor="text1"/>
                <w:szCs w:val="24"/>
              </w:rPr>
              <w:t>《爆炸危险场所安全规定》</w:t>
            </w:r>
          </w:p>
          <w:p w:rsidR="000C2455" w:rsidRPr="00687B52" w:rsidRDefault="000C2455" w:rsidP="003E1D2A">
            <w:pPr>
              <w:pStyle w:val="a7"/>
              <w:rPr>
                <w:color w:val="000000" w:themeColor="text1"/>
                <w:szCs w:val="24"/>
              </w:rPr>
            </w:pPr>
            <w:r w:rsidRPr="00687B52">
              <w:rPr>
                <w:rFonts w:hint="eastAsia"/>
                <w:color w:val="000000" w:themeColor="text1"/>
                <w:szCs w:val="24"/>
              </w:rPr>
              <w:t>第</w:t>
            </w:r>
            <w:r w:rsidRPr="00687B52">
              <w:rPr>
                <w:rFonts w:hint="eastAsia"/>
                <w:color w:val="000000" w:themeColor="text1"/>
                <w:szCs w:val="24"/>
              </w:rPr>
              <w:t>16</w:t>
            </w:r>
            <w:r w:rsidRPr="00687B52">
              <w:rPr>
                <w:rFonts w:hint="eastAsia"/>
                <w:color w:val="000000" w:themeColor="text1"/>
                <w:szCs w:val="24"/>
              </w:rPr>
              <w:t>条</w:t>
            </w:r>
          </w:p>
        </w:tc>
        <w:tc>
          <w:tcPr>
            <w:tcW w:w="905" w:type="pct"/>
          </w:tcPr>
          <w:p w:rsidR="000C2455" w:rsidRPr="00687B52" w:rsidRDefault="000C2455"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2.7</w:t>
            </w:r>
          </w:p>
        </w:tc>
        <w:tc>
          <w:tcPr>
            <w:tcW w:w="2287" w:type="pct"/>
            <w:vAlign w:val="center"/>
          </w:tcPr>
          <w:p w:rsidR="00A0736D" w:rsidRPr="00687B52" w:rsidRDefault="00A0736D" w:rsidP="003E1D2A">
            <w:pPr>
              <w:pStyle w:val="a7"/>
              <w:jc w:val="left"/>
              <w:rPr>
                <w:color w:val="000000" w:themeColor="text1"/>
                <w:kern w:val="0"/>
              </w:rPr>
            </w:pPr>
            <w:r w:rsidRPr="00687B52">
              <w:rPr>
                <w:rFonts w:hint="eastAsia"/>
                <w:color w:val="000000" w:themeColor="text1"/>
                <w:kern w:val="0"/>
              </w:rPr>
              <w:t>用人单位应结合劳动者作业方式和工作条件，并考虑其个人特点及劳动强度，选择防护功能和效果适用的劳动防护用品。</w:t>
            </w:r>
            <w:r w:rsidRPr="00687B52">
              <w:rPr>
                <w:color w:val="000000" w:themeColor="text1"/>
                <w:szCs w:val="32"/>
              </w:rPr>
              <w:t>个体防护装备选用</w:t>
            </w:r>
            <w:r w:rsidRPr="00687B52">
              <w:rPr>
                <w:rFonts w:hint="eastAsia"/>
                <w:color w:val="000000" w:themeColor="text1"/>
                <w:szCs w:val="32"/>
              </w:rPr>
              <w:t>符合</w:t>
            </w:r>
            <w:r w:rsidRPr="00687B52">
              <w:rPr>
                <w:color w:val="000000" w:themeColor="text1"/>
              </w:rPr>
              <w:t>GB</w:t>
            </w:r>
            <w:r w:rsidRPr="00687B52">
              <w:rPr>
                <w:rFonts w:hint="eastAsia"/>
                <w:color w:val="000000" w:themeColor="text1"/>
              </w:rPr>
              <w:t>/</w:t>
            </w:r>
            <w:r w:rsidRPr="00687B52">
              <w:rPr>
                <w:color w:val="000000" w:themeColor="text1"/>
              </w:rPr>
              <w:t>T11651-2008</w:t>
            </w:r>
            <w:r w:rsidRPr="00687B52">
              <w:rPr>
                <w:rFonts w:hint="eastAsia"/>
                <w:color w:val="000000" w:themeColor="text1"/>
              </w:rPr>
              <w:t>的要求。</w:t>
            </w:r>
          </w:p>
        </w:tc>
        <w:tc>
          <w:tcPr>
            <w:tcW w:w="1446" w:type="pct"/>
            <w:vAlign w:val="center"/>
          </w:tcPr>
          <w:p w:rsidR="00A0736D" w:rsidRPr="00687B52" w:rsidRDefault="00A0736D" w:rsidP="003E1D2A">
            <w:pPr>
              <w:pStyle w:val="a7"/>
              <w:rPr>
                <w:color w:val="000000" w:themeColor="text1"/>
                <w:szCs w:val="32"/>
              </w:rPr>
            </w:pPr>
            <w:r w:rsidRPr="00687B52">
              <w:rPr>
                <w:rFonts w:hint="eastAsia"/>
                <w:color w:val="000000" w:themeColor="text1"/>
              </w:rPr>
              <w:t>《用人单位劳动防护用品管理规范》第</w:t>
            </w:r>
            <w:r w:rsidRPr="00687B52">
              <w:rPr>
                <w:rFonts w:hint="eastAsia"/>
                <w:color w:val="000000" w:themeColor="text1"/>
              </w:rPr>
              <w:t xml:space="preserve"> 14 </w:t>
            </w:r>
            <w:r w:rsidRPr="00687B52">
              <w:rPr>
                <w:rFonts w:hint="eastAsia"/>
                <w:color w:val="000000" w:themeColor="text1"/>
              </w:rPr>
              <w:t>条、《</w:t>
            </w:r>
            <w:r w:rsidRPr="00687B52">
              <w:rPr>
                <w:color w:val="000000" w:themeColor="text1"/>
                <w:szCs w:val="32"/>
              </w:rPr>
              <w:t>个体防护装备选用规范</w:t>
            </w:r>
            <w:r w:rsidRPr="00687B52">
              <w:rPr>
                <w:rFonts w:hint="eastAsia"/>
                <w:color w:val="000000" w:themeColor="text1"/>
              </w:rPr>
              <w:t>》</w:t>
            </w:r>
          </w:p>
          <w:p w:rsidR="00A0736D" w:rsidRPr="00687B52" w:rsidRDefault="00A0736D" w:rsidP="003E1D2A">
            <w:pPr>
              <w:pStyle w:val="a7"/>
              <w:rPr>
                <w:color w:val="000000" w:themeColor="text1"/>
              </w:rPr>
            </w:pPr>
            <w:r w:rsidRPr="00687B52">
              <w:rPr>
                <w:color w:val="000000" w:themeColor="text1"/>
              </w:rPr>
              <w:t>GB</w:t>
            </w:r>
            <w:r w:rsidRPr="00687B52">
              <w:rPr>
                <w:rFonts w:hint="eastAsia"/>
                <w:color w:val="000000" w:themeColor="text1"/>
              </w:rPr>
              <w:t>/</w:t>
            </w:r>
            <w:r w:rsidRPr="00687B52">
              <w:rPr>
                <w:color w:val="000000" w:themeColor="text1"/>
              </w:rPr>
              <w:t>T11651-2008</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2.8</w:t>
            </w:r>
          </w:p>
        </w:tc>
        <w:tc>
          <w:tcPr>
            <w:tcW w:w="2287" w:type="pct"/>
            <w:vAlign w:val="center"/>
          </w:tcPr>
          <w:p w:rsidR="00A0736D" w:rsidRPr="00687B52" w:rsidRDefault="00A0736D" w:rsidP="003E1D2A">
            <w:pPr>
              <w:pStyle w:val="a7"/>
              <w:jc w:val="left"/>
              <w:rPr>
                <w:color w:val="000000" w:themeColor="text1"/>
              </w:rPr>
            </w:pPr>
            <w:r w:rsidRPr="00687B52">
              <w:rPr>
                <w:color w:val="000000" w:themeColor="text1"/>
              </w:rPr>
              <w:t>用人单位应</w:t>
            </w:r>
            <w:r w:rsidRPr="00687B52">
              <w:rPr>
                <w:rFonts w:hint="eastAsia"/>
                <w:color w:val="000000" w:themeColor="text1"/>
              </w:rPr>
              <w:t>当</w:t>
            </w:r>
            <w:r w:rsidRPr="00687B52">
              <w:rPr>
                <w:color w:val="000000" w:themeColor="text1"/>
              </w:rPr>
              <w:t>在可能发生急性</w:t>
            </w:r>
            <w:r w:rsidRPr="00687B52">
              <w:rPr>
                <w:rFonts w:hint="eastAsia"/>
                <w:color w:val="000000" w:themeColor="text1"/>
              </w:rPr>
              <w:t>职业损伤</w:t>
            </w:r>
            <w:r w:rsidRPr="00687B52">
              <w:rPr>
                <w:color w:val="000000" w:themeColor="text1"/>
              </w:rPr>
              <w:t>的</w:t>
            </w:r>
            <w:r w:rsidRPr="00687B52">
              <w:rPr>
                <w:rFonts w:hint="eastAsia"/>
                <w:color w:val="000000" w:themeColor="text1"/>
              </w:rPr>
              <w:t>有毒、有害</w:t>
            </w:r>
            <w:r w:rsidRPr="00687B52">
              <w:rPr>
                <w:color w:val="000000" w:themeColor="text1"/>
              </w:rPr>
              <w:t>工作场所配备应急劳动防护用品，放置于现场</w:t>
            </w:r>
            <w:r w:rsidRPr="00687B52">
              <w:rPr>
                <w:rFonts w:hint="eastAsia"/>
                <w:color w:val="000000" w:themeColor="text1"/>
              </w:rPr>
              <w:t>临近</w:t>
            </w:r>
            <w:r w:rsidRPr="00687B52">
              <w:rPr>
                <w:color w:val="000000" w:themeColor="text1"/>
              </w:rPr>
              <w:t>位置并</w:t>
            </w:r>
            <w:r w:rsidRPr="00687B52">
              <w:rPr>
                <w:rFonts w:hint="eastAsia"/>
                <w:color w:val="000000" w:themeColor="text1"/>
              </w:rPr>
              <w:t>有</w:t>
            </w:r>
            <w:r w:rsidRPr="00687B52">
              <w:rPr>
                <w:color w:val="000000" w:themeColor="text1"/>
              </w:rPr>
              <w:t>醒目</w:t>
            </w:r>
            <w:r w:rsidRPr="00687B52">
              <w:rPr>
                <w:rFonts w:hint="eastAsia"/>
                <w:color w:val="000000" w:themeColor="text1"/>
              </w:rPr>
              <w:t>标识。</w:t>
            </w:r>
          </w:p>
        </w:tc>
        <w:tc>
          <w:tcPr>
            <w:tcW w:w="1446" w:type="pct"/>
            <w:vAlign w:val="center"/>
          </w:tcPr>
          <w:p w:rsidR="00A0736D" w:rsidRPr="00687B52" w:rsidRDefault="00A0736D" w:rsidP="003E1D2A">
            <w:pPr>
              <w:pStyle w:val="a7"/>
              <w:rPr>
                <w:color w:val="000000" w:themeColor="text1"/>
              </w:rPr>
            </w:pPr>
            <w:r w:rsidRPr="00687B52">
              <w:rPr>
                <w:rFonts w:hint="eastAsia"/>
                <w:color w:val="000000" w:themeColor="text1"/>
              </w:rPr>
              <w:t>《用人单位劳动防护用品管理规范》第</w:t>
            </w:r>
            <w:r w:rsidRPr="00687B52">
              <w:rPr>
                <w:rFonts w:hint="eastAsia"/>
                <w:color w:val="000000" w:themeColor="text1"/>
              </w:rPr>
              <w:t xml:space="preserve"> 14 </w:t>
            </w:r>
            <w:r w:rsidRPr="00687B52">
              <w:rPr>
                <w:rFonts w:hint="eastAsia"/>
                <w:color w:val="000000" w:themeColor="text1"/>
              </w:rPr>
              <w:t>条、《</w:t>
            </w:r>
            <w:r w:rsidRPr="00687B52">
              <w:rPr>
                <w:color w:val="000000" w:themeColor="text1"/>
              </w:rPr>
              <w:t>个体防护装备选用规范</w:t>
            </w:r>
            <w:r w:rsidRPr="00687B52">
              <w:rPr>
                <w:rFonts w:hint="eastAsia"/>
                <w:color w:val="000000" w:themeColor="text1"/>
              </w:rPr>
              <w:t>》</w:t>
            </w:r>
          </w:p>
          <w:p w:rsidR="00A0736D" w:rsidRPr="00687B52" w:rsidRDefault="00A0736D" w:rsidP="003E1D2A">
            <w:pPr>
              <w:pStyle w:val="a7"/>
              <w:rPr>
                <w:color w:val="000000" w:themeColor="text1"/>
              </w:rPr>
            </w:pPr>
            <w:r w:rsidRPr="00687B52">
              <w:rPr>
                <w:color w:val="000000" w:themeColor="text1"/>
              </w:rPr>
              <w:t>GB</w:t>
            </w:r>
            <w:r w:rsidRPr="00687B52">
              <w:rPr>
                <w:rFonts w:hint="eastAsia"/>
                <w:color w:val="000000" w:themeColor="text1"/>
              </w:rPr>
              <w:t>/</w:t>
            </w:r>
            <w:r w:rsidRPr="00687B52">
              <w:rPr>
                <w:color w:val="000000" w:themeColor="text1"/>
              </w:rPr>
              <w:t>T11651-2008</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2.9</w:t>
            </w:r>
          </w:p>
        </w:tc>
        <w:tc>
          <w:tcPr>
            <w:tcW w:w="2287" w:type="pct"/>
            <w:vAlign w:val="center"/>
          </w:tcPr>
          <w:p w:rsidR="00A0736D" w:rsidRPr="00687B52" w:rsidRDefault="00A0736D" w:rsidP="003E1D2A">
            <w:pPr>
              <w:pStyle w:val="a7"/>
              <w:jc w:val="left"/>
              <w:rPr>
                <w:rFonts w:hAnsi="Times New Roman" w:cs="宋体"/>
                <w:color w:val="000000" w:themeColor="text1"/>
                <w:kern w:val="0"/>
              </w:rPr>
            </w:pPr>
            <w:r w:rsidRPr="00687B52">
              <w:rPr>
                <w:rFonts w:hAnsi="Times New Roman" w:cs="宋体" w:hint="eastAsia"/>
                <w:color w:val="000000" w:themeColor="text1"/>
                <w:kern w:val="0"/>
              </w:rPr>
              <w:t>距下方相邻地板或地面</w:t>
            </w:r>
            <w:r w:rsidRPr="00687B52">
              <w:rPr>
                <w:rFonts w:hAnsi="Times New Roman" w:cs="宋体" w:hint="eastAsia"/>
                <w:color w:val="000000" w:themeColor="text1"/>
                <w:kern w:val="0"/>
              </w:rPr>
              <w:t>1.2m</w:t>
            </w:r>
            <w:r w:rsidRPr="00687B52">
              <w:rPr>
                <w:rFonts w:hAnsi="Times New Roman" w:cs="宋体" w:hint="eastAsia"/>
                <w:color w:val="000000" w:themeColor="text1"/>
                <w:kern w:val="0"/>
              </w:rPr>
              <w:t>及以上的平台、通道或工作面的所有敞开边缘应设置防护栏杆。</w:t>
            </w:r>
          </w:p>
        </w:tc>
        <w:tc>
          <w:tcPr>
            <w:tcW w:w="1446" w:type="pct"/>
            <w:vAlign w:val="center"/>
          </w:tcPr>
          <w:p w:rsidR="00A0736D" w:rsidRPr="00687B52" w:rsidRDefault="00A0736D" w:rsidP="003E1D2A">
            <w:pPr>
              <w:pStyle w:val="a7"/>
              <w:rPr>
                <w:color w:val="000000" w:themeColor="text1"/>
              </w:rPr>
            </w:pPr>
            <w:r w:rsidRPr="00687B52">
              <w:rPr>
                <w:rFonts w:hint="eastAsia"/>
                <w:color w:val="000000" w:themeColor="text1"/>
              </w:rPr>
              <w:t>《固定式钢梯及平台安全要求第三部分工业防护栏及钢平台》</w:t>
            </w:r>
            <w:r w:rsidRPr="00687B52">
              <w:rPr>
                <w:rFonts w:hint="eastAsia"/>
                <w:color w:val="000000" w:themeColor="text1"/>
              </w:rPr>
              <w:t>GB4053.3-2009</w:t>
            </w:r>
            <w:r w:rsidRPr="00687B52">
              <w:rPr>
                <w:rFonts w:hint="eastAsia"/>
                <w:color w:val="000000" w:themeColor="text1"/>
              </w:rPr>
              <w:t>第</w:t>
            </w:r>
            <w:r w:rsidRPr="00687B52">
              <w:rPr>
                <w:rFonts w:hint="eastAsia"/>
                <w:color w:val="000000" w:themeColor="text1"/>
              </w:rPr>
              <w:t>4.1.1</w:t>
            </w:r>
            <w:r w:rsidRPr="00687B52">
              <w:rPr>
                <w:rFonts w:hint="eastAsia"/>
                <w:color w:val="000000" w:themeColor="text1"/>
              </w:rPr>
              <w:t>条</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2.10</w:t>
            </w:r>
          </w:p>
        </w:tc>
        <w:tc>
          <w:tcPr>
            <w:tcW w:w="2287" w:type="pct"/>
            <w:vAlign w:val="center"/>
          </w:tcPr>
          <w:p w:rsidR="00A0736D" w:rsidRPr="00687B52" w:rsidRDefault="00A0736D" w:rsidP="003E1D2A">
            <w:pPr>
              <w:pStyle w:val="a7"/>
              <w:jc w:val="left"/>
              <w:rPr>
                <w:rFonts w:hAnsi="Times New Roman" w:cs="宋体"/>
                <w:color w:val="000000" w:themeColor="text1"/>
                <w:kern w:val="0"/>
              </w:rPr>
            </w:pPr>
            <w:r w:rsidRPr="00687B52">
              <w:rPr>
                <w:rFonts w:hAnsi="Times New Roman" w:cs="宋体" w:hint="eastAsia"/>
                <w:color w:val="000000" w:themeColor="text1"/>
                <w:kern w:val="0"/>
              </w:rPr>
              <w:t>在平台、通道或工作面可能使用工具、机器部件或物品场合，应在所有敞开边缘设置带踢脚板的防护栏杆。</w:t>
            </w:r>
          </w:p>
        </w:tc>
        <w:tc>
          <w:tcPr>
            <w:tcW w:w="1446" w:type="pct"/>
            <w:vAlign w:val="center"/>
          </w:tcPr>
          <w:p w:rsidR="00A0736D" w:rsidRPr="00687B52" w:rsidRDefault="00A0736D" w:rsidP="003E1D2A">
            <w:pPr>
              <w:pStyle w:val="a7"/>
              <w:rPr>
                <w:color w:val="000000" w:themeColor="text1"/>
              </w:rPr>
            </w:pPr>
            <w:r w:rsidRPr="00687B52">
              <w:rPr>
                <w:rFonts w:hint="eastAsia"/>
                <w:color w:val="000000" w:themeColor="text1"/>
                <w:szCs w:val="20"/>
              </w:rPr>
              <w:t>《固定式钢梯及平台安全要求第三部分工业防护栏及钢平台》</w:t>
            </w:r>
            <w:r w:rsidRPr="00687B52">
              <w:rPr>
                <w:rFonts w:hint="eastAsia"/>
                <w:color w:val="000000" w:themeColor="text1"/>
                <w:szCs w:val="20"/>
              </w:rPr>
              <w:lastRenderedPageBreak/>
              <w:t>GB4053.3-2009</w:t>
            </w:r>
            <w:r w:rsidRPr="00687B52">
              <w:rPr>
                <w:rFonts w:hint="eastAsia"/>
                <w:color w:val="000000" w:themeColor="text1"/>
                <w:szCs w:val="20"/>
              </w:rPr>
              <w:t>第</w:t>
            </w:r>
            <w:r w:rsidRPr="00687B52">
              <w:rPr>
                <w:rFonts w:hint="eastAsia"/>
                <w:color w:val="000000" w:themeColor="text1"/>
                <w:szCs w:val="20"/>
              </w:rPr>
              <w:t>4.1.2</w:t>
            </w:r>
            <w:r w:rsidRPr="00687B52">
              <w:rPr>
                <w:rFonts w:hint="eastAsia"/>
                <w:color w:val="000000" w:themeColor="text1"/>
                <w:szCs w:val="20"/>
              </w:rPr>
              <w:t>条</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lastRenderedPageBreak/>
              <w:t>2.11</w:t>
            </w:r>
          </w:p>
        </w:tc>
        <w:tc>
          <w:tcPr>
            <w:tcW w:w="2287" w:type="pct"/>
            <w:vAlign w:val="center"/>
          </w:tcPr>
          <w:p w:rsidR="00A0736D" w:rsidRPr="00687B52" w:rsidRDefault="00A0736D" w:rsidP="003E1D2A">
            <w:pPr>
              <w:pStyle w:val="a7"/>
              <w:jc w:val="left"/>
              <w:rPr>
                <w:rFonts w:hAnsi="Times New Roman" w:cs="宋体"/>
                <w:color w:val="000000" w:themeColor="text1"/>
                <w:kern w:val="0"/>
              </w:rPr>
            </w:pPr>
            <w:r w:rsidRPr="00687B52">
              <w:rPr>
                <w:rFonts w:hAnsi="Times New Roman" w:cs="宋体" w:hint="eastAsia"/>
                <w:color w:val="000000" w:themeColor="text1"/>
                <w:kern w:val="0"/>
              </w:rPr>
              <w:t>防护栏杆及钢平台、</w:t>
            </w:r>
            <w:r w:rsidRPr="00687B52">
              <w:rPr>
                <w:rFonts w:hint="eastAsia"/>
                <w:color w:val="000000" w:themeColor="text1"/>
              </w:rPr>
              <w:t>钢斜梯、钢直梯</w:t>
            </w:r>
            <w:r w:rsidRPr="00687B52">
              <w:rPr>
                <w:rFonts w:hAnsi="Times New Roman" w:cs="宋体" w:hint="eastAsia"/>
                <w:color w:val="000000" w:themeColor="text1"/>
                <w:kern w:val="0"/>
              </w:rPr>
              <w:t>安装后，应对其至少涂一层底漆和一层（或多层）面漆或采用等效的防锈防腐涂装。</w:t>
            </w:r>
          </w:p>
        </w:tc>
        <w:tc>
          <w:tcPr>
            <w:tcW w:w="1446" w:type="pct"/>
            <w:vAlign w:val="center"/>
          </w:tcPr>
          <w:p w:rsidR="00A0736D" w:rsidRPr="00687B52" w:rsidRDefault="00A0736D" w:rsidP="003E1D2A">
            <w:pPr>
              <w:pStyle w:val="a7"/>
              <w:rPr>
                <w:color w:val="000000" w:themeColor="text1"/>
              </w:rPr>
            </w:pPr>
            <w:r w:rsidRPr="00687B52">
              <w:rPr>
                <w:rFonts w:hint="eastAsia"/>
                <w:color w:val="000000" w:themeColor="text1"/>
                <w:szCs w:val="20"/>
              </w:rPr>
              <w:t>《固定式钢梯及平台安全要求》</w:t>
            </w:r>
            <w:r w:rsidRPr="00687B52">
              <w:rPr>
                <w:rFonts w:hint="eastAsia"/>
                <w:color w:val="000000" w:themeColor="text1"/>
                <w:szCs w:val="20"/>
              </w:rPr>
              <w:t>GB4053-2009</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2.12</w:t>
            </w:r>
          </w:p>
        </w:tc>
        <w:tc>
          <w:tcPr>
            <w:tcW w:w="2287" w:type="pct"/>
            <w:vAlign w:val="center"/>
          </w:tcPr>
          <w:p w:rsidR="00A0736D" w:rsidRPr="00687B52" w:rsidRDefault="00A0736D" w:rsidP="008829DB">
            <w:pPr>
              <w:rPr>
                <w:rFonts w:ascii="Cambria" w:hAnsi="Cambria" w:cs="宋体"/>
                <w:color w:val="000000" w:themeColor="text1"/>
                <w:kern w:val="0"/>
                <w:sz w:val="24"/>
                <w:szCs w:val="24"/>
              </w:rPr>
            </w:pPr>
            <w:r w:rsidRPr="00687B52">
              <w:rPr>
                <w:rFonts w:ascii="Cambria" w:hAnsi="Cambria" w:cs="宋体" w:hint="eastAsia"/>
                <w:color w:val="000000" w:themeColor="text1"/>
                <w:kern w:val="0"/>
                <w:sz w:val="24"/>
                <w:szCs w:val="24"/>
              </w:rPr>
              <w:t>梯段高度大于</w:t>
            </w:r>
            <w:r w:rsidRPr="00687B52">
              <w:rPr>
                <w:rFonts w:ascii="Cambria" w:hAnsi="Cambria" w:cs="宋体" w:hint="eastAsia"/>
                <w:color w:val="000000" w:themeColor="text1"/>
                <w:kern w:val="0"/>
                <w:sz w:val="24"/>
                <w:szCs w:val="24"/>
              </w:rPr>
              <w:t>3m</w:t>
            </w:r>
            <w:r w:rsidRPr="00687B52">
              <w:rPr>
                <w:rFonts w:ascii="Cambria" w:hAnsi="Cambria" w:cs="宋体" w:hint="eastAsia"/>
                <w:color w:val="000000" w:themeColor="text1"/>
                <w:kern w:val="0"/>
                <w:sz w:val="24"/>
                <w:szCs w:val="24"/>
              </w:rPr>
              <w:t>时宜设置安全护笼。单梯段高度大于</w:t>
            </w:r>
            <w:r w:rsidRPr="00687B52">
              <w:rPr>
                <w:rFonts w:ascii="Cambria" w:hAnsi="Cambria" w:cs="宋体" w:hint="eastAsia"/>
                <w:color w:val="000000" w:themeColor="text1"/>
                <w:kern w:val="0"/>
                <w:sz w:val="24"/>
                <w:szCs w:val="24"/>
              </w:rPr>
              <w:t>7m</w:t>
            </w:r>
            <w:r w:rsidRPr="00687B52">
              <w:rPr>
                <w:rFonts w:ascii="Cambria" w:hAnsi="Cambria" w:cs="宋体" w:hint="eastAsia"/>
                <w:color w:val="000000" w:themeColor="text1"/>
                <w:kern w:val="0"/>
                <w:sz w:val="24"/>
                <w:szCs w:val="24"/>
              </w:rPr>
              <w:t>时，应设置安全护笼。当攀登高度小于</w:t>
            </w:r>
            <w:r w:rsidRPr="00687B52">
              <w:rPr>
                <w:rFonts w:ascii="Cambria" w:hAnsi="Cambria" w:cs="宋体" w:hint="eastAsia"/>
                <w:color w:val="000000" w:themeColor="text1"/>
                <w:kern w:val="0"/>
                <w:sz w:val="24"/>
                <w:szCs w:val="24"/>
              </w:rPr>
              <w:t>7m</w:t>
            </w:r>
            <w:r w:rsidRPr="00687B52">
              <w:rPr>
                <w:rFonts w:ascii="Cambria" w:hAnsi="Cambria" w:cs="宋体" w:hint="eastAsia"/>
                <w:color w:val="000000" w:themeColor="text1"/>
                <w:kern w:val="0"/>
                <w:sz w:val="24"/>
                <w:szCs w:val="24"/>
              </w:rPr>
              <w:t>时，但梯子顶部在地面、地板或屋顶之上高度大于</w:t>
            </w:r>
            <w:r w:rsidRPr="00687B52">
              <w:rPr>
                <w:rFonts w:ascii="Cambria" w:hAnsi="Cambria" w:cs="宋体" w:hint="eastAsia"/>
                <w:color w:val="000000" w:themeColor="text1"/>
                <w:kern w:val="0"/>
                <w:sz w:val="24"/>
                <w:szCs w:val="24"/>
              </w:rPr>
              <w:t>7m</w:t>
            </w:r>
            <w:r w:rsidRPr="00687B52">
              <w:rPr>
                <w:rFonts w:ascii="Cambria" w:hAnsi="Cambria" w:cs="宋体" w:hint="eastAsia"/>
                <w:color w:val="000000" w:themeColor="text1"/>
                <w:kern w:val="0"/>
                <w:sz w:val="24"/>
                <w:szCs w:val="24"/>
              </w:rPr>
              <w:t>时，也应设置安全护笼。</w:t>
            </w:r>
          </w:p>
        </w:tc>
        <w:tc>
          <w:tcPr>
            <w:tcW w:w="1446" w:type="pct"/>
            <w:vAlign w:val="center"/>
          </w:tcPr>
          <w:p w:rsidR="00A0736D" w:rsidRPr="00687B52" w:rsidRDefault="00A0736D" w:rsidP="008829DB">
            <w:pPr>
              <w:jc w:val="left"/>
              <w:rPr>
                <w:rFonts w:ascii="Cambria" w:hAnsi="Cambria"/>
                <w:color w:val="000000" w:themeColor="text1"/>
                <w:sz w:val="24"/>
                <w:szCs w:val="24"/>
              </w:rPr>
            </w:pPr>
            <w:r w:rsidRPr="00687B52">
              <w:rPr>
                <w:rFonts w:ascii="Cambria" w:hAnsi="Cambria"/>
                <w:color w:val="000000" w:themeColor="text1"/>
                <w:sz w:val="24"/>
                <w:szCs w:val="24"/>
              </w:rPr>
              <w:t>《固定式钢梯及平台安全要求第</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部分</w:t>
            </w:r>
            <w:r w:rsidRPr="00687B52">
              <w:rPr>
                <w:rFonts w:ascii="Cambria" w:hAnsi="Cambria" w:hint="eastAsia"/>
                <w:color w:val="000000" w:themeColor="text1"/>
                <w:sz w:val="24"/>
                <w:szCs w:val="24"/>
              </w:rPr>
              <w:t>钢直</w:t>
            </w:r>
            <w:r w:rsidRPr="00687B52">
              <w:rPr>
                <w:rFonts w:ascii="Cambria" w:hAnsi="Cambria"/>
                <w:color w:val="000000" w:themeColor="text1"/>
                <w:sz w:val="24"/>
                <w:szCs w:val="24"/>
              </w:rPr>
              <w:t>梯》</w:t>
            </w:r>
            <w:r w:rsidRPr="00687B52">
              <w:rPr>
                <w:rFonts w:ascii="Cambria" w:hAnsi="Cambria"/>
                <w:color w:val="000000" w:themeColor="text1"/>
                <w:sz w:val="24"/>
                <w:szCs w:val="24"/>
              </w:rPr>
              <w:t>GB4053.</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-2009</w:t>
            </w:r>
            <w:r w:rsidRPr="00687B52">
              <w:rPr>
                <w:rFonts w:ascii="Cambria" w:hAnsi="Cambria"/>
                <w:color w:val="000000" w:themeColor="text1"/>
                <w:sz w:val="24"/>
                <w:szCs w:val="24"/>
              </w:rPr>
              <w:t>第</w:t>
            </w:r>
            <w:r w:rsidRPr="00687B52">
              <w:rPr>
                <w:rFonts w:ascii="Cambria" w:hAnsi="Cambria" w:hint="eastAsia"/>
                <w:color w:val="000000" w:themeColor="text1"/>
                <w:sz w:val="24"/>
                <w:szCs w:val="24"/>
              </w:rPr>
              <w:t>5.3.2</w:t>
            </w:r>
            <w:r w:rsidRPr="00687B52">
              <w:rPr>
                <w:rFonts w:ascii="Cambria" w:hAnsi="Cambria"/>
                <w:color w:val="000000" w:themeColor="text1"/>
                <w:sz w:val="24"/>
                <w:szCs w:val="24"/>
              </w:rPr>
              <w:t>条</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2.13</w:t>
            </w:r>
          </w:p>
        </w:tc>
        <w:tc>
          <w:tcPr>
            <w:tcW w:w="2287" w:type="pct"/>
            <w:vAlign w:val="center"/>
          </w:tcPr>
          <w:p w:rsidR="00A0736D" w:rsidRPr="00687B52" w:rsidRDefault="00A0736D" w:rsidP="003E1D2A">
            <w:pPr>
              <w:pStyle w:val="a7"/>
              <w:jc w:val="left"/>
              <w:rPr>
                <w:rFonts w:hAnsi="Times New Roman" w:cs="宋体"/>
                <w:color w:val="000000" w:themeColor="text1"/>
                <w:kern w:val="0"/>
              </w:rPr>
            </w:pPr>
            <w:r w:rsidRPr="00687B52">
              <w:rPr>
                <w:rFonts w:hAnsi="Times New Roman" w:cs="宋体" w:hint="eastAsia"/>
                <w:color w:val="000000" w:themeColor="text1"/>
                <w:kern w:val="0"/>
              </w:rPr>
              <w:t>固定式钢斜梯与水平面的倾角应在</w:t>
            </w:r>
            <w:r w:rsidRPr="00687B52">
              <w:rPr>
                <w:rFonts w:hAnsi="Times New Roman" w:cs="宋体" w:hint="eastAsia"/>
                <w:color w:val="000000" w:themeColor="text1"/>
                <w:kern w:val="0"/>
              </w:rPr>
              <w:t>30</w:t>
            </w:r>
            <w:r w:rsidRPr="00687B52">
              <w:rPr>
                <w:rFonts w:hAnsi="Times New Roman" w:cs="宋体" w:hint="eastAsia"/>
                <w:color w:val="000000" w:themeColor="text1"/>
                <w:kern w:val="0"/>
              </w:rPr>
              <w:t>°</w:t>
            </w:r>
            <w:r w:rsidRPr="00687B52">
              <w:rPr>
                <w:rFonts w:hAnsi="Times New Roman" w:cs="宋体" w:hint="eastAsia"/>
                <w:color w:val="000000" w:themeColor="text1"/>
                <w:kern w:val="0"/>
              </w:rPr>
              <w:t>~75</w:t>
            </w:r>
            <w:r w:rsidRPr="00687B52">
              <w:rPr>
                <w:rFonts w:hAnsi="Times New Roman" w:cs="宋体" w:hint="eastAsia"/>
                <w:color w:val="000000" w:themeColor="text1"/>
                <w:kern w:val="0"/>
              </w:rPr>
              <w:t>°范围内。</w:t>
            </w:r>
          </w:p>
        </w:tc>
        <w:tc>
          <w:tcPr>
            <w:tcW w:w="1446" w:type="pct"/>
            <w:vAlign w:val="center"/>
          </w:tcPr>
          <w:p w:rsidR="00A0736D" w:rsidRPr="00687B52" w:rsidRDefault="00A0736D" w:rsidP="003E1D2A">
            <w:pPr>
              <w:pStyle w:val="a7"/>
              <w:rPr>
                <w:color w:val="000000" w:themeColor="text1"/>
              </w:rPr>
            </w:pPr>
            <w:r w:rsidRPr="00687B52">
              <w:rPr>
                <w:rFonts w:hint="eastAsia"/>
                <w:color w:val="000000" w:themeColor="text1"/>
                <w:szCs w:val="20"/>
              </w:rPr>
              <w:t>《固定式钢梯及平台安全要求第二部分钢斜梯》</w:t>
            </w:r>
            <w:r w:rsidRPr="00687B52">
              <w:rPr>
                <w:rFonts w:hint="eastAsia"/>
                <w:color w:val="000000" w:themeColor="text1"/>
                <w:szCs w:val="20"/>
              </w:rPr>
              <w:t>GB4053.2-2009</w:t>
            </w:r>
            <w:r w:rsidRPr="00687B52">
              <w:rPr>
                <w:rFonts w:hint="eastAsia"/>
                <w:color w:val="000000" w:themeColor="text1"/>
                <w:szCs w:val="20"/>
              </w:rPr>
              <w:t>第</w:t>
            </w:r>
            <w:r w:rsidRPr="00687B52">
              <w:rPr>
                <w:rFonts w:hint="eastAsia"/>
                <w:color w:val="000000" w:themeColor="text1"/>
                <w:szCs w:val="20"/>
              </w:rPr>
              <w:t>4.2.1</w:t>
            </w:r>
            <w:r w:rsidRPr="00687B52">
              <w:rPr>
                <w:rFonts w:hint="eastAsia"/>
                <w:color w:val="000000" w:themeColor="text1"/>
                <w:szCs w:val="20"/>
              </w:rPr>
              <w:t>条</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2.14</w:t>
            </w:r>
          </w:p>
        </w:tc>
        <w:tc>
          <w:tcPr>
            <w:tcW w:w="2287" w:type="pct"/>
            <w:vAlign w:val="center"/>
          </w:tcPr>
          <w:p w:rsidR="00A0736D" w:rsidRPr="00687B52" w:rsidRDefault="00A0736D" w:rsidP="003E1D2A">
            <w:pPr>
              <w:pStyle w:val="a7"/>
              <w:jc w:val="left"/>
              <w:rPr>
                <w:color w:val="000000" w:themeColor="text1"/>
              </w:rPr>
            </w:pPr>
            <w:r w:rsidRPr="00687B52">
              <w:rPr>
                <w:color w:val="000000" w:themeColor="text1"/>
              </w:rPr>
              <w:t>企业应办理机动车辆进入生产装置区、罐区现场相关手续，机动车辆应佩戴标准阻火器、按指定线路行驶。</w:t>
            </w:r>
          </w:p>
        </w:tc>
        <w:tc>
          <w:tcPr>
            <w:tcW w:w="1446" w:type="pct"/>
            <w:vAlign w:val="center"/>
          </w:tcPr>
          <w:p w:rsidR="00A0736D" w:rsidRPr="00687B52" w:rsidRDefault="00A0736D" w:rsidP="003E1D2A">
            <w:pPr>
              <w:pStyle w:val="a7"/>
              <w:rPr>
                <w:color w:val="000000" w:themeColor="text1"/>
              </w:rPr>
            </w:pPr>
            <w:r w:rsidRPr="00687B52">
              <w:rPr>
                <w:rFonts w:hint="eastAsia"/>
                <w:color w:val="000000" w:themeColor="text1"/>
              </w:rPr>
              <w:t>《危险化学品从业单位安全标准化通用规范》</w:t>
            </w:r>
            <w:r w:rsidRPr="00687B52">
              <w:rPr>
                <w:rFonts w:hint="eastAsia"/>
                <w:color w:val="000000" w:themeColor="text1"/>
              </w:rPr>
              <w:t>AQ3013-2008</w:t>
            </w:r>
            <w:r w:rsidRPr="00687B52">
              <w:rPr>
                <w:rFonts w:hint="eastAsia"/>
                <w:color w:val="000000" w:themeColor="text1"/>
              </w:rPr>
              <w:t>第</w:t>
            </w:r>
            <w:r w:rsidRPr="00687B52">
              <w:rPr>
                <w:rFonts w:hint="eastAsia"/>
                <w:color w:val="000000" w:themeColor="text1"/>
              </w:rPr>
              <w:t>5.6.3.7</w:t>
            </w:r>
            <w:r w:rsidRPr="00687B52">
              <w:rPr>
                <w:rFonts w:hint="eastAsia"/>
                <w:color w:val="000000" w:themeColor="text1"/>
              </w:rPr>
              <w:t>条</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2.15</w:t>
            </w:r>
          </w:p>
        </w:tc>
        <w:tc>
          <w:tcPr>
            <w:tcW w:w="2287" w:type="pct"/>
            <w:vAlign w:val="center"/>
          </w:tcPr>
          <w:p w:rsidR="00A0736D" w:rsidRPr="00687B52" w:rsidRDefault="00A0736D" w:rsidP="003E1D2A">
            <w:pPr>
              <w:pStyle w:val="a7"/>
              <w:jc w:val="left"/>
              <w:rPr>
                <w:color w:val="000000" w:themeColor="text1"/>
              </w:rPr>
            </w:pPr>
            <w:r w:rsidRPr="00687B52">
              <w:rPr>
                <w:color w:val="000000" w:themeColor="text1"/>
              </w:rPr>
              <w:t>生产设备上供人员作业的工作位置，应安全可靠。其工作空间应保证操作人员的头、臂、手、腿、足有充分的活动余地。危险作业点，应留有足够的退避空间。</w:t>
            </w:r>
          </w:p>
        </w:tc>
        <w:tc>
          <w:tcPr>
            <w:tcW w:w="1446" w:type="pct"/>
            <w:vAlign w:val="center"/>
          </w:tcPr>
          <w:p w:rsidR="00A0736D" w:rsidRPr="00687B52" w:rsidRDefault="00A0736D" w:rsidP="003E1D2A">
            <w:pPr>
              <w:pStyle w:val="a7"/>
              <w:rPr>
                <w:color w:val="000000" w:themeColor="text1"/>
              </w:rPr>
            </w:pPr>
            <w:r w:rsidRPr="00687B52">
              <w:rPr>
                <w:rFonts w:hint="eastAsia"/>
                <w:color w:val="000000" w:themeColor="text1"/>
              </w:rPr>
              <w:t>《生产设备安全卫生设计总则》</w:t>
            </w:r>
          </w:p>
          <w:p w:rsidR="00A0736D" w:rsidRPr="00687B52" w:rsidRDefault="00A0736D" w:rsidP="003E1D2A">
            <w:pPr>
              <w:pStyle w:val="a7"/>
              <w:rPr>
                <w:color w:val="000000" w:themeColor="text1"/>
              </w:rPr>
            </w:pPr>
            <w:r w:rsidRPr="00687B52">
              <w:rPr>
                <w:color w:val="000000" w:themeColor="text1"/>
              </w:rPr>
              <w:t>GB5083-1999</w:t>
            </w:r>
            <w:r w:rsidRPr="00687B52">
              <w:rPr>
                <w:rFonts w:hint="eastAsia"/>
                <w:color w:val="000000" w:themeColor="text1"/>
              </w:rPr>
              <w:t>第</w:t>
            </w:r>
            <w:r w:rsidRPr="00687B52">
              <w:rPr>
                <w:rFonts w:hint="eastAsia"/>
                <w:color w:val="000000" w:themeColor="text1"/>
              </w:rPr>
              <w:t>2.7</w:t>
            </w:r>
            <w:r w:rsidRPr="00687B52">
              <w:rPr>
                <w:rFonts w:hint="eastAsia"/>
                <w:color w:val="000000" w:themeColor="text1"/>
              </w:rPr>
              <w:t>条</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2.16</w:t>
            </w:r>
          </w:p>
        </w:tc>
        <w:tc>
          <w:tcPr>
            <w:tcW w:w="2287" w:type="pct"/>
            <w:vAlign w:val="center"/>
          </w:tcPr>
          <w:p w:rsidR="00A0736D" w:rsidRPr="00687B52" w:rsidRDefault="00A0736D" w:rsidP="003E1D2A">
            <w:pPr>
              <w:pStyle w:val="a7"/>
              <w:jc w:val="left"/>
              <w:rPr>
                <w:color w:val="000000" w:themeColor="text1"/>
              </w:rPr>
            </w:pPr>
            <w:r w:rsidRPr="00687B52">
              <w:rPr>
                <w:rFonts w:hint="eastAsia"/>
                <w:color w:val="000000" w:themeColor="text1"/>
              </w:rPr>
              <w:t>对于运动传递部件，如皮带轮、皮带、齿轮、导轨、齿杆、传动轴产生的危险的防护，应采用固定式防护装置或活动式联锁防护装置。</w:t>
            </w:r>
            <w:r w:rsidRPr="00687B52">
              <w:rPr>
                <w:rFonts w:hint="eastAsia"/>
                <w:color w:val="000000" w:themeColor="text1"/>
              </w:rPr>
              <w:tab/>
            </w:r>
          </w:p>
        </w:tc>
        <w:tc>
          <w:tcPr>
            <w:tcW w:w="1446" w:type="pct"/>
            <w:vAlign w:val="center"/>
          </w:tcPr>
          <w:p w:rsidR="00A0736D" w:rsidRPr="00687B52" w:rsidRDefault="00A0736D" w:rsidP="003E1D2A">
            <w:pPr>
              <w:pStyle w:val="a7"/>
              <w:jc w:val="left"/>
              <w:rPr>
                <w:color w:val="000000" w:themeColor="text1"/>
              </w:rPr>
            </w:pPr>
            <w:r w:rsidRPr="00687B52">
              <w:rPr>
                <w:rFonts w:hint="eastAsia"/>
                <w:color w:val="000000" w:themeColor="text1"/>
              </w:rPr>
              <w:t>《机械安全防护装置固定式和活动式防护装置设计与制造一般要求》</w:t>
            </w:r>
            <w:r w:rsidRPr="00687B52">
              <w:rPr>
                <w:rFonts w:hint="eastAsia"/>
                <w:color w:val="000000" w:themeColor="text1"/>
              </w:rPr>
              <w:t>GB/T8196-2003</w:t>
            </w:r>
            <w:r w:rsidRPr="00687B52">
              <w:rPr>
                <w:rFonts w:hint="eastAsia"/>
                <w:color w:val="000000" w:themeColor="text1"/>
              </w:rPr>
              <w:t>第</w:t>
            </w:r>
            <w:r w:rsidRPr="00687B52">
              <w:rPr>
                <w:rFonts w:hint="eastAsia"/>
                <w:color w:val="000000" w:themeColor="text1"/>
              </w:rPr>
              <w:t>6.4.1</w:t>
            </w:r>
            <w:r w:rsidRPr="00687B52">
              <w:rPr>
                <w:rFonts w:hint="eastAsia"/>
                <w:color w:val="000000" w:themeColor="text1"/>
              </w:rPr>
              <w:t>条</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2.17</w:t>
            </w:r>
          </w:p>
        </w:tc>
        <w:tc>
          <w:tcPr>
            <w:tcW w:w="2287" w:type="pct"/>
            <w:vAlign w:val="center"/>
          </w:tcPr>
          <w:p w:rsidR="00A0736D" w:rsidRPr="00687B52" w:rsidRDefault="00A0736D" w:rsidP="003E1D2A">
            <w:pPr>
              <w:pStyle w:val="a7"/>
              <w:jc w:val="left"/>
              <w:rPr>
                <w:color w:val="000000" w:themeColor="text1"/>
              </w:rPr>
            </w:pPr>
            <w:r w:rsidRPr="00687B52">
              <w:rPr>
                <w:color w:val="000000" w:themeColor="text1"/>
              </w:rPr>
              <w:t>生产设备必须保证操作点和操作区域有充足的照度。但要消除各种频闪效应和眩光现象。</w:t>
            </w:r>
          </w:p>
        </w:tc>
        <w:tc>
          <w:tcPr>
            <w:tcW w:w="1446" w:type="pct"/>
            <w:vAlign w:val="center"/>
          </w:tcPr>
          <w:p w:rsidR="00A0736D" w:rsidRPr="00687B52" w:rsidRDefault="00A0736D" w:rsidP="003E1D2A">
            <w:pPr>
              <w:pStyle w:val="a7"/>
              <w:rPr>
                <w:color w:val="000000" w:themeColor="text1"/>
              </w:rPr>
            </w:pPr>
            <w:r w:rsidRPr="00687B52">
              <w:rPr>
                <w:rFonts w:hint="eastAsia"/>
                <w:color w:val="000000" w:themeColor="text1"/>
              </w:rPr>
              <w:t>《生产设备安全卫生设计总则》</w:t>
            </w:r>
          </w:p>
          <w:p w:rsidR="00A0736D" w:rsidRPr="00687B52" w:rsidRDefault="00A0736D" w:rsidP="003E1D2A">
            <w:pPr>
              <w:pStyle w:val="a7"/>
              <w:rPr>
                <w:color w:val="000000" w:themeColor="text1"/>
              </w:rPr>
            </w:pPr>
            <w:r w:rsidRPr="00687B52">
              <w:rPr>
                <w:color w:val="000000" w:themeColor="text1"/>
              </w:rPr>
              <w:t>GB5083-1999</w:t>
            </w:r>
            <w:r w:rsidRPr="00687B52">
              <w:rPr>
                <w:rFonts w:hint="eastAsia"/>
                <w:color w:val="000000" w:themeColor="text1"/>
              </w:rPr>
              <w:t>第</w:t>
            </w:r>
            <w:r w:rsidRPr="00687B52">
              <w:rPr>
                <w:rFonts w:hint="eastAsia"/>
                <w:color w:val="000000" w:themeColor="text1"/>
              </w:rPr>
              <w:t>2.8.1</w:t>
            </w:r>
            <w:r w:rsidRPr="00687B52">
              <w:rPr>
                <w:rFonts w:hint="eastAsia"/>
                <w:color w:val="000000" w:themeColor="text1"/>
              </w:rPr>
              <w:t>条</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2.18</w:t>
            </w:r>
          </w:p>
        </w:tc>
        <w:tc>
          <w:tcPr>
            <w:tcW w:w="2287" w:type="pct"/>
            <w:vAlign w:val="center"/>
          </w:tcPr>
          <w:p w:rsidR="00A0736D" w:rsidRPr="00687B52" w:rsidRDefault="00A0736D" w:rsidP="00E47CA4">
            <w:pPr>
              <w:pStyle w:val="a7"/>
              <w:tabs>
                <w:tab w:val="left" w:pos="2854"/>
              </w:tabs>
              <w:jc w:val="left"/>
              <w:rPr>
                <w:color w:val="000000" w:themeColor="text1"/>
              </w:rPr>
            </w:pPr>
            <w:r w:rsidRPr="00687B52">
              <w:rPr>
                <w:rFonts w:hint="eastAsia"/>
                <w:color w:val="000000" w:themeColor="text1"/>
              </w:rPr>
              <w:t>设备的外表面温度在</w:t>
            </w:r>
            <w:r w:rsidRPr="00687B52">
              <w:rPr>
                <w:rFonts w:hint="eastAsia"/>
                <w:color w:val="000000" w:themeColor="text1"/>
              </w:rPr>
              <w:t>50</w:t>
            </w:r>
            <w:r w:rsidRPr="00687B52">
              <w:rPr>
                <w:rFonts w:hint="eastAsia"/>
                <w:color w:val="000000" w:themeColor="text1"/>
              </w:rPr>
              <w:t>～</w:t>
            </w:r>
            <w:r w:rsidRPr="00687B52">
              <w:rPr>
                <w:rFonts w:hint="eastAsia"/>
                <w:color w:val="000000" w:themeColor="text1"/>
              </w:rPr>
              <w:t>850</w:t>
            </w:r>
            <w:r w:rsidRPr="00687B52">
              <w:rPr>
                <w:rFonts w:hint="eastAsia"/>
                <w:color w:val="000000" w:themeColor="text1"/>
              </w:rPr>
              <w:t>℃时，除工艺有散热要求外，均应设置绝热层，且保护层必须采用不燃材料。</w:t>
            </w:r>
            <w:r w:rsidRPr="00687B52">
              <w:rPr>
                <w:rFonts w:hint="eastAsia"/>
                <w:color w:val="000000" w:themeColor="text1"/>
              </w:rPr>
              <w:tab/>
            </w:r>
          </w:p>
        </w:tc>
        <w:tc>
          <w:tcPr>
            <w:tcW w:w="1446" w:type="pct"/>
            <w:vAlign w:val="center"/>
          </w:tcPr>
          <w:p w:rsidR="00A0736D" w:rsidRPr="00687B52" w:rsidRDefault="00A0736D" w:rsidP="003E1D2A">
            <w:pPr>
              <w:pStyle w:val="a7"/>
              <w:rPr>
                <w:color w:val="000000" w:themeColor="text1"/>
              </w:rPr>
            </w:pPr>
            <w:r w:rsidRPr="00687B52">
              <w:rPr>
                <w:rFonts w:hint="eastAsia"/>
                <w:color w:val="000000" w:themeColor="text1"/>
              </w:rPr>
              <w:t>《工业设备及管道绝热工程设计规范》</w:t>
            </w:r>
            <w:r w:rsidRPr="00687B52">
              <w:rPr>
                <w:color w:val="000000" w:themeColor="text1"/>
              </w:rPr>
              <w:t>GB 50264-2013</w:t>
            </w:r>
          </w:p>
          <w:p w:rsidR="00A0736D" w:rsidRPr="00687B52" w:rsidRDefault="00A0736D" w:rsidP="003E1D2A">
            <w:pPr>
              <w:pStyle w:val="a7"/>
              <w:rPr>
                <w:color w:val="000000" w:themeColor="text1"/>
              </w:rPr>
            </w:pPr>
            <w:r w:rsidRPr="00687B52">
              <w:rPr>
                <w:rFonts w:hint="eastAsia"/>
                <w:color w:val="000000" w:themeColor="text1"/>
              </w:rPr>
              <w:t>第</w:t>
            </w:r>
            <w:r w:rsidRPr="00687B52">
              <w:rPr>
                <w:rFonts w:hint="eastAsia"/>
                <w:color w:val="000000" w:themeColor="text1"/>
              </w:rPr>
              <w:t>5.2.1</w:t>
            </w:r>
            <w:r w:rsidRPr="00687B52">
              <w:rPr>
                <w:rFonts w:hint="eastAsia"/>
                <w:color w:val="000000" w:themeColor="text1"/>
              </w:rPr>
              <w:t>条</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2.19</w:t>
            </w:r>
          </w:p>
        </w:tc>
        <w:tc>
          <w:tcPr>
            <w:tcW w:w="2287" w:type="pct"/>
            <w:vAlign w:val="center"/>
          </w:tcPr>
          <w:p w:rsidR="00A0736D" w:rsidRPr="00687B52" w:rsidRDefault="00A0736D" w:rsidP="003E1D2A">
            <w:pPr>
              <w:pStyle w:val="a7"/>
              <w:jc w:val="left"/>
              <w:rPr>
                <w:color w:val="000000" w:themeColor="text1"/>
              </w:rPr>
            </w:pPr>
            <w:r w:rsidRPr="00687B52">
              <w:rPr>
                <w:rFonts w:hint="eastAsia"/>
                <w:color w:val="000000" w:themeColor="text1"/>
              </w:rPr>
              <w:t>输送危险物料的管道应按标准涂色、标明流向和阀门开关</w:t>
            </w:r>
            <w:r w:rsidRPr="00687B52">
              <w:rPr>
                <w:rFonts w:hint="eastAsia"/>
                <w:color w:val="000000" w:themeColor="text1"/>
              </w:rPr>
              <w:lastRenderedPageBreak/>
              <w:t>方向。</w:t>
            </w:r>
          </w:p>
        </w:tc>
        <w:tc>
          <w:tcPr>
            <w:tcW w:w="1446" w:type="pct"/>
            <w:vAlign w:val="center"/>
          </w:tcPr>
          <w:p w:rsidR="00A0736D" w:rsidRPr="00687B52" w:rsidRDefault="00A0736D" w:rsidP="003E1D2A">
            <w:pPr>
              <w:pStyle w:val="a7"/>
              <w:rPr>
                <w:color w:val="000000" w:themeColor="text1"/>
              </w:rPr>
            </w:pPr>
            <w:r w:rsidRPr="00687B52">
              <w:rPr>
                <w:rFonts w:hint="eastAsia"/>
                <w:color w:val="000000" w:themeColor="text1"/>
              </w:rPr>
              <w:lastRenderedPageBreak/>
              <w:t>《工业管道的基本识别色、识别符</w:t>
            </w:r>
            <w:r w:rsidRPr="00687B52">
              <w:rPr>
                <w:rFonts w:hint="eastAsia"/>
                <w:color w:val="000000" w:themeColor="text1"/>
              </w:rPr>
              <w:lastRenderedPageBreak/>
              <w:t>号和安全标识》</w:t>
            </w:r>
            <w:r w:rsidRPr="00687B52">
              <w:rPr>
                <w:rFonts w:hint="eastAsia"/>
                <w:color w:val="000000" w:themeColor="text1"/>
              </w:rPr>
              <w:t>GB 7231-2003</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lastRenderedPageBreak/>
              <w:t>2.20</w:t>
            </w:r>
          </w:p>
        </w:tc>
        <w:tc>
          <w:tcPr>
            <w:tcW w:w="2287" w:type="pct"/>
            <w:vAlign w:val="center"/>
          </w:tcPr>
          <w:p w:rsidR="00A0736D" w:rsidRPr="00687B52" w:rsidRDefault="00A0736D" w:rsidP="003E1D2A">
            <w:pPr>
              <w:pStyle w:val="a7"/>
              <w:jc w:val="left"/>
              <w:rPr>
                <w:color w:val="000000" w:themeColor="text1"/>
              </w:rPr>
            </w:pPr>
            <w:r w:rsidRPr="00687B52">
              <w:rPr>
                <w:rFonts w:hint="eastAsia"/>
                <w:color w:val="000000" w:themeColor="text1"/>
              </w:rPr>
              <w:t>生产或使用剧毒或高毒物质的高风险工业企业应设置紧急救援站或有毒气体防护站。</w:t>
            </w:r>
          </w:p>
        </w:tc>
        <w:tc>
          <w:tcPr>
            <w:tcW w:w="1446" w:type="pct"/>
            <w:vAlign w:val="center"/>
          </w:tcPr>
          <w:p w:rsidR="00A0736D" w:rsidRPr="00687B52" w:rsidRDefault="00A0736D" w:rsidP="003E1D2A">
            <w:pPr>
              <w:pStyle w:val="a7"/>
              <w:rPr>
                <w:color w:val="000000" w:themeColor="text1"/>
              </w:rPr>
            </w:pPr>
            <w:r w:rsidRPr="00687B52">
              <w:rPr>
                <w:rFonts w:hint="eastAsia"/>
                <w:color w:val="000000" w:themeColor="text1"/>
              </w:rPr>
              <w:t>《工业企业设计卫生标准》</w:t>
            </w:r>
            <w:r w:rsidRPr="00687B52">
              <w:rPr>
                <w:rFonts w:hint="eastAsia"/>
                <w:color w:val="000000" w:themeColor="text1"/>
              </w:rPr>
              <w:t>GBZ1-2010</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2.21</w:t>
            </w:r>
          </w:p>
        </w:tc>
        <w:tc>
          <w:tcPr>
            <w:tcW w:w="2287" w:type="pct"/>
            <w:vAlign w:val="center"/>
          </w:tcPr>
          <w:p w:rsidR="00A0736D" w:rsidRPr="00687B52" w:rsidRDefault="00A0736D" w:rsidP="003E1D2A">
            <w:pPr>
              <w:pStyle w:val="a7"/>
              <w:jc w:val="left"/>
              <w:rPr>
                <w:color w:val="000000" w:themeColor="text1"/>
              </w:rPr>
            </w:pPr>
            <w:r w:rsidRPr="00687B52">
              <w:rPr>
                <w:rFonts w:hint="eastAsia"/>
                <w:color w:val="000000" w:themeColor="text1"/>
              </w:rPr>
              <w:t>严禁将火种带入易燃易爆场所或存在脱岗、睡岗、酒后上岗行为。</w:t>
            </w:r>
          </w:p>
        </w:tc>
        <w:tc>
          <w:tcPr>
            <w:tcW w:w="1446" w:type="pct"/>
            <w:vAlign w:val="center"/>
          </w:tcPr>
          <w:p w:rsidR="00A0736D" w:rsidRPr="00687B52" w:rsidRDefault="00A0736D" w:rsidP="003E1D2A">
            <w:pPr>
              <w:pStyle w:val="a7"/>
              <w:rPr>
                <w:color w:val="000000" w:themeColor="text1"/>
              </w:rPr>
            </w:pPr>
            <w:r w:rsidRPr="00687B52">
              <w:rPr>
                <w:rFonts w:hint="eastAsia"/>
                <w:color w:val="000000" w:themeColor="text1"/>
              </w:rPr>
              <w:t>《化工（危险化学品）企业安全检查重点指导目录》</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2.22</w:t>
            </w:r>
          </w:p>
        </w:tc>
        <w:tc>
          <w:tcPr>
            <w:tcW w:w="2287" w:type="pct"/>
            <w:vAlign w:val="center"/>
          </w:tcPr>
          <w:p w:rsidR="00A0736D" w:rsidRPr="00687B52" w:rsidRDefault="00A0736D" w:rsidP="003E1D2A">
            <w:pPr>
              <w:pStyle w:val="a7"/>
              <w:jc w:val="left"/>
              <w:rPr>
                <w:color w:val="000000" w:themeColor="text1"/>
              </w:rPr>
            </w:pPr>
            <w:r w:rsidRPr="00687B52">
              <w:rPr>
                <w:rFonts w:hint="eastAsia"/>
                <w:color w:val="000000" w:themeColor="text1"/>
              </w:rPr>
              <w:t>氧气瓶和乙炔气瓶使用时应分开至少保持</w:t>
            </w:r>
            <w:r w:rsidRPr="00687B52">
              <w:rPr>
                <w:rFonts w:hint="eastAsia"/>
                <w:color w:val="000000" w:themeColor="text1"/>
              </w:rPr>
              <w:t>5m</w:t>
            </w:r>
            <w:r w:rsidRPr="00687B52">
              <w:rPr>
                <w:rFonts w:hint="eastAsia"/>
                <w:color w:val="000000" w:themeColor="text1"/>
              </w:rPr>
              <w:t>间距，且距明火</w:t>
            </w:r>
            <w:r w:rsidRPr="00687B52">
              <w:rPr>
                <w:rFonts w:hint="eastAsia"/>
                <w:color w:val="000000" w:themeColor="text1"/>
              </w:rPr>
              <w:t>10m</w:t>
            </w:r>
            <w:r w:rsidRPr="00687B52">
              <w:rPr>
                <w:rFonts w:hint="eastAsia"/>
                <w:color w:val="000000" w:themeColor="text1"/>
              </w:rPr>
              <w:t>以外。盛装易发生聚合反应或分解反应气体的气瓶，如乙炔气瓶，应避开放射源。</w:t>
            </w:r>
          </w:p>
        </w:tc>
        <w:tc>
          <w:tcPr>
            <w:tcW w:w="1446" w:type="pct"/>
            <w:vAlign w:val="center"/>
          </w:tcPr>
          <w:p w:rsidR="00A0736D" w:rsidRPr="00687B52" w:rsidRDefault="00A0736D" w:rsidP="003E1D2A">
            <w:pPr>
              <w:pStyle w:val="a7"/>
              <w:rPr>
                <w:color w:val="000000" w:themeColor="text1"/>
              </w:rPr>
            </w:pPr>
            <w:r w:rsidRPr="00687B52">
              <w:rPr>
                <w:rFonts w:hint="eastAsia"/>
                <w:color w:val="000000" w:themeColor="text1"/>
              </w:rPr>
              <w:t>《气瓶使用安全管理规范》</w:t>
            </w:r>
            <w:r w:rsidRPr="00687B52">
              <w:rPr>
                <w:rFonts w:hint="eastAsia"/>
                <w:color w:val="000000" w:themeColor="text1"/>
              </w:rPr>
              <w:t>Q/SY1365-2011</w:t>
            </w:r>
            <w:r w:rsidRPr="00687B52">
              <w:rPr>
                <w:rFonts w:hint="eastAsia"/>
                <w:color w:val="000000" w:themeColor="text1"/>
              </w:rPr>
              <w:t>第</w:t>
            </w:r>
            <w:r w:rsidRPr="00687B52">
              <w:rPr>
                <w:rFonts w:hint="eastAsia"/>
                <w:color w:val="000000" w:themeColor="text1"/>
              </w:rPr>
              <w:t>4.3.4</w:t>
            </w:r>
            <w:r w:rsidRPr="00687B52">
              <w:rPr>
                <w:rFonts w:hint="eastAsia"/>
                <w:color w:val="000000" w:themeColor="text1"/>
              </w:rPr>
              <w:t>条</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2.23</w:t>
            </w:r>
          </w:p>
        </w:tc>
        <w:tc>
          <w:tcPr>
            <w:tcW w:w="2287" w:type="pct"/>
            <w:vAlign w:val="center"/>
          </w:tcPr>
          <w:p w:rsidR="00A0736D" w:rsidRPr="00687B52" w:rsidRDefault="00A0736D" w:rsidP="003E1D2A">
            <w:pPr>
              <w:pStyle w:val="a7"/>
              <w:jc w:val="left"/>
              <w:rPr>
                <w:color w:val="000000" w:themeColor="text1"/>
              </w:rPr>
            </w:pPr>
            <w:r w:rsidRPr="00687B52">
              <w:rPr>
                <w:color w:val="000000" w:themeColor="text1"/>
              </w:rPr>
              <w:t>企业应保持作业环境整洁</w:t>
            </w:r>
            <w:r w:rsidRPr="00687B52">
              <w:rPr>
                <w:rFonts w:hint="eastAsia"/>
                <w:color w:val="000000" w:themeColor="text1"/>
              </w:rPr>
              <w:t>。</w:t>
            </w:r>
          </w:p>
        </w:tc>
        <w:tc>
          <w:tcPr>
            <w:tcW w:w="1446" w:type="pct"/>
            <w:vAlign w:val="center"/>
          </w:tcPr>
          <w:p w:rsidR="00A0736D" w:rsidRPr="00687B52" w:rsidRDefault="00A0736D" w:rsidP="003E1D2A">
            <w:pPr>
              <w:pStyle w:val="a7"/>
              <w:rPr>
                <w:color w:val="000000" w:themeColor="text1"/>
                <w:szCs w:val="24"/>
              </w:rPr>
            </w:pPr>
            <w:r w:rsidRPr="00687B52">
              <w:rPr>
                <w:rFonts w:hint="eastAsia"/>
                <w:color w:val="000000" w:themeColor="text1"/>
              </w:rPr>
              <w:t>《危险化学品从业单位安全标准化通用规范》</w:t>
            </w:r>
            <w:r w:rsidRPr="00687B52">
              <w:rPr>
                <w:rFonts w:hint="eastAsia"/>
                <w:color w:val="000000" w:themeColor="text1"/>
              </w:rPr>
              <w:t>AQ3013-2008</w:t>
            </w:r>
            <w:r w:rsidRPr="00687B52">
              <w:rPr>
                <w:rFonts w:hint="eastAsia"/>
                <w:color w:val="000000" w:themeColor="text1"/>
              </w:rPr>
              <w:t>第</w:t>
            </w:r>
            <w:r w:rsidRPr="00687B52">
              <w:rPr>
                <w:rFonts w:hint="eastAsia"/>
                <w:color w:val="000000" w:themeColor="text1"/>
              </w:rPr>
              <w:t>5.6.3.5</w:t>
            </w:r>
            <w:r w:rsidRPr="00687B52">
              <w:rPr>
                <w:rFonts w:hint="eastAsia"/>
                <w:color w:val="000000" w:themeColor="text1"/>
              </w:rPr>
              <w:t>条</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2.24</w:t>
            </w:r>
          </w:p>
        </w:tc>
        <w:tc>
          <w:tcPr>
            <w:tcW w:w="2287" w:type="pct"/>
            <w:vAlign w:val="center"/>
          </w:tcPr>
          <w:p w:rsidR="00A0736D" w:rsidRPr="00687B52" w:rsidRDefault="00A0736D" w:rsidP="003E1D2A">
            <w:pPr>
              <w:pStyle w:val="a7"/>
              <w:jc w:val="left"/>
              <w:rPr>
                <w:color w:val="000000" w:themeColor="text1"/>
              </w:rPr>
            </w:pPr>
            <w:r w:rsidRPr="00687B52">
              <w:rPr>
                <w:rFonts w:hint="eastAsia"/>
                <w:color w:val="000000" w:themeColor="text1"/>
              </w:rPr>
              <w:t>跨越道路上空架设管线距路面的最小净高不得小于</w:t>
            </w:r>
            <w:r w:rsidRPr="00687B52">
              <w:rPr>
                <w:rFonts w:hint="eastAsia"/>
                <w:color w:val="000000" w:themeColor="text1"/>
              </w:rPr>
              <w:t>5 m</w:t>
            </w:r>
            <w:r w:rsidRPr="00687B52">
              <w:rPr>
                <w:rFonts w:hint="eastAsia"/>
                <w:color w:val="000000" w:themeColor="text1"/>
              </w:rPr>
              <w:t>，现有低于</w:t>
            </w:r>
            <w:r w:rsidRPr="00687B52">
              <w:rPr>
                <w:rFonts w:hint="eastAsia"/>
                <w:color w:val="000000" w:themeColor="text1"/>
              </w:rPr>
              <w:t>5 m</w:t>
            </w:r>
            <w:r w:rsidRPr="00687B52">
              <w:rPr>
                <w:rFonts w:hint="eastAsia"/>
                <w:color w:val="000000" w:themeColor="text1"/>
              </w:rPr>
              <w:t>的管线在改、扩建时应予以解决。</w:t>
            </w:r>
          </w:p>
          <w:p w:rsidR="00A0736D" w:rsidRPr="00687B52" w:rsidRDefault="00A0736D" w:rsidP="003E1D2A">
            <w:pPr>
              <w:pStyle w:val="a7"/>
              <w:jc w:val="left"/>
              <w:rPr>
                <w:color w:val="000000" w:themeColor="text1"/>
              </w:rPr>
            </w:pPr>
            <w:r w:rsidRPr="00687B52">
              <w:rPr>
                <w:rFonts w:hint="eastAsia"/>
                <w:color w:val="000000" w:themeColor="text1"/>
              </w:rPr>
              <w:t>跨越道路上空的建（构）筑物（含桥梁、隧道等）距路面的最小净高，应按行驶车辆的最大高度或车辆装载物料后的最大高度另加</w:t>
            </w:r>
            <w:r w:rsidRPr="00687B52">
              <w:rPr>
                <w:rFonts w:hint="eastAsia"/>
                <w:color w:val="000000" w:themeColor="text1"/>
              </w:rPr>
              <w:t>0. 5m</w:t>
            </w:r>
            <w:r w:rsidRPr="00687B52">
              <w:rPr>
                <w:rFonts w:hint="eastAsia"/>
                <w:color w:val="000000" w:themeColor="text1"/>
              </w:rPr>
              <w:t>～</w:t>
            </w:r>
            <w:r w:rsidRPr="00687B52">
              <w:rPr>
                <w:rFonts w:hint="eastAsia"/>
                <w:color w:val="000000" w:themeColor="text1"/>
              </w:rPr>
              <w:t>1 m</w:t>
            </w:r>
            <w:r w:rsidRPr="00687B52">
              <w:rPr>
                <w:rFonts w:hint="eastAsia"/>
                <w:color w:val="000000" w:themeColor="text1"/>
              </w:rPr>
              <w:t>的安全间距采用，并不宜小于</w:t>
            </w:r>
            <w:r w:rsidRPr="00687B52">
              <w:rPr>
                <w:rFonts w:hint="eastAsia"/>
                <w:color w:val="000000" w:themeColor="text1"/>
              </w:rPr>
              <w:t>5m</w:t>
            </w:r>
            <w:r w:rsidRPr="00687B52">
              <w:rPr>
                <w:rFonts w:hint="eastAsia"/>
                <w:color w:val="000000" w:themeColor="text1"/>
              </w:rPr>
              <w:t>。如足够依据确保安全通行时，净空高度可小于</w:t>
            </w:r>
            <w:r w:rsidRPr="00687B52">
              <w:rPr>
                <w:rFonts w:hint="eastAsia"/>
                <w:color w:val="000000" w:themeColor="text1"/>
              </w:rPr>
              <w:t xml:space="preserve"> 5 rn</w:t>
            </w:r>
            <w:r w:rsidRPr="00687B52">
              <w:rPr>
                <w:rFonts w:hint="eastAsia"/>
                <w:color w:val="000000" w:themeColor="text1"/>
              </w:rPr>
              <w:t>，但不得小于</w:t>
            </w:r>
            <w:r w:rsidRPr="00687B52">
              <w:rPr>
                <w:rFonts w:hint="eastAsia"/>
                <w:color w:val="000000" w:themeColor="text1"/>
              </w:rPr>
              <w:t>4.5m</w:t>
            </w:r>
            <w:r w:rsidRPr="00687B52">
              <w:rPr>
                <w:rFonts w:hint="eastAsia"/>
                <w:color w:val="000000" w:themeColor="text1"/>
              </w:rPr>
              <w:t>。</w:t>
            </w:r>
          </w:p>
        </w:tc>
        <w:tc>
          <w:tcPr>
            <w:tcW w:w="1446" w:type="pct"/>
            <w:vAlign w:val="center"/>
          </w:tcPr>
          <w:p w:rsidR="00A0736D" w:rsidRPr="00687B52" w:rsidRDefault="00A0736D" w:rsidP="003E1D2A">
            <w:pPr>
              <w:pStyle w:val="a7"/>
              <w:rPr>
                <w:color w:val="000000" w:themeColor="text1"/>
              </w:rPr>
            </w:pPr>
            <w:r w:rsidRPr="00687B52">
              <w:rPr>
                <w:rFonts w:hint="eastAsia"/>
                <w:color w:val="000000" w:themeColor="text1"/>
              </w:rPr>
              <w:t>《工业企业厂内铁路、道路运输安全规程》</w:t>
            </w:r>
            <w:r w:rsidRPr="00687B52">
              <w:rPr>
                <w:rFonts w:hint="eastAsia"/>
                <w:color w:val="000000" w:themeColor="text1"/>
              </w:rPr>
              <w:t>GB4387-2008</w:t>
            </w:r>
          </w:p>
          <w:p w:rsidR="00A0736D" w:rsidRPr="00687B52" w:rsidRDefault="00A0736D" w:rsidP="003E1D2A">
            <w:pPr>
              <w:pStyle w:val="a7"/>
              <w:rPr>
                <w:color w:val="000000" w:themeColor="text1"/>
              </w:rPr>
            </w:pPr>
            <w:r w:rsidRPr="00687B52">
              <w:rPr>
                <w:rFonts w:hint="eastAsia"/>
                <w:color w:val="000000" w:themeColor="text1"/>
              </w:rPr>
              <w:t>第</w:t>
            </w:r>
            <w:r w:rsidRPr="00687B52">
              <w:rPr>
                <w:rFonts w:hint="eastAsia"/>
                <w:color w:val="000000" w:themeColor="text1"/>
              </w:rPr>
              <w:t>6.1.2</w:t>
            </w:r>
            <w:r w:rsidRPr="00687B52">
              <w:rPr>
                <w:rFonts w:hint="eastAsia"/>
                <w:color w:val="000000" w:themeColor="text1"/>
              </w:rPr>
              <w:t>条</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2.25</w:t>
            </w:r>
          </w:p>
        </w:tc>
        <w:tc>
          <w:tcPr>
            <w:tcW w:w="2287" w:type="pct"/>
          </w:tcPr>
          <w:p w:rsidR="00A0736D" w:rsidRPr="00687B52" w:rsidRDefault="00A0736D" w:rsidP="003E1D2A">
            <w:pPr>
              <w:pStyle w:val="a7"/>
              <w:jc w:val="left"/>
              <w:rPr>
                <w:color w:val="000000" w:themeColor="text1"/>
              </w:rPr>
            </w:pPr>
            <w:r w:rsidRPr="00687B52">
              <w:rPr>
                <w:rFonts w:hint="eastAsia"/>
                <w:color w:val="000000" w:themeColor="text1"/>
              </w:rPr>
              <w:t>生产、储存装置及设施不得超温、超压、超液位运行的。</w:t>
            </w:r>
          </w:p>
        </w:tc>
        <w:tc>
          <w:tcPr>
            <w:tcW w:w="1446" w:type="pct"/>
          </w:tcPr>
          <w:p w:rsidR="00A0736D" w:rsidRPr="00687B52" w:rsidRDefault="00A0736D" w:rsidP="00EA31F4">
            <w:pPr>
              <w:pStyle w:val="a7"/>
              <w:rPr>
                <w:color w:val="000000" w:themeColor="text1"/>
              </w:rPr>
            </w:pPr>
            <w:r w:rsidRPr="00687B52">
              <w:rPr>
                <w:rFonts w:hint="eastAsia"/>
                <w:color w:val="000000" w:themeColor="text1"/>
              </w:rPr>
              <w:t>《安全生产法》</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2.26</w:t>
            </w:r>
          </w:p>
        </w:tc>
        <w:tc>
          <w:tcPr>
            <w:tcW w:w="2287" w:type="pct"/>
            <w:vAlign w:val="center"/>
          </w:tcPr>
          <w:p w:rsidR="00A0736D" w:rsidRPr="00687B52" w:rsidRDefault="00A0736D" w:rsidP="003E1D2A">
            <w:pPr>
              <w:pStyle w:val="a7"/>
              <w:jc w:val="left"/>
              <w:rPr>
                <w:color w:val="000000" w:themeColor="text1"/>
                <w:kern w:val="0"/>
              </w:rPr>
            </w:pPr>
            <w:r w:rsidRPr="00687B52">
              <w:rPr>
                <w:color w:val="000000" w:themeColor="text1"/>
                <w:kern w:val="0"/>
              </w:rPr>
              <w:t>安全阀应满足下列要求：</w:t>
            </w:r>
            <w:r w:rsidRPr="00687B52">
              <w:rPr>
                <w:color w:val="000000" w:themeColor="text1"/>
                <w:kern w:val="0"/>
              </w:rPr>
              <w:br/>
            </w:r>
            <w:r w:rsidRPr="00687B52">
              <w:rPr>
                <w:rFonts w:hint="eastAsia"/>
                <w:color w:val="000000" w:themeColor="text1"/>
                <w:kern w:val="0"/>
              </w:rPr>
              <w:t>①</w:t>
            </w:r>
            <w:r w:rsidRPr="00687B52">
              <w:rPr>
                <w:color w:val="000000" w:themeColor="text1"/>
                <w:kern w:val="0"/>
              </w:rPr>
              <w:t>应垂直安装并应装设在压力容器液面上的气相空间部分或装在与压力容器气相空间相连的管道上；</w:t>
            </w:r>
            <w:r w:rsidRPr="00687B52">
              <w:rPr>
                <w:color w:val="000000" w:themeColor="text1"/>
                <w:kern w:val="0"/>
              </w:rPr>
              <w:br/>
            </w:r>
            <w:r w:rsidRPr="00687B52">
              <w:rPr>
                <w:rFonts w:hint="eastAsia"/>
                <w:color w:val="000000" w:themeColor="text1"/>
                <w:kern w:val="0"/>
              </w:rPr>
              <w:t>②</w:t>
            </w:r>
            <w:r w:rsidRPr="00687B52">
              <w:rPr>
                <w:color w:val="000000" w:themeColor="text1"/>
                <w:kern w:val="0"/>
              </w:rPr>
              <w:t>安全阀一般每年至少校验一次；</w:t>
            </w:r>
            <w:r w:rsidRPr="00687B52">
              <w:rPr>
                <w:color w:val="000000" w:themeColor="text1"/>
                <w:kern w:val="0"/>
              </w:rPr>
              <w:br/>
            </w:r>
            <w:r w:rsidRPr="00687B52">
              <w:rPr>
                <w:rFonts w:hint="eastAsia"/>
                <w:color w:val="000000" w:themeColor="text1"/>
                <w:kern w:val="0"/>
              </w:rPr>
              <w:t>③</w:t>
            </w:r>
            <w:r w:rsidRPr="00687B52">
              <w:rPr>
                <w:color w:val="000000" w:themeColor="text1"/>
                <w:kern w:val="0"/>
              </w:rPr>
              <w:t>压力容器与安全阀之间的隔离阀应全开，并加</w:t>
            </w:r>
            <w:r w:rsidRPr="00687B52">
              <w:rPr>
                <w:rFonts w:hint="eastAsia"/>
                <w:color w:val="000000" w:themeColor="text1"/>
                <w:kern w:val="0"/>
              </w:rPr>
              <w:t>联锁</w:t>
            </w:r>
            <w:r w:rsidRPr="00687B52">
              <w:rPr>
                <w:color w:val="000000" w:themeColor="text1"/>
                <w:kern w:val="0"/>
              </w:rPr>
              <w:t>或铅封，且有专人定期检查；</w:t>
            </w:r>
            <w:r w:rsidRPr="00687B52">
              <w:rPr>
                <w:color w:val="000000" w:themeColor="text1"/>
                <w:kern w:val="0"/>
              </w:rPr>
              <w:br/>
            </w:r>
            <w:r w:rsidRPr="00687B52">
              <w:rPr>
                <w:rFonts w:hint="eastAsia"/>
                <w:color w:val="000000" w:themeColor="text1"/>
                <w:kern w:val="0"/>
              </w:rPr>
              <w:t>④</w:t>
            </w:r>
            <w:r w:rsidRPr="00687B52">
              <w:rPr>
                <w:color w:val="000000" w:themeColor="text1"/>
                <w:kern w:val="0"/>
              </w:rPr>
              <w:t>安全阀的开启压力不得高于设备的设计压力。</w:t>
            </w:r>
          </w:p>
        </w:tc>
        <w:tc>
          <w:tcPr>
            <w:tcW w:w="1446" w:type="pct"/>
            <w:vAlign w:val="center"/>
          </w:tcPr>
          <w:p w:rsidR="00A0736D" w:rsidRPr="00687B52" w:rsidRDefault="00A0736D" w:rsidP="003E1D2A">
            <w:pPr>
              <w:pStyle w:val="a7"/>
              <w:rPr>
                <w:color w:val="000000" w:themeColor="text1"/>
              </w:rPr>
            </w:pPr>
            <w:r w:rsidRPr="00687B52">
              <w:rPr>
                <w:color w:val="000000" w:themeColor="text1"/>
              </w:rPr>
              <w:t>《固定式压力容器安全技术监察规程》</w:t>
            </w:r>
            <w:r w:rsidRPr="00687B52">
              <w:rPr>
                <w:color w:val="000000" w:themeColor="text1"/>
              </w:rPr>
              <w:t>TSG21-2016</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lastRenderedPageBreak/>
              <w:t>2.27</w:t>
            </w:r>
          </w:p>
        </w:tc>
        <w:tc>
          <w:tcPr>
            <w:tcW w:w="2287" w:type="pct"/>
            <w:vAlign w:val="center"/>
          </w:tcPr>
          <w:p w:rsidR="00A0736D" w:rsidRPr="00687B52" w:rsidRDefault="00A0736D" w:rsidP="003E1D2A">
            <w:pPr>
              <w:pStyle w:val="a7"/>
              <w:jc w:val="left"/>
              <w:rPr>
                <w:color w:val="000000" w:themeColor="text1"/>
                <w:kern w:val="0"/>
              </w:rPr>
            </w:pPr>
            <w:r w:rsidRPr="00687B52">
              <w:rPr>
                <w:color w:val="000000" w:themeColor="text1"/>
                <w:kern w:val="0"/>
              </w:rPr>
              <w:t>压力容器、压力管道上的压力表安装前应当进行校定，在刻度盘上应当划出指示工作压力的红线，注明下次校验日期。压力表检定后应当加铅封。压力表应按相关规定定期校验。</w:t>
            </w:r>
          </w:p>
        </w:tc>
        <w:tc>
          <w:tcPr>
            <w:tcW w:w="1446" w:type="pct"/>
            <w:vAlign w:val="center"/>
          </w:tcPr>
          <w:p w:rsidR="00A0736D" w:rsidRPr="00687B52" w:rsidRDefault="00A0736D" w:rsidP="003E1D2A">
            <w:pPr>
              <w:pStyle w:val="a7"/>
              <w:rPr>
                <w:color w:val="000000" w:themeColor="text1"/>
              </w:rPr>
            </w:pPr>
            <w:r w:rsidRPr="00687B52">
              <w:rPr>
                <w:color w:val="000000" w:themeColor="text1"/>
              </w:rPr>
              <w:t>《固定式压力容器安全技术监察规程》</w:t>
            </w:r>
            <w:r w:rsidRPr="00687B52">
              <w:rPr>
                <w:color w:val="000000" w:themeColor="text1"/>
              </w:rPr>
              <w:t>TSG21-2016</w:t>
            </w:r>
            <w:r w:rsidRPr="00687B52">
              <w:rPr>
                <w:color w:val="000000" w:themeColor="text1"/>
              </w:rPr>
              <w:br/>
            </w:r>
            <w:r w:rsidRPr="00687B52">
              <w:rPr>
                <w:color w:val="000000" w:themeColor="text1"/>
              </w:rPr>
              <w:t>第</w:t>
            </w:r>
            <w:r w:rsidRPr="00687B52">
              <w:rPr>
                <w:color w:val="000000" w:themeColor="text1"/>
              </w:rPr>
              <w:t>9.2.1.2</w:t>
            </w:r>
            <w:r w:rsidRPr="00687B52">
              <w:rPr>
                <w:color w:val="000000" w:themeColor="text1"/>
              </w:rPr>
              <w:t>条</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2.28</w:t>
            </w:r>
          </w:p>
        </w:tc>
        <w:tc>
          <w:tcPr>
            <w:tcW w:w="2287" w:type="pct"/>
            <w:vAlign w:val="center"/>
          </w:tcPr>
          <w:p w:rsidR="00A0736D" w:rsidRPr="00687B52" w:rsidRDefault="00A0736D" w:rsidP="003E1D2A">
            <w:pPr>
              <w:pStyle w:val="a7"/>
              <w:jc w:val="left"/>
              <w:rPr>
                <w:color w:val="000000" w:themeColor="text1"/>
                <w:kern w:val="0"/>
              </w:rPr>
            </w:pPr>
            <w:r w:rsidRPr="00687B52">
              <w:rPr>
                <w:rFonts w:hint="eastAsia"/>
                <w:color w:val="000000" w:themeColor="text1"/>
                <w:kern w:val="0"/>
              </w:rPr>
              <w:t>液面计有下列情况之一的，应停止使用并更换：</w:t>
            </w:r>
          </w:p>
          <w:p w:rsidR="00A0736D" w:rsidRPr="00687B52" w:rsidRDefault="00A0736D" w:rsidP="003E1D2A">
            <w:pPr>
              <w:pStyle w:val="a7"/>
              <w:jc w:val="left"/>
              <w:rPr>
                <w:color w:val="000000" w:themeColor="text1"/>
                <w:kern w:val="0"/>
              </w:rPr>
            </w:pPr>
            <w:r w:rsidRPr="00687B52">
              <w:rPr>
                <w:rFonts w:hint="eastAsia"/>
                <w:color w:val="000000" w:themeColor="text1"/>
                <w:kern w:val="0"/>
              </w:rPr>
              <w:t>①超过检修周期。</w:t>
            </w:r>
          </w:p>
          <w:p w:rsidR="00A0736D" w:rsidRPr="00687B52" w:rsidRDefault="00A0736D" w:rsidP="003E1D2A">
            <w:pPr>
              <w:pStyle w:val="a7"/>
              <w:jc w:val="left"/>
              <w:rPr>
                <w:color w:val="000000" w:themeColor="text1"/>
                <w:kern w:val="0"/>
              </w:rPr>
            </w:pPr>
            <w:r w:rsidRPr="00687B52">
              <w:rPr>
                <w:rFonts w:hint="eastAsia"/>
                <w:color w:val="000000" w:themeColor="text1"/>
                <w:kern w:val="0"/>
              </w:rPr>
              <w:t>②玻璃板</w:t>
            </w:r>
            <w:r w:rsidRPr="00687B52">
              <w:rPr>
                <w:rFonts w:hint="eastAsia"/>
                <w:color w:val="000000" w:themeColor="text1"/>
                <w:kern w:val="0"/>
              </w:rPr>
              <w:t>(</w:t>
            </w:r>
            <w:r w:rsidRPr="00687B52">
              <w:rPr>
                <w:rFonts w:hint="eastAsia"/>
                <w:color w:val="000000" w:themeColor="text1"/>
                <w:kern w:val="0"/>
              </w:rPr>
              <w:t>管</w:t>
            </w:r>
            <w:r w:rsidRPr="00687B52">
              <w:rPr>
                <w:rFonts w:hint="eastAsia"/>
                <w:color w:val="000000" w:themeColor="text1"/>
                <w:kern w:val="0"/>
              </w:rPr>
              <w:t>)</w:t>
            </w:r>
            <w:r w:rsidRPr="00687B52">
              <w:rPr>
                <w:rFonts w:hint="eastAsia"/>
                <w:color w:val="000000" w:themeColor="text1"/>
                <w:kern w:val="0"/>
              </w:rPr>
              <w:t>有裂纹、破碎。</w:t>
            </w:r>
          </w:p>
          <w:p w:rsidR="00A0736D" w:rsidRPr="00687B52" w:rsidRDefault="00A0736D" w:rsidP="003E1D2A">
            <w:pPr>
              <w:pStyle w:val="a7"/>
              <w:jc w:val="left"/>
              <w:rPr>
                <w:color w:val="000000" w:themeColor="text1"/>
                <w:kern w:val="0"/>
              </w:rPr>
            </w:pPr>
            <w:r w:rsidRPr="00687B52">
              <w:rPr>
                <w:rFonts w:hint="eastAsia"/>
                <w:color w:val="000000" w:themeColor="text1"/>
                <w:kern w:val="0"/>
              </w:rPr>
              <w:t>③阀件固死。</w:t>
            </w:r>
          </w:p>
          <w:p w:rsidR="00A0736D" w:rsidRPr="00687B52" w:rsidRDefault="00A0736D" w:rsidP="003E1D2A">
            <w:pPr>
              <w:pStyle w:val="a7"/>
              <w:jc w:val="left"/>
              <w:rPr>
                <w:color w:val="000000" w:themeColor="text1"/>
                <w:kern w:val="0"/>
              </w:rPr>
            </w:pPr>
            <w:r w:rsidRPr="00687B52">
              <w:rPr>
                <w:rFonts w:hint="eastAsia"/>
                <w:color w:val="000000" w:themeColor="text1"/>
                <w:kern w:val="0"/>
              </w:rPr>
              <w:t>④出现假液位。</w:t>
            </w:r>
          </w:p>
          <w:p w:rsidR="00A0736D" w:rsidRPr="00687B52" w:rsidRDefault="00A0736D" w:rsidP="003E1D2A">
            <w:pPr>
              <w:pStyle w:val="a7"/>
              <w:jc w:val="left"/>
              <w:rPr>
                <w:color w:val="000000" w:themeColor="text1"/>
                <w:kern w:val="0"/>
              </w:rPr>
            </w:pPr>
            <w:r w:rsidRPr="00687B52">
              <w:rPr>
                <w:rFonts w:hint="eastAsia"/>
                <w:color w:val="000000" w:themeColor="text1"/>
                <w:kern w:val="0"/>
              </w:rPr>
              <w:t>⑤液面计指示模糊不清。</w:t>
            </w:r>
          </w:p>
        </w:tc>
        <w:tc>
          <w:tcPr>
            <w:tcW w:w="1446" w:type="pct"/>
            <w:vAlign w:val="center"/>
          </w:tcPr>
          <w:p w:rsidR="00A0736D" w:rsidRPr="00687B52" w:rsidRDefault="00A0736D" w:rsidP="003E1D2A">
            <w:pPr>
              <w:pStyle w:val="a7"/>
              <w:rPr>
                <w:color w:val="000000" w:themeColor="text1"/>
              </w:rPr>
            </w:pPr>
            <w:r w:rsidRPr="00687B52">
              <w:rPr>
                <w:color w:val="000000" w:themeColor="text1"/>
              </w:rPr>
              <w:t>《固定式压力容器安全技术监察规程》</w:t>
            </w:r>
            <w:r w:rsidRPr="00687B52">
              <w:rPr>
                <w:color w:val="000000" w:themeColor="text1"/>
              </w:rPr>
              <w:t>TSG21-2016</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2.29</w:t>
            </w:r>
          </w:p>
        </w:tc>
        <w:tc>
          <w:tcPr>
            <w:tcW w:w="2287" w:type="pct"/>
            <w:vAlign w:val="center"/>
          </w:tcPr>
          <w:p w:rsidR="00A0736D" w:rsidRPr="00687B52" w:rsidRDefault="00A0736D" w:rsidP="003E1D2A">
            <w:pPr>
              <w:pStyle w:val="a7"/>
              <w:jc w:val="left"/>
              <w:rPr>
                <w:color w:val="000000" w:themeColor="text1"/>
                <w:kern w:val="0"/>
              </w:rPr>
            </w:pPr>
            <w:r w:rsidRPr="00687B52">
              <w:rPr>
                <w:rFonts w:hint="eastAsia"/>
                <w:color w:val="000000" w:themeColor="text1"/>
                <w:kern w:val="0"/>
              </w:rPr>
              <w:t>仪表气源应满足：</w:t>
            </w:r>
          </w:p>
          <w:p w:rsidR="00A0736D" w:rsidRPr="00687B52" w:rsidRDefault="00A0736D" w:rsidP="003E1D2A">
            <w:pPr>
              <w:pStyle w:val="a7"/>
              <w:jc w:val="left"/>
              <w:rPr>
                <w:color w:val="000000" w:themeColor="text1"/>
                <w:kern w:val="0"/>
              </w:rPr>
            </w:pPr>
            <w:r w:rsidRPr="00687B52">
              <w:rPr>
                <w:rFonts w:hint="eastAsia"/>
                <w:color w:val="000000" w:themeColor="text1"/>
                <w:kern w:val="0"/>
              </w:rPr>
              <w:t>①应采用清洁、干燥的空气，备用气源也可用干燥的氮气；</w:t>
            </w:r>
          </w:p>
          <w:p w:rsidR="00A0736D" w:rsidRPr="00687B52" w:rsidRDefault="00A0736D" w:rsidP="003E1D2A">
            <w:pPr>
              <w:pStyle w:val="a7"/>
              <w:jc w:val="left"/>
              <w:rPr>
                <w:color w:val="000000" w:themeColor="text1"/>
                <w:kern w:val="0"/>
              </w:rPr>
            </w:pPr>
            <w:r w:rsidRPr="00687B52">
              <w:rPr>
                <w:rFonts w:hint="eastAsia"/>
                <w:color w:val="000000" w:themeColor="text1"/>
                <w:kern w:val="0"/>
              </w:rPr>
              <w:t>②为了保证仪表气源装置的安全供气，应设置备用气源。备用气源可采用备用压缩机组、贮气罐或第二气源。</w:t>
            </w:r>
            <w:r w:rsidRPr="00687B52">
              <w:rPr>
                <w:rFonts w:hint="eastAsia"/>
                <w:color w:val="000000" w:themeColor="text1"/>
                <w:kern w:val="0"/>
              </w:rPr>
              <w:tab/>
            </w:r>
          </w:p>
        </w:tc>
        <w:tc>
          <w:tcPr>
            <w:tcW w:w="1446" w:type="pct"/>
            <w:vAlign w:val="center"/>
          </w:tcPr>
          <w:p w:rsidR="00A0736D" w:rsidRPr="00687B52" w:rsidRDefault="00A0736D" w:rsidP="003E1D2A">
            <w:pPr>
              <w:pStyle w:val="a7"/>
              <w:rPr>
                <w:color w:val="000000" w:themeColor="text1"/>
              </w:rPr>
            </w:pPr>
            <w:r w:rsidRPr="00687B52">
              <w:rPr>
                <w:rFonts w:hint="eastAsia"/>
                <w:color w:val="000000" w:themeColor="text1"/>
              </w:rPr>
              <w:t>《石油化工仪表供气设计规范》</w:t>
            </w:r>
            <w:r w:rsidRPr="00687B52">
              <w:rPr>
                <w:rFonts w:hint="eastAsia"/>
                <w:color w:val="000000" w:themeColor="text1"/>
              </w:rPr>
              <w:t>SH3020-2001</w:t>
            </w:r>
            <w:r w:rsidRPr="00687B52">
              <w:rPr>
                <w:rFonts w:hint="eastAsia"/>
                <w:color w:val="000000" w:themeColor="text1"/>
              </w:rPr>
              <w:t>第</w:t>
            </w:r>
            <w:r w:rsidRPr="00687B52">
              <w:rPr>
                <w:rFonts w:hint="eastAsia"/>
                <w:color w:val="000000" w:themeColor="text1"/>
              </w:rPr>
              <w:t>3.0.1</w:t>
            </w:r>
            <w:r w:rsidRPr="00687B52">
              <w:rPr>
                <w:rFonts w:hint="eastAsia"/>
                <w:color w:val="000000" w:themeColor="text1"/>
              </w:rPr>
              <w:t>条、第</w:t>
            </w:r>
            <w:r w:rsidRPr="00687B52">
              <w:rPr>
                <w:rFonts w:hint="eastAsia"/>
                <w:color w:val="000000" w:themeColor="text1"/>
              </w:rPr>
              <w:t>4.3.1</w:t>
            </w:r>
            <w:r w:rsidRPr="00687B52">
              <w:rPr>
                <w:rFonts w:hint="eastAsia"/>
                <w:color w:val="000000" w:themeColor="text1"/>
              </w:rPr>
              <w:t>条</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2.30</w:t>
            </w:r>
          </w:p>
        </w:tc>
        <w:tc>
          <w:tcPr>
            <w:tcW w:w="2287" w:type="pct"/>
            <w:vAlign w:val="center"/>
          </w:tcPr>
          <w:p w:rsidR="00A0736D" w:rsidRPr="00687B52" w:rsidRDefault="00A0736D" w:rsidP="003E1D2A">
            <w:pPr>
              <w:pStyle w:val="a7"/>
              <w:jc w:val="left"/>
              <w:rPr>
                <w:color w:val="000000" w:themeColor="text1"/>
                <w:kern w:val="0"/>
              </w:rPr>
            </w:pPr>
            <w:r w:rsidRPr="00687B52">
              <w:rPr>
                <w:rFonts w:hint="eastAsia"/>
                <w:color w:val="000000" w:themeColor="text1"/>
                <w:kern w:val="0"/>
              </w:rPr>
              <w:t>安装</w:t>
            </w:r>
            <w:r w:rsidRPr="00687B52">
              <w:rPr>
                <w:rFonts w:hint="eastAsia"/>
                <w:color w:val="000000" w:themeColor="text1"/>
                <w:kern w:val="0"/>
              </w:rPr>
              <w:t xml:space="preserve"> DCS</w:t>
            </w:r>
            <w:r w:rsidRPr="00687B52">
              <w:rPr>
                <w:rFonts w:hint="eastAsia"/>
                <w:color w:val="000000" w:themeColor="text1"/>
                <w:kern w:val="0"/>
              </w:rPr>
              <w:t>、</w:t>
            </w:r>
            <w:r w:rsidRPr="00687B52">
              <w:rPr>
                <w:rFonts w:hint="eastAsia"/>
                <w:color w:val="000000" w:themeColor="text1"/>
                <w:kern w:val="0"/>
              </w:rPr>
              <w:t>PLC</w:t>
            </w:r>
            <w:r w:rsidRPr="00687B52">
              <w:rPr>
                <w:rFonts w:hint="eastAsia"/>
                <w:color w:val="000000" w:themeColor="text1"/>
                <w:kern w:val="0"/>
              </w:rPr>
              <w:t>、</w:t>
            </w:r>
            <w:r w:rsidRPr="00687B52">
              <w:rPr>
                <w:rFonts w:hint="eastAsia"/>
                <w:color w:val="000000" w:themeColor="text1"/>
                <w:kern w:val="0"/>
              </w:rPr>
              <w:t>SIS</w:t>
            </w:r>
            <w:r w:rsidRPr="00687B52">
              <w:rPr>
                <w:rFonts w:hint="eastAsia"/>
                <w:color w:val="000000" w:themeColor="text1"/>
                <w:kern w:val="0"/>
              </w:rPr>
              <w:t>等设备的控制室、机柜室、过程控制计算机的机房，应考虑防静电接地。这些室内的导静电地面、活动地板、工作台等应进行防静电接地。</w:t>
            </w:r>
            <w:r w:rsidRPr="00687B52">
              <w:rPr>
                <w:rFonts w:hint="eastAsia"/>
                <w:color w:val="000000" w:themeColor="text1"/>
                <w:kern w:val="0"/>
              </w:rPr>
              <w:tab/>
            </w:r>
          </w:p>
        </w:tc>
        <w:tc>
          <w:tcPr>
            <w:tcW w:w="1446" w:type="pct"/>
            <w:vAlign w:val="center"/>
          </w:tcPr>
          <w:p w:rsidR="00A0736D" w:rsidRPr="00687B52" w:rsidRDefault="00A0736D" w:rsidP="003E1D2A">
            <w:pPr>
              <w:pStyle w:val="a7"/>
              <w:rPr>
                <w:color w:val="000000" w:themeColor="text1"/>
              </w:rPr>
            </w:pPr>
            <w:r w:rsidRPr="00687B52">
              <w:rPr>
                <w:rFonts w:hint="eastAsia"/>
                <w:color w:val="000000" w:themeColor="text1"/>
              </w:rPr>
              <w:t>《石油化工仪表接地设计规范》</w:t>
            </w:r>
            <w:r w:rsidRPr="00687B52">
              <w:rPr>
                <w:rFonts w:hint="eastAsia"/>
                <w:color w:val="000000" w:themeColor="text1"/>
              </w:rPr>
              <w:t>SH/T3081-2003</w:t>
            </w:r>
          </w:p>
          <w:p w:rsidR="00A0736D" w:rsidRPr="00687B52" w:rsidRDefault="00A0736D" w:rsidP="003E1D2A">
            <w:pPr>
              <w:pStyle w:val="a7"/>
              <w:rPr>
                <w:color w:val="000000" w:themeColor="text1"/>
              </w:rPr>
            </w:pPr>
            <w:r w:rsidRPr="00687B52">
              <w:rPr>
                <w:rFonts w:hint="eastAsia"/>
                <w:color w:val="000000" w:themeColor="text1"/>
              </w:rPr>
              <w:t>第</w:t>
            </w:r>
            <w:r w:rsidRPr="00687B52">
              <w:rPr>
                <w:rFonts w:hint="eastAsia"/>
                <w:color w:val="000000" w:themeColor="text1"/>
              </w:rPr>
              <w:t>2.4.1</w:t>
            </w:r>
            <w:r w:rsidRPr="00687B52">
              <w:rPr>
                <w:rFonts w:hint="eastAsia"/>
                <w:color w:val="000000" w:themeColor="text1"/>
              </w:rPr>
              <w:t>条</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2.31</w:t>
            </w:r>
          </w:p>
        </w:tc>
        <w:tc>
          <w:tcPr>
            <w:tcW w:w="2287" w:type="pct"/>
            <w:vAlign w:val="center"/>
          </w:tcPr>
          <w:p w:rsidR="00A0736D" w:rsidRPr="00687B52" w:rsidRDefault="00A0736D" w:rsidP="003E1D2A">
            <w:pPr>
              <w:pStyle w:val="a7"/>
              <w:jc w:val="left"/>
              <w:rPr>
                <w:color w:val="000000" w:themeColor="text1"/>
                <w:kern w:val="0"/>
              </w:rPr>
            </w:pPr>
            <w:r w:rsidRPr="00687B52">
              <w:rPr>
                <w:rFonts w:hint="eastAsia"/>
                <w:color w:val="000000" w:themeColor="text1"/>
                <w:kern w:val="0"/>
              </w:rPr>
              <w:t>控制室不得安装可燃气体、液化烃、可燃液体的在线分析一次仪表；当上述仪表安装在控制室的相邻房间内时，其中间隔墙应为防火墙。</w:t>
            </w:r>
            <w:r w:rsidRPr="00687B52">
              <w:rPr>
                <w:rFonts w:hint="eastAsia"/>
                <w:color w:val="000000" w:themeColor="text1"/>
                <w:kern w:val="0"/>
              </w:rPr>
              <w:tab/>
            </w:r>
          </w:p>
        </w:tc>
        <w:tc>
          <w:tcPr>
            <w:tcW w:w="1446" w:type="pct"/>
            <w:vAlign w:val="center"/>
          </w:tcPr>
          <w:p w:rsidR="00A0736D" w:rsidRPr="00687B52" w:rsidRDefault="00A0736D" w:rsidP="003E1D2A">
            <w:pPr>
              <w:pStyle w:val="a7"/>
              <w:rPr>
                <w:color w:val="000000" w:themeColor="text1"/>
              </w:rPr>
            </w:pPr>
            <w:r w:rsidRPr="00687B52">
              <w:rPr>
                <w:rFonts w:hint="eastAsia"/>
                <w:color w:val="000000" w:themeColor="text1"/>
              </w:rPr>
              <w:t>《化工厂控制室建筑设计规定》</w:t>
            </w:r>
            <w:r w:rsidRPr="00687B52">
              <w:rPr>
                <w:rFonts w:hint="eastAsia"/>
                <w:color w:val="000000" w:themeColor="text1"/>
              </w:rPr>
              <w:t>HG20556-1993</w:t>
            </w:r>
          </w:p>
          <w:p w:rsidR="00A0736D" w:rsidRPr="00687B52" w:rsidRDefault="00A0736D" w:rsidP="003E1D2A">
            <w:pPr>
              <w:pStyle w:val="a7"/>
              <w:rPr>
                <w:color w:val="000000" w:themeColor="text1"/>
              </w:rPr>
            </w:pPr>
            <w:r w:rsidRPr="00687B52">
              <w:rPr>
                <w:rFonts w:hint="eastAsia"/>
                <w:color w:val="000000" w:themeColor="text1"/>
              </w:rPr>
              <w:t>第</w:t>
            </w:r>
            <w:r w:rsidRPr="00687B52">
              <w:rPr>
                <w:rFonts w:hint="eastAsia"/>
                <w:color w:val="000000" w:themeColor="text1"/>
              </w:rPr>
              <w:t>3.1.9</w:t>
            </w:r>
            <w:r w:rsidRPr="00687B52">
              <w:rPr>
                <w:rFonts w:hint="eastAsia"/>
                <w:color w:val="000000" w:themeColor="text1"/>
              </w:rPr>
              <w:t>条</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2.32</w:t>
            </w:r>
          </w:p>
        </w:tc>
        <w:tc>
          <w:tcPr>
            <w:tcW w:w="2287" w:type="pct"/>
            <w:vAlign w:val="center"/>
          </w:tcPr>
          <w:p w:rsidR="00A0736D" w:rsidRPr="00687B52" w:rsidRDefault="00A0736D" w:rsidP="003E1D2A">
            <w:pPr>
              <w:pStyle w:val="a7"/>
              <w:jc w:val="left"/>
              <w:rPr>
                <w:color w:val="000000" w:themeColor="text1"/>
                <w:kern w:val="0"/>
              </w:rPr>
            </w:pPr>
            <w:r w:rsidRPr="00687B52">
              <w:rPr>
                <w:rFonts w:hint="eastAsia"/>
                <w:color w:val="000000" w:themeColor="text1"/>
                <w:kern w:val="0"/>
              </w:rPr>
              <w:t>可燃气体和有毒气体检测报警系统宜独立设置。</w:t>
            </w:r>
          </w:p>
        </w:tc>
        <w:tc>
          <w:tcPr>
            <w:tcW w:w="1446" w:type="pct"/>
            <w:vAlign w:val="center"/>
          </w:tcPr>
          <w:p w:rsidR="00A0736D" w:rsidRPr="00687B52" w:rsidRDefault="00A0736D" w:rsidP="003E1D2A">
            <w:pPr>
              <w:pStyle w:val="a7"/>
              <w:rPr>
                <w:color w:val="000000" w:themeColor="text1"/>
                <w:kern w:val="0"/>
              </w:rPr>
            </w:pPr>
            <w:r w:rsidRPr="00687B52">
              <w:rPr>
                <w:rFonts w:hint="eastAsia"/>
                <w:color w:val="000000" w:themeColor="text1"/>
                <w:kern w:val="0"/>
              </w:rPr>
              <w:t>《石油化工可燃气体和有毒气体检测报警设计规范》</w:t>
            </w:r>
            <w:r w:rsidRPr="00687B52">
              <w:rPr>
                <w:rFonts w:hint="eastAsia"/>
                <w:color w:val="000000" w:themeColor="text1"/>
                <w:kern w:val="0"/>
              </w:rPr>
              <w:t>GB50493-2009</w:t>
            </w:r>
          </w:p>
          <w:p w:rsidR="00A0736D" w:rsidRPr="00687B52" w:rsidRDefault="00A0736D" w:rsidP="003E1D2A">
            <w:pPr>
              <w:pStyle w:val="a7"/>
              <w:rPr>
                <w:color w:val="000000" w:themeColor="text1"/>
              </w:rPr>
            </w:pPr>
            <w:r w:rsidRPr="00687B52">
              <w:rPr>
                <w:rFonts w:hint="eastAsia"/>
                <w:color w:val="000000" w:themeColor="text1"/>
                <w:kern w:val="0"/>
              </w:rPr>
              <w:t>第</w:t>
            </w:r>
            <w:r w:rsidRPr="00687B52">
              <w:rPr>
                <w:rFonts w:hint="eastAsia"/>
                <w:color w:val="000000" w:themeColor="text1"/>
                <w:kern w:val="0"/>
              </w:rPr>
              <w:t>3.0.9</w:t>
            </w:r>
            <w:r w:rsidRPr="00687B52">
              <w:rPr>
                <w:rFonts w:hint="eastAsia"/>
                <w:color w:val="000000" w:themeColor="text1"/>
                <w:kern w:val="0"/>
              </w:rPr>
              <w:t>条</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2.33</w:t>
            </w:r>
          </w:p>
        </w:tc>
        <w:tc>
          <w:tcPr>
            <w:tcW w:w="2287" w:type="pct"/>
            <w:vAlign w:val="center"/>
          </w:tcPr>
          <w:p w:rsidR="00A0736D" w:rsidRPr="00687B52" w:rsidRDefault="00A0736D" w:rsidP="003E1D2A">
            <w:pPr>
              <w:pStyle w:val="a7"/>
              <w:jc w:val="left"/>
              <w:rPr>
                <w:color w:val="000000" w:themeColor="text1"/>
              </w:rPr>
            </w:pPr>
            <w:r w:rsidRPr="00687B52">
              <w:rPr>
                <w:rFonts w:hint="eastAsia"/>
                <w:color w:val="000000" w:themeColor="text1"/>
              </w:rPr>
              <w:t>下列可能泄漏可燃气体、有毒气体的主要释放源应布置检（探）测器：</w:t>
            </w:r>
          </w:p>
          <w:p w:rsidR="00A0736D" w:rsidRPr="00687B52" w:rsidRDefault="00A0736D" w:rsidP="003E1D2A">
            <w:pPr>
              <w:pStyle w:val="a7"/>
              <w:jc w:val="left"/>
              <w:rPr>
                <w:color w:val="000000" w:themeColor="text1"/>
              </w:rPr>
            </w:pPr>
            <w:r w:rsidRPr="00687B52">
              <w:rPr>
                <w:rFonts w:hint="eastAsia"/>
                <w:color w:val="000000" w:themeColor="text1"/>
              </w:rPr>
              <w:t>①气体压缩机和液体泵的动密封；</w:t>
            </w:r>
          </w:p>
          <w:p w:rsidR="00A0736D" w:rsidRPr="00687B52" w:rsidRDefault="00A0736D" w:rsidP="003E1D2A">
            <w:pPr>
              <w:pStyle w:val="a7"/>
              <w:jc w:val="left"/>
              <w:rPr>
                <w:color w:val="000000" w:themeColor="text1"/>
              </w:rPr>
            </w:pPr>
            <w:r w:rsidRPr="00687B52">
              <w:rPr>
                <w:rFonts w:hint="eastAsia"/>
                <w:color w:val="000000" w:themeColor="text1"/>
              </w:rPr>
              <w:lastRenderedPageBreak/>
              <w:t>②液体采样口和气体采样口；</w:t>
            </w:r>
          </w:p>
          <w:p w:rsidR="00A0736D" w:rsidRPr="00687B52" w:rsidRDefault="00A0736D" w:rsidP="003E1D2A">
            <w:pPr>
              <w:pStyle w:val="a7"/>
              <w:jc w:val="left"/>
              <w:rPr>
                <w:color w:val="000000" w:themeColor="text1"/>
              </w:rPr>
            </w:pPr>
            <w:r w:rsidRPr="00687B52">
              <w:rPr>
                <w:rFonts w:hint="eastAsia"/>
                <w:color w:val="000000" w:themeColor="text1"/>
              </w:rPr>
              <w:t>③液体排液（水）口和放空口；</w:t>
            </w:r>
          </w:p>
          <w:p w:rsidR="00A0736D" w:rsidRPr="00687B52" w:rsidRDefault="00A0736D" w:rsidP="003E1D2A">
            <w:pPr>
              <w:pStyle w:val="a7"/>
              <w:jc w:val="left"/>
              <w:rPr>
                <w:color w:val="000000" w:themeColor="text1"/>
              </w:rPr>
            </w:pPr>
            <w:r w:rsidRPr="00687B52">
              <w:rPr>
                <w:rFonts w:hint="eastAsia"/>
                <w:color w:val="000000" w:themeColor="text1"/>
              </w:rPr>
              <w:t>④设备和管道的法兰和阀门组。</w:t>
            </w:r>
            <w:r w:rsidRPr="00687B52">
              <w:rPr>
                <w:rFonts w:hint="eastAsia"/>
                <w:color w:val="000000" w:themeColor="text1"/>
              </w:rPr>
              <w:tab/>
            </w:r>
          </w:p>
        </w:tc>
        <w:tc>
          <w:tcPr>
            <w:tcW w:w="1446" w:type="pct"/>
            <w:vAlign w:val="center"/>
          </w:tcPr>
          <w:p w:rsidR="00A0736D" w:rsidRPr="00687B52" w:rsidRDefault="00A0736D" w:rsidP="003E1D2A">
            <w:pPr>
              <w:pStyle w:val="a7"/>
              <w:rPr>
                <w:color w:val="000000" w:themeColor="text1"/>
              </w:rPr>
            </w:pPr>
            <w:r w:rsidRPr="00687B52">
              <w:rPr>
                <w:rFonts w:hint="eastAsia"/>
                <w:color w:val="000000" w:themeColor="text1"/>
              </w:rPr>
              <w:lastRenderedPageBreak/>
              <w:t>《石油化工可燃气体和有毒气体检测报警设计规范》</w:t>
            </w:r>
            <w:r w:rsidRPr="00687B52">
              <w:rPr>
                <w:rFonts w:hint="eastAsia"/>
                <w:color w:val="000000" w:themeColor="text1"/>
              </w:rPr>
              <w:t>GB50493-2009</w:t>
            </w:r>
          </w:p>
          <w:p w:rsidR="00A0736D" w:rsidRPr="00687B52" w:rsidRDefault="00A0736D" w:rsidP="003E1D2A">
            <w:pPr>
              <w:pStyle w:val="a7"/>
              <w:rPr>
                <w:color w:val="000000" w:themeColor="text1"/>
              </w:rPr>
            </w:pPr>
            <w:r w:rsidRPr="00687B52">
              <w:rPr>
                <w:rFonts w:hint="eastAsia"/>
                <w:color w:val="000000" w:themeColor="text1"/>
              </w:rPr>
              <w:t>第</w:t>
            </w:r>
            <w:r w:rsidRPr="00687B52">
              <w:rPr>
                <w:rFonts w:hint="eastAsia"/>
                <w:color w:val="000000" w:themeColor="text1"/>
              </w:rPr>
              <w:t>4.1.2</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lastRenderedPageBreak/>
              <w:t>2.34</w:t>
            </w:r>
          </w:p>
        </w:tc>
        <w:tc>
          <w:tcPr>
            <w:tcW w:w="2287" w:type="pct"/>
            <w:vAlign w:val="center"/>
          </w:tcPr>
          <w:p w:rsidR="00A0736D" w:rsidRPr="00687B52" w:rsidRDefault="00A0736D" w:rsidP="003E1D2A">
            <w:pPr>
              <w:pStyle w:val="a7"/>
              <w:jc w:val="left"/>
              <w:rPr>
                <w:color w:val="000000" w:themeColor="text1"/>
              </w:rPr>
            </w:pPr>
            <w:r w:rsidRPr="00687B52">
              <w:rPr>
                <w:rFonts w:hint="eastAsia"/>
                <w:color w:val="000000" w:themeColor="text1"/>
              </w:rPr>
              <w:t>可燃气体释放源处于封闭或局部通风不良的半敞开厂房内，每隔</w:t>
            </w:r>
            <w:r w:rsidRPr="00687B52">
              <w:rPr>
                <w:rFonts w:hint="eastAsia"/>
                <w:color w:val="000000" w:themeColor="text1"/>
              </w:rPr>
              <w:t>15m</w:t>
            </w:r>
            <w:r w:rsidRPr="00687B52">
              <w:rPr>
                <w:rFonts w:hint="eastAsia"/>
                <w:color w:val="000000" w:themeColor="text1"/>
              </w:rPr>
              <w:t>可设一台检（探）测器，且检（探）测器距其所覆盖范围内的任一释放源不宜大于</w:t>
            </w:r>
            <w:r w:rsidRPr="00687B52">
              <w:rPr>
                <w:rFonts w:hint="eastAsia"/>
                <w:color w:val="000000" w:themeColor="text1"/>
              </w:rPr>
              <w:t>7.5m</w:t>
            </w:r>
            <w:r w:rsidRPr="00687B52">
              <w:rPr>
                <w:rFonts w:hint="eastAsia"/>
                <w:color w:val="000000" w:themeColor="text1"/>
              </w:rPr>
              <w:t>。有毒气体检（探）测器距释放源不宜大于</w:t>
            </w:r>
            <w:r w:rsidRPr="00687B52">
              <w:rPr>
                <w:rFonts w:hint="eastAsia"/>
                <w:color w:val="000000" w:themeColor="text1"/>
              </w:rPr>
              <w:t>1m</w:t>
            </w:r>
            <w:r w:rsidRPr="00687B52">
              <w:rPr>
                <w:rFonts w:hint="eastAsia"/>
                <w:color w:val="000000" w:themeColor="text1"/>
              </w:rPr>
              <w:t>。</w:t>
            </w:r>
          </w:p>
        </w:tc>
        <w:tc>
          <w:tcPr>
            <w:tcW w:w="1446" w:type="pct"/>
            <w:vAlign w:val="center"/>
          </w:tcPr>
          <w:p w:rsidR="00A0736D" w:rsidRPr="00687B52" w:rsidRDefault="00A0736D" w:rsidP="0019245F">
            <w:pPr>
              <w:pStyle w:val="a7"/>
              <w:rPr>
                <w:color w:val="000000" w:themeColor="text1"/>
              </w:rPr>
            </w:pPr>
            <w:r w:rsidRPr="00687B52">
              <w:rPr>
                <w:rFonts w:hint="eastAsia"/>
                <w:color w:val="000000" w:themeColor="text1"/>
              </w:rPr>
              <w:t>《石油化工可燃气体和有毒气体检测报警设计规范》</w:t>
            </w:r>
            <w:r w:rsidRPr="00687B52">
              <w:rPr>
                <w:rFonts w:hint="eastAsia"/>
                <w:color w:val="000000" w:themeColor="text1"/>
              </w:rPr>
              <w:t>GB50493-2009</w:t>
            </w:r>
          </w:p>
          <w:p w:rsidR="00A0736D" w:rsidRPr="00687B52" w:rsidRDefault="00A0736D" w:rsidP="0019245F">
            <w:pPr>
              <w:pStyle w:val="a7"/>
              <w:rPr>
                <w:color w:val="000000" w:themeColor="text1"/>
              </w:rPr>
            </w:pPr>
            <w:r w:rsidRPr="00687B52">
              <w:rPr>
                <w:rFonts w:hint="eastAsia"/>
                <w:color w:val="000000" w:themeColor="text1"/>
              </w:rPr>
              <w:t>第</w:t>
            </w:r>
            <w:r w:rsidRPr="00687B52">
              <w:rPr>
                <w:rFonts w:hint="eastAsia"/>
                <w:color w:val="000000" w:themeColor="text1"/>
              </w:rPr>
              <w:t>4.2.2</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2.35</w:t>
            </w:r>
          </w:p>
        </w:tc>
        <w:tc>
          <w:tcPr>
            <w:tcW w:w="2287" w:type="pct"/>
            <w:vAlign w:val="center"/>
          </w:tcPr>
          <w:p w:rsidR="00A0736D" w:rsidRPr="00687B52" w:rsidRDefault="00A0736D" w:rsidP="003E1D2A">
            <w:pPr>
              <w:pStyle w:val="a7"/>
              <w:jc w:val="left"/>
              <w:rPr>
                <w:color w:val="000000" w:themeColor="text1"/>
              </w:rPr>
            </w:pPr>
            <w:r w:rsidRPr="00687B52">
              <w:rPr>
                <w:rFonts w:hint="eastAsia"/>
                <w:color w:val="000000" w:themeColor="text1"/>
              </w:rPr>
              <w:t>比空气轻的可燃气体或有毒气体释放源处于封闭或局部通风不良的半敞开厂房内，除应在释放源上方设置检（探）测器外，还应在厂房内最高点气体易于积聚处设置可燃气体或有毒气体检（探）测器。</w:t>
            </w:r>
          </w:p>
        </w:tc>
        <w:tc>
          <w:tcPr>
            <w:tcW w:w="1446" w:type="pct"/>
            <w:vAlign w:val="center"/>
          </w:tcPr>
          <w:p w:rsidR="00A0736D" w:rsidRPr="00687B52" w:rsidRDefault="00A0736D" w:rsidP="0019245F">
            <w:pPr>
              <w:pStyle w:val="a7"/>
              <w:rPr>
                <w:color w:val="000000" w:themeColor="text1"/>
              </w:rPr>
            </w:pPr>
            <w:r w:rsidRPr="00687B52">
              <w:rPr>
                <w:rFonts w:hint="eastAsia"/>
                <w:color w:val="000000" w:themeColor="text1"/>
              </w:rPr>
              <w:t>《石油化工可燃气体和有毒气体检测报警设计规范》</w:t>
            </w:r>
            <w:r w:rsidRPr="00687B52">
              <w:rPr>
                <w:rFonts w:hint="eastAsia"/>
                <w:color w:val="000000" w:themeColor="text1"/>
              </w:rPr>
              <w:t>GB50493-2009</w:t>
            </w:r>
          </w:p>
          <w:p w:rsidR="00A0736D" w:rsidRPr="00687B52" w:rsidRDefault="00A0736D" w:rsidP="0019245F">
            <w:pPr>
              <w:pStyle w:val="a7"/>
              <w:rPr>
                <w:color w:val="000000" w:themeColor="text1"/>
              </w:rPr>
            </w:pPr>
            <w:r w:rsidRPr="00687B52">
              <w:rPr>
                <w:rFonts w:hint="eastAsia"/>
                <w:color w:val="000000" w:themeColor="text1"/>
              </w:rPr>
              <w:t>第</w:t>
            </w:r>
            <w:r w:rsidRPr="00687B52">
              <w:rPr>
                <w:rFonts w:hint="eastAsia"/>
                <w:color w:val="000000" w:themeColor="text1"/>
              </w:rPr>
              <w:t>4.2.3</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2.36</w:t>
            </w:r>
          </w:p>
        </w:tc>
        <w:tc>
          <w:tcPr>
            <w:tcW w:w="2287" w:type="pct"/>
            <w:vAlign w:val="center"/>
          </w:tcPr>
          <w:p w:rsidR="00A0736D" w:rsidRPr="00687B52" w:rsidRDefault="00A0736D" w:rsidP="003E1D2A">
            <w:pPr>
              <w:pStyle w:val="a7"/>
              <w:jc w:val="left"/>
              <w:rPr>
                <w:color w:val="000000" w:themeColor="text1"/>
              </w:rPr>
            </w:pPr>
            <w:r w:rsidRPr="00687B52">
              <w:rPr>
                <w:color w:val="000000" w:themeColor="text1"/>
              </w:rPr>
              <w:t>检测比空气重的可燃气体检（探）测器，其安装高度应距地坪（或楼地板）</w:t>
            </w:r>
            <w:r w:rsidRPr="00687B52">
              <w:rPr>
                <w:color w:val="000000" w:themeColor="text1"/>
              </w:rPr>
              <w:t>0.3</w:t>
            </w:r>
            <w:r w:rsidRPr="00687B52">
              <w:rPr>
                <w:color w:val="000000" w:themeColor="text1"/>
              </w:rPr>
              <w:t>～</w:t>
            </w:r>
            <w:r w:rsidRPr="00687B52">
              <w:rPr>
                <w:color w:val="000000" w:themeColor="text1"/>
              </w:rPr>
              <w:t>0.6m</w:t>
            </w:r>
            <w:r w:rsidRPr="00687B52">
              <w:rPr>
                <w:color w:val="000000" w:themeColor="text1"/>
              </w:rPr>
              <w:t>。检测比空气重的有毒气体的检（探）测器，应靠近泄漏点</w:t>
            </w:r>
            <w:r w:rsidRPr="00687B52">
              <w:rPr>
                <w:color w:val="000000" w:themeColor="text1"/>
              </w:rPr>
              <w:t>,</w:t>
            </w:r>
            <w:r w:rsidRPr="00687B52">
              <w:rPr>
                <w:color w:val="000000" w:themeColor="text1"/>
              </w:rPr>
              <w:t>其安装高度应距地坪（或楼地板）</w:t>
            </w:r>
            <w:r w:rsidRPr="00687B52">
              <w:rPr>
                <w:color w:val="000000" w:themeColor="text1"/>
              </w:rPr>
              <w:t>0.3</w:t>
            </w:r>
            <w:r w:rsidRPr="00687B52">
              <w:rPr>
                <w:color w:val="000000" w:themeColor="text1"/>
              </w:rPr>
              <w:t>～</w:t>
            </w:r>
            <w:r w:rsidRPr="00687B52">
              <w:rPr>
                <w:color w:val="000000" w:themeColor="text1"/>
              </w:rPr>
              <w:t>0.6m</w:t>
            </w:r>
            <w:r w:rsidRPr="00687B52">
              <w:rPr>
                <w:color w:val="000000" w:themeColor="text1"/>
              </w:rPr>
              <w:t>。</w:t>
            </w:r>
          </w:p>
        </w:tc>
        <w:tc>
          <w:tcPr>
            <w:tcW w:w="1446" w:type="pct"/>
            <w:vAlign w:val="center"/>
          </w:tcPr>
          <w:p w:rsidR="00A0736D" w:rsidRPr="00687B52" w:rsidRDefault="00A0736D" w:rsidP="003E1D2A">
            <w:pPr>
              <w:pStyle w:val="a7"/>
              <w:rPr>
                <w:color w:val="000000" w:themeColor="text1"/>
              </w:rPr>
            </w:pPr>
            <w:r w:rsidRPr="00687B52">
              <w:rPr>
                <w:color w:val="000000" w:themeColor="text1"/>
              </w:rPr>
              <w:t>《石油化工可燃气体和有毒气体检测报警设计规范》</w:t>
            </w:r>
            <w:r w:rsidRPr="00687B52">
              <w:rPr>
                <w:color w:val="000000" w:themeColor="text1"/>
              </w:rPr>
              <w:t>GB50493-2009</w:t>
            </w:r>
            <w:r w:rsidRPr="00687B52">
              <w:rPr>
                <w:color w:val="000000" w:themeColor="text1"/>
              </w:rPr>
              <w:br/>
            </w:r>
            <w:r w:rsidRPr="00687B52">
              <w:rPr>
                <w:color w:val="000000" w:themeColor="text1"/>
              </w:rPr>
              <w:t>第</w:t>
            </w:r>
            <w:r w:rsidRPr="00687B52">
              <w:rPr>
                <w:color w:val="000000" w:themeColor="text1"/>
              </w:rPr>
              <w:t>6.1.1</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2.37</w:t>
            </w:r>
          </w:p>
        </w:tc>
        <w:tc>
          <w:tcPr>
            <w:tcW w:w="2287" w:type="pct"/>
            <w:vAlign w:val="center"/>
          </w:tcPr>
          <w:p w:rsidR="00A0736D" w:rsidRPr="00687B52" w:rsidRDefault="00A0736D" w:rsidP="003E1D2A">
            <w:pPr>
              <w:pStyle w:val="a7"/>
              <w:jc w:val="left"/>
              <w:rPr>
                <w:color w:val="000000" w:themeColor="text1"/>
                <w:szCs w:val="24"/>
              </w:rPr>
            </w:pPr>
            <w:r w:rsidRPr="00687B52">
              <w:rPr>
                <w:color w:val="000000" w:themeColor="text1"/>
              </w:rPr>
              <w:t>检测比空气轻的可燃气体或有毒气体的检（探）测器，其安装高度应高出释放源</w:t>
            </w:r>
            <w:r w:rsidRPr="00687B52">
              <w:rPr>
                <w:color w:val="000000" w:themeColor="text1"/>
              </w:rPr>
              <w:t>0.5</w:t>
            </w:r>
            <w:r w:rsidRPr="00687B52">
              <w:rPr>
                <w:color w:val="000000" w:themeColor="text1"/>
              </w:rPr>
              <w:t>～</w:t>
            </w:r>
            <w:r w:rsidRPr="00687B52">
              <w:rPr>
                <w:color w:val="000000" w:themeColor="text1"/>
              </w:rPr>
              <w:t>2m</w:t>
            </w:r>
            <w:r w:rsidRPr="00687B52">
              <w:rPr>
                <w:color w:val="000000" w:themeColor="text1"/>
              </w:rPr>
              <w:t>。</w:t>
            </w:r>
          </w:p>
        </w:tc>
        <w:tc>
          <w:tcPr>
            <w:tcW w:w="1446" w:type="pct"/>
            <w:vAlign w:val="center"/>
          </w:tcPr>
          <w:p w:rsidR="00A0736D" w:rsidRPr="00687B52" w:rsidRDefault="00A0736D" w:rsidP="003E1D2A">
            <w:pPr>
              <w:pStyle w:val="a7"/>
              <w:rPr>
                <w:color w:val="000000" w:themeColor="text1"/>
                <w:szCs w:val="24"/>
              </w:rPr>
            </w:pPr>
            <w:r w:rsidRPr="00687B52">
              <w:rPr>
                <w:color w:val="000000" w:themeColor="text1"/>
              </w:rPr>
              <w:t>《石油化工可燃气体和有毒气体检测报警设计规范》</w:t>
            </w:r>
            <w:r w:rsidRPr="00687B52">
              <w:rPr>
                <w:color w:val="000000" w:themeColor="text1"/>
              </w:rPr>
              <w:t>GB50493-2009</w:t>
            </w:r>
            <w:r w:rsidRPr="00687B52">
              <w:rPr>
                <w:color w:val="000000" w:themeColor="text1"/>
              </w:rPr>
              <w:br/>
            </w:r>
            <w:r w:rsidRPr="00687B52">
              <w:rPr>
                <w:color w:val="000000" w:themeColor="text1"/>
              </w:rPr>
              <w:t>第</w:t>
            </w:r>
            <w:r w:rsidRPr="00687B52">
              <w:rPr>
                <w:color w:val="000000" w:themeColor="text1"/>
              </w:rPr>
              <w:t>6.1.2</w:t>
            </w:r>
          </w:p>
        </w:tc>
        <w:tc>
          <w:tcPr>
            <w:tcW w:w="905" w:type="pct"/>
          </w:tcPr>
          <w:p w:rsidR="00A0736D" w:rsidRPr="00687B52" w:rsidRDefault="00A0736D" w:rsidP="003E1D2A">
            <w:pPr>
              <w:pStyle w:val="a7"/>
              <w:rPr>
                <w:color w:val="000000" w:themeColor="text1"/>
              </w:rPr>
            </w:pPr>
          </w:p>
        </w:tc>
      </w:tr>
      <w:tr w:rsidR="00A0736D" w:rsidRPr="00687B52" w:rsidTr="004D7D3D">
        <w:trPr>
          <w:jc w:val="center"/>
        </w:trPr>
        <w:tc>
          <w:tcPr>
            <w:tcW w:w="362" w:type="pct"/>
            <w:vAlign w:val="center"/>
          </w:tcPr>
          <w:p w:rsidR="00A0736D" w:rsidRPr="00687B52" w:rsidRDefault="00A0736D" w:rsidP="008829DB">
            <w:pPr>
              <w:pStyle w:val="a7"/>
              <w:rPr>
                <w:color w:val="000000" w:themeColor="text1"/>
              </w:rPr>
            </w:pPr>
            <w:r w:rsidRPr="00687B52">
              <w:rPr>
                <w:rFonts w:hint="eastAsia"/>
                <w:color w:val="000000" w:themeColor="text1"/>
              </w:rPr>
              <w:t>2.38</w:t>
            </w:r>
          </w:p>
        </w:tc>
        <w:tc>
          <w:tcPr>
            <w:tcW w:w="2287" w:type="pct"/>
            <w:vAlign w:val="center"/>
          </w:tcPr>
          <w:p w:rsidR="00A0736D" w:rsidRPr="00687B52" w:rsidRDefault="00A0736D" w:rsidP="003E1D2A">
            <w:pPr>
              <w:pStyle w:val="a7"/>
              <w:jc w:val="left"/>
              <w:rPr>
                <w:color w:val="000000" w:themeColor="text1"/>
                <w:szCs w:val="24"/>
              </w:rPr>
            </w:pPr>
            <w:r w:rsidRPr="00687B52">
              <w:rPr>
                <w:rFonts w:hint="eastAsia"/>
                <w:color w:val="000000" w:themeColor="text1"/>
              </w:rPr>
              <w:t>涉及可燃气体及有毒气体的工艺装置和储运设施，应设置可燃气体和有毒气体的泄露浓度检测。有毒有害、可燃气体泄漏检测报警信号应发送至有操作人员常驻的控制室、现场操作室进行报警。</w:t>
            </w:r>
          </w:p>
        </w:tc>
        <w:tc>
          <w:tcPr>
            <w:tcW w:w="1446" w:type="pct"/>
            <w:vAlign w:val="center"/>
          </w:tcPr>
          <w:p w:rsidR="00A0736D" w:rsidRPr="00687B52" w:rsidRDefault="00A0736D" w:rsidP="003E1D2A">
            <w:pPr>
              <w:pStyle w:val="a7"/>
              <w:rPr>
                <w:color w:val="000000" w:themeColor="text1"/>
              </w:rPr>
            </w:pPr>
            <w:r w:rsidRPr="00687B52">
              <w:rPr>
                <w:rFonts w:hint="eastAsia"/>
                <w:color w:val="000000" w:themeColor="text1"/>
              </w:rPr>
              <w:t>《石油化工可燃气体和有毒气体检测报警设计规范》</w:t>
            </w:r>
            <w:r w:rsidRPr="00687B52">
              <w:rPr>
                <w:rFonts w:hint="eastAsia"/>
                <w:color w:val="000000" w:themeColor="text1"/>
              </w:rPr>
              <w:t>GB50493-2009</w:t>
            </w:r>
          </w:p>
          <w:p w:rsidR="00A0736D" w:rsidRPr="00687B52" w:rsidRDefault="00A0736D" w:rsidP="003E1D2A">
            <w:pPr>
              <w:pStyle w:val="a7"/>
              <w:rPr>
                <w:color w:val="000000" w:themeColor="text1"/>
                <w:szCs w:val="24"/>
              </w:rPr>
            </w:pPr>
            <w:r w:rsidRPr="00687B52">
              <w:rPr>
                <w:rFonts w:hint="eastAsia"/>
                <w:color w:val="000000" w:themeColor="text1"/>
              </w:rPr>
              <w:t>第</w:t>
            </w:r>
            <w:r w:rsidRPr="00687B52">
              <w:rPr>
                <w:rFonts w:hint="eastAsia"/>
                <w:color w:val="000000" w:themeColor="text1"/>
              </w:rPr>
              <w:t>3.0</w:t>
            </w:r>
            <w:r w:rsidRPr="00687B52">
              <w:rPr>
                <w:rFonts w:hint="eastAsia"/>
                <w:color w:val="000000" w:themeColor="text1"/>
              </w:rPr>
              <w:t>条</w:t>
            </w:r>
          </w:p>
        </w:tc>
        <w:tc>
          <w:tcPr>
            <w:tcW w:w="905" w:type="pct"/>
          </w:tcPr>
          <w:p w:rsidR="00A0736D" w:rsidRPr="00687B52" w:rsidRDefault="00A0736D" w:rsidP="003E1D2A">
            <w:pPr>
              <w:pStyle w:val="a7"/>
              <w:rPr>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b/>
                <w:color w:val="000000" w:themeColor="text1"/>
              </w:rPr>
            </w:pPr>
            <w:r w:rsidRPr="00687B52">
              <w:rPr>
                <w:rFonts w:hint="eastAsia"/>
                <w:b/>
                <w:color w:val="000000" w:themeColor="text1"/>
              </w:rPr>
              <w:t>3</w:t>
            </w:r>
          </w:p>
        </w:tc>
        <w:tc>
          <w:tcPr>
            <w:tcW w:w="2287" w:type="pct"/>
            <w:vAlign w:val="center"/>
          </w:tcPr>
          <w:p w:rsidR="00F34E9F" w:rsidRPr="00687B52" w:rsidRDefault="00F34E9F" w:rsidP="003E1D2A">
            <w:pPr>
              <w:pStyle w:val="a7"/>
              <w:jc w:val="left"/>
              <w:rPr>
                <w:b/>
                <w:color w:val="000000" w:themeColor="text1"/>
              </w:rPr>
            </w:pPr>
            <w:r w:rsidRPr="00687B52">
              <w:rPr>
                <w:rFonts w:hint="eastAsia"/>
                <w:b/>
                <w:color w:val="000000" w:themeColor="text1"/>
              </w:rPr>
              <w:t>重大危险源</w:t>
            </w:r>
          </w:p>
        </w:tc>
        <w:tc>
          <w:tcPr>
            <w:tcW w:w="1446" w:type="pct"/>
            <w:vAlign w:val="center"/>
          </w:tcPr>
          <w:p w:rsidR="00F34E9F" w:rsidRPr="00687B52" w:rsidRDefault="00F34E9F" w:rsidP="003E1D2A">
            <w:pPr>
              <w:pStyle w:val="a7"/>
              <w:rPr>
                <w:color w:val="000000" w:themeColor="text1"/>
              </w:rPr>
            </w:pPr>
          </w:p>
        </w:tc>
        <w:tc>
          <w:tcPr>
            <w:tcW w:w="905" w:type="pct"/>
          </w:tcPr>
          <w:p w:rsidR="00F34E9F" w:rsidRPr="00687B52" w:rsidRDefault="00F34E9F" w:rsidP="003E1D2A">
            <w:pPr>
              <w:pStyle w:val="a7"/>
              <w:rPr>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3.1</w:t>
            </w:r>
          </w:p>
        </w:tc>
        <w:tc>
          <w:tcPr>
            <w:tcW w:w="2287" w:type="pct"/>
            <w:vAlign w:val="center"/>
          </w:tcPr>
          <w:p w:rsidR="00F34E9F" w:rsidRPr="00687B52" w:rsidRDefault="00F34E9F" w:rsidP="003E1D2A">
            <w:pPr>
              <w:pStyle w:val="a7"/>
              <w:jc w:val="left"/>
              <w:rPr>
                <w:rFonts w:ascii="宋体" w:hAnsi="宋体" w:cs="Times New Roman"/>
                <w:color w:val="000000" w:themeColor="text1"/>
              </w:rPr>
            </w:pPr>
            <w:r w:rsidRPr="00687B52">
              <w:rPr>
                <w:rFonts w:ascii="宋体" w:hAnsi="宋体" w:cs="Times New Roman" w:hint="eastAsia"/>
                <w:color w:val="000000" w:themeColor="text1"/>
              </w:rPr>
              <w:t>重大危险源的化工生产装置装备应该设置自动化控制系统；一级或者二级重大危险源应装备紧急停车系统。</w:t>
            </w:r>
          </w:p>
        </w:tc>
        <w:tc>
          <w:tcPr>
            <w:tcW w:w="1446" w:type="pct"/>
            <w:vAlign w:val="center"/>
          </w:tcPr>
          <w:p w:rsidR="00F34E9F" w:rsidRPr="00687B52" w:rsidRDefault="00F34E9F" w:rsidP="003E1D2A">
            <w:pPr>
              <w:pStyle w:val="a7"/>
              <w:rPr>
                <w:color w:val="000000" w:themeColor="text1"/>
              </w:rPr>
            </w:pPr>
            <w:r w:rsidRPr="00687B52">
              <w:rPr>
                <w:color w:val="000000" w:themeColor="text1"/>
              </w:rPr>
              <w:t>《危险化学品重大危险源监督管理暂行规定》</w:t>
            </w:r>
            <w:r w:rsidRPr="00687B52">
              <w:rPr>
                <w:rFonts w:hint="eastAsia"/>
                <w:color w:val="000000" w:themeColor="text1"/>
              </w:rPr>
              <w:t>第</w:t>
            </w:r>
            <w:r w:rsidRPr="00687B52">
              <w:rPr>
                <w:rFonts w:hint="eastAsia"/>
                <w:color w:val="000000" w:themeColor="text1"/>
              </w:rPr>
              <w:t>13</w:t>
            </w:r>
            <w:r w:rsidRPr="00687B52">
              <w:rPr>
                <w:rFonts w:hint="eastAsia"/>
                <w:color w:val="000000" w:themeColor="text1"/>
              </w:rPr>
              <w:t>条</w:t>
            </w:r>
          </w:p>
        </w:tc>
        <w:tc>
          <w:tcPr>
            <w:tcW w:w="905" w:type="pct"/>
          </w:tcPr>
          <w:p w:rsidR="00F34E9F" w:rsidRPr="00687B52" w:rsidRDefault="00F34E9F" w:rsidP="003E1D2A">
            <w:pPr>
              <w:pStyle w:val="a7"/>
              <w:rPr>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3.2</w:t>
            </w:r>
          </w:p>
        </w:tc>
        <w:tc>
          <w:tcPr>
            <w:tcW w:w="2287" w:type="pct"/>
            <w:vAlign w:val="center"/>
          </w:tcPr>
          <w:p w:rsidR="00F34E9F" w:rsidRPr="00687B52" w:rsidRDefault="00F34E9F" w:rsidP="003E1D2A">
            <w:pPr>
              <w:pStyle w:val="a7"/>
              <w:jc w:val="left"/>
              <w:rPr>
                <w:rFonts w:ascii="宋体" w:hAnsi="宋体" w:cs="Times New Roman"/>
                <w:color w:val="000000" w:themeColor="text1"/>
              </w:rPr>
            </w:pPr>
            <w:r w:rsidRPr="00687B52">
              <w:rPr>
                <w:rFonts w:ascii="宋体" w:hAnsi="宋体" w:cs="Times New Roman" w:hint="eastAsia"/>
                <w:color w:val="000000" w:themeColor="text1"/>
              </w:rPr>
              <w:t>重大危险源中有毒性气体、剧毒液体和易燃气体等重点设</w:t>
            </w:r>
            <w:r w:rsidRPr="00687B52">
              <w:rPr>
                <w:rFonts w:ascii="宋体" w:hAnsi="宋体" w:cs="Times New Roman" w:hint="eastAsia"/>
                <w:color w:val="000000" w:themeColor="text1"/>
              </w:rPr>
              <w:lastRenderedPageBreak/>
              <w:t>施，应设置紧急切断装置；有毒性气体的设施，应设置泄漏物紧急处置装置。涉及毒性气体、液化气体、剧毒液体的一级或者二级重大危险源，应配备独立的安全仪表系统（SIS）；</w:t>
            </w:r>
          </w:p>
          <w:p w:rsidR="00F34E9F" w:rsidRPr="00687B52" w:rsidRDefault="00F34E9F" w:rsidP="003E1D2A">
            <w:pPr>
              <w:pStyle w:val="a7"/>
              <w:jc w:val="left"/>
              <w:rPr>
                <w:rFonts w:ascii="宋体" w:hAnsi="宋体" w:cs="Times New Roman"/>
                <w:color w:val="000000" w:themeColor="text1"/>
              </w:rPr>
            </w:pPr>
            <w:r w:rsidRPr="00687B52">
              <w:rPr>
                <w:rFonts w:ascii="宋体" w:hAnsi="宋体" w:cs="Times New Roman" w:hint="eastAsia"/>
                <w:color w:val="000000" w:themeColor="text1"/>
              </w:rPr>
              <w:t>储存剧毒物质的场所或者设施，应设置视频监控系统。</w:t>
            </w:r>
          </w:p>
        </w:tc>
        <w:tc>
          <w:tcPr>
            <w:tcW w:w="1446" w:type="pct"/>
            <w:vAlign w:val="center"/>
          </w:tcPr>
          <w:p w:rsidR="00F34E9F" w:rsidRPr="00687B52" w:rsidRDefault="00F34E9F" w:rsidP="003E1D2A">
            <w:pPr>
              <w:pStyle w:val="a7"/>
              <w:rPr>
                <w:color w:val="000000" w:themeColor="text1"/>
              </w:rPr>
            </w:pPr>
            <w:r w:rsidRPr="00687B52">
              <w:rPr>
                <w:color w:val="000000" w:themeColor="text1"/>
              </w:rPr>
              <w:lastRenderedPageBreak/>
              <w:t>《危险化学品重大危险源监督管理</w:t>
            </w:r>
            <w:r w:rsidRPr="00687B52">
              <w:rPr>
                <w:color w:val="000000" w:themeColor="text1"/>
              </w:rPr>
              <w:lastRenderedPageBreak/>
              <w:t>暂行规定》</w:t>
            </w:r>
          </w:p>
          <w:p w:rsidR="00F34E9F" w:rsidRPr="00687B52" w:rsidRDefault="00F34E9F" w:rsidP="003E1D2A">
            <w:pPr>
              <w:pStyle w:val="a7"/>
              <w:rPr>
                <w:color w:val="000000" w:themeColor="text1"/>
              </w:rPr>
            </w:pPr>
            <w:r w:rsidRPr="00687B52">
              <w:rPr>
                <w:rFonts w:hint="eastAsia"/>
                <w:color w:val="000000" w:themeColor="text1"/>
              </w:rPr>
              <w:t>第</w:t>
            </w:r>
            <w:r w:rsidRPr="00687B52">
              <w:rPr>
                <w:rFonts w:hint="eastAsia"/>
                <w:color w:val="000000" w:themeColor="text1"/>
              </w:rPr>
              <w:t>13</w:t>
            </w:r>
            <w:r w:rsidRPr="00687B52">
              <w:rPr>
                <w:rFonts w:hint="eastAsia"/>
                <w:color w:val="000000" w:themeColor="text1"/>
              </w:rPr>
              <w:t>条</w:t>
            </w:r>
          </w:p>
        </w:tc>
        <w:tc>
          <w:tcPr>
            <w:tcW w:w="905" w:type="pct"/>
          </w:tcPr>
          <w:p w:rsidR="00F34E9F" w:rsidRPr="00687B52" w:rsidRDefault="00F34E9F" w:rsidP="003E1D2A">
            <w:pPr>
              <w:pStyle w:val="a7"/>
              <w:rPr>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lastRenderedPageBreak/>
              <w:t>3.3</w:t>
            </w:r>
          </w:p>
        </w:tc>
        <w:tc>
          <w:tcPr>
            <w:tcW w:w="2287" w:type="pct"/>
            <w:vAlign w:val="center"/>
          </w:tcPr>
          <w:p w:rsidR="00F34E9F" w:rsidRPr="00687B52" w:rsidRDefault="00F34E9F" w:rsidP="003E1D2A">
            <w:pPr>
              <w:pStyle w:val="a7"/>
              <w:jc w:val="left"/>
              <w:rPr>
                <w:color w:val="000000" w:themeColor="text1"/>
                <w:kern w:val="0"/>
              </w:rPr>
            </w:pPr>
            <w:r w:rsidRPr="00687B52">
              <w:rPr>
                <w:rFonts w:hint="eastAsia"/>
                <w:color w:val="000000" w:themeColor="text1"/>
                <w:kern w:val="0"/>
              </w:rPr>
              <w:t>对存在吸入性有毒、有害气体的重大危险源，应配备便携式浓度检测设备、空气呼吸器、化学防护服、堵漏器材等应急器材和设备；涉及剧毒气体的重大危险源，还应当配备两套以上（含本数）气密型化学防护服；涉及易燃易爆气体或者易燃液体蒸气的重大危险源，还应当配备一定数量的便携式可燃气体检测设备。</w:t>
            </w:r>
          </w:p>
        </w:tc>
        <w:tc>
          <w:tcPr>
            <w:tcW w:w="1446" w:type="pct"/>
            <w:vAlign w:val="center"/>
          </w:tcPr>
          <w:p w:rsidR="00F34E9F" w:rsidRPr="00687B52" w:rsidRDefault="00F34E9F" w:rsidP="003E1D2A">
            <w:pPr>
              <w:pStyle w:val="a7"/>
              <w:rPr>
                <w:color w:val="000000" w:themeColor="text1"/>
              </w:rPr>
            </w:pPr>
            <w:r w:rsidRPr="00687B52">
              <w:rPr>
                <w:rFonts w:hint="eastAsia"/>
                <w:color w:val="000000" w:themeColor="text1"/>
              </w:rPr>
              <w:t>《危险化学品重大危险源监督管理暂行规定》第</w:t>
            </w:r>
            <w:r w:rsidRPr="00687B52">
              <w:rPr>
                <w:rFonts w:hint="eastAsia"/>
                <w:color w:val="000000" w:themeColor="text1"/>
              </w:rPr>
              <w:t>20</w:t>
            </w:r>
            <w:r w:rsidRPr="00687B52">
              <w:rPr>
                <w:rFonts w:hint="eastAsia"/>
                <w:color w:val="000000" w:themeColor="text1"/>
              </w:rPr>
              <w:t>条</w:t>
            </w:r>
          </w:p>
        </w:tc>
        <w:tc>
          <w:tcPr>
            <w:tcW w:w="905" w:type="pct"/>
          </w:tcPr>
          <w:p w:rsidR="00F34E9F" w:rsidRPr="00687B52" w:rsidRDefault="00F34E9F" w:rsidP="003E1D2A">
            <w:pPr>
              <w:pStyle w:val="a7"/>
              <w:rPr>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b/>
                <w:color w:val="000000" w:themeColor="text1"/>
                <w:szCs w:val="24"/>
              </w:rPr>
            </w:pPr>
            <w:r w:rsidRPr="00687B52">
              <w:rPr>
                <w:rFonts w:hint="eastAsia"/>
                <w:b/>
                <w:color w:val="000000" w:themeColor="text1"/>
                <w:szCs w:val="24"/>
              </w:rPr>
              <w:t>4</w:t>
            </w:r>
          </w:p>
        </w:tc>
        <w:tc>
          <w:tcPr>
            <w:tcW w:w="2287" w:type="pct"/>
            <w:vAlign w:val="center"/>
          </w:tcPr>
          <w:p w:rsidR="00F34E9F" w:rsidRPr="00687B52" w:rsidRDefault="00F34E9F" w:rsidP="003E1D2A">
            <w:pPr>
              <w:pStyle w:val="a7"/>
              <w:jc w:val="left"/>
              <w:rPr>
                <w:b/>
                <w:color w:val="000000" w:themeColor="text1"/>
                <w:szCs w:val="24"/>
              </w:rPr>
            </w:pPr>
            <w:r w:rsidRPr="00687B52">
              <w:rPr>
                <w:rFonts w:hint="eastAsia"/>
                <w:b/>
                <w:color w:val="000000" w:themeColor="text1"/>
                <w:szCs w:val="24"/>
              </w:rPr>
              <w:t>公用工程</w:t>
            </w:r>
          </w:p>
        </w:tc>
        <w:tc>
          <w:tcPr>
            <w:tcW w:w="1446" w:type="pct"/>
            <w:vAlign w:val="center"/>
          </w:tcPr>
          <w:p w:rsidR="00F34E9F" w:rsidRPr="00687B52" w:rsidRDefault="00F34E9F" w:rsidP="003E1D2A">
            <w:pPr>
              <w:pStyle w:val="a7"/>
              <w:rPr>
                <w:color w:val="000000" w:themeColor="text1"/>
              </w:rPr>
            </w:pPr>
          </w:p>
        </w:tc>
        <w:tc>
          <w:tcPr>
            <w:tcW w:w="905" w:type="pct"/>
          </w:tcPr>
          <w:p w:rsidR="00F34E9F" w:rsidRPr="00687B52" w:rsidRDefault="00F34E9F" w:rsidP="003E1D2A">
            <w:pPr>
              <w:pStyle w:val="a7"/>
              <w:rPr>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b/>
                <w:color w:val="000000" w:themeColor="text1"/>
                <w:szCs w:val="24"/>
              </w:rPr>
            </w:pPr>
            <w:r w:rsidRPr="00687B52">
              <w:rPr>
                <w:rFonts w:hint="eastAsia"/>
                <w:b/>
                <w:color w:val="000000" w:themeColor="text1"/>
                <w:szCs w:val="24"/>
              </w:rPr>
              <w:t>4.1</w:t>
            </w:r>
          </w:p>
        </w:tc>
        <w:tc>
          <w:tcPr>
            <w:tcW w:w="2287" w:type="pct"/>
            <w:vAlign w:val="center"/>
          </w:tcPr>
          <w:p w:rsidR="00F34E9F" w:rsidRPr="00687B52" w:rsidRDefault="00F34E9F" w:rsidP="003E1D2A">
            <w:pPr>
              <w:pStyle w:val="a7"/>
              <w:jc w:val="left"/>
              <w:rPr>
                <w:b/>
                <w:color w:val="000000" w:themeColor="text1"/>
                <w:szCs w:val="24"/>
              </w:rPr>
            </w:pPr>
            <w:r w:rsidRPr="00687B52">
              <w:rPr>
                <w:rFonts w:hint="eastAsia"/>
                <w:b/>
                <w:color w:val="000000" w:themeColor="text1"/>
                <w:szCs w:val="24"/>
              </w:rPr>
              <w:t>消防系统及应急处理</w:t>
            </w:r>
          </w:p>
        </w:tc>
        <w:tc>
          <w:tcPr>
            <w:tcW w:w="1446" w:type="pct"/>
            <w:vAlign w:val="center"/>
          </w:tcPr>
          <w:p w:rsidR="00F34E9F" w:rsidRPr="00687B52" w:rsidRDefault="00F34E9F" w:rsidP="003E1D2A">
            <w:pPr>
              <w:pStyle w:val="a7"/>
              <w:rPr>
                <w:color w:val="000000" w:themeColor="text1"/>
              </w:rPr>
            </w:pP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692A81" w:rsidRPr="00687B52" w:rsidTr="004D7D3D">
        <w:trPr>
          <w:jc w:val="center"/>
        </w:trPr>
        <w:tc>
          <w:tcPr>
            <w:tcW w:w="362" w:type="pct"/>
            <w:vAlign w:val="center"/>
          </w:tcPr>
          <w:p w:rsidR="00692A81" w:rsidRPr="00687B52" w:rsidRDefault="00692A81" w:rsidP="008829DB">
            <w:pPr>
              <w:pStyle w:val="a7"/>
              <w:rPr>
                <w:color w:val="000000" w:themeColor="text1"/>
                <w:szCs w:val="24"/>
              </w:rPr>
            </w:pPr>
            <w:r w:rsidRPr="00687B52">
              <w:rPr>
                <w:rFonts w:hint="eastAsia"/>
                <w:color w:val="000000" w:themeColor="text1"/>
                <w:szCs w:val="24"/>
              </w:rPr>
              <w:t>4.1.1</w:t>
            </w:r>
          </w:p>
        </w:tc>
        <w:tc>
          <w:tcPr>
            <w:tcW w:w="2287" w:type="pct"/>
            <w:vAlign w:val="center"/>
          </w:tcPr>
          <w:p w:rsidR="00692A81" w:rsidRPr="00687B52" w:rsidRDefault="00692A81" w:rsidP="003E1D2A">
            <w:pPr>
              <w:pStyle w:val="a7"/>
              <w:jc w:val="left"/>
              <w:rPr>
                <w:color w:val="000000" w:themeColor="text1"/>
                <w:szCs w:val="24"/>
              </w:rPr>
            </w:pPr>
            <w:r w:rsidRPr="00687B52">
              <w:rPr>
                <w:rFonts w:hint="eastAsia"/>
                <w:color w:val="000000" w:themeColor="text1"/>
                <w:szCs w:val="24"/>
              </w:rPr>
              <w:t>除了本规范另有规定外，厂房的层数和每个防火分区的最大允许建筑面积应符合表</w:t>
            </w:r>
            <w:r w:rsidRPr="00687B52">
              <w:rPr>
                <w:rFonts w:hint="eastAsia"/>
                <w:color w:val="000000" w:themeColor="text1"/>
                <w:szCs w:val="24"/>
              </w:rPr>
              <w:t>3.3.1</w:t>
            </w:r>
            <w:r w:rsidRPr="00687B52">
              <w:rPr>
                <w:rFonts w:hint="eastAsia"/>
                <w:color w:val="000000" w:themeColor="text1"/>
                <w:szCs w:val="24"/>
              </w:rPr>
              <w:t>的规定。仓库的层数和面积应符合表</w:t>
            </w:r>
            <w:r w:rsidRPr="00687B52">
              <w:rPr>
                <w:rFonts w:hint="eastAsia"/>
                <w:color w:val="000000" w:themeColor="text1"/>
                <w:szCs w:val="24"/>
              </w:rPr>
              <w:t>3.3.2</w:t>
            </w:r>
            <w:r w:rsidRPr="00687B52">
              <w:rPr>
                <w:rFonts w:hint="eastAsia"/>
                <w:color w:val="000000" w:themeColor="text1"/>
                <w:szCs w:val="24"/>
              </w:rPr>
              <w:t>的规定。</w:t>
            </w:r>
          </w:p>
        </w:tc>
        <w:tc>
          <w:tcPr>
            <w:tcW w:w="1446" w:type="pct"/>
            <w:vAlign w:val="center"/>
          </w:tcPr>
          <w:p w:rsidR="00692A81" w:rsidRPr="00687B52" w:rsidRDefault="00692A81" w:rsidP="00894101">
            <w:pPr>
              <w:pStyle w:val="a7"/>
              <w:rPr>
                <w:color w:val="000000" w:themeColor="text1"/>
                <w:kern w:val="0"/>
              </w:rPr>
            </w:pPr>
            <w:r w:rsidRPr="00687B52">
              <w:rPr>
                <w:rFonts w:hint="eastAsia"/>
                <w:color w:val="000000" w:themeColor="text1"/>
                <w:kern w:val="0"/>
              </w:rPr>
              <w:t>《建筑设计防火规范》</w:t>
            </w:r>
          </w:p>
          <w:p w:rsidR="00692A81" w:rsidRPr="00687B52" w:rsidRDefault="00692A81" w:rsidP="00894101">
            <w:pPr>
              <w:pStyle w:val="a7"/>
              <w:rPr>
                <w:color w:val="000000" w:themeColor="text1"/>
              </w:rPr>
            </w:pPr>
            <w:r w:rsidRPr="00687B52">
              <w:rPr>
                <w:rFonts w:hint="eastAsia"/>
                <w:color w:val="000000" w:themeColor="text1"/>
                <w:kern w:val="0"/>
              </w:rPr>
              <w:t>GB50016-2014</w:t>
            </w:r>
            <w:r w:rsidRPr="00687B52">
              <w:rPr>
                <w:rFonts w:hint="eastAsia"/>
                <w:color w:val="000000" w:themeColor="text1"/>
                <w:kern w:val="0"/>
              </w:rPr>
              <w:t>第</w:t>
            </w:r>
            <w:r w:rsidRPr="00687B52">
              <w:rPr>
                <w:rFonts w:hint="eastAsia"/>
                <w:color w:val="000000" w:themeColor="text1"/>
                <w:kern w:val="0"/>
              </w:rPr>
              <w:t>3.3.1</w:t>
            </w:r>
            <w:r w:rsidRPr="00687B52">
              <w:rPr>
                <w:rFonts w:hint="eastAsia"/>
                <w:color w:val="000000" w:themeColor="text1"/>
                <w:kern w:val="0"/>
              </w:rPr>
              <w:t>、</w:t>
            </w:r>
            <w:r w:rsidRPr="00687B52">
              <w:rPr>
                <w:rFonts w:hint="eastAsia"/>
                <w:color w:val="000000" w:themeColor="text1"/>
                <w:kern w:val="0"/>
              </w:rPr>
              <w:t>3.3.2</w:t>
            </w:r>
            <w:r w:rsidRPr="00687B52">
              <w:rPr>
                <w:rFonts w:hint="eastAsia"/>
                <w:color w:val="000000" w:themeColor="text1"/>
                <w:kern w:val="0"/>
              </w:rPr>
              <w:t>条</w:t>
            </w:r>
          </w:p>
        </w:tc>
        <w:tc>
          <w:tcPr>
            <w:tcW w:w="905" w:type="pct"/>
          </w:tcPr>
          <w:p w:rsidR="00692A81" w:rsidRPr="00687B52" w:rsidRDefault="00692A81" w:rsidP="003E1D2A">
            <w:pPr>
              <w:pStyle w:val="a7"/>
              <w:rPr>
                <w:rFonts w:asciiTheme="minorEastAsia" w:eastAsiaTheme="minorEastAsia" w:hAnsiTheme="minorEastAsia"/>
                <w:color w:val="000000" w:themeColor="text1"/>
              </w:rPr>
            </w:pPr>
          </w:p>
        </w:tc>
      </w:tr>
      <w:tr w:rsidR="00692A81" w:rsidRPr="00687B52" w:rsidTr="004D7D3D">
        <w:trPr>
          <w:jc w:val="center"/>
        </w:trPr>
        <w:tc>
          <w:tcPr>
            <w:tcW w:w="362" w:type="pct"/>
            <w:vAlign w:val="center"/>
          </w:tcPr>
          <w:p w:rsidR="00692A81" w:rsidRPr="00687B52" w:rsidRDefault="00692A81" w:rsidP="008829DB">
            <w:pPr>
              <w:pStyle w:val="a7"/>
              <w:rPr>
                <w:color w:val="000000" w:themeColor="text1"/>
                <w:szCs w:val="24"/>
              </w:rPr>
            </w:pPr>
            <w:r w:rsidRPr="00687B52">
              <w:rPr>
                <w:rFonts w:hint="eastAsia"/>
                <w:color w:val="000000" w:themeColor="text1"/>
                <w:szCs w:val="24"/>
              </w:rPr>
              <w:t>4.1.2</w:t>
            </w:r>
          </w:p>
        </w:tc>
        <w:tc>
          <w:tcPr>
            <w:tcW w:w="2287" w:type="pct"/>
            <w:vAlign w:val="center"/>
          </w:tcPr>
          <w:p w:rsidR="00692A81" w:rsidRPr="00687B52" w:rsidRDefault="00692A81" w:rsidP="003E1D2A">
            <w:pPr>
              <w:pStyle w:val="a7"/>
              <w:jc w:val="left"/>
              <w:rPr>
                <w:color w:val="000000" w:themeColor="text1"/>
                <w:szCs w:val="24"/>
              </w:rPr>
            </w:pPr>
            <w:r w:rsidRPr="00687B52">
              <w:rPr>
                <w:rFonts w:hint="eastAsia"/>
                <w:color w:val="000000" w:themeColor="text1"/>
                <w:szCs w:val="24"/>
              </w:rPr>
              <w:t>甲、乙类生产场所（仓库）不应设置在地下或半地下。</w:t>
            </w:r>
          </w:p>
        </w:tc>
        <w:tc>
          <w:tcPr>
            <w:tcW w:w="1446" w:type="pct"/>
            <w:vAlign w:val="center"/>
          </w:tcPr>
          <w:p w:rsidR="00692A81" w:rsidRPr="00687B52" w:rsidRDefault="00692A81" w:rsidP="00894101">
            <w:pPr>
              <w:pStyle w:val="a7"/>
              <w:rPr>
                <w:color w:val="000000" w:themeColor="text1"/>
                <w:kern w:val="0"/>
              </w:rPr>
            </w:pPr>
            <w:r w:rsidRPr="00687B52">
              <w:rPr>
                <w:rFonts w:hint="eastAsia"/>
                <w:color w:val="000000" w:themeColor="text1"/>
                <w:kern w:val="0"/>
              </w:rPr>
              <w:t>《建筑设计防火规范》</w:t>
            </w:r>
          </w:p>
          <w:p w:rsidR="00692A81" w:rsidRPr="00687B52" w:rsidRDefault="00692A81" w:rsidP="00894101">
            <w:pPr>
              <w:pStyle w:val="a7"/>
              <w:rPr>
                <w:color w:val="000000" w:themeColor="text1"/>
                <w:kern w:val="0"/>
              </w:rPr>
            </w:pPr>
            <w:r w:rsidRPr="00687B52">
              <w:rPr>
                <w:rFonts w:hint="eastAsia"/>
                <w:color w:val="000000" w:themeColor="text1"/>
                <w:kern w:val="0"/>
              </w:rPr>
              <w:t>GB50016-2014</w:t>
            </w:r>
            <w:r w:rsidRPr="00687B52">
              <w:rPr>
                <w:rFonts w:hint="eastAsia"/>
                <w:color w:val="000000" w:themeColor="text1"/>
                <w:kern w:val="0"/>
              </w:rPr>
              <w:t>第</w:t>
            </w:r>
            <w:r w:rsidRPr="00687B52">
              <w:rPr>
                <w:rFonts w:hint="eastAsia"/>
                <w:color w:val="000000" w:themeColor="text1"/>
                <w:kern w:val="0"/>
              </w:rPr>
              <w:t>3.3.4</w:t>
            </w:r>
            <w:r w:rsidRPr="00687B52">
              <w:rPr>
                <w:rFonts w:hint="eastAsia"/>
                <w:color w:val="000000" w:themeColor="text1"/>
                <w:kern w:val="0"/>
              </w:rPr>
              <w:t>条</w:t>
            </w:r>
          </w:p>
        </w:tc>
        <w:tc>
          <w:tcPr>
            <w:tcW w:w="905" w:type="pct"/>
          </w:tcPr>
          <w:p w:rsidR="00692A81" w:rsidRPr="00687B52" w:rsidRDefault="00692A81" w:rsidP="003E1D2A">
            <w:pPr>
              <w:pStyle w:val="a7"/>
              <w:rPr>
                <w:rFonts w:asciiTheme="minorEastAsia" w:eastAsiaTheme="minorEastAsia" w:hAnsiTheme="minorEastAsia"/>
                <w:color w:val="000000" w:themeColor="text1"/>
              </w:rPr>
            </w:pPr>
          </w:p>
        </w:tc>
      </w:tr>
      <w:tr w:rsidR="00692A81" w:rsidRPr="00687B52" w:rsidTr="004D7D3D">
        <w:trPr>
          <w:jc w:val="center"/>
        </w:trPr>
        <w:tc>
          <w:tcPr>
            <w:tcW w:w="362" w:type="pct"/>
            <w:vAlign w:val="center"/>
          </w:tcPr>
          <w:p w:rsidR="00692A81" w:rsidRPr="00687B52" w:rsidRDefault="00692A81" w:rsidP="008829DB">
            <w:pPr>
              <w:pStyle w:val="a7"/>
              <w:rPr>
                <w:color w:val="000000" w:themeColor="text1"/>
                <w:szCs w:val="24"/>
              </w:rPr>
            </w:pPr>
            <w:r w:rsidRPr="00687B52">
              <w:rPr>
                <w:rFonts w:hint="eastAsia"/>
                <w:color w:val="000000" w:themeColor="text1"/>
                <w:szCs w:val="24"/>
              </w:rPr>
              <w:t>4.1.3</w:t>
            </w:r>
          </w:p>
        </w:tc>
        <w:tc>
          <w:tcPr>
            <w:tcW w:w="2287" w:type="pct"/>
            <w:vAlign w:val="center"/>
          </w:tcPr>
          <w:p w:rsidR="00692A81" w:rsidRPr="00687B52" w:rsidRDefault="00692A81" w:rsidP="003E1D2A">
            <w:pPr>
              <w:pStyle w:val="a7"/>
              <w:jc w:val="left"/>
              <w:rPr>
                <w:color w:val="000000" w:themeColor="text1"/>
                <w:szCs w:val="24"/>
              </w:rPr>
            </w:pPr>
            <w:r w:rsidRPr="00687B52">
              <w:rPr>
                <w:rFonts w:hint="eastAsia"/>
                <w:color w:val="000000" w:themeColor="text1"/>
                <w:szCs w:val="24"/>
              </w:rPr>
              <w:t>员工宿舍严禁设置在厂房、仓库内。</w:t>
            </w:r>
          </w:p>
        </w:tc>
        <w:tc>
          <w:tcPr>
            <w:tcW w:w="1446" w:type="pct"/>
            <w:vAlign w:val="center"/>
          </w:tcPr>
          <w:p w:rsidR="00692A81" w:rsidRPr="00687B52" w:rsidRDefault="00692A81" w:rsidP="00894101">
            <w:pPr>
              <w:pStyle w:val="a7"/>
              <w:rPr>
                <w:color w:val="000000" w:themeColor="text1"/>
                <w:kern w:val="0"/>
              </w:rPr>
            </w:pPr>
            <w:r w:rsidRPr="00687B52">
              <w:rPr>
                <w:rFonts w:hint="eastAsia"/>
                <w:color w:val="000000" w:themeColor="text1"/>
                <w:kern w:val="0"/>
              </w:rPr>
              <w:t>《建筑设计防火规范》</w:t>
            </w:r>
          </w:p>
          <w:p w:rsidR="00692A81" w:rsidRPr="00687B52" w:rsidRDefault="00692A81" w:rsidP="00894101">
            <w:pPr>
              <w:pStyle w:val="a7"/>
              <w:rPr>
                <w:color w:val="000000" w:themeColor="text1"/>
                <w:kern w:val="0"/>
              </w:rPr>
            </w:pPr>
            <w:r w:rsidRPr="00687B52">
              <w:rPr>
                <w:rFonts w:hint="eastAsia"/>
                <w:color w:val="000000" w:themeColor="text1"/>
                <w:kern w:val="0"/>
              </w:rPr>
              <w:t>GB50016-2014</w:t>
            </w:r>
            <w:r w:rsidRPr="00687B52">
              <w:rPr>
                <w:rFonts w:hint="eastAsia"/>
                <w:color w:val="000000" w:themeColor="text1"/>
                <w:kern w:val="0"/>
              </w:rPr>
              <w:t>第</w:t>
            </w:r>
            <w:r w:rsidRPr="00687B52">
              <w:rPr>
                <w:rFonts w:hint="eastAsia"/>
                <w:color w:val="000000" w:themeColor="text1"/>
                <w:kern w:val="0"/>
              </w:rPr>
              <w:t>3.3.5</w:t>
            </w:r>
            <w:r w:rsidRPr="00687B52">
              <w:rPr>
                <w:rFonts w:hint="eastAsia"/>
                <w:color w:val="000000" w:themeColor="text1"/>
                <w:kern w:val="0"/>
              </w:rPr>
              <w:t>、</w:t>
            </w:r>
            <w:r w:rsidRPr="00687B52">
              <w:rPr>
                <w:rFonts w:hint="eastAsia"/>
                <w:color w:val="000000" w:themeColor="text1"/>
                <w:kern w:val="0"/>
              </w:rPr>
              <w:t>3.3.9</w:t>
            </w:r>
            <w:r w:rsidRPr="00687B52">
              <w:rPr>
                <w:rFonts w:hint="eastAsia"/>
                <w:color w:val="000000" w:themeColor="text1"/>
                <w:kern w:val="0"/>
              </w:rPr>
              <w:t>条</w:t>
            </w:r>
          </w:p>
        </w:tc>
        <w:tc>
          <w:tcPr>
            <w:tcW w:w="905" w:type="pct"/>
          </w:tcPr>
          <w:p w:rsidR="00692A81" w:rsidRPr="00687B52" w:rsidRDefault="00692A81" w:rsidP="003E1D2A">
            <w:pPr>
              <w:pStyle w:val="a7"/>
              <w:rPr>
                <w:rFonts w:asciiTheme="minorEastAsia" w:eastAsiaTheme="minorEastAsia" w:hAnsiTheme="minorEastAsia"/>
                <w:color w:val="000000" w:themeColor="text1"/>
              </w:rPr>
            </w:pPr>
          </w:p>
        </w:tc>
      </w:tr>
      <w:tr w:rsidR="00692A81" w:rsidRPr="00687B52" w:rsidTr="004D7D3D">
        <w:trPr>
          <w:jc w:val="center"/>
        </w:trPr>
        <w:tc>
          <w:tcPr>
            <w:tcW w:w="362" w:type="pct"/>
            <w:vAlign w:val="center"/>
          </w:tcPr>
          <w:p w:rsidR="00692A81" w:rsidRPr="00687B52" w:rsidRDefault="00692A81" w:rsidP="008829DB">
            <w:pPr>
              <w:pStyle w:val="a7"/>
              <w:rPr>
                <w:color w:val="000000" w:themeColor="text1"/>
                <w:szCs w:val="24"/>
              </w:rPr>
            </w:pPr>
            <w:r w:rsidRPr="00687B52">
              <w:rPr>
                <w:rFonts w:hint="eastAsia"/>
                <w:color w:val="000000" w:themeColor="text1"/>
                <w:szCs w:val="24"/>
              </w:rPr>
              <w:t>4.1.4</w:t>
            </w:r>
          </w:p>
        </w:tc>
        <w:tc>
          <w:tcPr>
            <w:tcW w:w="2287" w:type="pct"/>
            <w:vAlign w:val="center"/>
          </w:tcPr>
          <w:p w:rsidR="00692A81" w:rsidRPr="00687B52" w:rsidRDefault="00692A81" w:rsidP="003E1D2A">
            <w:pPr>
              <w:pStyle w:val="a7"/>
              <w:jc w:val="left"/>
              <w:rPr>
                <w:color w:val="000000" w:themeColor="text1"/>
                <w:kern w:val="0"/>
              </w:rPr>
            </w:pPr>
            <w:r w:rsidRPr="00687B52">
              <w:rPr>
                <w:rFonts w:hint="eastAsia"/>
                <w:color w:val="000000" w:themeColor="text1"/>
                <w:kern w:val="0"/>
              </w:rPr>
              <w:t>化工企业设置专职消防站，也可与地方消防站联合设置，当区域联合消防时，消防车队必须在报警后五分钟内到达火灾现场。</w:t>
            </w:r>
          </w:p>
        </w:tc>
        <w:tc>
          <w:tcPr>
            <w:tcW w:w="1446" w:type="pct"/>
            <w:vAlign w:val="center"/>
          </w:tcPr>
          <w:p w:rsidR="00692A81" w:rsidRPr="00687B52" w:rsidRDefault="00692A81" w:rsidP="003E1D2A">
            <w:pPr>
              <w:pStyle w:val="a7"/>
              <w:rPr>
                <w:color w:val="000000" w:themeColor="text1"/>
              </w:rPr>
            </w:pPr>
            <w:r w:rsidRPr="00687B52">
              <w:rPr>
                <w:rFonts w:hint="eastAsia"/>
                <w:color w:val="000000" w:themeColor="text1"/>
              </w:rPr>
              <w:t>《化工企业安全卫生设计规范》</w:t>
            </w:r>
            <w:r w:rsidRPr="00687B52">
              <w:rPr>
                <w:rFonts w:hint="eastAsia"/>
                <w:color w:val="000000" w:themeColor="text1"/>
              </w:rPr>
              <w:t>HG20571-2014</w:t>
            </w:r>
            <w:r w:rsidRPr="00687B52">
              <w:rPr>
                <w:rFonts w:hint="eastAsia"/>
                <w:color w:val="000000" w:themeColor="text1"/>
              </w:rPr>
              <w:t>第</w:t>
            </w:r>
            <w:r w:rsidRPr="00687B52">
              <w:rPr>
                <w:rFonts w:hint="eastAsia"/>
                <w:color w:val="000000" w:themeColor="text1"/>
              </w:rPr>
              <w:t>6.4.2</w:t>
            </w:r>
            <w:r w:rsidRPr="00687B52">
              <w:rPr>
                <w:rFonts w:hint="eastAsia"/>
                <w:color w:val="000000" w:themeColor="text1"/>
              </w:rPr>
              <w:t>条</w:t>
            </w:r>
          </w:p>
        </w:tc>
        <w:tc>
          <w:tcPr>
            <w:tcW w:w="905" w:type="pct"/>
          </w:tcPr>
          <w:p w:rsidR="00692A81" w:rsidRPr="00687B52" w:rsidRDefault="00692A81" w:rsidP="003E1D2A">
            <w:pPr>
              <w:pStyle w:val="a7"/>
              <w:rPr>
                <w:rFonts w:asciiTheme="minorEastAsia" w:eastAsiaTheme="minorEastAsia" w:hAnsiTheme="minorEastAsia"/>
                <w:color w:val="000000" w:themeColor="text1"/>
              </w:rPr>
            </w:pPr>
          </w:p>
        </w:tc>
      </w:tr>
      <w:tr w:rsidR="00692A81" w:rsidRPr="00687B52" w:rsidTr="004D7D3D">
        <w:trPr>
          <w:jc w:val="center"/>
        </w:trPr>
        <w:tc>
          <w:tcPr>
            <w:tcW w:w="362" w:type="pct"/>
            <w:vAlign w:val="center"/>
          </w:tcPr>
          <w:p w:rsidR="00692A81" w:rsidRPr="00687B52" w:rsidRDefault="00692A81" w:rsidP="008829DB">
            <w:pPr>
              <w:pStyle w:val="a7"/>
              <w:rPr>
                <w:color w:val="000000" w:themeColor="text1"/>
                <w:szCs w:val="24"/>
              </w:rPr>
            </w:pPr>
            <w:r w:rsidRPr="00687B52">
              <w:rPr>
                <w:rFonts w:hint="eastAsia"/>
                <w:color w:val="000000" w:themeColor="text1"/>
                <w:szCs w:val="24"/>
              </w:rPr>
              <w:t>4.1.5</w:t>
            </w:r>
          </w:p>
        </w:tc>
        <w:tc>
          <w:tcPr>
            <w:tcW w:w="2287" w:type="pct"/>
            <w:vAlign w:val="center"/>
          </w:tcPr>
          <w:p w:rsidR="00692A81" w:rsidRPr="00687B52" w:rsidRDefault="00692A81" w:rsidP="003E1D2A">
            <w:pPr>
              <w:pStyle w:val="a7"/>
              <w:jc w:val="left"/>
              <w:rPr>
                <w:color w:val="000000" w:themeColor="text1"/>
                <w:kern w:val="0"/>
              </w:rPr>
            </w:pPr>
            <w:r w:rsidRPr="00687B52">
              <w:rPr>
                <w:rFonts w:hint="eastAsia"/>
                <w:color w:val="000000" w:themeColor="text1"/>
                <w:kern w:val="0"/>
              </w:rPr>
              <w:t>每座仓库的安全出口不应少于</w:t>
            </w:r>
            <w:r w:rsidRPr="00687B52">
              <w:rPr>
                <w:rFonts w:hint="eastAsia"/>
                <w:color w:val="000000" w:themeColor="text1"/>
                <w:kern w:val="0"/>
              </w:rPr>
              <w:t>2</w:t>
            </w:r>
            <w:r w:rsidRPr="00687B52">
              <w:rPr>
                <w:rFonts w:hint="eastAsia"/>
                <w:color w:val="000000" w:themeColor="text1"/>
                <w:kern w:val="0"/>
              </w:rPr>
              <w:t>个，当一座仓库的占地面积不大于</w:t>
            </w:r>
            <w:r w:rsidRPr="00687B52">
              <w:rPr>
                <w:rFonts w:hint="eastAsia"/>
                <w:color w:val="000000" w:themeColor="text1"/>
                <w:kern w:val="0"/>
              </w:rPr>
              <w:t>300m</w:t>
            </w:r>
            <w:r w:rsidRPr="00687B52">
              <w:rPr>
                <w:rFonts w:hint="eastAsia"/>
                <w:color w:val="000000" w:themeColor="text1"/>
                <w:kern w:val="0"/>
                <w:vertAlign w:val="superscript"/>
              </w:rPr>
              <w:t>2</w:t>
            </w:r>
            <w:r w:rsidRPr="00687B52">
              <w:rPr>
                <w:rFonts w:hint="eastAsia"/>
                <w:color w:val="000000" w:themeColor="text1"/>
                <w:kern w:val="0"/>
              </w:rPr>
              <w:t>时，可设置</w:t>
            </w:r>
            <w:r w:rsidRPr="00687B52">
              <w:rPr>
                <w:rFonts w:hint="eastAsia"/>
                <w:color w:val="000000" w:themeColor="text1"/>
                <w:kern w:val="0"/>
              </w:rPr>
              <w:t>1</w:t>
            </w:r>
            <w:r w:rsidRPr="00687B52">
              <w:rPr>
                <w:rFonts w:hint="eastAsia"/>
                <w:color w:val="000000" w:themeColor="text1"/>
                <w:kern w:val="0"/>
              </w:rPr>
              <w:t>个安全出口。仓库内每个防火分区通向疏散走道、楼梯或室外的出口不宜少于</w:t>
            </w:r>
            <w:r w:rsidRPr="00687B52">
              <w:rPr>
                <w:rFonts w:hint="eastAsia"/>
                <w:color w:val="000000" w:themeColor="text1"/>
                <w:kern w:val="0"/>
              </w:rPr>
              <w:t>2</w:t>
            </w:r>
            <w:r w:rsidRPr="00687B52">
              <w:rPr>
                <w:rFonts w:hint="eastAsia"/>
                <w:color w:val="000000" w:themeColor="text1"/>
                <w:kern w:val="0"/>
              </w:rPr>
              <w:t>个，</w:t>
            </w:r>
            <w:r w:rsidRPr="00687B52">
              <w:rPr>
                <w:rFonts w:hint="eastAsia"/>
                <w:color w:val="000000" w:themeColor="text1"/>
                <w:kern w:val="0"/>
              </w:rPr>
              <w:lastRenderedPageBreak/>
              <w:t>当防火分区的建筑面积不大于</w:t>
            </w:r>
            <w:r w:rsidRPr="00687B52">
              <w:rPr>
                <w:rFonts w:hint="eastAsia"/>
                <w:color w:val="000000" w:themeColor="text1"/>
                <w:kern w:val="0"/>
              </w:rPr>
              <w:t>100m</w:t>
            </w:r>
            <w:r w:rsidRPr="00687B52">
              <w:rPr>
                <w:rFonts w:hint="eastAsia"/>
                <w:color w:val="000000" w:themeColor="text1"/>
                <w:kern w:val="0"/>
                <w:vertAlign w:val="superscript"/>
              </w:rPr>
              <w:t>2</w:t>
            </w:r>
            <w:r w:rsidRPr="00687B52">
              <w:rPr>
                <w:rFonts w:hint="eastAsia"/>
                <w:color w:val="000000" w:themeColor="text1"/>
                <w:kern w:val="0"/>
              </w:rPr>
              <w:t>时，可设置</w:t>
            </w:r>
            <w:r w:rsidRPr="00687B52">
              <w:rPr>
                <w:rFonts w:hint="eastAsia"/>
                <w:color w:val="000000" w:themeColor="text1"/>
                <w:kern w:val="0"/>
              </w:rPr>
              <w:t>1</w:t>
            </w:r>
            <w:r w:rsidRPr="00687B52">
              <w:rPr>
                <w:rFonts w:hint="eastAsia"/>
                <w:color w:val="000000" w:themeColor="text1"/>
                <w:kern w:val="0"/>
              </w:rPr>
              <w:t>个出口。通向疏散走道或楼梯的门应为乙级防火门。</w:t>
            </w:r>
            <w:r w:rsidRPr="00687B52">
              <w:rPr>
                <w:rFonts w:hint="eastAsia"/>
                <w:color w:val="000000" w:themeColor="text1"/>
                <w:kern w:val="0"/>
              </w:rPr>
              <w:tab/>
            </w:r>
          </w:p>
        </w:tc>
        <w:tc>
          <w:tcPr>
            <w:tcW w:w="1446" w:type="pct"/>
            <w:vAlign w:val="center"/>
          </w:tcPr>
          <w:p w:rsidR="00692A81" w:rsidRPr="00687B52" w:rsidRDefault="00692A81" w:rsidP="003E1D2A">
            <w:pPr>
              <w:pStyle w:val="a7"/>
              <w:rPr>
                <w:color w:val="000000" w:themeColor="text1"/>
                <w:kern w:val="0"/>
              </w:rPr>
            </w:pPr>
            <w:r w:rsidRPr="00687B52">
              <w:rPr>
                <w:rFonts w:hint="eastAsia"/>
                <w:color w:val="000000" w:themeColor="text1"/>
                <w:kern w:val="0"/>
              </w:rPr>
              <w:lastRenderedPageBreak/>
              <w:t>《建筑设计防火规范》</w:t>
            </w:r>
          </w:p>
          <w:p w:rsidR="00692A81" w:rsidRPr="00687B52" w:rsidRDefault="00692A81" w:rsidP="003E1D2A">
            <w:pPr>
              <w:pStyle w:val="a7"/>
              <w:rPr>
                <w:color w:val="000000" w:themeColor="text1"/>
              </w:rPr>
            </w:pPr>
            <w:r w:rsidRPr="00687B52">
              <w:rPr>
                <w:rFonts w:hint="eastAsia"/>
                <w:color w:val="000000" w:themeColor="text1"/>
                <w:kern w:val="0"/>
              </w:rPr>
              <w:t>GB50016-2014</w:t>
            </w:r>
            <w:r w:rsidRPr="00687B52">
              <w:rPr>
                <w:rFonts w:hint="eastAsia"/>
                <w:color w:val="000000" w:themeColor="text1"/>
                <w:kern w:val="0"/>
              </w:rPr>
              <w:t>第</w:t>
            </w:r>
            <w:r w:rsidRPr="00687B52">
              <w:rPr>
                <w:rFonts w:hint="eastAsia"/>
                <w:color w:val="000000" w:themeColor="text1"/>
                <w:kern w:val="0"/>
              </w:rPr>
              <w:t>3.8.2</w:t>
            </w:r>
            <w:r w:rsidRPr="00687B52">
              <w:rPr>
                <w:rFonts w:hint="eastAsia"/>
                <w:color w:val="000000" w:themeColor="text1"/>
                <w:kern w:val="0"/>
              </w:rPr>
              <w:t>条</w:t>
            </w:r>
          </w:p>
        </w:tc>
        <w:tc>
          <w:tcPr>
            <w:tcW w:w="905" w:type="pct"/>
          </w:tcPr>
          <w:p w:rsidR="00692A81" w:rsidRPr="00687B52" w:rsidRDefault="00692A81" w:rsidP="003E1D2A">
            <w:pPr>
              <w:pStyle w:val="a7"/>
              <w:rPr>
                <w:rFonts w:asciiTheme="minorEastAsia" w:eastAsiaTheme="minorEastAsia" w:hAnsiTheme="minorEastAsia"/>
                <w:color w:val="000000" w:themeColor="text1"/>
              </w:rPr>
            </w:pPr>
          </w:p>
        </w:tc>
      </w:tr>
      <w:tr w:rsidR="00692A81" w:rsidRPr="00687B52" w:rsidTr="004D7D3D">
        <w:trPr>
          <w:jc w:val="center"/>
        </w:trPr>
        <w:tc>
          <w:tcPr>
            <w:tcW w:w="362" w:type="pct"/>
            <w:vAlign w:val="center"/>
          </w:tcPr>
          <w:p w:rsidR="00692A81" w:rsidRPr="00687B52" w:rsidRDefault="00692A81" w:rsidP="008829DB">
            <w:pPr>
              <w:pStyle w:val="a7"/>
              <w:rPr>
                <w:color w:val="000000" w:themeColor="text1"/>
                <w:szCs w:val="24"/>
              </w:rPr>
            </w:pPr>
            <w:r w:rsidRPr="00687B52">
              <w:rPr>
                <w:rFonts w:hint="eastAsia"/>
                <w:color w:val="000000" w:themeColor="text1"/>
                <w:szCs w:val="24"/>
              </w:rPr>
              <w:lastRenderedPageBreak/>
              <w:t>4.1.6</w:t>
            </w:r>
          </w:p>
        </w:tc>
        <w:tc>
          <w:tcPr>
            <w:tcW w:w="2287" w:type="pct"/>
            <w:vAlign w:val="center"/>
          </w:tcPr>
          <w:p w:rsidR="00692A81" w:rsidRPr="00687B52" w:rsidRDefault="00692A81" w:rsidP="003E1D2A">
            <w:pPr>
              <w:pStyle w:val="a7"/>
              <w:jc w:val="left"/>
              <w:rPr>
                <w:color w:val="000000" w:themeColor="text1"/>
              </w:rPr>
            </w:pPr>
            <w:r w:rsidRPr="00687B52">
              <w:rPr>
                <w:rFonts w:hint="eastAsia"/>
                <w:color w:val="000000" w:themeColor="text1"/>
              </w:rPr>
              <w:t>消防水泵房应符合下列规定：</w:t>
            </w:r>
          </w:p>
          <w:p w:rsidR="00692A81" w:rsidRPr="00687B52" w:rsidRDefault="00692A81" w:rsidP="003E1D2A">
            <w:pPr>
              <w:pStyle w:val="a7"/>
              <w:jc w:val="left"/>
              <w:rPr>
                <w:color w:val="000000" w:themeColor="text1"/>
              </w:rPr>
            </w:pPr>
            <w:r w:rsidRPr="00687B52">
              <w:rPr>
                <w:rFonts w:hint="eastAsia"/>
                <w:color w:val="000000" w:themeColor="text1"/>
              </w:rPr>
              <w:t>①独立建造的消防水泵房耐火等级不应低于二级，与其他产生火灾暴露危害的建筑的防火距离应根据计算确定，但不应小于</w:t>
            </w:r>
            <w:r w:rsidRPr="00687B52">
              <w:rPr>
                <w:rFonts w:hint="eastAsia"/>
                <w:color w:val="000000" w:themeColor="text1"/>
              </w:rPr>
              <w:t xml:space="preserve"> 15m</w:t>
            </w:r>
            <w:r w:rsidRPr="00687B52">
              <w:rPr>
                <w:rFonts w:hint="eastAsia"/>
                <w:color w:val="000000" w:themeColor="text1"/>
              </w:rPr>
              <w:t>；</w:t>
            </w:r>
          </w:p>
          <w:p w:rsidR="00692A81" w:rsidRPr="00687B52" w:rsidRDefault="00692A81" w:rsidP="003E1D2A">
            <w:pPr>
              <w:pStyle w:val="a7"/>
              <w:jc w:val="left"/>
              <w:rPr>
                <w:color w:val="000000" w:themeColor="text1"/>
              </w:rPr>
            </w:pPr>
            <w:r w:rsidRPr="00687B52">
              <w:rPr>
                <w:rFonts w:hint="eastAsia"/>
                <w:color w:val="000000" w:themeColor="text1"/>
              </w:rPr>
              <w:t>②附设在建筑物内的消防水泵房，应采用耐火极限不低于</w:t>
            </w:r>
            <w:r w:rsidRPr="00687B52">
              <w:rPr>
                <w:rFonts w:hint="eastAsia"/>
                <w:color w:val="000000" w:themeColor="text1"/>
              </w:rPr>
              <w:t xml:space="preserve"> 2.0h</w:t>
            </w:r>
            <w:r w:rsidRPr="00687B52">
              <w:rPr>
                <w:rFonts w:hint="eastAsia"/>
                <w:color w:val="000000" w:themeColor="text1"/>
              </w:rPr>
              <w:t>的隔墙和</w:t>
            </w:r>
            <w:r w:rsidRPr="00687B52">
              <w:rPr>
                <w:rFonts w:hint="eastAsia"/>
                <w:color w:val="000000" w:themeColor="text1"/>
              </w:rPr>
              <w:t xml:space="preserve"> 1.50h</w:t>
            </w:r>
            <w:r w:rsidRPr="00687B52">
              <w:rPr>
                <w:rFonts w:hint="eastAsia"/>
                <w:color w:val="000000" w:themeColor="text1"/>
              </w:rPr>
              <w:t>的楼板与其他部位隔开，其疏散门应靠近安全出口，并应设甲级防火门；</w:t>
            </w:r>
          </w:p>
          <w:p w:rsidR="00692A81" w:rsidRPr="00687B52" w:rsidRDefault="00692A81" w:rsidP="003E1D2A">
            <w:pPr>
              <w:pStyle w:val="a7"/>
              <w:jc w:val="left"/>
              <w:rPr>
                <w:color w:val="000000" w:themeColor="text1"/>
                <w:kern w:val="0"/>
              </w:rPr>
            </w:pPr>
            <w:r w:rsidRPr="00687B52">
              <w:rPr>
                <w:rFonts w:hint="eastAsia"/>
                <w:color w:val="000000" w:themeColor="text1"/>
              </w:rPr>
              <w:t>③附设在建筑物内的消防水泵房，当设在首层时，其出口应直通室外；当设在地下室或其他楼层时，其出口应直通安全出口。</w:t>
            </w:r>
            <w:r w:rsidRPr="00687B52">
              <w:rPr>
                <w:rFonts w:hint="eastAsia"/>
                <w:color w:val="000000" w:themeColor="text1"/>
              </w:rPr>
              <w:tab/>
            </w:r>
          </w:p>
        </w:tc>
        <w:tc>
          <w:tcPr>
            <w:tcW w:w="1446" w:type="pct"/>
            <w:vAlign w:val="center"/>
          </w:tcPr>
          <w:p w:rsidR="00692A81" w:rsidRPr="00687B52" w:rsidRDefault="00692A81" w:rsidP="003E1D2A">
            <w:pPr>
              <w:pStyle w:val="a7"/>
              <w:rPr>
                <w:color w:val="000000" w:themeColor="text1"/>
              </w:rPr>
            </w:pPr>
            <w:r w:rsidRPr="00687B52">
              <w:rPr>
                <w:rFonts w:hint="eastAsia"/>
                <w:color w:val="000000" w:themeColor="text1"/>
              </w:rPr>
              <w:t>《消防给水及消火栓系统技术规范》</w:t>
            </w:r>
            <w:r w:rsidRPr="00687B52">
              <w:rPr>
                <w:rFonts w:hint="eastAsia"/>
                <w:color w:val="000000" w:themeColor="text1"/>
              </w:rPr>
              <w:t>GB50974-2014</w:t>
            </w:r>
            <w:r w:rsidRPr="00687B52">
              <w:rPr>
                <w:rFonts w:hint="eastAsia"/>
                <w:color w:val="000000" w:themeColor="text1"/>
              </w:rPr>
              <w:t>第</w:t>
            </w:r>
            <w:r w:rsidRPr="00687B52">
              <w:rPr>
                <w:rFonts w:hint="eastAsia"/>
                <w:color w:val="000000" w:themeColor="text1"/>
              </w:rPr>
              <w:t>5.5.12</w:t>
            </w:r>
            <w:r w:rsidRPr="00687B52">
              <w:rPr>
                <w:rFonts w:hint="eastAsia"/>
                <w:color w:val="000000" w:themeColor="text1"/>
              </w:rPr>
              <w:t>条</w:t>
            </w:r>
          </w:p>
        </w:tc>
        <w:tc>
          <w:tcPr>
            <w:tcW w:w="905" w:type="pct"/>
          </w:tcPr>
          <w:p w:rsidR="00692A81" w:rsidRPr="00687B52" w:rsidRDefault="00692A81" w:rsidP="003E1D2A">
            <w:pPr>
              <w:pStyle w:val="a7"/>
              <w:rPr>
                <w:rFonts w:asciiTheme="minorEastAsia" w:eastAsiaTheme="minorEastAsia" w:hAnsiTheme="minorEastAsia"/>
                <w:color w:val="000000" w:themeColor="text1"/>
              </w:rPr>
            </w:pPr>
          </w:p>
        </w:tc>
      </w:tr>
      <w:tr w:rsidR="00692A81" w:rsidRPr="00687B52" w:rsidTr="004D7D3D">
        <w:trPr>
          <w:jc w:val="center"/>
        </w:trPr>
        <w:tc>
          <w:tcPr>
            <w:tcW w:w="362" w:type="pct"/>
            <w:vAlign w:val="center"/>
          </w:tcPr>
          <w:p w:rsidR="00692A81" w:rsidRPr="00687B52" w:rsidRDefault="00692A81" w:rsidP="008829DB">
            <w:pPr>
              <w:pStyle w:val="a7"/>
              <w:rPr>
                <w:color w:val="000000" w:themeColor="text1"/>
                <w:szCs w:val="24"/>
              </w:rPr>
            </w:pPr>
            <w:r w:rsidRPr="00687B52">
              <w:rPr>
                <w:rFonts w:hint="eastAsia"/>
                <w:color w:val="000000" w:themeColor="text1"/>
                <w:szCs w:val="24"/>
              </w:rPr>
              <w:t>4.1.7</w:t>
            </w:r>
          </w:p>
        </w:tc>
        <w:tc>
          <w:tcPr>
            <w:tcW w:w="2287" w:type="pct"/>
            <w:vAlign w:val="center"/>
          </w:tcPr>
          <w:p w:rsidR="00692A81" w:rsidRPr="00687B52" w:rsidRDefault="00692A81" w:rsidP="003E1D2A">
            <w:pPr>
              <w:pStyle w:val="a7"/>
              <w:jc w:val="left"/>
              <w:rPr>
                <w:color w:val="000000" w:themeColor="text1"/>
                <w:kern w:val="0"/>
              </w:rPr>
            </w:pPr>
            <w:r w:rsidRPr="00687B52">
              <w:rPr>
                <w:rFonts w:hint="eastAsia"/>
                <w:color w:val="000000" w:themeColor="text1"/>
                <w:kern w:val="0"/>
              </w:rPr>
              <w:t>建筑室外消火栓的数量应根据室外消火栓设计流量和保护半径经计算确定，保护半径不应大于</w:t>
            </w:r>
            <w:r w:rsidRPr="00687B52">
              <w:rPr>
                <w:rFonts w:hint="eastAsia"/>
                <w:color w:val="000000" w:themeColor="text1"/>
                <w:kern w:val="0"/>
              </w:rPr>
              <w:t>150m</w:t>
            </w:r>
            <w:r w:rsidRPr="00687B52">
              <w:rPr>
                <w:rFonts w:hint="eastAsia"/>
                <w:color w:val="000000" w:themeColor="text1"/>
                <w:kern w:val="0"/>
              </w:rPr>
              <w:t>。工艺装置区等采用高压或临时高压消防给水系统的场所，其周围应设置室外消火栓，数量应根据设计流量经计算确定，且间距不应大于</w:t>
            </w:r>
            <w:r w:rsidRPr="00687B52">
              <w:rPr>
                <w:rFonts w:hint="eastAsia"/>
                <w:color w:val="000000" w:themeColor="text1"/>
                <w:kern w:val="0"/>
              </w:rPr>
              <w:t>60m</w:t>
            </w:r>
            <w:r w:rsidRPr="00687B52">
              <w:rPr>
                <w:rFonts w:hint="eastAsia"/>
                <w:color w:val="000000" w:themeColor="text1"/>
                <w:kern w:val="0"/>
              </w:rPr>
              <w:t>。</w:t>
            </w:r>
          </w:p>
        </w:tc>
        <w:tc>
          <w:tcPr>
            <w:tcW w:w="1446" w:type="pct"/>
            <w:vAlign w:val="center"/>
          </w:tcPr>
          <w:p w:rsidR="00692A81" w:rsidRPr="00687B52" w:rsidRDefault="00692A81" w:rsidP="003E1D2A">
            <w:pPr>
              <w:pStyle w:val="a7"/>
              <w:rPr>
                <w:color w:val="000000" w:themeColor="text1"/>
              </w:rPr>
            </w:pPr>
            <w:r w:rsidRPr="00687B52">
              <w:rPr>
                <w:rFonts w:hint="eastAsia"/>
                <w:color w:val="000000" w:themeColor="text1"/>
              </w:rPr>
              <w:t>《消防给水及消火栓系统技术规范》</w:t>
            </w:r>
            <w:r w:rsidRPr="00687B52">
              <w:rPr>
                <w:rFonts w:hint="eastAsia"/>
                <w:color w:val="000000" w:themeColor="text1"/>
              </w:rPr>
              <w:t>GB50974-2014</w:t>
            </w:r>
            <w:r w:rsidRPr="00687B52">
              <w:rPr>
                <w:rFonts w:hint="eastAsia"/>
                <w:color w:val="000000" w:themeColor="text1"/>
              </w:rPr>
              <w:t>第</w:t>
            </w:r>
            <w:r w:rsidRPr="00687B52">
              <w:rPr>
                <w:rFonts w:hint="eastAsia"/>
                <w:color w:val="000000" w:themeColor="text1"/>
              </w:rPr>
              <w:t>7.3.2</w:t>
            </w:r>
            <w:r w:rsidRPr="00687B52">
              <w:rPr>
                <w:rFonts w:hint="eastAsia"/>
                <w:color w:val="000000" w:themeColor="text1"/>
              </w:rPr>
              <w:t>、</w:t>
            </w:r>
            <w:r w:rsidRPr="00687B52">
              <w:rPr>
                <w:rFonts w:hint="eastAsia"/>
                <w:color w:val="000000" w:themeColor="text1"/>
              </w:rPr>
              <w:t>7.3.7</w:t>
            </w:r>
            <w:r w:rsidRPr="00687B52">
              <w:rPr>
                <w:rFonts w:hint="eastAsia"/>
                <w:color w:val="000000" w:themeColor="text1"/>
              </w:rPr>
              <w:t>条</w:t>
            </w:r>
          </w:p>
        </w:tc>
        <w:tc>
          <w:tcPr>
            <w:tcW w:w="905" w:type="pct"/>
          </w:tcPr>
          <w:p w:rsidR="00692A81" w:rsidRPr="00687B52" w:rsidRDefault="00692A81" w:rsidP="003E1D2A">
            <w:pPr>
              <w:pStyle w:val="a7"/>
              <w:rPr>
                <w:rFonts w:asciiTheme="minorEastAsia" w:eastAsiaTheme="minorEastAsia" w:hAnsiTheme="minorEastAsia"/>
                <w:color w:val="000000" w:themeColor="text1"/>
              </w:rPr>
            </w:pPr>
          </w:p>
        </w:tc>
      </w:tr>
      <w:tr w:rsidR="00692A81" w:rsidRPr="00687B52" w:rsidTr="004D7D3D">
        <w:trPr>
          <w:jc w:val="center"/>
        </w:trPr>
        <w:tc>
          <w:tcPr>
            <w:tcW w:w="362" w:type="pct"/>
            <w:vAlign w:val="center"/>
          </w:tcPr>
          <w:p w:rsidR="00692A81" w:rsidRPr="00687B52" w:rsidRDefault="00692A81" w:rsidP="008829DB">
            <w:pPr>
              <w:pStyle w:val="a7"/>
              <w:rPr>
                <w:color w:val="000000" w:themeColor="text1"/>
                <w:szCs w:val="24"/>
              </w:rPr>
            </w:pPr>
            <w:r w:rsidRPr="00687B52">
              <w:rPr>
                <w:rFonts w:hint="eastAsia"/>
                <w:color w:val="000000" w:themeColor="text1"/>
                <w:szCs w:val="24"/>
              </w:rPr>
              <w:t>4.1.8</w:t>
            </w:r>
          </w:p>
        </w:tc>
        <w:tc>
          <w:tcPr>
            <w:tcW w:w="2287" w:type="pct"/>
            <w:vAlign w:val="center"/>
          </w:tcPr>
          <w:p w:rsidR="00692A81" w:rsidRPr="00687B52" w:rsidRDefault="00692A81" w:rsidP="003E1D2A">
            <w:pPr>
              <w:pStyle w:val="a7"/>
              <w:jc w:val="left"/>
              <w:rPr>
                <w:color w:val="000000" w:themeColor="text1"/>
              </w:rPr>
            </w:pPr>
            <w:r w:rsidRPr="00687B52">
              <w:rPr>
                <w:rFonts w:hint="eastAsia"/>
                <w:color w:val="000000" w:themeColor="text1"/>
              </w:rPr>
              <w:t>符合下列规定之一时，应设置消防水池：</w:t>
            </w:r>
          </w:p>
          <w:p w:rsidR="00692A81" w:rsidRPr="00687B52" w:rsidRDefault="00692A81" w:rsidP="003E1D2A">
            <w:pPr>
              <w:pStyle w:val="a7"/>
              <w:jc w:val="left"/>
              <w:rPr>
                <w:color w:val="000000" w:themeColor="text1"/>
              </w:rPr>
            </w:pPr>
            <w:r w:rsidRPr="00687B52">
              <w:rPr>
                <w:rFonts w:hint="eastAsia"/>
                <w:color w:val="000000" w:themeColor="text1"/>
              </w:rPr>
              <w:t>①当生产、生活用水量达到最大时，市政给水管网或引入管不能满足室内、外消防用水量时；</w:t>
            </w:r>
          </w:p>
          <w:p w:rsidR="00692A81" w:rsidRPr="00687B52" w:rsidRDefault="00692A81" w:rsidP="003E1D2A">
            <w:pPr>
              <w:pStyle w:val="a7"/>
              <w:jc w:val="left"/>
              <w:rPr>
                <w:color w:val="000000" w:themeColor="text1"/>
              </w:rPr>
            </w:pPr>
            <w:r w:rsidRPr="00687B52">
              <w:rPr>
                <w:rFonts w:hint="eastAsia"/>
                <w:color w:val="000000" w:themeColor="text1"/>
              </w:rPr>
              <w:t>②当采用一路消防供水或只有一条引入管，且室外消火栓设计流量大于</w:t>
            </w:r>
            <w:r w:rsidRPr="00687B52">
              <w:rPr>
                <w:rFonts w:hint="eastAsia"/>
                <w:color w:val="000000" w:themeColor="text1"/>
              </w:rPr>
              <w:t>20L/s</w:t>
            </w:r>
            <w:r w:rsidRPr="00687B52">
              <w:rPr>
                <w:rFonts w:hint="eastAsia"/>
                <w:color w:val="000000" w:themeColor="text1"/>
              </w:rPr>
              <w:t>或建筑高度大于</w:t>
            </w:r>
            <w:r w:rsidRPr="00687B52">
              <w:rPr>
                <w:rFonts w:hint="eastAsia"/>
                <w:color w:val="000000" w:themeColor="text1"/>
              </w:rPr>
              <w:t>50m</w:t>
            </w:r>
            <w:r w:rsidRPr="00687B52">
              <w:rPr>
                <w:rFonts w:hint="eastAsia"/>
                <w:color w:val="000000" w:themeColor="text1"/>
              </w:rPr>
              <w:t>时；</w:t>
            </w:r>
          </w:p>
          <w:p w:rsidR="00692A81" w:rsidRPr="00687B52" w:rsidRDefault="00692A81" w:rsidP="003E1D2A">
            <w:pPr>
              <w:pStyle w:val="a7"/>
              <w:jc w:val="left"/>
              <w:rPr>
                <w:color w:val="000000" w:themeColor="text1"/>
              </w:rPr>
            </w:pPr>
            <w:r w:rsidRPr="00687B52">
              <w:rPr>
                <w:rFonts w:hint="eastAsia"/>
                <w:color w:val="000000" w:themeColor="text1"/>
              </w:rPr>
              <w:t>③市政消防给水设计流量小于建筑的消防给水设计流量时。</w:t>
            </w:r>
          </w:p>
        </w:tc>
        <w:tc>
          <w:tcPr>
            <w:tcW w:w="1446" w:type="pct"/>
            <w:vAlign w:val="center"/>
          </w:tcPr>
          <w:p w:rsidR="00692A81" w:rsidRPr="00687B52" w:rsidRDefault="00692A81" w:rsidP="003E1D2A">
            <w:pPr>
              <w:pStyle w:val="a7"/>
              <w:rPr>
                <w:color w:val="000000" w:themeColor="text1"/>
              </w:rPr>
            </w:pPr>
            <w:r w:rsidRPr="00687B52">
              <w:rPr>
                <w:rFonts w:hint="eastAsia"/>
                <w:color w:val="000000" w:themeColor="text1"/>
              </w:rPr>
              <w:t>《消防给水及消火栓系统技术规范》</w:t>
            </w:r>
            <w:r w:rsidRPr="00687B52">
              <w:rPr>
                <w:rFonts w:hint="eastAsia"/>
                <w:color w:val="000000" w:themeColor="text1"/>
              </w:rPr>
              <w:t>GB50974-2014</w:t>
            </w:r>
            <w:r w:rsidRPr="00687B52">
              <w:rPr>
                <w:rFonts w:hint="eastAsia"/>
                <w:color w:val="000000" w:themeColor="text1"/>
              </w:rPr>
              <w:t>第</w:t>
            </w:r>
            <w:r w:rsidRPr="00687B52">
              <w:rPr>
                <w:rFonts w:hint="eastAsia"/>
                <w:color w:val="000000" w:themeColor="text1"/>
              </w:rPr>
              <w:t>4.3.1</w:t>
            </w:r>
            <w:r w:rsidRPr="00687B52">
              <w:rPr>
                <w:rFonts w:hint="eastAsia"/>
                <w:color w:val="000000" w:themeColor="text1"/>
              </w:rPr>
              <w:t>条</w:t>
            </w:r>
            <w:r w:rsidRPr="00687B52">
              <w:rPr>
                <w:rFonts w:hint="eastAsia"/>
                <w:color w:val="000000" w:themeColor="text1"/>
              </w:rPr>
              <w:tab/>
            </w:r>
          </w:p>
        </w:tc>
        <w:tc>
          <w:tcPr>
            <w:tcW w:w="905" w:type="pct"/>
          </w:tcPr>
          <w:p w:rsidR="00692A81" w:rsidRPr="00687B52" w:rsidRDefault="00692A81" w:rsidP="003E1D2A">
            <w:pPr>
              <w:pStyle w:val="a7"/>
              <w:rPr>
                <w:rFonts w:asciiTheme="minorEastAsia" w:eastAsiaTheme="minorEastAsia" w:hAnsiTheme="minorEastAsia"/>
                <w:color w:val="000000" w:themeColor="text1"/>
              </w:rPr>
            </w:pPr>
          </w:p>
        </w:tc>
      </w:tr>
      <w:tr w:rsidR="00692A81" w:rsidRPr="00687B52" w:rsidTr="004D7D3D">
        <w:trPr>
          <w:jc w:val="center"/>
        </w:trPr>
        <w:tc>
          <w:tcPr>
            <w:tcW w:w="362" w:type="pct"/>
            <w:vAlign w:val="center"/>
          </w:tcPr>
          <w:p w:rsidR="00692A81" w:rsidRPr="00687B52" w:rsidRDefault="00692A81" w:rsidP="008829DB">
            <w:pPr>
              <w:pStyle w:val="a7"/>
              <w:rPr>
                <w:color w:val="000000" w:themeColor="text1"/>
              </w:rPr>
            </w:pPr>
            <w:r w:rsidRPr="00687B52">
              <w:rPr>
                <w:rFonts w:hint="eastAsia"/>
                <w:color w:val="000000" w:themeColor="text1"/>
              </w:rPr>
              <w:t>4.1.9</w:t>
            </w:r>
          </w:p>
        </w:tc>
        <w:tc>
          <w:tcPr>
            <w:tcW w:w="2287" w:type="pct"/>
            <w:vAlign w:val="center"/>
          </w:tcPr>
          <w:p w:rsidR="00692A81" w:rsidRPr="00687B52" w:rsidRDefault="00692A81" w:rsidP="003E1D2A">
            <w:pPr>
              <w:pStyle w:val="a7"/>
              <w:jc w:val="left"/>
              <w:rPr>
                <w:color w:val="000000" w:themeColor="text1"/>
                <w:kern w:val="0"/>
              </w:rPr>
            </w:pPr>
            <w:r w:rsidRPr="00687B52">
              <w:rPr>
                <w:rFonts w:hint="eastAsia"/>
                <w:color w:val="000000" w:themeColor="text1"/>
                <w:kern w:val="0"/>
              </w:rPr>
              <w:t>室外消防给水管网的布置应符合下列规定：</w:t>
            </w:r>
          </w:p>
          <w:p w:rsidR="00692A81" w:rsidRPr="00687B52" w:rsidRDefault="00692A81" w:rsidP="003E1D2A">
            <w:pPr>
              <w:pStyle w:val="a7"/>
              <w:jc w:val="left"/>
              <w:rPr>
                <w:color w:val="000000" w:themeColor="text1"/>
                <w:kern w:val="0"/>
              </w:rPr>
            </w:pPr>
            <w:r w:rsidRPr="00687B52">
              <w:rPr>
                <w:rFonts w:hint="eastAsia"/>
                <w:color w:val="000000" w:themeColor="text1"/>
                <w:kern w:val="0"/>
              </w:rPr>
              <w:t>①室外消防给水采用两路消防供水时应采用环状管网，但</w:t>
            </w:r>
            <w:r w:rsidRPr="00687B52">
              <w:rPr>
                <w:rFonts w:hint="eastAsia"/>
                <w:color w:val="000000" w:themeColor="text1"/>
                <w:kern w:val="0"/>
              </w:rPr>
              <w:lastRenderedPageBreak/>
              <w:t>当采用一路消防供水时可采用枝状管网；</w:t>
            </w:r>
          </w:p>
          <w:p w:rsidR="00692A81" w:rsidRPr="00687B52" w:rsidRDefault="00692A81" w:rsidP="003E1D2A">
            <w:pPr>
              <w:pStyle w:val="a7"/>
              <w:jc w:val="left"/>
              <w:rPr>
                <w:color w:val="000000" w:themeColor="text1"/>
                <w:kern w:val="0"/>
              </w:rPr>
            </w:pPr>
            <w:r w:rsidRPr="00687B52">
              <w:rPr>
                <w:rFonts w:hint="eastAsia"/>
                <w:color w:val="000000" w:themeColor="text1"/>
                <w:kern w:val="0"/>
              </w:rPr>
              <w:t>②管道的直径不应小于</w:t>
            </w:r>
            <w:r w:rsidRPr="00687B52">
              <w:rPr>
                <w:rFonts w:hint="eastAsia"/>
                <w:color w:val="000000" w:themeColor="text1"/>
                <w:kern w:val="0"/>
              </w:rPr>
              <w:t>DN100</w:t>
            </w:r>
            <w:r w:rsidRPr="00687B52">
              <w:rPr>
                <w:rFonts w:hint="eastAsia"/>
                <w:color w:val="000000" w:themeColor="text1"/>
                <w:kern w:val="0"/>
              </w:rPr>
              <w:t>；</w:t>
            </w:r>
          </w:p>
          <w:p w:rsidR="00692A81" w:rsidRPr="00687B52" w:rsidRDefault="00692A81" w:rsidP="003E1D2A">
            <w:pPr>
              <w:pStyle w:val="a7"/>
              <w:jc w:val="left"/>
              <w:rPr>
                <w:color w:val="000000" w:themeColor="text1"/>
                <w:kern w:val="0"/>
              </w:rPr>
            </w:pPr>
            <w:r w:rsidRPr="00687B52">
              <w:rPr>
                <w:rFonts w:hint="eastAsia"/>
                <w:color w:val="000000" w:themeColor="text1"/>
                <w:kern w:val="0"/>
              </w:rPr>
              <w:t>③消防给水管道应采用阀门分成若干独立段，每段内室外消火栓的数量不宜超过</w:t>
            </w:r>
            <w:r w:rsidRPr="00687B52">
              <w:rPr>
                <w:rFonts w:hint="eastAsia"/>
                <w:color w:val="000000" w:themeColor="text1"/>
                <w:kern w:val="0"/>
              </w:rPr>
              <w:t>5</w:t>
            </w:r>
            <w:r w:rsidRPr="00687B52">
              <w:rPr>
                <w:rFonts w:hint="eastAsia"/>
                <w:color w:val="000000" w:themeColor="text1"/>
                <w:kern w:val="0"/>
              </w:rPr>
              <w:t>个；</w:t>
            </w:r>
          </w:p>
        </w:tc>
        <w:tc>
          <w:tcPr>
            <w:tcW w:w="1446" w:type="pct"/>
            <w:vAlign w:val="center"/>
          </w:tcPr>
          <w:p w:rsidR="00692A81" w:rsidRPr="00687B52" w:rsidRDefault="00692A81" w:rsidP="003E1D2A">
            <w:pPr>
              <w:pStyle w:val="a7"/>
              <w:jc w:val="left"/>
              <w:rPr>
                <w:color w:val="000000" w:themeColor="text1"/>
              </w:rPr>
            </w:pPr>
            <w:r w:rsidRPr="00687B52">
              <w:rPr>
                <w:rFonts w:hint="eastAsia"/>
                <w:color w:val="000000" w:themeColor="text1"/>
                <w:kern w:val="0"/>
              </w:rPr>
              <w:lastRenderedPageBreak/>
              <w:t>《消防给水及消火栓系统技术规范》</w:t>
            </w:r>
            <w:r w:rsidRPr="00687B52">
              <w:rPr>
                <w:rFonts w:hint="eastAsia"/>
                <w:color w:val="000000" w:themeColor="text1"/>
                <w:kern w:val="0"/>
              </w:rPr>
              <w:t>GB50974-2014</w:t>
            </w:r>
            <w:r w:rsidRPr="00687B52">
              <w:rPr>
                <w:rFonts w:hint="eastAsia"/>
                <w:color w:val="000000" w:themeColor="text1"/>
                <w:kern w:val="0"/>
              </w:rPr>
              <w:t>第</w:t>
            </w:r>
            <w:r w:rsidRPr="00687B52">
              <w:rPr>
                <w:rFonts w:hint="eastAsia"/>
                <w:color w:val="000000" w:themeColor="text1"/>
                <w:kern w:val="0"/>
              </w:rPr>
              <w:t>8.1.4</w:t>
            </w:r>
            <w:r w:rsidRPr="00687B52">
              <w:rPr>
                <w:rFonts w:hint="eastAsia"/>
                <w:color w:val="000000" w:themeColor="text1"/>
                <w:kern w:val="0"/>
              </w:rPr>
              <w:t>条</w:t>
            </w:r>
            <w:r w:rsidRPr="00687B52">
              <w:rPr>
                <w:rFonts w:hint="eastAsia"/>
                <w:color w:val="000000" w:themeColor="text1"/>
                <w:kern w:val="0"/>
              </w:rPr>
              <w:tab/>
            </w:r>
          </w:p>
        </w:tc>
        <w:tc>
          <w:tcPr>
            <w:tcW w:w="905" w:type="pct"/>
          </w:tcPr>
          <w:p w:rsidR="00692A81" w:rsidRPr="00687B52" w:rsidRDefault="00692A81" w:rsidP="003E1D2A">
            <w:pPr>
              <w:pStyle w:val="a7"/>
              <w:rPr>
                <w:rFonts w:asciiTheme="minorEastAsia" w:eastAsiaTheme="minorEastAsia" w:hAnsiTheme="minorEastAsia"/>
                <w:color w:val="000000" w:themeColor="text1"/>
              </w:rPr>
            </w:pPr>
          </w:p>
        </w:tc>
      </w:tr>
      <w:tr w:rsidR="00692A81" w:rsidRPr="00687B52" w:rsidTr="004D7D3D">
        <w:trPr>
          <w:jc w:val="center"/>
        </w:trPr>
        <w:tc>
          <w:tcPr>
            <w:tcW w:w="362" w:type="pct"/>
            <w:vAlign w:val="center"/>
          </w:tcPr>
          <w:p w:rsidR="00692A81" w:rsidRPr="00687B52" w:rsidRDefault="00692A81" w:rsidP="008829DB">
            <w:pPr>
              <w:pStyle w:val="a7"/>
              <w:rPr>
                <w:color w:val="000000" w:themeColor="text1"/>
              </w:rPr>
            </w:pPr>
            <w:r w:rsidRPr="00687B52">
              <w:rPr>
                <w:rFonts w:hint="eastAsia"/>
                <w:color w:val="000000" w:themeColor="text1"/>
              </w:rPr>
              <w:lastRenderedPageBreak/>
              <w:t>4.1.10</w:t>
            </w:r>
          </w:p>
        </w:tc>
        <w:tc>
          <w:tcPr>
            <w:tcW w:w="2287" w:type="pct"/>
            <w:vAlign w:val="center"/>
          </w:tcPr>
          <w:p w:rsidR="00692A81" w:rsidRPr="00687B52" w:rsidRDefault="00692A81" w:rsidP="003E1D2A">
            <w:pPr>
              <w:pStyle w:val="a7"/>
              <w:jc w:val="left"/>
              <w:rPr>
                <w:color w:val="000000" w:themeColor="text1"/>
                <w:szCs w:val="24"/>
              </w:rPr>
            </w:pPr>
            <w:r w:rsidRPr="00687B52">
              <w:rPr>
                <w:rFonts w:hint="eastAsia"/>
                <w:color w:val="000000" w:themeColor="text1"/>
                <w:szCs w:val="24"/>
              </w:rPr>
              <w:t>民用建筑、厂房、仓库、储罐区和堆场周围应设置室外消火栓系统。</w:t>
            </w:r>
          </w:p>
        </w:tc>
        <w:tc>
          <w:tcPr>
            <w:tcW w:w="1446" w:type="pct"/>
            <w:vAlign w:val="center"/>
          </w:tcPr>
          <w:p w:rsidR="00692A81" w:rsidRPr="00687B52" w:rsidRDefault="00692A81" w:rsidP="003E1D2A">
            <w:pPr>
              <w:pStyle w:val="a7"/>
              <w:rPr>
                <w:color w:val="000000" w:themeColor="text1"/>
                <w:szCs w:val="24"/>
              </w:rPr>
            </w:pPr>
            <w:r w:rsidRPr="00687B52">
              <w:rPr>
                <w:rFonts w:hint="eastAsia"/>
                <w:color w:val="000000" w:themeColor="text1"/>
                <w:szCs w:val="24"/>
              </w:rPr>
              <w:t>《建筑设计防火规范》</w:t>
            </w:r>
          </w:p>
          <w:p w:rsidR="00692A81" w:rsidRPr="00687B52" w:rsidRDefault="00692A81" w:rsidP="003E1D2A">
            <w:pPr>
              <w:pStyle w:val="a7"/>
              <w:rPr>
                <w:color w:val="000000" w:themeColor="text1"/>
                <w:szCs w:val="24"/>
              </w:rPr>
            </w:pPr>
            <w:r w:rsidRPr="00687B52">
              <w:rPr>
                <w:rFonts w:hint="eastAsia"/>
                <w:color w:val="000000" w:themeColor="text1"/>
                <w:szCs w:val="24"/>
              </w:rPr>
              <w:t>GB50016-2014</w:t>
            </w:r>
            <w:r w:rsidRPr="00687B52">
              <w:rPr>
                <w:color w:val="000000" w:themeColor="text1"/>
                <w:szCs w:val="24"/>
              </w:rPr>
              <w:t>第</w:t>
            </w:r>
            <w:r w:rsidRPr="00687B52">
              <w:rPr>
                <w:color w:val="000000" w:themeColor="text1"/>
                <w:szCs w:val="24"/>
              </w:rPr>
              <w:t>8.1.2</w:t>
            </w:r>
            <w:r w:rsidRPr="00687B52">
              <w:rPr>
                <w:color w:val="000000" w:themeColor="text1"/>
                <w:szCs w:val="24"/>
              </w:rPr>
              <w:t>条</w:t>
            </w:r>
          </w:p>
        </w:tc>
        <w:tc>
          <w:tcPr>
            <w:tcW w:w="905" w:type="pct"/>
          </w:tcPr>
          <w:p w:rsidR="00692A81" w:rsidRPr="00687B52" w:rsidRDefault="00692A81" w:rsidP="003E1D2A">
            <w:pPr>
              <w:pStyle w:val="a7"/>
              <w:rPr>
                <w:rFonts w:asciiTheme="minorEastAsia" w:eastAsiaTheme="minorEastAsia" w:hAnsiTheme="minorEastAsia"/>
                <w:color w:val="000000" w:themeColor="text1"/>
              </w:rPr>
            </w:pPr>
          </w:p>
        </w:tc>
      </w:tr>
      <w:tr w:rsidR="00692A81" w:rsidRPr="00687B52" w:rsidTr="004D7D3D">
        <w:trPr>
          <w:jc w:val="center"/>
        </w:trPr>
        <w:tc>
          <w:tcPr>
            <w:tcW w:w="362" w:type="pct"/>
            <w:vAlign w:val="center"/>
          </w:tcPr>
          <w:p w:rsidR="00692A81" w:rsidRPr="00687B52" w:rsidRDefault="00692A81" w:rsidP="008829DB">
            <w:pPr>
              <w:pStyle w:val="a7"/>
              <w:rPr>
                <w:color w:val="000000" w:themeColor="text1"/>
              </w:rPr>
            </w:pPr>
            <w:r w:rsidRPr="00687B52">
              <w:rPr>
                <w:rFonts w:hint="eastAsia"/>
                <w:color w:val="000000" w:themeColor="text1"/>
              </w:rPr>
              <w:t>4.1.11</w:t>
            </w:r>
          </w:p>
        </w:tc>
        <w:tc>
          <w:tcPr>
            <w:tcW w:w="2287" w:type="pct"/>
            <w:vAlign w:val="center"/>
          </w:tcPr>
          <w:p w:rsidR="00692A81" w:rsidRPr="00687B52" w:rsidRDefault="00692A81" w:rsidP="003E1D2A">
            <w:pPr>
              <w:pStyle w:val="a7"/>
              <w:jc w:val="left"/>
              <w:rPr>
                <w:color w:val="000000" w:themeColor="text1"/>
                <w:szCs w:val="24"/>
              </w:rPr>
            </w:pPr>
            <w:r w:rsidRPr="00687B52">
              <w:rPr>
                <w:rFonts w:hint="eastAsia"/>
                <w:color w:val="000000" w:themeColor="text1"/>
                <w:szCs w:val="24"/>
              </w:rPr>
              <w:t>建筑占地面积大于</w:t>
            </w:r>
            <w:r w:rsidRPr="00687B52">
              <w:rPr>
                <w:rFonts w:hint="eastAsia"/>
                <w:color w:val="000000" w:themeColor="text1"/>
                <w:szCs w:val="24"/>
              </w:rPr>
              <w:t>300m</w:t>
            </w:r>
            <w:r w:rsidRPr="00687B52">
              <w:rPr>
                <w:rFonts w:hint="eastAsia"/>
                <w:color w:val="000000" w:themeColor="text1"/>
                <w:szCs w:val="24"/>
                <w:vertAlign w:val="superscript"/>
              </w:rPr>
              <w:t>2</w:t>
            </w:r>
            <w:r w:rsidRPr="00687B52">
              <w:rPr>
                <w:rFonts w:hint="eastAsia"/>
                <w:color w:val="000000" w:themeColor="text1"/>
                <w:szCs w:val="24"/>
              </w:rPr>
              <w:t>的厂房和仓库应设置室内消火栓系统。</w:t>
            </w:r>
          </w:p>
        </w:tc>
        <w:tc>
          <w:tcPr>
            <w:tcW w:w="1446" w:type="pct"/>
            <w:vAlign w:val="center"/>
          </w:tcPr>
          <w:p w:rsidR="00692A81" w:rsidRPr="00687B52" w:rsidRDefault="00692A81" w:rsidP="003E1D2A">
            <w:pPr>
              <w:pStyle w:val="a7"/>
              <w:rPr>
                <w:color w:val="000000" w:themeColor="text1"/>
                <w:szCs w:val="24"/>
              </w:rPr>
            </w:pPr>
            <w:r w:rsidRPr="00687B52">
              <w:rPr>
                <w:rFonts w:hint="eastAsia"/>
                <w:color w:val="000000" w:themeColor="text1"/>
                <w:szCs w:val="24"/>
              </w:rPr>
              <w:t>《建筑设计防火规范》</w:t>
            </w:r>
            <w:r w:rsidRPr="00687B52">
              <w:rPr>
                <w:rFonts w:hint="eastAsia"/>
                <w:color w:val="000000" w:themeColor="text1"/>
                <w:szCs w:val="24"/>
              </w:rPr>
              <w:t>GB50016-2014</w:t>
            </w:r>
            <w:r w:rsidRPr="00687B52">
              <w:rPr>
                <w:color w:val="000000" w:themeColor="text1"/>
                <w:szCs w:val="24"/>
              </w:rPr>
              <w:t>第</w:t>
            </w:r>
            <w:r w:rsidRPr="00687B52">
              <w:rPr>
                <w:color w:val="000000" w:themeColor="text1"/>
                <w:szCs w:val="24"/>
              </w:rPr>
              <w:t>8</w:t>
            </w:r>
            <w:r w:rsidRPr="00687B52">
              <w:rPr>
                <w:rFonts w:hint="eastAsia"/>
                <w:color w:val="000000" w:themeColor="text1"/>
                <w:szCs w:val="24"/>
              </w:rPr>
              <w:t>.2.1</w:t>
            </w:r>
            <w:r w:rsidRPr="00687B52">
              <w:rPr>
                <w:color w:val="000000" w:themeColor="text1"/>
                <w:szCs w:val="24"/>
              </w:rPr>
              <w:t>条</w:t>
            </w:r>
          </w:p>
        </w:tc>
        <w:tc>
          <w:tcPr>
            <w:tcW w:w="905" w:type="pct"/>
          </w:tcPr>
          <w:p w:rsidR="00692A81" w:rsidRPr="00687B52" w:rsidRDefault="00692A81" w:rsidP="003E1D2A">
            <w:pPr>
              <w:pStyle w:val="a7"/>
              <w:rPr>
                <w:rFonts w:asciiTheme="minorEastAsia" w:eastAsiaTheme="minorEastAsia" w:hAnsiTheme="minorEastAsia"/>
                <w:color w:val="000000" w:themeColor="text1"/>
              </w:rPr>
            </w:pPr>
          </w:p>
        </w:tc>
      </w:tr>
      <w:tr w:rsidR="00692A81" w:rsidRPr="00687B52" w:rsidTr="004D7D3D">
        <w:trPr>
          <w:jc w:val="center"/>
        </w:trPr>
        <w:tc>
          <w:tcPr>
            <w:tcW w:w="362" w:type="pct"/>
            <w:vAlign w:val="center"/>
          </w:tcPr>
          <w:p w:rsidR="00692A81" w:rsidRPr="00687B52" w:rsidRDefault="00692A81" w:rsidP="008829DB">
            <w:pPr>
              <w:pStyle w:val="a7"/>
              <w:rPr>
                <w:color w:val="000000" w:themeColor="text1"/>
              </w:rPr>
            </w:pPr>
            <w:r w:rsidRPr="00687B52">
              <w:rPr>
                <w:rFonts w:hint="eastAsia"/>
                <w:color w:val="000000" w:themeColor="text1"/>
              </w:rPr>
              <w:t>4.1.12</w:t>
            </w:r>
          </w:p>
        </w:tc>
        <w:tc>
          <w:tcPr>
            <w:tcW w:w="2287" w:type="pct"/>
            <w:vAlign w:val="center"/>
          </w:tcPr>
          <w:p w:rsidR="00692A81" w:rsidRPr="00687B52" w:rsidRDefault="00692A81" w:rsidP="003E1D2A">
            <w:pPr>
              <w:pStyle w:val="a7"/>
              <w:jc w:val="left"/>
              <w:rPr>
                <w:color w:val="000000" w:themeColor="text1"/>
                <w:szCs w:val="24"/>
              </w:rPr>
            </w:pPr>
            <w:r w:rsidRPr="00687B52">
              <w:rPr>
                <w:color w:val="000000" w:themeColor="text1"/>
                <w:szCs w:val="24"/>
              </w:rPr>
              <w:t>设置室内消火栓的建筑，包括设备层在内的各层均应设置消火栓。</w:t>
            </w:r>
          </w:p>
        </w:tc>
        <w:tc>
          <w:tcPr>
            <w:tcW w:w="1446" w:type="pct"/>
            <w:vAlign w:val="center"/>
          </w:tcPr>
          <w:p w:rsidR="00692A81" w:rsidRPr="00687B52" w:rsidRDefault="00692A81" w:rsidP="003E1D2A">
            <w:pPr>
              <w:pStyle w:val="a7"/>
              <w:rPr>
                <w:color w:val="000000" w:themeColor="text1"/>
                <w:szCs w:val="24"/>
              </w:rPr>
            </w:pPr>
            <w:r w:rsidRPr="00687B52">
              <w:rPr>
                <w:rFonts w:hint="eastAsia"/>
                <w:color w:val="000000" w:themeColor="text1"/>
                <w:szCs w:val="24"/>
              </w:rPr>
              <w:t>《消防给水及消火栓技术规范》</w:t>
            </w:r>
            <w:r w:rsidRPr="00687B52">
              <w:rPr>
                <w:color w:val="000000" w:themeColor="text1"/>
                <w:szCs w:val="24"/>
              </w:rPr>
              <w:t>GB50974-2014</w:t>
            </w:r>
            <w:r w:rsidRPr="00687B52">
              <w:rPr>
                <w:color w:val="000000" w:themeColor="text1"/>
                <w:szCs w:val="24"/>
              </w:rPr>
              <w:t>第</w:t>
            </w:r>
            <w:r w:rsidRPr="00687B52">
              <w:rPr>
                <w:color w:val="000000" w:themeColor="text1"/>
                <w:szCs w:val="24"/>
              </w:rPr>
              <w:t>7.4.3</w:t>
            </w:r>
            <w:r w:rsidRPr="00687B52">
              <w:rPr>
                <w:color w:val="000000" w:themeColor="text1"/>
                <w:szCs w:val="24"/>
              </w:rPr>
              <w:t>条</w:t>
            </w:r>
          </w:p>
        </w:tc>
        <w:tc>
          <w:tcPr>
            <w:tcW w:w="905" w:type="pct"/>
          </w:tcPr>
          <w:p w:rsidR="00692A81" w:rsidRPr="00687B52" w:rsidRDefault="00692A81" w:rsidP="003E1D2A">
            <w:pPr>
              <w:pStyle w:val="a7"/>
              <w:rPr>
                <w:rFonts w:asciiTheme="minorEastAsia" w:eastAsiaTheme="minorEastAsia" w:hAnsiTheme="minorEastAsia"/>
                <w:color w:val="000000" w:themeColor="text1"/>
              </w:rPr>
            </w:pPr>
          </w:p>
        </w:tc>
      </w:tr>
      <w:tr w:rsidR="00692A81" w:rsidRPr="00687B52" w:rsidTr="004D7D3D">
        <w:trPr>
          <w:jc w:val="center"/>
        </w:trPr>
        <w:tc>
          <w:tcPr>
            <w:tcW w:w="362" w:type="pct"/>
            <w:vAlign w:val="center"/>
          </w:tcPr>
          <w:p w:rsidR="00692A81" w:rsidRPr="00687B52" w:rsidRDefault="00692A81" w:rsidP="008829DB">
            <w:pPr>
              <w:pStyle w:val="a7"/>
              <w:rPr>
                <w:color w:val="000000" w:themeColor="text1"/>
              </w:rPr>
            </w:pPr>
            <w:r w:rsidRPr="00687B52">
              <w:rPr>
                <w:rFonts w:hint="eastAsia"/>
                <w:color w:val="000000" w:themeColor="text1"/>
              </w:rPr>
              <w:t>4.1.13</w:t>
            </w:r>
          </w:p>
        </w:tc>
        <w:tc>
          <w:tcPr>
            <w:tcW w:w="2287" w:type="pct"/>
            <w:vAlign w:val="center"/>
          </w:tcPr>
          <w:p w:rsidR="00692A81" w:rsidRPr="00687B52" w:rsidRDefault="00692A81" w:rsidP="003E1D2A">
            <w:pPr>
              <w:pStyle w:val="a7"/>
              <w:jc w:val="left"/>
              <w:rPr>
                <w:color w:val="000000" w:themeColor="text1"/>
                <w:szCs w:val="24"/>
              </w:rPr>
            </w:pPr>
            <w:r w:rsidRPr="00687B52">
              <w:rPr>
                <w:rFonts w:hint="eastAsia"/>
                <w:color w:val="000000" w:themeColor="text1"/>
                <w:szCs w:val="24"/>
              </w:rPr>
              <w:t>甲、乙、丙类液体储罐（区）内的储罐应设置移动水枪或固定水冷却设施。高度大于</w:t>
            </w:r>
            <w:r w:rsidRPr="00687B52">
              <w:rPr>
                <w:rFonts w:hint="eastAsia"/>
                <w:color w:val="000000" w:themeColor="text1"/>
                <w:szCs w:val="24"/>
              </w:rPr>
              <w:t>15m</w:t>
            </w:r>
            <w:r w:rsidRPr="00687B52">
              <w:rPr>
                <w:rFonts w:hint="eastAsia"/>
                <w:color w:val="000000" w:themeColor="text1"/>
                <w:szCs w:val="24"/>
              </w:rPr>
              <w:t>或单罐容积大于</w:t>
            </w:r>
            <w:r w:rsidRPr="00687B52">
              <w:rPr>
                <w:rFonts w:hint="eastAsia"/>
                <w:color w:val="000000" w:themeColor="text1"/>
                <w:szCs w:val="24"/>
              </w:rPr>
              <w:t>2000m</w:t>
            </w:r>
            <w:r w:rsidRPr="00687B52">
              <w:rPr>
                <w:rFonts w:hint="eastAsia"/>
                <w:color w:val="000000" w:themeColor="text1"/>
                <w:szCs w:val="24"/>
              </w:rPr>
              <w:t>³的甲、乙、丙类液体地上储罐，宜采用固定水冷却设施。</w:t>
            </w:r>
          </w:p>
        </w:tc>
        <w:tc>
          <w:tcPr>
            <w:tcW w:w="1446" w:type="pct"/>
            <w:vAlign w:val="center"/>
          </w:tcPr>
          <w:p w:rsidR="00692A81" w:rsidRPr="00687B52" w:rsidRDefault="00692A81" w:rsidP="003E1D2A">
            <w:pPr>
              <w:pStyle w:val="a7"/>
              <w:rPr>
                <w:color w:val="000000" w:themeColor="text1"/>
                <w:szCs w:val="24"/>
              </w:rPr>
            </w:pPr>
            <w:r w:rsidRPr="00687B52">
              <w:rPr>
                <w:rFonts w:hint="eastAsia"/>
                <w:color w:val="000000" w:themeColor="text1"/>
                <w:szCs w:val="24"/>
              </w:rPr>
              <w:t>《建筑设计防火规范》</w:t>
            </w:r>
          </w:p>
          <w:p w:rsidR="00692A81" w:rsidRPr="00687B52" w:rsidRDefault="00692A81" w:rsidP="003E1D2A">
            <w:pPr>
              <w:pStyle w:val="a7"/>
              <w:rPr>
                <w:color w:val="000000" w:themeColor="text1"/>
                <w:szCs w:val="24"/>
              </w:rPr>
            </w:pPr>
            <w:r w:rsidRPr="00687B52">
              <w:rPr>
                <w:rFonts w:hint="eastAsia"/>
                <w:color w:val="000000" w:themeColor="text1"/>
                <w:szCs w:val="24"/>
              </w:rPr>
              <w:t>GB50016-2014</w:t>
            </w:r>
            <w:r w:rsidRPr="00687B52">
              <w:rPr>
                <w:color w:val="000000" w:themeColor="text1"/>
                <w:szCs w:val="24"/>
              </w:rPr>
              <w:t>第</w:t>
            </w:r>
            <w:r w:rsidRPr="00687B52">
              <w:rPr>
                <w:color w:val="000000" w:themeColor="text1"/>
                <w:szCs w:val="24"/>
              </w:rPr>
              <w:t>8.1.</w:t>
            </w:r>
            <w:r w:rsidRPr="00687B52">
              <w:rPr>
                <w:rFonts w:hint="eastAsia"/>
                <w:color w:val="000000" w:themeColor="text1"/>
                <w:szCs w:val="24"/>
              </w:rPr>
              <w:t>4</w:t>
            </w:r>
            <w:r w:rsidRPr="00687B52">
              <w:rPr>
                <w:color w:val="000000" w:themeColor="text1"/>
                <w:szCs w:val="24"/>
              </w:rPr>
              <w:t>条</w:t>
            </w:r>
          </w:p>
        </w:tc>
        <w:tc>
          <w:tcPr>
            <w:tcW w:w="905" w:type="pct"/>
          </w:tcPr>
          <w:p w:rsidR="00692A81" w:rsidRPr="00687B52" w:rsidRDefault="00692A81" w:rsidP="003E1D2A">
            <w:pPr>
              <w:pStyle w:val="a7"/>
              <w:rPr>
                <w:rFonts w:asciiTheme="minorEastAsia" w:eastAsiaTheme="minorEastAsia" w:hAnsiTheme="minorEastAsia"/>
                <w:color w:val="000000" w:themeColor="text1"/>
              </w:rPr>
            </w:pPr>
          </w:p>
        </w:tc>
      </w:tr>
      <w:tr w:rsidR="00692A81" w:rsidRPr="00687B52" w:rsidTr="004D7D3D">
        <w:trPr>
          <w:jc w:val="center"/>
        </w:trPr>
        <w:tc>
          <w:tcPr>
            <w:tcW w:w="362" w:type="pct"/>
            <w:vAlign w:val="center"/>
          </w:tcPr>
          <w:p w:rsidR="00692A81" w:rsidRPr="00687B52" w:rsidRDefault="00692A81" w:rsidP="008829DB">
            <w:pPr>
              <w:pStyle w:val="a7"/>
              <w:rPr>
                <w:color w:val="000000" w:themeColor="text1"/>
              </w:rPr>
            </w:pPr>
            <w:r w:rsidRPr="00687B52">
              <w:rPr>
                <w:rFonts w:hint="eastAsia"/>
                <w:color w:val="000000" w:themeColor="text1"/>
              </w:rPr>
              <w:t>4.1.14</w:t>
            </w:r>
          </w:p>
        </w:tc>
        <w:tc>
          <w:tcPr>
            <w:tcW w:w="2287" w:type="pct"/>
            <w:vAlign w:val="center"/>
          </w:tcPr>
          <w:p w:rsidR="00692A81" w:rsidRPr="00687B52" w:rsidRDefault="00692A81" w:rsidP="003E1D2A">
            <w:pPr>
              <w:pStyle w:val="a7"/>
              <w:jc w:val="left"/>
              <w:rPr>
                <w:color w:val="000000" w:themeColor="text1"/>
                <w:szCs w:val="24"/>
              </w:rPr>
            </w:pPr>
            <w:r w:rsidRPr="00687B52">
              <w:rPr>
                <w:color w:val="000000" w:themeColor="text1"/>
                <w:szCs w:val="24"/>
              </w:rPr>
              <w:t>当消防水池采用两路供水且在火灾情况下连续补水能满足消防要求时，消防水池的有效容积应根据计算确定，但不应小于</w:t>
            </w:r>
            <w:r w:rsidRPr="00687B52">
              <w:rPr>
                <w:color w:val="000000" w:themeColor="text1"/>
                <w:szCs w:val="24"/>
              </w:rPr>
              <w:t>100m</w:t>
            </w:r>
            <w:r w:rsidRPr="00687B52">
              <w:rPr>
                <w:color w:val="000000" w:themeColor="text1"/>
                <w:szCs w:val="24"/>
                <w:vertAlign w:val="superscript"/>
              </w:rPr>
              <w:t>3</w:t>
            </w:r>
            <w:r w:rsidRPr="00687B52">
              <w:rPr>
                <w:color w:val="000000" w:themeColor="text1"/>
                <w:szCs w:val="24"/>
              </w:rPr>
              <w:t>，当仅设有消火栓系统时不应小于</w:t>
            </w:r>
            <w:r w:rsidRPr="00687B52">
              <w:rPr>
                <w:color w:val="000000" w:themeColor="text1"/>
                <w:szCs w:val="24"/>
              </w:rPr>
              <w:t>50m</w:t>
            </w:r>
            <w:r w:rsidRPr="00687B52">
              <w:rPr>
                <w:color w:val="000000" w:themeColor="text1"/>
                <w:szCs w:val="24"/>
                <w:vertAlign w:val="superscript"/>
              </w:rPr>
              <w:t>3</w:t>
            </w:r>
            <w:r w:rsidRPr="00687B52">
              <w:rPr>
                <w:color w:val="000000" w:themeColor="text1"/>
                <w:szCs w:val="24"/>
              </w:rPr>
              <w:t>。</w:t>
            </w:r>
          </w:p>
        </w:tc>
        <w:tc>
          <w:tcPr>
            <w:tcW w:w="1446" w:type="pct"/>
            <w:vAlign w:val="center"/>
          </w:tcPr>
          <w:p w:rsidR="00692A81" w:rsidRPr="00687B52" w:rsidRDefault="00692A81" w:rsidP="003E1D2A">
            <w:pPr>
              <w:pStyle w:val="a7"/>
              <w:rPr>
                <w:color w:val="000000" w:themeColor="text1"/>
                <w:szCs w:val="24"/>
              </w:rPr>
            </w:pPr>
            <w:r w:rsidRPr="00687B52">
              <w:rPr>
                <w:rFonts w:hint="eastAsia"/>
                <w:color w:val="000000" w:themeColor="text1"/>
                <w:szCs w:val="24"/>
              </w:rPr>
              <w:t>《消防给水及消火栓技术规范》</w:t>
            </w:r>
          </w:p>
          <w:p w:rsidR="00692A81" w:rsidRPr="00687B52" w:rsidRDefault="00692A81" w:rsidP="003E1D2A">
            <w:pPr>
              <w:pStyle w:val="a7"/>
              <w:rPr>
                <w:color w:val="000000" w:themeColor="text1"/>
                <w:szCs w:val="24"/>
              </w:rPr>
            </w:pPr>
            <w:r w:rsidRPr="00687B52">
              <w:rPr>
                <w:color w:val="000000" w:themeColor="text1"/>
                <w:szCs w:val="24"/>
              </w:rPr>
              <w:t>GB50974-2014</w:t>
            </w:r>
            <w:r w:rsidRPr="00687B52">
              <w:rPr>
                <w:color w:val="000000" w:themeColor="text1"/>
                <w:szCs w:val="24"/>
              </w:rPr>
              <w:t>第</w:t>
            </w:r>
            <w:r w:rsidRPr="00687B52">
              <w:rPr>
                <w:color w:val="000000" w:themeColor="text1"/>
                <w:szCs w:val="24"/>
              </w:rPr>
              <w:t>4.3.4</w:t>
            </w:r>
            <w:r w:rsidRPr="00687B52">
              <w:rPr>
                <w:color w:val="000000" w:themeColor="text1"/>
                <w:szCs w:val="24"/>
              </w:rPr>
              <w:t>条</w:t>
            </w:r>
          </w:p>
        </w:tc>
        <w:tc>
          <w:tcPr>
            <w:tcW w:w="905" w:type="pct"/>
          </w:tcPr>
          <w:p w:rsidR="00692A81" w:rsidRPr="00687B52" w:rsidRDefault="00692A81" w:rsidP="003E1D2A">
            <w:pPr>
              <w:pStyle w:val="a7"/>
              <w:rPr>
                <w:rFonts w:asciiTheme="minorEastAsia" w:eastAsiaTheme="minorEastAsia" w:hAnsiTheme="minorEastAsia"/>
                <w:color w:val="000000" w:themeColor="text1"/>
              </w:rPr>
            </w:pPr>
          </w:p>
        </w:tc>
      </w:tr>
      <w:tr w:rsidR="00692A81" w:rsidRPr="00687B52" w:rsidTr="004D7D3D">
        <w:trPr>
          <w:jc w:val="center"/>
        </w:trPr>
        <w:tc>
          <w:tcPr>
            <w:tcW w:w="362" w:type="pct"/>
            <w:vAlign w:val="center"/>
          </w:tcPr>
          <w:p w:rsidR="00692A81" w:rsidRPr="00687B52" w:rsidRDefault="00692A81" w:rsidP="008829DB">
            <w:pPr>
              <w:pStyle w:val="a7"/>
              <w:rPr>
                <w:color w:val="000000" w:themeColor="text1"/>
              </w:rPr>
            </w:pPr>
            <w:r w:rsidRPr="00687B52">
              <w:rPr>
                <w:rFonts w:hint="eastAsia"/>
                <w:color w:val="000000" w:themeColor="text1"/>
              </w:rPr>
              <w:t>4.1.15</w:t>
            </w:r>
          </w:p>
        </w:tc>
        <w:tc>
          <w:tcPr>
            <w:tcW w:w="2287" w:type="pct"/>
            <w:vAlign w:val="center"/>
          </w:tcPr>
          <w:p w:rsidR="00692A81" w:rsidRPr="00687B52" w:rsidRDefault="00692A81" w:rsidP="003E1D2A">
            <w:pPr>
              <w:pStyle w:val="a7"/>
              <w:jc w:val="left"/>
              <w:rPr>
                <w:color w:val="000000" w:themeColor="text1"/>
                <w:szCs w:val="24"/>
              </w:rPr>
            </w:pPr>
            <w:r w:rsidRPr="00687B52">
              <w:rPr>
                <w:color w:val="000000" w:themeColor="text1"/>
                <w:szCs w:val="24"/>
              </w:rPr>
              <w:t>消防用水与其他用水共用的水池，应采取确保消防用水量不作他用的技术措施。</w:t>
            </w:r>
          </w:p>
        </w:tc>
        <w:tc>
          <w:tcPr>
            <w:tcW w:w="1446" w:type="pct"/>
            <w:vAlign w:val="center"/>
          </w:tcPr>
          <w:p w:rsidR="00692A81" w:rsidRPr="00687B52" w:rsidRDefault="00692A81" w:rsidP="003E1D2A">
            <w:pPr>
              <w:pStyle w:val="a7"/>
              <w:rPr>
                <w:color w:val="000000" w:themeColor="text1"/>
                <w:szCs w:val="24"/>
              </w:rPr>
            </w:pPr>
            <w:r w:rsidRPr="00687B52">
              <w:rPr>
                <w:rFonts w:hint="eastAsia"/>
                <w:color w:val="000000" w:themeColor="text1"/>
                <w:szCs w:val="24"/>
              </w:rPr>
              <w:t>《消防给水及消火栓技术规范》</w:t>
            </w:r>
          </w:p>
          <w:p w:rsidR="00692A81" w:rsidRPr="00687B52" w:rsidRDefault="00692A81" w:rsidP="003E1D2A">
            <w:pPr>
              <w:pStyle w:val="a7"/>
              <w:rPr>
                <w:color w:val="000000" w:themeColor="text1"/>
                <w:szCs w:val="24"/>
              </w:rPr>
            </w:pPr>
            <w:r w:rsidRPr="00687B52">
              <w:rPr>
                <w:color w:val="000000" w:themeColor="text1"/>
                <w:szCs w:val="24"/>
              </w:rPr>
              <w:t>GB50974-2014</w:t>
            </w:r>
          </w:p>
          <w:p w:rsidR="00692A81" w:rsidRPr="00687B52" w:rsidRDefault="00692A81" w:rsidP="003E1D2A">
            <w:pPr>
              <w:pStyle w:val="a7"/>
              <w:rPr>
                <w:color w:val="000000" w:themeColor="text1"/>
                <w:szCs w:val="24"/>
              </w:rPr>
            </w:pPr>
            <w:r w:rsidRPr="00687B52">
              <w:rPr>
                <w:color w:val="000000" w:themeColor="text1"/>
                <w:szCs w:val="24"/>
              </w:rPr>
              <w:t>第</w:t>
            </w:r>
            <w:r w:rsidRPr="00687B52">
              <w:rPr>
                <w:color w:val="000000" w:themeColor="text1"/>
                <w:szCs w:val="24"/>
              </w:rPr>
              <w:t>4.3.8</w:t>
            </w:r>
            <w:r w:rsidRPr="00687B52">
              <w:rPr>
                <w:color w:val="000000" w:themeColor="text1"/>
                <w:szCs w:val="24"/>
              </w:rPr>
              <w:t>条</w:t>
            </w:r>
          </w:p>
        </w:tc>
        <w:tc>
          <w:tcPr>
            <w:tcW w:w="905" w:type="pct"/>
          </w:tcPr>
          <w:p w:rsidR="00692A81" w:rsidRPr="00687B52" w:rsidRDefault="00692A81" w:rsidP="003E1D2A">
            <w:pPr>
              <w:pStyle w:val="a7"/>
              <w:rPr>
                <w:rFonts w:asciiTheme="minorEastAsia" w:eastAsiaTheme="minorEastAsia" w:hAnsiTheme="minorEastAsia"/>
                <w:color w:val="000000" w:themeColor="text1"/>
              </w:rPr>
            </w:pPr>
          </w:p>
        </w:tc>
      </w:tr>
      <w:tr w:rsidR="00692A81" w:rsidRPr="00687B52" w:rsidTr="004D7D3D">
        <w:trPr>
          <w:jc w:val="center"/>
        </w:trPr>
        <w:tc>
          <w:tcPr>
            <w:tcW w:w="362" w:type="pct"/>
            <w:vAlign w:val="center"/>
          </w:tcPr>
          <w:p w:rsidR="00692A81" w:rsidRPr="00687B52" w:rsidRDefault="00692A81" w:rsidP="00A0736D">
            <w:pPr>
              <w:pStyle w:val="a7"/>
              <w:rPr>
                <w:color w:val="000000" w:themeColor="text1"/>
              </w:rPr>
            </w:pPr>
            <w:r w:rsidRPr="00687B52">
              <w:rPr>
                <w:rFonts w:hint="eastAsia"/>
                <w:color w:val="000000" w:themeColor="text1"/>
              </w:rPr>
              <w:t>4.1.1</w:t>
            </w:r>
            <w:r w:rsidR="00A0736D" w:rsidRPr="00687B52">
              <w:rPr>
                <w:rFonts w:hint="eastAsia"/>
                <w:color w:val="000000" w:themeColor="text1"/>
              </w:rPr>
              <w:t>6</w:t>
            </w:r>
          </w:p>
        </w:tc>
        <w:tc>
          <w:tcPr>
            <w:tcW w:w="2287" w:type="pct"/>
            <w:vAlign w:val="center"/>
          </w:tcPr>
          <w:p w:rsidR="00692A81" w:rsidRPr="00687B52" w:rsidRDefault="00692A81" w:rsidP="003E1D2A">
            <w:pPr>
              <w:pStyle w:val="a7"/>
              <w:jc w:val="left"/>
              <w:rPr>
                <w:color w:val="000000" w:themeColor="text1"/>
                <w:szCs w:val="24"/>
              </w:rPr>
            </w:pPr>
            <w:r w:rsidRPr="00687B52">
              <w:rPr>
                <w:color w:val="000000" w:themeColor="text1"/>
                <w:szCs w:val="24"/>
              </w:rPr>
              <w:t>一个灭火器配置场所内的灭火器不应少于</w:t>
            </w:r>
            <w:r w:rsidRPr="00687B52">
              <w:rPr>
                <w:rFonts w:hint="eastAsia"/>
                <w:color w:val="000000" w:themeColor="text1"/>
                <w:szCs w:val="24"/>
              </w:rPr>
              <w:t>2</w:t>
            </w:r>
            <w:r w:rsidRPr="00687B52">
              <w:rPr>
                <w:color w:val="000000" w:themeColor="text1"/>
                <w:szCs w:val="24"/>
              </w:rPr>
              <w:t>具。</w:t>
            </w:r>
          </w:p>
          <w:p w:rsidR="00692A81" w:rsidRPr="00687B52" w:rsidRDefault="00692A81" w:rsidP="003E1D2A">
            <w:pPr>
              <w:pStyle w:val="a7"/>
              <w:jc w:val="left"/>
              <w:rPr>
                <w:color w:val="000000" w:themeColor="text1"/>
                <w:szCs w:val="24"/>
              </w:rPr>
            </w:pPr>
            <w:r w:rsidRPr="00687B52">
              <w:rPr>
                <w:color w:val="000000" w:themeColor="text1"/>
                <w:szCs w:val="24"/>
              </w:rPr>
              <w:t>每个设置点的灭火器不宜多于</w:t>
            </w:r>
            <w:r w:rsidRPr="00687B52">
              <w:rPr>
                <w:rFonts w:hint="eastAsia"/>
                <w:color w:val="000000" w:themeColor="text1"/>
                <w:szCs w:val="24"/>
              </w:rPr>
              <w:t>5</w:t>
            </w:r>
            <w:r w:rsidRPr="00687B52">
              <w:rPr>
                <w:color w:val="000000" w:themeColor="text1"/>
                <w:szCs w:val="24"/>
              </w:rPr>
              <w:t>具</w:t>
            </w:r>
            <w:r w:rsidRPr="00687B52">
              <w:rPr>
                <w:rFonts w:hint="eastAsia"/>
                <w:color w:val="000000" w:themeColor="text1"/>
                <w:szCs w:val="24"/>
              </w:rPr>
              <w:t>灭</w:t>
            </w:r>
            <w:r w:rsidRPr="00687B52">
              <w:rPr>
                <w:color w:val="000000" w:themeColor="text1"/>
                <w:szCs w:val="24"/>
              </w:rPr>
              <w:t>火器材</w:t>
            </w:r>
            <w:r w:rsidRPr="00687B52">
              <w:rPr>
                <w:rFonts w:hint="eastAsia"/>
                <w:color w:val="000000" w:themeColor="text1"/>
                <w:szCs w:val="24"/>
              </w:rPr>
              <w:t>。</w:t>
            </w:r>
          </w:p>
          <w:p w:rsidR="00692A81" w:rsidRPr="00687B52" w:rsidRDefault="00692A81" w:rsidP="003E1D2A">
            <w:pPr>
              <w:pStyle w:val="a7"/>
              <w:jc w:val="left"/>
              <w:rPr>
                <w:color w:val="000000" w:themeColor="text1"/>
                <w:szCs w:val="24"/>
              </w:rPr>
            </w:pPr>
            <w:r w:rsidRPr="00687B52">
              <w:rPr>
                <w:color w:val="000000" w:themeColor="text1"/>
                <w:szCs w:val="24"/>
              </w:rPr>
              <w:t>灭火器应设置在位置明显和便于取用的地点，且不得影响安全疏散。</w:t>
            </w:r>
          </w:p>
        </w:tc>
        <w:tc>
          <w:tcPr>
            <w:tcW w:w="1446" w:type="pct"/>
            <w:vAlign w:val="center"/>
          </w:tcPr>
          <w:p w:rsidR="00692A81" w:rsidRPr="00687B52" w:rsidRDefault="00692A81" w:rsidP="003E1D2A">
            <w:pPr>
              <w:pStyle w:val="a7"/>
              <w:rPr>
                <w:color w:val="000000" w:themeColor="text1"/>
                <w:szCs w:val="24"/>
              </w:rPr>
            </w:pPr>
            <w:r w:rsidRPr="00687B52">
              <w:rPr>
                <w:rFonts w:hint="eastAsia"/>
                <w:color w:val="000000" w:themeColor="text1"/>
                <w:szCs w:val="24"/>
              </w:rPr>
              <w:t>《建筑灭火器配置设计规范》</w:t>
            </w:r>
          </w:p>
          <w:p w:rsidR="00692A81" w:rsidRPr="00687B52" w:rsidRDefault="00692A81" w:rsidP="003E1D2A">
            <w:pPr>
              <w:pStyle w:val="a7"/>
              <w:rPr>
                <w:color w:val="000000" w:themeColor="text1"/>
                <w:szCs w:val="24"/>
              </w:rPr>
            </w:pPr>
            <w:r w:rsidRPr="00687B52">
              <w:rPr>
                <w:color w:val="000000" w:themeColor="text1"/>
                <w:szCs w:val="24"/>
              </w:rPr>
              <w:t>GB50140-2005</w:t>
            </w:r>
          </w:p>
          <w:p w:rsidR="00692A81" w:rsidRPr="00687B52" w:rsidRDefault="00692A81" w:rsidP="003E1D2A">
            <w:pPr>
              <w:pStyle w:val="a7"/>
              <w:rPr>
                <w:color w:val="000000" w:themeColor="text1"/>
                <w:szCs w:val="24"/>
              </w:rPr>
            </w:pPr>
            <w:r w:rsidRPr="00687B52">
              <w:rPr>
                <w:color w:val="000000" w:themeColor="text1"/>
                <w:szCs w:val="24"/>
              </w:rPr>
              <w:t>第</w:t>
            </w:r>
            <w:r w:rsidRPr="00687B52">
              <w:rPr>
                <w:color w:val="000000" w:themeColor="text1"/>
                <w:szCs w:val="24"/>
              </w:rPr>
              <w:t>5.1.1</w:t>
            </w:r>
            <w:r w:rsidRPr="00687B52">
              <w:rPr>
                <w:rFonts w:hint="eastAsia"/>
                <w:color w:val="000000" w:themeColor="text1"/>
                <w:szCs w:val="24"/>
              </w:rPr>
              <w:t>、</w:t>
            </w:r>
            <w:r w:rsidRPr="00687B52">
              <w:rPr>
                <w:color w:val="000000" w:themeColor="text1"/>
                <w:szCs w:val="24"/>
              </w:rPr>
              <w:t>6.1.1</w:t>
            </w:r>
            <w:r w:rsidRPr="00687B52">
              <w:rPr>
                <w:rFonts w:hint="eastAsia"/>
                <w:color w:val="000000" w:themeColor="text1"/>
                <w:szCs w:val="24"/>
              </w:rPr>
              <w:t>、</w:t>
            </w:r>
            <w:r w:rsidRPr="00687B52">
              <w:rPr>
                <w:color w:val="000000" w:themeColor="text1"/>
                <w:szCs w:val="24"/>
              </w:rPr>
              <w:t>6.1.2</w:t>
            </w:r>
            <w:r w:rsidRPr="00687B52">
              <w:rPr>
                <w:color w:val="000000" w:themeColor="text1"/>
                <w:szCs w:val="24"/>
              </w:rPr>
              <w:t>条</w:t>
            </w:r>
          </w:p>
        </w:tc>
        <w:tc>
          <w:tcPr>
            <w:tcW w:w="905" w:type="pct"/>
          </w:tcPr>
          <w:p w:rsidR="00692A81" w:rsidRPr="00687B52" w:rsidRDefault="00692A81" w:rsidP="003E1D2A">
            <w:pPr>
              <w:pStyle w:val="a7"/>
              <w:rPr>
                <w:rFonts w:asciiTheme="minorEastAsia" w:eastAsiaTheme="minorEastAsia" w:hAnsiTheme="minorEastAsia"/>
                <w:color w:val="000000" w:themeColor="text1"/>
              </w:rPr>
            </w:pPr>
          </w:p>
        </w:tc>
      </w:tr>
      <w:tr w:rsidR="00692A81" w:rsidRPr="00687B52" w:rsidTr="004D7D3D">
        <w:trPr>
          <w:jc w:val="center"/>
        </w:trPr>
        <w:tc>
          <w:tcPr>
            <w:tcW w:w="362" w:type="pct"/>
            <w:vAlign w:val="center"/>
          </w:tcPr>
          <w:p w:rsidR="00692A81" w:rsidRPr="00687B52" w:rsidRDefault="00692A81" w:rsidP="00A0736D">
            <w:pPr>
              <w:pStyle w:val="a7"/>
              <w:rPr>
                <w:color w:val="000000" w:themeColor="text1"/>
              </w:rPr>
            </w:pPr>
            <w:r w:rsidRPr="00687B52">
              <w:rPr>
                <w:rFonts w:hint="eastAsia"/>
                <w:color w:val="000000" w:themeColor="text1"/>
              </w:rPr>
              <w:t>4.1.1</w:t>
            </w:r>
            <w:r w:rsidR="00A0736D" w:rsidRPr="00687B52">
              <w:rPr>
                <w:rFonts w:hint="eastAsia"/>
                <w:color w:val="000000" w:themeColor="text1"/>
              </w:rPr>
              <w:t>7</w:t>
            </w:r>
          </w:p>
        </w:tc>
        <w:tc>
          <w:tcPr>
            <w:tcW w:w="2287" w:type="pct"/>
            <w:vAlign w:val="center"/>
          </w:tcPr>
          <w:p w:rsidR="00692A81" w:rsidRPr="00687B52" w:rsidRDefault="00692A81" w:rsidP="003E1D2A">
            <w:pPr>
              <w:pStyle w:val="a7"/>
              <w:jc w:val="left"/>
              <w:rPr>
                <w:color w:val="000000" w:themeColor="text1"/>
                <w:szCs w:val="24"/>
              </w:rPr>
            </w:pPr>
            <w:r w:rsidRPr="00687B52">
              <w:rPr>
                <w:color w:val="000000" w:themeColor="text1"/>
                <w:szCs w:val="24"/>
              </w:rPr>
              <w:t>变电所应根据容量大小及其重要性，对主变压器等各种带油电气设备及建筑物，配备适当数量的手提式及推车式化学灭火器。</w:t>
            </w:r>
          </w:p>
        </w:tc>
        <w:tc>
          <w:tcPr>
            <w:tcW w:w="1446" w:type="pct"/>
            <w:vAlign w:val="center"/>
          </w:tcPr>
          <w:p w:rsidR="00692A81" w:rsidRPr="00687B52" w:rsidRDefault="00692A81" w:rsidP="003E1D2A">
            <w:pPr>
              <w:pStyle w:val="a7"/>
              <w:rPr>
                <w:color w:val="000000" w:themeColor="text1"/>
                <w:szCs w:val="24"/>
              </w:rPr>
            </w:pPr>
            <w:r w:rsidRPr="00687B52">
              <w:rPr>
                <w:rFonts w:hint="eastAsia"/>
                <w:color w:val="000000" w:themeColor="text1"/>
                <w:szCs w:val="24"/>
              </w:rPr>
              <w:t>《</w:t>
            </w:r>
            <w:r w:rsidRPr="00687B52">
              <w:rPr>
                <w:rFonts w:hint="eastAsia"/>
                <w:color w:val="000000" w:themeColor="text1"/>
                <w:szCs w:val="24"/>
              </w:rPr>
              <w:t>35kV</w:t>
            </w:r>
            <w:r w:rsidRPr="00687B52">
              <w:rPr>
                <w:rFonts w:hint="eastAsia"/>
                <w:color w:val="000000" w:themeColor="text1"/>
                <w:szCs w:val="24"/>
              </w:rPr>
              <w:t>～</w:t>
            </w:r>
            <w:r w:rsidRPr="00687B52">
              <w:rPr>
                <w:rFonts w:hint="eastAsia"/>
                <w:color w:val="000000" w:themeColor="text1"/>
                <w:szCs w:val="24"/>
              </w:rPr>
              <w:t>110kV</w:t>
            </w:r>
            <w:r w:rsidRPr="00687B52">
              <w:rPr>
                <w:rFonts w:hint="eastAsia"/>
                <w:color w:val="000000" w:themeColor="text1"/>
                <w:szCs w:val="24"/>
              </w:rPr>
              <w:t>变电站设计规范》</w:t>
            </w:r>
          </w:p>
          <w:p w:rsidR="00692A81" w:rsidRPr="00687B52" w:rsidRDefault="00692A81" w:rsidP="003E1D2A">
            <w:pPr>
              <w:pStyle w:val="a7"/>
              <w:rPr>
                <w:color w:val="000000" w:themeColor="text1"/>
                <w:szCs w:val="24"/>
              </w:rPr>
            </w:pPr>
            <w:r w:rsidRPr="00687B52">
              <w:rPr>
                <w:color w:val="000000" w:themeColor="text1"/>
                <w:szCs w:val="24"/>
              </w:rPr>
              <w:t>GB500</w:t>
            </w:r>
            <w:r w:rsidRPr="00687B52">
              <w:rPr>
                <w:rFonts w:hint="eastAsia"/>
                <w:color w:val="000000" w:themeColor="text1"/>
                <w:szCs w:val="24"/>
              </w:rPr>
              <w:t>59</w:t>
            </w:r>
            <w:r w:rsidRPr="00687B52">
              <w:rPr>
                <w:color w:val="000000" w:themeColor="text1"/>
                <w:szCs w:val="24"/>
              </w:rPr>
              <w:t>-20</w:t>
            </w:r>
            <w:r w:rsidRPr="00687B52">
              <w:rPr>
                <w:rFonts w:hint="eastAsia"/>
                <w:color w:val="000000" w:themeColor="text1"/>
                <w:szCs w:val="24"/>
              </w:rPr>
              <w:t>11</w:t>
            </w:r>
          </w:p>
          <w:p w:rsidR="00692A81" w:rsidRPr="00687B52" w:rsidRDefault="00692A81" w:rsidP="003E1D2A">
            <w:pPr>
              <w:pStyle w:val="a7"/>
              <w:rPr>
                <w:color w:val="000000" w:themeColor="text1"/>
              </w:rPr>
            </w:pPr>
            <w:r w:rsidRPr="00687B52">
              <w:rPr>
                <w:color w:val="000000" w:themeColor="text1"/>
                <w:szCs w:val="24"/>
              </w:rPr>
              <w:t>第</w:t>
            </w:r>
            <w:r w:rsidRPr="00687B52">
              <w:rPr>
                <w:rFonts w:hint="eastAsia"/>
                <w:color w:val="000000" w:themeColor="text1"/>
                <w:szCs w:val="24"/>
              </w:rPr>
              <w:t>5.0.3</w:t>
            </w:r>
            <w:r w:rsidRPr="00687B52">
              <w:rPr>
                <w:color w:val="000000" w:themeColor="text1"/>
                <w:szCs w:val="24"/>
              </w:rPr>
              <w:t>条</w:t>
            </w:r>
          </w:p>
        </w:tc>
        <w:tc>
          <w:tcPr>
            <w:tcW w:w="905" w:type="pct"/>
          </w:tcPr>
          <w:p w:rsidR="00692A81" w:rsidRPr="00687B52" w:rsidRDefault="00692A81"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692A81" w:rsidP="00A0736D">
            <w:pPr>
              <w:pStyle w:val="a7"/>
              <w:rPr>
                <w:color w:val="000000" w:themeColor="text1"/>
              </w:rPr>
            </w:pPr>
            <w:r w:rsidRPr="00687B52">
              <w:rPr>
                <w:rFonts w:hint="eastAsia"/>
                <w:color w:val="000000" w:themeColor="text1"/>
              </w:rPr>
              <w:lastRenderedPageBreak/>
              <w:t>4.1.</w:t>
            </w:r>
            <w:r w:rsidR="00A0736D" w:rsidRPr="00687B52">
              <w:rPr>
                <w:rFonts w:hint="eastAsia"/>
                <w:color w:val="000000" w:themeColor="text1"/>
              </w:rPr>
              <w:t>18</w:t>
            </w:r>
          </w:p>
        </w:tc>
        <w:tc>
          <w:tcPr>
            <w:tcW w:w="2287" w:type="pct"/>
            <w:vAlign w:val="center"/>
          </w:tcPr>
          <w:p w:rsidR="00F34E9F" w:rsidRPr="00687B52" w:rsidRDefault="00F34E9F" w:rsidP="003E1D2A">
            <w:pPr>
              <w:pStyle w:val="a7"/>
              <w:jc w:val="left"/>
              <w:rPr>
                <w:color w:val="000000" w:themeColor="text1"/>
                <w:szCs w:val="24"/>
              </w:rPr>
            </w:pPr>
            <w:r w:rsidRPr="00687B52">
              <w:rPr>
                <w:rFonts w:hint="eastAsia"/>
                <w:color w:val="000000" w:themeColor="text1"/>
                <w:szCs w:val="24"/>
              </w:rPr>
              <w:t>厂房内每个防火分区或一个防火分区内的每个楼层，其安全出口的数量应经计算确定，且不应少于</w:t>
            </w:r>
            <w:r w:rsidRPr="00687B52">
              <w:rPr>
                <w:rFonts w:hint="eastAsia"/>
                <w:color w:val="000000" w:themeColor="text1"/>
                <w:szCs w:val="24"/>
              </w:rPr>
              <w:t>2</w:t>
            </w:r>
            <w:r w:rsidRPr="00687B52">
              <w:rPr>
                <w:rFonts w:hint="eastAsia"/>
                <w:color w:val="000000" w:themeColor="text1"/>
                <w:szCs w:val="24"/>
              </w:rPr>
              <w:t>个。</w:t>
            </w:r>
          </w:p>
          <w:p w:rsidR="00F34E9F" w:rsidRPr="00687B52" w:rsidRDefault="00F34E9F" w:rsidP="003E1D2A">
            <w:pPr>
              <w:pStyle w:val="a7"/>
              <w:jc w:val="left"/>
              <w:rPr>
                <w:color w:val="000000" w:themeColor="text1"/>
                <w:szCs w:val="24"/>
              </w:rPr>
            </w:pPr>
            <w:r w:rsidRPr="00687B52">
              <w:rPr>
                <w:rFonts w:hint="eastAsia"/>
                <w:color w:val="000000" w:themeColor="text1"/>
                <w:szCs w:val="24"/>
              </w:rPr>
              <w:t>甲、乙、丙类多层厂房的疏散楼梯应采用封闭楼梯间或室外楼梯。</w:t>
            </w:r>
          </w:p>
        </w:tc>
        <w:tc>
          <w:tcPr>
            <w:tcW w:w="1446" w:type="pct"/>
            <w:vAlign w:val="center"/>
          </w:tcPr>
          <w:p w:rsidR="00F34E9F" w:rsidRPr="00687B52" w:rsidRDefault="00F34E9F" w:rsidP="003E1D2A">
            <w:pPr>
              <w:pStyle w:val="a7"/>
              <w:rPr>
                <w:color w:val="000000" w:themeColor="text1"/>
                <w:szCs w:val="24"/>
              </w:rPr>
            </w:pPr>
            <w:r w:rsidRPr="00687B52">
              <w:rPr>
                <w:rFonts w:hint="eastAsia"/>
                <w:color w:val="000000" w:themeColor="text1"/>
                <w:szCs w:val="24"/>
              </w:rPr>
              <w:t>《建筑设计防火规范》</w:t>
            </w:r>
            <w:r w:rsidRPr="00687B52">
              <w:rPr>
                <w:rFonts w:hint="eastAsia"/>
                <w:color w:val="000000" w:themeColor="text1"/>
                <w:szCs w:val="24"/>
              </w:rPr>
              <w:t>GB50016-2014</w:t>
            </w:r>
          </w:p>
          <w:p w:rsidR="00F34E9F" w:rsidRPr="00687B52" w:rsidRDefault="00F34E9F" w:rsidP="003E1D2A">
            <w:pPr>
              <w:pStyle w:val="a7"/>
              <w:rPr>
                <w:color w:val="000000" w:themeColor="text1"/>
                <w:szCs w:val="24"/>
              </w:rPr>
            </w:pPr>
            <w:r w:rsidRPr="00687B52">
              <w:rPr>
                <w:color w:val="000000" w:themeColor="text1"/>
                <w:szCs w:val="24"/>
              </w:rPr>
              <w:t>第</w:t>
            </w:r>
            <w:r w:rsidRPr="00687B52">
              <w:rPr>
                <w:color w:val="000000" w:themeColor="text1"/>
                <w:szCs w:val="24"/>
              </w:rPr>
              <w:t>3.7.2</w:t>
            </w:r>
            <w:r w:rsidRPr="00687B52">
              <w:rPr>
                <w:rFonts w:hint="eastAsia"/>
                <w:color w:val="000000" w:themeColor="text1"/>
                <w:szCs w:val="24"/>
              </w:rPr>
              <w:t>、</w:t>
            </w:r>
            <w:r w:rsidRPr="00687B52">
              <w:rPr>
                <w:color w:val="000000" w:themeColor="text1"/>
                <w:szCs w:val="24"/>
              </w:rPr>
              <w:t>3.7.6</w:t>
            </w:r>
            <w:r w:rsidRPr="00687B52">
              <w:rPr>
                <w:color w:val="000000" w:themeColor="text1"/>
                <w:szCs w:val="24"/>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692A81" w:rsidP="00A0736D">
            <w:pPr>
              <w:pStyle w:val="a7"/>
              <w:rPr>
                <w:color w:val="000000" w:themeColor="text1"/>
              </w:rPr>
            </w:pPr>
            <w:r w:rsidRPr="00687B52">
              <w:rPr>
                <w:rFonts w:hint="eastAsia"/>
                <w:color w:val="000000" w:themeColor="text1"/>
              </w:rPr>
              <w:t>4.1.</w:t>
            </w:r>
            <w:r w:rsidR="00A0736D" w:rsidRPr="00687B52">
              <w:rPr>
                <w:rFonts w:hint="eastAsia"/>
                <w:color w:val="000000" w:themeColor="text1"/>
              </w:rPr>
              <w:t>19</w:t>
            </w:r>
          </w:p>
        </w:tc>
        <w:tc>
          <w:tcPr>
            <w:tcW w:w="2287" w:type="pct"/>
            <w:vAlign w:val="center"/>
          </w:tcPr>
          <w:p w:rsidR="00F34E9F" w:rsidRPr="00687B52" w:rsidRDefault="00F34E9F" w:rsidP="003E1D2A">
            <w:pPr>
              <w:pStyle w:val="a7"/>
              <w:jc w:val="left"/>
              <w:rPr>
                <w:color w:val="000000" w:themeColor="text1"/>
              </w:rPr>
            </w:pPr>
            <w:r w:rsidRPr="00687B52">
              <w:rPr>
                <w:color w:val="000000" w:themeColor="text1"/>
              </w:rPr>
              <w:t>消防控制室、消防水泵房、自备发电机房、配电室、防排烟机房以及发生火灾时仍需正常工作的消防设备房应设置消防应急照明，其作业面的最低照度不应低于正常照明的照度。疏散照明灯具应设置在出口的顶部、墙面的上部或顶棚上。</w:t>
            </w:r>
          </w:p>
        </w:tc>
        <w:tc>
          <w:tcPr>
            <w:tcW w:w="1446" w:type="pct"/>
            <w:vAlign w:val="center"/>
          </w:tcPr>
          <w:p w:rsidR="00F34E9F" w:rsidRPr="00687B52" w:rsidRDefault="00F34E9F" w:rsidP="003E1D2A">
            <w:pPr>
              <w:pStyle w:val="a7"/>
              <w:rPr>
                <w:color w:val="000000" w:themeColor="text1"/>
              </w:rPr>
            </w:pPr>
            <w:r w:rsidRPr="00687B52">
              <w:rPr>
                <w:color w:val="000000" w:themeColor="text1"/>
              </w:rPr>
              <w:t>《建筑设计防火规范》</w:t>
            </w:r>
            <w:r w:rsidRPr="00687B52">
              <w:rPr>
                <w:color w:val="000000" w:themeColor="text1"/>
              </w:rPr>
              <w:t>GB50016-2014</w:t>
            </w:r>
            <w:r w:rsidRPr="00687B52">
              <w:rPr>
                <w:color w:val="000000" w:themeColor="text1"/>
              </w:rPr>
              <w:br/>
            </w:r>
            <w:r w:rsidRPr="00687B52">
              <w:rPr>
                <w:color w:val="000000" w:themeColor="text1"/>
              </w:rPr>
              <w:t>第</w:t>
            </w:r>
            <w:r w:rsidRPr="00687B52">
              <w:rPr>
                <w:color w:val="000000" w:themeColor="text1"/>
              </w:rPr>
              <w:t>10.3.3</w:t>
            </w:r>
            <w:r w:rsidRPr="00687B52">
              <w:rPr>
                <w:color w:val="000000" w:themeColor="text1"/>
              </w:rPr>
              <w:t>、</w:t>
            </w:r>
            <w:r w:rsidRPr="00687B52">
              <w:rPr>
                <w:color w:val="000000" w:themeColor="text1"/>
              </w:rPr>
              <w:t>10.3.4</w:t>
            </w:r>
            <w:r w:rsidRPr="00687B52">
              <w:rPr>
                <w:color w:val="000000" w:themeColor="text1"/>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692A81" w:rsidP="00A0736D">
            <w:pPr>
              <w:pStyle w:val="a7"/>
              <w:rPr>
                <w:color w:val="000000" w:themeColor="text1"/>
              </w:rPr>
            </w:pPr>
            <w:r w:rsidRPr="00687B52">
              <w:rPr>
                <w:rFonts w:hint="eastAsia"/>
                <w:color w:val="000000" w:themeColor="text1"/>
              </w:rPr>
              <w:t>4.1.2</w:t>
            </w:r>
            <w:r w:rsidR="00A0736D" w:rsidRPr="00687B52">
              <w:rPr>
                <w:rFonts w:hint="eastAsia"/>
                <w:color w:val="000000" w:themeColor="text1"/>
              </w:rPr>
              <w:t>0</w:t>
            </w:r>
          </w:p>
        </w:tc>
        <w:tc>
          <w:tcPr>
            <w:tcW w:w="2287" w:type="pct"/>
            <w:vAlign w:val="center"/>
          </w:tcPr>
          <w:p w:rsidR="00F34E9F" w:rsidRPr="00687B52" w:rsidRDefault="00F34E9F" w:rsidP="002810EE">
            <w:pPr>
              <w:pStyle w:val="a7"/>
              <w:jc w:val="left"/>
              <w:rPr>
                <w:rFonts w:ascii="宋体" w:hAnsi="宋体" w:cs="宋体"/>
                <w:color w:val="000000" w:themeColor="text1"/>
                <w:kern w:val="0"/>
                <w:szCs w:val="24"/>
              </w:rPr>
            </w:pPr>
            <w:r w:rsidRPr="00687B52">
              <w:rPr>
                <w:rFonts w:hAnsi="Times New Roman" w:hint="eastAsia"/>
                <w:color w:val="000000" w:themeColor="text1"/>
                <w:kern w:val="0"/>
                <w:szCs w:val="24"/>
              </w:rPr>
              <w:t>工厂、仓库区内应设置消防车道。高层厂房、占地面积大于</w:t>
            </w:r>
            <w:r w:rsidRPr="00687B52">
              <w:rPr>
                <w:rFonts w:hAnsi="Times New Roman" w:hint="eastAsia"/>
                <w:color w:val="000000" w:themeColor="text1"/>
                <w:kern w:val="0"/>
                <w:szCs w:val="24"/>
              </w:rPr>
              <w:t>3000m</w:t>
            </w:r>
            <w:r w:rsidRPr="00687B52">
              <w:rPr>
                <w:rFonts w:hAnsi="Times New Roman" w:hint="eastAsia"/>
                <w:color w:val="000000" w:themeColor="text1"/>
                <w:kern w:val="0"/>
                <w:szCs w:val="24"/>
                <w:vertAlign w:val="superscript"/>
              </w:rPr>
              <w:t>2</w:t>
            </w:r>
            <w:r w:rsidRPr="00687B52">
              <w:rPr>
                <w:rFonts w:hAnsi="Times New Roman" w:hint="eastAsia"/>
                <w:color w:val="000000" w:themeColor="text1"/>
                <w:kern w:val="0"/>
                <w:szCs w:val="24"/>
              </w:rPr>
              <w:t>的甲、乙、丙类厂房和占地面积大于</w:t>
            </w:r>
            <w:r w:rsidRPr="00687B52">
              <w:rPr>
                <w:rFonts w:hAnsi="Times New Roman" w:hint="eastAsia"/>
                <w:color w:val="000000" w:themeColor="text1"/>
                <w:kern w:val="0"/>
                <w:szCs w:val="24"/>
              </w:rPr>
              <w:t>1500m</w:t>
            </w:r>
            <w:r w:rsidRPr="00687B52">
              <w:rPr>
                <w:rFonts w:hAnsi="Times New Roman" w:hint="eastAsia"/>
                <w:color w:val="000000" w:themeColor="text1"/>
                <w:kern w:val="0"/>
                <w:szCs w:val="24"/>
                <w:vertAlign w:val="superscript"/>
              </w:rPr>
              <w:t>2</w:t>
            </w:r>
            <w:r w:rsidRPr="00687B52">
              <w:rPr>
                <w:rFonts w:hAnsi="Times New Roman" w:hint="eastAsia"/>
                <w:color w:val="000000" w:themeColor="text1"/>
                <w:kern w:val="0"/>
                <w:szCs w:val="24"/>
              </w:rPr>
              <w:t>的乙、丙类仓库，应设置环形消防车道，确有困难的，应沿建筑物的两个长边设置消防通道。</w:t>
            </w:r>
          </w:p>
        </w:tc>
        <w:tc>
          <w:tcPr>
            <w:tcW w:w="1446" w:type="pct"/>
            <w:vAlign w:val="center"/>
          </w:tcPr>
          <w:p w:rsidR="00F34E9F" w:rsidRPr="00687B52" w:rsidRDefault="00F34E9F" w:rsidP="008829DB">
            <w:pPr>
              <w:pStyle w:val="a7"/>
              <w:rPr>
                <w:rFonts w:hAnsi="Times New Roman"/>
                <w:color w:val="000000" w:themeColor="text1"/>
                <w:kern w:val="0"/>
                <w:szCs w:val="24"/>
              </w:rPr>
            </w:pPr>
            <w:r w:rsidRPr="00687B52">
              <w:rPr>
                <w:rFonts w:asciiTheme="minorEastAsia" w:eastAsiaTheme="minorEastAsia" w:hAnsiTheme="minorEastAsia" w:hint="eastAsia"/>
                <w:color w:val="000000" w:themeColor="text1"/>
                <w:szCs w:val="24"/>
              </w:rPr>
              <w:t>《建筑设计防火规范》</w:t>
            </w:r>
            <w:r w:rsidRPr="00687B52">
              <w:rPr>
                <w:rFonts w:hAnsi="Times New Roman" w:hint="eastAsia"/>
                <w:color w:val="000000" w:themeColor="text1"/>
                <w:kern w:val="0"/>
                <w:szCs w:val="24"/>
              </w:rPr>
              <w:t>GB50016-2014</w:t>
            </w:r>
          </w:p>
          <w:p w:rsidR="00F34E9F" w:rsidRPr="00687B52" w:rsidRDefault="00F34E9F" w:rsidP="008829DB">
            <w:pPr>
              <w:pStyle w:val="a7"/>
              <w:rPr>
                <w:rFonts w:asciiTheme="minorEastAsia" w:eastAsiaTheme="minorEastAsia" w:hAnsiTheme="minorEastAsia"/>
                <w:color w:val="000000" w:themeColor="text1"/>
                <w:szCs w:val="24"/>
              </w:rPr>
            </w:pPr>
            <w:r w:rsidRPr="00687B52">
              <w:rPr>
                <w:rFonts w:hAnsi="Times New Roman" w:hint="eastAsia"/>
                <w:color w:val="000000" w:themeColor="text1"/>
                <w:kern w:val="0"/>
                <w:szCs w:val="24"/>
              </w:rPr>
              <w:t>第</w:t>
            </w:r>
            <w:r w:rsidRPr="00687B52">
              <w:rPr>
                <w:rFonts w:hAnsi="Times New Roman" w:hint="eastAsia"/>
                <w:color w:val="000000" w:themeColor="text1"/>
                <w:kern w:val="0"/>
                <w:szCs w:val="24"/>
              </w:rPr>
              <w:t>7.1.3</w:t>
            </w:r>
            <w:r w:rsidRPr="00687B52">
              <w:rPr>
                <w:rFonts w:hAnsi="Times New Roman" w:hint="eastAsia"/>
                <w:color w:val="000000" w:themeColor="text1"/>
                <w:kern w:val="0"/>
                <w:szCs w:val="24"/>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b/>
                <w:color w:val="000000" w:themeColor="text1"/>
              </w:rPr>
            </w:pPr>
            <w:r w:rsidRPr="00687B52">
              <w:rPr>
                <w:rFonts w:hint="eastAsia"/>
                <w:b/>
                <w:color w:val="000000" w:themeColor="text1"/>
              </w:rPr>
              <w:t>4.2</w:t>
            </w:r>
          </w:p>
        </w:tc>
        <w:tc>
          <w:tcPr>
            <w:tcW w:w="2287" w:type="pct"/>
            <w:vAlign w:val="center"/>
          </w:tcPr>
          <w:p w:rsidR="00F34E9F" w:rsidRPr="00687B52" w:rsidRDefault="00F34E9F" w:rsidP="003E1D2A">
            <w:pPr>
              <w:pStyle w:val="a7"/>
              <w:jc w:val="left"/>
              <w:rPr>
                <w:b/>
                <w:color w:val="000000" w:themeColor="text1"/>
                <w:szCs w:val="24"/>
              </w:rPr>
            </w:pPr>
            <w:r w:rsidRPr="00687B52">
              <w:rPr>
                <w:rFonts w:hint="eastAsia"/>
                <w:b/>
                <w:color w:val="000000" w:themeColor="text1"/>
              </w:rPr>
              <w:t>供气</w:t>
            </w:r>
          </w:p>
        </w:tc>
        <w:tc>
          <w:tcPr>
            <w:tcW w:w="1446" w:type="pct"/>
            <w:vAlign w:val="center"/>
          </w:tcPr>
          <w:p w:rsidR="00F34E9F" w:rsidRPr="00687B52" w:rsidRDefault="00F34E9F" w:rsidP="003E1D2A">
            <w:pPr>
              <w:pStyle w:val="a7"/>
              <w:rPr>
                <w:color w:val="000000" w:themeColor="text1"/>
                <w:szCs w:val="24"/>
              </w:rPr>
            </w:pP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4.2.1</w:t>
            </w:r>
          </w:p>
        </w:tc>
        <w:tc>
          <w:tcPr>
            <w:tcW w:w="2287" w:type="pct"/>
            <w:vAlign w:val="center"/>
          </w:tcPr>
          <w:p w:rsidR="00F34E9F" w:rsidRPr="00687B52" w:rsidRDefault="00F34E9F" w:rsidP="003E1D2A">
            <w:pPr>
              <w:pStyle w:val="a7"/>
              <w:jc w:val="left"/>
              <w:rPr>
                <w:color w:val="000000" w:themeColor="text1"/>
                <w:szCs w:val="24"/>
              </w:rPr>
            </w:pPr>
            <w:r w:rsidRPr="00687B52">
              <w:rPr>
                <w:rFonts w:hint="eastAsia"/>
                <w:color w:val="000000" w:themeColor="text1"/>
                <w:szCs w:val="24"/>
              </w:rPr>
              <w:t>空气压缩机吸气系统的吸气口宜设置在室外，并应有防雨措施。</w:t>
            </w:r>
          </w:p>
        </w:tc>
        <w:tc>
          <w:tcPr>
            <w:tcW w:w="1446" w:type="pct"/>
            <w:vAlign w:val="center"/>
          </w:tcPr>
          <w:p w:rsidR="00F34E9F" w:rsidRPr="00687B52" w:rsidRDefault="00F34E9F" w:rsidP="003E1D2A">
            <w:pPr>
              <w:pStyle w:val="a7"/>
              <w:rPr>
                <w:color w:val="000000" w:themeColor="text1"/>
                <w:szCs w:val="24"/>
              </w:rPr>
            </w:pPr>
            <w:r w:rsidRPr="00687B52">
              <w:rPr>
                <w:rFonts w:hint="eastAsia"/>
                <w:color w:val="000000" w:themeColor="text1"/>
                <w:szCs w:val="24"/>
              </w:rPr>
              <w:t>《</w:t>
            </w:r>
            <w:hyperlink r:id="rId14" w:tgtFrame="_blank" w:history="1">
              <w:r w:rsidRPr="00687B52">
                <w:rPr>
                  <w:color w:val="000000" w:themeColor="text1"/>
                  <w:szCs w:val="24"/>
                </w:rPr>
                <w:t>压缩空气站设计规范</w:t>
              </w:r>
            </w:hyperlink>
            <w:r w:rsidRPr="00687B52">
              <w:rPr>
                <w:rFonts w:hint="eastAsia"/>
                <w:color w:val="000000" w:themeColor="text1"/>
                <w:szCs w:val="24"/>
              </w:rPr>
              <w:t>》</w:t>
            </w:r>
          </w:p>
          <w:p w:rsidR="00F34E9F" w:rsidRPr="00687B52" w:rsidRDefault="00F34E9F" w:rsidP="003E1D2A">
            <w:pPr>
              <w:pStyle w:val="a7"/>
              <w:rPr>
                <w:color w:val="000000" w:themeColor="text1"/>
                <w:szCs w:val="24"/>
              </w:rPr>
            </w:pPr>
            <w:r w:rsidRPr="00687B52">
              <w:rPr>
                <w:rFonts w:hint="eastAsia"/>
                <w:color w:val="000000" w:themeColor="text1"/>
                <w:szCs w:val="24"/>
              </w:rPr>
              <w:t>GB50029-2014</w:t>
            </w:r>
          </w:p>
          <w:p w:rsidR="00F34E9F" w:rsidRPr="00687B52" w:rsidRDefault="00F34E9F" w:rsidP="003E1D2A">
            <w:pPr>
              <w:pStyle w:val="a7"/>
              <w:rPr>
                <w:color w:val="000000" w:themeColor="text1"/>
                <w:szCs w:val="24"/>
              </w:rPr>
            </w:pPr>
            <w:r w:rsidRPr="00687B52">
              <w:rPr>
                <w:rFonts w:hint="eastAsia"/>
                <w:color w:val="000000" w:themeColor="text1"/>
                <w:szCs w:val="24"/>
              </w:rPr>
              <w:t>第</w:t>
            </w:r>
            <w:r w:rsidRPr="00687B52">
              <w:rPr>
                <w:rFonts w:hint="eastAsia"/>
                <w:color w:val="000000" w:themeColor="text1"/>
                <w:szCs w:val="24"/>
              </w:rPr>
              <w:t>3.0.5</w:t>
            </w:r>
            <w:r w:rsidRPr="00687B52">
              <w:rPr>
                <w:rFonts w:hint="eastAsia"/>
                <w:color w:val="000000" w:themeColor="text1"/>
                <w:szCs w:val="24"/>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4.2.2</w:t>
            </w:r>
          </w:p>
        </w:tc>
        <w:tc>
          <w:tcPr>
            <w:tcW w:w="2287" w:type="pct"/>
            <w:vAlign w:val="center"/>
          </w:tcPr>
          <w:p w:rsidR="00F34E9F" w:rsidRPr="00687B52" w:rsidRDefault="00F34E9F" w:rsidP="003E1D2A">
            <w:pPr>
              <w:pStyle w:val="a7"/>
              <w:jc w:val="left"/>
              <w:rPr>
                <w:color w:val="000000" w:themeColor="text1"/>
                <w:szCs w:val="24"/>
              </w:rPr>
            </w:pPr>
            <w:r w:rsidRPr="00687B52">
              <w:rPr>
                <w:rFonts w:hint="eastAsia"/>
                <w:color w:val="000000" w:themeColor="text1"/>
                <w:szCs w:val="24"/>
              </w:rPr>
              <w:t>压缩空气、氮气储罐必须装设压力表、安全阀，压力表安全阀应定期校验、检测。储气罐与供气总管之间，应装设切断阀。</w:t>
            </w:r>
          </w:p>
          <w:p w:rsidR="00F34E9F" w:rsidRPr="00687B52" w:rsidRDefault="00F34E9F" w:rsidP="003E1D2A">
            <w:pPr>
              <w:pStyle w:val="a7"/>
              <w:jc w:val="left"/>
              <w:rPr>
                <w:color w:val="000000" w:themeColor="text1"/>
                <w:szCs w:val="24"/>
              </w:rPr>
            </w:pPr>
            <w:r w:rsidRPr="00687B52">
              <w:rPr>
                <w:rFonts w:hint="eastAsia"/>
                <w:color w:val="000000" w:themeColor="text1"/>
                <w:szCs w:val="24"/>
              </w:rPr>
              <w:t>压缩空气、氮气储罐（简单压力容器除外）应按</w:t>
            </w:r>
            <w:hyperlink r:id="rId15" w:tgtFrame="_blank" w:history="1">
              <w:r w:rsidRPr="00687B52">
                <w:rPr>
                  <w:rFonts w:hint="eastAsia"/>
                  <w:color w:val="000000" w:themeColor="text1"/>
                  <w:szCs w:val="24"/>
                </w:rPr>
                <w:t>《</w:t>
              </w:r>
              <w:r w:rsidRPr="00687B52">
                <w:rPr>
                  <w:color w:val="000000" w:themeColor="text1"/>
                  <w:szCs w:val="24"/>
                </w:rPr>
                <w:t>固定式压力容器安全技术监察规程</w:t>
              </w:r>
              <w:r w:rsidRPr="00687B52">
                <w:rPr>
                  <w:rFonts w:hint="eastAsia"/>
                  <w:color w:val="000000" w:themeColor="text1"/>
                  <w:szCs w:val="24"/>
                </w:rPr>
                <w:t>》</w:t>
              </w:r>
            </w:hyperlink>
            <w:r w:rsidRPr="00687B52">
              <w:rPr>
                <w:rFonts w:hint="eastAsia"/>
                <w:color w:val="000000" w:themeColor="text1"/>
                <w:szCs w:val="24"/>
              </w:rPr>
              <w:t>等标准规范要求，定期进行检测。</w:t>
            </w:r>
          </w:p>
        </w:tc>
        <w:tc>
          <w:tcPr>
            <w:tcW w:w="1446" w:type="pct"/>
            <w:vAlign w:val="center"/>
          </w:tcPr>
          <w:p w:rsidR="00F34E9F" w:rsidRPr="00687B52" w:rsidRDefault="00F34E9F" w:rsidP="003E1D2A">
            <w:pPr>
              <w:pStyle w:val="a7"/>
              <w:rPr>
                <w:color w:val="000000" w:themeColor="text1"/>
                <w:szCs w:val="24"/>
              </w:rPr>
            </w:pPr>
            <w:r w:rsidRPr="00687B52">
              <w:rPr>
                <w:rFonts w:hint="eastAsia"/>
                <w:color w:val="000000" w:themeColor="text1"/>
                <w:szCs w:val="24"/>
              </w:rPr>
              <w:t>《</w:t>
            </w:r>
            <w:hyperlink r:id="rId16" w:tgtFrame="_blank" w:history="1">
              <w:r w:rsidRPr="00687B52">
                <w:rPr>
                  <w:color w:val="000000" w:themeColor="text1"/>
                  <w:szCs w:val="24"/>
                </w:rPr>
                <w:t>压缩空气站设计规范</w:t>
              </w:r>
            </w:hyperlink>
            <w:r w:rsidRPr="00687B52">
              <w:rPr>
                <w:rFonts w:hint="eastAsia"/>
                <w:color w:val="000000" w:themeColor="text1"/>
                <w:szCs w:val="24"/>
              </w:rPr>
              <w:t>》</w:t>
            </w:r>
          </w:p>
          <w:p w:rsidR="00F34E9F" w:rsidRPr="00687B52" w:rsidRDefault="00F34E9F" w:rsidP="003E1D2A">
            <w:pPr>
              <w:pStyle w:val="a7"/>
              <w:rPr>
                <w:color w:val="000000" w:themeColor="text1"/>
                <w:szCs w:val="24"/>
              </w:rPr>
            </w:pPr>
            <w:r w:rsidRPr="00687B52">
              <w:rPr>
                <w:rFonts w:hint="eastAsia"/>
                <w:color w:val="000000" w:themeColor="text1"/>
                <w:szCs w:val="24"/>
              </w:rPr>
              <w:t>GB50029-2014</w:t>
            </w:r>
          </w:p>
          <w:p w:rsidR="00F34E9F" w:rsidRPr="00687B52" w:rsidRDefault="00F34E9F" w:rsidP="003E1D2A">
            <w:pPr>
              <w:pStyle w:val="a7"/>
              <w:rPr>
                <w:color w:val="000000" w:themeColor="text1"/>
                <w:szCs w:val="24"/>
              </w:rPr>
            </w:pPr>
            <w:r w:rsidRPr="00687B52">
              <w:rPr>
                <w:rFonts w:hint="eastAsia"/>
                <w:color w:val="000000" w:themeColor="text1"/>
                <w:szCs w:val="24"/>
              </w:rPr>
              <w:t>第</w:t>
            </w:r>
            <w:r w:rsidRPr="00687B52">
              <w:rPr>
                <w:rFonts w:hint="eastAsia"/>
                <w:color w:val="000000" w:themeColor="text1"/>
                <w:szCs w:val="24"/>
              </w:rPr>
              <w:t>3.0.18</w:t>
            </w:r>
            <w:r w:rsidRPr="00687B52">
              <w:rPr>
                <w:rFonts w:hint="eastAsia"/>
                <w:color w:val="000000" w:themeColor="text1"/>
                <w:szCs w:val="24"/>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4.2.3</w:t>
            </w:r>
          </w:p>
        </w:tc>
        <w:tc>
          <w:tcPr>
            <w:tcW w:w="2287" w:type="pct"/>
            <w:vAlign w:val="center"/>
          </w:tcPr>
          <w:p w:rsidR="00F34E9F" w:rsidRPr="00687B52" w:rsidRDefault="00F34E9F" w:rsidP="003E1D2A">
            <w:pPr>
              <w:pStyle w:val="a7"/>
              <w:jc w:val="left"/>
              <w:rPr>
                <w:color w:val="000000" w:themeColor="text1"/>
                <w:szCs w:val="24"/>
              </w:rPr>
            </w:pPr>
            <w:r w:rsidRPr="00687B52">
              <w:rPr>
                <w:rFonts w:hint="eastAsia"/>
                <w:color w:val="000000" w:themeColor="text1"/>
                <w:szCs w:val="24"/>
              </w:rPr>
              <w:t>压缩空气站机器间通向室外的门应保证安全疏散、便于设备出入和操作管理。离心空气压缩机站的安全出口不应少于</w:t>
            </w:r>
            <w:r w:rsidRPr="00687B52">
              <w:rPr>
                <w:rFonts w:hint="eastAsia"/>
                <w:color w:val="000000" w:themeColor="text1"/>
                <w:szCs w:val="24"/>
              </w:rPr>
              <w:t>2</w:t>
            </w:r>
            <w:r w:rsidRPr="00687B52">
              <w:rPr>
                <w:rFonts w:hint="eastAsia"/>
                <w:color w:val="000000" w:themeColor="text1"/>
                <w:szCs w:val="24"/>
              </w:rPr>
              <w:t>个，且必须有</w:t>
            </w:r>
            <w:r w:rsidRPr="00687B52">
              <w:rPr>
                <w:rFonts w:hint="eastAsia"/>
                <w:color w:val="000000" w:themeColor="text1"/>
                <w:szCs w:val="24"/>
              </w:rPr>
              <w:t>1</w:t>
            </w:r>
            <w:r w:rsidRPr="00687B52">
              <w:rPr>
                <w:rFonts w:hint="eastAsia"/>
                <w:color w:val="000000" w:themeColor="text1"/>
                <w:szCs w:val="24"/>
              </w:rPr>
              <w:t>个直通室外；当双层布置时，运行层</w:t>
            </w:r>
            <w:r w:rsidRPr="00687B52">
              <w:rPr>
                <w:rFonts w:hint="eastAsia"/>
                <w:color w:val="000000" w:themeColor="text1"/>
                <w:szCs w:val="24"/>
              </w:rPr>
              <w:lastRenderedPageBreak/>
              <w:t>应有通向室外地面的安全梯。</w:t>
            </w:r>
          </w:p>
        </w:tc>
        <w:tc>
          <w:tcPr>
            <w:tcW w:w="1446" w:type="pct"/>
            <w:vAlign w:val="center"/>
          </w:tcPr>
          <w:p w:rsidR="00F34E9F" w:rsidRPr="00687B52" w:rsidRDefault="00F34E9F" w:rsidP="003E1D2A">
            <w:pPr>
              <w:pStyle w:val="a7"/>
              <w:rPr>
                <w:color w:val="000000" w:themeColor="text1"/>
                <w:szCs w:val="24"/>
              </w:rPr>
            </w:pPr>
            <w:r w:rsidRPr="00687B52">
              <w:rPr>
                <w:rFonts w:hint="eastAsia"/>
                <w:color w:val="000000" w:themeColor="text1"/>
                <w:szCs w:val="24"/>
              </w:rPr>
              <w:lastRenderedPageBreak/>
              <w:t>《</w:t>
            </w:r>
            <w:hyperlink r:id="rId17" w:tgtFrame="_blank" w:history="1">
              <w:r w:rsidRPr="00687B52">
                <w:rPr>
                  <w:color w:val="000000" w:themeColor="text1"/>
                  <w:szCs w:val="24"/>
                </w:rPr>
                <w:t>压缩空气站设计规范</w:t>
              </w:r>
            </w:hyperlink>
            <w:r w:rsidRPr="00687B52">
              <w:rPr>
                <w:rFonts w:hint="eastAsia"/>
                <w:color w:val="000000" w:themeColor="text1"/>
                <w:szCs w:val="24"/>
              </w:rPr>
              <w:t>》</w:t>
            </w:r>
          </w:p>
          <w:p w:rsidR="00F34E9F" w:rsidRPr="00687B52" w:rsidRDefault="00F34E9F" w:rsidP="003E1D2A">
            <w:pPr>
              <w:pStyle w:val="a7"/>
              <w:rPr>
                <w:color w:val="000000" w:themeColor="text1"/>
                <w:szCs w:val="24"/>
              </w:rPr>
            </w:pPr>
            <w:r w:rsidRPr="00687B52">
              <w:rPr>
                <w:rFonts w:hint="eastAsia"/>
                <w:color w:val="000000" w:themeColor="text1"/>
                <w:szCs w:val="24"/>
              </w:rPr>
              <w:t>GB50029-2014</w:t>
            </w:r>
          </w:p>
          <w:p w:rsidR="00F34E9F" w:rsidRPr="00687B52" w:rsidRDefault="00F34E9F" w:rsidP="003E1D2A">
            <w:pPr>
              <w:pStyle w:val="a7"/>
              <w:rPr>
                <w:color w:val="000000" w:themeColor="text1"/>
                <w:szCs w:val="24"/>
              </w:rPr>
            </w:pPr>
            <w:r w:rsidRPr="00687B52">
              <w:rPr>
                <w:rFonts w:hint="eastAsia"/>
                <w:color w:val="000000" w:themeColor="text1"/>
                <w:szCs w:val="24"/>
              </w:rPr>
              <w:t>第</w:t>
            </w:r>
            <w:r w:rsidRPr="00687B52">
              <w:rPr>
                <w:rFonts w:hint="eastAsia"/>
                <w:color w:val="000000" w:themeColor="text1"/>
                <w:szCs w:val="24"/>
              </w:rPr>
              <w:t>5.0.3</w:t>
            </w:r>
            <w:r w:rsidRPr="00687B52">
              <w:rPr>
                <w:rFonts w:hint="eastAsia"/>
                <w:color w:val="000000" w:themeColor="text1"/>
                <w:szCs w:val="24"/>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b/>
                <w:color w:val="000000" w:themeColor="text1"/>
              </w:rPr>
            </w:pPr>
            <w:r w:rsidRPr="00687B52">
              <w:rPr>
                <w:rFonts w:hint="eastAsia"/>
                <w:b/>
                <w:color w:val="000000" w:themeColor="text1"/>
              </w:rPr>
              <w:lastRenderedPageBreak/>
              <w:t>4.3</w:t>
            </w:r>
          </w:p>
        </w:tc>
        <w:tc>
          <w:tcPr>
            <w:tcW w:w="2287" w:type="pct"/>
            <w:vAlign w:val="center"/>
          </w:tcPr>
          <w:p w:rsidR="00F34E9F" w:rsidRPr="00687B52" w:rsidRDefault="00F34E9F" w:rsidP="003E1D2A">
            <w:pPr>
              <w:pStyle w:val="a7"/>
              <w:jc w:val="left"/>
              <w:rPr>
                <w:b/>
                <w:color w:val="000000" w:themeColor="text1"/>
                <w:szCs w:val="24"/>
              </w:rPr>
            </w:pPr>
            <w:r w:rsidRPr="00687B52">
              <w:rPr>
                <w:rFonts w:hint="eastAsia"/>
                <w:b/>
                <w:color w:val="000000" w:themeColor="text1"/>
                <w:szCs w:val="24"/>
              </w:rPr>
              <w:t>供配电</w:t>
            </w:r>
            <w:r w:rsidR="00FE7DF6" w:rsidRPr="00687B52">
              <w:rPr>
                <w:rFonts w:hint="eastAsia"/>
                <w:b/>
                <w:color w:val="000000" w:themeColor="text1"/>
                <w:szCs w:val="24"/>
              </w:rPr>
              <w:t>及防雷防静电</w:t>
            </w:r>
          </w:p>
        </w:tc>
        <w:tc>
          <w:tcPr>
            <w:tcW w:w="1446" w:type="pct"/>
            <w:vAlign w:val="center"/>
          </w:tcPr>
          <w:p w:rsidR="00F34E9F" w:rsidRPr="00687B52" w:rsidRDefault="00F34E9F" w:rsidP="003E1D2A">
            <w:pPr>
              <w:pStyle w:val="a7"/>
              <w:rPr>
                <w:color w:val="000000" w:themeColor="text1"/>
                <w:szCs w:val="24"/>
              </w:rPr>
            </w:pP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4.3.1</w:t>
            </w:r>
          </w:p>
        </w:tc>
        <w:tc>
          <w:tcPr>
            <w:tcW w:w="2287" w:type="pct"/>
            <w:vAlign w:val="center"/>
          </w:tcPr>
          <w:p w:rsidR="00F34E9F" w:rsidRPr="00687B52" w:rsidRDefault="00F34E9F" w:rsidP="003E1D2A">
            <w:pPr>
              <w:pStyle w:val="a7"/>
              <w:jc w:val="left"/>
              <w:rPr>
                <w:color w:val="000000" w:themeColor="text1"/>
              </w:rPr>
            </w:pPr>
            <w:r w:rsidRPr="00687B52">
              <w:rPr>
                <w:rFonts w:hint="eastAsia"/>
                <w:color w:val="000000" w:themeColor="text1"/>
              </w:rPr>
              <w:t>变配电室应满足以下规定：</w:t>
            </w:r>
          </w:p>
          <w:p w:rsidR="00F34E9F" w:rsidRPr="00687B52" w:rsidRDefault="00F34E9F" w:rsidP="003E1D2A">
            <w:pPr>
              <w:pStyle w:val="a7"/>
              <w:jc w:val="left"/>
              <w:rPr>
                <w:color w:val="000000" w:themeColor="text1"/>
              </w:rPr>
            </w:pPr>
            <w:r w:rsidRPr="00687B52">
              <w:rPr>
                <w:rFonts w:hint="eastAsia"/>
                <w:color w:val="000000" w:themeColor="text1"/>
              </w:rPr>
              <w:t>①</w:t>
            </w:r>
            <w:r w:rsidRPr="00687B52">
              <w:rPr>
                <w:rFonts w:hint="eastAsia"/>
                <w:color w:val="000000" w:themeColor="text1"/>
              </w:rPr>
              <w:tab/>
            </w:r>
            <w:r w:rsidRPr="00687B52">
              <w:rPr>
                <w:rFonts w:hint="eastAsia"/>
                <w:color w:val="000000" w:themeColor="text1"/>
              </w:rPr>
              <w:t>地面应采用防滑、不起尘、不发火的耐火材料。操作面地面应铺设绝缘胶垫。应设置防止雨、雪和小动物从采光窗、通风窗、门、电缆沟等进入室内的设施，如出入口应设置高度不低于</w:t>
            </w:r>
            <w:r w:rsidRPr="00687B52">
              <w:rPr>
                <w:rFonts w:hint="eastAsia"/>
                <w:color w:val="000000" w:themeColor="text1"/>
              </w:rPr>
              <w:t>400mm</w:t>
            </w:r>
            <w:r w:rsidRPr="00687B52">
              <w:rPr>
                <w:rFonts w:hint="eastAsia"/>
                <w:color w:val="000000" w:themeColor="text1"/>
              </w:rPr>
              <w:t>的挡板。</w:t>
            </w:r>
          </w:p>
          <w:p w:rsidR="00F34E9F" w:rsidRPr="00687B52" w:rsidRDefault="00F34E9F" w:rsidP="003E1D2A">
            <w:pPr>
              <w:pStyle w:val="a7"/>
              <w:jc w:val="left"/>
              <w:rPr>
                <w:color w:val="000000" w:themeColor="text1"/>
              </w:rPr>
            </w:pPr>
            <w:r w:rsidRPr="00687B52">
              <w:rPr>
                <w:rFonts w:hint="eastAsia"/>
                <w:color w:val="000000" w:themeColor="text1"/>
              </w:rPr>
              <w:t>②</w:t>
            </w:r>
            <w:r w:rsidRPr="00687B52">
              <w:rPr>
                <w:rFonts w:hint="eastAsia"/>
                <w:color w:val="000000" w:themeColor="text1"/>
              </w:rPr>
              <w:tab/>
            </w:r>
            <w:r w:rsidRPr="00687B52">
              <w:rPr>
                <w:rFonts w:hint="eastAsia"/>
                <w:color w:val="000000" w:themeColor="text1"/>
              </w:rPr>
              <w:t>变配电室的电缆夹层、电缆沟和电缆室应采取防水、排水措施。</w:t>
            </w:r>
          </w:p>
          <w:p w:rsidR="00F34E9F" w:rsidRPr="00687B52" w:rsidRDefault="00F34E9F" w:rsidP="003E1D2A">
            <w:pPr>
              <w:pStyle w:val="a7"/>
              <w:jc w:val="left"/>
              <w:rPr>
                <w:color w:val="000000" w:themeColor="text1"/>
              </w:rPr>
            </w:pPr>
            <w:r w:rsidRPr="00687B52">
              <w:rPr>
                <w:rFonts w:hint="eastAsia"/>
                <w:color w:val="000000" w:themeColor="text1"/>
              </w:rPr>
              <w:t>③</w:t>
            </w:r>
            <w:r w:rsidRPr="00687B52">
              <w:rPr>
                <w:rFonts w:hint="eastAsia"/>
                <w:color w:val="000000" w:themeColor="text1"/>
              </w:rPr>
              <w:tab/>
            </w:r>
            <w:r w:rsidRPr="00687B52">
              <w:rPr>
                <w:rFonts w:hint="eastAsia"/>
                <w:color w:val="000000" w:themeColor="text1"/>
              </w:rPr>
              <w:t>通往室外的门应向外开。设备间与附属房间之间的门应向附属房间方向开。高压间与低压间之间的门，应向低压间方向开。配电装置室的中间门应采用双向开启门。</w:t>
            </w:r>
          </w:p>
          <w:p w:rsidR="00F34E9F" w:rsidRPr="00687B52" w:rsidRDefault="00F34E9F" w:rsidP="003E1D2A">
            <w:pPr>
              <w:pStyle w:val="a7"/>
              <w:jc w:val="left"/>
              <w:rPr>
                <w:color w:val="000000" w:themeColor="text1"/>
              </w:rPr>
            </w:pPr>
            <w:r w:rsidRPr="00687B52">
              <w:rPr>
                <w:rFonts w:hint="eastAsia"/>
                <w:color w:val="000000" w:themeColor="text1"/>
              </w:rPr>
              <w:t>④</w:t>
            </w:r>
            <w:r w:rsidRPr="00687B52">
              <w:rPr>
                <w:rFonts w:hint="eastAsia"/>
                <w:color w:val="000000" w:themeColor="text1"/>
              </w:rPr>
              <w:tab/>
            </w:r>
            <w:r w:rsidRPr="00687B52">
              <w:rPr>
                <w:rFonts w:hint="eastAsia"/>
                <w:color w:val="000000" w:themeColor="text1"/>
              </w:rPr>
              <w:t>应设置有明显的临时接地点，接地点应采用铜制或钢制镀锌蝶形螺栓。变配电室内应设有等电位联结板。</w:t>
            </w:r>
          </w:p>
          <w:p w:rsidR="00F34E9F" w:rsidRPr="00687B52" w:rsidRDefault="00F34E9F" w:rsidP="003E1D2A">
            <w:pPr>
              <w:pStyle w:val="a7"/>
              <w:jc w:val="left"/>
              <w:rPr>
                <w:color w:val="000000" w:themeColor="text1"/>
              </w:rPr>
            </w:pPr>
            <w:r w:rsidRPr="00687B52">
              <w:rPr>
                <w:rFonts w:hint="eastAsia"/>
                <w:color w:val="000000" w:themeColor="text1"/>
              </w:rPr>
              <w:t>⑤</w:t>
            </w:r>
            <w:r w:rsidRPr="00687B52">
              <w:rPr>
                <w:rFonts w:hint="eastAsia"/>
                <w:color w:val="000000" w:themeColor="text1"/>
              </w:rPr>
              <w:tab/>
            </w:r>
            <w:r w:rsidRPr="00687B52">
              <w:rPr>
                <w:rFonts w:hint="eastAsia"/>
                <w:color w:val="000000" w:themeColor="text1"/>
              </w:rPr>
              <w:t>变配电室应急照明灯具和疏散指示标志灯的备用充电电源的放电时间不低于</w:t>
            </w:r>
            <w:r w:rsidRPr="00687B52">
              <w:rPr>
                <w:rFonts w:hint="eastAsia"/>
                <w:color w:val="000000" w:themeColor="text1"/>
              </w:rPr>
              <w:t>20min</w:t>
            </w:r>
            <w:r w:rsidRPr="00687B52">
              <w:rPr>
                <w:rFonts w:hint="eastAsia"/>
                <w:color w:val="000000" w:themeColor="text1"/>
              </w:rPr>
              <w:t>。</w:t>
            </w:r>
          </w:p>
          <w:p w:rsidR="00F34E9F" w:rsidRPr="00687B52" w:rsidRDefault="00F34E9F" w:rsidP="003E1D2A">
            <w:pPr>
              <w:pStyle w:val="a7"/>
              <w:jc w:val="left"/>
              <w:rPr>
                <w:color w:val="000000" w:themeColor="text1"/>
                <w:szCs w:val="24"/>
              </w:rPr>
            </w:pPr>
            <w:r w:rsidRPr="00687B52">
              <w:rPr>
                <w:rFonts w:hint="eastAsia"/>
                <w:color w:val="000000" w:themeColor="text1"/>
              </w:rPr>
              <w:t>⑥</w:t>
            </w:r>
            <w:r w:rsidRPr="00687B52">
              <w:rPr>
                <w:rFonts w:hint="eastAsia"/>
                <w:color w:val="000000" w:themeColor="text1"/>
              </w:rPr>
              <w:tab/>
            </w:r>
            <w:r w:rsidRPr="00687B52">
              <w:rPr>
                <w:rFonts w:hint="eastAsia"/>
                <w:color w:val="000000" w:themeColor="text1"/>
                <w:szCs w:val="24"/>
              </w:rPr>
              <w:t>配电室长度超过</w:t>
            </w:r>
            <w:r w:rsidRPr="00687B52">
              <w:rPr>
                <w:rFonts w:hint="eastAsia"/>
                <w:color w:val="000000" w:themeColor="text1"/>
                <w:szCs w:val="24"/>
              </w:rPr>
              <w:t>7m</w:t>
            </w:r>
            <w:r w:rsidRPr="00687B52">
              <w:rPr>
                <w:rFonts w:hint="eastAsia"/>
                <w:color w:val="000000" w:themeColor="text1"/>
                <w:szCs w:val="24"/>
              </w:rPr>
              <w:t>时，应设</w:t>
            </w:r>
            <w:r w:rsidRPr="00687B52">
              <w:rPr>
                <w:rFonts w:hint="eastAsia"/>
                <w:color w:val="000000" w:themeColor="text1"/>
                <w:szCs w:val="24"/>
              </w:rPr>
              <w:t>2</w:t>
            </w:r>
            <w:r w:rsidRPr="00687B52">
              <w:rPr>
                <w:rFonts w:hint="eastAsia"/>
                <w:color w:val="000000" w:themeColor="text1"/>
                <w:szCs w:val="24"/>
              </w:rPr>
              <w:t>个出口，并宜布置在配电室两端。</w:t>
            </w:r>
          </w:p>
          <w:p w:rsidR="00F34E9F" w:rsidRPr="00687B52" w:rsidRDefault="00F34E9F" w:rsidP="003E1D2A">
            <w:pPr>
              <w:pStyle w:val="a7"/>
              <w:jc w:val="left"/>
              <w:rPr>
                <w:rFonts w:ascii="宋体" w:hAnsi="宋体" w:cs="宋体"/>
                <w:color w:val="000000" w:themeColor="text1"/>
                <w:kern w:val="0"/>
                <w:szCs w:val="24"/>
              </w:rPr>
            </w:pPr>
            <w:r w:rsidRPr="00687B52">
              <w:rPr>
                <w:rFonts w:ascii="宋体" w:hAnsi="宋体" w:cs="宋体" w:hint="eastAsia"/>
                <w:color w:val="000000" w:themeColor="text1"/>
                <w:kern w:val="0"/>
                <w:szCs w:val="24"/>
              </w:rPr>
              <w:t>⑦</w:t>
            </w:r>
            <w:r w:rsidRPr="00687B52">
              <w:rPr>
                <w:rFonts w:ascii="宋体" w:hAnsi="宋体" w:cs="宋体"/>
                <w:color w:val="000000" w:themeColor="text1"/>
                <w:kern w:val="0"/>
                <w:szCs w:val="24"/>
              </w:rPr>
              <w:t xml:space="preserve">配电室内除本室需要的管道外，不应有其它的管道通过。室内水、汽管道上不应设置阀门和中间接头；水、汽管道与散热器的连接应采用焊接，并应做等电位联结。配电屏上、下方及电缆沟内不应敷设水、汽管道。 </w:t>
            </w:r>
          </w:p>
          <w:p w:rsidR="00F34E9F" w:rsidRPr="00687B52" w:rsidRDefault="00F34E9F" w:rsidP="003E1D2A">
            <w:pPr>
              <w:pStyle w:val="a7"/>
              <w:jc w:val="left"/>
              <w:rPr>
                <w:color w:val="000000" w:themeColor="text1"/>
              </w:rPr>
            </w:pPr>
            <w:r w:rsidRPr="00687B52">
              <w:rPr>
                <w:rFonts w:hint="eastAsia"/>
                <w:color w:val="000000" w:themeColor="text1"/>
              </w:rPr>
              <w:t>⑧配电室屋顶承重构件的耐火等级不应低于二级，其它部分不低于三级。</w:t>
            </w:r>
          </w:p>
        </w:tc>
        <w:tc>
          <w:tcPr>
            <w:tcW w:w="1446" w:type="pct"/>
            <w:vAlign w:val="center"/>
          </w:tcPr>
          <w:p w:rsidR="00F34E9F" w:rsidRPr="00687B52" w:rsidRDefault="00F34E9F" w:rsidP="003E1D2A">
            <w:pPr>
              <w:pStyle w:val="a7"/>
              <w:rPr>
                <w:color w:val="000000" w:themeColor="text1"/>
                <w:szCs w:val="24"/>
              </w:rPr>
            </w:pPr>
            <w:r w:rsidRPr="00687B52">
              <w:rPr>
                <w:rFonts w:hint="eastAsia"/>
                <w:color w:val="000000" w:themeColor="text1"/>
                <w:szCs w:val="24"/>
              </w:rPr>
              <w:t>《变配电室安全管理规范》</w:t>
            </w:r>
            <w:r w:rsidRPr="00687B52">
              <w:rPr>
                <w:rFonts w:hint="eastAsia"/>
                <w:color w:val="000000" w:themeColor="text1"/>
                <w:szCs w:val="24"/>
              </w:rPr>
              <w:t>DB11/527-2008</w:t>
            </w:r>
            <w:r w:rsidRPr="00687B52">
              <w:rPr>
                <w:rFonts w:hint="eastAsia"/>
                <w:color w:val="000000" w:themeColor="text1"/>
                <w:szCs w:val="24"/>
              </w:rPr>
              <w:t>、《低压配电设计规范》</w:t>
            </w:r>
            <w:r w:rsidRPr="00687B52">
              <w:rPr>
                <w:rFonts w:hint="eastAsia"/>
                <w:color w:val="000000" w:themeColor="text1"/>
                <w:szCs w:val="24"/>
              </w:rPr>
              <w:t>GB50054-2011</w:t>
            </w:r>
            <w:r w:rsidRPr="00687B52">
              <w:rPr>
                <w:rFonts w:hint="eastAsia"/>
                <w:color w:val="000000" w:themeColor="text1"/>
                <w:szCs w:val="24"/>
              </w:rPr>
              <w:t>、《用电安全导则》</w:t>
            </w:r>
            <w:r w:rsidRPr="00687B52">
              <w:rPr>
                <w:rFonts w:hint="eastAsia"/>
                <w:color w:val="000000" w:themeColor="text1"/>
                <w:szCs w:val="24"/>
              </w:rPr>
              <w:t>GB/T13869-2008</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4.3.2</w:t>
            </w:r>
          </w:p>
        </w:tc>
        <w:tc>
          <w:tcPr>
            <w:tcW w:w="2287" w:type="pct"/>
            <w:vAlign w:val="center"/>
          </w:tcPr>
          <w:p w:rsidR="00F34E9F" w:rsidRPr="00687B52" w:rsidRDefault="00F34E9F" w:rsidP="003E1D2A">
            <w:pPr>
              <w:pStyle w:val="a7"/>
              <w:jc w:val="left"/>
              <w:rPr>
                <w:color w:val="000000" w:themeColor="text1"/>
                <w:szCs w:val="24"/>
              </w:rPr>
            </w:pPr>
            <w:r w:rsidRPr="00687B52">
              <w:rPr>
                <w:rFonts w:hint="eastAsia"/>
                <w:color w:val="000000" w:themeColor="text1"/>
                <w:szCs w:val="24"/>
              </w:rPr>
              <w:t>应急电源与正常电源之间，应采取防止并列运行的措施。</w:t>
            </w:r>
          </w:p>
        </w:tc>
        <w:tc>
          <w:tcPr>
            <w:tcW w:w="1446" w:type="pct"/>
            <w:vAlign w:val="center"/>
          </w:tcPr>
          <w:p w:rsidR="00F34E9F" w:rsidRPr="00687B52" w:rsidRDefault="00F34E9F" w:rsidP="003E1D2A">
            <w:pPr>
              <w:pStyle w:val="a7"/>
              <w:rPr>
                <w:color w:val="000000" w:themeColor="text1"/>
                <w:szCs w:val="24"/>
              </w:rPr>
            </w:pPr>
            <w:r w:rsidRPr="00687B52">
              <w:rPr>
                <w:rFonts w:hint="eastAsia"/>
                <w:color w:val="000000" w:themeColor="text1"/>
                <w:szCs w:val="24"/>
              </w:rPr>
              <w:t>《供配电系统设计规范》</w:t>
            </w:r>
            <w:r w:rsidRPr="00687B52">
              <w:rPr>
                <w:rFonts w:hint="eastAsia"/>
                <w:color w:val="000000" w:themeColor="text1"/>
                <w:szCs w:val="24"/>
              </w:rPr>
              <w:t>GB50052-2009</w:t>
            </w:r>
            <w:r w:rsidRPr="00687B52">
              <w:rPr>
                <w:rFonts w:hint="eastAsia"/>
                <w:color w:val="000000" w:themeColor="text1"/>
                <w:szCs w:val="24"/>
              </w:rPr>
              <w:t>第</w:t>
            </w:r>
            <w:r w:rsidRPr="00687B52">
              <w:rPr>
                <w:rFonts w:hint="eastAsia"/>
                <w:color w:val="000000" w:themeColor="text1"/>
                <w:szCs w:val="24"/>
              </w:rPr>
              <w:t>4.0.2</w:t>
            </w:r>
            <w:r w:rsidRPr="00687B52">
              <w:rPr>
                <w:rFonts w:hint="eastAsia"/>
                <w:color w:val="000000" w:themeColor="text1"/>
                <w:szCs w:val="24"/>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lastRenderedPageBreak/>
              <w:t>4.3.3</w:t>
            </w:r>
          </w:p>
        </w:tc>
        <w:tc>
          <w:tcPr>
            <w:tcW w:w="2287" w:type="pct"/>
            <w:vAlign w:val="center"/>
          </w:tcPr>
          <w:p w:rsidR="00F34E9F" w:rsidRPr="00687B52" w:rsidRDefault="00F34E9F" w:rsidP="003E1D2A">
            <w:pPr>
              <w:pStyle w:val="a7"/>
              <w:jc w:val="left"/>
              <w:rPr>
                <w:color w:val="000000" w:themeColor="text1"/>
                <w:szCs w:val="24"/>
              </w:rPr>
            </w:pPr>
            <w:r w:rsidRPr="00687B52">
              <w:rPr>
                <w:color w:val="000000" w:themeColor="text1"/>
                <w:szCs w:val="24"/>
              </w:rPr>
              <w:t>配电室的位置应靠近用电负荷中心，设置在尘埃少、腐蚀介质少、</w:t>
            </w:r>
            <w:r w:rsidRPr="00687B52">
              <w:rPr>
                <w:rFonts w:hint="eastAsia"/>
                <w:color w:val="000000" w:themeColor="text1"/>
                <w:szCs w:val="24"/>
              </w:rPr>
              <w:t>周围环境干燥</w:t>
            </w:r>
            <w:r w:rsidRPr="00687B52">
              <w:rPr>
                <w:color w:val="000000" w:themeColor="text1"/>
                <w:szCs w:val="24"/>
              </w:rPr>
              <w:t>干燥和</w:t>
            </w:r>
            <w:r w:rsidRPr="00687B52">
              <w:rPr>
                <w:rFonts w:hint="eastAsia"/>
                <w:color w:val="000000" w:themeColor="text1"/>
                <w:szCs w:val="24"/>
              </w:rPr>
              <w:t>无剧烈震动</w:t>
            </w:r>
            <w:r w:rsidRPr="00687B52">
              <w:rPr>
                <w:color w:val="000000" w:themeColor="text1"/>
                <w:szCs w:val="24"/>
              </w:rPr>
              <w:t>的</w:t>
            </w:r>
            <w:r w:rsidRPr="00687B52">
              <w:rPr>
                <w:rFonts w:hint="eastAsia"/>
                <w:color w:val="000000" w:themeColor="text1"/>
                <w:szCs w:val="24"/>
              </w:rPr>
              <w:t>场所</w:t>
            </w:r>
            <w:r w:rsidRPr="00687B52">
              <w:rPr>
                <w:color w:val="000000" w:themeColor="text1"/>
                <w:szCs w:val="24"/>
              </w:rPr>
              <w:t>，并宜留有发展余地</w:t>
            </w:r>
            <w:r w:rsidRPr="00687B52">
              <w:rPr>
                <w:rFonts w:hint="eastAsia"/>
                <w:color w:val="000000" w:themeColor="text1"/>
                <w:szCs w:val="24"/>
              </w:rPr>
              <w:t>。</w:t>
            </w:r>
          </w:p>
        </w:tc>
        <w:tc>
          <w:tcPr>
            <w:tcW w:w="1446" w:type="pct"/>
            <w:vAlign w:val="center"/>
          </w:tcPr>
          <w:p w:rsidR="00F34E9F" w:rsidRPr="00687B52" w:rsidRDefault="00F34E9F" w:rsidP="003E1D2A">
            <w:pPr>
              <w:pStyle w:val="a7"/>
              <w:rPr>
                <w:color w:val="000000" w:themeColor="text1"/>
                <w:szCs w:val="24"/>
              </w:rPr>
            </w:pPr>
            <w:r w:rsidRPr="00687B52">
              <w:rPr>
                <w:rFonts w:hint="eastAsia"/>
                <w:color w:val="000000" w:themeColor="text1"/>
                <w:szCs w:val="24"/>
              </w:rPr>
              <w:t>《低压配电设计规范》</w:t>
            </w:r>
          </w:p>
          <w:p w:rsidR="00F34E9F" w:rsidRPr="00687B52" w:rsidRDefault="00F34E9F" w:rsidP="003E1D2A">
            <w:pPr>
              <w:pStyle w:val="a7"/>
              <w:rPr>
                <w:color w:val="000000" w:themeColor="text1"/>
                <w:szCs w:val="24"/>
              </w:rPr>
            </w:pPr>
            <w:r w:rsidRPr="00687B52">
              <w:rPr>
                <w:rFonts w:hint="eastAsia"/>
                <w:color w:val="000000" w:themeColor="text1"/>
                <w:szCs w:val="24"/>
              </w:rPr>
              <w:t>GB50054-2011</w:t>
            </w:r>
            <w:r w:rsidRPr="00687B52">
              <w:rPr>
                <w:rFonts w:hint="eastAsia"/>
                <w:color w:val="000000" w:themeColor="text1"/>
                <w:szCs w:val="24"/>
              </w:rPr>
              <w:t>第</w:t>
            </w:r>
            <w:r w:rsidRPr="00687B52">
              <w:rPr>
                <w:rFonts w:hint="eastAsia"/>
                <w:color w:val="000000" w:themeColor="text1"/>
                <w:szCs w:val="24"/>
              </w:rPr>
              <w:t>4.1.1</w:t>
            </w:r>
            <w:r w:rsidRPr="00687B52">
              <w:rPr>
                <w:rFonts w:hint="eastAsia"/>
                <w:color w:val="000000" w:themeColor="text1"/>
                <w:szCs w:val="24"/>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4.3.4</w:t>
            </w:r>
          </w:p>
        </w:tc>
        <w:tc>
          <w:tcPr>
            <w:tcW w:w="2287" w:type="pct"/>
            <w:vAlign w:val="center"/>
          </w:tcPr>
          <w:p w:rsidR="00F34E9F" w:rsidRPr="00687B52" w:rsidRDefault="00F34E9F" w:rsidP="003E1D2A">
            <w:pPr>
              <w:pStyle w:val="a7"/>
              <w:jc w:val="left"/>
              <w:rPr>
                <w:color w:val="000000" w:themeColor="text1"/>
                <w:szCs w:val="24"/>
              </w:rPr>
            </w:pPr>
            <w:r w:rsidRPr="00687B52">
              <w:rPr>
                <w:color w:val="000000" w:themeColor="text1"/>
                <w:szCs w:val="24"/>
              </w:rPr>
              <w:t>落地式配电箱的底部宜抬高，</w:t>
            </w:r>
            <w:r w:rsidRPr="00687B52">
              <w:rPr>
                <w:rFonts w:hint="eastAsia"/>
                <w:color w:val="000000" w:themeColor="text1"/>
                <w:szCs w:val="24"/>
              </w:rPr>
              <w:t>高出地面的高度室内不应低于</w:t>
            </w:r>
            <w:r w:rsidRPr="00687B52">
              <w:rPr>
                <w:rFonts w:hint="eastAsia"/>
                <w:color w:val="000000" w:themeColor="text1"/>
                <w:szCs w:val="24"/>
              </w:rPr>
              <w:t>50mm</w:t>
            </w:r>
            <w:r w:rsidRPr="00687B52">
              <w:rPr>
                <w:rFonts w:hint="eastAsia"/>
                <w:color w:val="000000" w:themeColor="text1"/>
                <w:szCs w:val="24"/>
              </w:rPr>
              <w:t>，室外不应低于</w:t>
            </w:r>
            <w:r w:rsidRPr="00687B52">
              <w:rPr>
                <w:rFonts w:hint="eastAsia"/>
                <w:color w:val="000000" w:themeColor="text1"/>
                <w:szCs w:val="24"/>
              </w:rPr>
              <w:t>200mm</w:t>
            </w:r>
            <w:r w:rsidRPr="00687B52">
              <w:rPr>
                <w:color w:val="000000" w:themeColor="text1"/>
                <w:szCs w:val="24"/>
              </w:rPr>
              <w:t>。</w:t>
            </w:r>
            <w:r w:rsidRPr="00687B52">
              <w:rPr>
                <w:rFonts w:hint="eastAsia"/>
                <w:color w:val="000000" w:themeColor="text1"/>
                <w:szCs w:val="24"/>
              </w:rPr>
              <w:t>其</w:t>
            </w:r>
            <w:r w:rsidRPr="00687B52">
              <w:rPr>
                <w:color w:val="000000" w:themeColor="text1"/>
                <w:szCs w:val="24"/>
              </w:rPr>
              <w:t>底座周围应采取封闭措施，并应能防止鼠、蛇类等小动物进入箱内</w:t>
            </w:r>
            <w:r w:rsidRPr="00687B52">
              <w:rPr>
                <w:rFonts w:hint="eastAsia"/>
                <w:color w:val="000000" w:themeColor="text1"/>
                <w:szCs w:val="24"/>
              </w:rPr>
              <w:t>。</w:t>
            </w:r>
          </w:p>
        </w:tc>
        <w:tc>
          <w:tcPr>
            <w:tcW w:w="1446" w:type="pct"/>
            <w:vAlign w:val="center"/>
          </w:tcPr>
          <w:p w:rsidR="00F34E9F" w:rsidRPr="00687B52" w:rsidRDefault="00F34E9F" w:rsidP="003E1D2A">
            <w:pPr>
              <w:pStyle w:val="a7"/>
              <w:rPr>
                <w:color w:val="000000" w:themeColor="text1"/>
                <w:szCs w:val="24"/>
              </w:rPr>
            </w:pPr>
            <w:r w:rsidRPr="00687B52">
              <w:rPr>
                <w:rFonts w:hint="eastAsia"/>
                <w:color w:val="000000" w:themeColor="text1"/>
                <w:szCs w:val="24"/>
              </w:rPr>
              <w:t>《</w:t>
            </w:r>
            <w:hyperlink r:id="rId18" w:tgtFrame="_blank" w:history="1">
              <w:r w:rsidRPr="00687B52">
                <w:rPr>
                  <w:color w:val="000000" w:themeColor="text1"/>
                  <w:szCs w:val="24"/>
                </w:rPr>
                <w:t>低压配电设计规范</w:t>
              </w:r>
            </w:hyperlink>
            <w:r w:rsidRPr="00687B52">
              <w:rPr>
                <w:rFonts w:hint="eastAsia"/>
                <w:color w:val="000000" w:themeColor="text1"/>
                <w:szCs w:val="24"/>
              </w:rPr>
              <w:t>》</w:t>
            </w:r>
          </w:p>
          <w:p w:rsidR="00F34E9F" w:rsidRPr="00687B52" w:rsidRDefault="00F34E9F" w:rsidP="003E1D2A">
            <w:pPr>
              <w:pStyle w:val="a7"/>
              <w:rPr>
                <w:color w:val="000000" w:themeColor="text1"/>
                <w:szCs w:val="24"/>
              </w:rPr>
            </w:pPr>
            <w:r w:rsidRPr="00687B52">
              <w:rPr>
                <w:rFonts w:hint="eastAsia"/>
                <w:color w:val="000000" w:themeColor="text1"/>
                <w:szCs w:val="24"/>
              </w:rPr>
              <w:t>GB50054-2011</w:t>
            </w:r>
            <w:r w:rsidRPr="00687B52">
              <w:rPr>
                <w:rFonts w:hint="eastAsia"/>
                <w:color w:val="000000" w:themeColor="text1"/>
                <w:szCs w:val="24"/>
              </w:rPr>
              <w:t>第</w:t>
            </w:r>
            <w:r w:rsidRPr="00687B52">
              <w:rPr>
                <w:rFonts w:hint="eastAsia"/>
                <w:color w:val="000000" w:themeColor="text1"/>
                <w:szCs w:val="24"/>
              </w:rPr>
              <w:t>4.2.1</w:t>
            </w:r>
            <w:r w:rsidRPr="00687B52">
              <w:rPr>
                <w:rFonts w:hint="eastAsia"/>
                <w:color w:val="000000" w:themeColor="text1"/>
                <w:szCs w:val="24"/>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4.3.5</w:t>
            </w:r>
          </w:p>
        </w:tc>
        <w:tc>
          <w:tcPr>
            <w:tcW w:w="2287" w:type="pct"/>
            <w:vAlign w:val="center"/>
          </w:tcPr>
          <w:p w:rsidR="00F34E9F" w:rsidRPr="00687B52" w:rsidRDefault="00F34E9F" w:rsidP="003E1D2A">
            <w:pPr>
              <w:pStyle w:val="a7"/>
              <w:jc w:val="left"/>
              <w:rPr>
                <w:color w:val="000000" w:themeColor="text1"/>
                <w:szCs w:val="24"/>
              </w:rPr>
            </w:pPr>
            <w:r w:rsidRPr="00687B52">
              <w:rPr>
                <w:rFonts w:hint="eastAsia"/>
                <w:color w:val="000000" w:themeColor="text1"/>
                <w:szCs w:val="24"/>
              </w:rPr>
              <w:t>配电线路应装设短路保护和过负荷保护。</w:t>
            </w:r>
          </w:p>
        </w:tc>
        <w:tc>
          <w:tcPr>
            <w:tcW w:w="1446" w:type="pct"/>
            <w:vAlign w:val="center"/>
          </w:tcPr>
          <w:p w:rsidR="00F34E9F" w:rsidRPr="00687B52" w:rsidRDefault="00F34E9F" w:rsidP="003E1D2A">
            <w:pPr>
              <w:pStyle w:val="a7"/>
              <w:rPr>
                <w:color w:val="000000" w:themeColor="text1"/>
                <w:szCs w:val="24"/>
              </w:rPr>
            </w:pPr>
            <w:r w:rsidRPr="00687B52">
              <w:rPr>
                <w:rFonts w:hint="eastAsia"/>
                <w:color w:val="000000" w:themeColor="text1"/>
                <w:szCs w:val="24"/>
              </w:rPr>
              <w:t>《</w:t>
            </w:r>
            <w:hyperlink r:id="rId19" w:tgtFrame="_blank" w:history="1">
              <w:r w:rsidRPr="00687B52">
                <w:rPr>
                  <w:color w:val="000000" w:themeColor="text1"/>
                  <w:szCs w:val="24"/>
                </w:rPr>
                <w:t>低压配电设计规范</w:t>
              </w:r>
            </w:hyperlink>
            <w:r w:rsidRPr="00687B52">
              <w:rPr>
                <w:rFonts w:hint="eastAsia"/>
                <w:color w:val="000000" w:themeColor="text1"/>
                <w:szCs w:val="24"/>
              </w:rPr>
              <w:t>》</w:t>
            </w:r>
          </w:p>
          <w:p w:rsidR="00F34E9F" w:rsidRPr="00687B52" w:rsidRDefault="00F34E9F" w:rsidP="003E1D2A">
            <w:pPr>
              <w:pStyle w:val="a7"/>
              <w:rPr>
                <w:color w:val="000000" w:themeColor="text1"/>
                <w:szCs w:val="24"/>
              </w:rPr>
            </w:pPr>
            <w:r w:rsidRPr="00687B52">
              <w:rPr>
                <w:rFonts w:hint="eastAsia"/>
                <w:color w:val="000000" w:themeColor="text1"/>
                <w:szCs w:val="24"/>
              </w:rPr>
              <w:t>GB50054-2011</w:t>
            </w:r>
            <w:r w:rsidRPr="00687B52">
              <w:rPr>
                <w:rFonts w:hint="eastAsia"/>
                <w:color w:val="000000" w:themeColor="text1"/>
                <w:szCs w:val="24"/>
              </w:rPr>
              <w:t>第</w:t>
            </w:r>
            <w:r w:rsidRPr="00687B52">
              <w:rPr>
                <w:rFonts w:hint="eastAsia"/>
                <w:color w:val="000000" w:themeColor="text1"/>
                <w:szCs w:val="24"/>
              </w:rPr>
              <w:t>6.1.1</w:t>
            </w:r>
            <w:r w:rsidRPr="00687B52">
              <w:rPr>
                <w:rFonts w:hint="eastAsia"/>
                <w:color w:val="000000" w:themeColor="text1"/>
                <w:szCs w:val="24"/>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4.3.6</w:t>
            </w:r>
          </w:p>
        </w:tc>
        <w:tc>
          <w:tcPr>
            <w:tcW w:w="2287" w:type="pct"/>
            <w:vAlign w:val="center"/>
          </w:tcPr>
          <w:p w:rsidR="00F34E9F" w:rsidRPr="00687B52" w:rsidRDefault="00F34E9F" w:rsidP="003E1D2A">
            <w:pPr>
              <w:pStyle w:val="a7"/>
              <w:jc w:val="left"/>
              <w:rPr>
                <w:color w:val="000000" w:themeColor="text1"/>
                <w:szCs w:val="24"/>
              </w:rPr>
            </w:pPr>
            <w:r w:rsidRPr="00687B52">
              <w:rPr>
                <w:color w:val="000000" w:themeColor="text1"/>
                <w:szCs w:val="24"/>
              </w:rPr>
              <w:t>配电室内的电缆沟，应采取防水盒排水措施。配电室的地面宜高出本层地面</w:t>
            </w:r>
            <w:r w:rsidRPr="00687B52">
              <w:rPr>
                <w:color w:val="000000" w:themeColor="text1"/>
                <w:szCs w:val="24"/>
              </w:rPr>
              <w:t xml:space="preserve"> 50mm</w:t>
            </w:r>
            <w:r w:rsidRPr="00687B52">
              <w:rPr>
                <w:color w:val="000000" w:themeColor="text1"/>
                <w:szCs w:val="24"/>
              </w:rPr>
              <w:t>或设置防水门槛。</w:t>
            </w:r>
          </w:p>
        </w:tc>
        <w:tc>
          <w:tcPr>
            <w:tcW w:w="1446" w:type="pct"/>
            <w:vAlign w:val="center"/>
          </w:tcPr>
          <w:p w:rsidR="00F34E9F" w:rsidRPr="00687B52" w:rsidRDefault="00F34E9F" w:rsidP="003E1D2A">
            <w:pPr>
              <w:pStyle w:val="a7"/>
              <w:rPr>
                <w:color w:val="000000" w:themeColor="text1"/>
                <w:szCs w:val="24"/>
              </w:rPr>
            </w:pPr>
            <w:r w:rsidRPr="00687B52">
              <w:rPr>
                <w:rFonts w:hint="eastAsia"/>
                <w:color w:val="000000" w:themeColor="text1"/>
                <w:szCs w:val="24"/>
              </w:rPr>
              <w:t>《</w:t>
            </w:r>
            <w:hyperlink r:id="rId20" w:tgtFrame="_blank" w:history="1">
              <w:r w:rsidRPr="00687B52">
                <w:rPr>
                  <w:color w:val="000000" w:themeColor="text1"/>
                  <w:szCs w:val="24"/>
                </w:rPr>
                <w:t>低压配电设计规范</w:t>
              </w:r>
            </w:hyperlink>
            <w:r w:rsidRPr="00687B52">
              <w:rPr>
                <w:rFonts w:hint="eastAsia"/>
                <w:color w:val="000000" w:themeColor="text1"/>
                <w:szCs w:val="24"/>
              </w:rPr>
              <w:t>》</w:t>
            </w:r>
          </w:p>
          <w:p w:rsidR="00F34E9F" w:rsidRPr="00687B52" w:rsidRDefault="00F34E9F" w:rsidP="003E1D2A">
            <w:pPr>
              <w:pStyle w:val="a7"/>
              <w:rPr>
                <w:color w:val="000000" w:themeColor="text1"/>
                <w:szCs w:val="24"/>
              </w:rPr>
            </w:pPr>
            <w:r w:rsidRPr="00687B52">
              <w:rPr>
                <w:rFonts w:hint="eastAsia"/>
                <w:color w:val="000000" w:themeColor="text1"/>
                <w:szCs w:val="24"/>
              </w:rPr>
              <w:t>GB50054-2011</w:t>
            </w:r>
            <w:r w:rsidRPr="00687B52">
              <w:rPr>
                <w:rFonts w:hint="eastAsia"/>
                <w:color w:val="000000" w:themeColor="text1"/>
                <w:szCs w:val="24"/>
              </w:rPr>
              <w:t>第</w:t>
            </w:r>
            <w:r w:rsidRPr="00687B52">
              <w:rPr>
                <w:rFonts w:hint="eastAsia"/>
                <w:color w:val="000000" w:themeColor="text1"/>
                <w:szCs w:val="24"/>
              </w:rPr>
              <w:t>4.3.4</w:t>
            </w:r>
            <w:r w:rsidRPr="00687B52">
              <w:rPr>
                <w:rFonts w:hint="eastAsia"/>
                <w:color w:val="000000" w:themeColor="text1"/>
                <w:szCs w:val="24"/>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4.3.7</w:t>
            </w:r>
          </w:p>
        </w:tc>
        <w:tc>
          <w:tcPr>
            <w:tcW w:w="2287" w:type="pct"/>
            <w:vAlign w:val="center"/>
          </w:tcPr>
          <w:p w:rsidR="00F34E9F" w:rsidRPr="00687B52" w:rsidRDefault="00F34E9F" w:rsidP="003E1D2A">
            <w:pPr>
              <w:pStyle w:val="a7"/>
              <w:jc w:val="left"/>
              <w:rPr>
                <w:color w:val="000000" w:themeColor="text1"/>
                <w:szCs w:val="24"/>
              </w:rPr>
            </w:pPr>
            <w:r w:rsidRPr="00687B52">
              <w:rPr>
                <w:rFonts w:hint="eastAsia"/>
                <w:color w:val="000000" w:themeColor="text1"/>
                <w:szCs w:val="24"/>
              </w:rPr>
              <w:t>涉及放热反应的危险化工工艺生产装置应设置双重电源供电或控制系统应设置不间断电源（</w:t>
            </w:r>
            <w:r w:rsidRPr="00687B52">
              <w:rPr>
                <w:rFonts w:hint="eastAsia"/>
                <w:color w:val="000000" w:themeColor="text1"/>
                <w:szCs w:val="24"/>
              </w:rPr>
              <w:t>UPS</w:t>
            </w:r>
            <w:r w:rsidRPr="00687B52">
              <w:rPr>
                <w:rFonts w:hint="eastAsia"/>
                <w:color w:val="000000" w:themeColor="text1"/>
                <w:szCs w:val="24"/>
              </w:rPr>
              <w:t>）的。</w:t>
            </w:r>
          </w:p>
        </w:tc>
        <w:tc>
          <w:tcPr>
            <w:tcW w:w="1446" w:type="pct"/>
            <w:vAlign w:val="center"/>
          </w:tcPr>
          <w:p w:rsidR="00F34E9F" w:rsidRPr="00687B52" w:rsidRDefault="00F34E9F" w:rsidP="006A0E7C">
            <w:pPr>
              <w:pStyle w:val="a7"/>
              <w:rPr>
                <w:color w:val="000000" w:themeColor="text1"/>
                <w:szCs w:val="24"/>
              </w:rPr>
            </w:pPr>
            <w:r w:rsidRPr="00687B52">
              <w:rPr>
                <w:rFonts w:hint="eastAsia"/>
                <w:color w:val="000000" w:themeColor="text1"/>
                <w:szCs w:val="24"/>
              </w:rPr>
              <w:t>《安全生产法》</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4.3.8</w:t>
            </w:r>
          </w:p>
        </w:tc>
        <w:tc>
          <w:tcPr>
            <w:tcW w:w="2287" w:type="pct"/>
            <w:vAlign w:val="center"/>
          </w:tcPr>
          <w:p w:rsidR="00F34E9F" w:rsidRPr="00687B52" w:rsidRDefault="00F34E9F" w:rsidP="003E1D2A">
            <w:pPr>
              <w:pStyle w:val="a7"/>
              <w:jc w:val="left"/>
              <w:rPr>
                <w:color w:val="000000" w:themeColor="text1"/>
                <w:szCs w:val="24"/>
              </w:rPr>
            </w:pPr>
            <w:r w:rsidRPr="00687B52">
              <w:rPr>
                <w:color w:val="000000" w:themeColor="text1"/>
                <w:szCs w:val="24"/>
              </w:rPr>
              <w:t>生产装置内潮湿和高湿等危害环境以及特殊作业区配置的易触及和无防触电措施的固定式或移动式局部照明，应采用安全电压。</w:t>
            </w:r>
          </w:p>
        </w:tc>
        <w:tc>
          <w:tcPr>
            <w:tcW w:w="1446" w:type="pct"/>
            <w:vAlign w:val="center"/>
          </w:tcPr>
          <w:p w:rsidR="00F34E9F" w:rsidRPr="00687B52" w:rsidRDefault="00F34E9F" w:rsidP="003E1D2A">
            <w:pPr>
              <w:pStyle w:val="a7"/>
              <w:rPr>
                <w:color w:val="000000" w:themeColor="text1"/>
                <w:szCs w:val="24"/>
              </w:rPr>
            </w:pPr>
            <w:r w:rsidRPr="00687B52">
              <w:rPr>
                <w:rFonts w:hint="eastAsia"/>
                <w:color w:val="000000" w:themeColor="text1"/>
                <w:szCs w:val="24"/>
              </w:rPr>
              <w:t>《化工企业安全卫生设计规范》</w:t>
            </w:r>
          </w:p>
          <w:p w:rsidR="00F34E9F" w:rsidRPr="00687B52" w:rsidRDefault="00F34E9F" w:rsidP="003E1D2A">
            <w:pPr>
              <w:pStyle w:val="a7"/>
              <w:rPr>
                <w:color w:val="000000" w:themeColor="text1"/>
                <w:szCs w:val="24"/>
              </w:rPr>
            </w:pPr>
            <w:r w:rsidRPr="00687B52">
              <w:rPr>
                <w:color w:val="000000" w:themeColor="text1"/>
                <w:szCs w:val="24"/>
              </w:rPr>
              <w:t>HG20571-2014</w:t>
            </w:r>
            <w:r w:rsidRPr="00687B52">
              <w:rPr>
                <w:color w:val="000000" w:themeColor="text1"/>
                <w:szCs w:val="24"/>
              </w:rPr>
              <w:t>第</w:t>
            </w:r>
            <w:r w:rsidRPr="00687B52">
              <w:rPr>
                <w:rFonts w:hint="eastAsia"/>
                <w:color w:val="000000" w:themeColor="text1"/>
                <w:szCs w:val="24"/>
              </w:rPr>
              <w:t>5.5.4</w:t>
            </w:r>
            <w:r w:rsidRPr="00687B52">
              <w:rPr>
                <w:color w:val="000000" w:themeColor="text1"/>
                <w:szCs w:val="24"/>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4.3.9</w:t>
            </w:r>
          </w:p>
        </w:tc>
        <w:tc>
          <w:tcPr>
            <w:tcW w:w="2287" w:type="pct"/>
            <w:vAlign w:val="center"/>
          </w:tcPr>
          <w:p w:rsidR="00F34E9F" w:rsidRPr="00687B52" w:rsidRDefault="00F34E9F" w:rsidP="003E1D2A">
            <w:pPr>
              <w:pStyle w:val="a7"/>
              <w:jc w:val="left"/>
              <w:rPr>
                <w:color w:val="000000" w:themeColor="text1"/>
                <w:szCs w:val="24"/>
              </w:rPr>
            </w:pPr>
            <w:r w:rsidRPr="00687B52">
              <w:rPr>
                <w:rFonts w:hint="eastAsia"/>
                <w:color w:val="000000" w:themeColor="text1"/>
                <w:szCs w:val="24"/>
              </w:rPr>
              <w:t>爆炸危险区域的电气设备防爆等级选型应根据</w:t>
            </w:r>
            <w:r w:rsidRPr="00687B52">
              <w:rPr>
                <w:rFonts w:hint="eastAsia"/>
                <w:color w:val="000000" w:themeColor="text1"/>
                <w:szCs w:val="24"/>
              </w:rPr>
              <w:t>GB50058</w:t>
            </w:r>
            <w:r w:rsidRPr="00687B52">
              <w:rPr>
                <w:rFonts w:hint="eastAsia"/>
                <w:color w:val="000000" w:themeColor="text1"/>
                <w:szCs w:val="24"/>
              </w:rPr>
              <w:t>的规定，防爆电气设备的级别和组别不应低于爆炸危险环境内爆炸物质的级别和组别。</w:t>
            </w:r>
          </w:p>
        </w:tc>
        <w:tc>
          <w:tcPr>
            <w:tcW w:w="1446" w:type="pct"/>
            <w:vAlign w:val="center"/>
          </w:tcPr>
          <w:p w:rsidR="00F34E9F" w:rsidRPr="00687B52" w:rsidRDefault="00F34E9F" w:rsidP="003E1D2A">
            <w:pPr>
              <w:pStyle w:val="a7"/>
              <w:rPr>
                <w:color w:val="000000" w:themeColor="text1"/>
                <w:szCs w:val="24"/>
              </w:rPr>
            </w:pPr>
            <w:r w:rsidRPr="00687B52">
              <w:rPr>
                <w:rFonts w:hint="eastAsia"/>
                <w:color w:val="000000" w:themeColor="text1"/>
                <w:szCs w:val="24"/>
              </w:rPr>
              <w:t>《爆炸危险环境电力装置设计规范》</w:t>
            </w:r>
            <w:r w:rsidRPr="00687B52">
              <w:rPr>
                <w:rFonts w:hint="eastAsia"/>
                <w:color w:val="000000" w:themeColor="text1"/>
                <w:szCs w:val="24"/>
              </w:rPr>
              <w:t>GB 50058-2014</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4.3.10</w:t>
            </w:r>
          </w:p>
        </w:tc>
        <w:tc>
          <w:tcPr>
            <w:tcW w:w="2287" w:type="pct"/>
            <w:vAlign w:val="center"/>
          </w:tcPr>
          <w:p w:rsidR="00F34E9F" w:rsidRPr="00687B52" w:rsidRDefault="00F34E9F" w:rsidP="003E1D2A">
            <w:pPr>
              <w:pStyle w:val="a7"/>
              <w:jc w:val="left"/>
              <w:rPr>
                <w:color w:val="000000" w:themeColor="text1"/>
              </w:rPr>
            </w:pPr>
            <w:r w:rsidRPr="00687B52">
              <w:rPr>
                <w:rFonts w:hint="eastAsia"/>
                <w:color w:val="000000" w:themeColor="text1"/>
              </w:rPr>
              <w:t>对爆炸危险环境内可能产生静电危害的物体，应采取工业静电接地措施：</w:t>
            </w:r>
          </w:p>
          <w:p w:rsidR="00F34E9F" w:rsidRPr="00687B52" w:rsidRDefault="00F34E9F" w:rsidP="003E1D2A">
            <w:pPr>
              <w:pStyle w:val="a7"/>
              <w:jc w:val="left"/>
              <w:rPr>
                <w:color w:val="000000" w:themeColor="text1"/>
              </w:rPr>
            </w:pPr>
            <w:r w:rsidRPr="00687B52">
              <w:rPr>
                <w:rFonts w:hint="eastAsia"/>
                <w:color w:val="000000" w:themeColor="text1"/>
              </w:rPr>
              <w:t>①储存易燃易爆介质的设备、管道应设防静电接地；</w:t>
            </w:r>
          </w:p>
          <w:p w:rsidR="00F34E9F" w:rsidRPr="00687B52" w:rsidRDefault="00F34E9F" w:rsidP="003E1D2A">
            <w:pPr>
              <w:pStyle w:val="a7"/>
              <w:jc w:val="left"/>
              <w:rPr>
                <w:color w:val="000000" w:themeColor="text1"/>
              </w:rPr>
            </w:pPr>
            <w:r w:rsidRPr="00687B52">
              <w:rPr>
                <w:rFonts w:hint="eastAsia"/>
                <w:color w:val="000000" w:themeColor="text1"/>
              </w:rPr>
              <w:t>②输送易燃易爆介质的管道法兰应设防静电跨接；</w:t>
            </w:r>
          </w:p>
          <w:p w:rsidR="00F34E9F" w:rsidRPr="00687B52" w:rsidRDefault="00F34E9F" w:rsidP="003E1D2A">
            <w:pPr>
              <w:pStyle w:val="a7"/>
              <w:jc w:val="left"/>
              <w:rPr>
                <w:color w:val="000000" w:themeColor="text1"/>
              </w:rPr>
            </w:pPr>
            <w:r w:rsidRPr="00687B52">
              <w:rPr>
                <w:rFonts w:hint="eastAsia"/>
                <w:color w:val="000000" w:themeColor="text1"/>
              </w:rPr>
              <w:t>③存在火灾爆炸危险的生产、储存装置、作业场所的入口处应设人体静电消除器；</w:t>
            </w:r>
          </w:p>
          <w:p w:rsidR="00F34E9F" w:rsidRPr="00687B52" w:rsidRDefault="00F34E9F" w:rsidP="003E1D2A">
            <w:pPr>
              <w:pStyle w:val="a7"/>
              <w:jc w:val="left"/>
              <w:rPr>
                <w:color w:val="000000" w:themeColor="text1"/>
              </w:rPr>
            </w:pPr>
            <w:r w:rsidRPr="00687B52">
              <w:rPr>
                <w:rFonts w:hint="eastAsia"/>
                <w:color w:val="000000" w:themeColor="text1"/>
              </w:rPr>
              <w:t>④</w:t>
            </w:r>
            <w:r w:rsidRPr="00687B52">
              <w:rPr>
                <w:color w:val="000000" w:themeColor="text1"/>
              </w:rPr>
              <w:t>汽车罐车、铁路罐车和装卸栈台应设静电专用接地线。</w:t>
            </w:r>
          </w:p>
        </w:tc>
        <w:tc>
          <w:tcPr>
            <w:tcW w:w="1446" w:type="pct"/>
            <w:vAlign w:val="center"/>
          </w:tcPr>
          <w:p w:rsidR="00F34E9F" w:rsidRPr="00687B52" w:rsidRDefault="00F34E9F" w:rsidP="003E1D2A">
            <w:pPr>
              <w:pStyle w:val="a7"/>
              <w:rPr>
                <w:color w:val="000000" w:themeColor="text1"/>
              </w:rPr>
            </w:pPr>
            <w:r w:rsidRPr="00687B52">
              <w:rPr>
                <w:rFonts w:hint="eastAsia"/>
                <w:color w:val="000000" w:themeColor="text1"/>
              </w:rPr>
              <w:t>《化工企业静电接地设计规程》</w:t>
            </w:r>
          </w:p>
          <w:p w:rsidR="00F34E9F" w:rsidRPr="00687B52" w:rsidRDefault="00F34E9F" w:rsidP="003E1D2A">
            <w:pPr>
              <w:pStyle w:val="a7"/>
              <w:rPr>
                <w:color w:val="000000" w:themeColor="text1"/>
              </w:rPr>
            </w:pPr>
            <w:r w:rsidRPr="00687B52">
              <w:rPr>
                <w:rFonts w:hint="eastAsia"/>
                <w:color w:val="000000" w:themeColor="text1"/>
              </w:rPr>
              <w:t>HG/T20675-1990</w:t>
            </w:r>
            <w:r w:rsidRPr="00687B52">
              <w:rPr>
                <w:rFonts w:hint="eastAsia"/>
                <w:color w:val="000000" w:themeColor="text1"/>
              </w:rPr>
              <w:t>第</w:t>
            </w:r>
            <w:r w:rsidRPr="00687B52">
              <w:rPr>
                <w:rFonts w:hint="eastAsia"/>
                <w:color w:val="000000" w:themeColor="text1"/>
              </w:rPr>
              <w:t>2.1.1</w:t>
            </w:r>
            <w:r w:rsidRPr="00687B52">
              <w:rPr>
                <w:rFonts w:hint="eastAsia"/>
                <w:color w:val="000000" w:themeColor="text1"/>
              </w:rPr>
              <w:t>条、</w:t>
            </w:r>
            <w:r w:rsidRPr="00687B52">
              <w:rPr>
                <w:color w:val="000000" w:themeColor="text1"/>
              </w:rPr>
              <w:t>《石油化工企业设计防火规范》</w:t>
            </w:r>
            <w:r w:rsidRPr="00687B52">
              <w:rPr>
                <w:color w:val="000000" w:themeColor="text1"/>
              </w:rPr>
              <w:t>GB50160-2008</w:t>
            </w:r>
            <w:r w:rsidRPr="00687B52">
              <w:rPr>
                <w:color w:val="000000" w:themeColor="text1"/>
              </w:rPr>
              <w:t>第</w:t>
            </w:r>
            <w:r w:rsidRPr="00687B52">
              <w:rPr>
                <w:color w:val="000000" w:themeColor="text1"/>
              </w:rPr>
              <w:t>9.3.5</w:t>
            </w:r>
            <w:r w:rsidRPr="00687B52">
              <w:rPr>
                <w:rFonts w:hint="eastAsia"/>
                <w:color w:val="000000" w:themeColor="text1"/>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4.3.11</w:t>
            </w:r>
          </w:p>
        </w:tc>
        <w:tc>
          <w:tcPr>
            <w:tcW w:w="2287" w:type="pct"/>
            <w:vAlign w:val="center"/>
          </w:tcPr>
          <w:p w:rsidR="00F34E9F" w:rsidRPr="00687B52" w:rsidRDefault="00F34E9F" w:rsidP="003E1D2A">
            <w:pPr>
              <w:pStyle w:val="a7"/>
              <w:jc w:val="left"/>
              <w:rPr>
                <w:color w:val="000000" w:themeColor="text1"/>
              </w:rPr>
            </w:pPr>
            <w:r w:rsidRPr="00687B52">
              <w:rPr>
                <w:rFonts w:hint="eastAsia"/>
                <w:color w:val="000000" w:themeColor="text1"/>
              </w:rPr>
              <w:t>可燃气体、液化烃、可燃液体、可燃固体的管道在下列部</w:t>
            </w:r>
            <w:r w:rsidRPr="00687B52">
              <w:rPr>
                <w:rFonts w:hint="eastAsia"/>
                <w:color w:val="000000" w:themeColor="text1"/>
              </w:rPr>
              <w:lastRenderedPageBreak/>
              <w:t>位应设静电接地设施：</w:t>
            </w:r>
          </w:p>
          <w:p w:rsidR="00F34E9F" w:rsidRPr="00687B52" w:rsidRDefault="00F34E9F" w:rsidP="003E1D2A">
            <w:pPr>
              <w:pStyle w:val="a7"/>
              <w:jc w:val="left"/>
              <w:rPr>
                <w:color w:val="000000" w:themeColor="text1"/>
              </w:rPr>
            </w:pPr>
            <w:r w:rsidRPr="00687B52">
              <w:rPr>
                <w:rFonts w:hint="eastAsia"/>
                <w:color w:val="000000" w:themeColor="text1"/>
              </w:rPr>
              <w:t>①进出装置或设施处；</w:t>
            </w:r>
          </w:p>
          <w:p w:rsidR="00F34E9F" w:rsidRPr="00687B52" w:rsidRDefault="00F34E9F" w:rsidP="003E1D2A">
            <w:pPr>
              <w:pStyle w:val="a7"/>
              <w:jc w:val="left"/>
              <w:rPr>
                <w:color w:val="000000" w:themeColor="text1"/>
              </w:rPr>
            </w:pPr>
            <w:r w:rsidRPr="00687B52">
              <w:rPr>
                <w:rFonts w:hint="eastAsia"/>
                <w:color w:val="000000" w:themeColor="text1"/>
              </w:rPr>
              <w:t>②爆炸危险场所的边界；</w:t>
            </w:r>
          </w:p>
          <w:p w:rsidR="00F34E9F" w:rsidRPr="00687B52" w:rsidRDefault="00F34E9F" w:rsidP="003E1D2A">
            <w:pPr>
              <w:pStyle w:val="a7"/>
              <w:jc w:val="left"/>
              <w:rPr>
                <w:color w:val="000000" w:themeColor="text1"/>
              </w:rPr>
            </w:pPr>
            <w:r w:rsidRPr="00687B52">
              <w:rPr>
                <w:rFonts w:hint="eastAsia"/>
                <w:color w:val="000000" w:themeColor="text1"/>
              </w:rPr>
              <w:t>③管道泵及泵入口永久过滤器、缓冲器等。</w:t>
            </w:r>
            <w:r w:rsidRPr="00687B52">
              <w:rPr>
                <w:rFonts w:hint="eastAsia"/>
                <w:color w:val="000000" w:themeColor="text1"/>
              </w:rPr>
              <w:tab/>
            </w:r>
          </w:p>
        </w:tc>
        <w:tc>
          <w:tcPr>
            <w:tcW w:w="1446" w:type="pct"/>
            <w:vAlign w:val="center"/>
          </w:tcPr>
          <w:p w:rsidR="00F34E9F" w:rsidRPr="00687B52" w:rsidRDefault="00F34E9F" w:rsidP="003E1D2A">
            <w:pPr>
              <w:pStyle w:val="a7"/>
              <w:rPr>
                <w:color w:val="000000" w:themeColor="text1"/>
              </w:rPr>
            </w:pPr>
            <w:r w:rsidRPr="00687B52">
              <w:rPr>
                <w:rFonts w:hint="eastAsia"/>
                <w:color w:val="000000" w:themeColor="text1"/>
              </w:rPr>
              <w:lastRenderedPageBreak/>
              <w:t>《石油化工企业设计防火规范》</w:t>
            </w:r>
            <w:r w:rsidRPr="00687B52">
              <w:rPr>
                <w:rFonts w:hint="eastAsia"/>
                <w:color w:val="000000" w:themeColor="text1"/>
              </w:rPr>
              <w:lastRenderedPageBreak/>
              <w:t>GB50160-2008</w:t>
            </w:r>
            <w:r w:rsidRPr="00687B52">
              <w:rPr>
                <w:rFonts w:hint="eastAsia"/>
                <w:color w:val="000000" w:themeColor="text1"/>
              </w:rPr>
              <w:t>第</w:t>
            </w:r>
            <w:r w:rsidRPr="00687B52">
              <w:rPr>
                <w:rFonts w:hint="eastAsia"/>
                <w:color w:val="000000" w:themeColor="text1"/>
              </w:rPr>
              <w:t>9.3.3</w:t>
            </w:r>
            <w:r w:rsidRPr="00687B52">
              <w:rPr>
                <w:rFonts w:hint="eastAsia"/>
                <w:color w:val="000000" w:themeColor="text1"/>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lastRenderedPageBreak/>
              <w:t>4.3.12</w:t>
            </w:r>
          </w:p>
        </w:tc>
        <w:tc>
          <w:tcPr>
            <w:tcW w:w="2287" w:type="pct"/>
          </w:tcPr>
          <w:p w:rsidR="00F34E9F" w:rsidRPr="00687B52" w:rsidRDefault="00F34E9F" w:rsidP="003E1D2A">
            <w:pPr>
              <w:pStyle w:val="a7"/>
              <w:jc w:val="left"/>
              <w:rPr>
                <w:color w:val="000000" w:themeColor="text1"/>
              </w:rPr>
            </w:pPr>
            <w:r w:rsidRPr="00687B52">
              <w:rPr>
                <w:color w:val="000000" w:themeColor="text1"/>
              </w:rPr>
              <w:t>直径大于或等于</w:t>
            </w:r>
            <w:r w:rsidRPr="00687B52">
              <w:rPr>
                <w:color w:val="000000" w:themeColor="text1"/>
              </w:rPr>
              <w:t>2.5m</w:t>
            </w:r>
            <w:r w:rsidRPr="00687B52">
              <w:rPr>
                <w:color w:val="000000" w:themeColor="text1"/>
              </w:rPr>
              <w:t>及容积大于或等于</w:t>
            </w:r>
            <w:r w:rsidRPr="00687B52">
              <w:rPr>
                <w:color w:val="000000" w:themeColor="text1"/>
              </w:rPr>
              <w:t>50m</w:t>
            </w:r>
            <w:r w:rsidRPr="00687B52">
              <w:rPr>
                <w:color w:val="000000" w:themeColor="text1"/>
                <w:vertAlign w:val="superscript"/>
              </w:rPr>
              <w:t>3</w:t>
            </w:r>
            <w:r w:rsidRPr="00687B52">
              <w:rPr>
                <w:color w:val="000000" w:themeColor="text1"/>
              </w:rPr>
              <w:t>的设备，其接地点不应少于两处，接地点应沿设备外围均匀布置，其间距不应大于</w:t>
            </w:r>
            <w:r w:rsidRPr="00687B52">
              <w:rPr>
                <w:color w:val="000000" w:themeColor="text1"/>
              </w:rPr>
              <w:t>30m</w:t>
            </w:r>
            <w:r w:rsidRPr="00687B52">
              <w:rPr>
                <w:color w:val="000000" w:themeColor="text1"/>
              </w:rPr>
              <w:t>。</w:t>
            </w:r>
          </w:p>
        </w:tc>
        <w:tc>
          <w:tcPr>
            <w:tcW w:w="1446" w:type="pct"/>
            <w:vAlign w:val="center"/>
          </w:tcPr>
          <w:p w:rsidR="00F34E9F" w:rsidRPr="00687B52" w:rsidRDefault="00F34E9F" w:rsidP="003E1D2A">
            <w:pPr>
              <w:pStyle w:val="a7"/>
              <w:rPr>
                <w:color w:val="000000" w:themeColor="text1"/>
              </w:rPr>
            </w:pPr>
            <w:r w:rsidRPr="00687B52">
              <w:rPr>
                <w:color w:val="000000" w:themeColor="text1"/>
              </w:rPr>
              <w:t>《石油化工静电接地设计规范》</w:t>
            </w:r>
            <w:r w:rsidRPr="00687B52">
              <w:rPr>
                <w:color w:val="000000" w:themeColor="text1"/>
              </w:rPr>
              <w:t>SH3097-2000</w:t>
            </w:r>
            <w:r w:rsidRPr="00687B52">
              <w:rPr>
                <w:color w:val="000000" w:themeColor="text1"/>
              </w:rPr>
              <w:t>第</w:t>
            </w:r>
            <w:r w:rsidRPr="00687B52">
              <w:rPr>
                <w:color w:val="000000" w:themeColor="text1"/>
              </w:rPr>
              <w:t>4.1.2</w:t>
            </w:r>
            <w:r w:rsidRPr="00687B52">
              <w:rPr>
                <w:rFonts w:hint="eastAsia"/>
                <w:color w:val="000000" w:themeColor="text1"/>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4.3.13</w:t>
            </w:r>
          </w:p>
        </w:tc>
        <w:tc>
          <w:tcPr>
            <w:tcW w:w="2287" w:type="pct"/>
            <w:vAlign w:val="center"/>
          </w:tcPr>
          <w:p w:rsidR="00F34E9F" w:rsidRPr="00687B52" w:rsidRDefault="00F34E9F" w:rsidP="003E1D2A">
            <w:pPr>
              <w:pStyle w:val="a7"/>
              <w:jc w:val="left"/>
              <w:rPr>
                <w:color w:val="000000" w:themeColor="text1"/>
                <w:kern w:val="0"/>
              </w:rPr>
            </w:pPr>
            <w:r w:rsidRPr="00687B52">
              <w:rPr>
                <w:rFonts w:hint="eastAsia"/>
                <w:color w:val="000000" w:themeColor="text1"/>
                <w:kern w:val="0"/>
              </w:rPr>
              <w:t>设计有静电接地要求的管道，当每对法兰或其他接头间电阻值超过</w:t>
            </w:r>
            <w:r w:rsidRPr="00687B52">
              <w:rPr>
                <w:rFonts w:hint="eastAsia"/>
                <w:color w:val="000000" w:themeColor="text1"/>
                <w:kern w:val="0"/>
              </w:rPr>
              <w:t>0.03</w:t>
            </w:r>
            <w:r w:rsidRPr="00687B52">
              <w:rPr>
                <w:rFonts w:hint="eastAsia"/>
                <w:color w:val="000000" w:themeColor="text1"/>
                <w:kern w:val="0"/>
              </w:rPr>
              <w:t>欧姆时，应设导线跨接。当金属法兰采用金属螺栓或卡子紧固时，一般可不必另装静电连接线，但应保证至少有两个螺栓或卡子间具有良好的导电接触面。</w:t>
            </w:r>
            <w:r w:rsidRPr="00687B52">
              <w:rPr>
                <w:rFonts w:hint="eastAsia"/>
                <w:color w:val="000000" w:themeColor="text1"/>
                <w:kern w:val="0"/>
              </w:rPr>
              <w:tab/>
            </w:r>
          </w:p>
        </w:tc>
        <w:tc>
          <w:tcPr>
            <w:tcW w:w="1446" w:type="pct"/>
            <w:vAlign w:val="center"/>
          </w:tcPr>
          <w:p w:rsidR="00F34E9F" w:rsidRPr="00687B52" w:rsidRDefault="00F34E9F" w:rsidP="003E1D2A">
            <w:pPr>
              <w:pStyle w:val="a7"/>
              <w:jc w:val="left"/>
              <w:rPr>
                <w:color w:val="000000" w:themeColor="text1"/>
                <w:kern w:val="0"/>
              </w:rPr>
            </w:pPr>
            <w:r w:rsidRPr="00687B52">
              <w:rPr>
                <w:rFonts w:hint="eastAsia"/>
                <w:color w:val="000000" w:themeColor="text1"/>
              </w:rPr>
              <w:t>《工业金属管道工程施工规范》</w:t>
            </w:r>
            <w:r w:rsidRPr="00687B52">
              <w:rPr>
                <w:rFonts w:hint="eastAsia"/>
                <w:color w:val="000000" w:themeColor="text1"/>
              </w:rPr>
              <w:t>GB50235-2010</w:t>
            </w:r>
            <w:r w:rsidRPr="00687B52">
              <w:rPr>
                <w:rFonts w:hint="eastAsia"/>
                <w:color w:val="000000" w:themeColor="text1"/>
              </w:rPr>
              <w:t>、</w:t>
            </w:r>
            <w:r w:rsidRPr="00687B52">
              <w:rPr>
                <w:rFonts w:hint="eastAsia"/>
                <w:color w:val="000000" w:themeColor="text1"/>
                <w:kern w:val="0"/>
              </w:rPr>
              <w:t>《石油化工静电接地设计规范》</w:t>
            </w:r>
            <w:r w:rsidRPr="00687B52">
              <w:rPr>
                <w:rFonts w:hint="eastAsia"/>
                <w:color w:val="000000" w:themeColor="text1"/>
                <w:kern w:val="0"/>
              </w:rPr>
              <w:t>SH3097-2000</w:t>
            </w:r>
            <w:r w:rsidRPr="00687B52">
              <w:rPr>
                <w:rFonts w:hint="eastAsia"/>
                <w:color w:val="000000" w:themeColor="text1"/>
                <w:kern w:val="0"/>
              </w:rPr>
              <w:t>第</w:t>
            </w:r>
            <w:r w:rsidRPr="00687B52">
              <w:rPr>
                <w:rFonts w:hint="eastAsia"/>
                <w:color w:val="000000" w:themeColor="text1"/>
                <w:kern w:val="0"/>
              </w:rPr>
              <w:t>4.3.3</w:t>
            </w:r>
            <w:r w:rsidRPr="00687B52">
              <w:rPr>
                <w:rFonts w:hint="eastAsia"/>
                <w:color w:val="000000" w:themeColor="text1"/>
                <w:kern w:val="0"/>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4.3.14</w:t>
            </w:r>
          </w:p>
        </w:tc>
        <w:tc>
          <w:tcPr>
            <w:tcW w:w="2287" w:type="pct"/>
            <w:vAlign w:val="center"/>
          </w:tcPr>
          <w:p w:rsidR="00F34E9F" w:rsidRPr="00687B52" w:rsidRDefault="00F34E9F" w:rsidP="003E1D2A">
            <w:pPr>
              <w:pStyle w:val="a7"/>
              <w:jc w:val="left"/>
              <w:rPr>
                <w:color w:val="000000" w:themeColor="text1"/>
                <w:kern w:val="0"/>
              </w:rPr>
            </w:pPr>
            <w:r w:rsidRPr="00687B52">
              <w:rPr>
                <w:rFonts w:hint="eastAsia"/>
                <w:color w:val="000000" w:themeColor="text1"/>
                <w:kern w:val="0"/>
              </w:rPr>
              <w:t>管道在进出装置区（含生产车间厂房）处、分岔处应进行接地。长距离无分支管道应每隔</w:t>
            </w:r>
            <w:r w:rsidRPr="00687B52">
              <w:rPr>
                <w:rFonts w:hint="eastAsia"/>
                <w:color w:val="000000" w:themeColor="text1"/>
                <w:kern w:val="0"/>
              </w:rPr>
              <w:t>100m</w:t>
            </w:r>
            <w:r w:rsidRPr="00687B52">
              <w:rPr>
                <w:rFonts w:hint="eastAsia"/>
                <w:color w:val="000000" w:themeColor="text1"/>
                <w:kern w:val="0"/>
              </w:rPr>
              <w:t>接地一次。</w:t>
            </w:r>
            <w:r w:rsidRPr="00687B52">
              <w:rPr>
                <w:rFonts w:hint="eastAsia"/>
                <w:color w:val="000000" w:themeColor="text1"/>
                <w:kern w:val="0"/>
              </w:rPr>
              <w:tab/>
            </w:r>
          </w:p>
        </w:tc>
        <w:tc>
          <w:tcPr>
            <w:tcW w:w="1446" w:type="pct"/>
            <w:vAlign w:val="center"/>
          </w:tcPr>
          <w:p w:rsidR="00F34E9F" w:rsidRPr="00687B52" w:rsidRDefault="00F34E9F" w:rsidP="003E1D2A">
            <w:pPr>
              <w:pStyle w:val="a7"/>
              <w:rPr>
                <w:color w:val="000000" w:themeColor="text1"/>
              </w:rPr>
            </w:pPr>
            <w:r w:rsidRPr="00687B52">
              <w:rPr>
                <w:rFonts w:hint="eastAsia"/>
                <w:color w:val="000000" w:themeColor="text1"/>
                <w:kern w:val="0"/>
              </w:rPr>
              <w:t>《石油化工静电接地设计规范》</w:t>
            </w:r>
            <w:r w:rsidRPr="00687B52">
              <w:rPr>
                <w:rFonts w:hint="eastAsia"/>
                <w:color w:val="000000" w:themeColor="text1"/>
                <w:kern w:val="0"/>
              </w:rPr>
              <w:t>SH3097-2000</w:t>
            </w:r>
            <w:r w:rsidRPr="00687B52">
              <w:rPr>
                <w:rFonts w:hint="eastAsia"/>
                <w:color w:val="000000" w:themeColor="text1"/>
                <w:kern w:val="0"/>
              </w:rPr>
              <w:t>第</w:t>
            </w:r>
            <w:r w:rsidRPr="00687B52">
              <w:rPr>
                <w:rFonts w:hint="eastAsia"/>
                <w:color w:val="000000" w:themeColor="text1"/>
                <w:kern w:val="0"/>
              </w:rPr>
              <w:t>4.3.1</w:t>
            </w:r>
            <w:r w:rsidRPr="00687B52">
              <w:rPr>
                <w:rFonts w:hint="eastAsia"/>
                <w:color w:val="000000" w:themeColor="text1"/>
                <w:kern w:val="0"/>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4.3.15</w:t>
            </w:r>
          </w:p>
        </w:tc>
        <w:tc>
          <w:tcPr>
            <w:tcW w:w="2287" w:type="pct"/>
            <w:vAlign w:val="center"/>
          </w:tcPr>
          <w:p w:rsidR="00F34E9F" w:rsidRPr="00687B52" w:rsidRDefault="00F34E9F" w:rsidP="003E1D2A">
            <w:pPr>
              <w:pStyle w:val="a7"/>
              <w:jc w:val="left"/>
              <w:rPr>
                <w:color w:val="000000" w:themeColor="text1"/>
                <w:szCs w:val="24"/>
              </w:rPr>
            </w:pPr>
            <w:r w:rsidRPr="00687B52">
              <w:rPr>
                <w:rFonts w:hint="eastAsia"/>
                <w:color w:val="000000" w:themeColor="text1"/>
                <w:szCs w:val="24"/>
              </w:rPr>
              <w:t>电力电缆不应和输送甲、乙、丙类液体管道、可燃气体管道、热力管道敷设在同—管沟内。</w:t>
            </w:r>
            <w:r w:rsidRPr="00687B52">
              <w:rPr>
                <w:rFonts w:hint="eastAsia"/>
                <w:color w:val="000000" w:themeColor="text1"/>
                <w:szCs w:val="24"/>
              </w:rPr>
              <w:tab/>
            </w:r>
          </w:p>
        </w:tc>
        <w:tc>
          <w:tcPr>
            <w:tcW w:w="1446" w:type="pct"/>
            <w:vAlign w:val="center"/>
          </w:tcPr>
          <w:p w:rsidR="00F34E9F" w:rsidRPr="00687B52" w:rsidRDefault="00F34E9F" w:rsidP="003E1D2A">
            <w:pPr>
              <w:pStyle w:val="a7"/>
              <w:rPr>
                <w:color w:val="000000" w:themeColor="text1"/>
                <w:szCs w:val="24"/>
              </w:rPr>
            </w:pPr>
            <w:r w:rsidRPr="00687B52">
              <w:rPr>
                <w:rFonts w:hint="eastAsia"/>
                <w:color w:val="000000" w:themeColor="text1"/>
                <w:szCs w:val="24"/>
              </w:rPr>
              <w:t>《建筑设计防火规范》</w:t>
            </w:r>
            <w:r w:rsidRPr="00687B52">
              <w:rPr>
                <w:rFonts w:hint="eastAsia"/>
                <w:color w:val="000000" w:themeColor="text1"/>
                <w:szCs w:val="24"/>
              </w:rPr>
              <w:t>GB50016-2014</w:t>
            </w:r>
            <w:r w:rsidRPr="00687B52">
              <w:rPr>
                <w:rFonts w:hint="eastAsia"/>
                <w:color w:val="000000" w:themeColor="text1"/>
                <w:szCs w:val="24"/>
              </w:rPr>
              <w:t>第</w:t>
            </w:r>
            <w:r w:rsidRPr="00687B52">
              <w:rPr>
                <w:rFonts w:hint="eastAsia"/>
                <w:color w:val="000000" w:themeColor="text1"/>
                <w:szCs w:val="24"/>
              </w:rPr>
              <w:t>10.2.2</w:t>
            </w:r>
            <w:r w:rsidRPr="00687B52">
              <w:rPr>
                <w:rFonts w:hint="eastAsia"/>
                <w:color w:val="000000" w:themeColor="text1"/>
                <w:szCs w:val="24"/>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4.3.16</w:t>
            </w:r>
          </w:p>
        </w:tc>
        <w:tc>
          <w:tcPr>
            <w:tcW w:w="2287" w:type="pct"/>
            <w:vAlign w:val="center"/>
          </w:tcPr>
          <w:p w:rsidR="00F34E9F" w:rsidRPr="00687B52" w:rsidRDefault="00F34E9F" w:rsidP="003E1D2A">
            <w:pPr>
              <w:pStyle w:val="a7"/>
              <w:jc w:val="left"/>
              <w:rPr>
                <w:color w:val="000000" w:themeColor="text1"/>
                <w:szCs w:val="24"/>
              </w:rPr>
            </w:pPr>
            <w:r w:rsidRPr="00687B52">
              <w:rPr>
                <w:rFonts w:hint="eastAsia"/>
                <w:color w:val="000000" w:themeColor="text1"/>
              </w:rPr>
              <w:t>在爆炸性气体环境内钢管配线的电气线路应作好隔离密封。</w:t>
            </w:r>
          </w:p>
        </w:tc>
        <w:tc>
          <w:tcPr>
            <w:tcW w:w="1446" w:type="pct"/>
            <w:vAlign w:val="center"/>
          </w:tcPr>
          <w:p w:rsidR="00F34E9F" w:rsidRPr="00687B52" w:rsidRDefault="00F34E9F" w:rsidP="003E1D2A">
            <w:pPr>
              <w:pStyle w:val="a7"/>
              <w:rPr>
                <w:color w:val="000000" w:themeColor="text1"/>
              </w:rPr>
            </w:pPr>
            <w:r w:rsidRPr="00687B52">
              <w:rPr>
                <w:rFonts w:hint="eastAsia"/>
                <w:color w:val="000000" w:themeColor="text1"/>
              </w:rPr>
              <w:t>《爆炸危险环境电力装置设计规范》</w:t>
            </w:r>
            <w:r w:rsidRPr="00687B52">
              <w:rPr>
                <w:rFonts w:hint="eastAsia"/>
                <w:color w:val="000000" w:themeColor="text1"/>
              </w:rPr>
              <w:t>GB50058-2014</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b/>
                <w:color w:val="000000" w:themeColor="text1"/>
              </w:rPr>
            </w:pPr>
            <w:r w:rsidRPr="00687B52">
              <w:rPr>
                <w:rFonts w:hint="eastAsia"/>
                <w:b/>
                <w:color w:val="000000" w:themeColor="text1"/>
              </w:rPr>
              <w:t>4.4</w:t>
            </w:r>
          </w:p>
        </w:tc>
        <w:tc>
          <w:tcPr>
            <w:tcW w:w="2287" w:type="pct"/>
            <w:vAlign w:val="center"/>
          </w:tcPr>
          <w:p w:rsidR="00F34E9F" w:rsidRPr="00687B52" w:rsidRDefault="00F34E9F" w:rsidP="003E1D2A">
            <w:pPr>
              <w:pStyle w:val="a7"/>
              <w:jc w:val="left"/>
              <w:rPr>
                <w:b/>
                <w:color w:val="000000" w:themeColor="text1"/>
                <w:szCs w:val="24"/>
              </w:rPr>
            </w:pPr>
            <w:r w:rsidRPr="00687B52">
              <w:rPr>
                <w:rFonts w:hint="eastAsia"/>
                <w:b/>
                <w:color w:val="000000" w:themeColor="text1"/>
                <w:szCs w:val="24"/>
              </w:rPr>
              <w:t>供热</w:t>
            </w:r>
            <w:r w:rsidRPr="00687B52">
              <w:rPr>
                <w:rFonts w:hAnsi="Times New Roman" w:cs="Times New Roman"/>
                <w:b/>
                <w:color w:val="000000" w:themeColor="text1"/>
                <w:szCs w:val="24"/>
              </w:rPr>
              <w:t>——</w:t>
            </w:r>
            <w:r w:rsidRPr="00687B52">
              <w:rPr>
                <w:rFonts w:hint="eastAsia"/>
                <w:b/>
                <w:color w:val="000000" w:themeColor="text1"/>
                <w:szCs w:val="24"/>
              </w:rPr>
              <w:t>蒸汽锅炉</w:t>
            </w:r>
          </w:p>
        </w:tc>
        <w:tc>
          <w:tcPr>
            <w:tcW w:w="1446" w:type="pct"/>
            <w:vAlign w:val="center"/>
          </w:tcPr>
          <w:p w:rsidR="00F34E9F" w:rsidRPr="00687B52" w:rsidRDefault="00F34E9F" w:rsidP="003E1D2A">
            <w:pPr>
              <w:pStyle w:val="a7"/>
              <w:rPr>
                <w:color w:val="000000" w:themeColor="text1"/>
                <w:szCs w:val="24"/>
              </w:rPr>
            </w:pP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4.4.1</w:t>
            </w:r>
          </w:p>
        </w:tc>
        <w:tc>
          <w:tcPr>
            <w:tcW w:w="2287" w:type="pct"/>
            <w:vAlign w:val="center"/>
          </w:tcPr>
          <w:p w:rsidR="00F34E9F" w:rsidRPr="00687B52" w:rsidRDefault="00F34E9F" w:rsidP="003E1D2A">
            <w:pPr>
              <w:pStyle w:val="a7"/>
              <w:jc w:val="left"/>
              <w:rPr>
                <w:color w:val="000000" w:themeColor="text1"/>
                <w:szCs w:val="24"/>
              </w:rPr>
            </w:pPr>
            <w:r w:rsidRPr="00687B52">
              <w:rPr>
                <w:rFonts w:hint="eastAsia"/>
                <w:color w:val="000000" w:themeColor="text1"/>
              </w:rPr>
              <w:t>锅炉房的耐火等级不应低于二级，当为燃煤锅炉房时且锅炉的总蒸发量不大于</w:t>
            </w:r>
            <w:r w:rsidRPr="00687B52">
              <w:rPr>
                <w:rFonts w:hint="eastAsia"/>
                <w:color w:val="000000" w:themeColor="text1"/>
              </w:rPr>
              <w:t>4t/h</w:t>
            </w:r>
            <w:r w:rsidRPr="00687B52">
              <w:rPr>
                <w:rFonts w:hint="eastAsia"/>
                <w:color w:val="000000" w:themeColor="text1"/>
              </w:rPr>
              <w:t>时，可采用三级耐火等级的建筑。</w:t>
            </w:r>
          </w:p>
        </w:tc>
        <w:tc>
          <w:tcPr>
            <w:tcW w:w="1446" w:type="pct"/>
            <w:vAlign w:val="center"/>
          </w:tcPr>
          <w:p w:rsidR="00F34E9F" w:rsidRPr="00687B52" w:rsidRDefault="00F34E9F" w:rsidP="003E1D2A">
            <w:pPr>
              <w:pStyle w:val="a7"/>
              <w:rPr>
                <w:color w:val="000000" w:themeColor="text1"/>
              </w:rPr>
            </w:pPr>
            <w:r w:rsidRPr="00687B52">
              <w:rPr>
                <w:rFonts w:hint="eastAsia"/>
                <w:color w:val="000000" w:themeColor="text1"/>
              </w:rPr>
              <w:t>《建筑设计防火规范》</w:t>
            </w:r>
          </w:p>
          <w:p w:rsidR="00F34E9F" w:rsidRPr="00687B52" w:rsidRDefault="00F34E9F" w:rsidP="003E1D2A">
            <w:pPr>
              <w:pStyle w:val="a7"/>
              <w:rPr>
                <w:color w:val="000000" w:themeColor="text1"/>
                <w:szCs w:val="24"/>
              </w:rPr>
            </w:pPr>
            <w:r w:rsidRPr="00687B52">
              <w:rPr>
                <w:rFonts w:hint="eastAsia"/>
                <w:color w:val="000000" w:themeColor="text1"/>
              </w:rPr>
              <w:t>50016-2014</w:t>
            </w:r>
            <w:r w:rsidRPr="00687B52">
              <w:rPr>
                <w:rFonts w:hint="eastAsia"/>
                <w:color w:val="000000" w:themeColor="text1"/>
              </w:rPr>
              <w:t>第</w:t>
            </w:r>
            <w:r w:rsidRPr="00687B52">
              <w:rPr>
                <w:rFonts w:hint="eastAsia"/>
                <w:color w:val="000000" w:themeColor="text1"/>
              </w:rPr>
              <w:t>3.2.5</w:t>
            </w:r>
            <w:r w:rsidRPr="00687B52">
              <w:rPr>
                <w:rFonts w:hint="eastAsia"/>
                <w:color w:val="000000" w:themeColor="text1"/>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4.4.2</w:t>
            </w:r>
          </w:p>
        </w:tc>
        <w:tc>
          <w:tcPr>
            <w:tcW w:w="2287" w:type="pct"/>
            <w:vAlign w:val="center"/>
          </w:tcPr>
          <w:p w:rsidR="00F34E9F" w:rsidRPr="00687B52" w:rsidRDefault="00F34E9F" w:rsidP="003E1D2A">
            <w:pPr>
              <w:pStyle w:val="a7"/>
              <w:jc w:val="left"/>
              <w:rPr>
                <w:color w:val="000000" w:themeColor="text1"/>
              </w:rPr>
            </w:pPr>
            <w:r w:rsidRPr="00687B52">
              <w:rPr>
                <w:rFonts w:hint="eastAsia"/>
                <w:color w:val="000000" w:themeColor="text1"/>
              </w:rPr>
              <w:t>燃油或燃气锅炉房应设置自然通风或机械通风设施。燃气锅炉房应选用防爆型的事故排风机。当采取机械通风时，机械通风设施应设置导除静电的接地装置，通风量应符合下列规定：</w:t>
            </w:r>
          </w:p>
          <w:p w:rsidR="00F34E9F" w:rsidRPr="00687B52" w:rsidRDefault="00F34E9F" w:rsidP="003E1D2A">
            <w:pPr>
              <w:pStyle w:val="a7"/>
              <w:jc w:val="left"/>
              <w:rPr>
                <w:color w:val="000000" w:themeColor="text1"/>
              </w:rPr>
            </w:pPr>
            <w:r w:rsidRPr="00687B52">
              <w:rPr>
                <w:rFonts w:hint="eastAsia"/>
                <w:color w:val="000000" w:themeColor="text1"/>
              </w:rPr>
              <w:t>①燃油锅炉房的正常通风量应按换气次数不少于</w:t>
            </w:r>
            <w:r w:rsidRPr="00687B52">
              <w:rPr>
                <w:rFonts w:hint="eastAsia"/>
                <w:color w:val="000000" w:themeColor="text1"/>
              </w:rPr>
              <w:t>3</w:t>
            </w:r>
            <w:r w:rsidRPr="00687B52">
              <w:rPr>
                <w:rFonts w:hint="eastAsia"/>
                <w:color w:val="000000" w:themeColor="text1"/>
              </w:rPr>
              <w:t>次</w:t>
            </w:r>
            <w:r w:rsidRPr="00687B52">
              <w:rPr>
                <w:rFonts w:hint="eastAsia"/>
                <w:color w:val="000000" w:themeColor="text1"/>
              </w:rPr>
              <w:t>/h</w:t>
            </w:r>
            <w:r w:rsidRPr="00687B52">
              <w:rPr>
                <w:rFonts w:hint="eastAsia"/>
                <w:color w:val="000000" w:themeColor="text1"/>
              </w:rPr>
              <w:t>确</w:t>
            </w:r>
            <w:r w:rsidRPr="00687B52">
              <w:rPr>
                <w:rFonts w:hint="eastAsia"/>
                <w:color w:val="000000" w:themeColor="text1"/>
              </w:rPr>
              <w:lastRenderedPageBreak/>
              <w:t>定，事故排风量应按换气次数不少于</w:t>
            </w:r>
            <w:r w:rsidRPr="00687B52">
              <w:rPr>
                <w:rFonts w:hint="eastAsia"/>
                <w:color w:val="000000" w:themeColor="text1"/>
              </w:rPr>
              <w:t>6</w:t>
            </w:r>
            <w:r w:rsidRPr="00687B52">
              <w:rPr>
                <w:rFonts w:hint="eastAsia"/>
                <w:color w:val="000000" w:themeColor="text1"/>
              </w:rPr>
              <w:t>次</w:t>
            </w:r>
            <w:r w:rsidRPr="00687B52">
              <w:rPr>
                <w:rFonts w:hint="eastAsia"/>
                <w:color w:val="000000" w:themeColor="text1"/>
              </w:rPr>
              <w:t>/h</w:t>
            </w:r>
            <w:r w:rsidRPr="00687B52">
              <w:rPr>
                <w:rFonts w:hint="eastAsia"/>
                <w:color w:val="000000" w:themeColor="text1"/>
              </w:rPr>
              <w:t>确定；</w:t>
            </w:r>
          </w:p>
          <w:p w:rsidR="00F34E9F" w:rsidRPr="00687B52" w:rsidRDefault="00F34E9F" w:rsidP="003E1D2A">
            <w:pPr>
              <w:pStyle w:val="a7"/>
              <w:jc w:val="left"/>
              <w:rPr>
                <w:color w:val="000000" w:themeColor="text1"/>
              </w:rPr>
            </w:pPr>
            <w:r w:rsidRPr="00687B52">
              <w:rPr>
                <w:rFonts w:hint="eastAsia"/>
                <w:color w:val="000000" w:themeColor="text1"/>
              </w:rPr>
              <w:t>②燃气锅炉房的正常通风量应按换气次数不少于</w:t>
            </w:r>
            <w:r w:rsidRPr="00687B52">
              <w:rPr>
                <w:rFonts w:hint="eastAsia"/>
                <w:color w:val="000000" w:themeColor="text1"/>
              </w:rPr>
              <w:t>6</w:t>
            </w:r>
            <w:r w:rsidRPr="00687B52">
              <w:rPr>
                <w:rFonts w:hint="eastAsia"/>
                <w:color w:val="000000" w:themeColor="text1"/>
              </w:rPr>
              <w:t>次</w:t>
            </w:r>
            <w:r w:rsidRPr="00687B52">
              <w:rPr>
                <w:rFonts w:hint="eastAsia"/>
                <w:color w:val="000000" w:themeColor="text1"/>
              </w:rPr>
              <w:t>/h</w:t>
            </w:r>
            <w:r w:rsidRPr="00687B52">
              <w:rPr>
                <w:rFonts w:hint="eastAsia"/>
                <w:color w:val="000000" w:themeColor="text1"/>
              </w:rPr>
              <w:t>确定，事故排风量应按换气次数不少于</w:t>
            </w:r>
            <w:r w:rsidRPr="00687B52">
              <w:rPr>
                <w:rFonts w:hint="eastAsia"/>
                <w:color w:val="000000" w:themeColor="text1"/>
              </w:rPr>
              <w:t>12</w:t>
            </w:r>
            <w:r w:rsidRPr="00687B52">
              <w:rPr>
                <w:rFonts w:hint="eastAsia"/>
                <w:color w:val="000000" w:themeColor="text1"/>
              </w:rPr>
              <w:t>次</w:t>
            </w:r>
            <w:r w:rsidRPr="00687B52">
              <w:rPr>
                <w:rFonts w:hint="eastAsia"/>
                <w:color w:val="000000" w:themeColor="text1"/>
              </w:rPr>
              <w:t>/h</w:t>
            </w:r>
            <w:r w:rsidRPr="00687B52">
              <w:rPr>
                <w:rFonts w:hint="eastAsia"/>
                <w:color w:val="000000" w:themeColor="text1"/>
              </w:rPr>
              <w:t>确定。</w:t>
            </w:r>
          </w:p>
        </w:tc>
        <w:tc>
          <w:tcPr>
            <w:tcW w:w="1446" w:type="pct"/>
            <w:vAlign w:val="center"/>
          </w:tcPr>
          <w:p w:rsidR="00F34E9F" w:rsidRPr="00687B52" w:rsidRDefault="00F34E9F" w:rsidP="003E1D2A">
            <w:pPr>
              <w:pStyle w:val="a7"/>
              <w:rPr>
                <w:color w:val="000000" w:themeColor="text1"/>
              </w:rPr>
            </w:pPr>
            <w:r w:rsidRPr="00687B52">
              <w:rPr>
                <w:rFonts w:hint="eastAsia"/>
                <w:color w:val="000000" w:themeColor="text1"/>
              </w:rPr>
              <w:lastRenderedPageBreak/>
              <w:t>《建筑设计防火规范》</w:t>
            </w:r>
          </w:p>
          <w:p w:rsidR="00F34E9F" w:rsidRPr="00687B52" w:rsidRDefault="00F34E9F" w:rsidP="003E1D2A">
            <w:pPr>
              <w:pStyle w:val="a7"/>
              <w:rPr>
                <w:color w:val="000000" w:themeColor="text1"/>
              </w:rPr>
            </w:pPr>
            <w:r w:rsidRPr="00687B52">
              <w:rPr>
                <w:rFonts w:hint="eastAsia"/>
                <w:color w:val="000000" w:themeColor="text1"/>
              </w:rPr>
              <w:t>B50016-2014</w:t>
            </w:r>
            <w:r w:rsidRPr="00687B52">
              <w:rPr>
                <w:rFonts w:hint="eastAsia"/>
                <w:color w:val="000000" w:themeColor="text1"/>
              </w:rPr>
              <w:t>第</w:t>
            </w:r>
            <w:r w:rsidRPr="00687B52">
              <w:rPr>
                <w:rFonts w:hint="eastAsia"/>
                <w:color w:val="000000" w:themeColor="text1"/>
              </w:rPr>
              <w:t>9.3.16</w:t>
            </w:r>
            <w:r w:rsidRPr="00687B52">
              <w:rPr>
                <w:rFonts w:hint="eastAsia"/>
                <w:color w:val="000000" w:themeColor="text1"/>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lastRenderedPageBreak/>
              <w:t>4.4.3</w:t>
            </w:r>
          </w:p>
        </w:tc>
        <w:tc>
          <w:tcPr>
            <w:tcW w:w="2287" w:type="pct"/>
            <w:vAlign w:val="center"/>
          </w:tcPr>
          <w:p w:rsidR="00F34E9F" w:rsidRPr="00687B52" w:rsidRDefault="00F34E9F" w:rsidP="003E1D2A">
            <w:pPr>
              <w:pStyle w:val="a7"/>
              <w:jc w:val="left"/>
              <w:rPr>
                <w:color w:val="000000" w:themeColor="text1"/>
              </w:rPr>
            </w:pPr>
            <w:r w:rsidRPr="00687B52">
              <w:rPr>
                <w:rFonts w:hint="eastAsia"/>
                <w:color w:val="000000" w:themeColor="text1"/>
              </w:rPr>
              <w:t>锅炉房建筑物室内底层标高和构筑物基础顶面标高，应高出室外地坪或周围地坪</w:t>
            </w:r>
            <w:r w:rsidRPr="00687B52">
              <w:rPr>
                <w:rFonts w:hint="eastAsia"/>
                <w:color w:val="000000" w:themeColor="text1"/>
              </w:rPr>
              <w:t>0.15m</w:t>
            </w:r>
            <w:r w:rsidRPr="00687B52">
              <w:rPr>
                <w:rFonts w:hint="eastAsia"/>
                <w:color w:val="000000" w:themeColor="text1"/>
              </w:rPr>
              <w:t>及以上。锅炉间和同层的辅助间地面标高应一致。</w:t>
            </w:r>
            <w:r w:rsidRPr="00687B52">
              <w:rPr>
                <w:rFonts w:hint="eastAsia"/>
                <w:color w:val="000000" w:themeColor="text1"/>
              </w:rPr>
              <w:tab/>
            </w:r>
          </w:p>
        </w:tc>
        <w:tc>
          <w:tcPr>
            <w:tcW w:w="1446" w:type="pct"/>
            <w:vAlign w:val="center"/>
          </w:tcPr>
          <w:p w:rsidR="00F34E9F" w:rsidRPr="00687B52" w:rsidRDefault="00F34E9F" w:rsidP="003E1D2A">
            <w:pPr>
              <w:pStyle w:val="a7"/>
              <w:rPr>
                <w:color w:val="000000" w:themeColor="text1"/>
              </w:rPr>
            </w:pPr>
            <w:r w:rsidRPr="00687B52">
              <w:rPr>
                <w:rFonts w:hint="eastAsia"/>
                <w:color w:val="000000" w:themeColor="text1"/>
              </w:rPr>
              <w:t>《锅炉房设计规范》</w:t>
            </w:r>
          </w:p>
          <w:p w:rsidR="00F34E9F" w:rsidRPr="00687B52" w:rsidRDefault="00F34E9F" w:rsidP="003E1D2A">
            <w:pPr>
              <w:pStyle w:val="a7"/>
              <w:rPr>
                <w:color w:val="000000" w:themeColor="text1"/>
              </w:rPr>
            </w:pPr>
            <w:r w:rsidRPr="00687B52">
              <w:rPr>
                <w:rFonts w:hint="eastAsia"/>
                <w:color w:val="000000" w:themeColor="text1"/>
              </w:rPr>
              <w:t>GB50041-2008</w:t>
            </w:r>
            <w:r w:rsidRPr="00687B52">
              <w:rPr>
                <w:rFonts w:hint="eastAsia"/>
                <w:color w:val="000000" w:themeColor="text1"/>
              </w:rPr>
              <w:t>第</w:t>
            </w:r>
            <w:r w:rsidRPr="00687B52">
              <w:rPr>
                <w:rFonts w:hint="eastAsia"/>
                <w:color w:val="000000" w:themeColor="text1"/>
              </w:rPr>
              <w:t>4.2.7</w:t>
            </w:r>
            <w:r w:rsidRPr="00687B52">
              <w:rPr>
                <w:rFonts w:hint="eastAsia"/>
                <w:color w:val="000000" w:themeColor="text1"/>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4.4.5</w:t>
            </w:r>
          </w:p>
        </w:tc>
        <w:tc>
          <w:tcPr>
            <w:tcW w:w="2287" w:type="pct"/>
            <w:vAlign w:val="center"/>
          </w:tcPr>
          <w:p w:rsidR="00F34E9F" w:rsidRPr="00687B52" w:rsidRDefault="00F34E9F" w:rsidP="003E1D2A">
            <w:pPr>
              <w:pStyle w:val="a7"/>
              <w:jc w:val="left"/>
              <w:rPr>
                <w:color w:val="000000" w:themeColor="text1"/>
              </w:rPr>
            </w:pPr>
            <w:r w:rsidRPr="00687B52">
              <w:rPr>
                <w:rFonts w:hint="eastAsia"/>
                <w:color w:val="000000" w:themeColor="text1"/>
              </w:rPr>
              <w:t>锅炉房出入口的设置，必须符合下列规定：</w:t>
            </w:r>
          </w:p>
          <w:p w:rsidR="00F34E9F" w:rsidRPr="00687B52" w:rsidRDefault="00F34E9F" w:rsidP="003E1D2A">
            <w:pPr>
              <w:pStyle w:val="a7"/>
              <w:jc w:val="left"/>
              <w:rPr>
                <w:color w:val="000000" w:themeColor="text1"/>
              </w:rPr>
            </w:pPr>
            <w:r w:rsidRPr="00687B52">
              <w:rPr>
                <w:rFonts w:hint="eastAsia"/>
                <w:color w:val="000000" w:themeColor="text1"/>
              </w:rPr>
              <w:t>①出入口不应少于</w:t>
            </w:r>
            <w:r w:rsidRPr="00687B52">
              <w:rPr>
                <w:rFonts w:hint="eastAsia"/>
                <w:color w:val="000000" w:themeColor="text1"/>
              </w:rPr>
              <w:t>2</w:t>
            </w:r>
            <w:r w:rsidRPr="00687B52">
              <w:rPr>
                <w:rFonts w:hint="eastAsia"/>
                <w:color w:val="000000" w:themeColor="text1"/>
              </w:rPr>
              <w:t>个。但对独立锅炉房，当炉前走道总长度小于</w:t>
            </w:r>
            <w:r w:rsidRPr="00687B52">
              <w:rPr>
                <w:rFonts w:hint="eastAsia"/>
                <w:color w:val="000000" w:themeColor="text1"/>
              </w:rPr>
              <w:t>12m</w:t>
            </w:r>
            <w:r w:rsidRPr="00687B52">
              <w:rPr>
                <w:rFonts w:hint="eastAsia"/>
                <w:color w:val="000000" w:themeColor="text1"/>
              </w:rPr>
              <w:t>，且总建筑面积小于</w:t>
            </w:r>
            <w:r w:rsidRPr="00687B52">
              <w:rPr>
                <w:rFonts w:hint="eastAsia"/>
                <w:color w:val="000000" w:themeColor="text1"/>
              </w:rPr>
              <w:t>200m</w:t>
            </w:r>
            <w:r w:rsidRPr="00687B52">
              <w:rPr>
                <w:rFonts w:hint="eastAsia"/>
                <w:color w:val="000000" w:themeColor="text1"/>
              </w:rPr>
              <w:t>。时，其出入口可设</w:t>
            </w:r>
            <w:r w:rsidRPr="00687B52">
              <w:rPr>
                <w:rFonts w:hint="eastAsia"/>
                <w:color w:val="000000" w:themeColor="text1"/>
              </w:rPr>
              <w:t>1</w:t>
            </w:r>
            <w:r w:rsidRPr="00687B52">
              <w:rPr>
                <w:rFonts w:hint="eastAsia"/>
                <w:color w:val="000000" w:themeColor="text1"/>
              </w:rPr>
              <w:t>个：</w:t>
            </w:r>
          </w:p>
          <w:p w:rsidR="00F34E9F" w:rsidRPr="00687B52" w:rsidRDefault="00F34E9F" w:rsidP="003E1D2A">
            <w:pPr>
              <w:pStyle w:val="a7"/>
              <w:jc w:val="left"/>
              <w:rPr>
                <w:color w:val="000000" w:themeColor="text1"/>
              </w:rPr>
            </w:pPr>
            <w:r w:rsidRPr="00687B52">
              <w:rPr>
                <w:rFonts w:hint="eastAsia"/>
                <w:color w:val="000000" w:themeColor="text1"/>
              </w:rPr>
              <w:t>②非独立锅炉房，其人员出入口必须有</w:t>
            </w:r>
            <w:r w:rsidRPr="00687B52">
              <w:rPr>
                <w:rFonts w:hint="eastAsia"/>
                <w:color w:val="000000" w:themeColor="text1"/>
              </w:rPr>
              <w:t>1</w:t>
            </w:r>
            <w:r w:rsidRPr="00687B52">
              <w:rPr>
                <w:rFonts w:hint="eastAsia"/>
                <w:color w:val="000000" w:themeColor="text1"/>
              </w:rPr>
              <w:t>个直通室外；</w:t>
            </w:r>
          </w:p>
          <w:p w:rsidR="00F34E9F" w:rsidRPr="00687B52" w:rsidRDefault="00F34E9F" w:rsidP="003E1D2A">
            <w:pPr>
              <w:pStyle w:val="a7"/>
              <w:jc w:val="left"/>
              <w:rPr>
                <w:color w:val="000000" w:themeColor="text1"/>
              </w:rPr>
            </w:pPr>
            <w:r w:rsidRPr="00687B52">
              <w:rPr>
                <w:rFonts w:hint="eastAsia"/>
                <w:color w:val="000000" w:themeColor="text1"/>
              </w:rPr>
              <w:t>③锅炉房为多层布置时，其各层的人员出入口不应少于</w:t>
            </w:r>
            <w:r w:rsidRPr="00687B52">
              <w:rPr>
                <w:rFonts w:hint="eastAsia"/>
                <w:color w:val="000000" w:themeColor="text1"/>
              </w:rPr>
              <w:t>2</w:t>
            </w:r>
            <w:r w:rsidRPr="00687B52">
              <w:rPr>
                <w:rFonts w:hint="eastAsia"/>
                <w:color w:val="000000" w:themeColor="text1"/>
              </w:rPr>
              <w:t>个。楼层上的人员出入口，应有直接通向地面的安全楼梯。</w:t>
            </w:r>
          </w:p>
        </w:tc>
        <w:tc>
          <w:tcPr>
            <w:tcW w:w="1446" w:type="pct"/>
            <w:vAlign w:val="center"/>
          </w:tcPr>
          <w:p w:rsidR="00F34E9F" w:rsidRPr="00687B52" w:rsidRDefault="00F34E9F" w:rsidP="003E1D2A">
            <w:pPr>
              <w:pStyle w:val="a7"/>
              <w:rPr>
                <w:color w:val="000000" w:themeColor="text1"/>
              </w:rPr>
            </w:pPr>
            <w:r w:rsidRPr="00687B52">
              <w:rPr>
                <w:rFonts w:hint="eastAsia"/>
                <w:color w:val="000000" w:themeColor="text1"/>
              </w:rPr>
              <w:t>《锅炉房设计规范》</w:t>
            </w:r>
          </w:p>
          <w:p w:rsidR="00F34E9F" w:rsidRPr="00687B52" w:rsidRDefault="00F34E9F" w:rsidP="003E1D2A">
            <w:pPr>
              <w:pStyle w:val="a7"/>
              <w:rPr>
                <w:color w:val="000000" w:themeColor="text1"/>
              </w:rPr>
            </w:pPr>
            <w:r w:rsidRPr="00687B52">
              <w:rPr>
                <w:rFonts w:hint="eastAsia"/>
                <w:color w:val="000000" w:themeColor="text1"/>
              </w:rPr>
              <w:t>GB50041-2008</w:t>
            </w:r>
            <w:r w:rsidRPr="00687B52">
              <w:rPr>
                <w:rFonts w:hint="eastAsia"/>
                <w:color w:val="000000" w:themeColor="text1"/>
              </w:rPr>
              <w:t>第</w:t>
            </w:r>
            <w:r w:rsidRPr="00687B52">
              <w:rPr>
                <w:rFonts w:hint="eastAsia"/>
                <w:color w:val="000000" w:themeColor="text1"/>
              </w:rPr>
              <w:t>4.3.7</w:t>
            </w:r>
            <w:r w:rsidRPr="00687B52">
              <w:rPr>
                <w:rFonts w:hint="eastAsia"/>
                <w:color w:val="000000" w:themeColor="text1"/>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4.4.6</w:t>
            </w:r>
          </w:p>
        </w:tc>
        <w:tc>
          <w:tcPr>
            <w:tcW w:w="2287" w:type="pct"/>
            <w:vAlign w:val="center"/>
          </w:tcPr>
          <w:p w:rsidR="00F34E9F" w:rsidRPr="00687B52" w:rsidRDefault="00F34E9F" w:rsidP="003E1D2A">
            <w:pPr>
              <w:pStyle w:val="a7"/>
              <w:jc w:val="left"/>
              <w:rPr>
                <w:color w:val="000000" w:themeColor="text1"/>
                <w:szCs w:val="24"/>
              </w:rPr>
            </w:pPr>
            <w:r w:rsidRPr="00687B52">
              <w:rPr>
                <w:rFonts w:hint="eastAsia"/>
                <w:color w:val="000000" w:themeColor="text1"/>
                <w:szCs w:val="24"/>
              </w:rPr>
              <w:t>当锅炉房和其他建筑物相连或设置在其内部时，严禁设置在人员密集场所和重要部门的上一层、下一层、贴邻位置以及主要通道、疏散口的两旁。并应设置在首层或地下室一层靠建筑物外墙部位。</w:t>
            </w:r>
          </w:p>
        </w:tc>
        <w:tc>
          <w:tcPr>
            <w:tcW w:w="1446" w:type="pct"/>
            <w:vAlign w:val="center"/>
          </w:tcPr>
          <w:p w:rsidR="00F34E9F" w:rsidRPr="00687B52" w:rsidRDefault="00F34E9F" w:rsidP="003E1D2A">
            <w:pPr>
              <w:pStyle w:val="a7"/>
              <w:rPr>
                <w:color w:val="000000" w:themeColor="text1"/>
                <w:szCs w:val="24"/>
              </w:rPr>
            </w:pPr>
            <w:r w:rsidRPr="00687B52">
              <w:rPr>
                <w:rFonts w:hint="eastAsia"/>
                <w:color w:val="000000" w:themeColor="text1"/>
                <w:szCs w:val="24"/>
              </w:rPr>
              <w:t>《锅炉房设计规范》</w:t>
            </w:r>
          </w:p>
          <w:p w:rsidR="00F34E9F" w:rsidRPr="00687B52" w:rsidRDefault="00F34E9F" w:rsidP="003E1D2A">
            <w:pPr>
              <w:pStyle w:val="a7"/>
              <w:rPr>
                <w:color w:val="000000" w:themeColor="text1"/>
                <w:szCs w:val="24"/>
              </w:rPr>
            </w:pPr>
            <w:r w:rsidRPr="00687B52">
              <w:rPr>
                <w:rFonts w:hint="eastAsia"/>
                <w:color w:val="000000" w:themeColor="text1"/>
                <w:szCs w:val="24"/>
              </w:rPr>
              <w:t>GB50041-2008</w:t>
            </w:r>
            <w:r w:rsidRPr="00687B52">
              <w:rPr>
                <w:rFonts w:hint="eastAsia"/>
                <w:color w:val="000000" w:themeColor="text1"/>
                <w:szCs w:val="24"/>
              </w:rPr>
              <w:t>第</w:t>
            </w:r>
            <w:r w:rsidRPr="00687B52">
              <w:rPr>
                <w:rFonts w:hint="eastAsia"/>
                <w:color w:val="000000" w:themeColor="text1"/>
                <w:szCs w:val="24"/>
              </w:rPr>
              <w:t>4.1.3</w:t>
            </w:r>
            <w:r w:rsidRPr="00687B52">
              <w:rPr>
                <w:rFonts w:hint="eastAsia"/>
                <w:color w:val="000000" w:themeColor="text1"/>
                <w:szCs w:val="24"/>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4.4.7</w:t>
            </w:r>
          </w:p>
        </w:tc>
        <w:tc>
          <w:tcPr>
            <w:tcW w:w="2287" w:type="pct"/>
            <w:vAlign w:val="center"/>
          </w:tcPr>
          <w:p w:rsidR="00F34E9F" w:rsidRPr="00687B52" w:rsidRDefault="00F34E9F" w:rsidP="003E1D2A">
            <w:pPr>
              <w:pStyle w:val="a7"/>
              <w:jc w:val="left"/>
              <w:rPr>
                <w:color w:val="000000" w:themeColor="text1"/>
                <w:szCs w:val="24"/>
              </w:rPr>
            </w:pPr>
            <w:r w:rsidRPr="00687B52">
              <w:rPr>
                <w:rFonts w:hint="eastAsia"/>
                <w:color w:val="000000" w:themeColor="text1"/>
                <w:szCs w:val="24"/>
              </w:rPr>
              <w:t>锅炉房出入口的设置，必须符合下列规定：</w:t>
            </w:r>
          </w:p>
          <w:p w:rsidR="00F34E9F" w:rsidRPr="00687B52" w:rsidRDefault="00F34E9F" w:rsidP="003E1D2A">
            <w:pPr>
              <w:pStyle w:val="a7"/>
              <w:jc w:val="left"/>
              <w:rPr>
                <w:color w:val="000000" w:themeColor="text1"/>
                <w:szCs w:val="24"/>
              </w:rPr>
            </w:pPr>
            <w:r w:rsidRPr="00687B52">
              <w:rPr>
                <w:rFonts w:hint="eastAsia"/>
                <w:color w:val="000000" w:themeColor="text1"/>
                <w:szCs w:val="24"/>
              </w:rPr>
              <w:t>①出入口不应少于</w:t>
            </w:r>
            <w:r w:rsidRPr="00687B52">
              <w:rPr>
                <w:rFonts w:hint="eastAsia"/>
                <w:color w:val="000000" w:themeColor="text1"/>
                <w:szCs w:val="24"/>
              </w:rPr>
              <w:t>2</w:t>
            </w:r>
            <w:r w:rsidRPr="00687B52">
              <w:rPr>
                <w:rFonts w:hint="eastAsia"/>
                <w:color w:val="000000" w:themeColor="text1"/>
                <w:szCs w:val="24"/>
              </w:rPr>
              <w:t>个。但对独立锅炉房，当炉前走道总长度小于</w:t>
            </w:r>
            <w:smartTag w:uri="urn:schemas-microsoft-com:office:smarttags" w:element="chmetcnv">
              <w:smartTagPr>
                <w:attr w:name="TCSC" w:val="0"/>
                <w:attr w:name="NumberType" w:val="1"/>
                <w:attr w:name="Negative" w:val="False"/>
                <w:attr w:name="HasSpace" w:val="False"/>
                <w:attr w:name="SourceValue" w:val="12"/>
                <w:attr w:name="UnitName" w:val="m"/>
              </w:smartTagPr>
              <w:r w:rsidRPr="00687B52">
                <w:rPr>
                  <w:rFonts w:hint="eastAsia"/>
                  <w:color w:val="000000" w:themeColor="text1"/>
                  <w:szCs w:val="24"/>
                </w:rPr>
                <w:t>12m</w:t>
              </w:r>
            </w:smartTag>
            <w:r w:rsidRPr="00687B52">
              <w:rPr>
                <w:rFonts w:hint="eastAsia"/>
                <w:color w:val="000000" w:themeColor="text1"/>
                <w:szCs w:val="24"/>
              </w:rPr>
              <w:t>，且总建筑面积小于</w:t>
            </w:r>
            <w:smartTag w:uri="urn:schemas-microsoft-com:office:smarttags" w:element="chmetcnv">
              <w:smartTagPr>
                <w:attr w:name="TCSC" w:val="0"/>
                <w:attr w:name="NumberType" w:val="1"/>
                <w:attr w:name="Negative" w:val="False"/>
                <w:attr w:name="HasSpace" w:val="False"/>
                <w:attr w:name="SourceValue" w:val="200"/>
                <w:attr w:name="UnitName" w:val="m"/>
              </w:smartTagPr>
              <w:r w:rsidRPr="00687B52">
                <w:rPr>
                  <w:rFonts w:hint="eastAsia"/>
                  <w:color w:val="000000" w:themeColor="text1"/>
                  <w:szCs w:val="24"/>
                </w:rPr>
                <w:t>200m</w:t>
              </w:r>
            </w:smartTag>
            <w:r w:rsidRPr="00687B52">
              <w:rPr>
                <w:rFonts w:hint="eastAsia"/>
                <w:color w:val="000000" w:themeColor="text1"/>
                <w:szCs w:val="24"/>
              </w:rPr>
              <w:t>。时，其出入口可设</w:t>
            </w:r>
            <w:r w:rsidRPr="00687B52">
              <w:rPr>
                <w:rFonts w:hint="eastAsia"/>
                <w:color w:val="000000" w:themeColor="text1"/>
                <w:szCs w:val="24"/>
              </w:rPr>
              <w:t>1</w:t>
            </w:r>
            <w:r w:rsidRPr="00687B52">
              <w:rPr>
                <w:rFonts w:hint="eastAsia"/>
                <w:color w:val="000000" w:themeColor="text1"/>
                <w:szCs w:val="24"/>
              </w:rPr>
              <w:t>个：</w:t>
            </w:r>
          </w:p>
          <w:p w:rsidR="00F34E9F" w:rsidRPr="00687B52" w:rsidRDefault="00F34E9F" w:rsidP="003E1D2A">
            <w:pPr>
              <w:pStyle w:val="a7"/>
              <w:jc w:val="left"/>
              <w:rPr>
                <w:color w:val="000000" w:themeColor="text1"/>
                <w:szCs w:val="24"/>
              </w:rPr>
            </w:pPr>
            <w:r w:rsidRPr="00687B52">
              <w:rPr>
                <w:rFonts w:hint="eastAsia"/>
                <w:color w:val="000000" w:themeColor="text1"/>
                <w:szCs w:val="24"/>
              </w:rPr>
              <w:t>②非独立锅炉房，其人员出入口必须有</w:t>
            </w:r>
            <w:r w:rsidRPr="00687B52">
              <w:rPr>
                <w:rFonts w:hint="eastAsia"/>
                <w:color w:val="000000" w:themeColor="text1"/>
                <w:szCs w:val="24"/>
              </w:rPr>
              <w:t>1</w:t>
            </w:r>
            <w:r w:rsidRPr="00687B52">
              <w:rPr>
                <w:rFonts w:hint="eastAsia"/>
                <w:color w:val="000000" w:themeColor="text1"/>
                <w:szCs w:val="24"/>
              </w:rPr>
              <w:t>个直通室外；</w:t>
            </w:r>
          </w:p>
          <w:p w:rsidR="00F34E9F" w:rsidRPr="00687B52" w:rsidRDefault="00F34E9F" w:rsidP="003E1D2A">
            <w:pPr>
              <w:pStyle w:val="a7"/>
              <w:jc w:val="left"/>
              <w:rPr>
                <w:color w:val="000000" w:themeColor="text1"/>
                <w:szCs w:val="24"/>
              </w:rPr>
            </w:pPr>
            <w:r w:rsidRPr="00687B52">
              <w:rPr>
                <w:rFonts w:hint="eastAsia"/>
                <w:color w:val="000000" w:themeColor="text1"/>
                <w:szCs w:val="24"/>
              </w:rPr>
              <w:t>③锅炉房为多层布置时，其各层的人员出入口不应少于</w:t>
            </w:r>
            <w:r w:rsidRPr="00687B52">
              <w:rPr>
                <w:rFonts w:hint="eastAsia"/>
                <w:color w:val="000000" w:themeColor="text1"/>
                <w:szCs w:val="24"/>
              </w:rPr>
              <w:t>2</w:t>
            </w:r>
            <w:r w:rsidRPr="00687B52">
              <w:rPr>
                <w:rFonts w:hint="eastAsia"/>
                <w:color w:val="000000" w:themeColor="text1"/>
                <w:szCs w:val="24"/>
              </w:rPr>
              <w:t>个。楼层上的人员出入口，应有直接通向地面的安全楼梯。</w:t>
            </w:r>
          </w:p>
        </w:tc>
        <w:tc>
          <w:tcPr>
            <w:tcW w:w="1446" w:type="pct"/>
            <w:vAlign w:val="center"/>
          </w:tcPr>
          <w:p w:rsidR="00F34E9F" w:rsidRPr="00687B52" w:rsidRDefault="00F34E9F" w:rsidP="003E1D2A">
            <w:pPr>
              <w:pStyle w:val="a7"/>
              <w:rPr>
                <w:color w:val="000000" w:themeColor="text1"/>
                <w:szCs w:val="24"/>
              </w:rPr>
            </w:pPr>
            <w:r w:rsidRPr="00687B52">
              <w:rPr>
                <w:rFonts w:hint="eastAsia"/>
                <w:color w:val="000000" w:themeColor="text1"/>
                <w:szCs w:val="24"/>
              </w:rPr>
              <w:t>《锅炉房设计规范》</w:t>
            </w:r>
          </w:p>
          <w:p w:rsidR="00F34E9F" w:rsidRPr="00687B52" w:rsidRDefault="00F34E9F" w:rsidP="003E1D2A">
            <w:pPr>
              <w:pStyle w:val="a7"/>
              <w:rPr>
                <w:color w:val="000000" w:themeColor="text1"/>
                <w:szCs w:val="24"/>
              </w:rPr>
            </w:pPr>
            <w:r w:rsidRPr="00687B52">
              <w:rPr>
                <w:rFonts w:hint="eastAsia"/>
                <w:color w:val="000000" w:themeColor="text1"/>
                <w:szCs w:val="24"/>
              </w:rPr>
              <w:t>GB50041-2008</w:t>
            </w:r>
            <w:r w:rsidRPr="00687B52">
              <w:rPr>
                <w:rFonts w:hint="eastAsia"/>
                <w:color w:val="000000" w:themeColor="text1"/>
                <w:szCs w:val="24"/>
              </w:rPr>
              <w:t>第</w:t>
            </w:r>
            <w:r w:rsidRPr="00687B52">
              <w:rPr>
                <w:rFonts w:hint="eastAsia"/>
                <w:color w:val="000000" w:themeColor="text1"/>
                <w:szCs w:val="24"/>
              </w:rPr>
              <w:t>4.3.7</w:t>
            </w:r>
            <w:r w:rsidRPr="00687B52">
              <w:rPr>
                <w:rFonts w:hint="eastAsia"/>
                <w:color w:val="000000" w:themeColor="text1"/>
                <w:szCs w:val="24"/>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4.4.8</w:t>
            </w:r>
          </w:p>
        </w:tc>
        <w:tc>
          <w:tcPr>
            <w:tcW w:w="2287" w:type="pct"/>
            <w:vAlign w:val="center"/>
          </w:tcPr>
          <w:p w:rsidR="00F34E9F" w:rsidRPr="00687B52" w:rsidRDefault="00F34E9F" w:rsidP="003E1D2A">
            <w:pPr>
              <w:pStyle w:val="a7"/>
              <w:jc w:val="left"/>
              <w:rPr>
                <w:color w:val="000000" w:themeColor="text1"/>
                <w:szCs w:val="24"/>
              </w:rPr>
            </w:pPr>
            <w:r w:rsidRPr="00687B52">
              <w:rPr>
                <w:rFonts w:hint="eastAsia"/>
                <w:color w:val="000000" w:themeColor="text1"/>
                <w:szCs w:val="24"/>
              </w:rPr>
              <w:t>锅炉房通向室外的门应向室外开启，锅炉房内的工作间或生活间直通锅炉间的门应向锅炉间内开启。</w:t>
            </w:r>
          </w:p>
        </w:tc>
        <w:tc>
          <w:tcPr>
            <w:tcW w:w="1446" w:type="pct"/>
            <w:vAlign w:val="center"/>
          </w:tcPr>
          <w:p w:rsidR="00F34E9F" w:rsidRPr="00687B52" w:rsidRDefault="00F34E9F" w:rsidP="003E1D2A">
            <w:pPr>
              <w:pStyle w:val="a7"/>
              <w:rPr>
                <w:color w:val="000000" w:themeColor="text1"/>
                <w:szCs w:val="24"/>
              </w:rPr>
            </w:pPr>
            <w:r w:rsidRPr="00687B52">
              <w:rPr>
                <w:rFonts w:hint="eastAsia"/>
                <w:color w:val="000000" w:themeColor="text1"/>
                <w:szCs w:val="24"/>
              </w:rPr>
              <w:t>《锅炉房设计规范》</w:t>
            </w:r>
          </w:p>
          <w:p w:rsidR="00F34E9F" w:rsidRPr="00687B52" w:rsidRDefault="00F34E9F" w:rsidP="003E1D2A">
            <w:pPr>
              <w:pStyle w:val="a7"/>
              <w:rPr>
                <w:color w:val="000000" w:themeColor="text1"/>
                <w:szCs w:val="24"/>
              </w:rPr>
            </w:pPr>
            <w:r w:rsidRPr="00687B52">
              <w:rPr>
                <w:rFonts w:hint="eastAsia"/>
                <w:color w:val="000000" w:themeColor="text1"/>
                <w:szCs w:val="24"/>
              </w:rPr>
              <w:t>GB50041-2008</w:t>
            </w:r>
            <w:r w:rsidRPr="00687B52">
              <w:rPr>
                <w:rFonts w:hint="eastAsia"/>
                <w:color w:val="000000" w:themeColor="text1"/>
                <w:szCs w:val="24"/>
              </w:rPr>
              <w:t>第</w:t>
            </w:r>
            <w:r w:rsidRPr="00687B52">
              <w:rPr>
                <w:rFonts w:hint="eastAsia"/>
                <w:color w:val="000000" w:themeColor="text1"/>
                <w:szCs w:val="24"/>
              </w:rPr>
              <w:t>4.3.8</w:t>
            </w:r>
            <w:r w:rsidRPr="00687B52">
              <w:rPr>
                <w:rFonts w:hint="eastAsia"/>
                <w:color w:val="000000" w:themeColor="text1"/>
                <w:szCs w:val="24"/>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lastRenderedPageBreak/>
              <w:t>4.4.9</w:t>
            </w:r>
          </w:p>
        </w:tc>
        <w:tc>
          <w:tcPr>
            <w:tcW w:w="2287" w:type="pct"/>
            <w:vAlign w:val="center"/>
          </w:tcPr>
          <w:p w:rsidR="00F34E9F" w:rsidRPr="00687B52" w:rsidRDefault="00F34E9F" w:rsidP="003E1D2A">
            <w:pPr>
              <w:pStyle w:val="a7"/>
              <w:jc w:val="left"/>
              <w:rPr>
                <w:color w:val="000000" w:themeColor="text1"/>
                <w:szCs w:val="24"/>
              </w:rPr>
            </w:pPr>
            <w:r w:rsidRPr="00687B52">
              <w:rPr>
                <w:rFonts w:hint="eastAsia"/>
                <w:color w:val="000000" w:themeColor="text1"/>
                <w:szCs w:val="24"/>
              </w:rPr>
              <w:t>锅炉操作地点和通道的净空高度不应小于</w:t>
            </w:r>
            <w:smartTag w:uri="urn:schemas-microsoft-com:office:smarttags" w:element="chmetcnv">
              <w:smartTagPr>
                <w:attr w:name="TCSC" w:val="0"/>
                <w:attr w:name="NumberType" w:val="1"/>
                <w:attr w:name="Negative" w:val="False"/>
                <w:attr w:name="HasSpace" w:val="False"/>
                <w:attr w:name="SourceValue" w:val="2"/>
                <w:attr w:name="UnitName" w:val="m"/>
              </w:smartTagPr>
              <w:r w:rsidRPr="00687B52">
                <w:rPr>
                  <w:rFonts w:hint="eastAsia"/>
                  <w:color w:val="000000" w:themeColor="text1"/>
                  <w:szCs w:val="24"/>
                </w:rPr>
                <w:t>2m</w:t>
              </w:r>
            </w:smartTag>
            <w:r w:rsidRPr="00687B52">
              <w:rPr>
                <w:rFonts w:hint="eastAsia"/>
                <w:color w:val="000000" w:themeColor="text1"/>
                <w:szCs w:val="24"/>
              </w:rPr>
              <w:t>，并应符合起吊设备操作高度的要求。在锅筒、省煤器及其他发热部位的上方，当不需操作和通行时，其净空高度可为</w:t>
            </w:r>
            <w:smartTag w:uri="urn:schemas-microsoft-com:office:smarttags" w:element="chmetcnv">
              <w:smartTagPr>
                <w:attr w:name="TCSC" w:val="0"/>
                <w:attr w:name="NumberType" w:val="1"/>
                <w:attr w:name="Negative" w:val="False"/>
                <w:attr w:name="HasSpace" w:val="False"/>
                <w:attr w:name="SourceValue" w:val=".7"/>
                <w:attr w:name="UnitName" w:val="m"/>
              </w:smartTagPr>
              <w:r w:rsidRPr="00687B52">
                <w:rPr>
                  <w:rFonts w:hint="eastAsia"/>
                  <w:color w:val="000000" w:themeColor="text1"/>
                  <w:szCs w:val="24"/>
                </w:rPr>
                <w:t>0.7m</w:t>
              </w:r>
            </w:smartTag>
            <w:r w:rsidRPr="00687B52">
              <w:rPr>
                <w:rFonts w:hint="eastAsia"/>
                <w:color w:val="000000" w:themeColor="text1"/>
                <w:szCs w:val="24"/>
              </w:rPr>
              <w:t>。</w:t>
            </w:r>
          </w:p>
        </w:tc>
        <w:tc>
          <w:tcPr>
            <w:tcW w:w="1446" w:type="pct"/>
            <w:vAlign w:val="center"/>
          </w:tcPr>
          <w:p w:rsidR="00F34E9F" w:rsidRPr="00687B52" w:rsidRDefault="00F34E9F" w:rsidP="003E1D2A">
            <w:pPr>
              <w:pStyle w:val="a7"/>
              <w:rPr>
                <w:color w:val="000000" w:themeColor="text1"/>
                <w:szCs w:val="24"/>
              </w:rPr>
            </w:pPr>
            <w:r w:rsidRPr="00687B52">
              <w:rPr>
                <w:rFonts w:hint="eastAsia"/>
                <w:color w:val="000000" w:themeColor="text1"/>
                <w:szCs w:val="24"/>
              </w:rPr>
              <w:t>《锅炉房设计规范》</w:t>
            </w:r>
          </w:p>
          <w:p w:rsidR="00F34E9F" w:rsidRPr="00687B52" w:rsidRDefault="00F34E9F" w:rsidP="003E1D2A">
            <w:pPr>
              <w:pStyle w:val="a7"/>
              <w:rPr>
                <w:color w:val="000000" w:themeColor="text1"/>
                <w:szCs w:val="24"/>
              </w:rPr>
            </w:pPr>
            <w:r w:rsidRPr="00687B52">
              <w:rPr>
                <w:rFonts w:hint="eastAsia"/>
                <w:color w:val="000000" w:themeColor="text1"/>
                <w:szCs w:val="24"/>
              </w:rPr>
              <w:t>GB50041-2008</w:t>
            </w:r>
            <w:r w:rsidRPr="00687B52">
              <w:rPr>
                <w:rFonts w:hint="eastAsia"/>
                <w:color w:val="000000" w:themeColor="text1"/>
                <w:szCs w:val="24"/>
              </w:rPr>
              <w:t>第</w:t>
            </w:r>
            <w:r w:rsidRPr="00687B52">
              <w:rPr>
                <w:rFonts w:hint="eastAsia"/>
                <w:color w:val="000000" w:themeColor="text1"/>
                <w:szCs w:val="24"/>
              </w:rPr>
              <w:t>4.4.5</w:t>
            </w:r>
            <w:r w:rsidRPr="00687B52">
              <w:rPr>
                <w:rFonts w:hint="eastAsia"/>
                <w:color w:val="000000" w:themeColor="text1"/>
                <w:szCs w:val="24"/>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4.4.10</w:t>
            </w:r>
          </w:p>
        </w:tc>
        <w:tc>
          <w:tcPr>
            <w:tcW w:w="2287" w:type="pct"/>
            <w:vAlign w:val="center"/>
          </w:tcPr>
          <w:p w:rsidR="00F34E9F" w:rsidRPr="00687B52" w:rsidRDefault="00F34E9F" w:rsidP="003E1D2A">
            <w:pPr>
              <w:pStyle w:val="a7"/>
              <w:jc w:val="left"/>
              <w:rPr>
                <w:color w:val="000000" w:themeColor="text1"/>
                <w:szCs w:val="24"/>
              </w:rPr>
            </w:pPr>
            <w:r w:rsidRPr="00687B52">
              <w:rPr>
                <w:rFonts w:hint="eastAsia"/>
                <w:color w:val="000000" w:themeColor="text1"/>
                <w:szCs w:val="24"/>
              </w:rPr>
              <w:t>蒸汽锅炉必须装设指示仪表监测下列安全运行参数：①锅筒蒸汽压力；②锅筒水位；③锅筒进口给水压力；④过热器出口蒸汽压力和温度；⑤省煤器进、出口水温和水压。⑥单台额定蒸发量大于等于</w:t>
            </w:r>
            <w:r w:rsidRPr="00687B52">
              <w:rPr>
                <w:rFonts w:hint="eastAsia"/>
                <w:color w:val="000000" w:themeColor="text1"/>
                <w:szCs w:val="24"/>
              </w:rPr>
              <w:t>20t/h</w:t>
            </w:r>
            <w:r w:rsidRPr="00687B52">
              <w:rPr>
                <w:rFonts w:hint="eastAsia"/>
                <w:color w:val="000000" w:themeColor="text1"/>
                <w:szCs w:val="24"/>
              </w:rPr>
              <w:t>的蒸汽锅炉，尚应装设记录仪表。</w:t>
            </w:r>
          </w:p>
          <w:p w:rsidR="00F34E9F" w:rsidRPr="00687B52" w:rsidRDefault="00F34E9F" w:rsidP="003E1D2A">
            <w:pPr>
              <w:pStyle w:val="a7"/>
              <w:jc w:val="left"/>
              <w:rPr>
                <w:color w:val="000000" w:themeColor="text1"/>
                <w:szCs w:val="24"/>
              </w:rPr>
            </w:pPr>
            <w:r w:rsidRPr="00687B52">
              <w:rPr>
                <w:rFonts w:hint="eastAsia"/>
                <w:color w:val="000000" w:themeColor="text1"/>
                <w:szCs w:val="24"/>
              </w:rPr>
              <w:t>热水系统应设置自动补水装置并宜设置自动排气装置，加压膨胀水箱应设置水位和压力自动调节装置。</w:t>
            </w:r>
          </w:p>
        </w:tc>
        <w:tc>
          <w:tcPr>
            <w:tcW w:w="1446" w:type="pct"/>
            <w:vAlign w:val="center"/>
          </w:tcPr>
          <w:p w:rsidR="00F34E9F" w:rsidRPr="00687B52" w:rsidRDefault="00F34E9F" w:rsidP="003E1D2A">
            <w:pPr>
              <w:pStyle w:val="a7"/>
              <w:rPr>
                <w:color w:val="000000" w:themeColor="text1"/>
                <w:szCs w:val="24"/>
              </w:rPr>
            </w:pPr>
            <w:r w:rsidRPr="00687B52">
              <w:rPr>
                <w:rFonts w:hint="eastAsia"/>
                <w:color w:val="000000" w:themeColor="text1"/>
                <w:szCs w:val="24"/>
              </w:rPr>
              <w:t>《锅炉房设计规范》</w:t>
            </w:r>
          </w:p>
          <w:p w:rsidR="00F34E9F" w:rsidRPr="00687B52" w:rsidRDefault="00F34E9F" w:rsidP="003E1D2A">
            <w:pPr>
              <w:pStyle w:val="a7"/>
              <w:rPr>
                <w:color w:val="000000" w:themeColor="text1"/>
                <w:szCs w:val="24"/>
              </w:rPr>
            </w:pPr>
            <w:r w:rsidRPr="00687B52">
              <w:rPr>
                <w:rFonts w:hint="eastAsia"/>
                <w:color w:val="000000" w:themeColor="text1"/>
                <w:szCs w:val="24"/>
              </w:rPr>
              <w:t>GB50041-2008</w:t>
            </w:r>
            <w:r w:rsidRPr="00687B52">
              <w:rPr>
                <w:rFonts w:hint="eastAsia"/>
                <w:color w:val="000000" w:themeColor="text1"/>
                <w:szCs w:val="24"/>
              </w:rPr>
              <w:t>第</w:t>
            </w:r>
            <w:r w:rsidRPr="00687B52">
              <w:rPr>
                <w:rFonts w:hint="eastAsia"/>
                <w:color w:val="000000" w:themeColor="text1"/>
                <w:szCs w:val="24"/>
              </w:rPr>
              <w:t>11.1.1</w:t>
            </w:r>
            <w:r w:rsidRPr="00687B52">
              <w:rPr>
                <w:rFonts w:hint="eastAsia"/>
                <w:color w:val="000000" w:themeColor="text1"/>
                <w:szCs w:val="24"/>
              </w:rPr>
              <w:t>、</w:t>
            </w:r>
            <w:smartTag w:uri="urn:schemas-microsoft-com:office:smarttags" w:element="chsdate">
              <w:smartTagPr>
                <w:attr w:name="Year" w:val="1899"/>
                <w:attr w:name="Month" w:val="12"/>
                <w:attr w:name="Day" w:val="30"/>
                <w:attr w:name="IsLunarDate" w:val="False"/>
                <w:attr w:name="IsROCDate" w:val="False"/>
              </w:smartTagPr>
              <w:r w:rsidRPr="00687B52">
                <w:rPr>
                  <w:rFonts w:hint="eastAsia"/>
                  <w:color w:val="000000" w:themeColor="text1"/>
                  <w:szCs w:val="24"/>
                </w:rPr>
                <w:t>11.2.4</w:t>
              </w:r>
            </w:smartTag>
            <w:r w:rsidRPr="00687B52">
              <w:rPr>
                <w:rFonts w:hint="eastAsia"/>
                <w:color w:val="000000" w:themeColor="text1"/>
                <w:szCs w:val="24"/>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b/>
                <w:color w:val="000000" w:themeColor="text1"/>
              </w:rPr>
            </w:pPr>
            <w:r w:rsidRPr="00687B52">
              <w:rPr>
                <w:rFonts w:hint="eastAsia"/>
                <w:b/>
                <w:color w:val="000000" w:themeColor="text1"/>
              </w:rPr>
              <w:t>4.5</w:t>
            </w:r>
          </w:p>
        </w:tc>
        <w:tc>
          <w:tcPr>
            <w:tcW w:w="2287" w:type="pct"/>
            <w:vAlign w:val="center"/>
          </w:tcPr>
          <w:p w:rsidR="00F34E9F" w:rsidRPr="00687B52" w:rsidRDefault="00F34E9F" w:rsidP="003E1D2A">
            <w:pPr>
              <w:pStyle w:val="a7"/>
              <w:jc w:val="left"/>
              <w:rPr>
                <w:b/>
                <w:color w:val="000000" w:themeColor="text1"/>
              </w:rPr>
            </w:pPr>
            <w:r w:rsidRPr="00687B52">
              <w:rPr>
                <w:rFonts w:hint="eastAsia"/>
                <w:b/>
                <w:color w:val="000000" w:themeColor="text1"/>
              </w:rPr>
              <w:t>供热——有机热载体炉</w:t>
            </w:r>
          </w:p>
        </w:tc>
        <w:tc>
          <w:tcPr>
            <w:tcW w:w="1446" w:type="pct"/>
            <w:vAlign w:val="center"/>
          </w:tcPr>
          <w:p w:rsidR="00F34E9F" w:rsidRPr="00687B52" w:rsidRDefault="00F34E9F" w:rsidP="003E1D2A">
            <w:pPr>
              <w:pStyle w:val="a7"/>
              <w:rPr>
                <w:color w:val="000000" w:themeColor="text1"/>
                <w:szCs w:val="24"/>
              </w:rPr>
            </w:pP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4.5.1</w:t>
            </w:r>
          </w:p>
        </w:tc>
        <w:tc>
          <w:tcPr>
            <w:tcW w:w="2287" w:type="pct"/>
            <w:vAlign w:val="center"/>
          </w:tcPr>
          <w:p w:rsidR="00F34E9F" w:rsidRPr="00687B52" w:rsidRDefault="00F34E9F" w:rsidP="003E1D2A">
            <w:pPr>
              <w:pStyle w:val="a7"/>
              <w:jc w:val="left"/>
              <w:rPr>
                <w:color w:val="000000" w:themeColor="text1"/>
              </w:rPr>
            </w:pPr>
            <w:r w:rsidRPr="00687B52">
              <w:rPr>
                <w:rFonts w:hint="eastAsia"/>
                <w:color w:val="000000" w:themeColor="text1"/>
              </w:rPr>
              <w:t>有机热载体炉设计和运行时，有机热载体炉出口处有机热载体的温度不得超过有机热载体最高使用温度。</w:t>
            </w:r>
            <w:r w:rsidRPr="00687B52">
              <w:rPr>
                <w:rFonts w:hint="eastAsia"/>
                <w:color w:val="000000" w:themeColor="text1"/>
              </w:rPr>
              <w:tab/>
            </w:r>
          </w:p>
        </w:tc>
        <w:tc>
          <w:tcPr>
            <w:tcW w:w="1446" w:type="pct"/>
            <w:vAlign w:val="center"/>
          </w:tcPr>
          <w:p w:rsidR="00F34E9F" w:rsidRPr="00687B52" w:rsidRDefault="00F34E9F" w:rsidP="003E1D2A">
            <w:pPr>
              <w:pStyle w:val="a7"/>
              <w:rPr>
                <w:color w:val="000000" w:themeColor="text1"/>
              </w:rPr>
            </w:pPr>
            <w:r w:rsidRPr="00687B52">
              <w:rPr>
                <w:rFonts w:hint="eastAsia"/>
                <w:color w:val="000000" w:themeColor="text1"/>
              </w:rPr>
              <w:t>《有机热载体炉安全技术监察规程》第</w:t>
            </w:r>
            <w:r w:rsidRPr="00687B52">
              <w:rPr>
                <w:rFonts w:hint="eastAsia"/>
                <w:color w:val="000000" w:themeColor="text1"/>
              </w:rPr>
              <w:t>12</w:t>
            </w:r>
            <w:r w:rsidRPr="00687B52">
              <w:rPr>
                <w:rFonts w:hint="eastAsia"/>
                <w:color w:val="000000" w:themeColor="text1"/>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4.5.2</w:t>
            </w:r>
          </w:p>
        </w:tc>
        <w:tc>
          <w:tcPr>
            <w:tcW w:w="2287" w:type="pct"/>
            <w:vAlign w:val="center"/>
          </w:tcPr>
          <w:p w:rsidR="00F34E9F" w:rsidRPr="00687B52" w:rsidRDefault="00F34E9F" w:rsidP="003E1D2A">
            <w:pPr>
              <w:pStyle w:val="a7"/>
              <w:jc w:val="left"/>
              <w:rPr>
                <w:color w:val="000000" w:themeColor="text1"/>
              </w:rPr>
            </w:pPr>
            <w:r w:rsidRPr="00687B52">
              <w:rPr>
                <w:rFonts w:hint="eastAsia"/>
                <w:color w:val="000000" w:themeColor="text1"/>
              </w:rPr>
              <w:t>在锅筒和管网最低处应装设排污装置，排污管应接到安全地点。</w:t>
            </w:r>
            <w:r w:rsidRPr="00687B52">
              <w:rPr>
                <w:rFonts w:hint="eastAsia"/>
                <w:color w:val="000000" w:themeColor="text1"/>
              </w:rPr>
              <w:tab/>
            </w:r>
          </w:p>
        </w:tc>
        <w:tc>
          <w:tcPr>
            <w:tcW w:w="1446" w:type="pct"/>
            <w:vAlign w:val="center"/>
          </w:tcPr>
          <w:p w:rsidR="00F34E9F" w:rsidRPr="00687B52" w:rsidRDefault="00F34E9F" w:rsidP="003E1D2A">
            <w:pPr>
              <w:pStyle w:val="a7"/>
              <w:rPr>
                <w:color w:val="000000" w:themeColor="text1"/>
              </w:rPr>
            </w:pPr>
            <w:r w:rsidRPr="00687B52">
              <w:rPr>
                <w:rFonts w:hint="eastAsia"/>
                <w:color w:val="000000" w:themeColor="text1"/>
              </w:rPr>
              <w:t>《有机热载体炉安全技术监察规程》第</w:t>
            </w:r>
            <w:r w:rsidRPr="00687B52">
              <w:rPr>
                <w:rFonts w:hint="eastAsia"/>
                <w:color w:val="000000" w:themeColor="text1"/>
              </w:rPr>
              <w:t>14</w:t>
            </w:r>
            <w:r w:rsidRPr="00687B52">
              <w:rPr>
                <w:rFonts w:hint="eastAsia"/>
                <w:color w:val="000000" w:themeColor="text1"/>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4.5.3</w:t>
            </w:r>
          </w:p>
        </w:tc>
        <w:tc>
          <w:tcPr>
            <w:tcW w:w="2287" w:type="pct"/>
            <w:vAlign w:val="center"/>
          </w:tcPr>
          <w:p w:rsidR="00F34E9F" w:rsidRPr="00687B52" w:rsidRDefault="00F34E9F" w:rsidP="003E1D2A">
            <w:pPr>
              <w:pStyle w:val="a7"/>
              <w:jc w:val="left"/>
              <w:rPr>
                <w:color w:val="000000" w:themeColor="text1"/>
              </w:rPr>
            </w:pPr>
            <w:r w:rsidRPr="00687B52">
              <w:rPr>
                <w:rFonts w:hint="eastAsia"/>
                <w:color w:val="000000" w:themeColor="text1"/>
              </w:rPr>
              <w:t>液相炉的膨胀器应安装液位计。</w:t>
            </w:r>
          </w:p>
        </w:tc>
        <w:tc>
          <w:tcPr>
            <w:tcW w:w="1446" w:type="pct"/>
            <w:vAlign w:val="center"/>
          </w:tcPr>
          <w:p w:rsidR="00F34E9F" w:rsidRPr="00687B52" w:rsidRDefault="00F34E9F" w:rsidP="003E1D2A">
            <w:pPr>
              <w:pStyle w:val="a7"/>
              <w:rPr>
                <w:color w:val="000000" w:themeColor="text1"/>
              </w:rPr>
            </w:pPr>
            <w:r w:rsidRPr="00687B52">
              <w:rPr>
                <w:rFonts w:hint="eastAsia"/>
                <w:color w:val="000000" w:themeColor="text1"/>
              </w:rPr>
              <w:t>《有机热载体炉安全技术监察规程》第</w:t>
            </w:r>
            <w:r w:rsidRPr="00687B52">
              <w:rPr>
                <w:rFonts w:hint="eastAsia"/>
                <w:color w:val="000000" w:themeColor="text1"/>
              </w:rPr>
              <w:t>18</w:t>
            </w:r>
            <w:r w:rsidRPr="00687B52">
              <w:rPr>
                <w:rFonts w:hint="eastAsia"/>
                <w:color w:val="000000" w:themeColor="text1"/>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4.5.4</w:t>
            </w:r>
          </w:p>
        </w:tc>
        <w:tc>
          <w:tcPr>
            <w:tcW w:w="2287" w:type="pct"/>
            <w:vAlign w:val="center"/>
          </w:tcPr>
          <w:p w:rsidR="00F34E9F" w:rsidRPr="00687B52" w:rsidRDefault="00F34E9F" w:rsidP="003E1D2A">
            <w:pPr>
              <w:pStyle w:val="a7"/>
              <w:jc w:val="left"/>
              <w:rPr>
                <w:color w:val="000000" w:themeColor="text1"/>
              </w:rPr>
            </w:pPr>
            <w:r w:rsidRPr="00687B52">
              <w:rPr>
                <w:rFonts w:hint="eastAsia"/>
                <w:color w:val="000000" w:themeColor="text1"/>
              </w:rPr>
              <w:t>有机热载体炉出口的气相或液相有机热载体输送管道上，在截止阀前靠近有机热载体炉的地方应安装温度显示和记录仪表；有机热载体炉热功率不超过</w:t>
            </w:r>
            <w:r w:rsidRPr="00687B52">
              <w:rPr>
                <w:rFonts w:hint="eastAsia"/>
                <w:color w:val="000000" w:themeColor="text1"/>
              </w:rPr>
              <w:t>2.8</w:t>
            </w:r>
            <w:r w:rsidRPr="00687B52">
              <w:rPr>
                <w:rFonts w:hint="eastAsia"/>
                <w:color w:val="000000" w:themeColor="text1"/>
              </w:rPr>
              <w:t>ＭＷ时，可只装温度显示仪表。在液相炉回路的入口处应装温度显示仪表。</w:t>
            </w:r>
            <w:r w:rsidRPr="00687B52">
              <w:rPr>
                <w:rFonts w:hint="eastAsia"/>
                <w:color w:val="000000" w:themeColor="text1"/>
              </w:rPr>
              <w:tab/>
            </w:r>
          </w:p>
        </w:tc>
        <w:tc>
          <w:tcPr>
            <w:tcW w:w="1446" w:type="pct"/>
            <w:vAlign w:val="center"/>
          </w:tcPr>
          <w:p w:rsidR="00F34E9F" w:rsidRPr="00687B52" w:rsidRDefault="00F34E9F" w:rsidP="003E1D2A">
            <w:pPr>
              <w:pStyle w:val="a7"/>
              <w:rPr>
                <w:color w:val="000000" w:themeColor="text1"/>
              </w:rPr>
            </w:pPr>
            <w:r w:rsidRPr="00687B52">
              <w:rPr>
                <w:rFonts w:hint="eastAsia"/>
                <w:color w:val="000000" w:themeColor="text1"/>
              </w:rPr>
              <w:t>《有机热载体炉安全技术监察规程》第</w:t>
            </w:r>
            <w:r w:rsidRPr="00687B52">
              <w:rPr>
                <w:rFonts w:hint="eastAsia"/>
                <w:color w:val="000000" w:themeColor="text1"/>
              </w:rPr>
              <w:t>19</w:t>
            </w:r>
            <w:r w:rsidRPr="00687B52">
              <w:rPr>
                <w:rFonts w:hint="eastAsia"/>
                <w:color w:val="000000" w:themeColor="text1"/>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4.5.5</w:t>
            </w:r>
          </w:p>
        </w:tc>
        <w:tc>
          <w:tcPr>
            <w:tcW w:w="2287" w:type="pct"/>
            <w:vAlign w:val="center"/>
          </w:tcPr>
          <w:p w:rsidR="00F34E9F" w:rsidRPr="00687B52" w:rsidRDefault="00F34E9F" w:rsidP="003E1D2A">
            <w:pPr>
              <w:pStyle w:val="a7"/>
              <w:jc w:val="left"/>
              <w:rPr>
                <w:color w:val="000000" w:themeColor="text1"/>
              </w:rPr>
            </w:pPr>
            <w:r w:rsidRPr="00687B52">
              <w:rPr>
                <w:rFonts w:hint="eastAsia"/>
                <w:color w:val="000000" w:themeColor="text1"/>
              </w:rPr>
              <w:t>液相炉有机热载体的出口处，应装有超温报警和差压报警装置。</w:t>
            </w:r>
          </w:p>
        </w:tc>
        <w:tc>
          <w:tcPr>
            <w:tcW w:w="1446" w:type="pct"/>
            <w:vAlign w:val="center"/>
          </w:tcPr>
          <w:p w:rsidR="00F34E9F" w:rsidRPr="00687B52" w:rsidRDefault="00F34E9F" w:rsidP="003E1D2A">
            <w:pPr>
              <w:pStyle w:val="a7"/>
              <w:rPr>
                <w:color w:val="000000" w:themeColor="text1"/>
              </w:rPr>
            </w:pPr>
            <w:r w:rsidRPr="00687B52">
              <w:rPr>
                <w:rFonts w:hint="eastAsia"/>
                <w:color w:val="000000" w:themeColor="text1"/>
              </w:rPr>
              <w:t>《有机热载体炉安全技术监察规程》第</w:t>
            </w:r>
            <w:r w:rsidRPr="00687B52">
              <w:rPr>
                <w:rFonts w:hint="eastAsia"/>
                <w:color w:val="000000" w:themeColor="text1"/>
              </w:rPr>
              <w:t>20</w:t>
            </w:r>
            <w:r w:rsidRPr="00687B52">
              <w:rPr>
                <w:rFonts w:hint="eastAsia"/>
                <w:color w:val="000000" w:themeColor="text1"/>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4.5.6</w:t>
            </w:r>
          </w:p>
        </w:tc>
        <w:tc>
          <w:tcPr>
            <w:tcW w:w="2287" w:type="pct"/>
            <w:vAlign w:val="center"/>
          </w:tcPr>
          <w:p w:rsidR="00F34E9F" w:rsidRPr="00687B52" w:rsidRDefault="00F34E9F" w:rsidP="003E1D2A">
            <w:pPr>
              <w:pStyle w:val="a7"/>
              <w:jc w:val="left"/>
              <w:rPr>
                <w:color w:val="000000" w:themeColor="text1"/>
              </w:rPr>
            </w:pPr>
            <w:r w:rsidRPr="00687B52">
              <w:rPr>
                <w:rFonts w:hint="eastAsia"/>
                <w:color w:val="000000" w:themeColor="text1"/>
              </w:rPr>
              <w:t>有机热载体炉应装有自动调节保护装置，并在下列情况时应能自动停炉：液位下降到低于极限位置时；有机热载体</w:t>
            </w:r>
            <w:r w:rsidRPr="00687B52">
              <w:rPr>
                <w:rFonts w:hint="eastAsia"/>
                <w:color w:val="000000" w:themeColor="text1"/>
              </w:rPr>
              <w:lastRenderedPageBreak/>
              <w:t>炉出口热载体温度超过允许值时；有机热载体炉出口热载体压力超过允许值时；循环泵停止运转时。</w:t>
            </w:r>
            <w:r w:rsidRPr="00687B52">
              <w:rPr>
                <w:rFonts w:hint="eastAsia"/>
                <w:color w:val="000000" w:themeColor="text1"/>
              </w:rPr>
              <w:tab/>
            </w:r>
          </w:p>
        </w:tc>
        <w:tc>
          <w:tcPr>
            <w:tcW w:w="1446" w:type="pct"/>
            <w:vAlign w:val="center"/>
          </w:tcPr>
          <w:p w:rsidR="00F34E9F" w:rsidRPr="00687B52" w:rsidRDefault="00F34E9F" w:rsidP="003E1D2A">
            <w:pPr>
              <w:pStyle w:val="a7"/>
              <w:rPr>
                <w:color w:val="000000" w:themeColor="text1"/>
              </w:rPr>
            </w:pPr>
            <w:r w:rsidRPr="00687B52">
              <w:rPr>
                <w:rFonts w:hint="eastAsia"/>
                <w:color w:val="000000" w:themeColor="text1"/>
              </w:rPr>
              <w:lastRenderedPageBreak/>
              <w:t>《有机热载体炉安全技术监察规程》第</w:t>
            </w:r>
            <w:r w:rsidRPr="00687B52">
              <w:rPr>
                <w:rFonts w:hint="eastAsia"/>
                <w:color w:val="000000" w:themeColor="text1"/>
              </w:rPr>
              <w:t>20</w:t>
            </w:r>
            <w:r w:rsidRPr="00687B52">
              <w:rPr>
                <w:rFonts w:hint="eastAsia"/>
                <w:color w:val="000000" w:themeColor="text1"/>
              </w:rPr>
              <w:t>条第</w:t>
            </w:r>
            <w:r w:rsidRPr="00687B52">
              <w:rPr>
                <w:rFonts w:hint="eastAsia"/>
                <w:color w:val="000000" w:themeColor="text1"/>
              </w:rPr>
              <w:t>3</w:t>
            </w:r>
            <w:r w:rsidRPr="00687B52">
              <w:rPr>
                <w:rFonts w:hint="eastAsia"/>
                <w:color w:val="000000" w:themeColor="text1"/>
              </w:rPr>
              <w:t>项</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lastRenderedPageBreak/>
              <w:t>4.5.7</w:t>
            </w:r>
          </w:p>
        </w:tc>
        <w:tc>
          <w:tcPr>
            <w:tcW w:w="2287" w:type="pct"/>
            <w:vAlign w:val="center"/>
          </w:tcPr>
          <w:p w:rsidR="00F34E9F" w:rsidRPr="00687B52" w:rsidRDefault="00F34E9F" w:rsidP="003E1D2A">
            <w:pPr>
              <w:pStyle w:val="a7"/>
              <w:jc w:val="left"/>
              <w:rPr>
                <w:color w:val="000000" w:themeColor="text1"/>
              </w:rPr>
            </w:pPr>
            <w:r w:rsidRPr="00687B52">
              <w:rPr>
                <w:rFonts w:hint="eastAsia"/>
                <w:color w:val="000000" w:themeColor="text1"/>
              </w:rPr>
              <w:t>液相炉和管网系统应装有接收受热膨胀有机热载体的膨胀器。膨胀器可以是封闭式的或是敞口式的。</w:t>
            </w:r>
          </w:p>
        </w:tc>
        <w:tc>
          <w:tcPr>
            <w:tcW w:w="1446" w:type="pct"/>
            <w:vAlign w:val="center"/>
          </w:tcPr>
          <w:p w:rsidR="00F34E9F" w:rsidRPr="00687B52" w:rsidRDefault="00F34E9F" w:rsidP="003E1D2A">
            <w:pPr>
              <w:pStyle w:val="a7"/>
              <w:rPr>
                <w:color w:val="000000" w:themeColor="text1"/>
              </w:rPr>
            </w:pPr>
            <w:r w:rsidRPr="00687B52">
              <w:rPr>
                <w:rFonts w:hint="eastAsia"/>
                <w:color w:val="000000" w:themeColor="text1"/>
              </w:rPr>
              <w:t>《有机热载体炉安全技术监察规程》第</w:t>
            </w:r>
            <w:r w:rsidRPr="00687B52">
              <w:rPr>
                <w:rFonts w:hint="eastAsia"/>
                <w:color w:val="000000" w:themeColor="text1"/>
              </w:rPr>
              <w:t>21</w:t>
            </w:r>
            <w:r w:rsidRPr="00687B52">
              <w:rPr>
                <w:rFonts w:hint="eastAsia"/>
                <w:color w:val="000000" w:themeColor="text1"/>
              </w:rPr>
              <w:t>条第</w:t>
            </w:r>
            <w:r w:rsidRPr="00687B52">
              <w:rPr>
                <w:rFonts w:hint="eastAsia"/>
                <w:color w:val="000000" w:themeColor="text1"/>
              </w:rPr>
              <w:t>1</w:t>
            </w:r>
            <w:r w:rsidRPr="00687B52">
              <w:rPr>
                <w:rFonts w:hint="eastAsia"/>
                <w:color w:val="000000" w:themeColor="text1"/>
              </w:rPr>
              <w:t>项</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4.5.8</w:t>
            </w:r>
          </w:p>
        </w:tc>
        <w:tc>
          <w:tcPr>
            <w:tcW w:w="2287" w:type="pct"/>
            <w:vAlign w:val="center"/>
          </w:tcPr>
          <w:p w:rsidR="00F34E9F" w:rsidRPr="00687B52" w:rsidRDefault="00F34E9F" w:rsidP="003E1D2A">
            <w:pPr>
              <w:pStyle w:val="a7"/>
              <w:jc w:val="both"/>
              <w:rPr>
                <w:color w:val="000000" w:themeColor="text1"/>
              </w:rPr>
            </w:pPr>
            <w:r w:rsidRPr="00687B52">
              <w:rPr>
                <w:rFonts w:hint="eastAsia"/>
                <w:color w:val="000000" w:themeColor="text1"/>
              </w:rPr>
              <w:t>膨胀器一般不得安装在有机热载体炉的正上方，以防因膨胀而喷出的有机热载体引起火灾。膨胀器的底部与有机热载体炉顶部的垂直距离应不小于</w:t>
            </w:r>
            <w:r w:rsidRPr="00687B52">
              <w:rPr>
                <w:rFonts w:hint="eastAsia"/>
                <w:color w:val="000000" w:themeColor="text1"/>
              </w:rPr>
              <w:t>1.5m</w:t>
            </w:r>
            <w:r w:rsidRPr="00687B52">
              <w:rPr>
                <w:rFonts w:hint="eastAsia"/>
                <w:color w:val="000000" w:themeColor="text1"/>
              </w:rPr>
              <w:t>。</w:t>
            </w:r>
            <w:r w:rsidRPr="00687B52">
              <w:rPr>
                <w:rFonts w:hint="eastAsia"/>
                <w:color w:val="000000" w:themeColor="text1"/>
              </w:rPr>
              <w:tab/>
            </w:r>
          </w:p>
        </w:tc>
        <w:tc>
          <w:tcPr>
            <w:tcW w:w="1446" w:type="pct"/>
            <w:vAlign w:val="center"/>
          </w:tcPr>
          <w:p w:rsidR="00F34E9F" w:rsidRPr="00687B52" w:rsidRDefault="00F34E9F" w:rsidP="003E1D2A">
            <w:pPr>
              <w:pStyle w:val="a7"/>
              <w:rPr>
                <w:color w:val="000000" w:themeColor="text1"/>
                <w:szCs w:val="24"/>
              </w:rPr>
            </w:pPr>
            <w:r w:rsidRPr="00687B52">
              <w:rPr>
                <w:rFonts w:hint="eastAsia"/>
                <w:color w:val="000000" w:themeColor="text1"/>
              </w:rPr>
              <w:t>《有机热载体炉安全技术监察规程》第</w:t>
            </w:r>
            <w:r w:rsidRPr="00687B52">
              <w:rPr>
                <w:rFonts w:hint="eastAsia"/>
                <w:color w:val="000000" w:themeColor="text1"/>
              </w:rPr>
              <w:t>21</w:t>
            </w:r>
            <w:r w:rsidRPr="00687B52">
              <w:rPr>
                <w:rFonts w:hint="eastAsia"/>
                <w:color w:val="000000" w:themeColor="text1"/>
              </w:rPr>
              <w:t>条第</w:t>
            </w:r>
            <w:r w:rsidRPr="00687B52">
              <w:rPr>
                <w:rFonts w:hint="eastAsia"/>
                <w:color w:val="000000" w:themeColor="text1"/>
              </w:rPr>
              <w:t>4</w:t>
            </w:r>
            <w:r w:rsidRPr="00687B52">
              <w:rPr>
                <w:rFonts w:hint="eastAsia"/>
                <w:color w:val="000000" w:themeColor="text1"/>
              </w:rPr>
              <w:t>项</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4.5.9</w:t>
            </w:r>
          </w:p>
        </w:tc>
        <w:tc>
          <w:tcPr>
            <w:tcW w:w="2287" w:type="pct"/>
            <w:vAlign w:val="center"/>
          </w:tcPr>
          <w:p w:rsidR="00F34E9F" w:rsidRPr="00687B52" w:rsidRDefault="00F34E9F" w:rsidP="003E1D2A">
            <w:pPr>
              <w:pStyle w:val="a7"/>
              <w:jc w:val="both"/>
              <w:rPr>
                <w:color w:val="000000" w:themeColor="text1"/>
              </w:rPr>
            </w:pPr>
            <w:r w:rsidRPr="00687B52">
              <w:rPr>
                <w:rFonts w:hint="eastAsia"/>
                <w:color w:val="000000" w:themeColor="text1"/>
              </w:rPr>
              <w:t>膨胀器和膨胀管不得采取保温措施。</w:t>
            </w:r>
          </w:p>
        </w:tc>
        <w:tc>
          <w:tcPr>
            <w:tcW w:w="1446" w:type="pct"/>
            <w:vAlign w:val="center"/>
          </w:tcPr>
          <w:p w:rsidR="00F34E9F" w:rsidRPr="00687B52" w:rsidRDefault="00F34E9F" w:rsidP="003E1D2A">
            <w:pPr>
              <w:pStyle w:val="a7"/>
              <w:rPr>
                <w:color w:val="000000" w:themeColor="text1"/>
                <w:szCs w:val="24"/>
              </w:rPr>
            </w:pPr>
            <w:r w:rsidRPr="00687B52">
              <w:rPr>
                <w:rFonts w:hint="eastAsia"/>
                <w:color w:val="000000" w:themeColor="text1"/>
              </w:rPr>
              <w:t>《有机热载体炉安全技术监察规程》第</w:t>
            </w:r>
            <w:r w:rsidRPr="00687B52">
              <w:rPr>
                <w:rFonts w:hint="eastAsia"/>
                <w:color w:val="000000" w:themeColor="text1"/>
              </w:rPr>
              <w:t>21</w:t>
            </w:r>
            <w:r w:rsidRPr="00687B52">
              <w:rPr>
                <w:rFonts w:hint="eastAsia"/>
                <w:color w:val="000000" w:themeColor="text1"/>
              </w:rPr>
              <w:t>条第</w:t>
            </w:r>
            <w:r w:rsidRPr="00687B52">
              <w:rPr>
                <w:rFonts w:hint="eastAsia"/>
                <w:color w:val="000000" w:themeColor="text1"/>
              </w:rPr>
              <w:t>6</w:t>
            </w:r>
            <w:r w:rsidRPr="00687B52">
              <w:rPr>
                <w:rFonts w:hint="eastAsia"/>
                <w:color w:val="000000" w:themeColor="text1"/>
              </w:rPr>
              <w:t>项</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b/>
                <w:color w:val="000000" w:themeColor="text1"/>
              </w:rPr>
            </w:pPr>
            <w:r w:rsidRPr="00687B52">
              <w:rPr>
                <w:rFonts w:hint="eastAsia"/>
                <w:b/>
                <w:color w:val="000000" w:themeColor="text1"/>
              </w:rPr>
              <w:t>4.6</w:t>
            </w:r>
          </w:p>
        </w:tc>
        <w:tc>
          <w:tcPr>
            <w:tcW w:w="2287" w:type="pct"/>
            <w:vAlign w:val="center"/>
          </w:tcPr>
          <w:p w:rsidR="00F34E9F" w:rsidRPr="00687B52" w:rsidRDefault="00F34E9F" w:rsidP="003E1D2A">
            <w:pPr>
              <w:pStyle w:val="a7"/>
              <w:jc w:val="left"/>
              <w:rPr>
                <w:b/>
                <w:color w:val="000000" w:themeColor="text1"/>
                <w:szCs w:val="24"/>
              </w:rPr>
            </w:pPr>
            <w:r w:rsidRPr="00687B52">
              <w:rPr>
                <w:rFonts w:hint="eastAsia"/>
                <w:b/>
                <w:color w:val="000000" w:themeColor="text1"/>
                <w:szCs w:val="24"/>
              </w:rPr>
              <w:t>氨制冷</w:t>
            </w:r>
          </w:p>
        </w:tc>
        <w:tc>
          <w:tcPr>
            <w:tcW w:w="1446" w:type="pct"/>
            <w:vAlign w:val="center"/>
          </w:tcPr>
          <w:p w:rsidR="00F34E9F" w:rsidRPr="00687B52" w:rsidRDefault="00F34E9F" w:rsidP="003E1D2A">
            <w:pPr>
              <w:pStyle w:val="a7"/>
              <w:rPr>
                <w:color w:val="000000" w:themeColor="text1"/>
                <w:szCs w:val="24"/>
              </w:rPr>
            </w:pP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4.6.1</w:t>
            </w:r>
          </w:p>
        </w:tc>
        <w:tc>
          <w:tcPr>
            <w:tcW w:w="2287" w:type="pct"/>
            <w:vAlign w:val="center"/>
          </w:tcPr>
          <w:p w:rsidR="00F34E9F" w:rsidRPr="00687B52" w:rsidRDefault="00F34E9F" w:rsidP="003E1D2A">
            <w:pPr>
              <w:pStyle w:val="a7"/>
              <w:jc w:val="left"/>
              <w:rPr>
                <w:color w:val="000000" w:themeColor="text1"/>
                <w:szCs w:val="24"/>
              </w:rPr>
            </w:pPr>
            <w:r w:rsidRPr="00687B52">
              <w:rPr>
                <w:color w:val="000000" w:themeColor="text1"/>
                <w:szCs w:val="24"/>
              </w:rPr>
              <w:t>凡达不到以下要求的涉氨制冷企业，立即责令停产停业整改，并经政府有关部门验收合格后方可生产经营：</w:t>
            </w:r>
          </w:p>
          <w:p w:rsidR="00F34E9F" w:rsidRPr="00687B52" w:rsidRDefault="00F34E9F" w:rsidP="003E1D2A">
            <w:pPr>
              <w:pStyle w:val="a7"/>
              <w:jc w:val="left"/>
              <w:rPr>
                <w:color w:val="000000" w:themeColor="text1"/>
                <w:szCs w:val="24"/>
              </w:rPr>
            </w:pPr>
            <w:r w:rsidRPr="00687B52">
              <w:rPr>
                <w:rFonts w:hint="eastAsia"/>
                <w:color w:val="000000" w:themeColor="text1"/>
              </w:rPr>
              <w:t>①</w:t>
            </w:r>
            <w:r w:rsidRPr="00687B52">
              <w:rPr>
                <w:color w:val="000000" w:themeColor="text1"/>
                <w:szCs w:val="24"/>
              </w:rPr>
              <w:t>液氨管线严禁通过有人员办公、休息和居住的建筑物。</w:t>
            </w:r>
          </w:p>
          <w:p w:rsidR="00F34E9F" w:rsidRPr="00687B52" w:rsidRDefault="00F34E9F" w:rsidP="003E1D2A">
            <w:pPr>
              <w:pStyle w:val="a7"/>
              <w:jc w:val="left"/>
              <w:rPr>
                <w:color w:val="000000" w:themeColor="text1"/>
                <w:szCs w:val="24"/>
              </w:rPr>
            </w:pPr>
            <w:r w:rsidRPr="00687B52">
              <w:rPr>
                <w:rFonts w:hint="eastAsia"/>
                <w:color w:val="000000" w:themeColor="text1"/>
              </w:rPr>
              <w:t>②</w:t>
            </w:r>
            <w:r w:rsidRPr="00687B52">
              <w:rPr>
                <w:color w:val="000000" w:themeColor="text1"/>
                <w:szCs w:val="24"/>
              </w:rPr>
              <w:t>氨制冷机房贮氨器等重要部位应安装氨气浓度检测报警仪器，并与事故排风机自动开启联动。</w:t>
            </w:r>
          </w:p>
          <w:p w:rsidR="00F34E9F" w:rsidRPr="00687B52" w:rsidRDefault="00F34E9F" w:rsidP="003E1D2A">
            <w:pPr>
              <w:pStyle w:val="a7"/>
              <w:jc w:val="left"/>
              <w:rPr>
                <w:color w:val="000000" w:themeColor="text1"/>
                <w:szCs w:val="24"/>
              </w:rPr>
            </w:pPr>
            <w:r w:rsidRPr="00687B52">
              <w:rPr>
                <w:rFonts w:hint="eastAsia"/>
                <w:color w:val="000000" w:themeColor="text1"/>
              </w:rPr>
              <w:t>③</w:t>
            </w:r>
            <w:r w:rsidRPr="00687B52">
              <w:rPr>
                <w:color w:val="000000" w:themeColor="text1"/>
                <w:szCs w:val="24"/>
              </w:rPr>
              <w:t>压力容器、压力管道及其安全附件应定期检验。</w:t>
            </w:r>
          </w:p>
          <w:p w:rsidR="00F34E9F" w:rsidRPr="00687B52" w:rsidRDefault="00F34E9F" w:rsidP="003E1D2A">
            <w:pPr>
              <w:pStyle w:val="a7"/>
              <w:jc w:val="left"/>
              <w:rPr>
                <w:color w:val="000000" w:themeColor="text1"/>
                <w:szCs w:val="24"/>
              </w:rPr>
            </w:pPr>
            <w:r w:rsidRPr="00687B52">
              <w:rPr>
                <w:rFonts w:hint="eastAsia"/>
                <w:color w:val="000000" w:themeColor="text1"/>
              </w:rPr>
              <w:t>④</w:t>
            </w:r>
            <w:r w:rsidRPr="00687B52">
              <w:rPr>
                <w:color w:val="000000" w:themeColor="text1"/>
                <w:szCs w:val="24"/>
              </w:rPr>
              <w:t>库区及氨制冷机房和设备间（靠近贮氨器处）门外应按有关规定设置消火栓，应急通道保持畅通。</w:t>
            </w:r>
          </w:p>
        </w:tc>
        <w:tc>
          <w:tcPr>
            <w:tcW w:w="1446" w:type="pct"/>
            <w:vAlign w:val="center"/>
          </w:tcPr>
          <w:p w:rsidR="00F34E9F" w:rsidRPr="00687B52" w:rsidRDefault="00F34E9F" w:rsidP="003E1D2A">
            <w:pPr>
              <w:pStyle w:val="a7"/>
              <w:rPr>
                <w:color w:val="000000" w:themeColor="text1"/>
                <w:szCs w:val="24"/>
              </w:rPr>
            </w:pPr>
            <w:r w:rsidRPr="00687B52">
              <w:rPr>
                <w:rFonts w:hint="eastAsia"/>
                <w:color w:val="000000" w:themeColor="text1"/>
                <w:szCs w:val="24"/>
              </w:rPr>
              <w:t>《</w:t>
            </w:r>
            <w:r w:rsidRPr="00687B52">
              <w:rPr>
                <w:color w:val="000000" w:themeColor="text1"/>
                <w:szCs w:val="24"/>
              </w:rPr>
              <w:t>国务院安委会关于深入开展涉氨制冷企业液氨使用专项治理的通知</w:t>
            </w:r>
            <w:r w:rsidRPr="00687B52">
              <w:rPr>
                <w:rFonts w:hint="eastAsia"/>
                <w:color w:val="000000" w:themeColor="text1"/>
                <w:szCs w:val="24"/>
              </w:rPr>
              <w:t>》第</w:t>
            </w:r>
            <w:r w:rsidRPr="00687B52">
              <w:rPr>
                <w:rFonts w:hint="eastAsia"/>
                <w:color w:val="000000" w:themeColor="text1"/>
                <w:szCs w:val="24"/>
              </w:rPr>
              <w:t>2</w:t>
            </w:r>
            <w:r w:rsidRPr="00687B52">
              <w:rPr>
                <w:rFonts w:hint="eastAsia"/>
                <w:color w:val="000000" w:themeColor="text1"/>
                <w:szCs w:val="24"/>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4.6.2</w:t>
            </w:r>
          </w:p>
        </w:tc>
        <w:tc>
          <w:tcPr>
            <w:tcW w:w="2287" w:type="pct"/>
            <w:vAlign w:val="center"/>
          </w:tcPr>
          <w:p w:rsidR="00F34E9F" w:rsidRPr="00687B52" w:rsidRDefault="00F34E9F" w:rsidP="003E1D2A">
            <w:pPr>
              <w:pStyle w:val="a7"/>
              <w:jc w:val="left"/>
              <w:rPr>
                <w:color w:val="000000" w:themeColor="text1"/>
                <w:szCs w:val="24"/>
              </w:rPr>
            </w:pPr>
            <w:r w:rsidRPr="00687B52">
              <w:rPr>
                <w:color w:val="000000" w:themeColor="text1"/>
                <w:szCs w:val="24"/>
              </w:rPr>
              <w:t>凡达不到以下要求的涉氨制冷企业，立即整改，限期完成：</w:t>
            </w:r>
          </w:p>
          <w:p w:rsidR="00F34E9F" w:rsidRPr="00687B52" w:rsidRDefault="00F34E9F" w:rsidP="003E1D2A">
            <w:pPr>
              <w:pStyle w:val="a7"/>
              <w:jc w:val="left"/>
              <w:rPr>
                <w:color w:val="000000" w:themeColor="text1"/>
                <w:szCs w:val="24"/>
              </w:rPr>
            </w:pPr>
            <w:r w:rsidRPr="00687B52">
              <w:rPr>
                <w:rFonts w:hint="eastAsia"/>
                <w:color w:val="000000" w:themeColor="text1"/>
                <w:szCs w:val="24"/>
              </w:rPr>
              <w:t>①</w:t>
            </w:r>
            <w:r w:rsidRPr="00687B52">
              <w:rPr>
                <w:color w:val="000000" w:themeColor="text1"/>
                <w:szCs w:val="24"/>
              </w:rPr>
              <w:t>氨制冷机房贮氨器上方应设置水喷淋系统。</w:t>
            </w:r>
          </w:p>
          <w:p w:rsidR="00F34E9F" w:rsidRPr="00687B52" w:rsidRDefault="00F34E9F" w:rsidP="003E1D2A">
            <w:pPr>
              <w:pStyle w:val="a7"/>
              <w:jc w:val="left"/>
              <w:rPr>
                <w:color w:val="000000" w:themeColor="text1"/>
                <w:szCs w:val="24"/>
              </w:rPr>
            </w:pPr>
            <w:r w:rsidRPr="00687B52">
              <w:rPr>
                <w:rFonts w:hint="eastAsia"/>
                <w:color w:val="000000" w:themeColor="text1"/>
                <w:szCs w:val="24"/>
              </w:rPr>
              <w:t>②</w:t>
            </w:r>
            <w:r w:rsidRPr="00687B52">
              <w:rPr>
                <w:color w:val="000000" w:themeColor="text1"/>
                <w:szCs w:val="24"/>
              </w:rPr>
              <w:t>在厂区内显著位置应设风向标。</w:t>
            </w:r>
          </w:p>
          <w:p w:rsidR="00F34E9F" w:rsidRPr="00687B52" w:rsidRDefault="00F34E9F" w:rsidP="003E1D2A">
            <w:pPr>
              <w:pStyle w:val="a7"/>
              <w:jc w:val="left"/>
              <w:rPr>
                <w:color w:val="000000" w:themeColor="text1"/>
                <w:szCs w:val="24"/>
              </w:rPr>
            </w:pPr>
            <w:r w:rsidRPr="00687B52">
              <w:rPr>
                <w:rFonts w:hint="eastAsia"/>
                <w:color w:val="000000" w:themeColor="text1"/>
                <w:szCs w:val="24"/>
              </w:rPr>
              <w:t>③</w:t>
            </w:r>
            <w:r w:rsidRPr="00687B52">
              <w:rPr>
                <w:color w:val="000000" w:themeColor="text1"/>
                <w:szCs w:val="24"/>
              </w:rPr>
              <w:t>压力容器、非专业操作人员免进区域、关键操作部位等应设置安全标识。</w:t>
            </w:r>
          </w:p>
          <w:p w:rsidR="00F34E9F" w:rsidRPr="00687B52" w:rsidRDefault="00F34E9F" w:rsidP="003E1D2A">
            <w:pPr>
              <w:pStyle w:val="a7"/>
              <w:jc w:val="left"/>
              <w:rPr>
                <w:color w:val="000000" w:themeColor="text1"/>
                <w:szCs w:val="24"/>
              </w:rPr>
            </w:pPr>
            <w:r w:rsidRPr="00687B52">
              <w:rPr>
                <w:rFonts w:hint="eastAsia"/>
                <w:color w:val="000000" w:themeColor="text1"/>
                <w:szCs w:val="24"/>
              </w:rPr>
              <w:t>④</w:t>
            </w:r>
            <w:r w:rsidRPr="00687B52">
              <w:rPr>
                <w:color w:val="000000" w:themeColor="text1"/>
                <w:szCs w:val="24"/>
              </w:rPr>
              <w:t>作业现场应配置空气呼吸器、橡胶手套等防护用具和急救药品。</w:t>
            </w:r>
          </w:p>
        </w:tc>
        <w:tc>
          <w:tcPr>
            <w:tcW w:w="1446" w:type="pct"/>
            <w:vAlign w:val="center"/>
          </w:tcPr>
          <w:p w:rsidR="00F34E9F" w:rsidRPr="00687B52" w:rsidRDefault="00F34E9F" w:rsidP="003E1D2A">
            <w:pPr>
              <w:pStyle w:val="a7"/>
              <w:rPr>
                <w:color w:val="000000" w:themeColor="text1"/>
                <w:szCs w:val="24"/>
              </w:rPr>
            </w:pPr>
            <w:r w:rsidRPr="00687B52">
              <w:rPr>
                <w:rFonts w:hint="eastAsia"/>
                <w:color w:val="000000" w:themeColor="text1"/>
                <w:szCs w:val="24"/>
              </w:rPr>
              <w:t>《</w:t>
            </w:r>
            <w:r w:rsidRPr="00687B52">
              <w:rPr>
                <w:color w:val="000000" w:themeColor="text1"/>
                <w:szCs w:val="24"/>
              </w:rPr>
              <w:t>国务院安委会关于深入开展涉氨制冷企业液氨使用专项治理的通知</w:t>
            </w:r>
            <w:r w:rsidRPr="00687B52">
              <w:rPr>
                <w:rFonts w:hint="eastAsia"/>
                <w:color w:val="000000" w:themeColor="text1"/>
                <w:szCs w:val="24"/>
              </w:rPr>
              <w:t>》第</w:t>
            </w:r>
            <w:r w:rsidRPr="00687B52">
              <w:rPr>
                <w:rFonts w:hint="eastAsia"/>
                <w:color w:val="000000" w:themeColor="text1"/>
                <w:szCs w:val="24"/>
              </w:rPr>
              <w:t>3</w:t>
            </w:r>
            <w:r w:rsidRPr="00687B52">
              <w:rPr>
                <w:rFonts w:hint="eastAsia"/>
                <w:color w:val="000000" w:themeColor="text1"/>
                <w:szCs w:val="24"/>
              </w:rPr>
              <w:t>条</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r w:rsidR="00F34E9F" w:rsidRPr="00687B52" w:rsidTr="004D7D3D">
        <w:trPr>
          <w:jc w:val="center"/>
        </w:trPr>
        <w:tc>
          <w:tcPr>
            <w:tcW w:w="362" w:type="pct"/>
            <w:vAlign w:val="center"/>
          </w:tcPr>
          <w:p w:rsidR="00F34E9F" w:rsidRPr="00687B52" w:rsidRDefault="00F34E9F" w:rsidP="003E1D2A">
            <w:pPr>
              <w:pStyle w:val="a7"/>
              <w:rPr>
                <w:color w:val="000000" w:themeColor="text1"/>
              </w:rPr>
            </w:pPr>
            <w:r w:rsidRPr="00687B52">
              <w:rPr>
                <w:rFonts w:hint="eastAsia"/>
                <w:color w:val="000000" w:themeColor="text1"/>
              </w:rPr>
              <w:t>4.6.3</w:t>
            </w:r>
          </w:p>
        </w:tc>
        <w:tc>
          <w:tcPr>
            <w:tcW w:w="2287" w:type="pct"/>
            <w:vAlign w:val="center"/>
          </w:tcPr>
          <w:p w:rsidR="00F34E9F" w:rsidRPr="00687B52" w:rsidRDefault="00F34E9F" w:rsidP="003E1D2A">
            <w:pPr>
              <w:pStyle w:val="a7"/>
              <w:jc w:val="left"/>
              <w:rPr>
                <w:color w:val="000000" w:themeColor="text1"/>
                <w:szCs w:val="24"/>
              </w:rPr>
            </w:pPr>
            <w:r w:rsidRPr="00687B52">
              <w:rPr>
                <w:rFonts w:hint="eastAsia"/>
                <w:color w:val="000000" w:themeColor="text1"/>
                <w:szCs w:val="24"/>
              </w:rPr>
              <w:t>重点监管危险化学品</w:t>
            </w:r>
            <w:r w:rsidRPr="00687B52">
              <w:rPr>
                <w:rFonts w:hint="eastAsia"/>
                <w:color w:val="000000" w:themeColor="text1"/>
                <w:szCs w:val="24"/>
              </w:rPr>
              <w:t>-</w:t>
            </w:r>
            <w:r w:rsidRPr="00687B52">
              <w:rPr>
                <w:rFonts w:hint="eastAsia"/>
                <w:color w:val="000000" w:themeColor="text1"/>
                <w:szCs w:val="24"/>
              </w:rPr>
              <w:t>氨的安全措施和应急处置原则：</w:t>
            </w:r>
          </w:p>
          <w:p w:rsidR="00F34E9F" w:rsidRPr="00687B52" w:rsidRDefault="00F34E9F" w:rsidP="003E1D2A">
            <w:pPr>
              <w:pStyle w:val="a7"/>
              <w:jc w:val="left"/>
              <w:rPr>
                <w:color w:val="000000" w:themeColor="text1"/>
                <w:szCs w:val="24"/>
              </w:rPr>
            </w:pPr>
            <w:r w:rsidRPr="00687B52">
              <w:rPr>
                <w:rFonts w:hint="eastAsia"/>
                <w:color w:val="000000" w:themeColor="text1"/>
                <w:szCs w:val="24"/>
              </w:rPr>
              <w:lastRenderedPageBreak/>
              <w:t>1</w:t>
            </w:r>
            <w:r w:rsidRPr="00687B52">
              <w:rPr>
                <w:rFonts w:hint="eastAsia"/>
                <w:color w:val="000000" w:themeColor="text1"/>
                <w:szCs w:val="24"/>
              </w:rPr>
              <w:t>）可能存在氨泄漏的工作场所，应符合：</w:t>
            </w:r>
          </w:p>
          <w:p w:rsidR="00F34E9F" w:rsidRPr="00687B52" w:rsidRDefault="00F34E9F" w:rsidP="003E1D2A">
            <w:pPr>
              <w:pStyle w:val="a7"/>
              <w:jc w:val="left"/>
              <w:rPr>
                <w:color w:val="000000" w:themeColor="text1"/>
                <w:szCs w:val="24"/>
              </w:rPr>
            </w:pPr>
            <w:r w:rsidRPr="00687B52">
              <w:rPr>
                <w:rFonts w:hint="eastAsia"/>
                <w:color w:val="000000" w:themeColor="text1"/>
                <w:szCs w:val="24"/>
              </w:rPr>
              <w:t>①</w:t>
            </w:r>
            <w:r w:rsidRPr="00687B52">
              <w:rPr>
                <w:color w:val="000000" w:themeColor="text1"/>
                <w:szCs w:val="24"/>
              </w:rPr>
              <w:t>工作场所严禁吸烟</w:t>
            </w:r>
            <w:r w:rsidRPr="00687B52">
              <w:rPr>
                <w:rFonts w:hint="eastAsia"/>
                <w:color w:val="000000" w:themeColor="text1"/>
                <w:szCs w:val="24"/>
              </w:rPr>
              <w:t>、禁止使用手机等非防爆通讯器，控制明火、火花等火源</w:t>
            </w:r>
            <w:r w:rsidRPr="00687B52">
              <w:rPr>
                <w:color w:val="000000" w:themeColor="text1"/>
                <w:szCs w:val="24"/>
              </w:rPr>
              <w:t>。</w:t>
            </w:r>
          </w:p>
          <w:p w:rsidR="00F34E9F" w:rsidRPr="00687B52" w:rsidRDefault="00F34E9F" w:rsidP="003E1D2A">
            <w:pPr>
              <w:pStyle w:val="a7"/>
              <w:jc w:val="left"/>
              <w:rPr>
                <w:color w:val="000000" w:themeColor="text1"/>
                <w:szCs w:val="24"/>
              </w:rPr>
            </w:pPr>
            <w:r w:rsidRPr="00687B52">
              <w:rPr>
                <w:rFonts w:hint="eastAsia"/>
                <w:color w:val="000000" w:themeColor="text1"/>
                <w:szCs w:val="24"/>
              </w:rPr>
              <w:t>②</w:t>
            </w:r>
            <w:r w:rsidRPr="00687B52">
              <w:rPr>
                <w:color w:val="000000" w:themeColor="text1"/>
                <w:szCs w:val="24"/>
              </w:rPr>
              <w:t>应设置氨气泄漏检测报警仪</w:t>
            </w:r>
            <w:r w:rsidRPr="00687B52">
              <w:rPr>
                <w:rFonts w:hint="eastAsia"/>
                <w:color w:val="000000" w:themeColor="text1"/>
                <w:szCs w:val="24"/>
              </w:rPr>
              <w:t>，并将其信号与</w:t>
            </w:r>
            <w:r w:rsidRPr="00687B52">
              <w:rPr>
                <w:color w:val="000000" w:themeColor="text1"/>
                <w:szCs w:val="24"/>
              </w:rPr>
              <w:t>通风系统</w:t>
            </w:r>
            <w:r w:rsidRPr="00687B52">
              <w:rPr>
                <w:rFonts w:hint="eastAsia"/>
                <w:color w:val="000000" w:themeColor="text1"/>
                <w:szCs w:val="24"/>
              </w:rPr>
              <w:t>、喷淋系统联锁。</w:t>
            </w:r>
          </w:p>
          <w:p w:rsidR="00F34E9F" w:rsidRPr="00687B52" w:rsidRDefault="00F34E9F" w:rsidP="003E1D2A">
            <w:pPr>
              <w:pStyle w:val="a7"/>
              <w:jc w:val="left"/>
              <w:rPr>
                <w:color w:val="000000" w:themeColor="text1"/>
                <w:szCs w:val="24"/>
              </w:rPr>
            </w:pPr>
            <w:r w:rsidRPr="00687B52">
              <w:rPr>
                <w:color w:val="000000" w:themeColor="text1"/>
                <w:szCs w:val="24"/>
              </w:rPr>
              <w:t>使用防爆型的通风系统和设备。</w:t>
            </w:r>
          </w:p>
          <w:p w:rsidR="00F34E9F" w:rsidRPr="00687B52" w:rsidRDefault="00F34E9F" w:rsidP="003E1D2A">
            <w:pPr>
              <w:pStyle w:val="a7"/>
              <w:jc w:val="left"/>
              <w:rPr>
                <w:color w:val="000000" w:themeColor="text1"/>
                <w:szCs w:val="24"/>
              </w:rPr>
            </w:pPr>
            <w:r w:rsidRPr="00687B52">
              <w:rPr>
                <w:rFonts w:hint="eastAsia"/>
                <w:color w:val="000000" w:themeColor="text1"/>
                <w:szCs w:val="24"/>
              </w:rPr>
              <w:t>2</w:t>
            </w:r>
            <w:r w:rsidRPr="00687B52">
              <w:rPr>
                <w:rFonts w:hint="eastAsia"/>
                <w:color w:val="000000" w:themeColor="text1"/>
                <w:szCs w:val="24"/>
              </w:rPr>
              <w:t>）液氨储罐及其管线</w:t>
            </w:r>
          </w:p>
          <w:p w:rsidR="00F34E9F" w:rsidRPr="00687B52" w:rsidRDefault="00F34E9F" w:rsidP="003E1D2A">
            <w:pPr>
              <w:pStyle w:val="a7"/>
              <w:jc w:val="left"/>
              <w:rPr>
                <w:color w:val="000000" w:themeColor="text1"/>
                <w:szCs w:val="24"/>
              </w:rPr>
            </w:pPr>
            <w:r w:rsidRPr="00687B52">
              <w:rPr>
                <w:rFonts w:hint="eastAsia"/>
                <w:color w:val="000000" w:themeColor="text1"/>
                <w:szCs w:val="24"/>
              </w:rPr>
              <w:t>①</w:t>
            </w:r>
            <w:r w:rsidRPr="00687B52">
              <w:rPr>
                <w:color w:val="000000" w:themeColor="text1"/>
                <w:szCs w:val="24"/>
              </w:rPr>
              <w:t>设置安全阀、压力表、液位计、温度计，并应装有带压力、液位、温度远传记录和报警功能的安全装置</w:t>
            </w:r>
            <w:r w:rsidRPr="00687B52">
              <w:rPr>
                <w:rFonts w:hint="eastAsia"/>
                <w:color w:val="000000" w:themeColor="text1"/>
                <w:szCs w:val="24"/>
              </w:rPr>
              <w:t>。</w:t>
            </w:r>
          </w:p>
          <w:p w:rsidR="00F34E9F" w:rsidRPr="00687B52" w:rsidRDefault="00F34E9F" w:rsidP="003E1D2A">
            <w:pPr>
              <w:pStyle w:val="a7"/>
              <w:jc w:val="left"/>
              <w:rPr>
                <w:color w:val="000000" w:themeColor="text1"/>
                <w:szCs w:val="24"/>
              </w:rPr>
            </w:pPr>
            <w:r w:rsidRPr="00687B52">
              <w:rPr>
                <w:rFonts w:hint="eastAsia"/>
                <w:color w:val="000000" w:themeColor="text1"/>
                <w:szCs w:val="24"/>
              </w:rPr>
              <w:t>②</w:t>
            </w:r>
            <w:r w:rsidRPr="00687B52">
              <w:rPr>
                <w:color w:val="000000" w:themeColor="text1"/>
                <w:szCs w:val="24"/>
              </w:rPr>
              <w:t>需设置紧急切断装置。</w:t>
            </w:r>
          </w:p>
          <w:p w:rsidR="00F34E9F" w:rsidRPr="00687B52" w:rsidRDefault="00F34E9F" w:rsidP="003E1D2A">
            <w:pPr>
              <w:pStyle w:val="a7"/>
              <w:jc w:val="left"/>
              <w:rPr>
                <w:color w:val="000000" w:themeColor="text1"/>
                <w:szCs w:val="24"/>
              </w:rPr>
            </w:pPr>
            <w:r w:rsidRPr="00687B52">
              <w:rPr>
                <w:rFonts w:hint="eastAsia"/>
                <w:color w:val="000000" w:themeColor="text1"/>
                <w:szCs w:val="24"/>
              </w:rPr>
              <w:t>③安全阀放空管应接入碱液破坏系统；</w:t>
            </w:r>
          </w:p>
          <w:p w:rsidR="00F34E9F" w:rsidRPr="00687B52" w:rsidRDefault="00F34E9F" w:rsidP="003E1D2A">
            <w:pPr>
              <w:pStyle w:val="a7"/>
              <w:jc w:val="left"/>
              <w:rPr>
                <w:color w:val="000000" w:themeColor="text1"/>
                <w:szCs w:val="24"/>
              </w:rPr>
            </w:pPr>
            <w:r w:rsidRPr="00687B52">
              <w:rPr>
                <w:rFonts w:hint="eastAsia"/>
                <w:color w:val="000000" w:themeColor="text1"/>
                <w:szCs w:val="24"/>
              </w:rPr>
              <w:t>④按《</w:t>
            </w:r>
            <w:hyperlink r:id="rId21" w:tgtFrame="_blank" w:history="1">
              <w:r w:rsidRPr="00687B52">
                <w:rPr>
                  <w:color w:val="000000" w:themeColor="text1"/>
                  <w:szCs w:val="24"/>
                </w:rPr>
                <w:t>固定式压力容器安全技术监察规程</w:t>
              </w:r>
            </w:hyperlink>
            <w:r w:rsidRPr="00687B52">
              <w:rPr>
                <w:rFonts w:hint="eastAsia"/>
                <w:color w:val="000000" w:themeColor="text1"/>
                <w:szCs w:val="24"/>
              </w:rPr>
              <w:t>》要求，定期对氨储罐及管线进行检测。</w:t>
            </w:r>
          </w:p>
        </w:tc>
        <w:tc>
          <w:tcPr>
            <w:tcW w:w="1446" w:type="pct"/>
            <w:vAlign w:val="center"/>
          </w:tcPr>
          <w:p w:rsidR="00F34E9F" w:rsidRPr="00687B52" w:rsidRDefault="00F34E9F" w:rsidP="003E1D2A">
            <w:pPr>
              <w:pStyle w:val="a7"/>
              <w:rPr>
                <w:color w:val="000000" w:themeColor="text1"/>
                <w:szCs w:val="24"/>
              </w:rPr>
            </w:pPr>
            <w:r w:rsidRPr="00687B52">
              <w:rPr>
                <w:rFonts w:hint="eastAsia"/>
                <w:color w:val="000000" w:themeColor="text1"/>
                <w:szCs w:val="24"/>
              </w:rPr>
              <w:lastRenderedPageBreak/>
              <w:t>《首批重点监管的危险化学品安全</w:t>
            </w:r>
            <w:r w:rsidRPr="00687B52">
              <w:rPr>
                <w:rFonts w:hint="eastAsia"/>
                <w:color w:val="000000" w:themeColor="text1"/>
                <w:szCs w:val="24"/>
              </w:rPr>
              <w:lastRenderedPageBreak/>
              <w:t>措施和应急处置原则》</w:t>
            </w:r>
          </w:p>
        </w:tc>
        <w:tc>
          <w:tcPr>
            <w:tcW w:w="905" w:type="pct"/>
          </w:tcPr>
          <w:p w:rsidR="00F34E9F" w:rsidRPr="00687B52" w:rsidRDefault="00F34E9F" w:rsidP="003E1D2A">
            <w:pPr>
              <w:pStyle w:val="a7"/>
              <w:rPr>
                <w:rFonts w:asciiTheme="minorEastAsia" w:eastAsiaTheme="minorEastAsia" w:hAnsiTheme="minorEastAsia"/>
                <w:color w:val="000000" w:themeColor="text1"/>
              </w:rPr>
            </w:pPr>
          </w:p>
        </w:tc>
      </w:tr>
    </w:tbl>
    <w:p w:rsidR="000C2455" w:rsidRPr="00687B52" w:rsidRDefault="000C2455" w:rsidP="000C2455">
      <w:pPr>
        <w:autoSpaceDE w:val="0"/>
        <w:autoSpaceDN w:val="0"/>
        <w:adjustRightInd w:val="0"/>
        <w:jc w:val="left"/>
        <w:rPr>
          <w:rFonts w:asciiTheme="minorEastAsia" w:hAnsiTheme="minorEastAsia"/>
          <w:color w:val="000000" w:themeColor="text1"/>
          <w:sz w:val="24"/>
          <w:szCs w:val="24"/>
        </w:rPr>
        <w:sectPr w:rsidR="000C2455" w:rsidRPr="00687B52" w:rsidSect="003E6F05">
          <w:pgSz w:w="16838" w:h="11906" w:orient="landscape"/>
          <w:pgMar w:top="1440" w:right="1797" w:bottom="1440" w:left="1797" w:header="851" w:footer="992" w:gutter="0"/>
          <w:cols w:space="425"/>
          <w:docGrid w:type="lines" w:linePitch="312"/>
        </w:sectPr>
      </w:pPr>
    </w:p>
    <w:p w:rsidR="000C2455" w:rsidRPr="00687B52" w:rsidRDefault="004D7D3D" w:rsidP="004D7D3D">
      <w:pPr>
        <w:pStyle w:val="aff3"/>
        <w:numPr>
          <w:ilvl w:val="0"/>
          <w:numId w:val="0"/>
        </w:numPr>
        <w:rPr>
          <w:color w:val="000000" w:themeColor="text1"/>
        </w:rPr>
      </w:pPr>
      <w:bookmarkStart w:id="30" w:name="_Toc492634893"/>
      <w:r w:rsidRPr="00687B52">
        <w:rPr>
          <w:rFonts w:hint="eastAsia"/>
          <w:color w:val="000000" w:themeColor="text1"/>
        </w:rPr>
        <w:lastRenderedPageBreak/>
        <w:t>表</w:t>
      </w:r>
      <w:r w:rsidRPr="00687B52">
        <w:rPr>
          <w:rFonts w:hint="eastAsia"/>
          <w:color w:val="000000" w:themeColor="text1"/>
        </w:rPr>
        <w:t xml:space="preserve">2-2 </w:t>
      </w:r>
      <w:r w:rsidRPr="00687B52">
        <w:rPr>
          <w:rFonts w:hint="eastAsia"/>
          <w:color w:val="000000" w:themeColor="text1"/>
        </w:rPr>
        <w:t>危险化学品生产企业专业检查表（石油化工）</w:t>
      </w:r>
      <w:bookmarkEnd w:id="30"/>
    </w:p>
    <w:p w:rsidR="000C2455" w:rsidRPr="00687B52" w:rsidRDefault="000C2455" w:rsidP="00F25ED0">
      <w:pPr>
        <w:widowControl/>
        <w:spacing w:beforeLines="50" w:before="156" w:afterLines="50" w:after="156"/>
        <w:jc w:val="left"/>
        <w:rPr>
          <w:rFonts w:ascii="宋体" w:hAnsi="宋体" w:cs="宋体"/>
          <w:color w:val="000000" w:themeColor="text1"/>
          <w:kern w:val="0"/>
          <w:sz w:val="24"/>
          <w:szCs w:val="24"/>
        </w:rPr>
      </w:pPr>
      <w:r w:rsidRPr="00687B52">
        <w:rPr>
          <w:rFonts w:ascii="宋体" w:hAnsi="宋体" w:cs="宋体"/>
          <w:color w:val="000000" w:themeColor="text1"/>
          <w:kern w:val="0"/>
          <w:sz w:val="24"/>
          <w:szCs w:val="24"/>
        </w:rPr>
        <w:t>本表适用于</w:t>
      </w:r>
      <w:r w:rsidRPr="00687B52">
        <w:rPr>
          <w:rFonts w:ascii="宋体" w:hAnsi="宋体" w:cs="宋体" w:hint="eastAsia"/>
          <w:color w:val="000000" w:themeColor="text1"/>
          <w:kern w:val="0"/>
          <w:sz w:val="24"/>
          <w:szCs w:val="24"/>
        </w:rPr>
        <w:t>石油化工</w:t>
      </w:r>
      <w:r w:rsidRPr="00687B52">
        <w:rPr>
          <w:rFonts w:ascii="宋体" w:hAnsi="宋体" w:cs="宋体"/>
          <w:color w:val="000000" w:themeColor="text1"/>
          <w:kern w:val="0"/>
          <w:sz w:val="24"/>
          <w:szCs w:val="24"/>
        </w:rPr>
        <w:t>企业</w:t>
      </w:r>
      <w:r w:rsidRPr="00687B52">
        <w:rPr>
          <w:rFonts w:ascii="宋体" w:hAnsi="宋体" w:cs="宋体" w:hint="eastAsia"/>
          <w:color w:val="000000" w:themeColor="text1"/>
          <w:kern w:val="0"/>
          <w:sz w:val="24"/>
          <w:szCs w:val="24"/>
        </w:rPr>
        <w:t>（炼油厂、石油化工厂、石油化纤厂）。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7"/>
        <w:gridCol w:w="4894"/>
        <w:gridCol w:w="3279"/>
        <w:gridCol w:w="4420"/>
      </w:tblGrid>
      <w:tr w:rsidR="000C2455" w:rsidRPr="00687B52" w:rsidTr="003E1D2A">
        <w:trPr>
          <w:tblHeader/>
          <w:jc w:val="center"/>
        </w:trPr>
        <w:tc>
          <w:tcPr>
            <w:tcW w:w="322"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序号</w:t>
            </w:r>
          </w:p>
        </w:tc>
        <w:tc>
          <w:tcPr>
            <w:tcW w:w="18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标准要求</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检查依据</w:t>
            </w:r>
          </w:p>
        </w:tc>
        <w:tc>
          <w:tcPr>
            <w:tcW w:w="1642" w:type="pct"/>
            <w:vAlign w:val="center"/>
          </w:tcPr>
          <w:p w:rsidR="000C2455" w:rsidRPr="00687B52" w:rsidRDefault="000C2455" w:rsidP="003E1D2A">
            <w:pPr>
              <w:pStyle w:val="a7"/>
              <w:spacing w:line="360" w:lineRule="exact"/>
              <w:ind w:left="739" w:hangingChars="308" w:hanging="739"/>
              <w:rPr>
                <w:rFonts w:ascii="宋体" w:hAnsi="宋体"/>
                <w:color w:val="000000" w:themeColor="text1"/>
                <w:szCs w:val="24"/>
              </w:rPr>
            </w:pPr>
            <w:r w:rsidRPr="00687B52">
              <w:rPr>
                <w:rFonts w:ascii="宋体" w:hAnsi="宋体"/>
                <w:color w:val="000000" w:themeColor="text1"/>
                <w:szCs w:val="24"/>
              </w:rPr>
              <w:t>实际情况</w:t>
            </w:r>
          </w:p>
        </w:tc>
      </w:tr>
      <w:tr w:rsidR="000C2455" w:rsidRPr="00687B52" w:rsidTr="003E1D2A">
        <w:trPr>
          <w:jc w:val="center"/>
        </w:trPr>
        <w:tc>
          <w:tcPr>
            <w:tcW w:w="322" w:type="pct"/>
            <w:vAlign w:val="center"/>
          </w:tcPr>
          <w:p w:rsidR="000C2455" w:rsidRPr="00687B52" w:rsidRDefault="000C2455" w:rsidP="003E1D2A">
            <w:pPr>
              <w:pStyle w:val="a7"/>
              <w:spacing w:line="360" w:lineRule="exact"/>
              <w:rPr>
                <w:rFonts w:ascii="宋体" w:hAnsi="宋体"/>
                <w:b/>
                <w:color w:val="000000" w:themeColor="text1"/>
                <w:szCs w:val="24"/>
              </w:rPr>
            </w:pPr>
            <w:r w:rsidRPr="00687B52">
              <w:rPr>
                <w:rFonts w:ascii="宋体" w:hAnsi="宋体" w:hint="eastAsia"/>
                <w:b/>
                <w:color w:val="000000" w:themeColor="text1"/>
                <w:szCs w:val="24"/>
              </w:rPr>
              <w:t>1</w:t>
            </w:r>
          </w:p>
        </w:tc>
        <w:tc>
          <w:tcPr>
            <w:tcW w:w="4678" w:type="pct"/>
            <w:gridSpan w:val="3"/>
            <w:vAlign w:val="center"/>
          </w:tcPr>
          <w:p w:rsidR="000C2455" w:rsidRPr="00687B52" w:rsidRDefault="000C2455" w:rsidP="003E1D2A">
            <w:pPr>
              <w:pStyle w:val="a7"/>
              <w:spacing w:line="360" w:lineRule="exact"/>
              <w:jc w:val="left"/>
              <w:rPr>
                <w:rFonts w:ascii="宋体" w:hAnsi="宋体"/>
                <w:b/>
                <w:color w:val="000000" w:themeColor="text1"/>
                <w:szCs w:val="24"/>
              </w:rPr>
            </w:pPr>
            <w:r w:rsidRPr="00687B52">
              <w:rPr>
                <w:rFonts w:ascii="宋体" w:hAnsi="宋体" w:hint="eastAsia"/>
                <w:b/>
                <w:color w:val="000000" w:themeColor="text1"/>
                <w:szCs w:val="24"/>
              </w:rPr>
              <w:t>区域位置、</w:t>
            </w:r>
            <w:r w:rsidRPr="00687B52">
              <w:rPr>
                <w:rFonts w:ascii="宋体" w:hAnsi="宋体"/>
                <w:b/>
                <w:color w:val="000000" w:themeColor="text1"/>
                <w:szCs w:val="24"/>
              </w:rPr>
              <w:t>总</w:t>
            </w:r>
            <w:r w:rsidRPr="00687B52">
              <w:rPr>
                <w:rFonts w:ascii="宋体" w:hAnsi="宋体" w:hint="eastAsia"/>
                <w:b/>
                <w:color w:val="000000" w:themeColor="text1"/>
                <w:szCs w:val="24"/>
              </w:rPr>
              <w:t>图</w:t>
            </w:r>
            <w:r w:rsidRPr="00687B52">
              <w:rPr>
                <w:rFonts w:ascii="宋体" w:hAnsi="宋体"/>
                <w:b/>
                <w:color w:val="000000" w:themeColor="text1"/>
                <w:szCs w:val="24"/>
              </w:rPr>
              <w:t>布置</w:t>
            </w:r>
            <w:r w:rsidRPr="00687B52">
              <w:rPr>
                <w:rFonts w:ascii="宋体" w:hAnsi="宋体" w:hint="eastAsia"/>
                <w:b/>
                <w:color w:val="000000" w:themeColor="text1"/>
                <w:szCs w:val="24"/>
              </w:rPr>
              <w:t>和建筑</w:t>
            </w:r>
          </w:p>
        </w:tc>
      </w:tr>
      <w:tr w:rsidR="000C2455" w:rsidRPr="00687B52" w:rsidTr="00FE7DF6">
        <w:trPr>
          <w:trHeight w:val="3771"/>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hint="eastAsia"/>
                <w:color w:val="000000" w:themeColor="text1"/>
                <w:szCs w:val="24"/>
              </w:rPr>
              <w:t>石油化工企业防护距离如下：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9"/>
              <w:gridCol w:w="1417"/>
              <w:gridCol w:w="993"/>
            </w:tblGrid>
            <w:tr w:rsidR="000C2455" w:rsidRPr="00687B52" w:rsidTr="003E1D2A">
              <w:tc>
                <w:tcPr>
                  <w:tcW w:w="1489" w:type="dxa"/>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hint="eastAsia"/>
                      <w:color w:val="000000" w:themeColor="text1"/>
                      <w:szCs w:val="24"/>
                    </w:rPr>
                    <w:t>加工原油量</w:t>
                  </w:r>
                </w:p>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hint="eastAsia"/>
                      <w:color w:val="000000" w:themeColor="text1"/>
                      <w:szCs w:val="24"/>
                    </w:rPr>
                    <w:t>（kt/a）</w:t>
                  </w:r>
                </w:p>
              </w:tc>
              <w:tc>
                <w:tcPr>
                  <w:tcW w:w="1417" w:type="dxa"/>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color w:val="000000" w:themeColor="text1"/>
                      <w:szCs w:val="24"/>
                    </w:rPr>
                    <w:t>所在地区近5年平均风速</w:t>
                  </w:r>
                </w:p>
              </w:tc>
              <w:tc>
                <w:tcPr>
                  <w:tcW w:w="993" w:type="dxa"/>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hint="eastAsia"/>
                      <w:color w:val="000000" w:themeColor="text1"/>
                      <w:szCs w:val="24"/>
                    </w:rPr>
                    <w:t>防护距离</w:t>
                  </w:r>
                </w:p>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hint="eastAsia"/>
                      <w:color w:val="000000" w:themeColor="text1"/>
                      <w:szCs w:val="24"/>
                    </w:rPr>
                    <w:t>（m）</w:t>
                  </w:r>
                </w:p>
              </w:tc>
            </w:tr>
            <w:tr w:rsidR="000C2455" w:rsidRPr="00687B52" w:rsidTr="003E1D2A">
              <w:tc>
                <w:tcPr>
                  <w:tcW w:w="1489" w:type="dxa"/>
                  <w:vMerge w:val="restart"/>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hint="eastAsia"/>
                      <w:color w:val="000000" w:themeColor="text1"/>
                      <w:szCs w:val="24"/>
                    </w:rPr>
                    <w:t>≤8000</w:t>
                  </w:r>
                </w:p>
              </w:tc>
              <w:tc>
                <w:tcPr>
                  <w:tcW w:w="1417" w:type="dxa"/>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hint="eastAsia"/>
                      <w:color w:val="000000" w:themeColor="text1"/>
                      <w:szCs w:val="24"/>
                    </w:rPr>
                    <w:t>＜</w:t>
                  </w:r>
                  <w:r w:rsidRPr="00687B52">
                    <w:rPr>
                      <w:rFonts w:ascii="宋体" w:hAnsi="宋体"/>
                      <w:color w:val="000000" w:themeColor="text1"/>
                      <w:szCs w:val="24"/>
                    </w:rPr>
                    <w:t>2m/s</w:t>
                  </w:r>
                </w:p>
              </w:tc>
              <w:tc>
                <w:tcPr>
                  <w:tcW w:w="993" w:type="dxa"/>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hint="eastAsia"/>
                      <w:color w:val="000000" w:themeColor="text1"/>
                      <w:szCs w:val="24"/>
                    </w:rPr>
                    <w:t>900</w:t>
                  </w:r>
                </w:p>
              </w:tc>
            </w:tr>
            <w:tr w:rsidR="000C2455" w:rsidRPr="00687B52" w:rsidTr="003E1D2A">
              <w:tc>
                <w:tcPr>
                  <w:tcW w:w="1489" w:type="dxa"/>
                  <w:vMerge/>
                </w:tcPr>
                <w:p w:rsidR="000C2455" w:rsidRPr="00687B52" w:rsidRDefault="000C2455" w:rsidP="003E1D2A">
                  <w:pPr>
                    <w:pStyle w:val="a7"/>
                    <w:spacing w:line="360" w:lineRule="exact"/>
                    <w:jc w:val="left"/>
                    <w:rPr>
                      <w:rFonts w:ascii="宋体" w:hAnsi="宋体"/>
                      <w:color w:val="000000" w:themeColor="text1"/>
                      <w:szCs w:val="24"/>
                    </w:rPr>
                  </w:pPr>
                </w:p>
              </w:tc>
              <w:tc>
                <w:tcPr>
                  <w:tcW w:w="1417" w:type="dxa"/>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color w:val="000000" w:themeColor="text1"/>
                      <w:szCs w:val="24"/>
                    </w:rPr>
                    <w:t>2~4m/s</w:t>
                  </w:r>
                </w:p>
              </w:tc>
              <w:tc>
                <w:tcPr>
                  <w:tcW w:w="993" w:type="dxa"/>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hint="eastAsia"/>
                      <w:color w:val="000000" w:themeColor="text1"/>
                      <w:szCs w:val="24"/>
                    </w:rPr>
                    <w:t>800</w:t>
                  </w:r>
                </w:p>
              </w:tc>
            </w:tr>
            <w:tr w:rsidR="000C2455" w:rsidRPr="00687B52" w:rsidTr="003E1D2A">
              <w:tc>
                <w:tcPr>
                  <w:tcW w:w="1489" w:type="dxa"/>
                  <w:vMerge/>
                </w:tcPr>
                <w:p w:rsidR="000C2455" w:rsidRPr="00687B52" w:rsidRDefault="000C2455" w:rsidP="003E1D2A">
                  <w:pPr>
                    <w:pStyle w:val="a7"/>
                    <w:spacing w:line="360" w:lineRule="exact"/>
                    <w:jc w:val="left"/>
                    <w:rPr>
                      <w:rFonts w:ascii="宋体" w:hAnsi="宋体"/>
                      <w:color w:val="000000" w:themeColor="text1"/>
                      <w:szCs w:val="24"/>
                    </w:rPr>
                  </w:pPr>
                </w:p>
              </w:tc>
              <w:tc>
                <w:tcPr>
                  <w:tcW w:w="1417" w:type="dxa"/>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hint="eastAsia"/>
                      <w:color w:val="000000" w:themeColor="text1"/>
                      <w:szCs w:val="24"/>
                    </w:rPr>
                    <w:t>＞</w:t>
                  </w:r>
                  <w:r w:rsidRPr="00687B52">
                    <w:rPr>
                      <w:rFonts w:ascii="宋体" w:hAnsi="宋体"/>
                      <w:color w:val="000000" w:themeColor="text1"/>
                      <w:szCs w:val="24"/>
                    </w:rPr>
                    <w:t>4m/s</w:t>
                  </w:r>
                </w:p>
              </w:tc>
              <w:tc>
                <w:tcPr>
                  <w:tcW w:w="993" w:type="dxa"/>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hint="eastAsia"/>
                      <w:color w:val="000000" w:themeColor="text1"/>
                      <w:szCs w:val="24"/>
                    </w:rPr>
                    <w:t>7</w:t>
                  </w:r>
                  <w:r w:rsidRPr="00687B52">
                    <w:rPr>
                      <w:rFonts w:ascii="宋体" w:hAnsi="宋体"/>
                      <w:color w:val="000000" w:themeColor="text1"/>
                      <w:szCs w:val="24"/>
                    </w:rPr>
                    <w:t>00</w:t>
                  </w:r>
                </w:p>
              </w:tc>
            </w:tr>
            <w:tr w:rsidR="000C2455" w:rsidRPr="00687B52" w:rsidTr="003E1D2A">
              <w:tc>
                <w:tcPr>
                  <w:tcW w:w="1489" w:type="dxa"/>
                  <w:vMerge w:val="restart"/>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hint="eastAsia"/>
                      <w:color w:val="000000" w:themeColor="text1"/>
                      <w:szCs w:val="24"/>
                    </w:rPr>
                    <w:t>＞8000</w:t>
                  </w:r>
                </w:p>
              </w:tc>
              <w:tc>
                <w:tcPr>
                  <w:tcW w:w="1417" w:type="dxa"/>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hint="eastAsia"/>
                      <w:color w:val="000000" w:themeColor="text1"/>
                      <w:szCs w:val="24"/>
                    </w:rPr>
                    <w:t>＜</w:t>
                  </w:r>
                  <w:r w:rsidRPr="00687B52">
                    <w:rPr>
                      <w:rFonts w:ascii="宋体" w:hAnsi="宋体"/>
                      <w:color w:val="000000" w:themeColor="text1"/>
                      <w:szCs w:val="24"/>
                    </w:rPr>
                    <w:t>2m/s</w:t>
                  </w:r>
                </w:p>
              </w:tc>
              <w:tc>
                <w:tcPr>
                  <w:tcW w:w="993" w:type="dxa"/>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hint="eastAsia"/>
                      <w:color w:val="000000" w:themeColor="text1"/>
                      <w:szCs w:val="24"/>
                    </w:rPr>
                    <w:t>1200</w:t>
                  </w:r>
                </w:p>
              </w:tc>
            </w:tr>
            <w:tr w:rsidR="000C2455" w:rsidRPr="00687B52" w:rsidTr="003E1D2A">
              <w:tc>
                <w:tcPr>
                  <w:tcW w:w="1489" w:type="dxa"/>
                  <w:vMerge/>
                </w:tcPr>
                <w:p w:rsidR="000C2455" w:rsidRPr="00687B52" w:rsidRDefault="000C2455" w:rsidP="003E1D2A">
                  <w:pPr>
                    <w:pStyle w:val="a7"/>
                    <w:spacing w:line="360" w:lineRule="exact"/>
                    <w:jc w:val="left"/>
                    <w:rPr>
                      <w:rFonts w:ascii="宋体" w:hAnsi="宋体"/>
                      <w:color w:val="000000" w:themeColor="text1"/>
                      <w:szCs w:val="24"/>
                    </w:rPr>
                  </w:pPr>
                </w:p>
              </w:tc>
              <w:tc>
                <w:tcPr>
                  <w:tcW w:w="1417" w:type="dxa"/>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color w:val="000000" w:themeColor="text1"/>
                      <w:szCs w:val="24"/>
                    </w:rPr>
                    <w:t>2~4m/s</w:t>
                  </w:r>
                </w:p>
              </w:tc>
              <w:tc>
                <w:tcPr>
                  <w:tcW w:w="993" w:type="dxa"/>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hint="eastAsia"/>
                      <w:color w:val="000000" w:themeColor="text1"/>
                      <w:szCs w:val="24"/>
                    </w:rPr>
                    <w:t>1000</w:t>
                  </w:r>
                </w:p>
              </w:tc>
            </w:tr>
            <w:tr w:rsidR="000C2455" w:rsidRPr="00687B52" w:rsidTr="003E1D2A">
              <w:tc>
                <w:tcPr>
                  <w:tcW w:w="1489" w:type="dxa"/>
                  <w:vMerge/>
                </w:tcPr>
                <w:p w:rsidR="000C2455" w:rsidRPr="00687B52" w:rsidRDefault="000C2455" w:rsidP="003E1D2A">
                  <w:pPr>
                    <w:pStyle w:val="a7"/>
                    <w:spacing w:line="360" w:lineRule="exact"/>
                    <w:jc w:val="left"/>
                    <w:rPr>
                      <w:rFonts w:ascii="宋体" w:hAnsi="宋体"/>
                      <w:color w:val="000000" w:themeColor="text1"/>
                      <w:szCs w:val="24"/>
                    </w:rPr>
                  </w:pPr>
                </w:p>
              </w:tc>
              <w:tc>
                <w:tcPr>
                  <w:tcW w:w="1417" w:type="dxa"/>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hint="eastAsia"/>
                      <w:color w:val="000000" w:themeColor="text1"/>
                      <w:szCs w:val="24"/>
                    </w:rPr>
                    <w:t>＞</w:t>
                  </w:r>
                  <w:r w:rsidRPr="00687B52">
                    <w:rPr>
                      <w:rFonts w:ascii="宋体" w:hAnsi="宋体"/>
                      <w:color w:val="000000" w:themeColor="text1"/>
                      <w:szCs w:val="24"/>
                    </w:rPr>
                    <w:t>4m/s</w:t>
                  </w:r>
                </w:p>
              </w:tc>
              <w:tc>
                <w:tcPr>
                  <w:tcW w:w="993" w:type="dxa"/>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hint="eastAsia"/>
                      <w:color w:val="000000" w:themeColor="text1"/>
                      <w:szCs w:val="24"/>
                    </w:rPr>
                    <w:t>900</w:t>
                  </w:r>
                </w:p>
              </w:tc>
            </w:tr>
          </w:tbl>
          <w:p w:rsidR="000C2455" w:rsidRPr="00687B52" w:rsidRDefault="000C2455" w:rsidP="003E1D2A">
            <w:pPr>
              <w:pStyle w:val="a7"/>
              <w:spacing w:line="360" w:lineRule="exact"/>
              <w:jc w:val="left"/>
              <w:rPr>
                <w:rFonts w:ascii="宋体" w:hAnsi="宋体"/>
                <w:color w:val="000000" w:themeColor="text1"/>
                <w:szCs w:val="24"/>
              </w:rPr>
            </w:pP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w:t>
            </w:r>
            <w:r w:rsidRPr="00687B52">
              <w:rPr>
                <w:rFonts w:ascii="宋体" w:hAnsi="宋体" w:hint="eastAsia"/>
                <w:color w:val="000000" w:themeColor="text1"/>
                <w:szCs w:val="24"/>
              </w:rPr>
              <w:t>石油加工业卫生防护距离</w:t>
            </w:r>
            <w:r w:rsidRPr="00687B52">
              <w:rPr>
                <w:rFonts w:ascii="宋体" w:hAnsi="宋体"/>
                <w:color w:val="000000" w:themeColor="text1"/>
                <w:szCs w:val="24"/>
              </w:rPr>
              <w:t>》GB</w:t>
            </w:r>
            <w:r w:rsidRPr="00687B52">
              <w:rPr>
                <w:rFonts w:ascii="宋体" w:hAnsi="宋体" w:hint="eastAsia"/>
                <w:color w:val="000000" w:themeColor="text1"/>
                <w:szCs w:val="24"/>
              </w:rPr>
              <w:t>8195</w:t>
            </w:r>
            <w:r w:rsidRPr="00687B52">
              <w:rPr>
                <w:rFonts w:ascii="宋体" w:hAnsi="宋体"/>
                <w:color w:val="000000" w:themeColor="text1"/>
                <w:szCs w:val="24"/>
              </w:rPr>
              <w:t>-201</w:t>
            </w:r>
            <w:r w:rsidRPr="00687B52">
              <w:rPr>
                <w:rFonts w:ascii="宋体" w:hAnsi="宋体" w:hint="eastAsia"/>
                <w:color w:val="000000" w:themeColor="text1"/>
                <w:szCs w:val="24"/>
              </w:rPr>
              <w:t>1</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第4.1条</w:t>
            </w:r>
          </w:p>
        </w:tc>
        <w:tc>
          <w:tcPr>
            <w:tcW w:w="1642" w:type="pct"/>
            <w:vAlign w:val="center"/>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color w:val="000000" w:themeColor="text1"/>
                <w:szCs w:val="24"/>
              </w:rPr>
              <w:t>公路和地区架空电力线路严禁穿越生产区。</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第4.1.6条</w:t>
            </w:r>
          </w:p>
        </w:tc>
        <w:tc>
          <w:tcPr>
            <w:tcW w:w="1642" w:type="pct"/>
            <w:vAlign w:val="center"/>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color w:val="000000" w:themeColor="text1"/>
                <w:szCs w:val="24"/>
              </w:rPr>
              <w:t>地区输油（输气）管道不应穿越厂区。</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第4.1.8条</w:t>
            </w:r>
          </w:p>
        </w:tc>
        <w:tc>
          <w:tcPr>
            <w:tcW w:w="1642" w:type="pct"/>
            <w:vAlign w:val="center"/>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a7"/>
              <w:tabs>
                <w:tab w:val="left" w:pos="1030"/>
              </w:tabs>
              <w:spacing w:line="360" w:lineRule="exact"/>
              <w:jc w:val="left"/>
              <w:rPr>
                <w:rFonts w:ascii="宋体" w:hAnsi="宋体"/>
                <w:color w:val="000000" w:themeColor="text1"/>
                <w:szCs w:val="24"/>
              </w:rPr>
            </w:pPr>
            <w:r w:rsidRPr="00687B52">
              <w:rPr>
                <w:rFonts w:ascii="宋体" w:hAnsi="宋体"/>
                <w:color w:val="000000" w:themeColor="text1"/>
                <w:szCs w:val="24"/>
              </w:rPr>
              <w:t>石油化工企业与相邻工厂或设施的防火间距不应小于</w:t>
            </w:r>
            <w:r w:rsidRPr="00687B52">
              <w:rPr>
                <w:rFonts w:ascii="宋体" w:hAnsi="宋体" w:hint="eastAsia"/>
                <w:color w:val="000000" w:themeColor="text1"/>
                <w:szCs w:val="24"/>
              </w:rPr>
              <w:t>表4.1.9</w:t>
            </w:r>
            <w:r w:rsidRPr="00687B52">
              <w:rPr>
                <w:rFonts w:ascii="宋体" w:hAnsi="宋体"/>
                <w:color w:val="000000" w:themeColor="text1"/>
                <w:szCs w:val="24"/>
              </w:rPr>
              <w:t>的规定</w:t>
            </w:r>
            <w:r w:rsidRPr="00687B52">
              <w:rPr>
                <w:rFonts w:ascii="宋体" w:hAnsi="宋体" w:hint="eastAsia"/>
                <w:color w:val="000000" w:themeColor="text1"/>
                <w:szCs w:val="24"/>
              </w:rPr>
              <w:t>；</w:t>
            </w:r>
            <w:r w:rsidRPr="00687B52">
              <w:rPr>
                <w:rFonts w:ascii="宋体" w:hAnsi="宋体"/>
                <w:color w:val="000000" w:themeColor="text1"/>
                <w:szCs w:val="24"/>
              </w:rPr>
              <w:t>石油化工企业与同类企业及油库的防火间距不应小于</w:t>
            </w:r>
            <w:r w:rsidRPr="00687B52">
              <w:rPr>
                <w:rFonts w:ascii="宋体" w:hAnsi="宋体" w:hint="eastAsia"/>
                <w:color w:val="000000" w:themeColor="text1"/>
                <w:szCs w:val="24"/>
              </w:rPr>
              <w:t>表</w:t>
            </w:r>
            <w:r w:rsidRPr="00687B52">
              <w:rPr>
                <w:rFonts w:ascii="宋体" w:hAnsi="宋体" w:hint="eastAsia"/>
                <w:color w:val="000000" w:themeColor="text1"/>
                <w:szCs w:val="24"/>
              </w:rPr>
              <w:lastRenderedPageBreak/>
              <w:t>4.1.10</w:t>
            </w:r>
            <w:r w:rsidRPr="00687B52">
              <w:rPr>
                <w:rFonts w:ascii="宋体" w:hAnsi="宋体"/>
                <w:color w:val="000000" w:themeColor="text1"/>
                <w:szCs w:val="24"/>
              </w:rPr>
              <w:t>的规定。</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第4.1.9条</w:t>
            </w:r>
            <w:r w:rsidRPr="00687B52">
              <w:rPr>
                <w:rFonts w:ascii="宋体" w:hAnsi="宋体" w:hint="eastAsia"/>
                <w:color w:val="000000" w:themeColor="text1"/>
                <w:szCs w:val="24"/>
              </w:rPr>
              <w:t>、</w:t>
            </w:r>
            <w:r w:rsidRPr="00687B52">
              <w:rPr>
                <w:rFonts w:ascii="宋体" w:hAnsi="宋体"/>
                <w:color w:val="000000" w:themeColor="text1"/>
                <w:szCs w:val="24"/>
              </w:rPr>
              <w:t>第4.1.10条</w:t>
            </w:r>
          </w:p>
        </w:tc>
        <w:tc>
          <w:tcPr>
            <w:tcW w:w="1642" w:type="pct"/>
            <w:vAlign w:val="center"/>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color w:val="000000" w:themeColor="text1"/>
                <w:szCs w:val="24"/>
              </w:rPr>
              <w:t>液化烃罐组</w:t>
            </w:r>
            <w:r w:rsidRPr="00687B52">
              <w:rPr>
                <w:rFonts w:ascii="宋体" w:hAnsi="宋体" w:hint="eastAsia"/>
                <w:color w:val="000000" w:themeColor="text1"/>
                <w:szCs w:val="24"/>
              </w:rPr>
              <w:t>和</w:t>
            </w:r>
            <w:r w:rsidRPr="00687B52">
              <w:rPr>
                <w:rFonts w:ascii="宋体" w:hAnsi="宋体"/>
                <w:color w:val="000000" w:themeColor="text1"/>
                <w:szCs w:val="24"/>
              </w:rPr>
              <w:t>可燃液体罐组不应毗邻布置在高于工艺装置、全厂性重要设施或人员集中场所的阶梯上。但受条件限制或有工艺要求时，可燃液体原料储罐可毗邻布置在高于工艺装置的阶梯上，但应采取防泄漏措施。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第4.2.3条</w:t>
            </w:r>
          </w:p>
        </w:tc>
        <w:tc>
          <w:tcPr>
            <w:tcW w:w="1642" w:type="pct"/>
            <w:vAlign w:val="center"/>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jc w:val="both"/>
              <w:rPr>
                <w:rFonts w:ascii="宋体" w:eastAsia="宋体" w:hAnsi="宋体" w:cs="Times New Roman"/>
                <w:color w:val="000000" w:themeColor="text1"/>
              </w:rPr>
            </w:pPr>
            <w:r w:rsidRPr="00687B52">
              <w:rPr>
                <w:rFonts w:ascii="宋体" w:eastAsia="宋体" w:hAnsi="宋体" w:cs="Times New Roman"/>
                <w:color w:val="000000" w:themeColor="text1"/>
              </w:rPr>
              <w:t>汽车装卸设施、液化烃灌装站及各类物品仓库等机动车辆频繁进出的设施应布置在厂区边缘或厂区外，并宜设围墙独立成区。</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第4.2.7条</w:t>
            </w:r>
          </w:p>
        </w:tc>
        <w:tc>
          <w:tcPr>
            <w:tcW w:w="1642" w:type="pct"/>
            <w:vAlign w:val="center"/>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jc w:val="both"/>
              <w:rPr>
                <w:rFonts w:ascii="宋体" w:eastAsia="宋体" w:hAnsi="宋体" w:cs="Times New Roman"/>
                <w:color w:val="000000" w:themeColor="text1"/>
              </w:rPr>
            </w:pPr>
            <w:r w:rsidRPr="00687B52">
              <w:rPr>
                <w:rFonts w:ascii="宋体" w:eastAsia="宋体" w:hAnsi="宋体" w:cs="Times New Roman"/>
                <w:color w:val="000000" w:themeColor="text1"/>
              </w:rPr>
              <w:t>罐区泡沫站应布置在罐组防火堤外的非防爆区，与可燃液体罐的防火间距不宜小于</w:t>
            </w:r>
            <w:smartTag w:uri="urn:schemas-microsoft-com:office:smarttags" w:element="chmetcnv">
              <w:smartTagPr>
                <w:attr w:name="TCSC" w:val="0"/>
                <w:attr w:name="NumberType" w:val="1"/>
                <w:attr w:name="Negative" w:val="False"/>
                <w:attr w:name="HasSpace" w:val="False"/>
                <w:attr w:name="SourceValue" w:val="20"/>
                <w:attr w:name="UnitName" w:val="m"/>
              </w:smartTagPr>
              <w:r w:rsidRPr="00687B52">
                <w:rPr>
                  <w:rFonts w:ascii="宋体" w:eastAsia="宋体" w:hAnsi="宋体" w:cs="Times New Roman"/>
                  <w:color w:val="000000" w:themeColor="text1"/>
                </w:rPr>
                <w:t>20m</w:t>
              </w:r>
            </w:smartTag>
            <w:r w:rsidRPr="00687B52">
              <w:rPr>
                <w:rFonts w:ascii="宋体" w:eastAsia="宋体" w:hAnsi="宋体" w:cs="Times New Roman"/>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第4.2.8条</w:t>
            </w:r>
          </w:p>
        </w:tc>
        <w:tc>
          <w:tcPr>
            <w:tcW w:w="1642" w:type="pct"/>
            <w:vAlign w:val="center"/>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消防站的服务范围不宜大于</w:t>
            </w:r>
            <w:smartTag w:uri="urn:schemas-microsoft-com:office:smarttags" w:element="chmetcnv">
              <w:smartTagPr>
                <w:attr w:name="TCSC" w:val="0"/>
                <w:attr w:name="NumberType" w:val="1"/>
                <w:attr w:name="Negative" w:val="False"/>
                <w:attr w:name="HasSpace" w:val="False"/>
                <w:attr w:name="SourceValue" w:val="2.5"/>
                <w:attr w:name="UnitName" w:val="km"/>
              </w:smartTagPr>
              <w:r w:rsidRPr="00687B52">
                <w:rPr>
                  <w:rFonts w:ascii="宋体" w:eastAsia="宋体" w:hAnsi="宋体" w:cs="Times New Roman"/>
                  <w:color w:val="000000" w:themeColor="text1"/>
                </w:rPr>
                <w:t>2.5km</w:t>
              </w:r>
            </w:smartTag>
            <w:r w:rsidRPr="00687B52">
              <w:rPr>
                <w:rFonts w:ascii="宋体" w:eastAsia="宋体" w:hAnsi="宋体" w:cs="Times New Roman"/>
                <w:color w:val="000000" w:themeColor="text1"/>
              </w:rPr>
              <w:t>，且接火警后到达火场的时间不宜超过5min。对丁戊类的局部场所可加大到4km</w:t>
            </w:r>
            <w:r w:rsidRPr="00687B52">
              <w:rPr>
                <w:rFonts w:ascii="宋体" w:eastAsia="宋体" w:hAnsi="宋体" w:cs="Times New Roman" w:hint="eastAsia"/>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第4.2.10条</w:t>
            </w:r>
          </w:p>
        </w:tc>
        <w:tc>
          <w:tcPr>
            <w:tcW w:w="1642" w:type="pct"/>
            <w:vAlign w:val="center"/>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厂区的绿化应符合下列规定：</w:t>
            </w:r>
          </w:p>
          <w:p w:rsidR="000C2455" w:rsidRPr="00687B52" w:rsidRDefault="000C2455" w:rsidP="00D9787F">
            <w:pPr>
              <w:pStyle w:val="Default"/>
              <w:numPr>
                <w:ilvl w:val="0"/>
                <w:numId w:val="9"/>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生产区不应种植含油脂较多的树木，宜选择含水分较多的树种；</w:t>
            </w:r>
          </w:p>
          <w:p w:rsidR="000C2455" w:rsidRPr="00687B52" w:rsidRDefault="000C2455" w:rsidP="00D9787F">
            <w:pPr>
              <w:pStyle w:val="Default"/>
              <w:numPr>
                <w:ilvl w:val="0"/>
                <w:numId w:val="9"/>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工艺装置或可燃气体、液化烃、可燃液体的罐组与周围消防车道之间不宜种植绿篱或茂密的灌木丛；</w:t>
            </w:r>
          </w:p>
          <w:p w:rsidR="000C2455" w:rsidRPr="00687B52" w:rsidRDefault="000C2455" w:rsidP="00D9787F">
            <w:pPr>
              <w:pStyle w:val="Default"/>
              <w:numPr>
                <w:ilvl w:val="0"/>
                <w:numId w:val="9"/>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在可燃液体罐组防火堤内可种植生长高度不超过</w:t>
            </w:r>
            <w:smartTag w:uri="urn:schemas-microsoft-com:office:smarttags" w:element="chmetcnv">
              <w:smartTagPr>
                <w:attr w:name="TCSC" w:val="0"/>
                <w:attr w:name="NumberType" w:val="1"/>
                <w:attr w:name="Negative" w:val="False"/>
                <w:attr w:name="HasSpace" w:val="False"/>
                <w:attr w:name="SourceValue" w:val="15"/>
                <w:attr w:name="UnitName" w:val="cm"/>
              </w:smartTagPr>
              <w:r w:rsidRPr="00687B52">
                <w:rPr>
                  <w:rFonts w:ascii="宋体" w:eastAsia="宋体" w:hAnsi="宋体" w:cs="Times New Roman"/>
                  <w:color w:val="000000" w:themeColor="text1"/>
                </w:rPr>
                <w:t>15cm</w:t>
              </w:r>
            </w:smartTag>
            <w:r w:rsidRPr="00687B52">
              <w:rPr>
                <w:rFonts w:ascii="宋体" w:eastAsia="宋体" w:hAnsi="宋体" w:cs="Times New Roman"/>
                <w:color w:val="000000" w:themeColor="text1"/>
              </w:rPr>
              <w:t>、含水分多的四季常青的草</w:t>
            </w:r>
            <w:r w:rsidRPr="00687B52">
              <w:rPr>
                <w:rFonts w:ascii="宋体" w:eastAsia="宋体" w:hAnsi="宋体" w:cs="Times New Roman"/>
                <w:color w:val="000000" w:themeColor="text1"/>
              </w:rPr>
              <w:lastRenderedPageBreak/>
              <w:t>皮；</w:t>
            </w:r>
          </w:p>
          <w:p w:rsidR="000C2455" w:rsidRPr="00687B52" w:rsidRDefault="000C2455" w:rsidP="00D9787F">
            <w:pPr>
              <w:pStyle w:val="Default"/>
              <w:numPr>
                <w:ilvl w:val="0"/>
                <w:numId w:val="9"/>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液化烃罐组防火堤内严禁绿化；</w:t>
            </w:r>
          </w:p>
          <w:p w:rsidR="000C2455" w:rsidRPr="00687B52" w:rsidRDefault="000C2455" w:rsidP="00D9787F">
            <w:pPr>
              <w:pStyle w:val="Default"/>
              <w:numPr>
                <w:ilvl w:val="0"/>
                <w:numId w:val="9"/>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厂区的绿化不应妨碍消防操作。</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第4.2.11条</w:t>
            </w:r>
          </w:p>
        </w:tc>
        <w:tc>
          <w:tcPr>
            <w:tcW w:w="1642" w:type="pct"/>
            <w:vAlign w:val="center"/>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工艺装置或设施（罐组除外）之间的防火距离应符合</w:t>
            </w:r>
            <w:r w:rsidRPr="00687B52">
              <w:rPr>
                <w:rFonts w:ascii="宋体" w:eastAsia="宋体" w:hAnsi="宋体" w:hint="eastAsia"/>
                <w:color w:val="000000" w:themeColor="text1"/>
              </w:rPr>
              <w:t>表4.1.12</w:t>
            </w:r>
            <w:r w:rsidRPr="00687B52">
              <w:rPr>
                <w:rFonts w:ascii="宋体" w:eastAsia="宋体" w:hAnsi="宋体" w:cs="Times New Roman"/>
                <w:color w:val="000000" w:themeColor="text1"/>
              </w:rPr>
              <w:t>的规定。</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第4.2.12条</w:t>
            </w:r>
          </w:p>
        </w:tc>
        <w:tc>
          <w:tcPr>
            <w:tcW w:w="1642" w:type="pct"/>
            <w:vAlign w:val="center"/>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工厂主要出入口不应少于两个，并宜位于不同方位。</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第4.3.1条</w:t>
            </w:r>
          </w:p>
        </w:tc>
        <w:tc>
          <w:tcPr>
            <w:tcW w:w="1642" w:type="pct"/>
            <w:vAlign w:val="center"/>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hint="eastAsia"/>
                <w:color w:val="000000" w:themeColor="text1"/>
              </w:rPr>
              <w:t>下列场所</w:t>
            </w:r>
            <w:r w:rsidRPr="00687B52">
              <w:rPr>
                <w:rFonts w:ascii="宋体" w:eastAsia="宋体" w:hAnsi="宋体" w:cs="Times New Roman"/>
                <w:color w:val="000000" w:themeColor="text1"/>
              </w:rPr>
              <w:t>应设环形消防车道</w:t>
            </w:r>
            <w:r w:rsidRPr="00687B52">
              <w:rPr>
                <w:rFonts w:ascii="宋体" w:eastAsia="宋体" w:hAnsi="宋体" w:cs="Times New Roman" w:hint="eastAsia"/>
                <w:color w:val="000000" w:themeColor="text1"/>
              </w:rPr>
              <w:t>：</w:t>
            </w:r>
          </w:p>
          <w:p w:rsidR="000C2455" w:rsidRPr="00687B52" w:rsidRDefault="000C2455" w:rsidP="00D9787F">
            <w:pPr>
              <w:pStyle w:val="Default"/>
              <w:numPr>
                <w:ilvl w:val="0"/>
                <w:numId w:val="8"/>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装置或联合装置</w:t>
            </w:r>
          </w:p>
          <w:p w:rsidR="000C2455" w:rsidRPr="00687B52" w:rsidRDefault="000C2455" w:rsidP="00D9787F">
            <w:pPr>
              <w:pStyle w:val="Default"/>
              <w:numPr>
                <w:ilvl w:val="0"/>
                <w:numId w:val="8"/>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液化烃罐组</w:t>
            </w:r>
          </w:p>
          <w:p w:rsidR="000C2455" w:rsidRPr="00687B52" w:rsidRDefault="000C2455" w:rsidP="00D9787F">
            <w:pPr>
              <w:pStyle w:val="Default"/>
              <w:numPr>
                <w:ilvl w:val="0"/>
                <w:numId w:val="8"/>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总容积</w:t>
            </w:r>
            <w:r w:rsidRPr="00687B52">
              <w:rPr>
                <w:rFonts w:ascii="宋体" w:eastAsia="宋体" w:hAnsi="宋体" w:cs="Times New Roman" w:hint="eastAsia"/>
                <w:color w:val="000000" w:themeColor="text1"/>
              </w:rPr>
              <w:t>≥</w:t>
            </w:r>
            <w:r w:rsidRPr="00687B52">
              <w:rPr>
                <w:rFonts w:ascii="宋体" w:eastAsia="宋体" w:hAnsi="宋体" w:cs="Times New Roman"/>
                <w:color w:val="000000" w:themeColor="text1"/>
              </w:rPr>
              <w:t>120000m</w:t>
            </w:r>
            <w:r w:rsidRPr="00687B52">
              <w:rPr>
                <w:rFonts w:ascii="宋体" w:eastAsia="宋体" w:hAnsi="宋体" w:cs="Times New Roman"/>
                <w:color w:val="000000" w:themeColor="text1"/>
                <w:vertAlign w:val="superscript"/>
              </w:rPr>
              <w:t>3</w:t>
            </w:r>
            <w:r w:rsidRPr="00687B52">
              <w:rPr>
                <w:rFonts w:ascii="宋体" w:eastAsia="宋体" w:hAnsi="宋体" w:cs="Times New Roman"/>
                <w:color w:val="000000" w:themeColor="text1"/>
              </w:rPr>
              <w:t>的可燃液体罐组</w:t>
            </w:r>
          </w:p>
          <w:p w:rsidR="000C2455" w:rsidRPr="00687B52" w:rsidRDefault="000C2455" w:rsidP="00D9787F">
            <w:pPr>
              <w:pStyle w:val="Default"/>
              <w:numPr>
                <w:ilvl w:val="0"/>
                <w:numId w:val="8"/>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总容积</w:t>
            </w:r>
            <w:r w:rsidRPr="00687B52">
              <w:rPr>
                <w:rFonts w:ascii="宋体" w:eastAsia="宋体" w:hAnsi="宋体" w:cs="Times New Roman" w:hint="eastAsia"/>
                <w:color w:val="000000" w:themeColor="text1"/>
              </w:rPr>
              <w:t>≥</w:t>
            </w:r>
            <w:r w:rsidRPr="00687B52">
              <w:rPr>
                <w:rFonts w:ascii="宋体" w:eastAsia="宋体" w:hAnsi="宋体" w:cs="Times New Roman"/>
                <w:color w:val="000000" w:themeColor="text1"/>
              </w:rPr>
              <w:t>120000m</w:t>
            </w:r>
            <w:r w:rsidRPr="00687B52">
              <w:rPr>
                <w:rFonts w:ascii="宋体" w:eastAsia="宋体" w:hAnsi="宋体" w:cs="Times New Roman"/>
                <w:color w:val="000000" w:themeColor="text1"/>
                <w:vertAlign w:val="superscript"/>
              </w:rPr>
              <w:t>3</w:t>
            </w:r>
            <w:r w:rsidRPr="00687B52">
              <w:rPr>
                <w:rFonts w:ascii="宋体" w:eastAsia="宋体" w:hAnsi="宋体" w:cs="Times New Roman"/>
                <w:color w:val="000000" w:themeColor="text1"/>
              </w:rPr>
              <w:t>的两个或两个以上可燃液体罐组</w:t>
            </w:r>
            <w:r w:rsidRPr="00687B52">
              <w:rPr>
                <w:rFonts w:ascii="宋体" w:eastAsia="宋体" w:hAnsi="宋体" w:cs="Times New Roman" w:hint="eastAsia"/>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第4.3.4条</w:t>
            </w:r>
          </w:p>
        </w:tc>
        <w:tc>
          <w:tcPr>
            <w:tcW w:w="1642" w:type="pct"/>
            <w:vAlign w:val="center"/>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可燃液体的储罐区、可燃气体储罐区、装卸区及化学危险品仓库区应设环形消防车道</w:t>
            </w:r>
            <w:r w:rsidRPr="00687B52">
              <w:rPr>
                <w:rFonts w:ascii="宋体" w:eastAsia="宋体" w:hAnsi="宋体" w:cs="Times New Roman" w:hint="eastAsia"/>
                <w:color w:val="000000" w:themeColor="text1"/>
              </w:rPr>
              <w:t>，</w:t>
            </w:r>
            <w:r w:rsidRPr="00687B52">
              <w:rPr>
                <w:rFonts w:ascii="宋体" w:eastAsia="宋体" w:hAnsi="宋体" w:cs="Times New Roman"/>
                <w:color w:val="000000" w:themeColor="text1"/>
              </w:rPr>
              <w:t>当受地形条件限制时，也可设有回车场的尽头式消防车道。</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第4.3.4条</w:t>
            </w:r>
          </w:p>
        </w:tc>
        <w:tc>
          <w:tcPr>
            <w:tcW w:w="1642" w:type="pct"/>
            <w:vAlign w:val="center"/>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消防车道的路面宽度不应小于</w:t>
            </w:r>
            <w:smartTag w:uri="urn:schemas-microsoft-com:office:smarttags" w:element="chmetcnv">
              <w:smartTagPr>
                <w:attr w:name="TCSC" w:val="0"/>
                <w:attr w:name="NumberType" w:val="1"/>
                <w:attr w:name="Negative" w:val="False"/>
                <w:attr w:name="HasSpace" w:val="False"/>
                <w:attr w:name="SourceValue" w:val="6"/>
                <w:attr w:name="UnitName" w:val="m"/>
              </w:smartTagPr>
              <w:r w:rsidRPr="00687B52">
                <w:rPr>
                  <w:rFonts w:ascii="宋体" w:eastAsia="宋体" w:hAnsi="宋体" w:cs="Times New Roman"/>
                  <w:color w:val="000000" w:themeColor="text1"/>
                </w:rPr>
                <w:t>6m</w:t>
              </w:r>
            </w:smartTag>
            <w:r w:rsidRPr="00687B52">
              <w:rPr>
                <w:rFonts w:ascii="宋体" w:eastAsia="宋体" w:hAnsi="宋体" w:cs="Times New Roman"/>
                <w:color w:val="000000" w:themeColor="text1"/>
              </w:rPr>
              <w:t>，路面内缘转弯半径不宜小于</w:t>
            </w:r>
            <w:smartTag w:uri="urn:schemas-microsoft-com:office:smarttags" w:element="chmetcnv">
              <w:smartTagPr>
                <w:attr w:name="TCSC" w:val="0"/>
                <w:attr w:name="NumberType" w:val="1"/>
                <w:attr w:name="Negative" w:val="False"/>
                <w:attr w:name="HasSpace" w:val="False"/>
                <w:attr w:name="SourceValue" w:val="12"/>
                <w:attr w:name="UnitName" w:val="m"/>
              </w:smartTagPr>
              <w:r w:rsidRPr="00687B52">
                <w:rPr>
                  <w:rFonts w:ascii="宋体" w:eastAsia="宋体" w:hAnsi="宋体" w:cs="Times New Roman"/>
                  <w:color w:val="000000" w:themeColor="text1"/>
                </w:rPr>
                <w:t>12m</w:t>
              </w:r>
            </w:smartTag>
            <w:r w:rsidRPr="00687B52">
              <w:rPr>
                <w:rFonts w:ascii="宋体" w:eastAsia="宋体" w:hAnsi="宋体" w:cs="Times New Roman"/>
                <w:color w:val="000000" w:themeColor="text1"/>
              </w:rPr>
              <w:t>，路面上净空高度不应低于</w:t>
            </w:r>
            <w:smartTag w:uri="urn:schemas-microsoft-com:office:smarttags" w:element="chmetcnv">
              <w:smartTagPr>
                <w:attr w:name="TCSC" w:val="0"/>
                <w:attr w:name="NumberType" w:val="1"/>
                <w:attr w:name="Negative" w:val="False"/>
                <w:attr w:name="HasSpace" w:val="False"/>
                <w:attr w:name="SourceValue" w:val="5"/>
                <w:attr w:name="UnitName" w:val="m"/>
              </w:smartTagPr>
              <w:r w:rsidRPr="00687B52">
                <w:rPr>
                  <w:rFonts w:ascii="宋体" w:eastAsia="宋体" w:hAnsi="宋体" w:cs="Times New Roman"/>
                  <w:color w:val="000000" w:themeColor="text1"/>
                </w:rPr>
                <w:t>5m</w:t>
              </w:r>
            </w:smartTag>
            <w:r w:rsidRPr="00687B52">
              <w:rPr>
                <w:rFonts w:ascii="宋体" w:eastAsia="宋体" w:hAnsi="宋体" w:cs="Times New Roman"/>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第4.3.4条</w:t>
            </w:r>
          </w:p>
        </w:tc>
        <w:tc>
          <w:tcPr>
            <w:tcW w:w="1642" w:type="pct"/>
            <w:vAlign w:val="center"/>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液化烃、可燃液体、可燃气体的罐区内，任</w:t>
            </w:r>
            <w:r w:rsidRPr="00687B52">
              <w:rPr>
                <w:rFonts w:ascii="宋体" w:eastAsia="宋体" w:hAnsi="宋体" w:cs="Times New Roman"/>
                <w:color w:val="000000" w:themeColor="text1"/>
              </w:rPr>
              <w:lastRenderedPageBreak/>
              <w:t>何储罐的中心距至少两条消防车道的距离均不应大于</w:t>
            </w:r>
            <w:smartTag w:uri="urn:schemas-microsoft-com:office:smarttags" w:element="chmetcnv">
              <w:smartTagPr>
                <w:attr w:name="TCSC" w:val="0"/>
                <w:attr w:name="NumberType" w:val="1"/>
                <w:attr w:name="Negative" w:val="False"/>
                <w:attr w:name="HasSpace" w:val="False"/>
                <w:attr w:name="SourceValue" w:val="120"/>
                <w:attr w:name="UnitName" w:val="m"/>
              </w:smartTagPr>
              <w:r w:rsidRPr="00687B52">
                <w:rPr>
                  <w:rFonts w:ascii="宋体" w:eastAsia="宋体" w:hAnsi="宋体" w:cs="Times New Roman"/>
                  <w:color w:val="000000" w:themeColor="text1"/>
                </w:rPr>
                <w:t>120m</w:t>
              </w:r>
            </w:smartTag>
            <w:r w:rsidRPr="00687B52">
              <w:rPr>
                <w:rFonts w:ascii="宋体" w:eastAsia="宋体" w:hAnsi="宋体" w:cs="Times New Roman"/>
                <w:color w:val="000000" w:themeColor="text1"/>
              </w:rPr>
              <w:t>；当不能满足此要求时，任何储罐中心与最近的消防车道之间的距离不应大于</w:t>
            </w:r>
            <w:smartTag w:uri="urn:schemas-microsoft-com:office:smarttags" w:element="chmetcnv">
              <w:smartTagPr>
                <w:attr w:name="TCSC" w:val="0"/>
                <w:attr w:name="NumberType" w:val="1"/>
                <w:attr w:name="Negative" w:val="False"/>
                <w:attr w:name="HasSpace" w:val="False"/>
                <w:attr w:name="SourceValue" w:val="80"/>
                <w:attr w:name="UnitName" w:val="m"/>
              </w:smartTagPr>
              <w:r w:rsidRPr="00687B52">
                <w:rPr>
                  <w:rFonts w:ascii="宋体" w:eastAsia="宋体" w:hAnsi="宋体" w:cs="Times New Roman"/>
                  <w:color w:val="000000" w:themeColor="text1"/>
                </w:rPr>
                <w:t>80m</w:t>
              </w:r>
            </w:smartTag>
            <w:r w:rsidRPr="00687B52">
              <w:rPr>
                <w:rFonts w:ascii="宋体" w:eastAsia="宋体" w:hAnsi="宋体" w:cs="Times New Roman"/>
                <w:color w:val="000000" w:themeColor="text1"/>
              </w:rPr>
              <w:t>，且最近消防车道的路面宽度不应小于</w:t>
            </w:r>
            <w:smartTag w:uri="urn:schemas-microsoft-com:office:smarttags" w:element="chmetcnv">
              <w:smartTagPr>
                <w:attr w:name="TCSC" w:val="0"/>
                <w:attr w:name="NumberType" w:val="1"/>
                <w:attr w:name="Negative" w:val="False"/>
                <w:attr w:name="HasSpace" w:val="False"/>
                <w:attr w:name="SourceValue" w:val="9"/>
                <w:attr w:name="UnitName" w:val="m"/>
              </w:smartTagPr>
              <w:r w:rsidRPr="00687B52">
                <w:rPr>
                  <w:rFonts w:ascii="宋体" w:eastAsia="宋体" w:hAnsi="宋体" w:cs="Times New Roman"/>
                  <w:color w:val="000000" w:themeColor="text1"/>
                </w:rPr>
                <w:t>9m</w:t>
              </w:r>
            </w:smartTag>
            <w:r w:rsidRPr="00687B52">
              <w:rPr>
                <w:rFonts w:ascii="宋体" w:eastAsia="宋体" w:hAnsi="宋体" w:cs="Times New Roman"/>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w:t>
            </w:r>
            <w:r w:rsidRPr="00687B52">
              <w:rPr>
                <w:rFonts w:ascii="宋体" w:hAnsi="宋体"/>
                <w:color w:val="000000" w:themeColor="text1"/>
                <w:szCs w:val="24"/>
              </w:rPr>
              <w:lastRenderedPageBreak/>
              <w:t>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第4.3.5条</w:t>
            </w:r>
          </w:p>
        </w:tc>
        <w:tc>
          <w:tcPr>
            <w:tcW w:w="1642" w:type="pct"/>
            <w:vAlign w:val="center"/>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在液化烃、可燃液体的铁路装卸区应设与铁路线平行的消防车道，并符合下列规定：</w:t>
            </w:r>
          </w:p>
          <w:p w:rsidR="000C2455" w:rsidRPr="00687B52" w:rsidRDefault="000C2455" w:rsidP="00D9787F">
            <w:pPr>
              <w:pStyle w:val="Default"/>
              <w:numPr>
                <w:ilvl w:val="0"/>
                <w:numId w:val="10"/>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若一侧设消防车道，车道至最远的铁路线的距离不应大于</w:t>
            </w:r>
            <w:smartTag w:uri="urn:schemas-microsoft-com:office:smarttags" w:element="chmetcnv">
              <w:smartTagPr>
                <w:attr w:name="TCSC" w:val="0"/>
                <w:attr w:name="NumberType" w:val="1"/>
                <w:attr w:name="Negative" w:val="False"/>
                <w:attr w:name="HasSpace" w:val="False"/>
                <w:attr w:name="SourceValue" w:val="80"/>
                <w:attr w:name="UnitName" w:val="m"/>
              </w:smartTagPr>
              <w:r w:rsidRPr="00687B52">
                <w:rPr>
                  <w:rFonts w:ascii="宋体" w:eastAsia="宋体" w:hAnsi="宋体" w:cs="Times New Roman"/>
                  <w:color w:val="000000" w:themeColor="text1"/>
                </w:rPr>
                <w:t>80m</w:t>
              </w:r>
            </w:smartTag>
            <w:r w:rsidRPr="00687B52">
              <w:rPr>
                <w:rFonts w:ascii="宋体" w:eastAsia="宋体" w:hAnsi="宋体" w:cs="Times New Roman"/>
                <w:color w:val="000000" w:themeColor="text1"/>
              </w:rPr>
              <w:t>；</w:t>
            </w:r>
          </w:p>
          <w:p w:rsidR="000C2455" w:rsidRPr="00687B52" w:rsidRDefault="000C2455" w:rsidP="00D9787F">
            <w:pPr>
              <w:pStyle w:val="Default"/>
              <w:numPr>
                <w:ilvl w:val="0"/>
                <w:numId w:val="10"/>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若两侧设消防车道，车道之间的距离不应大于</w:t>
            </w:r>
            <w:smartTag w:uri="urn:schemas-microsoft-com:office:smarttags" w:element="chmetcnv">
              <w:smartTagPr>
                <w:attr w:name="TCSC" w:val="0"/>
                <w:attr w:name="NumberType" w:val="1"/>
                <w:attr w:name="Negative" w:val="False"/>
                <w:attr w:name="HasSpace" w:val="False"/>
                <w:attr w:name="SourceValue" w:val="200"/>
                <w:attr w:name="UnitName" w:val="m"/>
              </w:smartTagPr>
              <w:r w:rsidRPr="00687B52">
                <w:rPr>
                  <w:rFonts w:ascii="宋体" w:eastAsia="宋体" w:hAnsi="宋体" w:cs="Times New Roman"/>
                  <w:color w:val="000000" w:themeColor="text1"/>
                </w:rPr>
                <w:t>200m</w:t>
              </w:r>
            </w:smartTag>
            <w:r w:rsidRPr="00687B52">
              <w:rPr>
                <w:rFonts w:ascii="宋体" w:eastAsia="宋体" w:hAnsi="宋体" w:cs="Times New Roman"/>
                <w:color w:val="000000" w:themeColor="text1"/>
              </w:rPr>
              <w:t>，超过</w:t>
            </w:r>
            <w:smartTag w:uri="urn:schemas-microsoft-com:office:smarttags" w:element="chmetcnv">
              <w:smartTagPr>
                <w:attr w:name="TCSC" w:val="0"/>
                <w:attr w:name="NumberType" w:val="1"/>
                <w:attr w:name="Negative" w:val="False"/>
                <w:attr w:name="HasSpace" w:val="False"/>
                <w:attr w:name="SourceValue" w:val="200"/>
                <w:attr w:name="UnitName" w:val="m"/>
              </w:smartTagPr>
              <w:r w:rsidRPr="00687B52">
                <w:rPr>
                  <w:rFonts w:ascii="宋体" w:eastAsia="宋体" w:hAnsi="宋体" w:cs="Times New Roman"/>
                  <w:color w:val="000000" w:themeColor="text1"/>
                </w:rPr>
                <w:t>200m</w:t>
              </w:r>
            </w:smartTag>
            <w:r w:rsidRPr="00687B52">
              <w:rPr>
                <w:rFonts w:ascii="宋体" w:eastAsia="宋体" w:hAnsi="宋体" w:cs="Times New Roman"/>
                <w:color w:val="000000" w:themeColor="text1"/>
              </w:rPr>
              <w:t>时，其间尚应增设消防车道。</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第4.3.6条</w:t>
            </w:r>
          </w:p>
        </w:tc>
        <w:tc>
          <w:tcPr>
            <w:tcW w:w="1642" w:type="pct"/>
            <w:vAlign w:val="center"/>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当道路路面高出附近地面</w:t>
            </w:r>
            <w:smartTag w:uri="urn:schemas-microsoft-com:office:smarttags" w:element="chmetcnv">
              <w:smartTagPr>
                <w:attr w:name="TCSC" w:val="0"/>
                <w:attr w:name="NumberType" w:val="1"/>
                <w:attr w:name="Negative" w:val="False"/>
                <w:attr w:name="HasSpace" w:val="False"/>
                <w:attr w:name="SourceValue" w:val="2.5"/>
                <w:attr w:name="UnitName" w:val="m"/>
              </w:smartTagPr>
              <w:r w:rsidRPr="00687B52">
                <w:rPr>
                  <w:rFonts w:ascii="宋体" w:eastAsia="宋体" w:hAnsi="宋体" w:cs="Times New Roman"/>
                  <w:color w:val="000000" w:themeColor="text1"/>
                </w:rPr>
                <w:t>2.5m</w:t>
              </w:r>
            </w:smartTag>
            <w:r w:rsidRPr="00687B52">
              <w:rPr>
                <w:rFonts w:ascii="宋体" w:eastAsia="宋体" w:hAnsi="宋体" w:cs="Times New Roman"/>
                <w:color w:val="000000" w:themeColor="text1"/>
              </w:rPr>
              <w:t>以上、且在距道路边缘</w:t>
            </w:r>
            <w:smartTag w:uri="urn:schemas-microsoft-com:office:smarttags" w:element="chmetcnv">
              <w:smartTagPr>
                <w:attr w:name="TCSC" w:val="0"/>
                <w:attr w:name="NumberType" w:val="1"/>
                <w:attr w:name="Negative" w:val="False"/>
                <w:attr w:name="HasSpace" w:val="False"/>
                <w:attr w:name="SourceValue" w:val="15"/>
                <w:attr w:name="UnitName" w:val="m"/>
              </w:smartTagPr>
              <w:r w:rsidRPr="00687B52">
                <w:rPr>
                  <w:rFonts w:ascii="宋体" w:eastAsia="宋体" w:hAnsi="宋体" w:cs="Times New Roman"/>
                  <w:color w:val="000000" w:themeColor="text1"/>
                </w:rPr>
                <w:t>15m</w:t>
              </w:r>
            </w:smartTag>
            <w:r w:rsidRPr="00687B52">
              <w:rPr>
                <w:rFonts w:ascii="宋体" w:eastAsia="宋体" w:hAnsi="宋体" w:cs="Times New Roman"/>
                <w:color w:val="000000" w:themeColor="text1"/>
              </w:rPr>
              <w:t>范围内，有工艺装置或可燃气体、液化烃、可燃液体的储罐及管道时，应在该段道路的边缘设护墩、矮墙等防护设施。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第4.3.7条</w:t>
            </w:r>
          </w:p>
        </w:tc>
        <w:tc>
          <w:tcPr>
            <w:tcW w:w="1642" w:type="pct"/>
            <w:vAlign w:val="center"/>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管架支柱（边缘）、照明电杆、行道树或标志杆等距道路路面边缘不应小于</w:t>
            </w:r>
            <w:smartTag w:uri="urn:schemas-microsoft-com:office:smarttags" w:element="chmetcnv">
              <w:smartTagPr>
                <w:attr w:name="TCSC" w:val="0"/>
                <w:attr w:name="NumberType" w:val="1"/>
                <w:attr w:name="Negative" w:val="False"/>
                <w:attr w:name="HasSpace" w:val="False"/>
                <w:attr w:name="SourceValue" w:val=".5"/>
                <w:attr w:name="UnitName" w:val="m"/>
              </w:smartTagPr>
              <w:r w:rsidRPr="00687B52">
                <w:rPr>
                  <w:rFonts w:ascii="宋体" w:eastAsia="宋体" w:hAnsi="宋体" w:cs="Times New Roman"/>
                  <w:color w:val="000000" w:themeColor="text1"/>
                </w:rPr>
                <w:t>0.5m</w:t>
              </w:r>
            </w:smartTag>
            <w:r w:rsidRPr="00687B52">
              <w:rPr>
                <w:rFonts w:ascii="宋体" w:eastAsia="宋体" w:hAnsi="宋体" w:cs="Times New Roman"/>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第4.3.8条</w:t>
            </w:r>
          </w:p>
        </w:tc>
        <w:tc>
          <w:tcPr>
            <w:tcW w:w="1642" w:type="pct"/>
            <w:vAlign w:val="center"/>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在液化烃、可燃液体的铁路装卸区内，内燃机车至另一栈台鹤管的距离应符合下列规定：</w:t>
            </w:r>
          </w:p>
          <w:p w:rsidR="000C2455" w:rsidRPr="00687B52" w:rsidRDefault="000C2455" w:rsidP="00D9787F">
            <w:pPr>
              <w:pStyle w:val="Default"/>
              <w:numPr>
                <w:ilvl w:val="0"/>
                <w:numId w:val="11"/>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甲、乙类液体鹤管不应小于</w:t>
            </w:r>
            <w:smartTag w:uri="urn:schemas-microsoft-com:office:smarttags" w:element="chmetcnv">
              <w:smartTagPr>
                <w:attr w:name="TCSC" w:val="0"/>
                <w:attr w:name="NumberType" w:val="1"/>
                <w:attr w:name="Negative" w:val="False"/>
                <w:attr w:name="HasSpace" w:val="False"/>
                <w:attr w:name="SourceValue" w:val="12"/>
                <w:attr w:name="UnitName" w:val="m"/>
              </w:smartTagPr>
              <w:r w:rsidRPr="00687B52">
                <w:rPr>
                  <w:rFonts w:ascii="宋体" w:eastAsia="宋体" w:hAnsi="宋体" w:cs="Times New Roman"/>
                  <w:color w:val="000000" w:themeColor="text1"/>
                </w:rPr>
                <w:t>12m</w:t>
              </w:r>
            </w:smartTag>
            <w:r w:rsidRPr="00687B52">
              <w:rPr>
                <w:rFonts w:ascii="宋体" w:eastAsia="宋体" w:hAnsi="宋体" w:cs="Times New Roman"/>
                <w:color w:val="000000" w:themeColor="text1"/>
              </w:rPr>
              <w:t>；甲</w:t>
            </w:r>
            <w:r w:rsidRPr="00687B52">
              <w:rPr>
                <w:rFonts w:ascii="宋体" w:eastAsia="宋体" w:hAnsi="宋体" w:cs="Times New Roman"/>
                <w:color w:val="000000" w:themeColor="text1"/>
                <w:vertAlign w:val="subscript"/>
              </w:rPr>
              <w:t>B</w:t>
            </w:r>
            <w:r w:rsidRPr="00687B52">
              <w:rPr>
                <w:rFonts w:ascii="宋体" w:eastAsia="宋体" w:hAnsi="宋体" w:cs="Times New Roman"/>
                <w:color w:val="000000" w:themeColor="text1"/>
              </w:rPr>
              <w:t>、乙</w:t>
            </w:r>
            <w:r w:rsidRPr="00687B52">
              <w:rPr>
                <w:rFonts w:ascii="宋体" w:eastAsia="宋体" w:hAnsi="宋体" w:cs="Times New Roman"/>
                <w:color w:val="000000" w:themeColor="text1"/>
              </w:rPr>
              <w:lastRenderedPageBreak/>
              <w:t>类液体采用密闭装卸时，其防火间距可减少25%；</w:t>
            </w:r>
          </w:p>
          <w:p w:rsidR="000C2455" w:rsidRPr="00687B52" w:rsidRDefault="000C2455" w:rsidP="00D9787F">
            <w:pPr>
              <w:pStyle w:val="Default"/>
              <w:numPr>
                <w:ilvl w:val="0"/>
                <w:numId w:val="11"/>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丙类液体鹤管不应小于</w:t>
            </w:r>
            <w:smartTag w:uri="urn:schemas-microsoft-com:office:smarttags" w:element="chmetcnv">
              <w:smartTagPr>
                <w:attr w:name="TCSC" w:val="0"/>
                <w:attr w:name="NumberType" w:val="1"/>
                <w:attr w:name="Negative" w:val="False"/>
                <w:attr w:name="HasSpace" w:val="False"/>
                <w:attr w:name="SourceValue" w:val="8"/>
                <w:attr w:name="UnitName" w:val="m"/>
              </w:smartTagPr>
              <w:r w:rsidRPr="00687B52">
                <w:rPr>
                  <w:rFonts w:ascii="宋体" w:eastAsia="宋体" w:hAnsi="宋体" w:cs="Times New Roman"/>
                  <w:color w:val="000000" w:themeColor="text1"/>
                </w:rPr>
                <w:t>8m</w:t>
              </w:r>
            </w:smartTag>
            <w:r w:rsidRPr="00687B52">
              <w:rPr>
                <w:rFonts w:ascii="宋体" w:eastAsia="宋体" w:hAnsi="宋体" w:cs="Times New Roman"/>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第4.4.4条</w:t>
            </w:r>
          </w:p>
        </w:tc>
        <w:tc>
          <w:tcPr>
            <w:tcW w:w="1642" w:type="pct"/>
            <w:vAlign w:val="center"/>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当液化烃、可燃液体或甲、乙类固体的铁路装卸线为尽头线时，其车档至最后车位的距离不应小于</w:t>
            </w:r>
            <w:smartTag w:uri="urn:schemas-microsoft-com:office:smarttags" w:element="chmetcnv">
              <w:smartTagPr>
                <w:attr w:name="TCSC" w:val="0"/>
                <w:attr w:name="NumberType" w:val="1"/>
                <w:attr w:name="Negative" w:val="False"/>
                <w:attr w:name="HasSpace" w:val="False"/>
                <w:attr w:name="SourceValue" w:val="20"/>
                <w:attr w:name="UnitName" w:val="m"/>
              </w:smartTagPr>
              <w:r w:rsidRPr="00687B52">
                <w:rPr>
                  <w:rFonts w:ascii="宋体" w:eastAsia="宋体" w:hAnsi="宋体" w:cs="Times New Roman"/>
                  <w:color w:val="000000" w:themeColor="text1"/>
                </w:rPr>
                <w:t>20m</w:t>
              </w:r>
            </w:smartTag>
            <w:r w:rsidRPr="00687B52">
              <w:rPr>
                <w:rFonts w:ascii="宋体" w:eastAsia="宋体" w:hAnsi="宋体" w:cs="Times New Roman"/>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第4.4.5条</w:t>
            </w:r>
          </w:p>
        </w:tc>
        <w:tc>
          <w:tcPr>
            <w:tcW w:w="1642" w:type="pct"/>
            <w:vAlign w:val="center"/>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液化烃、可燃液体的铁路装卸线不得兼作走行线。</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第4.4.6条</w:t>
            </w:r>
          </w:p>
        </w:tc>
        <w:tc>
          <w:tcPr>
            <w:tcW w:w="1642" w:type="pct"/>
            <w:vAlign w:val="center"/>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在液化烃、可燃液体的铁路装卸区内，两相邻栈台鹤管之间的距离应符合下列规定：</w:t>
            </w:r>
          </w:p>
          <w:p w:rsidR="000C2455" w:rsidRPr="00687B52" w:rsidRDefault="000C2455" w:rsidP="00D9787F">
            <w:pPr>
              <w:pStyle w:val="Default"/>
              <w:numPr>
                <w:ilvl w:val="0"/>
                <w:numId w:val="12"/>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甲、乙类液体的栈台鹤管与相邻栈台鹤管之间的距离不应小于</w:t>
            </w:r>
            <w:smartTag w:uri="urn:schemas-microsoft-com:office:smarttags" w:element="chmetcnv">
              <w:smartTagPr>
                <w:attr w:name="UnitName" w:val="m"/>
                <w:attr w:name="SourceValue" w:val="10"/>
                <w:attr w:name="HasSpace" w:val="False"/>
                <w:attr w:name="Negative" w:val="False"/>
                <w:attr w:name="NumberType" w:val="1"/>
                <w:attr w:name="TCSC" w:val="0"/>
              </w:smartTagPr>
              <w:r w:rsidRPr="00687B52">
                <w:rPr>
                  <w:rFonts w:ascii="宋体" w:eastAsia="宋体" w:hAnsi="宋体" w:cs="Times New Roman"/>
                  <w:color w:val="000000" w:themeColor="text1"/>
                </w:rPr>
                <w:t>10m</w:t>
              </w:r>
            </w:smartTag>
            <w:r w:rsidRPr="00687B52">
              <w:rPr>
                <w:rFonts w:ascii="宋体" w:eastAsia="宋体" w:hAnsi="宋体" w:cs="Times New Roman"/>
                <w:color w:val="000000" w:themeColor="text1"/>
              </w:rPr>
              <w:t>；甲</w:t>
            </w:r>
            <w:r w:rsidRPr="00687B52">
              <w:rPr>
                <w:rFonts w:ascii="宋体" w:eastAsia="宋体" w:hAnsi="宋体" w:cs="Times New Roman"/>
                <w:color w:val="000000" w:themeColor="text1"/>
                <w:vertAlign w:val="subscript"/>
              </w:rPr>
              <w:t>B</w:t>
            </w:r>
            <w:r w:rsidRPr="00687B52">
              <w:rPr>
                <w:rFonts w:ascii="宋体" w:eastAsia="宋体" w:hAnsi="宋体" w:cs="Times New Roman"/>
                <w:color w:val="000000" w:themeColor="text1"/>
              </w:rPr>
              <w:t>、乙类液体采用密闭装卸时，其防火间距可减少25%；</w:t>
            </w:r>
          </w:p>
          <w:p w:rsidR="000C2455" w:rsidRPr="00687B52" w:rsidRDefault="000C2455" w:rsidP="00D9787F">
            <w:pPr>
              <w:pStyle w:val="Default"/>
              <w:numPr>
                <w:ilvl w:val="0"/>
                <w:numId w:val="12"/>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丙类液体的两相邻栈台鹤管之间的距离不应小于</w:t>
            </w:r>
            <w:smartTag w:uri="urn:schemas-microsoft-com:office:smarttags" w:element="chmetcnv">
              <w:smartTagPr>
                <w:attr w:name="UnitName" w:val="m"/>
                <w:attr w:name="SourceValue" w:val="7"/>
                <w:attr w:name="HasSpace" w:val="False"/>
                <w:attr w:name="Negative" w:val="False"/>
                <w:attr w:name="NumberType" w:val="1"/>
                <w:attr w:name="TCSC" w:val="0"/>
              </w:smartTagPr>
              <w:r w:rsidRPr="00687B52">
                <w:rPr>
                  <w:rFonts w:ascii="宋体" w:eastAsia="宋体" w:hAnsi="宋体" w:cs="Times New Roman"/>
                  <w:color w:val="000000" w:themeColor="text1"/>
                </w:rPr>
                <w:t>7m</w:t>
              </w:r>
            </w:smartTag>
            <w:r w:rsidRPr="00687B52">
              <w:rPr>
                <w:rFonts w:ascii="宋体" w:eastAsia="宋体" w:hAnsi="宋体" w:cs="Times New Roman"/>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第4.4.8条</w:t>
            </w:r>
          </w:p>
        </w:tc>
        <w:tc>
          <w:tcPr>
            <w:tcW w:w="1642" w:type="pct"/>
            <w:vAlign w:val="center"/>
          </w:tcPr>
          <w:p w:rsidR="000C2455" w:rsidRPr="00687B52" w:rsidRDefault="000C2455" w:rsidP="003E1D2A">
            <w:pPr>
              <w:pStyle w:val="a7"/>
              <w:spacing w:line="360" w:lineRule="exact"/>
              <w:rPr>
                <w:rFonts w:ascii="宋体" w:hAnsi="宋体"/>
                <w:color w:val="000000" w:themeColor="text1"/>
                <w:szCs w:val="24"/>
              </w:rPr>
            </w:pPr>
          </w:p>
        </w:tc>
      </w:tr>
      <w:tr w:rsidR="00FE7DF6" w:rsidRPr="00687B52" w:rsidTr="003E1D2A">
        <w:trPr>
          <w:jc w:val="center"/>
        </w:trPr>
        <w:tc>
          <w:tcPr>
            <w:tcW w:w="322" w:type="pct"/>
            <w:vAlign w:val="center"/>
          </w:tcPr>
          <w:p w:rsidR="00FE7DF6" w:rsidRPr="00687B52" w:rsidRDefault="00FE7DF6"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FE7DF6" w:rsidRPr="00687B52" w:rsidRDefault="00FE7DF6" w:rsidP="00FE7DF6">
            <w:pPr>
              <w:pStyle w:val="a7"/>
              <w:spacing w:line="360" w:lineRule="exact"/>
              <w:jc w:val="left"/>
              <w:rPr>
                <w:rFonts w:ascii="宋体" w:hAnsi="宋体"/>
                <w:color w:val="000000" w:themeColor="text1"/>
                <w:szCs w:val="24"/>
              </w:rPr>
            </w:pPr>
            <w:r w:rsidRPr="00687B52">
              <w:rPr>
                <w:rFonts w:ascii="宋体" w:hAnsi="宋体"/>
                <w:color w:val="000000" w:themeColor="text1"/>
                <w:szCs w:val="24"/>
              </w:rPr>
              <w:t>在使用或产生甲类气体或甲、乙</w:t>
            </w:r>
            <w:r w:rsidRPr="00687B52">
              <w:rPr>
                <w:rFonts w:ascii="宋体" w:hAnsi="宋体"/>
                <w:color w:val="000000" w:themeColor="text1"/>
                <w:szCs w:val="24"/>
                <w:vertAlign w:val="subscript"/>
              </w:rPr>
              <w:t>A</w:t>
            </w:r>
            <w:r w:rsidRPr="00687B52">
              <w:rPr>
                <w:rFonts w:ascii="宋体" w:hAnsi="宋体"/>
                <w:color w:val="000000" w:themeColor="text1"/>
                <w:szCs w:val="24"/>
              </w:rPr>
              <w:t>类液体的工艺装置、系统单元和储运设施区内，应按区域控制和重点控制相结合的原则，设置可燃气体报警系统。</w:t>
            </w:r>
          </w:p>
        </w:tc>
        <w:tc>
          <w:tcPr>
            <w:tcW w:w="1218" w:type="pct"/>
            <w:vAlign w:val="center"/>
          </w:tcPr>
          <w:p w:rsidR="00FE7DF6" w:rsidRPr="00687B52" w:rsidRDefault="00FE7DF6" w:rsidP="00FE7DF6">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FE7DF6" w:rsidRPr="00687B52" w:rsidRDefault="00FE7DF6" w:rsidP="00FE7DF6">
            <w:pPr>
              <w:pStyle w:val="a7"/>
              <w:spacing w:line="360" w:lineRule="exact"/>
              <w:rPr>
                <w:rFonts w:ascii="宋体" w:hAnsi="宋体"/>
                <w:color w:val="000000" w:themeColor="text1"/>
                <w:szCs w:val="24"/>
              </w:rPr>
            </w:pPr>
            <w:r w:rsidRPr="00687B52">
              <w:rPr>
                <w:rFonts w:ascii="宋体" w:hAnsi="宋体"/>
                <w:color w:val="000000" w:themeColor="text1"/>
                <w:szCs w:val="24"/>
              </w:rPr>
              <w:t>第</w:t>
            </w:r>
            <w:r w:rsidRPr="00687B52">
              <w:rPr>
                <w:rFonts w:ascii="宋体" w:hAnsi="宋体" w:hint="eastAsia"/>
                <w:color w:val="000000" w:themeColor="text1"/>
                <w:szCs w:val="24"/>
              </w:rPr>
              <w:t>5.1.3</w:t>
            </w:r>
            <w:r w:rsidRPr="00687B52">
              <w:rPr>
                <w:rFonts w:ascii="宋体" w:hAnsi="宋体"/>
                <w:color w:val="000000" w:themeColor="text1"/>
                <w:szCs w:val="24"/>
              </w:rPr>
              <w:t>条</w:t>
            </w:r>
          </w:p>
        </w:tc>
        <w:tc>
          <w:tcPr>
            <w:tcW w:w="1642" w:type="pct"/>
            <w:vAlign w:val="center"/>
          </w:tcPr>
          <w:p w:rsidR="00FE7DF6" w:rsidRPr="00687B52" w:rsidRDefault="00FE7DF6"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建筑物的安全疏散门应向外开启。甲、乙、丙类房间的安全疏散门不应少于两个；面积小于等于</w:t>
            </w:r>
            <w:smartTag w:uri="urn:schemas-microsoft-com:office:smarttags" w:element="chmetcnv">
              <w:smartTagPr>
                <w:attr w:name="TCSC" w:val="0"/>
                <w:attr w:name="NumberType" w:val="1"/>
                <w:attr w:name="Negative" w:val="False"/>
                <w:attr w:name="HasSpace" w:val="False"/>
                <w:attr w:name="SourceValue" w:val="100"/>
                <w:attr w:name="UnitName" w:val="m2"/>
              </w:smartTagPr>
              <w:r w:rsidRPr="00687B52">
                <w:rPr>
                  <w:rFonts w:ascii="宋体" w:eastAsia="宋体" w:hAnsi="宋体" w:cs="Times New Roman"/>
                  <w:color w:val="000000" w:themeColor="text1"/>
                </w:rPr>
                <w:t>100m</w:t>
              </w:r>
              <w:r w:rsidRPr="00687B52">
                <w:rPr>
                  <w:rFonts w:ascii="宋体" w:eastAsia="宋体" w:hAnsi="宋体" w:cs="Times New Roman"/>
                  <w:color w:val="000000" w:themeColor="text1"/>
                  <w:vertAlign w:val="superscript"/>
                </w:rPr>
                <w:t>2</w:t>
              </w:r>
            </w:smartTag>
            <w:r w:rsidRPr="00687B52">
              <w:rPr>
                <w:rFonts w:ascii="宋体" w:eastAsia="宋体" w:hAnsi="宋体" w:cs="Times New Roman"/>
                <w:color w:val="000000" w:themeColor="text1"/>
              </w:rPr>
              <w:t>的房间可只设1个。</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第5.2.25</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装置内消防道路的设置应符合下列规定：</w:t>
            </w:r>
          </w:p>
          <w:p w:rsidR="000C2455" w:rsidRPr="00687B52" w:rsidRDefault="000C2455" w:rsidP="00D9787F">
            <w:pPr>
              <w:pStyle w:val="Default"/>
              <w:numPr>
                <w:ilvl w:val="0"/>
                <w:numId w:val="47"/>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装置内应设贯通式道路，道路应有不少于两个出入口，且两个出入口宜位于不同方位。当装置外两侧消防道路间距不大于</w:t>
            </w:r>
            <w:smartTag w:uri="urn:schemas-microsoft-com:office:smarttags" w:element="chmetcnv">
              <w:smartTagPr>
                <w:attr w:name="TCSC" w:val="0"/>
                <w:attr w:name="NumberType" w:val="1"/>
                <w:attr w:name="Negative" w:val="False"/>
                <w:attr w:name="HasSpace" w:val="False"/>
                <w:attr w:name="SourceValue" w:val="120"/>
                <w:attr w:name="UnitName" w:val="m"/>
              </w:smartTagPr>
              <w:r w:rsidRPr="00687B52">
                <w:rPr>
                  <w:rFonts w:ascii="宋体" w:eastAsia="宋体" w:hAnsi="宋体" w:cs="Times New Roman"/>
                  <w:color w:val="000000" w:themeColor="text1"/>
                </w:rPr>
                <w:t>120m</w:t>
              </w:r>
            </w:smartTag>
            <w:r w:rsidRPr="00687B52">
              <w:rPr>
                <w:rFonts w:ascii="宋体" w:eastAsia="宋体" w:hAnsi="宋体" w:cs="Times New Roman"/>
                <w:color w:val="000000" w:themeColor="text1"/>
              </w:rPr>
              <w:t>时，装置内可不设贯通式道路；</w:t>
            </w:r>
          </w:p>
          <w:p w:rsidR="000C2455" w:rsidRPr="00687B52" w:rsidRDefault="000C2455" w:rsidP="00D9787F">
            <w:pPr>
              <w:pStyle w:val="Default"/>
              <w:numPr>
                <w:ilvl w:val="0"/>
                <w:numId w:val="47"/>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道路的路面宽度不应小于</w:t>
            </w:r>
            <w:smartTag w:uri="urn:schemas-microsoft-com:office:smarttags" w:element="chmetcnv">
              <w:smartTagPr>
                <w:attr w:name="TCSC" w:val="0"/>
                <w:attr w:name="NumberType" w:val="1"/>
                <w:attr w:name="Negative" w:val="False"/>
                <w:attr w:name="HasSpace" w:val="False"/>
                <w:attr w:name="SourceValue" w:val="4"/>
                <w:attr w:name="UnitName" w:val="m"/>
              </w:smartTagPr>
              <w:r w:rsidRPr="00687B52">
                <w:rPr>
                  <w:rFonts w:ascii="宋体" w:eastAsia="宋体" w:hAnsi="宋体" w:cs="Times New Roman"/>
                  <w:color w:val="000000" w:themeColor="text1"/>
                </w:rPr>
                <w:t>4m</w:t>
              </w:r>
            </w:smartTag>
            <w:r w:rsidRPr="00687B52">
              <w:rPr>
                <w:rFonts w:ascii="宋体" w:eastAsia="宋体" w:hAnsi="宋体" w:cs="Times New Roman"/>
                <w:color w:val="000000" w:themeColor="text1"/>
              </w:rPr>
              <w:t>，路面上的净空高度不应小于</w:t>
            </w:r>
            <w:smartTag w:uri="urn:schemas-microsoft-com:office:smarttags" w:element="chmetcnv">
              <w:smartTagPr>
                <w:attr w:name="TCSC" w:val="0"/>
                <w:attr w:name="NumberType" w:val="1"/>
                <w:attr w:name="Negative" w:val="False"/>
                <w:attr w:name="HasSpace" w:val="False"/>
                <w:attr w:name="SourceValue" w:val="4.5"/>
                <w:attr w:name="UnitName" w:val="m"/>
              </w:smartTagPr>
              <w:r w:rsidRPr="00687B52">
                <w:rPr>
                  <w:rFonts w:ascii="宋体" w:eastAsia="宋体" w:hAnsi="宋体" w:cs="Times New Roman"/>
                  <w:color w:val="000000" w:themeColor="text1"/>
                </w:rPr>
                <w:t>4.5m</w:t>
              </w:r>
            </w:smartTag>
            <w:r w:rsidRPr="00687B52">
              <w:rPr>
                <w:rFonts w:ascii="宋体" w:eastAsia="宋体" w:hAnsi="宋体" w:cs="Times New Roman"/>
                <w:color w:val="000000" w:themeColor="text1"/>
              </w:rPr>
              <w:t>；路面内缘转弯半径不宜小于</w:t>
            </w:r>
            <w:smartTag w:uri="urn:schemas-microsoft-com:office:smarttags" w:element="chmetcnv">
              <w:smartTagPr>
                <w:attr w:name="TCSC" w:val="0"/>
                <w:attr w:name="NumberType" w:val="1"/>
                <w:attr w:name="Negative" w:val="False"/>
                <w:attr w:name="HasSpace" w:val="False"/>
                <w:attr w:name="SourceValue" w:val="6"/>
                <w:attr w:name="UnitName" w:val="m"/>
              </w:smartTagPr>
              <w:r w:rsidRPr="00687B52">
                <w:rPr>
                  <w:rFonts w:ascii="宋体" w:eastAsia="宋体" w:hAnsi="宋体" w:cs="Times New Roman"/>
                  <w:color w:val="000000" w:themeColor="text1"/>
                </w:rPr>
                <w:t>6m</w:t>
              </w:r>
            </w:smartTag>
            <w:r w:rsidRPr="00687B52">
              <w:rPr>
                <w:rFonts w:ascii="宋体" w:eastAsia="宋体" w:hAnsi="宋体" w:cs="Times New Roman"/>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第5.2.10</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联合装置视同一个装置，其设备、建筑物的防火间距应按相邻设备、建筑物的防火间距确定，其防火间距应符合</w:t>
            </w:r>
            <w:r w:rsidRPr="00687B52">
              <w:rPr>
                <w:rFonts w:ascii="宋体" w:eastAsia="宋体" w:hAnsi="宋体" w:cs="Times New Roman" w:hint="eastAsia"/>
                <w:color w:val="000000" w:themeColor="text1"/>
              </w:rPr>
              <w:t>表5.2.1</w:t>
            </w:r>
            <w:r w:rsidRPr="00687B52">
              <w:rPr>
                <w:rFonts w:ascii="宋体" w:eastAsia="宋体" w:hAnsi="宋体" w:cs="Times New Roman"/>
                <w:color w:val="000000" w:themeColor="text1"/>
              </w:rPr>
              <w:t>的规定。</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第5.2.9</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装置储罐（组）的布置应符合下列规定：</w:t>
            </w:r>
          </w:p>
          <w:p w:rsidR="000C2455" w:rsidRPr="00687B52" w:rsidRDefault="000C2455" w:rsidP="00D9787F">
            <w:pPr>
              <w:pStyle w:val="Default"/>
              <w:numPr>
                <w:ilvl w:val="0"/>
                <w:numId w:val="49"/>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当装置储罐总容积：液化烃罐小于或等于</w:t>
            </w:r>
            <w:smartTag w:uri="urn:schemas-microsoft-com:office:smarttags" w:element="chmetcnv">
              <w:smartTagPr>
                <w:attr w:name="UnitName" w:val="m3"/>
                <w:attr w:name="SourceValue" w:val="100"/>
                <w:attr w:name="HasSpace" w:val="False"/>
                <w:attr w:name="Negative" w:val="False"/>
                <w:attr w:name="NumberType" w:val="1"/>
                <w:attr w:name="TCSC" w:val="0"/>
              </w:smartTagPr>
              <w:r w:rsidRPr="00687B52">
                <w:rPr>
                  <w:rFonts w:ascii="宋体" w:eastAsia="宋体" w:hAnsi="宋体" w:cs="Times New Roman"/>
                  <w:color w:val="000000" w:themeColor="text1"/>
                </w:rPr>
                <w:t>100m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、可燃气体或可燃液体罐小于或等于1000m</w:t>
            </w:r>
            <w:r w:rsidRPr="00687B52">
              <w:rPr>
                <w:rFonts w:ascii="宋体" w:eastAsia="宋体" w:hAnsi="宋体" w:cs="Times New Roman"/>
                <w:color w:val="000000" w:themeColor="text1"/>
                <w:vertAlign w:val="superscript"/>
              </w:rPr>
              <w:t>3</w:t>
            </w:r>
            <w:r w:rsidRPr="00687B52">
              <w:rPr>
                <w:rFonts w:ascii="宋体" w:eastAsia="宋体" w:hAnsi="宋体" w:cs="Times New Roman"/>
                <w:color w:val="000000" w:themeColor="text1"/>
              </w:rPr>
              <w:t>时，可布置在装置内，装置储罐与设备、建筑物的防火间距不应小于</w:t>
            </w:r>
            <w:r w:rsidRPr="00687B52">
              <w:rPr>
                <w:rFonts w:ascii="宋体" w:eastAsia="宋体" w:hAnsi="宋体" w:cs="Times New Roman" w:hint="eastAsia"/>
                <w:color w:val="000000" w:themeColor="text1"/>
              </w:rPr>
              <w:t>表5.2.1</w:t>
            </w:r>
            <w:r w:rsidRPr="00687B52">
              <w:rPr>
                <w:rFonts w:ascii="宋体" w:eastAsia="宋体" w:hAnsi="宋体" w:cs="Times New Roman"/>
                <w:color w:val="000000" w:themeColor="text1"/>
              </w:rPr>
              <w:t>的规定。</w:t>
            </w:r>
          </w:p>
          <w:p w:rsidR="000C2455" w:rsidRPr="00687B52" w:rsidRDefault="000C2455" w:rsidP="00D9787F">
            <w:pPr>
              <w:pStyle w:val="Default"/>
              <w:numPr>
                <w:ilvl w:val="0"/>
                <w:numId w:val="49"/>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当装置储罐组总容积：液化烃罐大于</w:t>
            </w:r>
            <w:smartTag w:uri="urn:schemas-microsoft-com:office:smarttags" w:element="chmetcnv">
              <w:smartTagPr>
                <w:attr w:name="UnitName" w:val="m3"/>
                <w:attr w:name="SourceValue" w:val="100"/>
                <w:attr w:name="HasSpace" w:val="False"/>
                <w:attr w:name="Negative" w:val="False"/>
                <w:attr w:name="NumberType" w:val="1"/>
                <w:attr w:name="TCSC" w:val="0"/>
              </w:smartTagPr>
              <w:r w:rsidRPr="00687B52">
                <w:rPr>
                  <w:rFonts w:ascii="宋体" w:eastAsia="宋体" w:hAnsi="宋体" w:cs="Times New Roman"/>
                  <w:color w:val="000000" w:themeColor="text1"/>
                </w:rPr>
                <w:t>100m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小于或等于</w:t>
            </w:r>
            <w:smartTag w:uri="urn:schemas-microsoft-com:office:smarttags" w:element="chmetcnv">
              <w:smartTagPr>
                <w:attr w:name="UnitName" w:val="m3"/>
                <w:attr w:name="SourceValue" w:val="500"/>
                <w:attr w:name="HasSpace" w:val="False"/>
                <w:attr w:name="Negative" w:val="False"/>
                <w:attr w:name="NumberType" w:val="1"/>
                <w:attr w:name="TCSC" w:val="0"/>
              </w:smartTagPr>
              <w:r w:rsidRPr="00687B52">
                <w:rPr>
                  <w:rFonts w:ascii="宋体" w:eastAsia="宋体" w:hAnsi="宋体" w:cs="Times New Roman"/>
                  <w:color w:val="000000" w:themeColor="text1"/>
                </w:rPr>
                <w:t>500m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、可燃液体罐或可燃气体罐大于</w:t>
            </w:r>
            <w:smartTag w:uri="urn:schemas-microsoft-com:office:smarttags" w:element="chmetcnv">
              <w:smartTagPr>
                <w:attr w:name="UnitName" w:val="m3"/>
                <w:attr w:name="SourceValue" w:val="1000"/>
                <w:attr w:name="HasSpace" w:val="False"/>
                <w:attr w:name="Negative" w:val="False"/>
                <w:attr w:name="NumberType" w:val="1"/>
                <w:attr w:name="TCSC" w:val="0"/>
              </w:smartTagPr>
              <w:r w:rsidRPr="00687B52">
                <w:rPr>
                  <w:rFonts w:ascii="宋体" w:eastAsia="宋体" w:hAnsi="宋体" w:cs="Times New Roman"/>
                  <w:color w:val="000000" w:themeColor="text1"/>
                </w:rPr>
                <w:t>1000m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小于或等于</w:t>
            </w:r>
            <w:smartTag w:uri="urn:schemas-microsoft-com:office:smarttags" w:element="chmetcnv">
              <w:smartTagPr>
                <w:attr w:name="UnitName" w:val="m3"/>
                <w:attr w:name="SourceValue" w:val="5000"/>
                <w:attr w:name="HasSpace" w:val="False"/>
                <w:attr w:name="Negative" w:val="False"/>
                <w:attr w:name="NumberType" w:val="1"/>
                <w:attr w:name="TCSC" w:val="0"/>
              </w:smartTagPr>
              <w:r w:rsidRPr="00687B52">
                <w:rPr>
                  <w:rFonts w:ascii="宋体" w:eastAsia="宋体" w:hAnsi="宋体" w:cs="Times New Roman"/>
                  <w:color w:val="000000" w:themeColor="text1"/>
                </w:rPr>
                <w:t>5000m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时，应成组集中布置在装置边缘；但液化烃单罐容积不应大于</w:t>
            </w:r>
            <w:smartTag w:uri="urn:schemas-microsoft-com:office:smarttags" w:element="chmetcnv">
              <w:smartTagPr>
                <w:attr w:name="UnitName" w:val="m3"/>
                <w:attr w:name="SourceValue" w:val="300"/>
                <w:attr w:name="HasSpace" w:val="False"/>
                <w:attr w:name="Negative" w:val="False"/>
                <w:attr w:name="NumberType" w:val="1"/>
                <w:attr w:name="TCSC" w:val="0"/>
              </w:smartTagPr>
              <w:r w:rsidRPr="00687B52">
                <w:rPr>
                  <w:rFonts w:ascii="宋体" w:eastAsia="宋体" w:hAnsi="宋体" w:cs="Times New Roman"/>
                  <w:color w:val="000000" w:themeColor="text1"/>
                </w:rPr>
                <w:t>300m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，可燃液体单罐容积不应大于</w:t>
            </w:r>
            <w:smartTag w:uri="urn:schemas-microsoft-com:office:smarttags" w:element="chmetcnv">
              <w:smartTagPr>
                <w:attr w:name="UnitName" w:val="m3"/>
                <w:attr w:name="SourceValue" w:val="3000"/>
                <w:attr w:name="HasSpace" w:val="False"/>
                <w:attr w:name="Negative" w:val="False"/>
                <w:attr w:name="NumberType" w:val="1"/>
                <w:attr w:name="TCSC" w:val="0"/>
              </w:smartTagPr>
              <w:r w:rsidRPr="00687B52">
                <w:rPr>
                  <w:rFonts w:ascii="宋体" w:eastAsia="宋体" w:hAnsi="宋体" w:cs="Times New Roman"/>
                  <w:color w:val="000000" w:themeColor="text1"/>
                </w:rPr>
                <w:t>3000m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。装置储罐组的防</w:t>
            </w:r>
            <w:r w:rsidRPr="00687B52">
              <w:rPr>
                <w:rFonts w:ascii="宋体" w:eastAsia="宋体" w:hAnsi="宋体" w:cs="Times New Roman"/>
                <w:color w:val="000000" w:themeColor="text1"/>
              </w:rPr>
              <w:lastRenderedPageBreak/>
              <w:t>火设计应符合本规范第6章的有关规定，与储罐相关的机泵应布置在防火堤外。装置储罐组与装置内其他设备、建筑物的防火间距不应小于</w:t>
            </w:r>
            <w:r w:rsidRPr="00687B52">
              <w:rPr>
                <w:rFonts w:ascii="宋体" w:eastAsia="宋体" w:hAnsi="宋体" w:cs="Times New Roman" w:hint="eastAsia"/>
                <w:color w:val="000000" w:themeColor="text1"/>
              </w:rPr>
              <w:t>表5.2.1</w:t>
            </w:r>
            <w:r w:rsidRPr="00687B52">
              <w:rPr>
                <w:rFonts w:ascii="宋体" w:eastAsia="宋体" w:hAnsi="宋体" w:cs="Times New Roman"/>
                <w:color w:val="000000" w:themeColor="text1"/>
              </w:rPr>
              <w:t>的规定。</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第5.2.22</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3E1D2A">
            <w:pPr>
              <w:pStyle w:val="a7"/>
              <w:spacing w:line="360" w:lineRule="exact"/>
              <w:rPr>
                <w:rFonts w:ascii="宋体" w:hAnsi="宋体"/>
                <w:b/>
                <w:color w:val="000000" w:themeColor="text1"/>
                <w:szCs w:val="24"/>
              </w:rPr>
            </w:pPr>
            <w:r w:rsidRPr="00687B52">
              <w:rPr>
                <w:rFonts w:ascii="宋体" w:hAnsi="宋体" w:hint="eastAsia"/>
                <w:b/>
                <w:color w:val="000000" w:themeColor="text1"/>
                <w:szCs w:val="24"/>
              </w:rPr>
              <w:lastRenderedPageBreak/>
              <w:t>2</w:t>
            </w:r>
          </w:p>
        </w:tc>
        <w:tc>
          <w:tcPr>
            <w:tcW w:w="4678" w:type="pct"/>
            <w:gridSpan w:val="3"/>
            <w:vAlign w:val="center"/>
          </w:tcPr>
          <w:p w:rsidR="000C2455" w:rsidRPr="00687B52" w:rsidRDefault="000C2455" w:rsidP="003E1D2A">
            <w:pPr>
              <w:pStyle w:val="a7"/>
              <w:spacing w:line="360" w:lineRule="exact"/>
              <w:jc w:val="left"/>
              <w:rPr>
                <w:rFonts w:ascii="宋体" w:hAnsi="宋体"/>
                <w:b/>
                <w:color w:val="000000" w:themeColor="text1"/>
                <w:szCs w:val="24"/>
              </w:rPr>
            </w:pPr>
            <w:r w:rsidRPr="00687B52">
              <w:rPr>
                <w:rFonts w:ascii="宋体" w:hAnsi="宋体"/>
                <w:b/>
                <w:color w:val="000000" w:themeColor="text1"/>
                <w:szCs w:val="24"/>
              </w:rPr>
              <w:t>工艺</w:t>
            </w:r>
            <w:r w:rsidRPr="00687B52">
              <w:rPr>
                <w:rFonts w:ascii="宋体" w:hAnsi="宋体" w:hint="eastAsia"/>
                <w:b/>
                <w:color w:val="000000" w:themeColor="text1"/>
                <w:szCs w:val="24"/>
              </w:rPr>
              <w:t>及设备设施</w:t>
            </w:r>
          </w:p>
        </w:tc>
      </w:tr>
      <w:tr w:rsidR="000C2455" w:rsidRPr="00687B52" w:rsidTr="003E1D2A">
        <w:trPr>
          <w:jc w:val="center"/>
        </w:trPr>
        <w:tc>
          <w:tcPr>
            <w:tcW w:w="322" w:type="pct"/>
            <w:vAlign w:val="center"/>
          </w:tcPr>
          <w:p w:rsidR="000C2455" w:rsidRPr="00687B52" w:rsidRDefault="000C2455" w:rsidP="003E1D2A">
            <w:pPr>
              <w:pStyle w:val="a7"/>
              <w:spacing w:line="360" w:lineRule="exact"/>
              <w:rPr>
                <w:rFonts w:ascii="宋体" w:hAnsi="宋体"/>
                <w:b/>
                <w:color w:val="000000" w:themeColor="text1"/>
                <w:szCs w:val="24"/>
              </w:rPr>
            </w:pPr>
            <w:r w:rsidRPr="00687B52">
              <w:rPr>
                <w:rFonts w:ascii="宋体" w:hAnsi="宋体" w:hint="eastAsia"/>
                <w:b/>
                <w:color w:val="000000" w:themeColor="text1"/>
                <w:szCs w:val="24"/>
              </w:rPr>
              <w:t>2.1</w:t>
            </w:r>
          </w:p>
        </w:tc>
        <w:tc>
          <w:tcPr>
            <w:tcW w:w="4678" w:type="pct"/>
            <w:gridSpan w:val="3"/>
            <w:vAlign w:val="center"/>
          </w:tcPr>
          <w:p w:rsidR="000C2455" w:rsidRPr="00687B52" w:rsidRDefault="000C2455" w:rsidP="003E1D2A">
            <w:pPr>
              <w:pStyle w:val="a7"/>
              <w:spacing w:line="360" w:lineRule="exact"/>
              <w:jc w:val="both"/>
              <w:rPr>
                <w:rFonts w:ascii="宋体" w:hAnsi="宋体"/>
                <w:color w:val="000000" w:themeColor="text1"/>
                <w:szCs w:val="24"/>
              </w:rPr>
            </w:pPr>
            <w:r w:rsidRPr="00687B52">
              <w:rPr>
                <w:rFonts w:ascii="宋体" w:hAnsi="宋体" w:hint="eastAsia"/>
                <w:b/>
                <w:color w:val="000000" w:themeColor="text1"/>
                <w:szCs w:val="24"/>
              </w:rPr>
              <w:t>一般规定</w:t>
            </w: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rPr>
                <w:rFonts w:ascii="宋体" w:hAnsi="宋体"/>
                <w:color w:val="000000" w:themeColor="text1"/>
                <w:sz w:val="24"/>
                <w:szCs w:val="24"/>
              </w:rPr>
            </w:pPr>
            <w:r w:rsidRPr="00687B52">
              <w:rPr>
                <w:rFonts w:ascii="宋体" w:hAnsi="宋体"/>
                <w:color w:val="000000" w:themeColor="text1"/>
                <w:sz w:val="24"/>
                <w:szCs w:val="24"/>
              </w:rPr>
              <w:t>危险化工工艺</w:t>
            </w:r>
            <w:r w:rsidRPr="00687B52">
              <w:rPr>
                <w:rFonts w:ascii="宋体" w:hAnsi="宋体" w:hint="eastAsia"/>
                <w:color w:val="000000" w:themeColor="text1"/>
                <w:sz w:val="24"/>
                <w:szCs w:val="24"/>
              </w:rPr>
              <w:t>生产装置</w:t>
            </w:r>
            <w:r w:rsidRPr="00687B52">
              <w:rPr>
                <w:rFonts w:ascii="宋体" w:hAnsi="宋体"/>
                <w:color w:val="000000" w:themeColor="text1"/>
                <w:sz w:val="24"/>
                <w:szCs w:val="24"/>
              </w:rPr>
              <w:t>的安全控制应按照《重点监管的危险化工工艺安全控制要求、重点监控参数及推荐的控制方案》的要求进行设置。</w:t>
            </w:r>
          </w:p>
        </w:tc>
        <w:tc>
          <w:tcPr>
            <w:tcW w:w="1218" w:type="pct"/>
            <w:vAlign w:val="center"/>
          </w:tcPr>
          <w:p w:rsidR="000C2455" w:rsidRPr="00687B52" w:rsidRDefault="000C2455" w:rsidP="003E1D2A">
            <w:pPr>
              <w:jc w:val="left"/>
              <w:rPr>
                <w:rFonts w:ascii="宋体" w:hAnsi="宋体"/>
                <w:color w:val="000000" w:themeColor="text1"/>
                <w:sz w:val="24"/>
                <w:szCs w:val="24"/>
              </w:rPr>
            </w:pPr>
            <w:r w:rsidRPr="00687B52">
              <w:rPr>
                <w:rFonts w:ascii="宋体" w:hAnsi="宋体"/>
                <w:color w:val="000000" w:themeColor="text1"/>
                <w:sz w:val="24"/>
                <w:szCs w:val="24"/>
              </w:rPr>
              <w:t>安监总管三〔2009〕116号</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明火加热炉附属的燃料气分液罐、燃料气加热器等与炉体的防火间距不应小于</w:t>
            </w:r>
            <w:smartTag w:uri="urn:schemas-microsoft-com:office:smarttags" w:element="chmetcnv">
              <w:smartTagPr>
                <w:attr w:name="UnitName" w:val="m"/>
                <w:attr w:name="SourceValue" w:val="6"/>
                <w:attr w:name="HasSpace" w:val="False"/>
                <w:attr w:name="Negative" w:val="False"/>
                <w:attr w:name="NumberType" w:val="1"/>
                <w:attr w:name="TCSC" w:val="0"/>
              </w:smartTagPr>
              <w:r w:rsidRPr="00687B52">
                <w:rPr>
                  <w:rFonts w:ascii="宋体" w:eastAsia="宋体" w:hAnsi="宋体" w:cs="Times New Roman"/>
                  <w:color w:val="000000" w:themeColor="text1"/>
                </w:rPr>
                <w:t>6m</w:t>
              </w:r>
            </w:smartTag>
            <w:r w:rsidRPr="00687B52">
              <w:rPr>
                <w:rFonts w:ascii="宋体" w:eastAsia="宋体" w:hAnsi="宋体" w:cs="Times New Roman"/>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第5.2.4条</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以甲</w:t>
            </w:r>
            <w:r w:rsidRPr="00687B52">
              <w:rPr>
                <w:rFonts w:ascii="宋体" w:eastAsia="宋体" w:hAnsi="宋体" w:cs="Times New Roman"/>
                <w:color w:val="000000" w:themeColor="text1"/>
                <w:vertAlign w:val="subscript"/>
              </w:rPr>
              <w:t>B</w:t>
            </w:r>
            <w:r w:rsidRPr="00687B52">
              <w:rPr>
                <w:rFonts w:ascii="宋体" w:eastAsia="宋体" w:hAnsi="宋体" w:cs="Times New Roman"/>
                <w:color w:val="000000" w:themeColor="text1"/>
              </w:rPr>
              <w:t>、乙</w:t>
            </w:r>
            <w:r w:rsidRPr="00687B52">
              <w:rPr>
                <w:rFonts w:ascii="宋体" w:eastAsia="宋体" w:hAnsi="宋体" w:cs="Times New Roman"/>
                <w:color w:val="000000" w:themeColor="text1"/>
                <w:vertAlign w:val="subscript"/>
              </w:rPr>
              <w:t>A</w:t>
            </w:r>
            <w:r w:rsidRPr="00687B52">
              <w:rPr>
                <w:rFonts w:ascii="宋体" w:eastAsia="宋体" w:hAnsi="宋体" w:cs="Times New Roman"/>
                <w:color w:val="000000" w:themeColor="text1"/>
              </w:rPr>
              <w:t>类液体为溶剂的溶液法聚合液所用的总容积大于</w:t>
            </w:r>
            <w:smartTag w:uri="urn:schemas-microsoft-com:office:smarttags" w:element="chmetcnv">
              <w:smartTagPr>
                <w:attr w:name="UnitName" w:val="m3"/>
                <w:attr w:name="SourceValue" w:val="800"/>
                <w:attr w:name="HasSpace" w:val="False"/>
                <w:attr w:name="Negative" w:val="False"/>
                <w:attr w:name="NumberType" w:val="1"/>
                <w:attr w:name="TCSC" w:val="0"/>
              </w:smartTagPr>
              <w:r w:rsidRPr="00687B52">
                <w:rPr>
                  <w:rFonts w:ascii="宋体" w:eastAsia="宋体" w:hAnsi="宋体" w:cs="Times New Roman"/>
                  <w:color w:val="000000" w:themeColor="text1"/>
                </w:rPr>
                <w:t>800m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的掺合储罐与相邻的设备、建筑物的防火间距不宜小于</w:t>
            </w:r>
            <w:smartTag w:uri="urn:schemas-microsoft-com:office:smarttags" w:element="chmetcnv">
              <w:smartTagPr>
                <w:attr w:name="UnitName" w:val="m"/>
                <w:attr w:name="SourceValue" w:val="7.5"/>
                <w:attr w:name="HasSpace" w:val="False"/>
                <w:attr w:name="Negative" w:val="False"/>
                <w:attr w:name="NumberType" w:val="1"/>
                <w:attr w:name="TCSC" w:val="0"/>
              </w:smartTagPr>
              <w:r w:rsidRPr="00687B52">
                <w:rPr>
                  <w:rFonts w:ascii="宋体" w:eastAsia="宋体" w:hAnsi="宋体" w:cs="Times New Roman"/>
                  <w:color w:val="000000" w:themeColor="text1"/>
                </w:rPr>
                <w:t>7.5m</w:t>
              </w:r>
            </w:smartTag>
            <w:r w:rsidRPr="00687B52">
              <w:rPr>
                <w:rFonts w:ascii="宋体" w:eastAsia="宋体" w:hAnsi="宋体" w:cs="Times New Roman"/>
                <w:color w:val="000000" w:themeColor="text1"/>
              </w:rPr>
              <w:t>；总容积小于或等于</w:t>
            </w:r>
            <w:smartTag w:uri="urn:schemas-microsoft-com:office:smarttags" w:element="chmetcnv">
              <w:smartTagPr>
                <w:attr w:name="UnitName" w:val="m3"/>
                <w:attr w:name="SourceValue" w:val="800"/>
                <w:attr w:name="HasSpace" w:val="False"/>
                <w:attr w:name="Negative" w:val="False"/>
                <w:attr w:name="NumberType" w:val="1"/>
                <w:attr w:name="TCSC" w:val="0"/>
              </w:smartTagPr>
              <w:r w:rsidRPr="00687B52">
                <w:rPr>
                  <w:rFonts w:ascii="宋体" w:eastAsia="宋体" w:hAnsi="宋体" w:cs="Times New Roman"/>
                  <w:color w:val="000000" w:themeColor="text1"/>
                </w:rPr>
                <w:t>800m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时，其防火间距不限。</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第5.2.5条</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布置在爆炸危险区的在线分析仪表间内设备为非防爆型时，在线分析仪表间应正压通风。</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第5.2.7条</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明火加热炉与露天布置的液化烃设备或甲类气体压缩机之间设置不燃烧材料实体墙时，不得小于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687B52">
                <w:rPr>
                  <w:rFonts w:ascii="宋体" w:eastAsia="宋体" w:hAnsi="宋体" w:cs="Times New Roman"/>
                  <w:color w:val="000000" w:themeColor="text1"/>
                </w:rPr>
                <w:t>15m</w:t>
              </w:r>
            </w:smartTag>
            <w:r w:rsidRPr="00687B52">
              <w:rPr>
                <w:rFonts w:ascii="宋体" w:eastAsia="宋体" w:hAnsi="宋体" w:cs="Times New Roman"/>
                <w:color w:val="000000" w:themeColor="text1"/>
              </w:rPr>
              <w:t>。实体墙的高度不宜小于</w:t>
            </w:r>
            <w:smartTag w:uri="urn:schemas-microsoft-com:office:smarttags" w:element="chmetcnv">
              <w:smartTagPr>
                <w:attr w:name="TCSC" w:val="0"/>
                <w:attr w:name="NumberType" w:val="1"/>
                <w:attr w:name="Negative" w:val="False"/>
                <w:attr w:name="HasSpace" w:val="False"/>
                <w:attr w:name="SourceValue" w:val="3"/>
                <w:attr w:name="UnitName" w:val="m"/>
              </w:smartTagPr>
              <w:r w:rsidRPr="00687B52">
                <w:rPr>
                  <w:rFonts w:ascii="宋体" w:eastAsia="宋体" w:hAnsi="宋体" w:cs="Times New Roman"/>
                  <w:color w:val="000000" w:themeColor="text1"/>
                </w:rPr>
                <w:t>3m</w:t>
              </w:r>
            </w:smartTag>
            <w:r w:rsidRPr="00687B52">
              <w:rPr>
                <w:rFonts w:ascii="宋体" w:eastAsia="宋体" w:hAnsi="宋体" w:cs="Times New Roman"/>
                <w:color w:val="000000" w:themeColor="text1"/>
              </w:rPr>
              <w:t>，距加热炉不宜大于</w:t>
            </w:r>
            <w:smartTag w:uri="urn:schemas-microsoft-com:office:smarttags" w:element="chmetcnv">
              <w:smartTagPr>
                <w:attr w:name="TCSC" w:val="0"/>
                <w:attr w:name="NumberType" w:val="1"/>
                <w:attr w:name="Negative" w:val="False"/>
                <w:attr w:name="HasSpace" w:val="False"/>
                <w:attr w:name="SourceValue" w:val="5"/>
                <w:attr w:name="UnitName" w:val="m"/>
              </w:smartTagPr>
              <w:r w:rsidRPr="00687B52">
                <w:rPr>
                  <w:rFonts w:ascii="宋体" w:eastAsia="宋体" w:hAnsi="宋体" w:cs="Times New Roman"/>
                  <w:color w:val="000000" w:themeColor="text1"/>
                </w:rPr>
                <w:t>5m</w:t>
              </w:r>
            </w:smartTag>
            <w:r w:rsidRPr="00687B52">
              <w:rPr>
                <w:rFonts w:ascii="宋体" w:eastAsia="宋体" w:hAnsi="宋体" w:cs="Times New Roman"/>
                <w:color w:val="000000" w:themeColor="text1"/>
              </w:rPr>
              <w:t>，实体墙的长度应满足由</w:t>
            </w:r>
            <w:r w:rsidRPr="00687B52">
              <w:rPr>
                <w:rFonts w:ascii="宋体" w:eastAsia="宋体" w:hAnsi="宋体" w:cs="Times New Roman"/>
                <w:color w:val="000000" w:themeColor="text1"/>
              </w:rPr>
              <w:lastRenderedPageBreak/>
              <w:t>露天布置的液化烃设备或甲类气体压缩机经实体墙至加热炉的折线距离不小于</w:t>
            </w:r>
            <w:smartTag w:uri="urn:schemas-microsoft-com:office:smarttags" w:element="chmetcnv">
              <w:smartTagPr>
                <w:attr w:name="TCSC" w:val="0"/>
                <w:attr w:name="NumberType" w:val="1"/>
                <w:attr w:name="Negative" w:val="False"/>
                <w:attr w:name="HasSpace" w:val="False"/>
                <w:attr w:name="SourceValue" w:val="22.5"/>
                <w:attr w:name="UnitName" w:val="m"/>
              </w:smartTagPr>
              <w:r w:rsidRPr="00687B52">
                <w:rPr>
                  <w:rFonts w:ascii="宋体" w:eastAsia="宋体" w:hAnsi="宋体" w:cs="Times New Roman"/>
                  <w:color w:val="000000" w:themeColor="text1"/>
                </w:rPr>
                <w:t>22.5m</w:t>
              </w:r>
            </w:smartTag>
            <w:r w:rsidRPr="00687B52">
              <w:rPr>
                <w:rFonts w:ascii="宋体" w:eastAsia="宋体" w:hAnsi="宋体" w:cs="Times New Roman"/>
                <w:color w:val="000000" w:themeColor="text1"/>
              </w:rPr>
              <w:t>。 当封闭式液化烃设备的厂房或甲类气体压缩机房面向明火加热炉一面为无门窗洞口的不燃烧材料实体墙时，加热炉与厂房的防火间距不得小于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687B52">
                <w:rPr>
                  <w:rFonts w:ascii="宋体" w:eastAsia="宋体" w:hAnsi="宋体" w:cs="Times New Roman"/>
                  <w:color w:val="000000" w:themeColor="text1"/>
                </w:rPr>
                <w:t>15m</w:t>
              </w:r>
            </w:smartTag>
            <w:r w:rsidRPr="00687B52">
              <w:rPr>
                <w:rFonts w:ascii="宋体" w:eastAsia="宋体" w:hAnsi="宋体" w:cs="Times New Roman"/>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第5.2.14</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布置在装置内的控制室、机柜间、变配电所、化验室、办公室等的布置应符合下列规定：</w:t>
            </w:r>
          </w:p>
          <w:p w:rsidR="000C2455" w:rsidRPr="00687B52" w:rsidRDefault="000C2455" w:rsidP="00D9787F">
            <w:pPr>
              <w:pStyle w:val="Default"/>
              <w:numPr>
                <w:ilvl w:val="0"/>
                <w:numId w:val="48"/>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控制室宜设在建筑物的底层；</w:t>
            </w:r>
          </w:p>
          <w:p w:rsidR="000C2455" w:rsidRPr="00687B52" w:rsidRDefault="000C2455" w:rsidP="00D9787F">
            <w:pPr>
              <w:pStyle w:val="Default"/>
              <w:numPr>
                <w:ilvl w:val="0"/>
                <w:numId w:val="48"/>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平面布置位于附加2区的办公室、化验室室内地面及控制室、机柜间、变配电所的设备层地面应高于室外地面，且高差不应小于</w:t>
            </w:r>
            <w:smartTag w:uri="urn:schemas-microsoft-com:office:smarttags" w:element="chmetcnv">
              <w:smartTagPr>
                <w:attr w:name="UnitName" w:val="m"/>
                <w:attr w:name="SourceValue" w:val=".6"/>
                <w:attr w:name="HasSpace" w:val="False"/>
                <w:attr w:name="Negative" w:val="False"/>
                <w:attr w:name="NumberType" w:val="1"/>
                <w:attr w:name="TCSC" w:val="0"/>
              </w:smartTagPr>
              <w:r w:rsidRPr="00687B52">
                <w:rPr>
                  <w:rFonts w:ascii="宋体" w:eastAsia="宋体" w:hAnsi="宋体" w:cs="Times New Roman"/>
                  <w:color w:val="000000" w:themeColor="text1"/>
                </w:rPr>
                <w:t>0.6m</w:t>
              </w:r>
            </w:smartTag>
            <w:r w:rsidRPr="00687B52">
              <w:rPr>
                <w:rFonts w:ascii="宋体" w:eastAsia="宋体" w:hAnsi="宋体" w:cs="Times New Roman"/>
                <w:color w:val="000000" w:themeColor="text1"/>
              </w:rPr>
              <w:t>；</w:t>
            </w:r>
          </w:p>
          <w:p w:rsidR="000C2455" w:rsidRPr="00687B52" w:rsidRDefault="000C2455" w:rsidP="00D9787F">
            <w:pPr>
              <w:pStyle w:val="Default"/>
              <w:numPr>
                <w:ilvl w:val="0"/>
                <w:numId w:val="48"/>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控制室、机柜间面向有火灾危险性设备侧的外墙应为无门窗洞口、耐火极限不低于3h的不燃烧材料实体墙；</w:t>
            </w:r>
          </w:p>
          <w:p w:rsidR="000C2455" w:rsidRPr="00687B52" w:rsidRDefault="000C2455" w:rsidP="00D9787F">
            <w:pPr>
              <w:pStyle w:val="Default"/>
              <w:numPr>
                <w:ilvl w:val="0"/>
                <w:numId w:val="48"/>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化验室、办公室等面向有火灾危险性设备侧的外墙宜为无门窗洞口不燃烧材料实体墙。当确需设置门窗时，应采用防火门窗；</w:t>
            </w:r>
          </w:p>
          <w:p w:rsidR="000C2455" w:rsidRPr="00687B52" w:rsidRDefault="000C2455" w:rsidP="00D9787F">
            <w:pPr>
              <w:pStyle w:val="Default"/>
              <w:numPr>
                <w:ilvl w:val="0"/>
                <w:numId w:val="48"/>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控制室或化验室的室内不得安装可燃气体、液化烃和可燃液体的在线分析仪器。</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第5.2.18</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装置的可燃气体、液化烃和可燃液体设备采</w:t>
            </w:r>
            <w:r w:rsidRPr="00687B52">
              <w:rPr>
                <w:rFonts w:ascii="宋体" w:eastAsia="宋体" w:hAnsi="宋体" w:cs="Times New Roman"/>
                <w:color w:val="000000" w:themeColor="text1"/>
              </w:rPr>
              <w:lastRenderedPageBreak/>
              <w:t>用多层构架布置时，除工艺要求外，其构架不宜超过四层。</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w:t>
            </w:r>
            <w:r w:rsidRPr="00687B52">
              <w:rPr>
                <w:rFonts w:ascii="宋体" w:hAnsi="宋体"/>
                <w:color w:val="000000" w:themeColor="text1"/>
                <w:szCs w:val="24"/>
              </w:rPr>
              <w:lastRenderedPageBreak/>
              <w:t>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第5.2.20</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空气冷却器不宜布置在操作温度等于或高于自燃点的可燃液体设备上方；若布置在其上方，应用不燃烧材料的隔板隔离保护。</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第5.2.21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甲、乙类物品仓库不应布置在装置内。若工艺需要，储量不大于5t的乙类物品储存间和丙类物品仓库可布置在装置内，并位于装置边缘。丙类物品仓库的总储量应符合本规范第6章的有关规定。</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第5.2.23</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可燃气体和助燃气体的钢瓶（含实瓶和空瓶），应分别存放在位于装置边缘的敞棚内。可燃气体的钢瓶距明火或操作温度等于或高于自燃点的设备防火间距不应小于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687B52">
                <w:rPr>
                  <w:rFonts w:ascii="宋体" w:eastAsia="宋体" w:hAnsi="宋体" w:cs="Times New Roman"/>
                  <w:color w:val="000000" w:themeColor="text1"/>
                </w:rPr>
                <w:t>15m</w:t>
              </w:r>
            </w:smartTag>
            <w:r w:rsidRPr="00687B52">
              <w:rPr>
                <w:rFonts w:ascii="宋体" w:eastAsia="宋体" w:hAnsi="宋体" w:cs="Times New Roman"/>
                <w:color w:val="000000" w:themeColor="text1"/>
              </w:rPr>
              <w:t>。分析专用的钢瓶储存间可靠近分析室布置，钢瓶储存间的建筑设计应满足泄压要求。</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第5.2.24</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设备的构架或平台的安全疏散通道应符合下列规定：</w:t>
            </w:r>
          </w:p>
          <w:p w:rsidR="000C2455" w:rsidRPr="00687B52" w:rsidRDefault="000C2455" w:rsidP="00D9787F">
            <w:pPr>
              <w:pStyle w:val="Default"/>
              <w:numPr>
                <w:ilvl w:val="0"/>
                <w:numId w:val="50"/>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可燃气体、液化烃和可燃液体的塔区平台或其他设备的构架平台应设置不少于两个通往地面的梯子，作为安全疏散通道，但长度不大于</w:t>
            </w:r>
            <w:smartTag w:uri="urn:schemas-microsoft-com:office:smarttags" w:element="chmetcnv">
              <w:smartTagPr>
                <w:attr w:name="UnitName" w:val="m"/>
                <w:attr w:name="SourceValue" w:val="8"/>
                <w:attr w:name="HasSpace" w:val="False"/>
                <w:attr w:name="Negative" w:val="False"/>
                <w:attr w:name="NumberType" w:val="1"/>
                <w:attr w:name="TCSC" w:val="0"/>
              </w:smartTagPr>
              <w:r w:rsidRPr="00687B52">
                <w:rPr>
                  <w:rFonts w:ascii="宋体" w:eastAsia="宋体" w:hAnsi="宋体" w:cs="Times New Roman"/>
                  <w:color w:val="000000" w:themeColor="text1"/>
                </w:rPr>
                <w:t>8m</w:t>
              </w:r>
            </w:smartTag>
            <w:r w:rsidRPr="00687B52">
              <w:rPr>
                <w:rFonts w:ascii="宋体" w:eastAsia="宋体" w:hAnsi="宋体" w:cs="Times New Roman"/>
                <w:color w:val="000000" w:themeColor="text1"/>
              </w:rPr>
              <w:t xml:space="preserve"> 的甲类气体和甲、乙</w:t>
            </w:r>
            <w:r w:rsidRPr="00687B52">
              <w:rPr>
                <w:rFonts w:ascii="宋体" w:eastAsia="宋体" w:hAnsi="宋体" w:cs="Times New Roman"/>
                <w:color w:val="000000" w:themeColor="text1"/>
                <w:vertAlign w:val="subscript"/>
              </w:rPr>
              <w:t>A</w:t>
            </w:r>
            <w:r w:rsidRPr="00687B52">
              <w:rPr>
                <w:rFonts w:ascii="宋体" w:eastAsia="宋体" w:hAnsi="宋体" w:cs="Times New Roman"/>
                <w:color w:val="000000" w:themeColor="text1"/>
              </w:rPr>
              <w:t>类液体设备的平台或长度不大于</w:t>
            </w:r>
            <w:smartTag w:uri="urn:schemas-microsoft-com:office:smarttags" w:element="chmetcnv">
              <w:smartTagPr>
                <w:attr w:name="UnitName" w:val="m"/>
                <w:attr w:name="SourceValue" w:val="15"/>
                <w:attr w:name="HasSpace" w:val="False"/>
                <w:attr w:name="Negative" w:val="False"/>
                <w:attr w:name="NumberType" w:val="1"/>
                <w:attr w:name="TCSC" w:val="0"/>
              </w:smartTagPr>
              <w:r w:rsidRPr="00687B52">
                <w:rPr>
                  <w:rFonts w:ascii="宋体" w:eastAsia="宋体" w:hAnsi="宋体" w:cs="Times New Roman"/>
                  <w:color w:val="000000" w:themeColor="text1"/>
                </w:rPr>
                <w:t>15m</w:t>
              </w:r>
            </w:smartTag>
            <w:r w:rsidRPr="00687B52">
              <w:rPr>
                <w:rFonts w:ascii="宋体" w:eastAsia="宋体" w:hAnsi="宋体" w:cs="Times New Roman"/>
                <w:color w:val="000000" w:themeColor="text1"/>
              </w:rPr>
              <w:t>的乙</w:t>
            </w:r>
            <w:r w:rsidRPr="00687B52">
              <w:rPr>
                <w:rFonts w:ascii="宋体" w:eastAsia="宋体" w:hAnsi="宋体" w:cs="Times New Roman"/>
                <w:color w:val="000000" w:themeColor="text1"/>
                <w:vertAlign w:val="subscript"/>
              </w:rPr>
              <w:t>B</w:t>
            </w:r>
            <w:r w:rsidRPr="00687B52">
              <w:rPr>
                <w:rFonts w:ascii="宋体" w:eastAsia="宋体" w:hAnsi="宋体" w:cs="Times New Roman"/>
                <w:color w:val="000000" w:themeColor="text1"/>
              </w:rPr>
              <w:t>、</w:t>
            </w:r>
            <w:r w:rsidRPr="00687B52">
              <w:rPr>
                <w:rFonts w:ascii="宋体" w:eastAsia="宋体" w:hAnsi="宋体" w:cs="Times New Roman"/>
                <w:color w:val="000000" w:themeColor="text1"/>
              </w:rPr>
              <w:lastRenderedPageBreak/>
              <w:t>丙类液体设备的平台，可只设一个梯子；</w:t>
            </w:r>
          </w:p>
          <w:p w:rsidR="000C2455" w:rsidRPr="00687B52" w:rsidRDefault="000C2455" w:rsidP="00D9787F">
            <w:pPr>
              <w:pStyle w:val="Default"/>
              <w:numPr>
                <w:ilvl w:val="0"/>
                <w:numId w:val="50"/>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相邻的构架、平台宜用走桥连通，与相邻平台连通的走桥可作为一个安全疏散通道；</w:t>
            </w:r>
          </w:p>
          <w:p w:rsidR="000C2455" w:rsidRPr="00687B52" w:rsidRDefault="000C2455" w:rsidP="00D9787F">
            <w:pPr>
              <w:pStyle w:val="Default"/>
              <w:numPr>
                <w:ilvl w:val="0"/>
                <w:numId w:val="50"/>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相邻安全疏散通道之间的距离不应大于</w:t>
            </w:r>
            <w:smartTag w:uri="urn:schemas-microsoft-com:office:smarttags" w:element="chmetcnv">
              <w:smartTagPr>
                <w:attr w:name="UnitName" w:val="m"/>
                <w:attr w:name="SourceValue" w:val="50"/>
                <w:attr w:name="HasSpace" w:val="False"/>
                <w:attr w:name="Negative" w:val="False"/>
                <w:attr w:name="NumberType" w:val="1"/>
                <w:attr w:name="TCSC" w:val="0"/>
              </w:smartTagPr>
              <w:r w:rsidRPr="00687B52">
                <w:rPr>
                  <w:rFonts w:ascii="宋体" w:eastAsia="宋体" w:hAnsi="宋体" w:cs="Times New Roman"/>
                  <w:color w:val="000000" w:themeColor="text1"/>
                </w:rPr>
                <w:t>50m</w:t>
              </w:r>
            </w:smartTag>
            <w:r w:rsidRPr="00687B52">
              <w:rPr>
                <w:rFonts w:ascii="宋体" w:eastAsia="宋体" w:hAnsi="宋体" w:cs="Times New Roman"/>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第5.2.26</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可燃气体压缩机的布置及其厂房的设计应符合下列规定：</w:t>
            </w:r>
          </w:p>
          <w:p w:rsidR="000C2455" w:rsidRPr="00687B52" w:rsidRDefault="000C2455" w:rsidP="00D9787F">
            <w:pPr>
              <w:pStyle w:val="Default"/>
              <w:numPr>
                <w:ilvl w:val="0"/>
                <w:numId w:val="51"/>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可燃气体压缩机宜布置在敞开或半敞开式厂房内；</w:t>
            </w:r>
          </w:p>
          <w:p w:rsidR="000C2455" w:rsidRPr="00687B52" w:rsidRDefault="000C2455" w:rsidP="00D9787F">
            <w:pPr>
              <w:pStyle w:val="Default"/>
              <w:numPr>
                <w:ilvl w:val="0"/>
                <w:numId w:val="51"/>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单机驱动功率等于或大于150kW的甲类气体压缩机厂房不宜与其他甲、乙和丙类房间共用一幢建筑物；</w:t>
            </w:r>
          </w:p>
          <w:p w:rsidR="000C2455" w:rsidRPr="00687B52" w:rsidRDefault="000C2455" w:rsidP="00D9787F">
            <w:pPr>
              <w:pStyle w:val="Default"/>
              <w:numPr>
                <w:ilvl w:val="0"/>
                <w:numId w:val="51"/>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压缩机的上方不得布置甲、乙和丙类工艺设备，但自用的高位润滑油箱不受此限；</w:t>
            </w:r>
          </w:p>
          <w:p w:rsidR="000C2455" w:rsidRPr="00687B52" w:rsidRDefault="000C2455" w:rsidP="00D9787F">
            <w:pPr>
              <w:pStyle w:val="Default"/>
              <w:numPr>
                <w:ilvl w:val="0"/>
                <w:numId w:val="51"/>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比空气轻的可燃气体压缩机半敞开式或封闭式厂房的顶部应采取通风措施；</w:t>
            </w:r>
          </w:p>
          <w:p w:rsidR="000C2455" w:rsidRPr="00687B52" w:rsidRDefault="000C2455" w:rsidP="00D9787F">
            <w:pPr>
              <w:pStyle w:val="Default"/>
              <w:numPr>
                <w:ilvl w:val="0"/>
                <w:numId w:val="51"/>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比空气轻的可燃气体压缩机厂房的楼板宜部分采用钢格板；</w:t>
            </w:r>
          </w:p>
          <w:p w:rsidR="000C2455" w:rsidRPr="00687B52" w:rsidRDefault="000C2455" w:rsidP="00D9787F">
            <w:pPr>
              <w:pStyle w:val="a7"/>
              <w:numPr>
                <w:ilvl w:val="0"/>
                <w:numId w:val="51"/>
              </w:numPr>
              <w:spacing w:line="360" w:lineRule="exact"/>
              <w:jc w:val="left"/>
              <w:rPr>
                <w:rFonts w:ascii="宋体" w:hAnsi="宋体"/>
                <w:color w:val="000000" w:themeColor="text1"/>
                <w:szCs w:val="24"/>
              </w:rPr>
            </w:pPr>
            <w:r w:rsidRPr="00687B52">
              <w:rPr>
                <w:rFonts w:ascii="宋体" w:hAnsi="宋体"/>
                <w:color w:val="000000" w:themeColor="text1"/>
                <w:szCs w:val="24"/>
              </w:rPr>
              <w:t>比空气重的可燃气体压缩机厂房的地面不宜设地坑或地沟；厂房内应有防止可燃气体积聚的措施。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第5.3.1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color w:val="000000" w:themeColor="text1"/>
                <w:szCs w:val="24"/>
              </w:rPr>
              <w:t>液化烃泵、可燃液体泵宜露天或半露天布置。</w:t>
            </w:r>
            <w:r w:rsidRPr="00687B52">
              <w:rPr>
                <w:rFonts w:ascii="宋体" w:hAnsi="宋体"/>
                <w:color w:val="000000" w:themeColor="text1"/>
                <w:szCs w:val="24"/>
              </w:rPr>
              <w:lastRenderedPageBreak/>
              <w:t>液化烃、操作温度等于或高于自燃点的可燃液体的泵上方，不宜布置甲、乙、丙类工艺设备；若在其上方布置甲、乙、丙类工艺设备，应用不燃烧材料的隔板隔离保护。</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w:t>
            </w:r>
            <w:r w:rsidRPr="00687B52">
              <w:rPr>
                <w:rFonts w:ascii="宋体" w:hAnsi="宋体"/>
                <w:color w:val="000000" w:themeColor="text1"/>
                <w:szCs w:val="24"/>
              </w:rPr>
              <w:lastRenderedPageBreak/>
              <w:t>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第5.3.2</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color w:val="000000" w:themeColor="text1"/>
                <w:szCs w:val="24"/>
              </w:rPr>
              <w:t>液化烃泵、可燃液体泵在泵房内布置时，其设计应符合下列规定：</w:t>
            </w:r>
          </w:p>
          <w:p w:rsidR="000C2455" w:rsidRPr="00687B52" w:rsidRDefault="000C2455" w:rsidP="00D9787F">
            <w:pPr>
              <w:pStyle w:val="a7"/>
              <w:numPr>
                <w:ilvl w:val="0"/>
                <w:numId w:val="52"/>
              </w:numPr>
              <w:spacing w:line="360" w:lineRule="exact"/>
              <w:jc w:val="left"/>
              <w:rPr>
                <w:rFonts w:ascii="宋体" w:hAnsi="宋体"/>
                <w:color w:val="000000" w:themeColor="text1"/>
                <w:szCs w:val="24"/>
              </w:rPr>
            </w:pPr>
            <w:r w:rsidRPr="00687B52">
              <w:rPr>
                <w:rFonts w:ascii="宋体" w:hAnsi="宋体"/>
                <w:color w:val="000000" w:themeColor="text1"/>
                <w:szCs w:val="24"/>
              </w:rPr>
              <w:t>液化烃泵、操作温度等于或高于自燃点的可燃液体泵、操作温度低于自燃点的可燃液体泵应分别布置在不同房间内，各房间之间的隔墙应为防火墙；</w:t>
            </w:r>
          </w:p>
          <w:p w:rsidR="000C2455" w:rsidRPr="00687B52" w:rsidRDefault="000C2455" w:rsidP="00D9787F">
            <w:pPr>
              <w:pStyle w:val="a7"/>
              <w:numPr>
                <w:ilvl w:val="0"/>
                <w:numId w:val="52"/>
              </w:numPr>
              <w:spacing w:line="360" w:lineRule="exact"/>
              <w:jc w:val="left"/>
              <w:rPr>
                <w:rFonts w:ascii="宋体" w:hAnsi="宋体"/>
                <w:color w:val="000000" w:themeColor="text1"/>
                <w:szCs w:val="24"/>
              </w:rPr>
            </w:pPr>
            <w:r w:rsidRPr="00687B52">
              <w:rPr>
                <w:rFonts w:ascii="宋体" w:hAnsi="宋体"/>
                <w:color w:val="000000" w:themeColor="text1"/>
                <w:szCs w:val="24"/>
              </w:rPr>
              <w:t>操作温度等于或高于自燃点的可燃液体泵房的门窗与操作温度低于自燃点的甲B、乙A类液体泵房的门窗或液化烃泵房的门窗的距离不应小于4.5m。</w:t>
            </w:r>
          </w:p>
          <w:p w:rsidR="000C2455" w:rsidRPr="00687B52" w:rsidRDefault="000C2455" w:rsidP="00D9787F">
            <w:pPr>
              <w:pStyle w:val="a7"/>
              <w:numPr>
                <w:ilvl w:val="0"/>
                <w:numId w:val="52"/>
              </w:numPr>
              <w:spacing w:line="360" w:lineRule="exact"/>
              <w:jc w:val="left"/>
              <w:rPr>
                <w:rFonts w:ascii="宋体" w:hAnsi="宋体"/>
                <w:color w:val="000000" w:themeColor="text1"/>
                <w:szCs w:val="24"/>
              </w:rPr>
            </w:pPr>
            <w:r w:rsidRPr="00687B52">
              <w:rPr>
                <w:rFonts w:ascii="宋体" w:hAnsi="宋体" w:hint="eastAsia"/>
                <w:color w:val="000000" w:themeColor="text1"/>
              </w:rPr>
              <w:t>甲、</w:t>
            </w:r>
            <w:r w:rsidRPr="00687B52">
              <w:rPr>
                <w:rFonts w:ascii="宋体" w:hAnsi="宋体"/>
                <w:color w:val="000000" w:themeColor="text1"/>
                <w:szCs w:val="24"/>
              </w:rPr>
              <w:t>乙</w:t>
            </w:r>
            <w:r w:rsidRPr="00687B52">
              <w:rPr>
                <w:rFonts w:ascii="宋体" w:hAnsi="宋体"/>
                <w:color w:val="000000" w:themeColor="text1"/>
                <w:szCs w:val="24"/>
                <w:vertAlign w:val="subscript"/>
              </w:rPr>
              <w:t>A</w:t>
            </w:r>
            <w:r w:rsidRPr="00687B52">
              <w:rPr>
                <w:rFonts w:ascii="宋体" w:hAnsi="宋体"/>
                <w:color w:val="000000" w:themeColor="text1"/>
                <w:szCs w:val="24"/>
              </w:rPr>
              <w:t>类液体泵房的地面不宜设地坑或地沟，泵房内应有防止可燃气体积聚的措施；</w:t>
            </w:r>
          </w:p>
          <w:p w:rsidR="000C2455" w:rsidRPr="00687B52" w:rsidRDefault="000C2455" w:rsidP="00D9787F">
            <w:pPr>
              <w:pStyle w:val="Default"/>
              <w:numPr>
                <w:ilvl w:val="0"/>
                <w:numId w:val="52"/>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在液化烃、操作温度等于或高于自燃点的可燃液体泵房的上方，不宜布置甲、乙、丙类工艺设备；</w:t>
            </w:r>
          </w:p>
          <w:p w:rsidR="000C2455" w:rsidRPr="00687B52" w:rsidRDefault="000C2455" w:rsidP="00D9787F">
            <w:pPr>
              <w:pStyle w:val="a7"/>
              <w:numPr>
                <w:ilvl w:val="0"/>
                <w:numId w:val="52"/>
              </w:numPr>
              <w:spacing w:line="360" w:lineRule="exact"/>
              <w:jc w:val="left"/>
              <w:rPr>
                <w:rFonts w:ascii="宋体" w:hAnsi="宋体"/>
                <w:color w:val="000000" w:themeColor="text1"/>
                <w:szCs w:val="24"/>
              </w:rPr>
            </w:pPr>
            <w:r w:rsidRPr="00687B52">
              <w:rPr>
                <w:rFonts w:ascii="宋体" w:hAnsi="宋体"/>
                <w:color w:val="000000" w:themeColor="text1"/>
                <w:szCs w:val="24"/>
              </w:rPr>
              <w:t>液化烃泵不超过两台时，可与操作温度低于自燃点的可燃液体泵同房间布置。</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第5.3.3</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气柜或全冷冻式液化烃储存设施内，泵和压</w:t>
            </w:r>
            <w:r w:rsidRPr="00687B52">
              <w:rPr>
                <w:rFonts w:ascii="宋体" w:eastAsia="宋体" w:hAnsi="宋体" w:cs="Times New Roman"/>
                <w:color w:val="000000" w:themeColor="text1"/>
              </w:rPr>
              <w:lastRenderedPageBreak/>
              <w:t>缩机等旋转设备或其房间与储罐的防火间距不应小于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687B52">
                <w:rPr>
                  <w:rFonts w:ascii="宋体" w:eastAsia="宋体" w:hAnsi="宋体" w:cs="Times New Roman"/>
                  <w:color w:val="000000" w:themeColor="text1"/>
                </w:rPr>
                <w:t>15m</w:t>
              </w:r>
            </w:smartTag>
            <w:r w:rsidRPr="00687B52">
              <w:rPr>
                <w:rFonts w:ascii="宋体" w:eastAsia="宋体" w:hAnsi="宋体" w:cs="Times New Roman"/>
                <w:color w:val="000000" w:themeColor="text1"/>
              </w:rPr>
              <w:t>。其他设备之间及非旋转设备与储罐的防火间距应按表</w:t>
            </w:r>
            <w:r w:rsidRPr="00687B52">
              <w:rPr>
                <w:rFonts w:ascii="宋体" w:eastAsia="宋体" w:hAnsi="宋体" w:cs="Times New Roman" w:hint="eastAsia"/>
                <w:color w:val="000000" w:themeColor="text1"/>
              </w:rPr>
              <w:t>5.2.1</w:t>
            </w:r>
            <w:r w:rsidRPr="00687B52">
              <w:rPr>
                <w:rFonts w:ascii="宋体" w:eastAsia="宋体" w:hAnsi="宋体" w:cs="Times New Roman"/>
                <w:color w:val="000000" w:themeColor="text1"/>
              </w:rPr>
              <w:t>执行。</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w:t>
            </w:r>
            <w:r w:rsidRPr="00687B52">
              <w:rPr>
                <w:rFonts w:ascii="宋体" w:hAnsi="宋体"/>
                <w:color w:val="000000" w:themeColor="text1"/>
                <w:szCs w:val="24"/>
              </w:rPr>
              <w:lastRenderedPageBreak/>
              <w:t>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第5.3.4</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罐组的专用泵区应布置在防火堤外，与储罐的防火间距应符合下列规定：</w:t>
            </w:r>
          </w:p>
          <w:p w:rsidR="000C2455" w:rsidRPr="00687B52" w:rsidRDefault="000C2455" w:rsidP="00D9787F">
            <w:pPr>
              <w:pStyle w:val="Default"/>
              <w:numPr>
                <w:ilvl w:val="0"/>
                <w:numId w:val="53"/>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距甲</w:t>
            </w:r>
            <w:r w:rsidRPr="00687B52">
              <w:rPr>
                <w:rFonts w:ascii="宋体" w:eastAsia="宋体" w:hAnsi="宋体" w:cs="Times New Roman"/>
                <w:color w:val="000000" w:themeColor="text1"/>
                <w:vertAlign w:val="subscript"/>
              </w:rPr>
              <w:t>A</w:t>
            </w:r>
            <w:r w:rsidRPr="00687B52">
              <w:rPr>
                <w:rFonts w:ascii="宋体" w:eastAsia="宋体" w:hAnsi="宋体" w:cs="Times New Roman"/>
                <w:color w:val="000000" w:themeColor="text1"/>
              </w:rPr>
              <w:t>类储罐不应小于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687B52">
                <w:rPr>
                  <w:rFonts w:ascii="宋体" w:eastAsia="宋体" w:hAnsi="宋体" w:cs="Times New Roman"/>
                  <w:color w:val="000000" w:themeColor="text1"/>
                </w:rPr>
                <w:t>15m</w:t>
              </w:r>
            </w:smartTag>
            <w:r w:rsidRPr="00687B52">
              <w:rPr>
                <w:rFonts w:ascii="宋体" w:eastAsia="宋体" w:hAnsi="宋体" w:cs="Times New Roman"/>
                <w:color w:val="000000" w:themeColor="text1"/>
              </w:rPr>
              <w:t>；</w:t>
            </w:r>
          </w:p>
          <w:p w:rsidR="000C2455" w:rsidRPr="00687B52" w:rsidRDefault="000C2455" w:rsidP="00D9787F">
            <w:pPr>
              <w:pStyle w:val="Default"/>
              <w:numPr>
                <w:ilvl w:val="0"/>
                <w:numId w:val="53"/>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距甲</w:t>
            </w:r>
            <w:r w:rsidRPr="00687B52">
              <w:rPr>
                <w:rFonts w:ascii="宋体" w:eastAsia="宋体" w:hAnsi="宋体" w:cs="Times New Roman"/>
                <w:color w:val="000000" w:themeColor="text1"/>
                <w:vertAlign w:val="subscript"/>
              </w:rPr>
              <w:t>B</w:t>
            </w:r>
            <w:r w:rsidRPr="00687B52">
              <w:rPr>
                <w:rFonts w:ascii="宋体" w:eastAsia="宋体" w:hAnsi="宋体" w:cs="Times New Roman"/>
                <w:color w:val="000000" w:themeColor="text1"/>
              </w:rPr>
              <w:t>、乙类固定顶储罐不应小于</w:t>
            </w:r>
            <w:smartTag w:uri="urn:schemas-microsoft-com:office:smarttags" w:element="chmetcnv">
              <w:smartTagPr>
                <w:attr w:name="TCSC" w:val="0"/>
                <w:attr w:name="NumberType" w:val="1"/>
                <w:attr w:name="Negative" w:val="False"/>
                <w:attr w:name="HasSpace" w:val="False"/>
                <w:attr w:name="SourceValue" w:val="12"/>
                <w:attr w:name="UnitName" w:val="m"/>
              </w:smartTagPr>
              <w:r w:rsidRPr="00687B52">
                <w:rPr>
                  <w:rFonts w:ascii="宋体" w:eastAsia="宋体" w:hAnsi="宋体" w:cs="Times New Roman"/>
                  <w:color w:val="000000" w:themeColor="text1"/>
                </w:rPr>
                <w:t>12m</w:t>
              </w:r>
            </w:smartTag>
            <w:r w:rsidRPr="00687B52">
              <w:rPr>
                <w:rFonts w:ascii="宋体" w:eastAsia="宋体" w:hAnsi="宋体" w:cs="Times New Roman"/>
                <w:color w:val="000000" w:themeColor="text1"/>
              </w:rPr>
              <w:t>，距小于或等于</w:t>
            </w:r>
            <w:smartTag w:uri="urn:schemas-microsoft-com:office:smarttags" w:element="chmetcnv">
              <w:smartTagPr>
                <w:attr w:name="TCSC" w:val="0"/>
                <w:attr w:name="NumberType" w:val="1"/>
                <w:attr w:name="Negative" w:val="False"/>
                <w:attr w:name="HasSpace" w:val="False"/>
                <w:attr w:name="SourceValue" w:val="500"/>
                <w:attr w:name="UnitName" w:val="m3"/>
              </w:smartTagPr>
              <w:r w:rsidRPr="00687B52">
                <w:rPr>
                  <w:rFonts w:ascii="宋体" w:eastAsia="宋体" w:hAnsi="宋体" w:cs="Times New Roman"/>
                  <w:color w:val="000000" w:themeColor="text1"/>
                </w:rPr>
                <w:t>500m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的甲</w:t>
            </w:r>
            <w:r w:rsidRPr="00687B52">
              <w:rPr>
                <w:rFonts w:ascii="宋体" w:eastAsia="宋体" w:hAnsi="宋体" w:cs="Times New Roman"/>
                <w:color w:val="000000" w:themeColor="text1"/>
                <w:vertAlign w:val="subscript"/>
              </w:rPr>
              <w:t>B</w:t>
            </w:r>
            <w:r w:rsidRPr="00687B52">
              <w:rPr>
                <w:rFonts w:ascii="宋体" w:eastAsia="宋体" w:hAnsi="宋体" w:cs="Times New Roman"/>
                <w:color w:val="000000" w:themeColor="text1"/>
              </w:rPr>
              <w:t>、乙类固定顶储罐不应小于</w:t>
            </w:r>
            <w:smartTag w:uri="urn:schemas-microsoft-com:office:smarttags" w:element="chmetcnv">
              <w:smartTagPr>
                <w:attr w:name="TCSC" w:val="0"/>
                <w:attr w:name="NumberType" w:val="1"/>
                <w:attr w:name="Negative" w:val="False"/>
                <w:attr w:name="HasSpace" w:val="False"/>
                <w:attr w:name="SourceValue" w:val="10"/>
                <w:attr w:name="UnitName" w:val="m"/>
              </w:smartTagPr>
              <w:r w:rsidRPr="00687B52">
                <w:rPr>
                  <w:rFonts w:ascii="宋体" w:eastAsia="宋体" w:hAnsi="宋体" w:cs="Times New Roman"/>
                  <w:color w:val="000000" w:themeColor="text1"/>
                </w:rPr>
                <w:t>10m</w:t>
              </w:r>
            </w:smartTag>
            <w:r w:rsidRPr="00687B52">
              <w:rPr>
                <w:rFonts w:ascii="宋体" w:eastAsia="宋体" w:hAnsi="宋体" w:cs="Times New Roman"/>
                <w:color w:val="000000" w:themeColor="text1"/>
              </w:rPr>
              <w:t xml:space="preserve">； </w:t>
            </w:r>
          </w:p>
          <w:p w:rsidR="000C2455" w:rsidRPr="00687B52" w:rsidRDefault="000C2455" w:rsidP="00D9787F">
            <w:pPr>
              <w:pStyle w:val="Default"/>
              <w:numPr>
                <w:ilvl w:val="0"/>
                <w:numId w:val="53"/>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距浮顶及内浮顶储罐、丙</w:t>
            </w:r>
            <w:r w:rsidRPr="00687B52">
              <w:rPr>
                <w:rFonts w:ascii="宋体" w:eastAsia="宋体" w:hAnsi="宋体" w:cs="Times New Roman"/>
                <w:color w:val="000000" w:themeColor="text1"/>
                <w:vertAlign w:val="subscript"/>
              </w:rPr>
              <w:t>A</w:t>
            </w:r>
            <w:r w:rsidRPr="00687B52">
              <w:rPr>
                <w:rFonts w:ascii="宋体" w:eastAsia="宋体" w:hAnsi="宋体" w:cs="Times New Roman"/>
                <w:color w:val="000000" w:themeColor="text1"/>
              </w:rPr>
              <w:t>类固定顶储罐不应小于</w:t>
            </w:r>
            <w:smartTag w:uri="urn:schemas-microsoft-com:office:smarttags" w:element="chmetcnv">
              <w:smartTagPr>
                <w:attr w:name="TCSC" w:val="0"/>
                <w:attr w:name="NumberType" w:val="1"/>
                <w:attr w:name="Negative" w:val="False"/>
                <w:attr w:name="HasSpace" w:val="False"/>
                <w:attr w:name="SourceValue" w:val="10"/>
                <w:attr w:name="UnitName" w:val="m"/>
              </w:smartTagPr>
              <w:r w:rsidRPr="00687B52">
                <w:rPr>
                  <w:rFonts w:ascii="宋体" w:eastAsia="宋体" w:hAnsi="宋体" w:cs="Times New Roman"/>
                  <w:color w:val="000000" w:themeColor="text1"/>
                </w:rPr>
                <w:t>10m</w:t>
              </w:r>
            </w:smartTag>
            <w:r w:rsidRPr="00687B52">
              <w:rPr>
                <w:rFonts w:ascii="宋体" w:eastAsia="宋体" w:hAnsi="宋体" w:cs="Times New Roman"/>
                <w:color w:val="000000" w:themeColor="text1"/>
              </w:rPr>
              <w:t>，距小于或等于</w:t>
            </w:r>
            <w:smartTag w:uri="urn:schemas-microsoft-com:office:smarttags" w:element="chmetcnv">
              <w:smartTagPr>
                <w:attr w:name="TCSC" w:val="0"/>
                <w:attr w:name="NumberType" w:val="1"/>
                <w:attr w:name="Negative" w:val="False"/>
                <w:attr w:name="HasSpace" w:val="False"/>
                <w:attr w:name="SourceValue" w:val="500"/>
                <w:attr w:name="UnitName" w:val="m3"/>
              </w:smartTagPr>
              <w:r w:rsidRPr="00687B52">
                <w:rPr>
                  <w:rFonts w:ascii="宋体" w:eastAsia="宋体" w:hAnsi="宋体" w:cs="Times New Roman"/>
                  <w:color w:val="000000" w:themeColor="text1"/>
                </w:rPr>
                <w:t>500m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的内浮顶储罐、丙</w:t>
            </w:r>
            <w:r w:rsidRPr="00687B52">
              <w:rPr>
                <w:rFonts w:ascii="宋体" w:eastAsia="宋体" w:hAnsi="宋体" w:cs="Times New Roman"/>
                <w:color w:val="000000" w:themeColor="text1"/>
                <w:vertAlign w:val="subscript"/>
              </w:rPr>
              <w:t>A</w:t>
            </w:r>
            <w:r w:rsidRPr="00687B52">
              <w:rPr>
                <w:rFonts w:ascii="宋体" w:eastAsia="宋体" w:hAnsi="宋体" w:cs="Times New Roman"/>
                <w:color w:val="000000" w:themeColor="text1"/>
              </w:rPr>
              <w:t>类固定顶储罐不应小于</w:t>
            </w:r>
            <w:smartTag w:uri="urn:schemas-microsoft-com:office:smarttags" w:element="chmetcnv">
              <w:smartTagPr>
                <w:attr w:name="TCSC" w:val="0"/>
                <w:attr w:name="NumberType" w:val="1"/>
                <w:attr w:name="Negative" w:val="False"/>
                <w:attr w:name="HasSpace" w:val="False"/>
                <w:attr w:name="SourceValue" w:val="8"/>
                <w:attr w:name="UnitName" w:val="m"/>
              </w:smartTagPr>
              <w:r w:rsidRPr="00687B52">
                <w:rPr>
                  <w:rFonts w:ascii="宋体" w:eastAsia="宋体" w:hAnsi="宋体" w:cs="Times New Roman"/>
                  <w:color w:val="000000" w:themeColor="text1"/>
                </w:rPr>
                <w:t>8m</w:t>
              </w:r>
            </w:smartTag>
            <w:r w:rsidRPr="00687B52">
              <w:rPr>
                <w:rFonts w:ascii="宋体" w:eastAsia="宋体" w:hAnsi="宋体" w:cs="Times New Roman"/>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第5.3.5</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除甲</w:t>
            </w:r>
            <w:r w:rsidRPr="00687B52">
              <w:rPr>
                <w:rFonts w:ascii="宋体" w:eastAsia="宋体" w:hAnsi="宋体" w:cs="Times New Roman"/>
                <w:color w:val="000000" w:themeColor="text1"/>
                <w:vertAlign w:val="subscript"/>
              </w:rPr>
              <w:t>A</w:t>
            </w:r>
            <w:r w:rsidRPr="00687B52">
              <w:rPr>
                <w:rFonts w:ascii="宋体" w:eastAsia="宋体" w:hAnsi="宋体" w:cs="Times New Roman"/>
                <w:color w:val="000000" w:themeColor="text1"/>
              </w:rPr>
              <w:t>类以外的可燃液体储罐的专用泵单独布置时，应布置在防火堤外，与可燃液体储罐的防火间距不限。</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第5.3.6</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压缩机或泵等的专用控制室或不大于10kV的专用变配电所，可与该压缩机房或泵房等共用一幢建筑物，但专用控制室或变配电所的门窗应位于爆炸危险区范围之外，且专用控制室或变配电所与压缩机房或泵房等的中间隔墙应为无门窗洞口的防火墙。</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第5.3.7</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隔油池的进出水管道应设水封。距隔油池池壁</w:t>
            </w:r>
            <w:smartTag w:uri="urn:schemas-microsoft-com:office:smarttags" w:element="chmetcnv">
              <w:smartTagPr>
                <w:attr w:name="TCSC" w:val="0"/>
                <w:attr w:name="NumberType" w:val="1"/>
                <w:attr w:name="Negative" w:val="False"/>
                <w:attr w:name="HasSpace" w:val="False"/>
                <w:attr w:name="SourceValue" w:val="5"/>
                <w:attr w:name="UnitName" w:val="m"/>
              </w:smartTagPr>
              <w:r w:rsidRPr="00687B52">
                <w:rPr>
                  <w:rFonts w:ascii="宋体" w:eastAsia="宋体" w:hAnsi="宋体" w:cs="Times New Roman"/>
                  <w:color w:val="000000" w:themeColor="text1"/>
                </w:rPr>
                <w:t>5m</w:t>
              </w:r>
            </w:smartTag>
            <w:r w:rsidRPr="00687B52">
              <w:rPr>
                <w:rFonts w:ascii="宋体" w:eastAsia="宋体" w:hAnsi="宋体" w:cs="Times New Roman"/>
                <w:color w:val="000000" w:themeColor="text1"/>
              </w:rPr>
              <w:t>以内的水封井、检查井的井盖与盖座接</w:t>
            </w:r>
            <w:r w:rsidRPr="00687B52">
              <w:rPr>
                <w:rFonts w:ascii="宋体" w:eastAsia="宋体" w:hAnsi="宋体" w:cs="Times New Roman"/>
                <w:color w:val="000000" w:themeColor="text1"/>
              </w:rPr>
              <w:lastRenderedPageBreak/>
              <w:t>缝处应密封，且井盖不得有孔洞。</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第5.4.2</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在非正常条件下，可能超压的下列设备应设安全阀：</w:t>
            </w:r>
          </w:p>
          <w:p w:rsidR="000C2455" w:rsidRPr="00687B52" w:rsidRDefault="000C2455" w:rsidP="00D9787F">
            <w:pPr>
              <w:pStyle w:val="Default"/>
              <w:numPr>
                <w:ilvl w:val="0"/>
                <w:numId w:val="54"/>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顶部最高操作压力大于等于0.1MPa的压力容器；</w:t>
            </w:r>
          </w:p>
          <w:p w:rsidR="000C2455" w:rsidRPr="00687B52" w:rsidRDefault="000C2455" w:rsidP="00D9787F">
            <w:pPr>
              <w:pStyle w:val="Default"/>
              <w:numPr>
                <w:ilvl w:val="0"/>
                <w:numId w:val="54"/>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顶部最高操作压力大于0.03MPa的蒸馏塔、蒸发塔和汽提塔（汽提塔顶蒸汽通入另一蒸馏塔者除外）；</w:t>
            </w:r>
          </w:p>
          <w:p w:rsidR="000C2455" w:rsidRPr="00687B52" w:rsidRDefault="000C2455" w:rsidP="00D9787F">
            <w:pPr>
              <w:pStyle w:val="Default"/>
              <w:numPr>
                <w:ilvl w:val="0"/>
                <w:numId w:val="54"/>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往复式压缩机各段出口或电动往复泵、齿轮泵、螺杆泵等容积式泵的出口（设备本身已有安全阀者除外）；</w:t>
            </w:r>
          </w:p>
          <w:p w:rsidR="000C2455" w:rsidRPr="00687B52" w:rsidRDefault="000C2455" w:rsidP="00D9787F">
            <w:pPr>
              <w:pStyle w:val="Default"/>
              <w:numPr>
                <w:ilvl w:val="0"/>
                <w:numId w:val="54"/>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凡与鼓风机、离心式压缩机、离心泵或蒸汽往复泵出口连接的设备不能承受其最高压力时，鼓风机、离心式压缩机、离心泵或蒸汽往复泵的出口；</w:t>
            </w:r>
          </w:p>
          <w:p w:rsidR="000C2455" w:rsidRPr="00687B52" w:rsidRDefault="000C2455" w:rsidP="00D9787F">
            <w:pPr>
              <w:pStyle w:val="Default"/>
              <w:numPr>
                <w:ilvl w:val="0"/>
                <w:numId w:val="54"/>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可燃气体或液体受热膨胀，可能超过设计压力的设备；</w:t>
            </w:r>
          </w:p>
          <w:p w:rsidR="000C2455" w:rsidRPr="00687B52" w:rsidRDefault="000C2455" w:rsidP="00D9787F">
            <w:pPr>
              <w:pStyle w:val="Default"/>
              <w:numPr>
                <w:ilvl w:val="0"/>
                <w:numId w:val="54"/>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顶部最高操作压力为0.03~0.1MPa的设备应根据工艺要求设置。</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第5.5.1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可燃气体、可燃液体设备的安全阀出口连接应符合下列规定：</w:t>
            </w:r>
          </w:p>
          <w:p w:rsidR="000C2455" w:rsidRPr="00687B52" w:rsidRDefault="000C2455" w:rsidP="00D9787F">
            <w:pPr>
              <w:pStyle w:val="Default"/>
              <w:numPr>
                <w:ilvl w:val="0"/>
                <w:numId w:val="55"/>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可燃液体设备的安全阀出口泄放管应接入储罐或其他容器，泵的安全阀出口泄放</w:t>
            </w:r>
            <w:r w:rsidRPr="00687B52">
              <w:rPr>
                <w:rFonts w:ascii="宋体" w:eastAsia="宋体" w:hAnsi="宋体" w:cs="Times New Roman"/>
                <w:color w:val="000000" w:themeColor="text1"/>
              </w:rPr>
              <w:lastRenderedPageBreak/>
              <w:t xml:space="preserve">管宜接至泵的入口管道、塔或其他容器； </w:t>
            </w:r>
          </w:p>
          <w:p w:rsidR="000C2455" w:rsidRPr="00687B52" w:rsidRDefault="000C2455" w:rsidP="00D9787F">
            <w:pPr>
              <w:pStyle w:val="Default"/>
              <w:numPr>
                <w:ilvl w:val="0"/>
                <w:numId w:val="55"/>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可燃气体设备的安全阀出口泄放管应接至火炬系统或其他安全泄放设施；</w:t>
            </w:r>
          </w:p>
          <w:p w:rsidR="000C2455" w:rsidRPr="00687B52" w:rsidRDefault="000C2455" w:rsidP="00D9787F">
            <w:pPr>
              <w:pStyle w:val="Default"/>
              <w:numPr>
                <w:ilvl w:val="0"/>
                <w:numId w:val="55"/>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泄放后可能立即燃烧的可燃气体或可燃液体应经冷却后接至放空设施；</w:t>
            </w:r>
          </w:p>
          <w:p w:rsidR="000C2455" w:rsidRPr="00687B52" w:rsidRDefault="000C2455" w:rsidP="00D9787F">
            <w:pPr>
              <w:pStyle w:val="Default"/>
              <w:numPr>
                <w:ilvl w:val="0"/>
                <w:numId w:val="55"/>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泄放可能携带液滴的可燃气体应经分液罐后接至火炬系统。</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第5.5.4</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甲、乙、丙类的设备应有事故紧急排放设施，并应符合下列规定：</w:t>
            </w:r>
          </w:p>
          <w:p w:rsidR="000C2455" w:rsidRPr="00687B52" w:rsidRDefault="000C2455" w:rsidP="00D9787F">
            <w:pPr>
              <w:pStyle w:val="Default"/>
              <w:numPr>
                <w:ilvl w:val="0"/>
                <w:numId w:val="56"/>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对液化烃或可燃液体设备，应能将设备内的液化烃或可燃液体排放至安全地点，剩余的液化烃应排入火炬；</w:t>
            </w:r>
          </w:p>
          <w:p w:rsidR="000C2455" w:rsidRPr="00687B52" w:rsidRDefault="000C2455" w:rsidP="00D9787F">
            <w:pPr>
              <w:pStyle w:val="Default"/>
              <w:numPr>
                <w:ilvl w:val="0"/>
                <w:numId w:val="56"/>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对可燃气体设备，应能将设备内的可燃气体排入火炬或安全放空系统。</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第5.5.7</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常减压蒸馏装置的初馏塔顶、常压塔顶、减压塔顶的不凝气不应直接排入大气。</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第5.5.8</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较高浓度环氧乙烷设备的安全阀前应设爆破片。爆破片入口管道应设氮封，且安全阀的出口管道应充氮。</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第5.5.9</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氨的安全阀排放气应经处理后放空。</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第5.5.10</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受工艺条件或介质特性所限，无法排入火炬或装置处理排放系统的可燃气体，当通过排气筒、放空管直接向大气排放时，排气筒、放空管的高度应符合下列规定：</w:t>
            </w:r>
          </w:p>
          <w:p w:rsidR="000C2455" w:rsidRPr="00687B52" w:rsidRDefault="000C2455" w:rsidP="00D9787F">
            <w:pPr>
              <w:pStyle w:val="Default"/>
              <w:numPr>
                <w:ilvl w:val="0"/>
                <w:numId w:val="57"/>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连续排放的排气筒顶或放空管口应高出</w:t>
            </w:r>
            <w:smartTag w:uri="urn:schemas-microsoft-com:office:smarttags" w:element="chmetcnv">
              <w:smartTagPr>
                <w:attr w:name="UnitName" w:val="m"/>
                <w:attr w:name="SourceValue" w:val="20"/>
                <w:attr w:name="HasSpace" w:val="False"/>
                <w:attr w:name="Negative" w:val="False"/>
                <w:attr w:name="NumberType" w:val="1"/>
                <w:attr w:name="TCSC" w:val="0"/>
              </w:smartTagPr>
              <w:r w:rsidRPr="00687B52">
                <w:rPr>
                  <w:rFonts w:ascii="宋体" w:eastAsia="宋体" w:hAnsi="宋体" w:cs="Times New Roman"/>
                  <w:color w:val="000000" w:themeColor="text1"/>
                </w:rPr>
                <w:t>20m</w:t>
              </w:r>
            </w:smartTag>
            <w:r w:rsidRPr="00687B52">
              <w:rPr>
                <w:rFonts w:ascii="宋体" w:eastAsia="宋体" w:hAnsi="宋体" w:cs="Times New Roman"/>
                <w:color w:val="000000" w:themeColor="text1"/>
              </w:rPr>
              <w:t>范围内的平台或建筑物顶</w:t>
            </w:r>
            <w:smartTag w:uri="urn:schemas-microsoft-com:office:smarttags" w:element="chmetcnv">
              <w:smartTagPr>
                <w:attr w:name="UnitName" w:val="m"/>
                <w:attr w:name="SourceValue" w:val="3.5"/>
                <w:attr w:name="HasSpace" w:val="False"/>
                <w:attr w:name="Negative" w:val="False"/>
                <w:attr w:name="NumberType" w:val="1"/>
                <w:attr w:name="TCSC" w:val="0"/>
              </w:smartTagPr>
              <w:r w:rsidRPr="00687B52">
                <w:rPr>
                  <w:rFonts w:ascii="宋体" w:eastAsia="宋体" w:hAnsi="宋体" w:cs="Times New Roman"/>
                  <w:color w:val="000000" w:themeColor="text1"/>
                </w:rPr>
                <w:t>3.5m</w:t>
              </w:r>
            </w:smartTag>
            <w:r w:rsidRPr="00687B52">
              <w:rPr>
                <w:rFonts w:ascii="宋体" w:eastAsia="宋体" w:hAnsi="宋体" w:cs="Times New Roman"/>
                <w:color w:val="000000" w:themeColor="text1"/>
              </w:rPr>
              <w:t>以上，位于排放口水平</w:t>
            </w:r>
            <w:smartTag w:uri="urn:schemas-microsoft-com:office:smarttags" w:element="chmetcnv">
              <w:smartTagPr>
                <w:attr w:name="UnitName" w:val="m"/>
                <w:attr w:name="SourceValue" w:val="20"/>
                <w:attr w:name="HasSpace" w:val="False"/>
                <w:attr w:name="Negative" w:val="False"/>
                <w:attr w:name="NumberType" w:val="1"/>
                <w:attr w:name="TCSC" w:val="0"/>
              </w:smartTagPr>
              <w:r w:rsidRPr="00687B52">
                <w:rPr>
                  <w:rFonts w:ascii="宋体" w:eastAsia="宋体" w:hAnsi="宋体" w:cs="Times New Roman"/>
                  <w:color w:val="000000" w:themeColor="text1"/>
                </w:rPr>
                <w:t>20m</w:t>
              </w:r>
            </w:smartTag>
            <w:r w:rsidRPr="00687B52">
              <w:rPr>
                <w:rFonts w:ascii="宋体" w:eastAsia="宋体" w:hAnsi="宋体" w:cs="Times New Roman"/>
                <w:color w:val="000000" w:themeColor="text1"/>
              </w:rPr>
              <w:t>以外斜上45°的范围内不宜布置平台或建筑物；</w:t>
            </w:r>
          </w:p>
          <w:p w:rsidR="000C2455" w:rsidRPr="00687B52" w:rsidRDefault="000C2455" w:rsidP="00D9787F">
            <w:pPr>
              <w:pStyle w:val="Default"/>
              <w:numPr>
                <w:ilvl w:val="0"/>
                <w:numId w:val="57"/>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间歇排放的排气筒顶或放空管口应高出</w:t>
            </w:r>
            <w:smartTag w:uri="urn:schemas-microsoft-com:office:smarttags" w:element="chmetcnv">
              <w:smartTagPr>
                <w:attr w:name="UnitName" w:val="m"/>
                <w:attr w:name="SourceValue" w:val="10"/>
                <w:attr w:name="HasSpace" w:val="False"/>
                <w:attr w:name="Negative" w:val="False"/>
                <w:attr w:name="NumberType" w:val="1"/>
                <w:attr w:name="TCSC" w:val="0"/>
              </w:smartTagPr>
              <w:r w:rsidRPr="00687B52">
                <w:rPr>
                  <w:rFonts w:ascii="宋体" w:eastAsia="宋体" w:hAnsi="宋体" w:cs="Times New Roman"/>
                  <w:color w:val="000000" w:themeColor="text1"/>
                </w:rPr>
                <w:t>10m</w:t>
              </w:r>
            </w:smartTag>
            <w:r w:rsidRPr="00687B52">
              <w:rPr>
                <w:rFonts w:ascii="宋体" w:eastAsia="宋体" w:hAnsi="宋体" w:cs="Times New Roman"/>
                <w:color w:val="000000" w:themeColor="text1"/>
              </w:rPr>
              <w:t>范围内的平台或建筑物顶</w:t>
            </w:r>
            <w:smartTag w:uri="urn:schemas-microsoft-com:office:smarttags" w:element="chmetcnv">
              <w:smartTagPr>
                <w:attr w:name="UnitName" w:val="m"/>
                <w:attr w:name="SourceValue" w:val="3.5"/>
                <w:attr w:name="HasSpace" w:val="False"/>
                <w:attr w:name="Negative" w:val="False"/>
                <w:attr w:name="NumberType" w:val="1"/>
                <w:attr w:name="TCSC" w:val="0"/>
              </w:smartTagPr>
              <w:r w:rsidRPr="00687B52">
                <w:rPr>
                  <w:rFonts w:ascii="宋体" w:eastAsia="宋体" w:hAnsi="宋体" w:cs="Times New Roman"/>
                  <w:color w:val="000000" w:themeColor="text1"/>
                </w:rPr>
                <w:t>3.5m</w:t>
              </w:r>
            </w:smartTag>
            <w:r w:rsidRPr="00687B52">
              <w:rPr>
                <w:rFonts w:ascii="宋体" w:eastAsia="宋体" w:hAnsi="宋体" w:cs="Times New Roman"/>
                <w:color w:val="000000" w:themeColor="text1"/>
              </w:rPr>
              <w:t>以上，位于排放口水平</w:t>
            </w:r>
            <w:smartTag w:uri="urn:schemas-microsoft-com:office:smarttags" w:element="chmetcnv">
              <w:smartTagPr>
                <w:attr w:name="UnitName" w:val="m"/>
                <w:attr w:name="SourceValue" w:val="10"/>
                <w:attr w:name="HasSpace" w:val="False"/>
                <w:attr w:name="Negative" w:val="False"/>
                <w:attr w:name="NumberType" w:val="1"/>
                <w:attr w:name="TCSC" w:val="0"/>
              </w:smartTagPr>
              <w:r w:rsidRPr="00687B52">
                <w:rPr>
                  <w:rFonts w:ascii="宋体" w:eastAsia="宋体" w:hAnsi="宋体" w:cs="Times New Roman"/>
                  <w:color w:val="000000" w:themeColor="text1"/>
                </w:rPr>
                <w:t>10m</w:t>
              </w:r>
            </w:smartTag>
            <w:r w:rsidRPr="00687B52">
              <w:rPr>
                <w:rFonts w:ascii="宋体" w:eastAsia="宋体" w:hAnsi="宋体" w:cs="Times New Roman"/>
                <w:color w:val="000000" w:themeColor="text1"/>
              </w:rPr>
              <w:t>以外斜上45°的范围内不宜布置平台或建筑物；</w:t>
            </w:r>
          </w:p>
          <w:p w:rsidR="000C2455" w:rsidRPr="00687B52" w:rsidRDefault="000C2455" w:rsidP="00D9787F">
            <w:pPr>
              <w:pStyle w:val="Default"/>
              <w:numPr>
                <w:ilvl w:val="0"/>
                <w:numId w:val="57"/>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安全阀排放管口不得朝向邻近设备或有人通过的地方，排放管口应高出</w:t>
            </w:r>
            <w:smartTag w:uri="urn:schemas-microsoft-com:office:smarttags" w:element="chmetcnv">
              <w:smartTagPr>
                <w:attr w:name="UnitName" w:val="m"/>
                <w:attr w:name="SourceValue" w:val="8"/>
                <w:attr w:name="HasSpace" w:val="False"/>
                <w:attr w:name="Negative" w:val="False"/>
                <w:attr w:name="NumberType" w:val="1"/>
                <w:attr w:name="TCSC" w:val="0"/>
              </w:smartTagPr>
              <w:r w:rsidRPr="00687B52">
                <w:rPr>
                  <w:rFonts w:ascii="宋体" w:eastAsia="宋体" w:hAnsi="宋体" w:cs="Times New Roman"/>
                  <w:color w:val="000000" w:themeColor="text1"/>
                </w:rPr>
                <w:t>8m</w:t>
              </w:r>
            </w:smartTag>
            <w:r w:rsidRPr="00687B52">
              <w:rPr>
                <w:rFonts w:ascii="宋体" w:eastAsia="宋体" w:hAnsi="宋体" w:cs="Times New Roman"/>
                <w:color w:val="000000" w:themeColor="text1"/>
              </w:rPr>
              <w:t>范围内的平台或建筑物顶</w:t>
            </w:r>
            <w:smartTag w:uri="urn:schemas-microsoft-com:office:smarttags" w:element="chmetcnv">
              <w:smartTagPr>
                <w:attr w:name="UnitName" w:val="m"/>
                <w:attr w:name="SourceValue" w:val="3"/>
                <w:attr w:name="HasSpace" w:val="False"/>
                <w:attr w:name="Negative" w:val="False"/>
                <w:attr w:name="NumberType" w:val="1"/>
                <w:attr w:name="TCSC" w:val="0"/>
              </w:smartTagPr>
              <w:r w:rsidRPr="00687B52">
                <w:rPr>
                  <w:rFonts w:ascii="宋体" w:eastAsia="宋体" w:hAnsi="宋体" w:cs="Times New Roman"/>
                  <w:color w:val="000000" w:themeColor="text1"/>
                </w:rPr>
                <w:t>3m</w:t>
              </w:r>
            </w:smartTag>
            <w:r w:rsidRPr="00687B52">
              <w:rPr>
                <w:rFonts w:ascii="宋体" w:eastAsia="宋体" w:hAnsi="宋体" w:cs="Times New Roman"/>
                <w:color w:val="000000" w:themeColor="text1"/>
              </w:rPr>
              <w:t>以上。</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第5.5.11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有突然超压或发生瞬时分解爆炸危险物料的反应设备，如设安全阀不能满足要求时，应装爆破片或爆破片和导爆管，导爆管口必须朝向无火源的安全方向；必要时应采取防止二次爆炸、火灾的措施。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第5.5.12</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因物料爆聚、分解造成超温、超压，可能引起火灾、爆炸的反应设备应设报警信号和泄压排放设施，以及自动或手动遥控的紧急切</w:t>
            </w:r>
            <w:r w:rsidRPr="00687B52">
              <w:rPr>
                <w:rFonts w:ascii="宋体" w:eastAsia="宋体" w:hAnsi="宋体" w:cs="Times New Roman"/>
                <w:color w:val="000000" w:themeColor="text1"/>
              </w:rPr>
              <w:lastRenderedPageBreak/>
              <w:t>断进料设施。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第5.5.13</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液体、低热值可燃气体、含氧气或卤元素及其化合物的可燃气体、毒性为极度和高度危害的可燃气体、惰性气体、酸性气体及其他腐蚀性气体不得排入全厂性火炬系统，应设独立的排放系统或处理排放系统。</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第5.5.15</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可燃气体放空管道在接入火炬前，应设置分液和阻火等设备。</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第5.5.16</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可燃气体放空管道内的凝结液应密闭回收，不得随地排放。</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第5.5.17</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携带可燃液体的低温可燃气体排放系统应设置气化器，低温火炬管道选材应考虑事故排放时可能出现的最低温度。</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第5.5.18</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火炬应设常明灯和可靠的点火系统。</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第5.5.20</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4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装置内高架火炬的火炬筒</w:t>
            </w:r>
            <w:smartTag w:uri="urn:schemas-microsoft-com:office:smarttags" w:element="chmetcnv">
              <w:smartTagPr>
                <w:attr w:name="TCSC" w:val="0"/>
                <w:attr w:name="NumberType" w:val="1"/>
                <w:attr w:name="Negative" w:val="False"/>
                <w:attr w:name="HasSpace" w:val="False"/>
                <w:attr w:name="SourceValue" w:val="30"/>
                <w:attr w:name="UnitName" w:val="m"/>
              </w:smartTagPr>
              <w:r w:rsidRPr="00687B52">
                <w:rPr>
                  <w:rFonts w:ascii="宋体" w:eastAsia="宋体" w:hAnsi="宋体" w:cs="Times New Roman"/>
                  <w:color w:val="000000" w:themeColor="text1"/>
                </w:rPr>
                <w:t>30m</w:t>
              </w:r>
            </w:smartTag>
            <w:r w:rsidRPr="00687B52">
              <w:rPr>
                <w:rFonts w:ascii="宋体" w:eastAsia="宋体" w:hAnsi="宋体" w:cs="Times New Roman"/>
                <w:color w:val="000000" w:themeColor="text1"/>
              </w:rPr>
              <w:t>范围内，不应设置可燃气体放空。</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第5.5.21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2.2</w:t>
            </w:r>
          </w:p>
        </w:tc>
        <w:tc>
          <w:tcPr>
            <w:tcW w:w="4678" w:type="pct"/>
            <w:gridSpan w:val="3"/>
            <w:vAlign w:val="center"/>
          </w:tcPr>
          <w:p w:rsidR="000C2455" w:rsidRPr="00687B52" w:rsidRDefault="000C2455" w:rsidP="003E1D2A">
            <w:pPr>
              <w:pStyle w:val="a7"/>
              <w:spacing w:line="360" w:lineRule="exact"/>
              <w:jc w:val="both"/>
              <w:rPr>
                <w:rFonts w:ascii="宋体" w:hAnsi="宋体"/>
                <w:color w:val="000000" w:themeColor="text1"/>
                <w:szCs w:val="24"/>
              </w:rPr>
            </w:pPr>
            <w:r w:rsidRPr="00687B52">
              <w:rPr>
                <w:rFonts w:ascii="宋体" w:hAnsi="宋体" w:hint="eastAsia"/>
                <w:b/>
                <w:color w:val="000000" w:themeColor="text1"/>
                <w:szCs w:val="24"/>
              </w:rPr>
              <w:t>炼油装置</w:t>
            </w:r>
          </w:p>
        </w:tc>
      </w:tr>
      <w:tr w:rsidR="000C2455" w:rsidRPr="00687B52" w:rsidTr="003E1D2A">
        <w:trPr>
          <w:jc w:val="center"/>
        </w:trPr>
        <w:tc>
          <w:tcPr>
            <w:tcW w:w="322" w:type="pct"/>
            <w:vAlign w:val="center"/>
          </w:tcPr>
          <w:p w:rsidR="000C2455" w:rsidRPr="00687B52" w:rsidRDefault="000C2455" w:rsidP="00D9787F">
            <w:pPr>
              <w:pStyle w:val="a7"/>
              <w:numPr>
                <w:ilvl w:val="0"/>
                <w:numId w:val="58"/>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kern w:val="2"/>
              </w:rPr>
              <w:t>汽轮机放汽口与主风机进气口的直线距离不</w:t>
            </w:r>
            <w:r w:rsidRPr="00687B52">
              <w:rPr>
                <w:rFonts w:ascii="宋体" w:eastAsia="宋体" w:hAnsi="宋体" w:cs="Times New Roman"/>
                <w:color w:val="000000" w:themeColor="text1"/>
                <w:kern w:val="2"/>
              </w:rPr>
              <w:lastRenderedPageBreak/>
              <w:t>应小于</w:t>
            </w:r>
            <w:smartTag w:uri="urn:schemas-microsoft-com:office:smarttags" w:element="chmetcnv">
              <w:smartTagPr>
                <w:attr w:name="TCSC" w:val="0"/>
                <w:attr w:name="NumberType" w:val="1"/>
                <w:attr w:name="Negative" w:val="False"/>
                <w:attr w:name="HasSpace" w:val="False"/>
                <w:attr w:name="SourceValue" w:val="10"/>
                <w:attr w:name="UnitName" w:val="m"/>
              </w:smartTagPr>
              <w:r w:rsidRPr="00687B52">
                <w:rPr>
                  <w:rFonts w:ascii="宋体" w:eastAsia="宋体" w:hAnsi="宋体" w:cs="Times New Roman"/>
                  <w:color w:val="000000" w:themeColor="text1"/>
                  <w:kern w:val="2"/>
                </w:rPr>
                <w:t>10m</w:t>
              </w:r>
            </w:smartTag>
            <w:r w:rsidRPr="00687B52">
              <w:rPr>
                <w:rFonts w:ascii="宋体" w:eastAsia="宋体" w:hAnsi="宋体" w:cs="Times New Roman"/>
                <w:color w:val="000000" w:themeColor="text1"/>
                <w:kern w:val="2"/>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lastRenderedPageBreak/>
              <w:t>《石油化工企业职业安全卫</w:t>
            </w:r>
            <w:r w:rsidRPr="00687B52">
              <w:rPr>
                <w:rFonts w:ascii="宋体" w:hAnsi="宋体" w:hint="eastAsia"/>
                <w:color w:val="000000" w:themeColor="text1"/>
                <w:szCs w:val="24"/>
              </w:rPr>
              <w:lastRenderedPageBreak/>
              <w:t>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4.1催化裂化、裂解4.1.1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58"/>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加热炉应布置在焦炭塔全年最小频率风向的上风侧。加热炉烟囱与焦炭塔顶操作间距离小于</w:t>
            </w:r>
            <w:smartTag w:uri="urn:schemas-microsoft-com:office:smarttags" w:element="chmetcnv">
              <w:smartTagPr>
                <w:attr w:name="TCSC" w:val="0"/>
                <w:attr w:name="NumberType" w:val="1"/>
                <w:attr w:name="Negative" w:val="False"/>
                <w:attr w:name="HasSpace" w:val="False"/>
                <w:attr w:name="SourceValue" w:val="15"/>
                <w:attr w:name="UnitName" w:val="米"/>
              </w:smartTagPr>
              <w:r w:rsidRPr="00687B52">
                <w:rPr>
                  <w:rFonts w:ascii="宋体" w:eastAsia="宋体" w:hAnsi="宋体" w:cs="Times New Roman"/>
                  <w:color w:val="000000" w:themeColor="text1"/>
                  <w:kern w:val="2"/>
                </w:rPr>
                <w:t>15米</w:t>
              </w:r>
            </w:smartTag>
            <w:r w:rsidRPr="00687B52">
              <w:rPr>
                <w:rFonts w:ascii="宋体" w:eastAsia="宋体" w:hAnsi="宋体" w:cs="Times New Roman"/>
                <w:color w:val="000000" w:themeColor="text1"/>
                <w:kern w:val="2"/>
              </w:rPr>
              <w:t>时，加热炉的烟囱出口应高于焦炭塔顶</w:t>
            </w:r>
            <w:smartTag w:uri="urn:schemas-microsoft-com:office:smarttags" w:element="chmetcnv">
              <w:smartTagPr>
                <w:attr w:name="TCSC" w:val="0"/>
                <w:attr w:name="NumberType" w:val="1"/>
                <w:attr w:name="Negative" w:val="False"/>
                <w:attr w:name="HasSpace" w:val="False"/>
                <w:attr w:name="SourceValue" w:val="3"/>
                <w:attr w:name="UnitName" w:val="m"/>
              </w:smartTagPr>
              <w:r w:rsidRPr="00687B52">
                <w:rPr>
                  <w:rFonts w:ascii="宋体" w:eastAsia="宋体" w:hAnsi="宋体" w:cs="Times New Roman"/>
                  <w:color w:val="000000" w:themeColor="text1"/>
                  <w:kern w:val="2"/>
                </w:rPr>
                <w:t>3m</w:t>
              </w:r>
            </w:smartTag>
            <w:r w:rsidRPr="00687B52">
              <w:rPr>
                <w:rFonts w:ascii="宋体" w:eastAsia="宋体" w:hAnsi="宋体" w:cs="Times New Roman"/>
                <w:color w:val="000000" w:themeColor="text1"/>
                <w:kern w:val="2"/>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4.2延迟焦化4.2.1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58"/>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四通阀附近及焦炭塔顶部应设灭火蒸汽喷头等消防设施。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4.2延迟焦化4.2.4</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58"/>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二硫化碳储罐、计量罐必须有水封、水喷淋和防日晒设施。应设置二硫化碳桶的水池和水冲洗设施。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4.3催化重整、加氢及制氢4.3.4</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58"/>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在主分馏塔进料泵、回流泵和再生塔进料泵附近，应设置人身中和池、事故淋浴器及洗眼器。在装置内应设置设备工具中和池。在氢氟酸可能泄漏的地方应设置冲洗设施。在含酸设备人孔处应设置呼吸空气供应系统。</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4.4氢氟酸烷基化</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58"/>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氧化反应塔顶尖设置爆破片。为防止塔内气相温度超高，应有切断进料、增大塔顶注水量、减少通风量、通入安全蒸汽的措施。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4.6氧化沥青4.6.1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58"/>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干、湿溶剂罐、滤液罐、含油蜡罐等应采用氮封。糠醛和酚的储罐应采用氮气密封或油封等措施。脱蜡过滤机内应有氧含量监测报</w:t>
            </w:r>
            <w:r w:rsidRPr="00687B52">
              <w:rPr>
                <w:rFonts w:ascii="宋体" w:eastAsia="宋体" w:hAnsi="宋体" w:cs="Times New Roman"/>
                <w:color w:val="000000" w:themeColor="text1"/>
                <w:kern w:val="2"/>
              </w:rPr>
              <w:lastRenderedPageBreak/>
              <w:t>警设施。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lastRenderedPageBreak/>
              <w:t>《石油化工企业职业安全卫生设计规范》SH3047-1993</w:t>
            </w:r>
          </w:p>
          <w:p w:rsidR="000C2455" w:rsidRPr="00687B52" w:rsidRDefault="000C2455" w:rsidP="003E1D2A">
            <w:pPr>
              <w:pStyle w:val="a7"/>
              <w:spacing w:line="360" w:lineRule="exact"/>
              <w:jc w:val="both"/>
              <w:rPr>
                <w:rFonts w:ascii="宋体" w:hAnsi="宋体"/>
                <w:color w:val="000000" w:themeColor="text1"/>
                <w:szCs w:val="24"/>
              </w:rPr>
            </w:pPr>
            <w:r w:rsidRPr="00687B52">
              <w:rPr>
                <w:rFonts w:ascii="宋体" w:hAnsi="宋体" w:hint="eastAsia"/>
                <w:color w:val="000000" w:themeColor="text1"/>
                <w:szCs w:val="24"/>
              </w:rPr>
              <w:t>4.8溶剂脱蜡4.9糠醛、酚精</w:t>
            </w:r>
            <w:r w:rsidRPr="00687B52">
              <w:rPr>
                <w:rFonts w:ascii="宋体" w:hAnsi="宋体" w:hint="eastAsia"/>
                <w:color w:val="000000" w:themeColor="text1"/>
                <w:szCs w:val="24"/>
              </w:rPr>
              <w:lastRenderedPageBreak/>
              <w:t>制</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3E1D2A">
            <w:pPr>
              <w:pStyle w:val="a7"/>
              <w:spacing w:line="360" w:lineRule="exact"/>
              <w:rPr>
                <w:rFonts w:ascii="宋体" w:hAnsi="宋体"/>
                <w:b/>
                <w:color w:val="000000" w:themeColor="text1"/>
                <w:szCs w:val="24"/>
              </w:rPr>
            </w:pPr>
            <w:r w:rsidRPr="00687B52">
              <w:rPr>
                <w:rFonts w:ascii="宋体" w:hAnsi="宋体" w:hint="eastAsia"/>
                <w:b/>
                <w:color w:val="000000" w:themeColor="text1"/>
                <w:szCs w:val="24"/>
              </w:rPr>
              <w:lastRenderedPageBreak/>
              <w:t>2.3</w:t>
            </w:r>
          </w:p>
        </w:tc>
        <w:tc>
          <w:tcPr>
            <w:tcW w:w="4678" w:type="pct"/>
            <w:gridSpan w:val="3"/>
            <w:vAlign w:val="center"/>
          </w:tcPr>
          <w:p w:rsidR="000C2455" w:rsidRPr="00687B52" w:rsidRDefault="000C2455" w:rsidP="003E1D2A">
            <w:pPr>
              <w:pStyle w:val="a7"/>
              <w:spacing w:line="360" w:lineRule="exact"/>
              <w:jc w:val="both"/>
              <w:rPr>
                <w:rFonts w:ascii="宋体" w:hAnsi="宋体"/>
                <w:color w:val="000000" w:themeColor="text1"/>
                <w:szCs w:val="24"/>
              </w:rPr>
            </w:pPr>
            <w:r w:rsidRPr="00687B52">
              <w:rPr>
                <w:rFonts w:ascii="宋体" w:hAnsi="宋体" w:hint="eastAsia"/>
                <w:b/>
                <w:color w:val="000000" w:themeColor="text1"/>
                <w:szCs w:val="24"/>
              </w:rPr>
              <w:t>化工装置</w:t>
            </w: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裂解炉区应设消防水幕和蒸汽幕与其它设备区隔离</w:t>
            </w:r>
            <w:r w:rsidRPr="00687B52">
              <w:rPr>
                <w:rFonts w:ascii="宋体" w:eastAsia="宋体" w:hAnsi="宋体" w:cs="Times New Roman" w:hint="eastAsia"/>
                <w:color w:val="000000" w:themeColor="text1"/>
                <w:kern w:val="2"/>
              </w:rPr>
              <w:t>。</w:t>
            </w:r>
            <w:r w:rsidRPr="00687B52">
              <w:rPr>
                <w:rFonts w:ascii="宋体" w:eastAsia="宋体" w:hAnsi="宋体" w:cs="Times New Roman"/>
                <w:color w:val="000000" w:themeColor="text1"/>
                <w:kern w:val="2"/>
              </w:rPr>
              <w:t>裂解炉使用的燃料气应经过凝液分离。液体排放应设蒸发器。</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5.1烯烃（烃类裂解法）</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萃取精馏系统应有注入碳四烷烃、烯烃馏分或氮气以稀释炔烃浓度的设施。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5.2丁二烯5.2.2</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丁二烯储存应加入阻聚剂并严格与空气隔绝，储罐应氮封。丁二烯储罐外应设喷淋水冷却设施。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5.2丁二烯5.2.5</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氧气混合器的氧喷入管应有停车自动充氮清扫措施。自动清扫用氮应设储存设施。在环氧乙烷或环氧乙烷水溶液泵的动密封附近，应设喷水防护设施</w:t>
            </w:r>
            <w:r w:rsidRPr="00687B52">
              <w:rPr>
                <w:rFonts w:ascii="宋体" w:eastAsia="宋体" w:hAnsi="宋体" w:cs="Times New Roman" w:hint="eastAsia"/>
                <w:color w:val="000000" w:themeColor="text1"/>
                <w:kern w:val="2"/>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5.3环氧乙烷及乙二醇</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气态环氧乙烷只应在装置内用管道短距离输送。液态环氧乙烷在相邻装置间用管道输送时，应用冷冻盐水伴管保冷，管道不得存在气相空间。</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5.3环氧乙烷及乙二醇</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环氧乙烷的安全阀入口应连续充氮，安全阀的排空管应有充氮接管。环氧乙烷储罐的气相空间应充氮，罐外应设水喷淋设施。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5.3环氧乙烷及乙二醇</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不应在装置的设备区内或其附近灌装环氧乙</w:t>
            </w:r>
            <w:r w:rsidRPr="00687B52">
              <w:rPr>
                <w:rFonts w:ascii="宋体" w:eastAsia="宋体" w:hAnsi="宋体" w:cs="Times New Roman"/>
                <w:color w:val="000000" w:themeColor="text1"/>
                <w:kern w:val="2"/>
              </w:rPr>
              <w:lastRenderedPageBreak/>
              <w:t>烷。灌装场所应设有向罐车或钢瓶充氮、喷水防护，以及冲洗地面的设施。环氧乙烷的储罐应单独布置，并在其周围设围堰</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lastRenderedPageBreak/>
              <w:t>《石油化工企业职业安全卫</w:t>
            </w:r>
            <w:r w:rsidRPr="00687B52">
              <w:rPr>
                <w:rFonts w:ascii="宋体" w:hAnsi="宋体" w:hint="eastAsia"/>
                <w:color w:val="000000" w:themeColor="text1"/>
                <w:szCs w:val="24"/>
              </w:rPr>
              <w:lastRenderedPageBreak/>
              <w:t>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5.3环氧乙烷及乙二醇</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液氯的储存和气化应满足下列要求：</w:t>
            </w:r>
          </w:p>
          <w:p w:rsidR="000C2455" w:rsidRPr="00687B52" w:rsidRDefault="000C2455" w:rsidP="00D9787F">
            <w:pPr>
              <w:pStyle w:val="Default"/>
              <w:numPr>
                <w:ilvl w:val="0"/>
                <w:numId w:val="59"/>
              </w:numPr>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储存液氯的容器不得在露天布置；</w:t>
            </w:r>
          </w:p>
          <w:p w:rsidR="000C2455" w:rsidRPr="00687B52" w:rsidRDefault="000C2455" w:rsidP="00D9787F">
            <w:pPr>
              <w:pStyle w:val="Default"/>
              <w:numPr>
                <w:ilvl w:val="0"/>
                <w:numId w:val="59"/>
              </w:numPr>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液氯储罐应有事故备用罐，进出储罐的管道上应设双切断阀，置换气体应经碱溶液处理；</w:t>
            </w:r>
          </w:p>
          <w:p w:rsidR="000C2455" w:rsidRPr="00687B52" w:rsidRDefault="000C2455" w:rsidP="00D9787F">
            <w:pPr>
              <w:pStyle w:val="Default"/>
              <w:numPr>
                <w:ilvl w:val="0"/>
                <w:numId w:val="59"/>
              </w:numPr>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起吊液氯钢瓶或钢罐应采用双制动吊车，在实瓶堆存场所应设稀碱液或石灰乳的事故处理池；</w:t>
            </w:r>
          </w:p>
          <w:p w:rsidR="000C2455" w:rsidRPr="00687B52" w:rsidRDefault="000C2455" w:rsidP="00D9787F">
            <w:pPr>
              <w:pStyle w:val="Default"/>
              <w:numPr>
                <w:ilvl w:val="0"/>
                <w:numId w:val="59"/>
              </w:numPr>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液氯应采取气化器气化，液氯气化器宜采用盘管式或列管式蒸发器(液氯在管内气化)，气化的氯气应经过缓冲罐再进入氯化系统；</w:t>
            </w:r>
          </w:p>
          <w:p w:rsidR="000C2455" w:rsidRPr="00687B52" w:rsidRDefault="000C2455" w:rsidP="00D9787F">
            <w:pPr>
              <w:pStyle w:val="Default"/>
              <w:numPr>
                <w:ilvl w:val="0"/>
                <w:numId w:val="59"/>
              </w:numPr>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液氯气化系统应有排污处理设施。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5.4环氧丙烷及丙二醇</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在氯醇液、环氧丙烷泵的动密封附近应设喷水防护设施。环氧丙烷储罐应氮封，罐外应设喷淋水冷却设施。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5.4环氧丙烷及丙二醇</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输送液态纯乙醛的管道不得布置在蒸汽管道上方。当相邻的设备、管道的表面温度超过140°时，应全部隔热，不得有裸露部分(如法兰阀等)。</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5.5乙醛（一步氧化法）5.5.6</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在输送乙醛、不合格乙醛、巴豆醛泵的机械密封附近应设喷水设施。粗乙醛、纯乙醛、不合格乙醛的储罐均应氮封，排气应经水洗处理，罐外应设喷淋水冷却设施。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5.5乙醛</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氧化塔顶应充氮，塔周围宜设水喷淋冷却设施。乙醛、粗醋酸储罐应氮封。乙醛储罐应设喷淋水冷却设施。醋酸储罐排出的气体应经水洗处理。</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5.6醋酸</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催化剂三氯化铝的储存、络合物的配制和加料应符合下列要求：</w:t>
            </w:r>
          </w:p>
          <w:p w:rsidR="000C2455" w:rsidRPr="00687B52" w:rsidRDefault="000C2455" w:rsidP="00D9787F">
            <w:pPr>
              <w:pStyle w:val="Default"/>
              <w:numPr>
                <w:ilvl w:val="0"/>
                <w:numId w:val="60"/>
              </w:numPr>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三氯化铝络合物的配制室宜有机械通风，地面应作防腐蚀处理；</w:t>
            </w:r>
          </w:p>
          <w:p w:rsidR="000C2455" w:rsidRPr="00687B52" w:rsidRDefault="000C2455" w:rsidP="00D9787F">
            <w:pPr>
              <w:pStyle w:val="Default"/>
              <w:numPr>
                <w:ilvl w:val="0"/>
                <w:numId w:val="60"/>
              </w:numPr>
              <w:snapToGrid w:val="0"/>
              <w:spacing w:line="360" w:lineRule="exact"/>
              <w:rPr>
                <w:rFonts w:ascii="宋体" w:eastAsia="宋体" w:hAnsi="宋体" w:cs="宋体"/>
                <w:color w:val="000000" w:themeColor="text1"/>
              </w:rPr>
            </w:pPr>
            <w:r w:rsidRPr="00687B52">
              <w:rPr>
                <w:rFonts w:ascii="宋体" w:eastAsia="宋体" w:hAnsi="宋体" w:cs="Times New Roman"/>
                <w:color w:val="000000" w:themeColor="text1"/>
                <w:kern w:val="2"/>
              </w:rPr>
              <w:t>三氯化铝加料应采取密闭方式，加料场所宜有机械通风，楼面应作防腐蚀处理，并设围堰，可用水冲洗。</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5.7苯酚、丙酮（异丙苯法）5.7.1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kern w:val="2"/>
              </w:rPr>
            </w:pPr>
            <w:r w:rsidRPr="00687B52">
              <w:rPr>
                <w:rFonts w:ascii="宋体" w:eastAsia="宋体" w:hAnsi="宋体" w:cs="Times New Roman"/>
                <w:color w:val="000000" w:themeColor="text1"/>
                <w:kern w:val="2"/>
              </w:rPr>
              <w:t>浓过氧化氢异丙苯的中间储罐应有喷淋冷却设施。丙酮和苯酚储罐排气应经回收处理。</w:t>
            </w:r>
            <w:r w:rsidRPr="00687B52">
              <w:rPr>
                <w:rFonts w:ascii="宋体" w:eastAsia="宋体" w:hAnsi="宋体"/>
                <w:color w:val="000000" w:themeColor="text1"/>
              </w:rPr>
              <w:t>乙烯直接氯化反应系统尾气放空管应设阻火器，并有充氮的接管</w:t>
            </w:r>
            <w:r w:rsidRPr="00687B52">
              <w:rPr>
                <w:rFonts w:ascii="宋体" w:eastAsia="宋体" w:hAnsi="宋体" w:hint="eastAsia"/>
                <w:color w:val="000000" w:themeColor="text1"/>
              </w:rPr>
              <w:t>。</w:t>
            </w:r>
            <w:r w:rsidRPr="00687B52">
              <w:rPr>
                <w:rFonts w:ascii="宋体" w:eastAsia="宋体" w:hAnsi="宋体"/>
                <w:color w:val="000000" w:themeColor="text1"/>
              </w:rPr>
              <w:t>二氯乙烷裂解炉和蒸发器的二氯乙烷入口管应有氮气和蒸汽的接管。</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5.7苯酚、丙酮</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粗二氯乙烷储罐和精制二氯乙烷储罐应采取氮封措施。氯乙烯储罐的排气应返回精馏系统回收。不隔热的氯乙烯储罐应设喷淋水冷</w:t>
            </w:r>
            <w:r w:rsidRPr="00687B52">
              <w:rPr>
                <w:rFonts w:ascii="宋体" w:hAnsi="宋体"/>
                <w:color w:val="000000" w:themeColor="text1"/>
                <w:sz w:val="24"/>
                <w:szCs w:val="24"/>
              </w:rPr>
              <w:lastRenderedPageBreak/>
              <w:t>却设施。二氯乙烷裂解炉、蒸发器和骤冷塔周围的地面应设围堰。</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lastRenderedPageBreak/>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lastRenderedPageBreak/>
              <w:t>5.8苯酚、丙酮</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乙苯脱氢系统的设备、管道和取样口处应设充氮接管。脱氢尾气在压缩机停车后应自动经水封罐放空。水封罐应设高低液位报警，放空管应设阻火器和充氮接管。</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5.9苯乙烯</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皂化反应器应设低压自动充氮控制设施。氯丙烯废气放空管应设阻火器及氮气和灭火蒸汽接管。</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5.11环氧氯丙烷及甘油</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氯丙烯、粗环氧氯丙烷、环氧氯丙烷储罐应采取氮封，排气应回收处理。氯丙烯储罐应设喷淋水冷却设施。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5.11环氧氯丙烷及甘油</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单体的中间储罐应布置在中间储罐区。单体的储存温度若低于其沸点时，储罐应采取氮封措施。不隔热的储罐应设喷淋冷却设施。</w:t>
            </w:r>
          </w:p>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储罐的排气应回收单体后放空，或排入火炬管网。</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5.13单烯烃聚合</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5.13.1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齐格勒—纳塔催化剂的溶液配制应符合下列要求：</w:t>
            </w:r>
          </w:p>
          <w:p w:rsidR="000C2455" w:rsidRPr="00687B52" w:rsidRDefault="000C2455" w:rsidP="00D9787F">
            <w:pPr>
              <w:widowControl/>
              <w:numPr>
                <w:ilvl w:val="0"/>
                <w:numId w:val="61"/>
              </w:numPr>
              <w:jc w:val="left"/>
              <w:rPr>
                <w:rFonts w:ascii="宋体" w:hAnsi="宋体"/>
                <w:color w:val="000000" w:themeColor="text1"/>
                <w:sz w:val="24"/>
                <w:szCs w:val="24"/>
              </w:rPr>
            </w:pPr>
            <w:r w:rsidRPr="00687B52">
              <w:rPr>
                <w:rFonts w:ascii="宋体" w:hAnsi="宋体"/>
                <w:color w:val="000000" w:themeColor="text1"/>
                <w:sz w:val="24"/>
                <w:szCs w:val="24"/>
              </w:rPr>
              <w:t>装置内严禁储存烷基铝；</w:t>
            </w:r>
          </w:p>
          <w:p w:rsidR="000C2455" w:rsidRPr="00687B52" w:rsidRDefault="000C2455" w:rsidP="00D9787F">
            <w:pPr>
              <w:widowControl/>
              <w:numPr>
                <w:ilvl w:val="0"/>
                <w:numId w:val="61"/>
              </w:numPr>
              <w:jc w:val="left"/>
              <w:rPr>
                <w:rFonts w:ascii="宋体" w:hAnsi="宋体"/>
                <w:color w:val="000000" w:themeColor="text1"/>
                <w:sz w:val="24"/>
                <w:szCs w:val="24"/>
              </w:rPr>
            </w:pPr>
            <w:r w:rsidRPr="00687B52">
              <w:rPr>
                <w:rFonts w:ascii="宋体" w:hAnsi="宋体"/>
                <w:color w:val="000000" w:themeColor="text1"/>
                <w:sz w:val="24"/>
                <w:szCs w:val="24"/>
              </w:rPr>
              <w:t>催化剂溶液应在氮封条件下配制；</w:t>
            </w:r>
          </w:p>
          <w:p w:rsidR="000C2455" w:rsidRPr="00687B52" w:rsidRDefault="000C2455" w:rsidP="00D9787F">
            <w:pPr>
              <w:widowControl/>
              <w:numPr>
                <w:ilvl w:val="0"/>
                <w:numId w:val="61"/>
              </w:numPr>
              <w:jc w:val="left"/>
              <w:rPr>
                <w:rFonts w:ascii="宋体" w:hAnsi="宋体"/>
                <w:color w:val="000000" w:themeColor="text1"/>
                <w:sz w:val="24"/>
                <w:szCs w:val="24"/>
              </w:rPr>
            </w:pPr>
            <w:r w:rsidRPr="00687B52">
              <w:rPr>
                <w:rFonts w:ascii="宋体" w:hAnsi="宋体"/>
                <w:color w:val="000000" w:themeColor="text1"/>
                <w:sz w:val="24"/>
                <w:szCs w:val="24"/>
              </w:rPr>
              <w:t>清理烷基铝储罐和催化剂溶液配制设备的污油、洗油应排入接受罐；</w:t>
            </w:r>
          </w:p>
          <w:p w:rsidR="000C2455" w:rsidRPr="00687B52" w:rsidRDefault="000C2455" w:rsidP="00D9787F">
            <w:pPr>
              <w:widowControl/>
              <w:numPr>
                <w:ilvl w:val="0"/>
                <w:numId w:val="61"/>
              </w:numPr>
              <w:jc w:val="left"/>
              <w:rPr>
                <w:rFonts w:ascii="宋体" w:hAnsi="宋体"/>
                <w:color w:val="000000" w:themeColor="text1"/>
                <w:sz w:val="24"/>
                <w:szCs w:val="24"/>
              </w:rPr>
            </w:pPr>
            <w:r w:rsidRPr="00687B52">
              <w:rPr>
                <w:rFonts w:ascii="宋体" w:hAnsi="宋体"/>
                <w:color w:val="000000" w:themeColor="text1"/>
                <w:sz w:val="24"/>
                <w:szCs w:val="24"/>
              </w:rPr>
              <w:t>室内应设火灾探测报警系统；</w:t>
            </w:r>
          </w:p>
          <w:p w:rsidR="000C2455" w:rsidRPr="00687B52" w:rsidRDefault="000C2455" w:rsidP="00D9787F">
            <w:pPr>
              <w:widowControl/>
              <w:numPr>
                <w:ilvl w:val="0"/>
                <w:numId w:val="61"/>
              </w:numPr>
              <w:jc w:val="left"/>
              <w:rPr>
                <w:rFonts w:ascii="宋体" w:hAnsi="宋体"/>
                <w:color w:val="000000" w:themeColor="text1"/>
                <w:sz w:val="24"/>
                <w:szCs w:val="24"/>
              </w:rPr>
            </w:pPr>
            <w:r w:rsidRPr="00687B52">
              <w:rPr>
                <w:rFonts w:ascii="宋体" w:hAnsi="宋体"/>
                <w:color w:val="000000" w:themeColor="text1"/>
                <w:sz w:val="24"/>
                <w:szCs w:val="24"/>
              </w:rPr>
              <w:t>厂房应有机械通风，设备周围应设围堰。</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5.13单烯烃聚合</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5.13.3</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丁苯橡胶生产装置应采取下列措施：</w:t>
            </w:r>
          </w:p>
          <w:p w:rsidR="000C2455" w:rsidRPr="00687B52" w:rsidRDefault="000C2455" w:rsidP="00D9787F">
            <w:pPr>
              <w:widowControl/>
              <w:numPr>
                <w:ilvl w:val="0"/>
                <w:numId w:val="62"/>
              </w:numPr>
              <w:jc w:val="left"/>
              <w:rPr>
                <w:rFonts w:ascii="宋体" w:hAnsi="宋体"/>
                <w:color w:val="000000" w:themeColor="text1"/>
                <w:sz w:val="24"/>
                <w:szCs w:val="24"/>
              </w:rPr>
            </w:pPr>
            <w:r w:rsidRPr="00687B52">
              <w:rPr>
                <w:rFonts w:ascii="宋体" w:hAnsi="宋体"/>
                <w:color w:val="000000" w:themeColor="text1"/>
                <w:sz w:val="24"/>
                <w:szCs w:val="24"/>
              </w:rPr>
              <w:lastRenderedPageBreak/>
              <w:t>过氧化氢二异丙苯、过氧化氢对艹孟烷必须与叔十二碳硫醇分室储存；</w:t>
            </w:r>
          </w:p>
          <w:p w:rsidR="000C2455" w:rsidRPr="00687B52" w:rsidRDefault="000C2455" w:rsidP="00D9787F">
            <w:pPr>
              <w:widowControl/>
              <w:numPr>
                <w:ilvl w:val="0"/>
                <w:numId w:val="62"/>
              </w:numPr>
              <w:jc w:val="left"/>
              <w:rPr>
                <w:rFonts w:ascii="宋体" w:hAnsi="宋体" w:cs="宋体"/>
                <w:color w:val="000000" w:themeColor="text1"/>
                <w:kern w:val="0"/>
                <w:sz w:val="24"/>
                <w:szCs w:val="24"/>
              </w:rPr>
            </w:pPr>
            <w:r w:rsidRPr="00687B52">
              <w:rPr>
                <w:rFonts w:ascii="宋体" w:hAnsi="宋体"/>
                <w:color w:val="000000" w:themeColor="text1"/>
                <w:sz w:val="24"/>
                <w:szCs w:val="24"/>
              </w:rPr>
              <w:t>脱氧剂配制罐处应局部排风。</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lastRenderedPageBreak/>
              <w:t>《石油化工企业职业安全卫</w:t>
            </w:r>
            <w:r w:rsidRPr="00687B52">
              <w:rPr>
                <w:rFonts w:ascii="宋体" w:hAnsi="宋体" w:hint="eastAsia"/>
                <w:color w:val="000000" w:themeColor="text1"/>
                <w:szCs w:val="24"/>
              </w:rPr>
              <w:lastRenderedPageBreak/>
              <w:t>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5.14二烯烃聚合</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5.14.9</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乙丙橡胶生产装置应采取下列措施：</w:t>
            </w:r>
          </w:p>
          <w:p w:rsidR="000C2455" w:rsidRPr="00687B52" w:rsidRDefault="000C2455" w:rsidP="00D9787F">
            <w:pPr>
              <w:widowControl/>
              <w:numPr>
                <w:ilvl w:val="0"/>
                <w:numId w:val="63"/>
              </w:numPr>
              <w:jc w:val="left"/>
              <w:rPr>
                <w:rFonts w:ascii="宋体" w:hAnsi="宋体"/>
                <w:color w:val="000000" w:themeColor="text1"/>
                <w:sz w:val="24"/>
                <w:szCs w:val="24"/>
              </w:rPr>
            </w:pPr>
            <w:r w:rsidRPr="00687B52">
              <w:rPr>
                <w:rFonts w:ascii="宋体" w:hAnsi="宋体"/>
                <w:color w:val="000000" w:themeColor="text1"/>
                <w:sz w:val="24"/>
                <w:szCs w:val="24"/>
              </w:rPr>
              <w:t>溶剂应氮封储存，储罐外应设喷淋冷却设施，呼吸阀排气管应设阻火器；</w:t>
            </w:r>
          </w:p>
          <w:p w:rsidR="000C2455" w:rsidRPr="00687B52" w:rsidRDefault="000C2455" w:rsidP="00D9787F">
            <w:pPr>
              <w:widowControl/>
              <w:numPr>
                <w:ilvl w:val="0"/>
                <w:numId w:val="63"/>
              </w:numPr>
              <w:jc w:val="left"/>
              <w:rPr>
                <w:rFonts w:ascii="宋体" w:hAnsi="宋体"/>
                <w:color w:val="000000" w:themeColor="text1"/>
                <w:sz w:val="24"/>
                <w:szCs w:val="24"/>
              </w:rPr>
            </w:pPr>
            <w:r w:rsidRPr="00687B52">
              <w:rPr>
                <w:rFonts w:ascii="宋体" w:hAnsi="宋体"/>
                <w:color w:val="000000" w:themeColor="text1"/>
                <w:sz w:val="24"/>
                <w:szCs w:val="24"/>
              </w:rPr>
              <w:t>溶剂精馏塔釜应设温度、压力、液位报警设计，溶剂进入工艺设备处应设止回阀；</w:t>
            </w:r>
          </w:p>
          <w:p w:rsidR="000C2455" w:rsidRPr="00687B52" w:rsidRDefault="000C2455" w:rsidP="00D9787F">
            <w:pPr>
              <w:widowControl/>
              <w:numPr>
                <w:ilvl w:val="0"/>
                <w:numId w:val="63"/>
              </w:numPr>
              <w:jc w:val="left"/>
              <w:rPr>
                <w:rFonts w:ascii="宋体" w:hAnsi="宋体"/>
                <w:color w:val="000000" w:themeColor="text1"/>
                <w:sz w:val="24"/>
                <w:szCs w:val="24"/>
              </w:rPr>
            </w:pPr>
            <w:r w:rsidRPr="00687B52">
              <w:rPr>
                <w:rFonts w:ascii="宋体" w:hAnsi="宋体"/>
                <w:color w:val="000000" w:themeColor="text1"/>
                <w:sz w:val="24"/>
                <w:szCs w:val="24"/>
              </w:rPr>
              <w:t>双环戊二烯的精馏应防止过氧化物生成，精馏塔的塔釜应设置爆破片；</w:t>
            </w:r>
          </w:p>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三氯氧钒的储存和制备应符合下列要求：</w:t>
            </w:r>
          </w:p>
          <w:p w:rsidR="000C2455" w:rsidRPr="00687B52" w:rsidRDefault="000C2455" w:rsidP="003E1D2A">
            <w:pPr>
              <w:widowControl/>
              <w:jc w:val="left"/>
              <w:rPr>
                <w:rFonts w:ascii="宋体" w:hAnsi="宋体"/>
                <w:color w:val="000000" w:themeColor="text1"/>
                <w:sz w:val="24"/>
                <w:szCs w:val="24"/>
              </w:rPr>
            </w:pPr>
            <w:r w:rsidRPr="00687B52">
              <w:rPr>
                <w:rFonts w:ascii="宋体" w:hAnsi="宋体" w:hint="eastAsia"/>
                <w:color w:val="000000" w:themeColor="text1"/>
                <w:sz w:val="24"/>
                <w:szCs w:val="24"/>
              </w:rPr>
              <w:t>①</w:t>
            </w:r>
            <w:r w:rsidRPr="00687B52">
              <w:rPr>
                <w:rFonts w:ascii="宋体" w:hAnsi="宋体"/>
                <w:color w:val="000000" w:themeColor="text1"/>
                <w:sz w:val="24"/>
                <w:szCs w:val="24"/>
              </w:rPr>
              <w:t>制备过程应与空气和水分隔绝，反应器和蒸馏釜应设超温报警，排出的尾气和废气应吸收处理；</w:t>
            </w:r>
          </w:p>
          <w:p w:rsidR="000C2455" w:rsidRPr="00687B52" w:rsidRDefault="000C2455" w:rsidP="003E1D2A">
            <w:pPr>
              <w:widowControl/>
              <w:jc w:val="left"/>
              <w:rPr>
                <w:rFonts w:ascii="宋体" w:hAnsi="宋体"/>
                <w:color w:val="000000" w:themeColor="text1"/>
                <w:sz w:val="24"/>
                <w:szCs w:val="24"/>
              </w:rPr>
            </w:pPr>
            <w:r w:rsidRPr="00687B52">
              <w:rPr>
                <w:rFonts w:ascii="宋体" w:hAnsi="宋体" w:hint="eastAsia"/>
                <w:color w:val="000000" w:themeColor="text1"/>
                <w:sz w:val="24"/>
                <w:szCs w:val="24"/>
              </w:rPr>
              <w:t>②</w:t>
            </w:r>
            <w:r w:rsidRPr="00687B52">
              <w:rPr>
                <w:rFonts w:ascii="宋体" w:hAnsi="宋体"/>
                <w:color w:val="000000" w:themeColor="text1"/>
                <w:sz w:val="24"/>
                <w:szCs w:val="24"/>
              </w:rPr>
              <w:t>储存和运输应用氮气保护；</w:t>
            </w:r>
          </w:p>
          <w:p w:rsidR="000C2455" w:rsidRPr="00687B52" w:rsidRDefault="000C2455" w:rsidP="003E1D2A">
            <w:pPr>
              <w:widowControl/>
              <w:jc w:val="left"/>
              <w:rPr>
                <w:rFonts w:ascii="宋体" w:hAnsi="宋体"/>
                <w:color w:val="000000" w:themeColor="text1"/>
                <w:sz w:val="24"/>
                <w:szCs w:val="24"/>
              </w:rPr>
            </w:pPr>
            <w:r w:rsidRPr="00687B52">
              <w:rPr>
                <w:rFonts w:ascii="宋体" w:hAnsi="宋体" w:hint="eastAsia"/>
                <w:color w:val="000000" w:themeColor="text1"/>
                <w:sz w:val="24"/>
                <w:szCs w:val="24"/>
              </w:rPr>
              <w:t>③</w:t>
            </w:r>
            <w:r w:rsidRPr="00687B52">
              <w:rPr>
                <w:rFonts w:ascii="宋体" w:hAnsi="宋体"/>
                <w:color w:val="000000" w:themeColor="text1"/>
                <w:sz w:val="24"/>
                <w:szCs w:val="24"/>
              </w:rPr>
              <w:t>存放液氯钢瓶的场所应设石灰乳池。</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5.14二烯烃聚合</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5.14.11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在生产丙烯腈的回收、精制、火炬、焚烧炉等设备区和生产丙酮氰醇的氢氰酸发生丙酮氰醇合成、提纯等设备区，以及装置控制室、分析室内，应设固定的氢氰酸检测报警仪。巡回检查工人应配备便携式氢氰酸检测报警仪。</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5.15丙烯腈和丙酮氰醇</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5.15.4</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丙烯氨氧化反应系统应符合下列要求：</w:t>
            </w:r>
          </w:p>
          <w:p w:rsidR="000C2455" w:rsidRPr="00687B52" w:rsidRDefault="000C2455" w:rsidP="00D9787F">
            <w:pPr>
              <w:widowControl/>
              <w:numPr>
                <w:ilvl w:val="0"/>
                <w:numId w:val="64"/>
              </w:numPr>
              <w:jc w:val="left"/>
              <w:outlineLvl w:val="0"/>
              <w:rPr>
                <w:rFonts w:ascii="宋体" w:hAnsi="宋体"/>
                <w:color w:val="000000" w:themeColor="text1"/>
                <w:sz w:val="24"/>
                <w:szCs w:val="24"/>
              </w:rPr>
            </w:pPr>
            <w:r w:rsidRPr="00687B52">
              <w:rPr>
                <w:rFonts w:ascii="宋体" w:hAnsi="宋体"/>
                <w:color w:val="000000" w:themeColor="text1"/>
                <w:sz w:val="24"/>
                <w:szCs w:val="24"/>
              </w:rPr>
              <w:t>应设报警、自动停车和紧急停车设施；</w:t>
            </w:r>
          </w:p>
          <w:p w:rsidR="000C2455" w:rsidRPr="00687B52" w:rsidRDefault="000C2455" w:rsidP="00D9787F">
            <w:pPr>
              <w:widowControl/>
              <w:numPr>
                <w:ilvl w:val="0"/>
                <w:numId w:val="64"/>
              </w:numPr>
              <w:jc w:val="left"/>
              <w:rPr>
                <w:rFonts w:ascii="宋体" w:hAnsi="宋体"/>
                <w:color w:val="000000" w:themeColor="text1"/>
                <w:sz w:val="24"/>
                <w:szCs w:val="24"/>
              </w:rPr>
            </w:pPr>
            <w:r w:rsidRPr="00687B52">
              <w:rPr>
                <w:rFonts w:ascii="宋体" w:hAnsi="宋体"/>
                <w:color w:val="000000" w:themeColor="text1"/>
                <w:sz w:val="24"/>
                <w:szCs w:val="24"/>
              </w:rPr>
              <w:t>丙烯氨氧化反应器的冷却水泵应有可靠的备用电源；</w:t>
            </w:r>
          </w:p>
          <w:p w:rsidR="000C2455" w:rsidRPr="00687B52" w:rsidRDefault="000C2455" w:rsidP="00D9787F">
            <w:pPr>
              <w:widowControl/>
              <w:numPr>
                <w:ilvl w:val="0"/>
                <w:numId w:val="64"/>
              </w:numPr>
              <w:jc w:val="left"/>
              <w:rPr>
                <w:rFonts w:ascii="宋体" w:hAnsi="宋体"/>
                <w:color w:val="000000" w:themeColor="text1"/>
                <w:sz w:val="24"/>
                <w:szCs w:val="24"/>
              </w:rPr>
            </w:pPr>
            <w:r w:rsidRPr="00687B52">
              <w:rPr>
                <w:rFonts w:ascii="宋体" w:hAnsi="宋体"/>
                <w:color w:val="000000" w:themeColor="text1"/>
                <w:sz w:val="24"/>
                <w:szCs w:val="24"/>
              </w:rPr>
              <w:t>丙烯氨氧化反应器应设氮气吹扫管道，其</w:t>
            </w:r>
            <w:r w:rsidRPr="00687B52">
              <w:rPr>
                <w:rFonts w:ascii="宋体" w:hAnsi="宋体"/>
                <w:color w:val="000000" w:themeColor="text1"/>
                <w:sz w:val="24"/>
                <w:szCs w:val="24"/>
              </w:rPr>
              <w:lastRenderedPageBreak/>
              <w:t>集气室和出料管道应设蒸汽接管。</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lastRenderedPageBreak/>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5.15丙烯腈和丙酮氰醇</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5.15.6</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脱氢氰酸塔和丙烯腈精馏塔应有加入阻聚剂的设施，阻聚剂泵应有可靠的备用电源；塔的安全阀入口应有连续吹氮设施。脱氢氰酸塔系统宜采用屏蔽泵或磁力泵。如设精制泵房，则应采取机械通风和事故通风措施。泵房内应设氢氰酸监测报警仪，并设工业电视监视。</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5.15丙烯腈和丙酮氰醇</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5.15.9</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丙酮回收塔、丙酮氰醇精馏塔宜设超温报警设施，输送含丙酮氰醇物料的泵宜采用屏蔽泵或磁力泵。</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5.15丙烯腈和丙酮氰醇</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5.15.11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氢氰酸管道应有坡度，不得出现袋状，应少用阀门，避免死角。</w:t>
            </w:r>
          </w:p>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输出装置的液态氢氰酸管道应有冷冻盐水伴管。</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5.15丙烯腈和丙酮氰醇</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5.15.12</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丙烯腈成品罐、成品中间罐、粗丙烯腈罐、不合格产品罐、催化剂沉降罐、废水罐应氮封，其呼吸阀的排气必须经洗涤处理。成品罐，成品中间罐，不合格产品和粗丙烯腈罐应设喷啉冷却设施。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5.15丙烯腈和丙酮氰醇</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5.15.13</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醋酸乙烯反应系统设计应符合下列要求：</w:t>
            </w:r>
          </w:p>
          <w:p w:rsidR="000C2455" w:rsidRPr="00687B52" w:rsidRDefault="000C2455" w:rsidP="003E1D2A">
            <w:pPr>
              <w:widowControl/>
              <w:jc w:val="left"/>
              <w:rPr>
                <w:rFonts w:ascii="宋体" w:hAnsi="宋体"/>
                <w:color w:val="000000" w:themeColor="text1"/>
                <w:sz w:val="24"/>
                <w:szCs w:val="24"/>
              </w:rPr>
            </w:pPr>
            <w:r w:rsidRPr="00687B52">
              <w:rPr>
                <w:rFonts w:ascii="宋体" w:hAnsi="宋体" w:hint="eastAsia"/>
                <w:color w:val="000000" w:themeColor="text1"/>
                <w:sz w:val="24"/>
                <w:szCs w:val="24"/>
              </w:rPr>
              <w:t>1）</w:t>
            </w:r>
            <w:r w:rsidRPr="00687B52">
              <w:rPr>
                <w:rFonts w:ascii="宋体" w:hAnsi="宋体"/>
                <w:color w:val="000000" w:themeColor="text1"/>
                <w:sz w:val="24"/>
                <w:szCs w:val="24"/>
              </w:rPr>
              <w:t>氧气混合器的设计应能使氧气、乙烯、醋酸蒸气充分混合，不得有死角；</w:t>
            </w:r>
          </w:p>
          <w:p w:rsidR="000C2455" w:rsidRPr="00687B52" w:rsidRDefault="000C2455" w:rsidP="003E1D2A">
            <w:pPr>
              <w:widowControl/>
              <w:jc w:val="left"/>
              <w:rPr>
                <w:rFonts w:ascii="宋体" w:hAnsi="宋体"/>
                <w:color w:val="000000" w:themeColor="text1"/>
                <w:sz w:val="24"/>
                <w:szCs w:val="24"/>
              </w:rPr>
            </w:pPr>
            <w:r w:rsidRPr="00687B52">
              <w:rPr>
                <w:rFonts w:ascii="宋体" w:hAnsi="宋体" w:hint="eastAsia"/>
                <w:color w:val="000000" w:themeColor="text1"/>
                <w:sz w:val="24"/>
                <w:szCs w:val="24"/>
              </w:rPr>
              <w:t>2）</w:t>
            </w:r>
            <w:r w:rsidRPr="00687B52">
              <w:rPr>
                <w:rFonts w:ascii="宋体" w:hAnsi="宋体"/>
                <w:color w:val="000000" w:themeColor="text1"/>
                <w:sz w:val="24"/>
                <w:szCs w:val="24"/>
              </w:rPr>
              <w:t>醋酸乙烯合成反应器的进料应有氧含量在线监测、报警及自动向氧气混合器吹氮的设</w:t>
            </w:r>
            <w:r w:rsidRPr="00687B52">
              <w:rPr>
                <w:rFonts w:ascii="宋体" w:hAnsi="宋体"/>
                <w:color w:val="000000" w:themeColor="text1"/>
                <w:sz w:val="24"/>
                <w:szCs w:val="24"/>
              </w:rPr>
              <w:lastRenderedPageBreak/>
              <w:t>施；</w:t>
            </w:r>
          </w:p>
          <w:p w:rsidR="000C2455" w:rsidRPr="00687B52" w:rsidRDefault="000C2455" w:rsidP="003E1D2A">
            <w:pPr>
              <w:widowControl/>
              <w:jc w:val="left"/>
              <w:rPr>
                <w:rFonts w:ascii="宋体" w:hAnsi="宋体"/>
                <w:color w:val="000000" w:themeColor="text1"/>
                <w:sz w:val="24"/>
                <w:szCs w:val="24"/>
              </w:rPr>
            </w:pPr>
            <w:r w:rsidRPr="00687B52">
              <w:rPr>
                <w:rFonts w:ascii="宋体" w:hAnsi="宋体" w:hint="eastAsia"/>
                <w:color w:val="000000" w:themeColor="text1"/>
                <w:sz w:val="24"/>
                <w:szCs w:val="24"/>
              </w:rPr>
              <w:t>3）</w:t>
            </w:r>
            <w:r w:rsidRPr="00687B52">
              <w:rPr>
                <w:rFonts w:ascii="宋体" w:hAnsi="宋体"/>
                <w:color w:val="000000" w:themeColor="text1"/>
                <w:sz w:val="24"/>
                <w:szCs w:val="24"/>
              </w:rPr>
              <w:t>醋酸乙烯反应系统应设置报警、自动停氧、停车和紧急停车设施；</w:t>
            </w:r>
          </w:p>
          <w:p w:rsidR="000C2455" w:rsidRPr="00687B52" w:rsidRDefault="000C2455" w:rsidP="003E1D2A">
            <w:pPr>
              <w:widowControl/>
              <w:jc w:val="left"/>
              <w:rPr>
                <w:rFonts w:ascii="宋体" w:hAnsi="宋体"/>
                <w:color w:val="000000" w:themeColor="text1"/>
                <w:sz w:val="24"/>
                <w:szCs w:val="24"/>
              </w:rPr>
            </w:pPr>
            <w:r w:rsidRPr="00687B52">
              <w:rPr>
                <w:rFonts w:ascii="宋体" w:hAnsi="宋体" w:hint="eastAsia"/>
                <w:color w:val="000000" w:themeColor="text1"/>
                <w:sz w:val="24"/>
                <w:szCs w:val="24"/>
              </w:rPr>
              <w:t>4）</w:t>
            </w:r>
            <w:r w:rsidRPr="00687B52">
              <w:rPr>
                <w:rFonts w:ascii="宋体" w:hAnsi="宋体"/>
                <w:color w:val="000000" w:themeColor="text1"/>
                <w:sz w:val="24"/>
                <w:szCs w:val="24"/>
              </w:rPr>
              <w:t>醋酸乙烯合成反应器顶部，应设两个带阻火器的安全阀，超压排放的气体应引入火炬系统。</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lastRenderedPageBreak/>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5.16聚乙烯醇</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5.16.1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醇解机应设防止甲醇蒸气逸出的封闭罩。聚乙烯醇的干燥宜在微负压下进行，干燥机内应充氮。甲醇、醋酸乙烯、醋酸甲酯、乙醛的储罐应设氮封，其排气应进行水洗处理。</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5.16丙烯腈和丙酮氰醇</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催化剂溶液的配制应采取密闭加料。四溴乙烷的容器不宜布置在室内。粗对苯二甲酸的结晶器(浆料槽)上应设爆破片。如在第一结晶器内进行二次氧化时，应设尾气氧含量在线监测、报警及自动停供空气与自动充氮吹扫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5.17精对苯二甲酸</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醋酸系统的储罐排气应经凝缩、洗涤后放空，排空管上应设有充氮接管。</w:t>
            </w:r>
          </w:p>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氧化反应器废气和废气吸附塔的再生废气应高空排放。</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5.17精对苯二甲酸</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5.17.7</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对苯二甲酸二甲酯熔融器应设爆破片。</w:t>
            </w:r>
          </w:p>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对二甲苯储罐、醋酸储罐和催化剂配置场所的地面及基础应作防腐蚀处理，并设围堰和水冲洗设施。对苯二甲酸二甲酯储罐应设夹套式呼吸阀。其排气应经捕集器、阻火器排放。</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5.18对苯二甲酸二甲酯</w:t>
            </w:r>
          </w:p>
          <w:p w:rsidR="000C2455" w:rsidRPr="00687B52" w:rsidRDefault="000C2455" w:rsidP="003E1D2A">
            <w:pPr>
              <w:pStyle w:val="a7"/>
              <w:spacing w:line="360" w:lineRule="exact"/>
              <w:rPr>
                <w:rFonts w:ascii="宋体" w:hAnsi="宋体"/>
                <w:color w:val="000000" w:themeColor="text1"/>
                <w:szCs w:val="24"/>
              </w:rPr>
            </w:pP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精对苯二甲酸料仓应氮封。对苯二甲酸应采用氮气输送，氮气循环管上宜设氧含量的在线监测报警及联锁停车设施。甲醇储罐应设呼吸阀并氮封。罐外应设喷淋冷却设施。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5.19聚酯</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苯和环己烷的储罐均应设在中间罐区并设围堰。储罐应氮封，排气应回收处理。环己基过氧化氢的分解器应有喷淋冷却设施。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5.20尼龙66盐5.20.3</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环己基过氧化氢的分解采用铬酸辛酯为催化剂时，催化剂应设专用配制间。铬酸投料口附近应局部排风，排气应经水洗处理。液氨蒸发和气氨压缩系统的设备不应布置在封闭厂房内，氨回收及反应系统的框架、平台应有便于疏散的通道。</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5.20尼龙66盐</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干燥尼龙66盐的结晶应采取氮气作干燥介质。氮气循环使用时，应设氧含量在线监测报警设施。在旋风分离器和尼龙66盐装料漏斗上应设爆破片。</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5.20尼龙66盐5.20.14</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5"/>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羰基合成反应区应设事故排放罐。反应区周围应设围堰。正丁醛管道不应和蒸汽管道相邻或设在蒸汽管道上方。醛类储罐与醇类储罐应分别集中布置。醛类储罐应氮封并设向储罐内注水和罐外喷淋冷却设施。三苯基膦储罐应氮封。</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5.21丁辛醇</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3E1D2A">
            <w:pPr>
              <w:pStyle w:val="a7"/>
              <w:spacing w:line="360" w:lineRule="exact"/>
              <w:rPr>
                <w:rFonts w:ascii="宋体" w:hAnsi="宋体"/>
                <w:b/>
                <w:color w:val="000000" w:themeColor="text1"/>
                <w:szCs w:val="24"/>
              </w:rPr>
            </w:pPr>
            <w:r w:rsidRPr="00687B52">
              <w:rPr>
                <w:rFonts w:ascii="宋体" w:hAnsi="宋体" w:hint="eastAsia"/>
                <w:b/>
                <w:color w:val="000000" w:themeColor="text1"/>
                <w:szCs w:val="24"/>
              </w:rPr>
              <w:t>2.4</w:t>
            </w:r>
          </w:p>
        </w:tc>
        <w:tc>
          <w:tcPr>
            <w:tcW w:w="4678" w:type="pct"/>
            <w:gridSpan w:val="3"/>
            <w:vAlign w:val="center"/>
          </w:tcPr>
          <w:p w:rsidR="000C2455" w:rsidRPr="00687B52" w:rsidRDefault="000C2455" w:rsidP="003E1D2A">
            <w:pPr>
              <w:pStyle w:val="a7"/>
              <w:spacing w:line="360" w:lineRule="exact"/>
              <w:jc w:val="both"/>
              <w:rPr>
                <w:rFonts w:ascii="宋体" w:hAnsi="宋体"/>
                <w:color w:val="000000" w:themeColor="text1"/>
                <w:szCs w:val="24"/>
              </w:rPr>
            </w:pPr>
            <w:r w:rsidRPr="00687B52">
              <w:rPr>
                <w:rFonts w:ascii="宋体" w:hAnsi="宋体" w:hint="eastAsia"/>
                <w:b/>
                <w:color w:val="000000" w:themeColor="text1"/>
                <w:szCs w:val="24"/>
              </w:rPr>
              <w:t>化纤装置</w:t>
            </w:r>
          </w:p>
        </w:tc>
      </w:tr>
      <w:tr w:rsidR="000C2455" w:rsidRPr="00687B52" w:rsidTr="003E1D2A">
        <w:trPr>
          <w:jc w:val="center"/>
        </w:trPr>
        <w:tc>
          <w:tcPr>
            <w:tcW w:w="322" w:type="pct"/>
            <w:vAlign w:val="center"/>
          </w:tcPr>
          <w:p w:rsidR="000C2455" w:rsidRPr="00687B52" w:rsidRDefault="000C2455" w:rsidP="00D9787F">
            <w:pPr>
              <w:pStyle w:val="a7"/>
              <w:numPr>
                <w:ilvl w:val="0"/>
                <w:numId w:val="6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color w:val="000000" w:themeColor="text1"/>
                <w:szCs w:val="24"/>
              </w:rPr>
              <w:t>丙烯腈、丙烯酸甲酯、甲基丙烯酸甲酯、异丙醇、异丙醚和二氧化硫等应按连续生产所</w:t>
            </w:r>
            <w:r w:rsidRPr="00687B52">
              <w:rPr>
                <w:rFonts w:ascii="宋体" w:hAnsi="宋体"/>
                <w:color w:val="000000" w:themeColor="text1"/>
                <w:szCs w:val="24"/>
              </w:rPr>
              <w:lastRenderedPageBreak/>
              <w:t>必需的缓冲量设中间罐区。二氧化硫的储罐应与采用水消防的储罐分开布置，其周围应设围堰。</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lastRenderedPageBreak/>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lastRenderedPageBreak/>
              <w:t>6.1腈纶6.1.1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color w:val="000000" w:themeColor="text1"/>
                <w:szCs w:val="24"/>
              </w:rPr>
              <w:t>单体等易燃物料的储罐应氮封，储罐安全阀的排气应经洗涤回收处理，或高空排放。</w:t>
            </w:r>
          </w:p>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color w:val="000000" w:themeColor="text1"/>
                <w:szCs w:val="24"/>
              </w:rPr>
              <w:t>丙烯腈、甲基丙烯酸甲酯、异丙醇、丙烯酸甲酯、异丙醚的储罐应设冷却设施。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6.1腈纶6.1.2</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易燃物料用罐车运入装置时，罐车应接地。罐车卸料应采用真空吸出或氮气压出的方法，严禁采用压缩空气压卸。</w:t>
            </w:r>
          </w:p>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color w:val="000000" w:themeColor="text1"/>
                <w:szCs w:val="24"/>
              </w:rPr>
              <w:t>真空管道和氮气管道上应设止回阀。</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6.1腈纶6.1.3</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丙烯腈、丙烯酸甲酯、甲基丙烯甲酯及二氧化硫等物料的输送宜用屏蔽泵。</w:t>
            </w:r>
          </w:p>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在输送丙烯腈的管道上不得使用玻璃转子流量计和玻璃视镜。</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6.1腈纶6.1.8</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在干丙烯腈聚合体氮气气流输送系统和纺丝甬道氮气循环系统中，应设氧含量在线检测报警及相应的联锁设施。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6.1腈纶6.1.10</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丙烯腈聚合体干燥机上方及其附近的</w:t>
            </w:r>
            <w:smartTag w:uri="urn:schemas-microsoft-com:office:smarttags" w:element="chmetcnv">
              <w:smartTagPr>
                <w:attr w:name="TCSC" w:val="0"/>
                <w:attr w:name="NumberType" w:val="1"/>
                <w:attr w:name="Negative" w:val="False"/>
                <w:attr w:name="HasSpace" w:val="False"/>
                <w:attr w:name="SourceValue" w:val="2"/>
                <w:attr w:name="UnitName" w:val="m"/>
              </w:smartTagPr>
              <w:r w:rsidRPr="00687B52">
                <w:rPr>
                  <w:rFonts w:ascii="宋体" w:hAnsi="宋体"/>
                  <w:color w:val="000000" w:themeColor="text1"/>
                  <w:sz w:val="24"/>
                  <w:szCs w:val="24"/>
                </w:rPr>
                <w:t>2m</w:t>
              </w:r>
            </w:smartTag>
            <w:r w:rsidRPr="00687B52">
              <w:rPr>
                <w:rFonts w:ascii="宋体" w:hAnsi="宋体"/>
                <w:color w:val="000000" w:themeColor="text1"/>
                <w:sz w:val="24"/>
                <w:szCs w:val="24"/>
              </w:rPr>
              <w:t>范围以内不得配置可燃液体的管道。聚合体干燥机内应设自动喷水灭火设施。在干法纺丝过程中，接触干聚合体和二甲基甲酰胺的设备应氮封。</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6.1腈纶</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聚乙烯醇料仓应氮封并设爆破片；必要时，可采用喷淋冷却措施。呼吸阀排气管应设阻</w:t>
            </w:r>
            <w:r w:rsidRPr="00687B52">
              <w:rPr>
                <w:rFonts w:ascii="宋体" w:hAnsi="宋体"/>
                <w:color w:val="000000" w:themeColor="text1"/>
                <w:sz w:val="24"/>
                <w:szCs w:val="24"/>
              </w:rPr>
              <w:lastRenderedPageBreak/>
              <w:t>火器。</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lastRenderedPageBreak/>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lastRenderedPageBreak/>
              <w:t>6.1腈纶</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6"/>
              </w:numPr>
              <w:spacing w:line="360" w:lineRule="exact"/>
              <w:rPr>
                <w:rFonts w:ascii="宋体" w:hAnsi="宋体"/>
                <w:color w:val="000000" w:themeColor="text1"/>
                <w:szCs w:val="24"/>
              </w:rPr>
            </w:pPr>
          </w:p>
        </w:tc>
        <w:tc>
          <w:tcPr>
            <w:tcW w:w="1818" w:type="pct"/>
            <w:vAlign w:val="center"/>
          </w:tcPr>
          <w:p w:rsidR="000C2455" w:rsidRPr="00687B52" w:rsidRDefault="000C2455" w:rsidP="003E1D2A">
            <w:pPr>
              <w:widowControl/>
              <w:jc w:val="left"/>
              <w:rPr>
                <w:rFonts w:ascii="宋体" w:hAnsi="宋体"/>
                <w:color w:val="000000" w:themeColor="text1"/>
                <w:sz w:val="24"/>
                <w:szCs w:val="24"/>
              </w:rPr>
            </w:pPr>
            <w:r w:rsidRPr="00687B52">
              <w:rPr>
                <w:rFonts w:ascii="宋体" w:hAnsi="宋体"/>
                <w:color w:val="000000" w:themeColor="text1"/>
                <w:sz w:val="24"/>
                <w:szCs w:val="24"/>
              </w:rPr>
              <w:t>组件清洗间应设机械排风；如采用三甘醇清洗，排风机应防爆。聚酯废块粉碎机和废丝造粒机应与其它设备分室布置。聚酯废块和废丝的气流输送风机宜布置在同一室内。</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《石油化工企业职业安全卫生设计规范》SH3047-1993</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hint="eastAsia"/>
                <w:color w:val="000000" w:themeColor="text1"/>
                <w:szCs w:val="24"/>
              </w:rPr>
              <w:t>6.3涤纶、丙纶及聚酯废丝废块再纺</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3E1D2A">
            <w:pPr>
              <w:pStyle w:val="a7"/>
              <w:spacing w:line="360" w:lineRule="exact"/>
              <w:rPr>
                <w:rFonts w:ascii="宋体" w:hAnsi="宋体"/>
                <w:b/>
                <w:color w:val="000000" w:themeColor="text1"/>
                <w:szCs w:val="24"/>
              </w:rPr>
            </w:pPr>
            <w:r w:rsidRPr="00687B52">
              <w:rPr>
                <w:rFonts w:ascii="宋体" w:hAnsi="宋体" w:hint="eastAsia"/>
                <w:b/>
                <w:color w:val="000000" w:themeColor="text1"/>
                <w:szCs w:val="24"/>
              </w:rPr>
              <w:t>2.5</w:t>
            </w:r>
          </w:p>
        </w:tc>
        <w:tc>
          <w:tcPr>
            <w:tcW w:w="4678" w:type="pct"/>
            <w:gridSpan w:val="3"/>
            <w:vAlign w:val="center"/>
          </w:tcPr>
          <w:p w:rsidR="000C2455" w:rsidRPr="00687B52" w:rsidRDefault="000C2455" w:rsidP="003E1D2A">
            <w:pPr>
              <w:pStyle w:val="a7"/>
              <w:spacing w:line="360" w:lineRule="exact"/>
              <w:jc w:val="left"/>
              <w:rPr>
                <w:rFonts w:ascii="宋体" w:hAnsi="宋体"/>
                <w:b/>
                <w:color w:val="000000" w:themeColor="text1"/>
                <w:szCs w:val="24"/>
              </w:rPr>
            </w:pPr>
            <w:r w:rsidRPr="00687B52">
              <w:rPr>
                <w:rFonts w:ascii="宋体" w:hAnsi="宋体"/>
                <w:b/>
                <w:color w:val="000000" w:themeColor="text1"/>
                <w:szCs w:val="24"/>
              </w:rPr>
              <w:t>储运系统</w:t>
            </w: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color w:val="000000" w:themeColor="text1"/>
                <w:szCs w:val="24"/>
              </w:rPr>
              <w:t>储罐应采用钢罐。罐组应设防火堤。</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第6.2.1第6.2.11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color w:val="000000" w:themeColor="text1"/>
                <w:szCs w:val="24"/>
              </w:rPr>
              <w:t>储存甲</w:t>
            </w:r>
            <w:r w:rsidRPr="00687B52">
              <w:rPr>
                <w:rFonts w:ascii="宋体" w:hAnsi="宋体"/>
                <w:color w:val="000000" w:themeColor="text1"/>
                <w:szCs w:val="24"/>
                <w:vertAlign w:val="subscript"/>
              </w:rPr>
              <w:t>B</w:t>
            </w:r>
            <w:r w:rsidRPr="00687B52">
              <w:rPr>
                <w:rFonts w:ascii="宋体" w:hAnsi="宋体"/>
                <w:color w:val="000000" w:themeColor="text1"/>
                <w:szCs w:val="24"/>
              </w:rPr>
              <w:t>、乙</w:t>
            </w:r>
            <w:r w:rsidRPr="00687B52">
              <w:rPr>
                <w:rFonts w:ascii="宋体" w:hAnsi="宋体"/>
                <w:color w:val="000000" w:themeColor="text1"/>
                <w:szCs w:val="24"/>
                <w:vertAlign w:val="subscript"/>
              </w:rPr>
              <w:t>A</w:t>
            </w:r>
            <w:r w:rsidRPr="00687B52">
              <w:rPr>
                <w:rFonts w:ascii="宋体" w:hAnsi="宋体"/>
                <w:color w:val="000000" w:themeColor="text1"/>
                <w:szCs w:val="24"/>
              </w:rPr>
              <w:t>类的液体应选用金属浮舱式的浮顶或内浮顶罐。对于有特殊要求的物料，可选用其他型式的储罐。</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第6.2.2</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color w:val="000000" w:themeColor="text1"/>
                <w:szCs w:val="24"/>
              </w:rPr>
              <w:t>储存沸点低于</w:t>
            </w:r>
            <w:smartTag w:uri="urn:schemas-microsoft-com:office:smarttags" w:element="chmetcnv">
              <w:smartTagPr>
                <w:attr w:name="TCSC" w:val="0"/>
                <w:attr w:name="NumberType" w:val="1"/>
                <w:attr w:name="Negative" w:val="False"/>
                <w:attr w:name="HasSpace" w:val="False"/>
                <w:attr w:name="SourceValue" w:val="45"/>
                <w:attr w:name="UnitName" w:val="℃"/>
              </w:smartTagPr>
              <w:r w:rsidRPr="00687B52">
                <w:rPr>
                  <w:rFonts w:ascii="宋体" w:hAnsi="宋体"/>
                  <w:color w:val="000000" w:themeColor="text1"/>
                  <w:szCs w:val="24"/>
                </w:rPr>
                <w:t>45</w:t>
              </w:r>
              <w:r w:rsidRPr="00687B52">
                <w:rPr>
                  <w:rFonts w:ascii="宋体" w:hAnsi="宋体" w:cs="宋体" w:hint="eastAsia"/>
                  <w:color w:val="000000" w:themeColor="text1"/>
                  <w:szCs w:val="24"/>
                </w:rPr>
                <w:t>℃</w:t>
              </w:r>
            </w:smartTag>
            <w:r w:rsidRPr="00687B52">
              <w:rPr>
                <w:rFonts w:ascii="宋体" w:hAnsi="宋体"/>
                <w:color w:val="000000" w:themeColor="text1"/>
                <w:szCs w:val="24"/>
              </w:rPr>
              <w:t>的甲</w:t>
            </w:r>
            <w:r w:rsidRPr="00687B52">
              <w:rPr>
                <w:rFonts w:ascii="宋体" w:hAnsi="宋体"/>
                <w:color w:val="000000" w:themeColor="text1"/>
                <w:szCs w:val="24"/>
                <w:vertAlign w:val="subscript"/>
              </w:rPr>
              <w:t>B</w:t>
            </w:r>
            <w:r w:rsidRPr="00687B52">
              <w:rPr>
                <w:rFonts w:ascii="宋体" w:hAnsi="宋体"/>
                <w:color w:val="000000" w:themeColor="text1"/>
                <w:szCs w:val="24"/>
              </w:rPr>
              <w:t>类液体宜选用压力或低压储罐。</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第6.2.3</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color w:val="000000" w:themeColor="text1"/>
                <w:szCs w:val="24"/>
              </w:rPr>
              <w:t>甲</w:t>
            </w:r>
            <w:r w:rsidRPr="00687B52">
              <w:rPr>
                <w:rFonts w:ascii="宋体" w:hAnsi="宋体"/>
                <w:color w:val="000000" w:themeColor="text1"/>
                <w:szCs w:val="24"/>
                <w:vertAlign w:val="subscript"/>
              </w:rPr>
              <w:t>B</w:t>
            </w:r>
            <w:r w:rsidRPr="00687B52">
              <w:rPr>
                <w:rFonts w:ascii="宋体" w:hAnsi="宋体"/>
                <w:color w:val="000000" w:themeColor="text1"/>
                <w:szCs w:val="24"/>
              </w:rPr>
              <w:t>类液体固定顶罐或低压储罐应采取减少日晒升温的措施。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第6.2.4</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color w:val="000000" w:themeColor="text1"/>
                <w:szCs w:val="24"/>
              </w:rPr>
              <w:t>储罐应成组布置，并应符合下列规定：</w:t>
            </w:r>
          </w:p>
          <w:p w:rsidR="000C2455" w:rsidRPr="00687B52" w:rsidRDefault="000C2455" w:rsidP="00D9787F">
            <w:pPr>
              <w:pStyle w:val="Default"/>
              <w:numPr>
                <w:ilvl w:val="0"/>
                <w:numId w:val="30"/>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在同一罐组内，宜布置火灾危险性类别相同或相近的储罐；当单罐容积小于或等于</w:t>
            </w:r>
            <w:smartTag w:uri="urn:schemas-microsoft-com:office:smarttags" w:element="chmetcnv">
              <w:smartTagPr>
                <w:attr w:name="TCSC" w:val="0"/>
                <w:attr w:name="NumberType" w:val="1"/>
                <w:attr w:name="Negative" w:val="False"/>
                <w:attr w:name="HasSpace" w:val="False"/>
                <w:attr w:name="SourceValue" w:val="1000"/>
                <w:attr w:name="UnitName" w:val="m3"/>
              </w:smartTagPr>
              <w:r w:rsidRPr="00687B52">
                <w:rPr>
                  <w:rFonts w:ascii="宋体" w:eastAsia="宋体" w:hAnsi="宋体" w:cs="Times New Roman"/>
                  <w:color w:val="000000" w:themeColor="text1"/>
                </w:rPr>
                <w:t>1000m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时，火灾危险性类别不同的储罐也可同组布置；</w:t>
            </w:r>
          </w:p>
          <w:p w:rsidR="000C2455" w:rsidRPr="00687B52" w:rsidRDefault="000C2455" w:rsidP="00D9787F">
            <w:pPr>
              <w:pStyle w:val="Default"/>
              <w:numPr>
                <w:ilvl w:val="0"/>
                <w:numId w:val="30"/>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lastRenderedPageBreak/>
              <w:t>沸溢性液体的储罐不应与非沸溢性液体储罐同组布置；</w:t>
            </w:r>
          </w:p>
          <w:p w:rsidR="000C2455" w:rsidRPr="00687B52" w:rsidRDefault="000C2455" w:rsidP="00D9787F">
            <w:pPr>
              <w:pStyle w:val="Default"/>
              <w:numPr>
                <w:ilvl w:val="0"/>
                <w:numId w:val="30"/>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可燃液体的压力储罐可与液化烃的全压力储罐同组布置；</w:t>
            </w:r>
          </w:p>
          <w:p w:rsidR="000C2455" w:rsidRPr="00687B52" w:rsidRDefault="000C2455" w:rsidP="00D9787F">
            <w:pPr>
              <w:pStyle w:val="Default"/>
              <w:numPr>
                <w:ilvl w:val="0"/>
                <w:numId w:val="30"/>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可燃液体的低压储罐可与常压储罐同组布置。</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第6.2.5</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a7"/>
              <w:spacing w:line="360" w:lineRule="exact"/>
              <w:jc w:val="left"/>
              <w:rPr>
                <w:rFonts w:ascii="宋体" w:hAnsi="宋体"/>
                <w:color w:val="000000" w:themeColor="text1"/>
                <w:szCs w:val="24"/>
              </w:rPr>
            </w:pPr>
            <w:r w:rsidRPr="00687B52">
              <w:rPr>
                <w:rFonts w:ascii="宋体" w:hAnsi="宋体"/>
                <w:color w:val="000000" w:themeColor="text1"/>
                <w:szCs w:val="24"/>
              </w:rPr>
              <w:t>罐组的总容积应符合下列规定：</w:t>
            </w:r>
          </w:p>
          <w:p w:rsidR="000C2455" w:rsidRPr="00687B52" w:rsidRDefault="000C2455" w:rsidP="00D9787F">
            <w:pPr>
              <w:pStyle w:val="Default"/>
              <w:numPr>
                <w:ilvl w:val="0"/>
                <w:numId w:val="31"/>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固定顶罐组的总容积不应大于</w:t>
            </w:r>
            <w:smartTag w:uri="urn:schemas-microsoft-com:office:smarttags" w:element="chmetcnv">
              <w:smartTagPr>
                <w:attr w:name="TCSC" w:val="0"/>
                <w:attr w:name="NumberType" w:val="1"/>
                <w:attr w:name="Negative" w:val="False"/>
                <w:attr w:name="HasSpace" w:val="False"/>
                <w:attr w:name="SourceValue" w:val="120000"/>
                <w:attr w:name="UnitName" w:val="m3"/>
              </w:smartTagPr>
              <w:r w:rsidRPr="00687B52">
                <w:rPr>
                  <w:rFonts w:ascii="宋体" w:eastAsia="宋体" w:hAnsi="宋体" w:cs="Times New Roman"/>
                  <w:color w:val="000000" w:themeColor="text1"/>
                </w:rPr>
                <w:t>120000m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w:t>
            </w:r>
          </w:p>
          <w:p w:rsidR="000C2455" w:rsidRPr="00687B52" w:rsidRDefault="000C2455" w:rsidP="00D9787F">
            <w:pPr>
              <w:pStyle w:val="Default"/>
              <w:numPr>
                <w:ilvl w:val="0"/>
                <w:numId w:val="31"/>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浮顶、内浮顶罐组的总容积不应大于</w:t>
            </w:r>
            <w:smartTag w:uri="urn:schemas-microsoft-com:office:smarttags" w:element="chmetcnv">
              <w:smartTagPr>
                <w:attr w:name="TCSC" w:val="0"/>
                <w:attr w:name="NumberType" w:val="1"/>
                <w:attr w:name="Negative" w:val="False"/>
                <w:attr w:name="HasSpace" w:val="False"/>
                <w:attr w:name="SourceValue" w:val="600000"/>
                <w:attr w:name="UnitName" w:val="m3"/>
              </w:smartTagPr>
              <w:r w:rsidRPr="00687B52">
                <w:rPr>
                  <w:rFonts w:ascii="宋体" w:eastAsia="宋体" w:hAnsi="宋体" w:cs="Times New Roman"/>
                  <w:color w:val="000000" w:themeColor="text1"/>
                </w:rPr>
                <w:t>600000m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w:t>
            </w:r>
          </w:p>
          <w:p w:rsidR="000C2455" w:rsidRPr="00687B52" w:rsidRDefault="000C2455" w:rsidP="00D9787F">
            <w:pPr>
              <w:pStyle w:val="Default"/>
              <w:numPr>
                <w:ilvl w:val="0"/>
                <w:numId w:val="31"/>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固定顶罐和浮顶、内浮顶罐的混合罐组的总容积不应大于</w:t>
            </w:r>
            <w:smartTag w:uri="urn:schemas-microsoft-com:office:smarttags" w:element="chmetcnv">
              <w:smartTagPr>
                <w:attr w:name="TCSC" w:val="0"/>
                <w:attr w:name="NumberType" w:val="1"/>
                <w:attr w:name="Negative" w:val="False"/>
                <w:attr w:name="HasSpace" w:val="False"/>
                <w:attr w:name="SourceValue" w:val="120000"/>
                <w:attr w:name="UnitName" w:val="m3"/>
              </w:smartTagPr>
              <w:r w:rsidRPr="00687B52">
                <w:rPr>
                  <w:rFonts w:ascii="宋体" w:eastAsia="宋体" w:hAnsi="宋体" w:cs="Times New Roman"/>
                  <w:color w:val="000000" w:themeColor="text1"/>
                </w:rPr>
                <w:t>120000m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；其中浮顶、内浮顶罐的容积可折半计算。</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第6.2.6</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罐组内单罐容积大于或等于</w:t>
            </w:r>
            <w:smartTag w:uri="urn:schemas-microsoft-com:office:smarttags" w:element="chmetcnv">
              <w:smartTagPr>
                <w:attr w:name="TCSC" w:val="0"/>
                <w:attr w:name="NumberType" w:val="1"/>
                <w:attr w:name="Negative" w:val="False"/>
                <w:attr w:name="HasSpace" w:val="False"/>
                <w:attr w:name="SourceValue" w:val="10000"/>
                <w:attr w:name="UnitName" w:val="m3"/>
              </w:smartTagPr>
              <w:r w:rsidRPr="00687B52">
                <w:rPr>
                  <w:rFonts w:ascii="宋体" w:eastAsia="宋体" w:hAnsi="宋体" w:cs="Times New Roman"/>
                  <w:color w:val="000000" w:themeColor="text1"/>
                </w:rPr>
                <w:t>10000m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的储罐个数不应多于12个；单罐容积小于</w:t>
            </w:r>
            <w:smartTag w:uri="urn:schemas-microsoft-com:office:smarttags" w:element="chmetcnv">
              <w:smartTagPr>
                <w:attr w:name="TCSC" w:val="0"/>
                <w:attr w:name="NumberType" w:val="1"/>
                <w:attr w:name="Negative" w:val="False"/>
                <w:attr w:name="HasSpace" w:val="False"/>
                <w:attr w:name="SourceValue" w:val="10000"/>
                <w:attr w:name="UnitName" w:val="m3"/>
              </w:smartTagPr>
              <w:r w:rsidRPr="00687B52">
                <w:rPr>
                  <w:rFonts w:ascii="宋体" w:eastAsia="宋体" w:hAnsi="宋体" w:cs="Times New Roman"/>
                  <w:color w:val="000000" w:themeColor="text1"/>
                </w:rPr>
                <w:t>10000m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的储罐个数不应多于16个；但单罐容积均小于</w:t>
            </w:r>
            <w:smartTag w:uri="urn:schemas-microsoft-com:office:smarttags" w:element="chmetcnv">
              <w:smartTagPr>
                <w:attr w:name="TCSC" w:val="0"/>
                <w:attr w:name="NumberType" w:val="1"/>
                <w:attr w:name="Negative" w:val="False"/>
                <w:attr w:name="HasSpace" w:val="False"/>
                <w:attr w:name="SourceValue" w:val="1000"/>
                <w:attr w:name="UnitName" w:val="m3"/>
              </w:smartTagPr>
              <w:r w:rsidRPr="00687B52">
                <w:rPr>
                  <w:rFonts w:ascii="宋体" w:eastAsia="宋体" w:hAnsi="宋体" w:cs="Times New Roman"/>
                  <w:color w:val="000000" w:themeColor="text1"/>
                </w:rPr>
                <w:t>1000m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储罐以及丙</w:t>
            </w:r>
            <w:r w:rsidRPr="00687B52">
              <w:rPr>
                <w:rFonts w:ascii="宋体" w:eastAsia="宋体" w:hAnsi="宋体" w:cs="Times New Roman"/>
                <w:color w:val="000000" w:themeColor="text1"/>
                <w:vertAlign w:val="subscript"/>
              </w:rPr>
              <w:t>B</w:t>
            </w:r>
            <w:r w:rsidRPr="00687B52">
              <w:rPr>
                <w:rFonts w:ascii="宋体" w:eastAsia="宋体" w:hAnsi="宋体" w:cs="Times New Roman"/>
                <w:color w:val="000000" w:themeColor="text1"/>
              </w:rPr>
              <w:t>类液体储罐的个数不受此限。</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第6.2.7</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罐组内相邻可燃液体地上储罐的防火间距不应小于</w:t>
            </w:r>
            <w:r w:rsidRPr="00687B52">
              <w:rPr>
                <w:rFonts w:ascii="宋体" w:eastAsia="宋体" w:hAnsi="宋体" w:cs="Times New Roman" w:hint="eastAsia"/>
                <w:color w:val="000000" w:themeColor="text1"/>
              </w:rPr>
              <w:t>表6.2.8</w:t>
            </w:r>
            <w:r w:rsidRPr="00687B52">
              <w:rPr>
                <w:rFonts w:ascii="宋体" w:eastAsia="宋体" w:hAnsi="宋体" w:cs="Times New Roman"/>
                <w:color w:val="000000" w:themeColor="text1"/>
              </w:rPr>
              <w:t>的规定。</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第6.2.8</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罐组内的储罐不应超过两排；但单罐容积小于或等于</w:t>
            </w:r>
            <w:smartTag w:uri="urn:schemas-microsoft-com:office:smarttags" w:element="chmetcnv">
              <w:smartTagPr>
                <w:attr w:name="TCSC" w:val="0"/>
                <w:attr w:name="NumberType" w:val="1"/>
                <w:attr w:name="Negative" w:val="False"/>
                <w:attr w:name="HasSpace" w:val="False"/>
                <w:attr w:name="SourceValue" w:val="1000"/>
                <w:attr w:name="UnitName" w:val="m3"/>
              </w:smartTagPr>
              <w:r w:rsidRPr="00687B52">
                <w:rPr>
                  <w:rFonts w:ascii="宋体" w:eastAsia="宋体" w:hAnsi="宋体" w:cs="Times New Roman"/>
                  <w:color w:val="000000" w:themeColor="text1"/>
                </w:rPr>
                <w:t>1000m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的丙</w:t>
            </w:r>
            <w:r w:rsidRPr="00687B52">
              <w:rPr>
                <w:rFonts w:ascii="宋体" w:eastAsia="宋体" w:hAnsi="宋体" w:cs="Times New Roman"/>
                <w:color w:val="000000" w:themeColor="text1"/>
                <w:vertAlign w:val="subscript"/>
              </w:rPr>
              <w:t>B</w:t>
            </w:r>
            <w:r w:rsidRPr="00687B52">
              <w:rPr>
                <w:rFonts w:ascii="宋体" w:eastAsia="宋体" w:hAnsi="宋体" w:cs="Times New Roman"/>
                <w:color w:val="000000" w:themeColor="text1"/>
              </w:rPr>
              <w:t>类的储罐不应超过4排，</w:t>
            </w:r>
            <w:r w:rsidRPr="00687B52">
              <w:rPr>
                <w:rFonts w:ascii="宋体" w:eastAsia="宋体" w:hAnsi="宋体" w:cs="Times New Roman"/>
                <w:color w:val="000000" w:themeColor="text1"/>
              </w:rPr>
              <w:lastRenderedPageBreak/>
              <w:t>其中润滑油罐的单罐容积和排数不限。</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第6.2.9</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两排立式储罐的间距应符合</w:t>
            </w:r>
            <w:r w:rsidRPr="00687B52">
              <w:rPr>
                <w:rFonts w:ascii="宋体" w:eastAsia="宋体" w:hAnsi="宋体" w:cs="Times New Roman" w:hint="eastAsia"/>
                <w:color w:val="000000" w:themeColor="text1"/>
              </w:rPr>
              <w:t>表6.2.8</w:t>
            </w:r>
            <w:r w:rsidRPr="00687B52">
              <w:rPr>
                <w:rFonts w:ascii="宋体" w:eastAsia="宋体" w:hAnsi="宋体" w:cs="Times New Roman"/>
                <w:color w:val="000000" w:themeColor="text1"/>
              </w:rPr>
              <w:t>的规定，且不应小于</w:t>
            </w:r>
            <w:smartTag w:uri="urn:schemas-microsoft-com:office:smarttags" w:element="chmetcnv">
              <w:smartTagPr>
                <w:attr w:name="TCSC" w:val="0"/>
                <w:attr w:name="NumberType" w:val="1"/>
                <w:attr w:name="Negative" w:val="False"/>
                <w:attr w:name="HasSpace" w:val="False"/>
                <w:attr w:name="SourceValue" w:val="5"/>
                <w:attr w:name="UnitName" w:val="m"/>
              </w:smartTagPr>
              <w:r w:rsidRPr="00687B52">
                <w:rPr>
                  <w:rFonts w:ascii="宋体" w:eastAsia="宋体" w:hAnsi="宋体" w:cs="Times New Roman"/>
                  <w:color w:val="000000" w:themeColor="text1"/>
                </w:rPr>
                <w:t>5m</w:t>
              </w:r>
            </w:smartTag>
            <w:r w:rsidRPr="00687B52">
              <w:rPr>
                <w:rFonts w:ascii="宋体" w:eastAsia="宋体" w:hAnsi="宋体" w:cs="Times New Roman"/>
                <w:color w:val="000000" w:themeColor="text1"/>
              </w:rPr>
              <w:t>；两排直径小于</w:t>
            </w:r>
            <w:smartTag w:uri="urn:schemas-microsoft-com:office:smarttags" w:element="chmetcnv">
              <w:smartTagPr>
                <w:attr w:name="TCSC" w:val="0"/>
                <w:attr w:name="NumberType" w:val="1"/>
                <w:attr w:name="Negative" w:val="False"/>
                <w:attr w:name="HasSpace" w:val="False"/>
                <w:attr w:name="SourceValue" w:val="5"/>
                <w:attr w:name="UnitName" w:val="m"/>
              </w:smartTagPr>
              <w:r w:rsidRPr="00687B52">
                <w:rPr>
                  <w:rFonts w:ascii="宋体" w:eastAsia="宋体" w:hAnsi="宋体" w:cs="Times New Roman"/>
                  <w:color w:val="000000" w:themeColor="text1"/>
                </w:rPr>
                <w:t>5m</w:t>
              </w:r>
            </w:smartTag>
            <w:r w:rsidRPr="00687B52">
              <w:rPr>
                <w:rFonts w:ascii="宋体" w:eastAsia="宋体" w:hAnsi="宋体" w:cs="Times New Roman"/>
                <w:color w:val="000000" w:themeColor="text1"/>
              </w:rPr>
              <w:t>的立式储罐及卧式储罐的间距不应小于</w:t>
            </w:r>
            <w:smartTag w:uri="urn:schemas-microsoft-com:office:smarttags" w:element="chmetcnv">
              <w:smartTagPr>
                <w:attr w:name="TCSC" w:val="0"/>
                <w:attr w:name="NumberType" w:val="1"/>
                <w:attr w:name="Negative" w:val="False"/>
                <w:attr w:name="HasSpace" w:val="False"/>
                <w:attr w:name="SourceValue" w:val="3"/>
                <w:attr w:name="UnitName" w:val="m"/>
              </w:smartTagPr>
              <w:r w:rsidRPr="00687B52">
                <w:rPr>
                  <w:rFonts w:ascii="宋体" w:eastAsia="宋体" w:hAnsi="宋体" w:cs="Times New Roman"/>
                  <w:color w:val="000000" w:themeColor="text1"/>
                </w:rPr>
                <w:t>3m</w:t>
              </w:r>
            </w:smartTag>
            <w:r w:rsidRPr="00687B52">
              <w:rPr>
                <w:rFonts w:ascii="宋体" w:eastAsia="宋体" w:hAnsi="宋体" w:cs="Times New Roman"/>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第6.2.10</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防火堤及隔堤内的有效容积应符合下列规定：</w:t>
            </w:r>
          </w:p>
          <w:p w:rsidR="000C2455" w:rsidRPr="00687B52" w:rsidRDefault="000C2455" w:rsidP="00D9787F">
            <w:pPr>
              <w:pStyle w:val="Default"/>
              <w:numPr>
                <w:ilvl w:val="0"/>
                <w:numId w:val="32"/>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防火堤内的有效容积不应小于罐组内1个最大储罐的容积，当浮顶、内浮顶罐组不能满足此要求时，应设置事故存液池储存剩余部分，但罐组防火堤内的有效容积不应小于罐组内1个最大储罐容积的一半；</w:t>
            </w:r>
          </w:p>
          <w:p w:rsidR="000C2455" w:rsidRPr="00687B52" w:rsidRDefault="000C2455" w:rsidP="00D9787F">
            <w:pPr>
              <w:pStyle w:val="Default"/>
              <w:numPr>
                <w:ilvl w:val="0"/>
                <w:numId w:val="32"/>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隔堤内有效容积不应小于隔堤内1个最大储罐容积的10%。</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第6.2.12</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立式储罐至防火堤内堤脚线的距离不应小于罐壁高度的一半，卧式储罐至防火堤内堤脚线的距离不应小于</w:t>
            </w:r>
            <w:smartTag w:uri="urn:schemas-microsoft-com:office:smarttags" w:element="chmetcnv">
              <w:smartTagPr>
                <w:attr w:name="TCSC" w:val="0"/>
                <w:attr w:name="NumberType" w:val="1"/>
                <w:attr w:name="Negative" w:val="False"/>
                <w:attr w:name="HasSpace" w:val="False"/>
                <w:attr w:name="SourceValue" w:val="3"/>
                <w:attr w:name="UnitName" w:val="m"/>
              </w:smartTagPr>
              <w:r w:rsidRPr="00687B52">
                <w:rPr>
                  <w:rFonts w:ascii="宋体" w:eastAsia="宋体" w:hAnsi="宋体" w:cs="Times New Roman"/>
                  <w:color w:val="000000" w:themeColor="text1"/>
                </w:rPr>
                <w:t>3m</w:t>
              </w:r>
            </w:smartTag>
            <w:r w:rsidRPr="00687B52">
              <w:rPr>
                <w:rFonts w:ascii="宋体" w:eastAsia="宋体" w:hAnsi="宋体" w:cs="Times New Roman"/>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第6.2.13</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相邻罐组防火堤的外堤脚线之间应留有宽度不小于</w:t>
            </w:r>
            <w:smartTag w:uri="urn:schemas-microsoft-com:office:smarttags" w:element="chmetcnv">
              <w:smartTagPr>
                <w:attr w:name="TCSC" w:val="0"/>
                <w:attr w:name="NumberType" w:val="1"/>
                <w:attr w:name="Negative" w:val="False"/>
                <w:attr w:name="HasSpace" w:val="False"/>
                <w:attr w:name="SourceValue" w:val="7"/>
                <w:attr w:name="UnitName" w:val="m"/>
              </w:smartTagPr>
              <w:r w:rsidRPr="00687B52">
                <w:rPr>
                  <w:rFonts w:ascii="宋体" w:eastAsia="宋体" w:hAnsi="宋体" w:cs="Times New Roman"/>
                  <w:color w:val="000000" w:themeColor="text1"/>
                </w:rPr>
                <w:t>7m</w:t>
              </w:r>
            </w:smartTag>
            <w:r w:rsidRPr="00687B52">
              <w:rPr>
                <w:rFonts w:ascii="宋体" w:eastAsia="宋体" w:hAnsi="宋体" w:cs="Times New Roman"/>
                <w:color w:val="000000" w:themeColor="text1"/>
              </w:rPr>
              <w:t>的消防空地。</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第6.2.14</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设有防火堤的罐组内应按下列要求设置隔堤：</w:t>
            </w:r>
          </w:p>
          <w:p w:rsidR="000C2455" w:rsidRPr="00687B52" w:rsidRDefault="000C2455" w:rsidP="00D9787F">
            <w:pPr>
              <w:pStyle w:val="Default"/>
              <w:numPr>
                <w:ilvl w:val="0"/>
                <w:numId w:val="33"/>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单罐容积小于或等于</w:t>
            </w:r>
            <w:smartTag w:uri="urn:schemas-microsoft-com:office:smarttags" w:element="chmetcnv">
              <w:smartTagPr>
                <w:attr w:name="TCSC" w:val="0"/>
                <w:attr w:name="NumberType" w:val="1"/>
                <w:attr w:name="Negative" w:val="False"/>
                <w:attr w:name="HasSpace" w:val="False"/>
                <w:attr w:name="SourceValue" w:val="5000"/>
                <w:attr w:name="UnitName" w:val="m3"/>
              </w:smartTagPr>
              <w:r w:rsidRPr="00687B52">
                <w:rPr>
                  <w:rFonts w:ascii="宋体" w:eastAsia="宋体" w:hAnsi="宋体" w:cs="Times New Roman"/>
                  <w:color w:val="000000" w:themeColor="text1"/>
                </w:rPr>
                <w:t>5000m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时，隔堤所分隔的储罐容积之和不应大于</w:t>
            </w:r>
            <w:smartTag w:uri="urn:schemas-microsoft-com:office:smarttags" w:element="chmetcnv">
              <w:smartTagPr>
                <w:attr w:name="TCSC" w:val="0"/>
                <w:attr w:name="NumberType" w:val="1"/>
                <w:attr w:name="Negative" w:val="False"/>
                <w:attr w:name="HasSpace" w:val="False"/>
                <w:attr w:name="SourceValue" w:val="20000"/>
                <w:attr w:name="UnitName" w:val="m3"/>
              </w:smartTagPr>
              <w:r w:rsidRPr="00687B52">
                <w:rPr>
                  <w:rFonts w:ascii="宋体" w:eastAsia="宋体" w:hAnsi="宋体" w:cs="Times New Roman"/>
                  <w:color w:val="000000" w:themeColor="text1"/>
                </w:rPr>
                <w:t>20000m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w:t>
            </w:r>
          </w:p>
          <w:p w:rsidR="000C2455" w:rsidRPr="00687B52" w:rsidRDefault="000C2455" w:rsidP="00D9787F">
            <w:pPr>
              <w:pStyle w:val="Default"/>
              <w:numPr>
                <w:ilvl w:val="0"/>
                <w:numId w:val="33"/>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lastRenderedPageBreak/>
              <w:t>单罐容积大于</w:t>
            </w:r>
            <w:smartTag w:uri="urn:schemas-microsoft-com:office:smarttags" w:element="chmetcnv">
              <w:smartTagPr>
                <w:attr w:name="TCSC" w:val="0"/>
                <w:attr w:name="NumberType" w:val="1"/>
                <w:attr w:name="Negative" w:val="False"/>
                <w:attr w:name="HasSpace" w:val="False"/>
                <w:attr w:name="SourceValue" w:val="5000"/>
                <w:attr w:name="UnitName" w:val="m3"/>
              </w:smartTagPr>
              <w:r w:rsidRPr="00687B52">
                <w:rPr>
                  <w:rFonts w:ascii="宋体" w:eastAsia="宋体" w:hAnsi="宋体" w:cs="Times New Roman"/>
                  <w:color w:val="000000" w:themeColor="text1"/>
                </w:rPr>
                <w:t>5000m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至</w:t>
            </w:r>
            <w:smartTag w:uri="urn:schemas-microsoft-com:office:smarttags" w:element="chmetcnv">
              <w:smartTagPr>
                <w:attr w:name="TCSC" w:val="0"/>
                <w:attr w:name="NumberType" w:val="1"/>
                <w:attr w:name="Negative" w:val="False"/>
                <w:attr w:name="HasSpace" w:val="False"/>
                <w:attr w:name="SourceValue" w:val="20000"/>
                <w:attr w:name="UnitName" w:val="m3"/>
              </w:smartTagPr>
              <w:r w:rsidRPr="00687B52">
                <w:rPr>
                  <w:rFonts w:ascii="宋体" w:eastAsia="宋体" w:hAnsi="宋体" w:cs="Times New Roman"/>
                  <w:color w:val="000000" w:themeColor="text1"/>
                </w:rPr>
                <w:t>20000m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时，隔堤内的储罐不应超过4个；</w:t>
            </w:r>
          </w:p>
          <w:p w:rsidR="000C2455" w:rsidRPr="00687B52" w:rsidRDefault="000C2455" w:rsidP="00D9787F">
            <w:pPr>
              <w:pStyle w:val="Default"/>
              <w:numPr>
                <w:ilvl w:val="0"/>
                <w:numId w:val="33"/>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单罐容积大于</w:t>
            </w:r>
            <w:smartTag w:uri="urn:schemas-microsoft-com:office:smarttags" w:element="chmetcnv">
              <w:smartTagPr>
                <w:attr w:name="TCSC" w:val="0"/>
                <w:attr w:name="NumberType" w:val="1"/>
                <w:attr w:name="Negative" w:val="False"/>
                <w:attr w:name="HasSpace" w:val="False"/>
                <w:attr w:name="SourceValue" w:val="20000"/>
                <w:attr w:name="UnitName" w:val="m3"/>
              </w:smartTagPr>
              <w:r w:rsidRPr="00687B52">
                <w:rPr>
                  <w:rFonts w:ascii="宋体" w:eastAsia="宋体" w:hAnsi="宋体" w:cs="Times New Roman"/>
                  <w:color w:val="000000" w:themeColor="text1"/>
                </w:rPr>
                <w:t>20000m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至</w:t>
            </w:r>
            <w:smartTag w:uri="urn:schemas-microsoft-com:office:smarttags" w:element="chmetcnv">
              <w:smartTagPr>
                <w:attr w:name="TCSC" w:val="0"/>
                <w:attr w:name="NumberType" w:val="1"/>
                <w:attr w:name="Negative" w:val="False"/>
                <w:attr w:name="HasSpace" w:val="False"/>
                <w:attr w:name="SourceValue" w:val="50000"/>
                <w:attr w:name="UnitName" w:val="m3"/>
              </w:smartTagPr>
              <w:r w:rsidRPr="00687B52">
                <w:rPr>
                  <w:rFonts w:ascii="宋体" w:eastAsia="宋体" w:hAnsi="宋体" w:cs="Times New Roman"/>
                  <w:color w:val="000000" w:themeColor="text1"/>
                </w:rPr>
                <w:t>50000m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时，隔堤内的储罐不应超过2个；</w:t>
            </w:r>
          </w:p>
          <w:p w:rsidR="000C2455" w:rsidRPr="00687B52" w:rsidRDefault="000C2455" w:rsidP="00D9787F">
            <w:pPr>
              <w:pStyle w:val="Default"/>
              <w:numPr>
                <w:ilvl w:val="0"/>
                <w:numId w:val="33"/>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单罐容积大于</w:t>
            </w:r>
            <w:smartTag w:uri="urn:schemas-microsoft-com:office:smarttags" w:element="chmetcnv">
              <w:smartTagPr>
                <w:attr w:name="TCSC" w:val="0"/>
                <w:attr w:name="NumberType" w:val="1"/>
                <w:attr w:name="Negative" w:val="False"/>
                <w:attr w:name="HasSpace" w:val="False"/>
                <w:attr w:name="SourceValue" w:val="50000"/>
                <w:attr w:name="UnitName" w:val="m3"/>
              </w:smartTagPr>
              <w:r w:rsidRPr="00687B52">
                <w:rPr>
                  <w:rFonts w:ascii="宋体" w:eastAsia="宋体" w:hAnsi="宋体" w:cs="Times New Roman"/>
                  <w:color w:val="000000" w:themeColor="text1"/>
                </w:rPr>
                <w:t>50000m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时，应每1个一隔；</w:t>
            </w:r>
          </w:p>
          <w:p w:rsidR="000C2455" w:rsidRPr="00687B52" w:rsidRDefault="000C2455" w:rsidP="00D9787F">
            <w:pPr>
              <w:pStyle w:val="Default"/>
              <w:numPr>
                <w:ilvl w:val="0"/>
                <w:numId w:val="33"/>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隔堤所分隔的沸溢性液体储罐不应超过2个。</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第6.2.15</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多品种的液体罐组内应按下列要求设置隔堤：</w:t>
            </w:r>
          </w:p>
          <w:p w:rsidR="000C2455" w:rsidRPr="00687B52" w:rsidRDefault="000C2455" w:rsidP="00D9787F">
            <w:pPr>
              <w:pStyle w:val="Default"/>
              <w:numPr>
                <w:ilvl w:val="0"/>
                <w:numId w:val="34"/>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甲</w:t>
            </w:r>
            <w:r w:rsidRPr="00687B52">
              <w:rPr>
                <w:rFonts w:ascii="宋体" w:eastAsia="宋体" w:hAnsi="宋体" w:cs="Times New Roman"/>
                <w:color w:val="000000" w:themeColor="text1"/>
                <w:vertAlign w:val="subscript"/>
              </w:rPr>
              <w:t>B</w:t>
            </w:r>
            <w:r w:rsidRPr="00687B52">
              <w:rPr>
                <w:rFonts w:ascii="宋体" w:eastAsia="宋体" w:hAnsi="宋体" w:cs="Times New Roman"/>
                <w:color w:val="000000" w:themeColor="text1"/>
              </w:rPr>
              <w:t>、乙</w:t>
            </w:r>
            <w:r w:rsidRPr="00687B52">
              <w:rPr>
                <w:rFonts w:ascii="宋体" w:eastAsia="宋体" w:hAnsi="宋体" w:cs="Times New Roman"/>
                <w:color w:val="000000" w:themeColor="text1"/>
                <w:vertAlign w:val="subscript"/>
              </w:rPr>
              <w:t>A</w:t>
            </w:r>
            <w:r w:rsidRPr="00687B52">
              <w:rPr>
                <w:rFonts w:ascii="宋体" w:eastAsia="宋体" w:hAnsi="宋体" w:cs="Times New Roman"/>
                <w:color w:val="000000" w:themeColor="text1"/>
              </w:rPr>
              <w:t>类液体与其他类可燃液体储罐之间；</w:t>
            </w:r>
          </w:p>
          <w:p w:rsidR="000C2455" w:rsidRPr="00687B52" w:rsidRDefault="000C2455" w:rsidP="00D9787F">
            <w:pPr>
              <w:pStyle w:val="Default"/>
              <w:numPr>
                <w:ilvl w:val="0"/>
                <w:numId w:val="34"/>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水溶性与非水溶性可燃液体储罐之间；</w:t>
            </w:r>
          </w:p>
          <w:p w:rsidR="000C2455" w:rsidRPr="00687B52" w:rsidRDefault="000C2455" w:rsidP="00D9787F">
            <w:pPr>
              <w:pStyle w:val="Default"/>
              <w:numPr>
                <w:ilvl w:val="0"/>
                <w:numId w:val="34"/>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相互接触能引起化学反应的可燃液体储罐之间；</w:t>
            </w:r>
          </w:p>
          <w:p w:rsidR="000C2455" w:rsidRPr="00687B52" w:rsidRDefault="000C2455" w:rsidP="00D9787F">
            <w:pPr>
              <w:pStyle w:val="Default"/>
              <w:numPr>
                <w:ilvl w:val="0"/>
                <w:numId w:val="34"/>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助燃剂、强氧化剂及具有腐蚀性液体储罐与可燃液体储罐之间。</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第6.2.16</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防火堤及隔堤应符合下列规定：</w:t>
            </w:r>
          </w:p>
          <w:p w:rsidR="000C2455" w:rsidRPr="00687B52" w:rsidRDefault="000C2455" w:rsidP="00D9787F">
            <w:pPr>
              <w:pStyle w:val="Default"/>
              <w:numPr>
                <w:ilvl w:val="0"/>
                <w:numId w:val="35"/>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防火堤及隔堤应能承受所容纳液体的静压，且不应渗漏；</w:t>
            </w:r>
          </w:p>
          <w:p w:rsidR="000C2455" w:rsidRPr="00687B52" w:rsidRDefault="000C2455" w:rsidP="00D9787F">
            <w:pPr>
              <w:pStyle w:val="Default"/>
              <w:numPr>
                <w:ilvl w:val="0"/>
                <w:numId w:val="35"/>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立式储罐防火堤的高度应为计算高度加</w:t>
            </w:r>
            <w:smartTag w:uri="urn:schemas-microsoft-com:office:smarttags" w:element="chmetcnv">
              <w:smartTagPr>
                <w:attr w:name="UnitName" w:val="m"/>
                <w:attr w:name="SourceValue" w:val=".2"/>
                <w:attr w:name="HasSpace" w:val="False"/>
                <w:attr w:name="Negative" w:val="False"/>
                <w:attr w:name="NumberType" w:val="1"/>
                <w:attr w:name="TCSC" w:val="0"/>
              </w:smartTagPr>
              <w:r w:rsidRPr="00687B52">
                <w:rPr>
                  <w:rFonts w:ascii="宋体" w:eastAsia="宋体" w:hAnsi="宋体" w:cs="Times New Roman"/>
                  <w:color w:val="000000" w:themeColor="text1"/>
                </w:rPr>
                <w:t>0.2m</w:t>
              </w:r>
            </w:smartTag>
            <w:r w:rsidRPr="00687B52">
              <w:rPr>
                <w:rFonts w:ascii="宋体" w:eastAsia="宋体" w:hAnsi="宋体" w:cs="Times New Roman"/>
                <w:color w:val="000000" w:themeColor="text1"/>
              </w:rPr>
              <w:t>，但不应低于1.0m，且不宜高于2.2m；卧式储罐防火堤的高度不应低于0.5m；</w:t>
            </w:r>
          </w:p>
          <w:p w:rsidR="000C2455" w:rsidRPr="00687B52" w:rsidRDefault="000C2455" w:rsidP="00D9787F">
            <w:pPr>
              <w:pStyle w:val="Default"/>
              <w:numPr>
                <w:ilvl w:val="0"/>
                <w:numId w:val="35"/>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立式储罐组内隔堤的高度不应低于</w:t>
            </w:r>
            <w:smartTag w:uri="urn:schemas-microsoft-com:office:smarttags" w:element="chmetcnv">
              <w:smartTagPr>
                <w:attr w:name="UnitName" w:val="m"/>
                <w:attr w:name="SourceValue" w:val=".5"/>
                <w:attr w:name="HasSpace" w:val="False"/>
                <w:attr w:name="Negative" w:val="False"/>
                <w:attr w:name="NumberType" w:val="1"/>
                <w:attr w:name="TCSC" w:val="0"/>
              </w:smartTagPr>
              <w:r w:rsidRPr="00687B52">
                <w:rPr>
                  <w:rFonts w:ascii="宋体" w:eastAsia="宋体" w:hAnsi="宋体" w:cs="Times New Roman"/>
                  <w:color w:val="000000" w:themeColor="text1"/>
                </w:rPr>
                <w:t>0.5m</w:t>
              </w:r>
            </w:smartTag>
            <w:r w:rsidRPr="00687B52">
              <w:rPr>
                <w:rFonts w:ascii="宋体" w:eastAsia="宋体" w:hAnsi="宋体" w:cs="Times New Roman"/>
                <w:color w:val="000000" w:themeColor="text1"/>
              </w:rPr>
              <w:t>；</w:t>
            </w:r>
            <w:r w:rsidRPr="00687B52">
              <w:rPr>
                <w:rFonts w:ascii="宋体" w:eastAsia="宋体" w:hAnsi="宋体" w:cs="Times New Roman"/>
                <w:color w:val="000000" w:themeColor="text1"/>
              </w:rPr>
              <w:lastRenderedPageBreak/>
              <w:t>卧式储罐组内隔堤的高度不应低于</w:t>
            </w:r>
            <w:smartTag w:uri="urn:schemas-microsoft-com:office:smarttags" w:element="chmetcnv">
              <w:smartTagPr>
                <w:attr w:name="UnitName" w:val="m"/>
                <w:attr w:name="SourceValue" w:val=".3"/>
                <w:attr w:name="HasSpace" w:val="False"/>
                <w:attr w:name="Negative" w:val="False"/>
                <w:attr w:name="NumberType" w:val="1"/>
                <w:attr w:name="TCSC" w:val="0"/>
              </w:smartTagPr>
              <w:r w:rsidRPr="00687B52">
                <w:rPr>
                  <w:rFonts w:ascii="宋体" w:eastAsia="宋体" w:hAnsi="宋体" w:cs="Times New Roman"/>
                  <w:color w:val="000000" w:themeColor="text1"/>
                </w:rPr>
                <w:t>0.3m</w:t>
              </w:r>
            </w:smartTag>
            <w:r w:rsidRPr="00687B52">
              <w:rPr>
                <w:rFonts w:ascii="宋体" w:eastAsia="宋体" w:hAnsi="宋体" w:cs="Times New Roman"/>
                <w:color w:val="000000" w:themeColor="text1"/>
              </w:rPr>
              <w:t>；</w:t>
            </w:r>
          </w:p>
          <w:p w:rsidR="000C2455" w:rsidRPr="00687B52" w:rsidRDefault="000C2455" w:rsidP="00D9787F">
            <w:pPr>
              <w:pStyle w:val="Default"/>
              <w:numPr>
                <w:ilvl w:val="0"/>
                <w:numId w:val="35"/>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管道穿堤处应采用不燃烧材料严密封闭；</w:t>
            </w:r>
          </w:p>
          <w:p w:rsidR="000C2455" w:rsidRPr="00687B52" w:rsidRDefault="000C2455" w:rsidP="00D9787F">
            <w:pPr>
              <w:pStyle w:val="Default"/>
              <w:numPr>
                <w:ilvl w:val="0"/>
                <w:numId w:val="35"/>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在防火堤内雨水沟穿堤处应采取防止可燃液体流出堤外的措施；</w:t>
            </w:r>
          </w:p>
          <w:p w:rsidR="000C2455" w:rsidRPr="00687B52" w:rsidRDefault="000C2455" w:rsidP="00D9787F">
            <w:pPr>
              <w:pStyle w:val="Default"/>
              <w:numPr>
                <w:ilvl w:val="0"/>
                <w:numId w:val="35"/>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在防火堤的不同方位上应设置人行台阶或坡道，同一方位上两相邻人行台阶或坡道之间距离不宜大于</w:t>
            </w:r>
            <w:smartTag w:uri="urn:schemas-microsoft-com:office:smarttags" w:element="chmetcnv">
              <w:smartTagPr>
                <w:attr w:name="UnitName" w:val="m"/>
                <w:attr w:name="SourceValue" w:val="60"/>
                <w:attr w:name="HasSpace" w:val="False"/>
                <w:attr w:name="Negative" w:val="False"/>
                <w:attr w:name="NumberType" w:val="1"/>
                <w:attr w:name="TCSC" w:val="0"/>
              </w:smartTagPr>
              <w:r w:rsidRPr="00687B52">
                <w:rPr>
                  <w:rFonts w:ascii="宋体" w:eastAsia="宋体" w:hAnsi="宋体" w:cs="Times New Roman"/>
                  <w:color w:val="000000" w:themeColor="text1"/>
                </w:rPr>
                <w:t>60m</w:t>
              </w:r>
            </w:smartTag>
            <w:r w:rsidRPr="00687B52">
              <w:rPr>
                <w:rFonts w:ascii="宋体" w:eastAsia="宋体" w:hAnsi="宋体" w:cs="Times New Roman"/>
                <w:color w:val="000000" w:themeColor="text1"/>
              </w:rPr>
              <w:t>；隔堤应设置人行台阶。</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第6.2.17</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事故存液池的设置应符合下列规定：</w:t>
            </w:r>
          </w:p>
          <w:p w:rsidR="000C2455" w:rsidRPr="00687B52" w:rsidRDefault="000C2455" w:rsidP="00D9787F">
            <w:pPr>
              <w:pStyle w:val="Default"/>
              <w:numPr>
                <w:ilvl w:val="0"/>
                <w:numId w:val="36"/>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设有事故存液池的罐组应设导液管（沟），使溢漏液体能顺利地流出罐组并自流入存液池内；</w:t>
            </w:r>
          </w:p>
          <w:p w:rsidR="000C2455" w:rsidRPr="00687B52" w:rsidRDefault="000C2455" w:rsidP="00D9787F">
            <w:pPr>
              <w:pStyle w:val="Default"/>
              <w:numPr>
                <w:ilvl w:val="0"/>
                <w:numId w:val="36"/>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事故存液池距防火堤的距离不应小于</w:t>
            </w:r>
            <w:smartTag w:uri="urn:schemas-microsoft-com:office:smarttags" w:element="chmetcnv">
              <w:smartTagPr>
                <w:attr w:name="TCSC" w:val="0"/>
                <w:attr w:name="NumberType" w:val="1"/>
                <w:attr w:name="Negative" w:val="False"/>
                <w:attr w:name="HasSpace" w:val="False"/>
                <w:attr w:name="SourceValue" w:val="7"/>
                <w:attr w:name="UnitName" w:val="m"/>
              </w:smartTagPr>
              <w:r w:rsidRPr="00687B52">
                <w:rPr>
                  <w:rFonts w:ascii="宋体" w:eastAsia="宋体" w:hAnsi="宋体" w:cs="Times New Roman"/>
                  <w:color w:val="000000" w:themeColor="text1"/>
                </w:rPr>
                <w:t>7m</w:t>
              </w:r>
            </w:smartTag>
            <w:r w:rsidRPr="00687B52">
              <w:rPr>
                <w:rFonts w:ascii="宋体" w:eastAsia="宋体" w:hAnsi="宋体" w:cs="Times New Roman"/>
                <w:color w:val="000000" w:themeColor="text1"/>
              </w:rPr>
              <w:t>；</w:t>
            </w:r>
          </w:p>
          <w:p w:rsidR="000C2455" w:rsidRPr="00687B52" w:rsidRDefault="000C2455" w:rsidP="00D9787F">
            <w:pPr>
              <w:pStyle w:val="Default"/>
              <w:numPr>
                <w:ilvl w:val="0"/>
                <w:numId w:val="36"/>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事故存液池和导液沟距明火地点不应小于</w:t>
            </w:r>
            <w:smartTag w:uri="urn:schemas-microsoft-com:office:smarttags" w:element="chmetcnv">
              <w:smartTagPr>
                <w:attr w:name="TCSC" w:val="0"/>
                <w:attr w:name="NumberType" w:val="1"/>
                <w:attr w:name="Negative" w:val="False"/>
                <w:attr w:name="HasSpace" w:val="False"/>
                <w:attr w:name="SourceValue" w:val="30"/>
                <w:attr w:name="UnitName" w:val="m"/>
              </w:smartTagPr>
              <w:r w:rsidRPr="00687B52">
                <w:rPr>
                  <w:rFonts w:ascii="宋体" w:eastAsia="宋体" w:hAnsi="宋体" w:cs="Times New Roman"/>
                  <w:color w:val="000000" w:themeColor="text1"/>
                </w:rPr>
                <w:t>30m</w:t>
              </w:r>
            </w:smartTag>
            <w:r w:rsidRPr="00687B52">
              <w:rPr>
                <w:rFonts w:ascii="宋体" w:eastAsia="宋体" w:hAnsi="宋体" w:cs="Times New Roman"/>
                <w:color w:val="000000" w:themeColor="text1"/>
              </w:rPr>
              <w:t>；</w:t>
            </w:r>
          </w:p>
          <w:p w:rsidR="000C2455" w:rsidRPr="00687B52" w:rsidRDefault="000C2455" w:rsidP="00D9787F">
            <w:pPr>
              <w:pStyle w:val="Default"/>
              <w:numPr>
                <w:ilvl w:val="0"/>
                <w:numId w:val="36"/>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事故存液池应有排水设施。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第6.2.18</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甲</w:t>
            </w:r>
            <w:r w:rsidRPr="00687B52">
              <w:rPr>
                <w:rFonts w:ascii="宋体" w:eastAsia="宋体" w:hAnsi="宋体" w:cs="Times New Roman"/>
                <w:color w:val="000000" w:themeColor="text1"/>
                <w:vertAlign w:val="subscript"/>
              </w:rPr>
              <w:t>B</w:t>
            </w:r>
            <w:r w:rsidRPr="00687B52">
              <w:rPr>
                <w:rFonts w:ascii="宋体" w:eastAsia="宋体" w:hAnsi="宋体" w:cs="Times New Roman"/>
                <w:color w:val="000000" w:themeColor="text1"/>
              </w:rPr>
              <w:t>、乙类液体的固定顶罐应设阻火器和呼吸阀；对于采用氮气或其他气体气封的甲</w:t>
            </w:r>
            <w:r w:rsidRPr="00687B52">
              <w:rPr>
                <w:rFonts w:ascii="宋体" w:eastAsia="宋体" w:hAnsi="宋体" w:cs="Times New Roman"/>
                <w:color w:val="000000" w:themeColor="text1"/>
                <w:vertAlign w:val="subscript"/>
              </w:rPr>
              <w:t>B</w:t>
            </w:r>
            <w:r w:rsidRPr="00687B52">
              <w:rPr>
                <w:rFonts w:ascii="宋体" w:eastAsia="宋体" w:hAnsi="宋体" w:cs="Times New Roman"/>
                <w:color w:val="000000" w:themeColor="text1"/>
              </w:rPr>
              <w:t>、乙类液体的储罐还应设置事故泄压设备。</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第6.2.19</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储罐的进出口管道应采用柔性连接。</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第6.2.25</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液化烃储罐成组布置时应符合下列规定：</w:t>
            </w:r>
          </w:p>
          <w:p w:rsidR="000C2455" w:rsidRPr="00687B52" w:rsidRDefault="000C2455" w:rsidP="00D9787F">
            <w:pPr>
              <w:pStyle w:val="Default"/>
              <w:numPr>
                <w:ilvl w:val="0"/>
                <w:numId w:val="37"/>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lastRenderedPageBreak/>
              <w:t>液化烃罐组内的储罐不应超过两排；</w:t>
            </w:r>
          </w:p>
          <w:p w:rsidR="000C2455" w:rsidRPr="00687B52" w:rsidRDefault="000C2455" w:rsidP="00D9787F">
            <w:pPr>
              <w:pStyle w:val="Default"/>
              <w:numPr>
                <w:ilvl w:val="0"/>
                <w:numId w:val="37"/>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每组全压力式或半冷冻式储罐的个数不应多于12个；</w:t>
            </w:r>
          </w:p>
          <w:p w:rsidR="000C2455" w:rsidRPr="00687B52" w:rsidRDefault="000C2455" w:rsidP="00D9787F">
            <w:pPr>
              <w:pStyle w:val="Default"/>
              <w:numPr>
                <w:ilvl w:val="0"/>
                <w:numId w:val="37"/>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全冷冻式储罐的个数不宜多于2个；</w:t>
            </w:r>
          </w:p>
          <w:p w:rsidR="000C2455" w:rsidRPr="00687B52" w:rsidRDefault="000C2455" w:rsidP="00D9787F">
            <w:pPr>
              <w:pStyle w:val="Default"/>
              <w:numPr>
                <w:ilvl w:val="0"/>
                <w:numId w:val="37"/>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全冷冻式储罐应单独成组布置；</w:t>
            </w:r>
          </w:p>
          <w:p w:rsidR="000C2455" w:rsidRPr="00687B52" w:rsidRDefault="000C2455" w:rsidP="00D9787F">
            <w:pPr>
              <w:pStyle w:val="Default"/>
              <w:numPr>
                <w:ilvl w:val="0"/>
                <w:numId w:val="37"/>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储罐材质不能适应该罐组介质最低温度时不应布置在同一罐组内。</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w:t>
            </w:r>
            <w:r w:rsidRPr="00687B52">
              <w:rPr>
                <w:rFonts w:ascii="宋体" w:hAnsi="宋体"/>
                <w:color w:val="000000" w:themeColor="text1"/>
                <w:szCs w:val="24"/>
              </w:rPr>
              <w:lastRenderedPageBreak/>
              <w:t>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第6.3.2</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液化烃、可燃气体、助燃气体的罐组内，储罐的防火间距不应小于</w:t>
            </w:r>
            <w:r w:rsidRPr="00687B52">
              <w:rPr>
                <w:rFonts w:ascii="宋体" w:eastAsia="宋体" w:hAnsi="宋体" w:cs="Times New Roman" w:hint="eastAsia"/>
                <w:color w:val="000000" w:themeColor="text1"/>
              </w:rPr>
              <w:t>表6.3.3</w:t>
            </w:r>
            <w:r w:rsidRPr="00687B52">
              <w:rPr>
                <w:rFonts w:ascii="宋体" w:eastAsia="宋体" w:hAnsi="宋体" w:cs="Times New Roman"/>
                <w:color w:val="000000" w:themeColor="text1"/>
              </w:rPr>
              <w:t>的规定。</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第6.3.3</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两排卧罐的间距不应小于</w:t>
            </w:r>
            <w:smartTag w:uri="urn:schemas-microsoft-com:office:smarttags" w:element="chmetcnv">
              <w:smartTagPr>
                <w:attr w:name="TCSC" w:val="0"/>
                <w:attr w:name="NumberType" w:val="1"/>
                <w:attr w:name="Negative" w:val="False"/>
                <w:attr w:name="HasSpace" w:val="False"/>
                <w:attr w:name="SourceValue" w:val="3"/>
                <w:attr w:name="UnitName" w:val="m"/>
              </w:smartTagPr>
              <w:r w:rsidRPr="00687B52">
                <w:rPr>
                  <w:rFonts w:ascii="宋体" w:eastAsia="宋体" w:hAnsi="宋体" w:cs="Times New Roman"/>
                  <w:color w:val="000000" w:themeColor="text1"/>
                </w:rPr>
                <w:t>3m</w:t>
              </w:r>
            </w:smartTag>
            <w:r w:rsidRPr="00687B52">
              <w:rPr>
                <w:rFonts w:ascii="宋体" w:eastAsia="宋体" w:hAnsi="宋体" w:cs="Times New Roman"/>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第6.3.4</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防火堤及隔堤的设置应符合下列规定：</w:t>
            </w:r>
          </w:p>
          <w:p w:rsidR="000C2455" w:rsidRPr="00687B52" w:rsidRDefault="000C2455" w:rsidP="00D9787F">
            <w:pPr>
              <w:pStyle w:val="Default"/>
              <w:numPr>
                <w:ilvl w:val="0"/>
                <w:numId w:val="38"/>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液化烃全压力式或半冷冻式储罐组宜设不高于</w:t>
            </w:r>
            <w:smartTag w:uri="urn:schemas-microsoft-com:office:smarttags" w:element="chmetcnv">
              <w:smartTagPr>
                <w:attr w:name="UnitName" w:val="m"/>
                <w:attr w:name="SourceValue" w:val=".6"/>
                <w:attr w:name="HasSpace" w:val="False"/>
                <w:attr w:name="Negative" w:val="False"/>
                <w:attr w:name="NumberType" w:val="1"/>
                <w:attr w:name="TCSC" w:val="0"/>
              </w:smartTagPr>
              <w:r w:rsidRPr="00687B52">
                <w:rPr>
                  <w:rFonts w:ascii="宋体" w:eastAsia="宋体" w:hAnsi="宋体" w:cs="Times New Roman"/>
                  <w:color w:val="000000" w:themeColor="text1"/>
                </w:rPr>
                <w:t>0.6m</w:t>
              </w:r>
            </w:smartTag>
            <w:r w:rsidRPr="00687B52">
              <w:rPr>
                <w:rFonts w:ascii="宋体" w:eastAsia="宋体" w:hAnsi="宋体" w:cs="Times New Roman"/>
                <w:color w:val="000000" w:themeColor="text1"/>
              </w:rPr>
              <w:t>的防火堤，防火堤内堤脚线距储罐不应小于</w:t>
            </w:r>
            <w:smartTag w:uri="urn:schemas-microsoft-com:office:smarttags" w:element="chmetcnv">
              <w:smartTagPr>
                <w:attr w:name="UnitName" w:val="m"/>
                <w:attr w:name="SourceValue" w:val="3"/>
                <w:attr w:name="HasSpace" w:val="False"/>
                <w:attr w:name="Negative" w:val="False"/>
                <w:attr w:name="NumberType" w:val="1"/>
                <w:attr w:name="TCSC" w:val="0"/>
              </w:smartTagPr>
              <w:r w:rsidRPr="00687B52">
                <w:rPr>
                  <w:rFonts w:ascii="宋体" w:eastAsia="宋体" w:hAnsi="宋体" w:cs="Times New Roman"/>
                  <w:color w:val="000000" w:themeColor="text1"/>
                </w:rPr>
                <w:t>3m</w:t>
              </w:r>
            </w:smartTag>
            <w:r w:rsidRPr="00687B52">
              <w:rPr>
                <w:rFonts w:ascii="宋体" w:eastAsia="宋体" w:hAnsi="宋体" w:cs="Times New Roman"/>
                <w:color w:val="000000" w:themeColor="text1"/>
              </w:rPr>
              <w:t>，防火堤内的隔堤不宜高于</w:t>
            </w:r>
            <w:smartTag w:uri="urn:schemas-microsoft-com:office:smarttags" w:element="chmetcnv">
              <w:smartTagPr>
                <w:attr w:name="UnitName" w:val="m"/>
                <w:attr w:name="SourceValue" w:val=".3"/>
                <w:attr w:name="HasSpace" w:val="False"/>
                <w:attr w:name="Negative" w:val="False"/>
                <w:attr w:name="NumberType" w:val="1"/>
                <w:attr w:name="TCSC" w:val="0"/>
              </w:smartTagPr>
              <w:r w:rsidRPr="00687B52">
                <w:rPr>
                  <w:rFonts w:ascii="宋体" w:eastAsia="宋体" w:hAnsi="宋体" w:cs="Times New Roman"/>
                  <w:color w:val="000000" w:themeColor="text1"/>
                </w:rPr>
                <w:t>0.3m</w:t>
              </w:r>
            </w:smartTag>
            <w:r w:rsidRPr="00687B52">
              <w:rPr>
                <w:rFonts w:ascii="宋体" w:eastAsia="宋体" w:hAnsi="宋体" w:cs="Times New Roman"/>
                <w:color w:val="000000" w:themeColor="text1"/>
              </w:rPr>
              <w:t>；</w:t>
            </w:r>
          </w:p>
          <w:p w:rsidR="000C2455" w:rsidRPr="00687B52" w:rsidRDefault="000C2455" w:rsidP="00D9787F">
            <w:pPr>
              <w:pStyle w:val="Default"/>
              <w:numPr>
                <w:ilvl w:val="0"/>
                <w:numId w:val="38"/>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全压力式储罐组的总容积大于</w:t>
            </w:r>
            <w:smartTag w:uri="urn:schemas-microsoft-com:office:smarttags" w:element="chmetcnv">
              <w:smartTagPr>
                <w:attr w:name="UnitName" w:val="m3"/>
                <w:attr w:name="SourceValue" w:val="8000"/>
                <w:attr w:name="HasSpace" w:val="False"/>
                <w:attr w:name="Negative" w:val="False"/>
                <w:attr w:name="NumberType" w:val="1"/>
                <w:attr w:name="TCSC" w:val="0"/>
              </w:smartTagPr>
              <w:r w:rsidRPr="00687B52">
                <w:rPr>
                  <w:rFonts w:ascii="宋体" w:eastAsia="宋体" w:hAnsi="宋体" w:cs="Times New Roman"/>
                  <w:color w:val="000000" w:themeColor="text1"/>
                </w:rPr>
                <w:t>8000m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时，罐组内应设隔堤，隔堤内各储罐容积之和不宜大于</w:t>
            </w:r>
            <w:smartTag w:uri="urn:schemas-microsoft-com:office:smarttags" w:element="chmetcnv">
              <w:smartTagPr>
                <w:attr w:name="UnitName" w:val="m3"/>
                <w:attr w:name="SourceValue" w:val="8000"/>
                <w:attr w:name="HasSpace" w:val="False"/>
                <w:attr w:name="Negative" w:val="False"/>
                <w:attr w:name="NumberType" w:val="1"/>
                <w:attr w:name="TCSC" w:val="0"/>
              </w:smartTagPr>
              <w:r w:rsidRPr="00687B52">
                <w:rPr>
                  <w:rFonts w:ascii="宋体" w:eastAsia="宋体" w:hAnsi="宋体" w:cs="Times New Roman"/>
                  <w:color w:val="000000" w:themeColor="text1"/>
                </w:rPr>
                <w:t>8000m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。单罐容积等于或大于</w:t>
            </w:r>
            <w:smartTag w:uri="urn:schemas-microsoft-com:office:smarttags" w:element="chmetcnv">
              <w:smartTagPr>
                <w:attr w:name="UnitName" w:val="m3"/>
                <w:attr w:name="SourceValue" w:val="5000"/>
                <w:attr w:name="HasSpace" w:val="False"/>
                <w:attr w:name="Negative" w:val="False"/>
                <w:attr w:name="NumberType" w:val="1"/>
                <w:attr w:name="TCSC" w:val="0"/>
              </w:smartTagPr>
              <w:r w:rsidRPr="00687B52">
                <w:rPr>
                  <w:rFonts w:ascii="宋体" w:eastAsia="宋体" w:hAnsi="宋体" w:cs="Times New Roman"/>
                  <w:color w:val="000000" w:themeColor="text1"/>
                </w:rPr>
                <w:t>5000m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时应每一个一隔；</w:t>
            </w:r>
          </w:p>
          <w:p w:rsidR="000C2455" w:rsidRPr="00687B52" w:rsidRDefault="000C2455" w:rsidP="00D9787F">
            <w:pPr>
              <w:pStyle w:val="Default"/>
              <w:numPr>
                <w:ilvl w:val="0"/>
                <w:numId w:val="38"/>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全冷冻式储罐组的总容积不应大于</w:t>
            </w:r>
            <w:smartTag w:uri="urn:schemas-microsoft-com:office:smarttags" w:element="chmetcnv">
              <w:smartTagPr>
                <w:attr w:name="UnitName" w:val="m3"/>
                <w:attr w:name="SourceValue" w:val="200000"/>
                <w:attr w:name="HasSpace" w:val="False"/>
                <w:attr w:name="Negative" w:val="False"/>
                <w:attr w:name="NumberType" w:val="1"/>
                <w:attr w:name="TCSC" w:val="0"/>
              </w:smartTagPr>
              <w:r w:rsidRPr="00687B52">
                <w:rPr>
                  <w:rFonts w:ascii="宋体" w:eastAsia="宋体" w:hAnsi="宋体" w:cs="Times New Roman"/>
                  <w:color w:val="000000" w:themeColor="text1"/>
                </w:rPr>
                <w:lastRenderedPageBreak/>
                <w:t>200000m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，单防罐应每一个一隔，隔堤应低于防火堤</w:t>
            </w:r>
            <w:smartTag w:uri="urn:schemas-microsoft-com:office:smarttags" w:element="chmetcnv">
              <w:smartTagPr>
                <w:attr w:name="UnitName" w:val="m"/>
                <w:attr w:name="SourceValue" w:val=".2"/>
                <w:attr w:name="HasSpace" w:val="False"/>
                <w:attr w:name="Negative" w:val="False"/>
                <w:attr w:name="NumberType" w:val="1"/>
                <w:attr w:name="TCSC" w:val="0"/>
              </w:smartTagPr>
              <w:r w:rsidRPr="00687B52">
                <w:rPr>
                  <w:rFonts w:ascii="宋体" w:eastAsia="宋体" w:hAnsi="宋体" w:cs="Times New Roman"/>
                  <w:color w:val="000000" w:themeColor="text1"/>
                </w:rPr>
                <w:t>0.2m</w:t>
              </w:r>
            </w:smartTag>
            <w:r w:rsidRPr="00687B52">
              <w:rPr>
                <w:rFonts w:ascii="宋体" w:eastAsia="宋体" w:hAnsi="宋体" w:cs="Times New Roman"/>
                <w:color w:val="000000" w:themeColor="text1"/>
              </w:rPr>
              <w:t>；</w:t>
            </w:r>
          </w:p>
          <w:p w:rsidR="000C2455" w:rsidRPr="00687B52" w:rsidRDefault="000C2455" w:rsidP="00D9787F">
            <w:pPr>
              <w:pStyle w:val="Default"/>
              <w:numPr>
                <w:ilvl w:val="0"/>
                <w:numId w:val="38"/>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沸点低于</w:t>
            </w:r>
            <w:smartTag w:uri="urn:schemas-microsoft-com:office:smarttags" w:element="chmetcnv">
              <w:smartTagPr>
                <w:attr w:name="UnitName" w:val="℃"/>
                <w:attr w:name="SourceValue" w:val="45"/>
                <w:attr w:name="HasSpace" w:val="False"/>
                <w:attr w:name="Negative" w:val="False"/>
                <w:attr w:name="NumberType" w:val="1"/>
                <w:attr w:name="TCSC" w:val="0"/>
              </w:smartTagPr>
              <w:r w:rsidRPr="00687B52">
                <w:rPr>
                  <w:rFonts w:ascii="宋体" w:eastAsia="宋体" w:hAnsi="宋体" w:cs="Times New Roman"/>
                  <w:color w:val="000000" w:themeColor="text1"/>
                </w:rPr>
                <w:t>45</w:t>
              </w:r>
              <w:r w:rsidRPr="00687B52">
                <w:rPr>
                  <w:rFonts w:ascii="宋体" w:eastAsia="宋体" w:hAnsi="宋体" w:cs="宋体" w:hint="eastAsia"/>
                  <w:color w:val="000000" w:themeColor="text1"/>
                </w:rPr>
                <w:t>℃</w:t>
              </w:r>
            </w:smartTag>
            <w:r w:rsidRPr="00687B52">
              <w:rPr>
                <w:rFonts w:ascii="宋体" w:eastAsia="宋体" w:hAnsi="宋体" w:cs="Times New Roman"/>
                <w:color w:val="000000" w:themeColor="text1"/>
              </w:rPr>
              <w:t>甲B类液体压力储罐组的总容积不宜大于</w:t>
            </w:r>
            <w:smartTag w:uri="urn:schemas-microsoft-com:office:smarttags" w:element="chmetcnv">
              <w:smartTagPr>
                <w:attr w:name="UnitName" w:val="m3"/>
                <w:attr w:name="SourceValue" w:val="60000"/>
                <w:attr w:name="HasSpace" w:val="False"/>
                <w:attr w:name="Negative" w:val="False"/>
                <w:attr w:name="NumberType" w:val="1"/>
                <w:attr w:name="TCSC" w:val="0"/>
              </w:smartTagPr>
              <w:r w:rsidRPr="00687B52">
                <w:rPr>
                  <w:rFonts w:ascii="宋体" w:eastAsia="宋体" w:hAnsi="宋体" w:cs="Times New Roman"/>
                  <w:color w:val="000000" w:themeColor="text1"/>
                </w:rPr>
                <w:t>60000m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；隔堤内各储罐容积之和不宜大于</w:t>
            </w:r>
            <w:smartTag w:uri="urn:schemas-microsoft-com:office:smarttags" w:element="chmetcnv">
              <w:smartTagPr>
                <w:attr w:name="UnitName" w:val="m3"/>
                <w:attr w:name="SourceValue" w:val="8000"/>
                <w:attr w:name="HasSpace" w:val="True"/>
                <w:attr w:name="Negative" w:val="False"/>
                <w:attr w:name="NumberType" w:val="1"/>
                <w:attr w:name="TCSC" w:val="0"/>
              </w:smartTagPr>
              <w:r w:rsidRPr="00687B52">
                <w:rPr>
                  <w:rFonts w:ascii="宋体" w:eastAsia="宋体" w:hAnsi="宋体" w:cs="Times New Roman"/>
                  <w:color w:val="000000" w:themeColor="text1"/>
                </w:rPr>
                <w:t>8000 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，单罐容积等于或大于</w:t>
            </w:r>
            <w:smartTag w:uri="urn:schemas-microsoft-com:office:smarttags" w:element="chmetcnv">
              <w:smartTagPr>
                <w:attr w:name="UnitName" w:val="m3"/>
                <w:attr w:name="SourceValue" w:val="5000"/>
                <w:attr w:name="HasSpace" w:val="True"/>
                <w:attr w:name="Negative" w:val="False"/>
                <w:attr w:name="NumberType" w:val="1"/>
                <w:attr w:name="TCSC" w:val="0"/>
              </w:smartTagPr>
              <w:r w:rsidRPr="00687B52">
                <w:rPr>
                  <w:rFonts w:ascii="宋体" w:eastAsia="宋体" w:hAnsi="宋体" w:cs="Times New Roman"/>
                  <w:color w:val="000000" w:themeColor="text1"/>
                </w:rPr>
                <w:t>5000 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时应每一个一隔。</w:t>
            </w:r>
          </w:p>
          <w:p w:rsidR="000C2455" w:rsidRPr="00687B52" w:rsidRDefault="000C2455" w:rsidP="00D9787F">
            <w:pPr>
              <w:pStyle w:val="Default"/>
              <w:numPr>
                <w:ilvl w:val="0"/>
                <w:numId w:val="38"/>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沸点低于</w:t>
            </w:r>
            <w:smartTag w:uri="urn:schemas-microsoft-com:office:smarttags" w:element="chmetcnv">
              <w:smartTagPr>
                <w:attr w:name="UnitName" w:val="℃"/>
                <w:attr w:name="SourceValue" w:val="45"/>
                <w:attr w:name="HasSpace" w:val="False"/>
                <w:attr w:name="Negative" w:val="False"/>
                <w:attr w:name="NumberType" w:val="1"/>
                <w:attr w:name="TCSC" w:val="0"/>
              </w:smartTagPr>
              <w:r w:rsidRPr="00687B52">
                <w:rPr>
                  <w:rFonts w:ascii="宋体" w:eastAsia="宋体" w:hAnsi="宋体" w:cs="Times New Roman"/>
                  <w:color w:val="000000" w:themeColor="text1"/>
                </w:rPr>
                <w:t>45</w:t>
              </w:r>
              <w:r w:rsidRPr="00687B52">
                <w:rPr>
                  <w:rFonts w:ascii="宋体" w:eastAsia="宋体" w:hAnsi="宋体" w:cs="宋体" w:hint="eastAsia"/>
                  <w:color w:val="000000" w:themeColor="text1"/>
                </w:rPr>
                <w:t>℃</w:t>
              </w:r>
            </w:smartTag>
            <w:r w:rsidRPr="00687B52">
              <w:rPr>
                <w:rFonts w:ascii="宋体" w:eastAsia="宋体" w:hAnsi="宋体" w:cs="Times New Roman"/>
                <w:color w:val="000000" w:themeColor="text1"/>
              </w:rPr>
              <w:t>的甲</w:t>
            </w:r>
            <w:r w:rsidRPr="00687B52">
              <w:rPr>
                <w:rFonts w:ascii="宋体" w:eastAsia="宋体" w:hAnsi="宋体" w:cs="Times New Roman"/>
                <w:color w:val="000000" w:themeColor="text1"/>
                <w:vertAlign w:val="subscript"/>
              </w:rPr>
              <w:t>B</w:t>
            </w:r>
            <w:r w:rsidRPr="00687B52">
              <w:rPr>
                <w:rFonts w:ascii="宋体" w:eastAsia="宋体" w:hAnsi="宋体" w:cs="Times New Roman"/>
                <w:color w:val="000000" w:themeColor="text1"/>
              </w:rPr>
              <w:t>类液体的压力储罐，防火堤容积不应小于一个最大储罐的容积。当其与液化烃压力储罐同组布置时，防火堤及隔堤的高度尚应满足液化烃压力储罐组的要求，且二者之间应设隔堤；当其独立成组时，防火堤距储罐不应小于3m</w:t>
            </w:r>
            <w:r w:rsidRPr="00687B52">
              <w:rPr>
                <w:rFonts w:ascii="宋体" w:eastAsia="宋体" w:hAnsi="宋体" w:cs="Times New Roman" w:hint="eastAsia"/>
                <w:color w:val="000000" w:themeColor="text1"/>
              </w:rPr>
              <w:t>。</w:t>
            </w:r>
          </w:p>
          <w:p w:rsidR="000C2455" w:rsidRPr="00687B52" w:rsidRDefault="000C2455" w:rsidP="00D9787F">
            <w:pPr>
              <w:pStyle w:val="Default"/>
              <w:numPr>
                <w:ilvl w:val="0"/>
                <w:numId w:val="38"/>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全压力式、半冷冻式液氨储罐的防火堤和隔堤的设置同液化烃储罐的要求。</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第6.3.5</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液化烃全冷冻式单防罐罐组应设防火堤，并应符合下列规定：</w:t>
            </w:r>
          </w:p>
          <w:p w:rsidR="000C2455" w:rsidRPr="00687B52" w:rsidRDefault="000C2455" w:rsidP="00D9787F">
            <w:pPr>
              <w:pStyle w:val="Default"/>
              <w:numPr>
                <w:ilvl w:val="0"/>
                <w:numId w:val="39"/>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防火堤内的有效容积不应小于一个最大储罐的容积；</w:t>
            </w:r>
          </w:p>
          <w:p w:rsidR="000C2455" w:rsidRPr="00687B52" w:rsidRDefault="000C2455" w:rsidP="00D9787F">
            <w:pPr>
              <w:pStyle w:val="Default"/>
              <w:numPr>
                <w:ilvl w:val="0"/>
                <w:numId w:val="39"/>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单防罐至防火堤内顶角线的距离不应小于最高液位与防火堤堤顶的高度之差加上液面上气相当量压头的和；当防火堤的高度等于或大于最高液位时，单防罐至防</w:t>
            </w:r>
            <w:r w:rsidRPr="00687B52">
              <w:rPr>
                <w:rFonts w:ascii="宋体" w:eastAsia="宋体" w:hAnsi="宋体" w:cs="Times New Roman"/>
                <w:color w:val="000000" w:themeColor="text1"/>
              </w:rPr>
              <w:lastRenderedPageBreak/>
              <w:t>火堤内顶角线的距离不限；</w:t>
            </w:r>
          </w:p>
          <w:p w:rsidR="000C2455" w:rsidRPr="00687B52" w:rsidRDefault="000C2455" w:rsidP="00D9787F">
            <w:pPr>
              <w:pStyle w:val="Default"/>
              <w:numPr>
                <w:ilvl w:val="0"/>
                <w:numId w:val="39"/>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应在防火堤的不同方位上设置不少于两个人行台阶或梯子。</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第6.3.6</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液化烃全冷冻式双防或全防罐罐组可不设防火堤。</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第6.3.7</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全冷冻式液氨储罐应设防火堤，堤内有效容积应不小于一个最大储罐容积的60%。</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第6.3.8</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液化烃、液氨等储罐的储存系数不应大于0.9。</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第6.3.9</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液氨的储罐，应设液位计、压力表和安全阀；低温液氨储罐尚应设温度指示仪。</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第6.3.10</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液化烃的储罐应设液位计、温度计、压力表、安全阀，以及高液位报警和高高液位自动联锁切断进料措施。对于全冷冻式液化烃储罐还应设真空泄放设施和高、低温度检测，并应与自动控制系统相联。</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第6.3.11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气柜应设上、下限位报警装置，并宜设进出管道自动联锁切断装置。</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第6.3.12</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液化烃储罐的安全阀出口管应接至火炬系统。确有困难时，可就地放空，但其排气管口应高出</w:t>
            </w:r>
            <w:smartTag w:uri="urn:schemas-microsoft-com:office:smarttags" w:element="chmetcnv">
              <w:smartTagPr>
                <w:attr w:name="TCSC" w:val="0"/>
                <w:attr w:name="NumberType" w:val="1"/>
                <w:attr w:name="Negative" w:val="False"/>
                <w:attr w:name="HasSpace" w:val="False"/>
                <w:attr w:name="SourceValue" w:val="8"/>
                <w:attr w:name="UnitName" w:val="m"/>
              </w:smartTagPr>
              <w:r w:rsidRPr="00687B52">
                <w:rPr>
                  <w:rFonts w:ascii="宋体" w:eastAsia="宋体" w:hAnsi="宋体" w:cs="Times New Roman"/>
                  <w:color w:val="000000" w:themeColor="text1"/>
                </w:rPr>
                <w:t>8m</w:t>
              </w:r>
            </w:smartTag>
            <w:r w:rsidRPr="00687B52">
              <w:rPr>
                <w:rFonts w:ascii="宋体" w:eastAsia="宋体" w:hAnsi="宋体" w:cs="Times New Roman"/>
                <w:color w:val="000000" w:themeColor="text1"/>
              </w:rPr>
              <w:t>范围内储罐罐顶平台</w:t>
            </w:r>
            <w:smartTag w:uri="urn:schemas-microsoft-com:office:smarttags" w:element="chmetcnv">
              <w:smartTagPr>
                <w:attr w:name="TCSC" w:val="0"/>
                <w:attr w:name="NumberType" w:val="1"/>
                <w:attr w:name="Negative" w:val="False"/>
                <w:attr w:name="HasSpace" w:val="False"/>
                <w:attr w:name="SourceValue" w:val="3"/>
                <w:attr w:name="UnitName" w:val="m"/>
              </w:smartTagPr>
              <w:r w:rsidRPr="00687B52">
                <w:rPr>
                  <w:rFonts w:ascii="宋体" w:eastAsia="宋体" w:hAnsi="宋体" w:cs="Times New Roman"/>
                  <w:color w:val="000000" w:themeColor="text1"/>
                </w:rPr>
                <w:t>3m</w:t>
              </w:r>
            </w:smartTag>
            <w:r w:rsidRPr="00687B52">
              <w:rPr>
                <w:rFonts w:ascii="宋体" w:eastAsia="宋体" w:hAnsi="宋体" w:cs="Times New Roman"/>
                <w:color w:val="000000" w:themeColor="text1"/>
              </w:rPr>
              <w:t>以上。</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第6.3.13</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全压力式液化烃储罐宜采用有防冻措施的二次脱水系统，储罐根部宜设紧急切断阀。</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第6.3.14</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液化石油气蒸发器的气相部分应设压力表和安全阀。</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第6.3.15</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可燃液体的铁路装卸设施应符合下列规定：</w:t>
            </w:r>
          </w:p>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1. 装卸栈台两端和沿栈台每隔</w:t>
            </w:r>
            <w:smartTag w:uri="urn:schemas-microsoft-com:office:smarttags" w:element="chmetcnv">
              <w:smartTagPr>
                <w:attr w:name="TCSC" w:val="0"/>
                <w:attr w:name="NumberType" w:val="1"/>
                <w:attr w:name="Negative" w:val="False"/>
                <w:attr w:name="HasSpace" w:val="False"/>
                <w:attr w:name="SourceValue" w:val="60"/>
                <w:attr w:name="UnitName" w:val="m"/>
              </w:smartTagPr>
              <w:r w:rsidRPr="00687B52">
                <w:rPr>
                  <w:rFonts w:ascii="宋体" w:eastAsia="宋体" w:hAnsi="宋体" w:cs="Times New Roman"/>
                  <w:color w:val="000000" w:themeColor="text1"/>
                </w:rPr>
                <w:t>60m</w:t>
              </w:r>
            </w:smartTag>
            <w:r w:rsidRPr="00687B52">
              <w:rPr>
                <w:rFonts w:ascii="宋体" w:eastAsia="宋体" w:hAnsi="宋体" w:cs="Times New Roman"/>
                <w:color w:val="000000" w:themeColor="text1"/>
              </w:rPr>
              <w:t>左右应设梯子；</w:t>
            </w:r>
          </w:p>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2. 甲</w:t>
            </w:r>
            <w:r w:rsidRPr="00687B52">
              <w:rPr>
                <w:rFonts w:ascii="宋体" w:eastAsia="宋体" w:hAnsi="宋体" w:cs="Times New Roman"/>
                <w:color w:val="000000" w:themeColor="text1"/>
                <w:vertAlign w:val="subscript"/>
              </w:rPr>
              <w:t>B</w:t>
            </w:r>
            <w:r w:rsidRPr="00687B52">
              <w:rPr>
                <w:rFonts w:ascii="宋体" w:eastAsia="宋体" w:hAnsi="宋体" w:cs="Times New Roman"/>
                <w:color w:val="000000" w:themeColor="text1"/>
              </w:rPr>
              <w:t>、乙、丙</w:t>
            </w:r>
            <w:r w:rsidRPr="00687B52">
              <w:rPr>
                <w:rFonts w:ascii="宋体" w:eastAsia="宋体" w:hAnsi="宋体" w:cs="Times New Roman"/>
                <w:color w:val="000000" w:themeColor="text1"/>
                <w:vertAlign w:val="subscript"/>
              </w:rPr>
              <w:t>A</w:t>
            </w:r>
            <w:r w:rsidRPr="00687B52">
              <w:rPr>
                <w:rFonts w:ascii="宋体" w:eastAsia="宋体" w:hAnsi="宋体" w:cs="Times New Roman"/>
                <w:color w:val="000000" w:themeColor="text1"/>
              </w:rPr>
              <w:t>类的液体严禁采用沟槽卸车系统；</w:t>
            </w:r>
          </w:p>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3. 顶部敞口装车的甲</w:t>
            </w:r>
            <w:r w:rsidRPr="00687B52">
              <w:rPr>
                <w:rFonts w:ascii="宋体" w:eastAsia="宋体" w:hAnsi="宋体" w:cs="Times New Roman"/>
                <w:color w:val="000000" w:themeColor="text1"/>
                <w:vertAlign w:val="subscript"/>
              </w:rPr>
              <w:t>B</w:t>
            </w:r>
            <w:r w:rsidRPr="00687B52">
              <w:rPr>
                <w:rFonts w:ascii="宋体" w:eastAsia="宋体" w:hAnsi="宋体" w:cs="Times New Roman"/>
                <w:color w:val="000000" w:themeColor="text1"/>
              </w:rPr>
              <w:t>、乙、丙</w:t>
            </w:r>
            <w:r w:rsidRPr="00687B52">
              <w:rPr>
                <w:rFonts w:ascii="宋体" w:eastAsia="宋体" w:hAnsi="宋体" w:cs="Times New Roman"/>
                <w:color w:val="000000" w:themeColor="text1"/>
                <w:vertAlign w:val="subscript"/>
              </w:rPr>
              <w:t>A</w:t>
            </w:r>
            <w:r w:rsidRPr="00687B52">
              <w:rPr>
                <w:rFonts w:ascii="宋体" w:eastAsia="宋体" w:hAnsi="宋体" w:cs="Times New Roman"/>
                <w:color w:val="000000" w:themeColor="text1"/>
              </w:rPr>
              <w:t>类的液体应采用液下装车鹤管；</w:t>
            </w:r>
          </w:p>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4. 在距装车栈台边缘</w:t>
            </w:r>
            <w:smartTag w:uri="urn:schemas-microsoft-com:office:smarttags" w:element="chmetcnv">
              <w:smartTagPr>
                <w:attr w:name="TCSC" w:val="0"/>
                <w:attr w:name="NumberType" w:val="1"/>
                <w:attr w:name="Negative" w:val="False"/>
                <w:attr w:name="HasSpace" w:val="False"/>
                <w:attr w:name="SourceValue" w:val="10"/>
                <w:attr w:name="UnitName" w:val="m"/>
              </w:smartTagPr>
              <w:r w:rsidRPr="00687B52">
                <w:rPr>
                  <w:rFonts w:ascii="宋体" w:eastAsia="宋体" w:hAnsi="宋体" w:cs="Times New Roman"/>
                  <w:color w:val="000000" w:themeColor="text1"/>
                </w:rPr>
                <w:t>10m</w:t>
              </w:r>
            </w:smartTag>
            <w:r w:rsidRPr="00687B52">
              <w:rPr>
                <w:rFonts w:ascii="宋体" w:eastAsia="宋体" w:hAnsi="宋体" w:cs="Times New Roman"/>
                <w:color w:val="000000" w:themeColor="text1"/>
              </w:rPr>
              <w:t>以外的可燃液体（润滑油除外）输入管道上应设便于操作的紧急切断阀；</w:t>
            </w:r>
          </w:p>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5. 丙B类液体装卸栈台宜单独设置；</w:t>
            </w:r>
          </w:p>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6. 零位罐至罐车装卸线不应小于</w:t>
            </w:r>
            <w:smartTag w:uri="urn:schemas-microsoft-com:office:smarttags" w:element="chmetcnv">
              <w:smartTagPr>
                <w:attr w:name="TCSC" w:val="0"/>
                <w:attr w:name="NumberType" w:val="1"/>
                <w:attr w:name="Negative" w:val="False"/>
                <w:attr w:name="HasSpace" w:val="False"/>
                <w:attr w:name="SourceValue" w:val="6"/>
                <w:attr w:name="UnitName" w:val="m"/>
              </w:smartTagPr>
              <w:r w:rsidRPr="00687B52">
                <w:rPr>
                  <w:rFonts w:ascii="宋体" w:eastAsia="宋体" w:hAnsi="宋体" w:cs="Times New Roman"/>
                  <w:color w:val="000000" w:themeColor="text1"/>
                </w:rPr>
                <w:t>6m</w:t>
              </w:r>
            </w:smartTag>
            <w:r w:rsidRPr="00687B52">
              <w:rPr>
                <w:rFonts w:ascii="宋体" w:eastAsia="宋体" w:hAnsi="宋体" w:cs="Times New Roman"/>
                <w:color w:val="000000" w:themeColor="text1"/>
              </w:rPr>
              <w:t>；</w:t>
            </w:r>
          </w:p>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7. 甲</w:t>
            </w:r>
            <w:r w:rsidRPr="00687B52">
              <w:rPr>
                <w:rFonts w:ascii="宋体" w:eastAsia="宋体" w:hAnsi="宋体" w:cs="Times New Roman"/>
                <w:color w:val="000000" w:themeColor="text1"/>
                <w:vertAlign w:val="subscript"/>
              </w:rPr>
              <w:t>B</w:t>
            </w:r>
            <w:r w:rsidRPr="00687B52">
              <w:rPr>
                <w:rFonts w:ascii="宋体" w:eastAsia="宋体" w:hAnsi="宋体" w:cs="Times New Roman"/>
                <w:color w:val="000000" w:themeColor="text1"/>
              </w:rPr>
              <w:t>、乙</w:t>
            </w:r>
            <w:r w:rsidRPr="00687B52">
              <w:rPr>
                <w:rFonts w:ascii="宋体" w:eastAsia="宋体" w:hAnsi="宋体" w:cs="Times New Roman"/>
                <w:color w:val="000000" w:themeColor="text1"/>
                <w:vertAlign w:val="subscript"/>
              </w:rPr>
              <w:t>A</w:t>
            </w:r>
            <w:r w:rsidRPr="00687B52">
              <w:rPr>
                <w:rFonts w:ascii="宋体" w:eastAsia="宋体" w:hAnsi="宋体" w:cs="Times New Roman"/>
                <w:color w:val="000000" w:themeColor="text1"/>
              </w:rPr>
              <w:t>类液体装卸鹤管与集中布置的泵的距离不应小于</w:t>
            </w:r>
            <w:smartTag w:uri="urn:schemas-microsoft-com:office:smarttags" w:element="chmetcnv">
              <w:smartTagPr>
                <w:attr w:name="TCSC" w:val="0"/>
                <w:attr w:name="NumberType" w:val="1"/>
                <w:attr w:name="Negative" w:val="False"/>
                <w:attr w:name="HasSpace" w:val="False"/>
                <w:attr w:name="SourceValue" w:val="8"/>
                <w:attr w:name="UnitName" w:val="m"/>
              </w:smartTagPr>
              <w:r w:rsidRPr="00687B52">
                <w:rPr>
                  <w:rFonts w:ascii="宋体" w:eastAsia="宋体" w:hAnsi="宋体" w:cs="Times New Roman"/>
                  <w:color w:val="000000" w:themeColor="text1"/>
                </w:rPr>
                <w:t>8m</w:t>
              </w:r>
            </w:smartTag>
            <w:r w:rsidRPr="00687B52">
              <w:rPr>
                <w:rFonts w:ascii="宋体" w:eastAsia="宋体" w:hAnsi="宋体" w:cs="Times New Roman"/>
                <w:color w:val="000000" w:themeColor="text1"/>
              </w:rPr>
              <w:t>；</w:t>
            </w:r>
          </w:p>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lastRenderedPageBreak/>
              <w:t>8. 同一铁路装卸线一侧两个装卸栈台相邻鹤位之间的距离不应小于</w:t>
            </w:r>
            <w:smartTag w:uri="urn:schemas-microsoft-com:office:smarttags" w:element="chmetcnv">
              <w:smartTagPr>
                <w:attr w:name="TCSC" w:val="0"/>
                <w:attr w:name="NumberType" w:val="1"/>
                <w:attr w:name="Negative" w:val="False"/>
                <w:attr w:name="HasSpace" w:val="False"/>
                <w:attr w:name="SourceValue" w:val="24"/>
                <w:attr w:name="UnitName" w:val="m"/>
              </w:smartTagPr>
              <w:r w:rsidRPr="00687B52">
                <w:rPr>
                  <w:rFonts w:ascii="宋体" w:eastAsia="宋体" w:hAnsi="宋体" w:cs="Times New Roman"/>
                  <w:color w:val="000000" w:themeColor="text1"/>
                </w:rPr>
                <w:t>24m</w:t>
              </w:r>
            </w:smartTag>
            <w:r w:rsidRPr="00687B52">
              <w:rPr>
                <w:rFonts w:ascii="宋体" w:eastAsia="宋体" w:hAnsi="宋体" w:cs="Times New Roman"/>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第6.4.1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可燃液体的汽车装卸站应符合下列规定：</w:t>
            </w:r>
          </w:p>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1. 装卸站的进、出口宜分开设置；当进、出口合用时，站内应设回车场；</w:t>
            </w:r>
          </w:p>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2. 装卸车场应采用现浇混凝土地面；</w:t>
            </w:r>
          </w:p>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3. 装卸车鹤位与缓冲罐之间的距离不应小于</w:t>
            </w:r>
            <w:smartTag w:uri="urn:schemas-microsoft-com:office:smarttags" w:element="chmetcnv">
              <w:smartTagPr>
                <w:attr w:name="UnitName" w:val="m"/>
                <w:attr w:name="SourceValue" w:val="5"/>
                <w:attr w:name="HasSpace" w:val="False"/>
                <w:attr w:name="Negative" w:val="False"/>
                <w:attr w:name="NumberType" w:val="1"/>
                <w:attr w:name="TCSC" w:val="0"/>
              </w:smartTagPr>
              <w:r w:rsidRPr="00687B52">
                <w:rPr>
                  <w:rFonts w:ascii="宋体" w:eastAsia="宋体" w:hAnsi="宋体" w:cs="Times New Roman"/>
                  <w:color w:val="000000" w:themeColor="text1"/>
                </w:rPr>
                <w:t>5m</w:t>
              </w:r>
            </w:smartTag>
            <w:r w:rsidRPr="00687B52">
              <w:rPr>
                <w:rFonts w:ascii="宋体" w:eastAsia="宋体" w:hAnsi="宋体" w:cs="Times New Roman"/>
                <w:color w:val="000000" w:themeColor="text1"/>
              </w:rPr>
              <w:t>，高架罐之间的距离不应小于</w:t>
            </w:r>
            <w:smartTag w:uri="urn:schemas-microsoft-com:office:smarttags" w:element="chmetcnv">
              <w:smartTagPr>
                <w:attr w:name="UnitName" w:val="m"/>
                <w:attr w:name="SourceValue" w:val=".6"/>
                <w:attr w:name="HasSpace" w:val="False"/>
                <w:attr w:name="Negative" w:val="False"/>
                <w:attr w:name="NumberType" w:val="1"/>
                <w:attr w:name="TCSC" w:val="0"/>
              </w:smartTagPr>
              <w:r w:rsidRPr="00687B52">
                <w:rPr>
                  <w:rFonts w:ascii="宋体" w:eastAsia="宋体" w:hAnsi="宋体" w:cs="Times New Roman"/>
                  <w:color w:val="000000" w:themeColor="text1"/>
                </w:rPr>
                <w:t>0.6m</w:t>
              </w:r>
            </w:smartTag>
            <w:r w:rsidRPr="00687B52">
              <w:rPr>
                <w:rFonts w:ascii="宋体" w:eastAsia="宋体" w:hAnsi="宋体" w:cs="Times New Roman"/>
                <w:color w:val="000000" w:themeColor="text1"/>
              </w:rPr>
              <w:t>；</w:t>
            </w:r>
          </w:p>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4. 甲</w:t>
            </w:r>
            <w:r w:rsidRPr="00687B52">
              <w:rPr>
                <w:rFonts w:ascii="宋体" w:eastAsia="宋体" w:hAnsi="宋体" w:cs="Times New Roman"/>
                <w:color w:val="000000" w:themeColor="text1"/>
                <w:vertAlign w:val="subscript"/>
              </w:rPr>
              <w:t>B</w:t>
            </w:r>
            <w:r w:rsidRPr="00687B52">
              <w:rPr>
                <w:rFonts w:ascii="宋体" w:eastAsia="宋体" w:hAnsi="宋体" w:cs="Times New Roman"/>
                <w:color w:val="000000" w:themeColor="text1"/>
              </w:rPr>
              <w:t>、乙</w:t>
            </w:r>
            <w:r w:rsidRPr="00687B52">
              <w:rPr>
                <w:rFonts w:ascii="宋体" w:eastAsia="宋体" w:hAnsi="宋体" w:cs="Times New Roman"/>
                <w:color w:val="000000" w:themeColor="text1"/>
                <w:vertAlign w:val="subscript"/>
              </w:rPr>
              <w:t>A</w:t>
            </w:r>
            <w:r w:rsidRPr="00687B52">
              <w:rPr>
                <w:rFonts w:ascii="宋体" w:eastAsia="宋体" w:hAnsi="宋体" w:cs="Times New Roman"/>
                <w:color w:val="000000" w:themeColor="text1"/>
              </w:rPr>
              <w:t>类液体装卸车鹤位与集中布置的泵的距离不应小于</w:t>
            </w:r>
            <w:smartTag w:uri="urn:schemas-microsoft-com:office:smarttags" w:element="chmetcnv">
              <w:smartTagPr>
                <w:attr w:name="UnitName" w:val="m"/>
                <w:attr w:name="SourceValue" w:val="8"/>
                <w:attr w:name="HasSpace" w:val="False"/>
                <w:attr w:name="Negative" w:val="False"/>
                <w:attr w:name="NumberType" w:val="1"/>
                <w:attr w:name="TCSC" w:val="0"/>
              </w:smartTagPr>
              <w:r w:rsidRPr="00687B52">
                <w:rPr>
                  <w:rFonts w:ascii="宋体" w:eastAsia="宋体" w:hAnsi="宋体" w:cs="Times New Roman"/>
                  <w:color w:val="000000" w:themeColor="text1"/>
                </w:rPr>
                <w:t>8m</w:t>
              </w:r>
            </w:smartTag>
            <w:r w:rsidRPr="00687B52">
              <w:rPr>
                <w:rFonts w:ascii="宋体" w:eastAsia="宋体" w:hAnsi="宋体" w:cs="Times New Roman"/>
                <w:color w:val="000000" w:themeColor="text1"/>
              </w:rPr>
              <w:t>；</w:t>
            </w:r>
          </w:p>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5. 站内无缓冲罐时，在距装卸车鹤位</w:t>
            </w:r>
            <w:smartTag w:uri="urn:schemas-microsoft-com:office:smarttags" w:element="chmetcnv">
              <w:smartTagPr>
                <w:attr w:name="UnitName" w:val="m"/>
                <w:attr w:name="SourceValue" w:val="10"/>
                <w:attr w:name="HasSpace" w:val="False"/>
                <w:attr w:name="Negative" w:val="False"/>
                <w:attr w:name="NumberType" w:val="1"/>
                <w:attr w:name="TCSC" w:val="0"/>
              </w:smartTagPr>
              <w:r w:rsidRPr="00687B52">
                <w:rPr>
                  <w:rFonts w:ascii="宋体" w:eastAsia="宋体" w:hAnsi="宋体" w:cs="Times New Roman"/>
                  <w:color w:val="000000" w:themeColor="text1"/>
                </w:rPr>
                <w:t>10m</w:t>
              </w:r>
            </w:smartTag>
            <w:r w:rsidRPr="00687B52">
              <w:rPr>
                <w:rFonts w:ascii="宋体" w:eastAsia="宋体" w:hAnsi="宋体" w:cs="Times New Roman"/>
                <w:color w:val="000000" w:themeColor="text1"/>
              </w:rPr>
              <w:t>以外的装卸管道上应设便于操作的紧急切断阀；</w:t>
            </w:r>
          </w:p>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6. 甲</w:t>
            </w:r>
            <w:r w:rsidRPr="00687B52">
              <w:rPr>
                <w:rFonts w:ascii="宋体" w:eastAsia="宋体" w:hAnsi="宋体" w:cs="Times New Roman"/>
                <w:color w:val="000000" w:themeColor="text1"/>
                <w:vertAlign w:val="subscript"/>
              </w:rPr>
              <w:t>B</w:t>
            </w:r>
            <w:r w:rsidRPr="00687B52">
              <w:rPr>
                <w:rFonts w:ascii="宋体" w:eastAsia="宋体" w:hAnsi="宋体" w:cs="Times New Roman"/>
                <w:color w:val="000000" w:themeColor="text1"/>
              </w:rPr>
              <w:t>、乙、丙</w:t>
            </w:r>
            <w:r w:rsidRPr="00687B52">
              <w:rPr>
                <w:rFonts w:ascii="宋体" w:eastAsia="宋体" w:hAnsi="宋体" w:cs="Times New Roman"/>
                <w:color w:val="000000" w:themeColor="text1"/>
                <w:vertAlign w:val="subscript"/>
              </w:rPr>
              <w:t>A</w:t>
            </w:r>
            <w:r w:rsidRPr="00687B52">
              <w:rPr>
                <w:rFonts w:ascii="宋体" w:eastAsia="宋体" w:hAnsi="宋体" w:cs="Times New Roman"/>
                <w:color w:val="000000" w:themeColor="text1"/>
              </w:rPr>
              <w:t>类液体的装卸车应采用液下装卸车鹤管；</w:t>
            </w:r>
          </w:p>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7. 甲</w:t>
            </w:r>
            <w:r w:rsidRPr="00687B52">
              <w:rPr>
                <w:rFonts w:ascii="宋体" w:eastAsia="宋体" w:hAnsi="宋体" w:cs="Times New Roman"/>
                <w:color w:val="000000" w:themeColor="text1"/>
                <w:vertAlign w:val="subscript"/>
              </w:rPr>
              <w:t>B</w:t>
            </w:r>
            <w:r w:rsidRPr="00687B52">
              <w:rPr>
                <w:rFonts w:ascii="宋体" w:eastAsia="宋体" w:hAnsi="宋体" w:cs="Times New Roman"/>
                <w:color w:val="000000" w:themeColor="text1"/>
              </w:rPr>
              <w:t>、乙、丙</w:t>
            </w:r>
            <w:r w:rsidRPr="00687B52">
              <w:rPr>
                <w:rFonts w:ascii="宋体" w:eastAsia="宋体" w:hAnsi="宋体" w:cs="Times New Roman"/>
                <w:color w:val="000000" w:themeColor="text1"/>
                <w:vertAlign w:val="subscript"/>
              </w:rPr>
              <w:t>A</w:t>
            </w:r>
            <w:r w:rsidRPr="00687B52">
              <w:rPr>
                <w:rFonts w:ascii="宋体" w:eastAsia="宋体" w:hAnsi="宋体" w:cs="Times New Roman"/>
                <w:color w:val="000000" w:themeColor="text1"/>
              </w:rPr>
              <w:t>类液体与其他类液体的两个装卸车栈台相邻鹤位之间的距离不应小于</w:t>
            </w:r>
            <w:smartTag w:uri="urn:schemas-microsoft-com:office:smarttags" w:element="chmetcnv">
              <w:smartTagPr>
                <w:attr w:name="UnitName" w:val="m"/>
                <w:attr w:name="SourceValue" w:val="8"/>
                <w:attr w:name="HasSpace" w:val="False"/>
                <w:attr w:name="Negative" w:val="False"/>
                <w:attr w:name="NumberType" w:val="1"/>
                <w:attr w:name="TCSC" w:val="0"/>
              </w:smartTagPr>
              <w:r w:rsidRPr="00687B52">
                <w:rPr>
                  <w:rFonts w:ascii="宋体" w:eastAsia="宋体" w:hAnsi="宋体" w:cs="Times New Roman"/>
                  <w:color w:val="000000" w:themeColor="text1"/>
                </w:rPr>
                <w:t>8m</w:t>
              </w:r>
            </w:smartTag>
            <w:r w:rsidRPr="00687B52">
              <w:rPr>
                <w:rFonts w:ascii="宋体" w:eastAsia="宋体" w:hAnsi="宋体" w:cs="Times New Roman"/>
                <w:color w:val="000000" w:themeColor="text1"/>
              </w:rPr>
              <w:t>；</w:t>
            </w:r>
          </w:p>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8. 装卸车鹤位之间的距离不应小于</w:t>
            </w:r>
            <w:smartTag w:uri="urn:schemas-microsoft-com:office:smarttags" w:element="chmetcnv">
              <w:smartTagPr>
                <w:attr w:name="UnitName" w:val="m"/>
                <w:attr w:name="SourceValue" w:val="4"/>
                <w:attr w:name="HasSpace" w:val="False"/>
                <w:attr w:name="Negative" w:val="False"/>
                <w:attr w:name="NumberType" w:val="1"/>
                <w:attr w:name="TCSC" w:val="0"/>
              </w:smartTagPr>
              <w:r w:rsidRPr="00687B52">
                <w:rPr>
                  <w:rFonts w:ascii="宋体" w:eastAsia="宋体" w:hAnsi="宋体" w:cs="Times New Roman"/>
                  <w:color w:val="000000" w:themeColor="text1"/>
                </w:rPr>
                <w:t>4m</w:t>
              </w:r>
            </w:smartTag>
            <w:r w:rsidRPr="00687B52">
              <w:rPr>
                <w:rFonts w:ascii="宋体" w:eastAsia="宋体" w:hAnsi="宋体" w:cs="Times New Roman"/>
                <w:color w:val="000000" w:themeColor="text1"/>
              </w:rPr>
              <w:t>；双侧装卸车栈台相邻鹤位之间或同一鹤位相邻鹤管之间的距离应满足鹤管正常操作和检修的要求。</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第6.4.2</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液化烃铁路和汽车的装卸设施应符合下列规</w:t>
            </w:r>
            <w:r w:rsidRPr="00687B52">
              <w:rPr>
                <w:rFonts w:ascii="宋体" w:eastAsia="宋体" w:hAnsi="宋体" w:cs="Times New Roman"/>
                <w:color w:val="000000" w:themeColor="text1"/>
              </w:rPr>
              <w:lastRenderedPageBreak/>
              <w:t>定：</w:t>
            </w:r>
          </w:p>
          <w:p w:rsidR="000C2455" w:rsidRPr="00687B52" w:rsidRDefault="000C2455" w:rsidP="00D9787F">
            <w:pPr>
              <w:pStyle w:val="Default"/>
              <w:numPr>
                <w:ilvl w:val="0"/>
                <w:numId w:val="40"/>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液化烃严禁就地排放；</w:t>
            </w:r>
          </w:p>
          <w:p w:rsidR="000C2455" w:rsidRPr="00687B52" w:rsidRDefault="000C2455" w:rsidP="00D9787F">
            <w:pPr>
              <w:pStyle w:val="Default"/>
              <w:numPr>
                <w:ilvl w:val="0"/>
                <w:numId w:val="40"/>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低温液化烃装卸鹤位应单独设置；</w:t>
            </w:r>
          </w:p>
          <w:p w:rsidR="000C2455" w:rsidRPr="00687B52" w:rsidRDefault="000C2455" w:rsidP="00D9787F">
            <w:pPr>
              <w:pStyle w:val="Default"/>
              <w:numPr>
                <w:ilvl w:val="0"/>
                <w:numId w:val="40"/>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铁路装卸栈台宜单独设置，当不同时作业时，可与可燃液体铁路装卸共台设置；</w:t>
            </w:r>
          </w:p>
          <w:p w:rsidR="000C2455" w:rsidRPr="00687B52" w:rsidRDefault="000C2455" w:rsidP="00D9787F">
            <w:pPr>
              <w:pStyle w:val="Default"/>
              <w:numPr>
                <w:ilvl w:val="0"/>
                <w:numId w:val="40"/>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同一铁路装卸线一侧两个装卸栈台相邻鹤位之间的距离不应小于</w:t>
            </w:r>
            <w:smartTag w:uri="urn:schemas-microsoft-com:office:smarttags" w:element="chmetcnv">
              <w:smartTagPr>
                <w:attr w:name="TCSC" w:val="0"/>
                <w:attr w:name="NumberType" w:val="1"/>
                <w:attr w:name="Negative" w:val="False"/>
                <w:attr w:name="HasSpace" w:val="False"/>
                <w:attr w:name="SourceValue" w:val="24"/>
                <w:attr w:name="UnitName" w:val="m"/>
              </w:smartTagPr>
              <w:r w:rsidRPr="00687B52">
                <w:rPr>
                  <w:rFonts w:ascii="宋体" w:eastAsia="宋体" w:hAnsi="宋体" w:cs="Times New Roman"/>
                  <w:color w:val="000000" w:themeColor="text1"/>
                </w:rPr>
                <w:t>24m</w:t>
              </w:r>
            </w:smartTag>
            <w:r w:rsidRPr="00687B52">
              <w:rPr>
                <w:rFonts w:ascii="宋体" w:eastAsia="宋体" w:hAnsi="宋体" w:cs="Times New Roman"/>
                <w:color w:val="000000" w:themeColor="text1"/>
              </w:rPr>
              <w:t>；</w:t>
            </w:r>
          </w:p>
          <w:p w:rsidR="000C2455" w:rsidRPr="00687B52" w:rsidRDefault="000C2455" w:rsidP="00D9787F">
            <w:pPr>
              <w:pStyle w:val="Default"/>
              <w:numPr>
                <w:ilvl w:val="0"/>
                <w:numId w:val="40"/>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铁路装卸栈台两端和沿栈台每隔</w:t>
            </w:r>
            <w:smartTag w:uri="urn:schemas-microsoft-com:office:smarttags" w:element="chmetcnv">
              <w:smartTagPr>
                <w:attr w:name="TCSC" w:val="0"/>
                <w:attr w:name="NumberType" w:val="1"/>
                <w:attr w:name="Negative" w:val="False"/>
                <w:attr w:name="HasSpace" w:val="False"/>
                <w:attr w:name="SourceValue" w:val="60"/>
                <w:attr w:name="UnitName" w:val="m"/>
              </w:smartTagPr>
              <w:r w:rsidRPr="00687B52">
                <w:rPr>
                  <w:rFonts w:ascii="宋体" w:eastAsia="宋体" w:hAnsi="宋体" w:cs="Times New Roman"/>
                  <w:color w:val="000000" w:themeColor="text1"/>
                </w:rPr>
                <w:t>60m</w:t>
              </w:r>
            </w:smartTag>
            <w:r w:rsidRPr="00687B52">
              <w:rPr>
                <w:rFonts w:ascii="宋体" w:eastAsia="宋体" w:hAnsi="宋体" w:cs="Times New Roman"/>
                <w:color w:val="000000" w:themeColor="text1"/>
              </w:rPr>
              <w:t>左右应设梯子；</w:t>
            </w:r>
          </w:p>
          <w:p w:rsidR="000C2455" w:rsidRPr="00687B52" w:rsidRDefault="000C2455" w:rsidP="00D9787F">
            <w:pPr>
              <w:pStyle w:val="Default"/>
              <w:numPr>
                <w:ilvl w:val="0"/>
                <w:numId w:val="40"/>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汽车装卸车鹤位之间的距离不应小于</w:t>
            </w:r>
            <w:smartTag w:uri="urn:schemas-microsoft-com:office:smarttags" w:element="chmetcnv">
              <w:smartTagPr>
                <w:attr w:name="TCSC" w:val="0"/>
                <w:attr w:name="NumberType" w:val="1"/>
                <w:attr w:name="Negative" w:val="False"/>
                <w:attr w:name="HasSpace" w:val="False"/>
                <w:attr w:name="SourceValue" w:val="4"/>
                <w:attr w:name="UnitName" w:val="m"/>
              </w:smartTagPr>
              <w:r w:rsidRPr="00687B52">
                <w:rPr>
                  <w:rFonts w:ascii="宋体" w:eastAsia="宋体" w:hAnsi="宋体" w:cs="Times New Roman"/>
                  <w:color w:val="000000" w:themeColor="text1"/>
                </w:rPr>
                <w:t>4m</w:t>
              </w:r>
            </w:smartTag>
            <w:r w:rsidRPr="00687B52">
              <w:rPr>
                <w:rFonts w:ascii="宋体" w:eastAsia="宋体" w:hAnsi="宋体" w:cs="Times New Roman"/>
                <w:color w:val="000000" w:themeColor="text1"/>
              </w:rPr>
              <w:t>；双侧装卸车栈台相邻鹤位之间或同一鹤位相邻鹤管之间的距离应满足鹤管正常操作和检修的要求，液化烃汽车装卸栈台与可燃液体汽车装卸栈台相邻鹤位之间的距离不应小于</w:t>
            </w:r>
            <w:smartTag w:uri="urn:schemas-microsoft-com:office:smarttags" w:element="chmetcnv">
              <w:smartTagPr>
                <w:attr w:name="TCSC" w:val="0"/>
                <w:attr w:name="NumberType" w:val="1"/>
                <w:attr w:name="Negative" w:val="False"/>
                <w:attr w:name="HasSpace" w:val="False"/>
                <w:attr w:name="SourceValue" w:val="8"/>
                <w:attr w:name="UnitName" w:val="m"/>
              </w:smartTagPr>
              <w:r w:rsidRPr="00687B52">
                <w:rPr>
                  <w:rFonts w:ascii="宋体" w:eastAsia="宋体" w:hAnsi="宋体" w:cs="Times New Roman"/>
                  <w:color w:val="000000" w:themeColor="text1"/>
                </w:rPr>
                <w:t>8m</w:t>
              </w:r>
            </w:smartTag>
            <w:r w:rsidRPr="00687B52">
              <w:rPr>
                <w:rFonts w:ascii="宋体" w:eastAsia="宋体" w:hAnsi="宋体" w:cs="Times New Roman"/>
                <w:color w:val="000000" w:themeColor="text1"/>
              </w:rPr>
              <w:t>；</w:t>
            </w:r>
          </w:p>
          <w:p w:rsidR="000C2455" w:rsidRPr="00687B52" w:rsidRDefault="000C2455" w:rsidP="00D9787F">
            <w:pPr>
              <w:pStyle w:val="Default"/>
              <w:numPr>
                <w:ilvl w:val="0"/>
                <w:numId w:val="40"/>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在距装卸车鹤位</w:t>
            </w:r>
            <w:smartTag w:uri="urn:schemas-microsoft-com:office:smarttags" w:element="chmetcnv">
              <w:smartTagPr>
                <w:attr w:name="TCSC" w:val="0"/>
                <w:attr w:name="NumberType" w:val="1"/>
                <w:attr w:name="Negative" w:val="False"/>
                <w:attr w:name="HasSpace" w:val="False"/>
                <w:attr w:name="SourceValue" w:val="10"/>
                <w:attr w:name="UnitName" w:val="m"/>
              </w:smartTagPr>
              <w:r w:rsidRPr="00687B52">
                <w:rPr>
                  <w:rFonts w:ascii="宋体" w:eastAsia="宋体" w:hAnsi="宋体" w:cs="Times New Roman"/>
                  <w:color w:val="000000" w:themeColor="text1"/>
                </w:rPr>
                <w:t>10m</w:t>
              </w:r>
            </w:smartTag>
            <w:r w:rsidRPr="00687B52">
              <w:rPr>
                <w:rFonts w:ascii="宋体" w:eastAsia="宋体" w:hAnsi="宋体" w:cs="Times New Roman"/>
                <w:color w:val="000000" w:themeColor="text1"/>
              </w:rPr>
              <w:t>以外的装卸管道上应设便于操作的紧急切断阀；</w:t>
            </w:r>
          </w:p>
          <w:p w:rsidR="000C2455" w:rsidRPr="00687B52" w:rsidRDefault="000C2455" w:rsidP="00D9787F">
            <w:pPr>
              <w:pStyle w:val="Default"/>
              <w:numPr>
                <w:ilvl w:val="0"/>
                <w:numId w:val="40"/>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汽车装卸车场应采用现浇混凝土地面；</w:t>
            </w:r>
          </w:p>
          <w:p w:rsidR="000C2455" w:rsidRPr="00687B52" w:rsidRDefault="000C2455" w:rsidP="00D9787F">
            <w:pPr>
              <w:pStyle w:val="Default"/>
              <w:numPr>
                <w:ilvl w:val="0"/>
                <w:numId w:val="40"/>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装卸车鹤位与集中布置的泵的距离不应小于</w:t>
            </w:r>
            <w:smartTag w:uri="urn:schemas-microsoft-com:office:smarttags" w:element="chmetcnv">
              <w:smartTagPr>
                <w:attr w:name="TCSC" w:val="0"/>
                <w:attr w:name="NumberType" w:val="1"/>
                <w:attr w:name="Negative" w:val="False"/>
                <w:attr w:name="HasSpace" w:val="True"/>
                <w:attr w:name="SourceValue" w:val="10"/>
                <w:attr w:name="UnitName" w:val="m"/>
              </w:smartTagPr>
              <w:r w:rsidRPr="00687B52">
                <w:rPr>
                  <w:rFonts w:ascii="宋体" w:eastAsia="宋体" w:hAnsi="宋体" w:cs="Times New Roman"/>
                  <w:color w:val="000000" w:themeColor="text1"/>
                </w:rPr>
                <w:t>10 m</w:t>
              </w:r>
            </w:smartTag>
            <w:r w:rsidRPr="00687B52">
              <w:rPr>
                <w:rFonts w:ascii="宋体" w:eastAsia="宋体" w:hAnsi="宋体" w:cs="Times New Roman"/>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w:t>
            </w:r>
            <w:r w:rsidRPr="00687B52">
              <w:rPr>
                <w:rFonts w:ascii="宋体" w:hAnsi="宋体"/>
                <w:color w:val="000000" w:themeColor="text1"/>
                <w:szCs w:val="24"/>
              </w:rPr>
              <w:lastRenderedPageBreak/>
              <w:t>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第6.4.3</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可燃液体码头、液化烃码头应符合下列规定：</w:t>
            </w:r>
          </w:p>
          <w:p w:rsidR="000C2455" w:rsidRPr="00687B52" w:rsidRDefault="000C2455" w:rsidP="00D9787F">
            <w:pPr>
              <w:pStyle w:val="Default"/>
              <w:numPr>
                <w:ilvl w:val="0"/>
                <w:numId w:val="41"/>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除船舶在码头泊位内外档停靠外，码头相邻泊位的船舶间的防火间距不应小于</w:t>
            </w:r>
            <w:r w:rsidRPr="00687B52">
              <w:rPr>
                <w:rFonts w:ascii="宋体" w:eastAsia="宋体" w:hAnsi="宋体" w:cs="Times New Roman" w:hint="eastAsia"/>
                <w:color w:val="000000" w:themeColor="text1"/>
              </w:rPr>
              <w:t>表</w:t>
            </w:r>
            <w:r w:rsidRPr="00687B52">
              <w:rPr>
                <w:rFonts w:ascii="宋体" w:eastAsia="宋体" w:hAnsi="宋体" w:cs="Times New Roman" w:hint="eastAsia"/>
                <w:color w:val="000000" w:themeColor="text1"/>
              </w:rPr>
              <w:lastRenderedPageBreak/>
              <w:t>6.4.4</w:t>
            </w:r>
            <w:r w:rsidRPr="00687B52">
              <w:rPr>
                <w:rFonts w:ascii="宋体" w:eastAsia="宋体" w:hAnsi="宋体" w:cs="Times New Roman"/>
                <w:color w:val="000000" w:themeColor="text1"/>
              </w:rPr>
              <w:t>的规定；</w:t>
            </w:r>
          </w:p>
          <w:p w:rsidR="000C2455" w:rsidRPr="00687B52" w:rsidRDefault="000C2455" w:rsidP="00D9787F">
            <w:pPr>
              <w:pStyle w:val="Default"/>
              <w:numPr>
                <w:ilvl w:val="0"/>
                <w:numId w:val="41"/>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液化烃泊位宜单独设置，当不同时作业时，可与其他可燃液体共用一个泊位；</w:t>
            </w:r>
          </w:p>
          <w:p w:rsidR="000C2455" w:rsidRPr="00687B52" w:rsidRDefault="000C2455" w:rsidP="00D9787F">
            <w:pPr>
              <w:pStyle w:val="Default"/>
              <w:numPr>
                <w:ilvl w:val="0"/>
                <w:numId w:val="41"/>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可燃液体和液化烃的码头与其他码头或建筑物、构筑物的安全距离应按有关规定执行；</w:t>
            </w:r>
          </w:p>
          <w:p w:rsidR="000C2455" w:rsidRPr="00687B52" w:rsidRDefault="000C2455" w:rsidP="00D9787F">
            <w:pPr>
              <w:pStyle w:val="Default"/>
              <w:numPr>
                <w:ilvl w:val="0"/>
                <w:numId w:val="41"/>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在距泊位</w:t>
            </w:r>
            <w:smartTag w:uri="urn:schemas-microsoft-com:office:smarttags" w:element="chmetcnv">
              <w:smartTagPr>
                <w:attr w:name="TCSC" w:val="0"/>
                <w:attr w:name="NumberType" w:val="1"/>
                <w:attr w:name="Negative" w:val="False"/>
                <w:attr w:name="HasSpace" w:val="False"/>
                <w:attr w:name="SourceValue" w:val="20"/>
                <w:attr w:name="UnitName" w:val="m"/>
              </w:smartTagPr>
              <w:r w:rsidRPr="00687B52">
                <w:rPr>
                  <w:rFonts w:ascii="宋体" w:eastAsia="宋体" w:hAnsi="宋体" w:cs="Times New Roman"/>
                  <w:color w:val="000000" w:themeColor="text1"/>
                </w:rPr>
                <w:t>20m</w:t>
              </w:r>
            </w:smartTag>
            <w:r w:rsidRPr="00687B52">
              <w:rPr>
                <w:rFonts w:ascii="宋体" w:eastAsia="宋体" w:hAnsi="宋体" w:cs="Times New Roman"/>
                <w:color w:val="000000" w:themeColor="text1"/>
              </w:rPr>
              <w:t>以外或岸边处的装卸船管道上应设便于操作的紧急切断阀；</w:t>
            </w:r>
          </w:p>
          <w:p w:rsidR="000C2455" w:rsidRPr="00687B52" w:rsidRDefault="000C2455" w:rsidP="00D9787F">
            <w:pPr>
              <w:pStyle w:val="Default"/>
              <w:numPr>
                <w:ilvl w:val="0"/>
                <w:numId w:val="41"/>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液化烃的装卸应采用装卸臂或金属软管，并应采取安全放空措施。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第6.4.4</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液化石油气的灌装站应符合下列规定：</w:t>
            </w:r>
          </w:p>
          <w:p w:rsidR="000C2455" w:rsidRPr="00687B52" w:rsidRDefault="000C2455" w:rsidP="00D9787F">
            <w:pPr>
              <w:pStyle w:val="Default"/>
              <w:numPr>
                <w:ilvl w:val="0"/>
                <w:numId w:val="42"/>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 xml:space="preserve">液化石油气的灌瓶间和储瓶库宜为敞开式或半敞开式建筑物，半敞开式建筑物下部应采取防止油气积聚的措施； </w:t>
            </w:r>
          </w:p>
          <w:p w:rsidR="000C2455" w:rsidRPr="00687B52" w:rsidRDefault="000C2455" w:rsidP="00D9787F">
            <w:pPr>
              <w:pStyle w:val="Default"/>
              <w:numPr>
                <w:ilvl w:val="0"/>
                <w:numId w:val="42"/>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液化石油气的残液应密闭回收，严禁就地排放；</w:t>
            </w:r>
          </w:p>
          <w:p w:rsidR="000C2455" w:rsidRPr="00687B52" w:rsidRDefault="000C2455" w:rsidP="00D9787F">
            <w:pPr>
              <w:pStyle w:val="Default"/>
              <w:numPr>
                <w:ilvl w:val="0"/>
                <w:numId w:val="42"/>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 xml:space="preserve">灌装站应设不燃烧材料隔离墙。如采用实体围墙，其下部应设通风口； </w:t>
            </w:r>
          </w:p>
          <w:p w:rsidR="000C2455" w:rsidRPr="00687B52" w:rsidRDefault="000C2455" w:rsidP="00D9787F">
            <w:pPr>
              <w:pStyle w:val="Default"/>
              <w:numPr>
                <w:ilvl w:val="0"/>
                <w:numId w:val="42"/>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灌瓶间和储瓶库的室内应采用不发生火花的地面，室内地面应高于室外地坪，其高差不应小于</w:t>
            </w:r>
            <w:smartTag w:uri="urn:schemas-microsoft-com:office:smarttags" w:element="chmetcnv">
              <w:smartTagPr>
                <w:attr w:name="TCSC" w:val="0"/>
                <w:attr w:name="NumberType" w:val="1"/>
                <w:attr w:name="Negative" w:val="False"/>
                <w:attr w:name="HasSpace" w:val="False"/>
                <w:attr w:name="SourceValue" w:val=".6"/>
                <w:attr w:name="UnitName" w:val="m"/>
              </w:smartTagPr>
              <w:r w:rsidRPr="00687B52">
                <w:rPr>
                  <w:rFonts w:ascii="宋体" w:eastAsia="宋体" w:hAnsi="宋体" w:cs="Times New Roman"/>
                  <w:color w:val="000000" w:themeColor="text1"/>
                </w:rPr>
                <w:t>0.6m</w:t>
              </w:r>
            </w:smartTag>
            <w:r w:rsidRPr="00687B52">
              <w:rPr>
                <w:rFonts w:ascii="宋体" w:eastAsia="宋体" w:hAnsi="宋体" w:cs="Times New Roman"/>
                <w:color w:val="000000" w:themeColor="text1"/>
              </w:rPr>
              <w:t xml:space="preserve">； </w:t>
            </w:r>
          </w:p>
          <w:p w:rsidR="000C2455" w:rsidRPr="00687B52" w:rsidRDefault="000C2455" w:rsidP="00D9787F">
            <w:pPr>
              <w:pStyle w:val="Default"/>
              <w:numPr>
                <w:ilvl w:val="0"/>
                <w:numId w:val="42"/>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液化石油气缓冲罐与灌瓶间的距离不应小于</w:t>
            </w:r>
            <w:smartTag w:uri="urn:schemas-microsoft-com:office:smarttags" w:element="chmetcnv">
              <w:smartTagPr>
                <w:attr w:name="TCSC" w:val="0"/>
                <w:attr w:name="NumberType" w:val="1"/>
                <w:attr w:name="Negative" w:val="False"/>
                <w:attr w:name="HasSpace" w:val="False"/>
                <w:attr w:name="SourceValue" w:val="10"/>
                <w:attr w:name="UnitName" w:val="m"/>
              </w:smartTagPr>
              <w:r w:rsidRPr="00687B52">
                <w:rPr>
                  <w:rFonts w:ascii="宋体" w:eastAsia="宋体" w:hAnsi="宋体" w:cs="Times New Roman"/>
                  <w:color w:val="000000" w:themeColor="text1"/>
                </w:rPr>
                <w:t>10m</w:t>
              </w:r>
            </w:smartTag>
            <w:r w:rsidRPr="00687B52">
              <w:rPr>
                <w:rFonts w:ascii="宋体" w:eastAsia="宋体" w:hAnsi="宋体" w:cs="Times New Roman"/>
                <w:color w:val="000000" w:themeColor="text1"/>
              </w:rPr>
              <w:t xml:space="preserve">； </w:t>
            </w:r>
          </w:p>
          <w:p w:rsidR="000C2455" w:rsidRPr="00687B52" w:rsidRDefault="000C2455" w:rsidP="00D9787F">
            <w:pPr>
              <w:pStyle w:val="Default"/>
              <w:numPr>
                <w:ilvl w:val="0"/>
                <w:numId w:val="42"/>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lastRenderedPageBreak/>
              <w:t>灌装站内应设有宽度不小于</w:t>
            </w:r>
            <w:smartTag w:uri="urn:schemas-microsoft-com:office:smarttags" w:element="chmetcnv">
              <w:smartTagPr>
                <w:attr w:name="TCSC" w:val="0"/>
                <w:attr w:name="NumberType" w:val="1"/>
                <w:attr w:name="Negative" w:val="False"/>
                <w:attr w:name="HasSpace" w:val="False"/>
                <w:attr w:name="SourceValue" w:val="4"/>
                <w:attr w:name="UnitName" w:val="m"/>
              </w:smartTagPr>
              <w:r w:rsidRPr="00687B52">
                <w:rPr>
                  <w:rFonts w:ascii="宋体" w:eastAsia="宋体" w:hAnsi="宋体" w:cs="Times New Roman"/>
                  <w:color w:val="000000" w:themeColor="text1"/>
                </w:rPr>
                <w:t>4m</w:t>
              </w:r>
            </w:smartTag>
            <w:r w:rsidRPr="00687B52">
              <w:rPr>
                <w:rFonts w:ascii="宋体" w:eastAsia="宋体" w:hAnsi="宋体" w:cs="Times New Roman"/>
                <w:color w:val="000000" w:themeColor="text1"/>
              </w:rPr>
              <w:t>的环形消防车道，车道内缘转弯半径不宜小于</w:t>
            </w:r>
            <w:smartTag w:uri="urn:schemas-microsoft-com:office:smarttags" w:element="chmetcnv">
              <w:smartTagPr>
                <w:attr w:name="TCSC" w:val="0"/>
                <w:attr w:name="NumberType" w:val="1"/>
                <w:attr w:name="Negative" w:val="False"/>
                <w:attr w:name="HasSpace" w:val="False"/>
                <w:attr w:name="SourceValue" w:val="6"/>
                <w:attr w:name="UnitName" w:val="m"/>
              </w:smartTagPr>
              <w:r w:rsidRPr="00687B52">
                <w:rPr>
                  <w:rFonts w:ascii="宋体" w:eastAsia="宋体" w:hAnsi="宋体" w:cs="Times New Roman"/>
                  <w:color w:val="000000" w:themeColor="text1"/>
                </w:rPr>
                <w:t>6m</w:t>
              </w:r>
            </w:smartTag>
            <w:r w:rsidRPr="00687B52">
              <w:rPr>
                <w:rFonts w:ascii="宋体" w:eastAsia="宋体" w:hAnsi="宋体" w:cs="Times New Roman"/>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第6.5.1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实瓶（桶）库与灌装间可设在同一建筑物内，但宜用实体墙隔开，并各设出入口。</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第6.5.4</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液化石油气、液氨或液氯等的实瓶不应露天堆放。</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第6.5.5</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石油化工企业应设置独立的化学品和危险品库区。甲、乙、丙类物品仓库，距其他设施的防火间距见</w:t>
            </w:r>
            <w:r w:rsidRPr="00687B52">
              <w:rPr>
                <w:rFonts w:ascii="宋体" w:eastAsia="宋体" w:hAnsi="宋体" w:cs="Times New Roman" w:hint="eastAsia"/>
                <w:color w:val="000000" w:themeColor="text1"/>
              </w:rPr>
              <w:t>表4.2.12</w:t>
            </w:r>
            <w:r w:rsidRPr="00687B52">
              <w:rPr>
                <w:rFonts w:ascii="宋体" w:eastAsia="宋体" w:hAnsi="宋体" w:cs="Times New Roman"/>
                <w:color w:val="000000" w:themeColor="text1"/>
              </w:rPr>
              <w:t>，并应符合下列规定：</w:t>
            </w:r>
          </w:p>
          <w:p w:rsidR="000C2455" w:rsidRPr="00687B52" w:rsidRDefault="000C2455" w:rsidP="00D9787F">
            <w:pPr>
              <w:pStyle w:val="Default"/>
              <w:numPr>
                <w:ilvl w:val="0"/>
                <w:numId w:val="43"/>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甲类物品仓库宜单独设置；当其储量小于5t时，可与乙、丙类物品仓库共用一栋建筑物，但应设独立的防火分区；</w:t>
            </w:r>
          </w:p>
          <w:p w:rsidR="000C2455" w:rsidRPr="00687B52" w:rsidRDefault="000C2455" w:rsidP="00D9787F">
            <w:pPr>
              <w:pStyle w:val="Default"/>
              <w:numPr>
                <w:ilvl w:val="0"/>
                <w:numId w:val="43"/>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乙、丙类产品的储量宜按装置2至15天的产量计算确定；</w:t>
            </w:r>
          </w:p>
          <w:p w:rsidR="000C2455" w:rsidRPr="00687B52" w:rsidRDefault="000C2455" w:rsidP="00D9787F">
            <w:pPr>
              <w:pStyle w:val="Default"/>
              <w:numPr>
                <w:ilvl w:val="0"/>
                <w:numId w:val="43"/>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化学品应按其化学物理特性分类储存，当物料性质不允许同库储存时，应用实体墙隔开，并各设出入口；</w:t>
            </w:r>
          </w:p>
          <w:p w:rsidR="000C2455" w:rsidRPr="00687B52" w:rsidRDefault="000C2455" w:rsidP="00D9787F">
            <w:pPr>
              <w:pStyle w:val="Default"/>
              <w:numPr>
                <w:ilvl w:val="0"/>
                <w:numId w:val="43"/>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仓库应通风良好；</w:t>
            </w:r>
          </w:p>
          <w:p w:rsidR="000C2455" w:rsidRPr="00687B52" w:rsidRDefault="000C2455" w:rsidP="00D9787F">
            <w:pPr>
              <w:pStyle w:val="Default"/>
              <w:numPr>
                <w:ilvl w:val="0"/>
                <w:numId w:val="43"/>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对于可能产生爆炸性混合气体或在空气中能形成粉尘、纤维等爆炸性混合物的仓库内应采用不发生火花的地面，需要时应</w:t>
            </w:r>
            <w:r w:rsidRPr="00687B52">
              <w:rPr>
                <w:rFonts w:ascii="宋体" w:eastAsia="宋体" w:hAnsi="宋体" w:cs="Times New Roman"/>
                <w:color w:val="000000" w:themeColor="text1"/>
              </w:rPr>
              <w:lastRenderedPageBreak/>
              <w:t>设防水层。</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第6.6.1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单层仓库跨度不应大于</w:t>
            </w:r>
            <w:smartTag w:uri="urn:schemas-microsoft-com:office:smarttags" w:element="chmetcnv">
              <w:smartTagPr>
                <w:attr w:name="TCSC" w:val="0"/>
                <w:attr w:name="NumberType" w:val="1"/>
                <w:attr w:name="Negative" w:val="False"/>
                <w:attr w:name="HasSpace" w:val="False"/>
                <w:attr w:name="SourceValue" w:val="150"/>
                <w:attr w:name="UnitName" w:val="m"/>
              </w:smartTagPr>
              <w:r w:rsidRPr="00687B52">
                <w:rPr>
                  <w:rFonts w:ascii="宋体" w:eastAsia="宋体" w:hAnsi="宋体" w:cs="Times New Roman"/>
                  <w:color w:val="000000" w:themeColor="text1"/>
                </w:rPr>
                <w:t>150m</w:t>
              </w:r>
            </w:smartTag>
            <w:r w:rsidRPr="00687B52">
              <w:rPr>
                <w:rFonts w:ascii="宋体" w:eastAsia="宋体" w:hAnsi="宋体" w:cs="Times New Roman"/>
                <w:color w:val="000000" w:themeColor="text1"/>
              </w:rPr>
              <w:t>。每座合成纤维、合成橡胶、合成树脂及塑料单层仓库的占地面积不应大于</w:t>
            </w:r>
            <w:smartTag w:uri="urn:schemas-microsoft-com:office:smarttags" w:element="chmetcnv">
              <w:smartTagPr>
                <w:attr w:name="TCSC" w:val="0"/>
                <w:attr w:name="NumberType" w:val="1"/>
                <w:attr w:name="Negative" w:val="False"/>
                <w:attr w:name="HasSpace" w:val="False"/>
                <w:attr w:name="SourceValue" w:val="24000"/>
                <w:attr w:name="UnitName" w:val="m2"/>
              </w:smartTagPr>
              <w:r w:rsidRPr="00687B52">
                <w:rPr>
                  <w:rFonts w:ascii="宋体" w:eastAsia="宋体" w:hAnsi="宋体" w:cs="Times New Roman"/>
                  <w:color w:val="000000" w:themeColor="text1"/>
                </w:rPr>
                <w:t>24000m</w:t>
              </w:r>
              <w:r w:rsidRPr="00687B52">
                <w:rPr>
                  <w:rFonts w:ascii="宋体" w:eastAsia="宋体" w:hAnsi="宋体" w:cs="Times New Roman"/>
                  <w:color w:val="000000" w:themeColor="text1"/>
                  <w:vertAlign w:val="superscript"/>
                </w:rPr>
                <w:t>2</w:t>
              </w:r>
            </w:smartTag>
            <w:r w:rsidRPr="00687B52">
              <w:rPr>
                <w:rFonts w:ascii="宋体" w:eastAsia="宋体" w:hAnsi="宋体" w:cs="Times New Roman"/>
                <w:color w:val="000000" w:themeColor="text1"/>
              </w:rPr>
              <w:t>，每个防火分区的建筑面积不应大于</w:t>
            </w:r>
            <w:smartTag w:uri="urn:schemas-microsoft-com:office:smarttags" w:element="chmetcnv">
              <w:smartTagPr>
                <w:attr w:name="TCSC" w:val="0"/>
                <w:attr w:name="NumberType" w:val="1"/>
                <w:attr w:name="Negative" w:val="False"/>
                <w:attr w:name="HasSpace" w:val="False"/>
                <w:attr w:name="SourceValue" w:val="6000"/>
                <w:attr w:name="UnitName" w:val="m2"/>
              </w:smartTagPr>
              <w:r w:rsidRPr="00687B52">
                <w:rPr>
                  <w:rFonts w:ascii="宋体" w:eastAsia="宋体" w:hAnsi="宋体" w:cs="Times New Roman"/>
                  <w:color w:val="000000" w:themeColor="text1"/>
                </w:rPr>
                <w:t>6000m</w:t>
              </w:r>
              <w:r w:rsidRPr="00687B52">
                <w:rPr>
                  <w:rFonts w:ascii="宋体" w:eastAsia="宋体" w:hAnsi="宋体" w:cs="Times New Roman"/>
                  <w:color w:val="000000" w:themeColor="text1"/>
                  <w:vertAlign w:val="superscript"/>
                </w:rPr>
                <w:t>2</w:t>
              </w:r>
            </w:smartTag>
            <w:r w:rsidRPr="00687B52">
              <w:rPr>
                <w:rFonts w:ascii="宋体" w:eastAsia="宋体" w:hAnsi="宋体" w:cs="Times New Roman"/>
                <w:color w:val="000000" w:themeColor="text1"/>
              </w:rPr>
              <w:t>；当企业设有消防站和专职消防队且仓库设有工业电视监视系统时，每座合成树脂及塑料单层仓库的占地面积可扩大至</w:t>
            </w:r>
            <w:smartTag w:uri="urn:schemas-microsoft-com:office:smarttags" w:element="chmetcnv">
              <w:smartTagPr>
                <w:attr w:name="TCSC" w:val="0"/>
                <w:attr w:name="NumberType" w:val="1"/>
                <w:attr w:name="Negative" w:val="False"/>
                <w:attr w:name="HasSpace" w:val="False"/>
                <w:attr w:name="SourceValue" w:val="48000"/>
                <w:attr w:name="UnitName" w:val="m2"/>
              </w:smartTagPr>
              <w:r w:rsidRPr="00687B52">
                <w:rPr>
                  <w:rFonts w:ascii="宋体" w:eastAsia="宋体" w:hAnsi="宋体" w:cs="Times New Roman"/>
                  <w:color w:val="000000" w:themeColor="text1"/>
                </w:rPr>
                <w:t>48000m</w:t>
              </w:r>
              <w:r w:rsidRPr="00687B52">
                <w:rPr>
                  <w:rFonts w:ascii="宋体" w:eastAsia="宋体" w:hAnsi="宋体" w:cs="Times New Roman"/>
                  <w:color w:val="000000" w:themeColor="text1"/>
                  <w:vertAlign w:val="superscript"/>
                </w:rPr>
                <w:t>2</w:t>
              </w:r>
            </w:smartTag>
            <w:r w:rsidRPr="00687B52">
              <w:rPr>
                <w:rFonts w:ascii="宋体" w:eastAsia="宋体" w:hAnsi="宋体" w:cs="Times New Roman"/>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第6.6.2</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合成纤维、合成树脂及塑料等产品的高架仓库应符合下列规定：</w:t>
            </w:r>
          </w:p>
          <w:p w:rsidR="000C2455" w:rsidRPr="00687B52" w:rsidRDefault="000C2455" w:rsidP="00D9787F">
            <w:pPr>
              <w:pStyle w:val="Default"/>
              <w:numPr>
                <w:ilvl w:val="0"/>
                <w:numId w:val="44"/>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仓库的耐火等级不应低于二级；</w:t>
            </w:r>
          </w:p>
          <w:p w:rsidR="000C2455" w:rsidRPr="00687B52" w:rsidRDefault="000C2455" w:rsidP="00D9787F">
            <w:pPr>
              <w:pStyle w:val="Default"/>
              <w:numPr>
                <w:ilvl w:val="0"/>
                <w:numId w:val="44"/>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货架应采用不燃烧材料。</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第6.6.3</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占地面积大于</w:t>
            </w:r>
            <w:smartTag w:uri="urn:schemas-microsoft-com:office:smarttags" w:element="chmetcnv">
              <w:smartTagPr>
                <w:attr w:name="TCSC" w:val="0"/>
                <w:attr w:name="NumberType" w:val="1"/>
                <w:attr w:name="Negative" w:val="False"/>
                <w:attr w:name="HasSpace" w:val="False"/>
                <w:attr w:name="SourceValue" w:val="1000"/>
                <w:attr w:name="UnitName" w:val="m2"/>
              </w:smartTagPr>
              <w:r w:rsidRPr="00687B52">
                <w:rPr>
                  <w:rFonts w:ascii="宋体" w:eastAsia="宋体" w:hAnsi="宋体" w:cs="Times New Roman"/>
                  <w:color w:val="000000" w:themeColor="text1"/>
                </w:rPr>
                <w:t>1000m</w:t>
              </w:r>
              <w:r w:rsidRPr="00687B52">
                <w:rPr>
                  <w:rFonts w:ascii="宋体" w:eastAsia="宋体" w:hAnsi="宋体" w:cs="Times New Roman"/>
                  <w:color w:val="000000" w:themeColor="text1"/>
                  <w:vertAlign w:val="superscript"/>
                </w:rPr>
                <w:t>2</w:t>
              </w:r>
            </w:smartTag>
            <w:r w:rsidRPr="00687B52">
              <w:rPr>
                <w:rFonts w:ascii="宋体" w:eastAsia="宋体" w:hAnsi="宋体" w:cs="Times New Roman"/>
                <w:color w:val="000000" w:themeColor="text1"/>
              </w:rPr>
              <w:t>的丙类仓库应设置排烟设施，占地面积大于</w:t>
            </w:r>
            <w:smartTag w:uri="urn:schemas-microsoft-com:office:smarttags" w:element="chmetcnv">
              <w:smartTagPr>
                <w:attr w:name="TCSC" w:val="0"/>
                <w:attr w:name="NumberType" w:val="1"/>
                <w:attr w:name="Negative" w:val="False"/>
                <w:attr w:name="HasSpace" w:val="False"/>
                <w:attr w:name="SourceValue" w:val="6000"/>
                <w:attr w:name="UnitName" w:val="m2"/>
              </w:smartTagPr>
              <w:r w:rsidRPr="00687B52">
                <w:rPr>
                  <w:rFonts w:ascii="宋体" w:eastAsia="宋体" w:hAnsi="宋体" w:cs="Times New Roman"/>
                  <w:color w:val="000000" w:themeColor="text1"/>
                </w:rPr>
                <w:t>6000m</w:t>
              </w:r>
              <w:r w:rsidRPr="00687B52">
                <w:rPr>
                  <w:rFonts w:ascii="宋体" w:eastAsia="宋体" w:hAnsi="宋体" w:cs="Times New Roman"/>
                  <w:color w:val="000000" w:themeColor="text1"/>
                  <w:vertAlign w:val="superscript"/>
                </w:rPr>
                <w:t>2</w:t>
              </w:r>
            </w:smartTag>
            <w:r w:rsidRPr="00687B52">
              <w:rPr>
                <w:rFonts w:ascii="宋体" w:eastAsia="宋体" w:hAnsi="宋体" w:cs="Times New Roman"/>
                <w:color w:val="000000" w:themeColor="text1"/>
              </w:rPr>
              <w:t>的丙类仓库宜采用自然排烟，排烟口净面积宜为仓库建筑面积的5%。</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第6.6.4</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 xml:space="preserve">袋装硝酸铵仓库的耐火等级不应低于二级。仓库内严禁存放其他物品。 </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第6.6.5</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7"/>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盛装甲、乙类液体的容器存放在室外时应设防晒降温设施。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第6.6.6</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3E1D2A">
            <w:pPr>
              <w:pStyle w:val="a7"/>
              <w:spacing w:line="360" w:lineRule="exact"/>
              <w:rPr>
                <w:rFonts w:ascii="宋体" w:hAnsi="宋体"/>
                <w:b/>
                <w:color w:val="000000" w:themeColor="text1"/>
                <w:szCs w:val="24"/>
              </w:rPr>
            </w:pPr>
            <w:r w:rsidRPr="00687B52">
              <w:rPr>
                <w:rFonts w:ascii="宋体" w:hAnsi="宋体" w:hint="eastAsia"/>
                <w:b/>
                <w:color w:val="000000" w:themeColor="text1"/>
                <w:szCs w:val="24"/>
              </w:rPr>
              <w:t>2.6</w:t>
            </w:r>
          </w:p>
        </w:tc>
        <w:tc>
          <w:tcPr>
            <w:tcW w:w="4678" w:type="pct"/>
            <w:gridSpan w:val="3"/>
            <w:vAlign w:val="center"/>
          </w:tcPr>
          <w:p w:rsidR="000C2455" w:rsidRPr="00687B52" w:rsidRDefault="000C2455" w:rsidP="003E1D2A">
            <w:pPr>
              <w:pStyle w:val="a7"/>
              <w:spacing w:line="360" w:lineRule="exact"/>
              <w:jc w:val="both"/>
              <w:rPr>
                <w:rFonts w:ascii="宋体" w:hAnsi="宋体"/>
                <w:color w:val="000000" w:themeColor="text1"/>
                <w:szCs w:val="24"/>
              </w:rPr>
            </w:pPr>
            <w:r w:rsidRPr="00687B52">
              <w:rPr>
                <w:rFonts w:ascii="宋体" w:hAnsi="宋体"/>
                <w:b/>
                <w:color w:val="000000" w:themeColor="text1"/>
                <w:szCs w:val="24"/>
              </w:rPr>
              <w:t>管道</w:t>
            </w:r>
          </w:p>
        </w:tc>
      </w:tr>
      <w:tr w:rsidR="000C2455" w:rsidRPr="00687B52" w:rsidTr="003E1D2A">
        <w:trPr>
          <w:jc w:val="center"/>
        </w:trPr>
        <w:tc>
          <w:tcPr>
            <w:tcW w:w="322" w:type="pct"/>
            <w:vAlign w:val="center"/>
          </w:tcPr>
          <w:p w:rsidR="000C2455" w:rsidRPr="00687B52" w:rsidRDefault="000C2455" w:rsidP="00D9787F">
            <w:pPr>
              <w:pStyle w:val="a7"/>
              <w:numPr>
                <w:ilvl w:val="0"/>
                <w:numId w:val="68"/>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管道及其桁架跨越厂内铁路线的净空高度不应小于</w:t>
            </w:r>
            <w:smartTag w:uri="urn:schemas-microsoft-com:office:smarttags" w:element="chmetcnv">
              <w:smartTagPr>
                <w:attr w:name="UnitName" w:val="m"/>
                <w:attr w:name="SourceValue" w:val="5.5"/>
                <w:attr w:name="HasSpace" w:val="False"/>
                <w:attr w:name="Negative" w:val="False"/>
                <w:attr w:name="NumberType" w:val="1"/>
                <w:attr w:name="TCSC" w:val="0"/>
              </w:smartTagPr>
              <w:r w:rsidRPr="00687B52">
                <w:rPr>
                  <w:rFonts w:ascii="宋体" w:eastAsia="宋体" w:hAnsi="宋体" w:cs="Times New Roman"/>
                  <w:color w:val="000000" w:themeColor="text1"/>
                </w:rPr>
                <w:t>5.5m</w:t>
              </w:r>
            </w:smartTag>
            <w:r w:rsidRPr="00687B52">
              <w:rPr>
                <w:rFonts w:ascii="宋体" w:eastAsia="宋体" w:hAnsi="宋体" w:cs="Times New Roman"/>
                <w:color w:val="000000" w:themeColor="text1"/>
              </w:rPr>
              <w:t>；跨越厂内道路的净空高度不应小于</w:t>
            </w:r>
            <w:smartTag w:uri="urn:schemas-microsoft-com:office:smarttags" w:element="chmetcnv">
              <w:smartTagPr>
                <w:attr w:name="UnitName" w:val="m"/>
                <w:attr w:name="SourceValue" w:val="5"/>
                <w:attr w:name="HasSpace" w:val="False"/>
                <w:attr w:name="Negative" w:val="False"/>
                <w:attr w:name="NumberType" w:val="1"/>
                <w:attr w:name="TCSC" w:val="0"/>
              </w:smartTagPr>
              <w:r w:rsidRPr="00687B52">
                <w:rPr>
                  <w:rFonts w:ascii="宋体" w:eastAsia="宋体" w:hAnsi="宋体" w:cs="Times New Roman"/>
                  <w:color w:val="000000" w:themeColor="text1"/>
                </w:rPr>
                <w:t>5m</w:t>
              </w:r>
            </w:smartTag>
            <w:r w:rsidRPr="00687B52">
              <w:rPr>
                <w:rFonts w:ascii="宋体" w:eastAsia="宋体" w:hAnsi="宋体" w:cs="Times New Roman"/>
                <w:color w:val="000000" w:themeColor="text1"/>
              </w:rPr>
              <w:t>。在跨越铁路或道路的可燃气体、液化烃和可燃液体管道上不应设置阀门及易发生泄漏的管道附件。</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第7.1.2</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8"/>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永久性的地上、地下管道不得穿越或跨越与其无关的工艺装置、系统单元或储罐组；在跨越罐区泵房的可燃气体、液化烃和可燃液体的管道上不应设置阀门及易发生泄漏的管道附件。</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第7.1.4</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8"/>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可燃气体、液化烃和可燃液体的金属管道除需要采用法兰连接外，均应采用焊接连接。公称直径等于或小于</w:t>
            </w:r>
            <w:smartTag w:uri="urn:schemas-microsoft-com:office:smarttags" w:element="chmetcnv">
              <w:smartTagPr>
                <w:attr w:name="TCSC" w:val="0"/>
                <w:attr w:name="NumberType" w:val="1"/>
                <w:attr w:name="Negative" w:val="False"/>
                <w:attr w:name="HasSpace" w:val="False"/>
                <w:attr w:name="SourceValue" w:val="25"/>
                <w:attr w:name="UnitName" w:val="mm"/>
              </w:smartTagPr>
              <w:r w:rsidRPr="00687B52">
                <w:rPr>
                  <w:rFonts w:ascii="宋体" w:eastAsia="宋体" w:hAnsi="宋体" w:cs="Times New Roman"/>
                  <w:color w:val="000000" w:themeColor="text1"/>
                </w:rPr>
                <w:t>25mm</w:t>
              </w:r>
            </w:smartTag>
            <w:r w:rsidRPr="00687B52">
              <w:rPr>
                <w:rFonts w:ascii="宋体" w:eastAsia="宋体" w:hAnsi="宋体" w:cs="Times New Roman"/>
                <w:color w:val="000000" w:themeColor="text1"/>
              </w:rPr>
              <w:t>的可燃气体、液化烃和可燃液体的金属管道和阀门采用锥管螺纹连接时，除能产生缝隙腐蚀的介质管道外，应在螺纹处采用密封焊。</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第7.2.1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8"/>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可燃气体、液化烃和可燃液体的管道不得穿过与其无关的建筑物。</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第7.2.2</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8"/>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可燃气体、液化烃和可燃液体的采样管道不应引入化验室。</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第7.2.3</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8"/>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工艺和公用工程管道共架多层敷设时宜将介</w:t>
            </w:r>
            <w:r w:rsidRPr="00687B52">
              <w:rPr>
                <w:rFonts w:ascii="宋体" w:eastAsia="宋体" w:hAnsi="宋体" w:cs="Times New Roman"/>
                <w:color w:val="000000" w:themeColor="text1"/>
              </w:rPr>
              <w:lastRenderedPageBreak/>
              <w:t>质操作温度等于或高于</w:t>
            </w:r>
            <w:smartTag w:uri="urn:schemas-microsoft-com:office:smarttags" w:element="chmetcnv">
              <w:smartTagPr>
                <w:attr w:name="UnitName" w:val="℃"/>
                <w:attr w:name="SourceValue" w:val="250"/>
                <w:attr w:name="HasSpace" w:val="False"/>
                <w:attr w:name="Negative" w:val="False"/>
                <w:attr w:name="NumberType" w:val="1"/>
                <w:attr w:name="TCSC" w:val="0"/>
              </w:smartTagPr>
              <w:r w:rsidRPr="00687B52">
                <w:rPr>
                  <w:rFonts w:ascii="宋体" w:eastAsia="宋体" w:hAnsi="宋体" w:cs="Times New Roman"/>
                  <w:color w:val="000000" w:themeColor="text1"/>
                </w:rPr>
                <w:t>250</w:t>
              </w:r>
              <w:r w:rsidRPr="00687B52">
                <w:rPr>
                  <w:rFonts w:ascii="宋体" w:eastAsia="宋体" w:hAnsi="宋体" w:cs="宋体" w:hint="eastAsia"/>
                  <w:color w:val="000000" w:themeColor="text1"/>
                </w:rPr>
                <w:t>℃</w:t>
              </w:r>
            </w:smartTag>
            <w:r w:rsidRPr="00687B52">
              <w:rPr>
                <w:rFonts w:ascii="宋体" w:eastAsia="宋体" w:hAnsi="宋体" w:cs="Times New Roman"/>
                <w:color w:val="000000" w:themeColor="text1"/>
              </w:rPr>
              <w:t>的管道布置在上层，液化烃及腐蚀性介质管道布置在下层；必须布置在下层的介质操作温度等于或高于</w:t>
            </w:r>
            <w:smartTag w:uri="urn:schemas-microsoft-com:office:smarttags" w:element="chmetcnv">
              <w:smartTagPr>
                <w:attr w:name="UnitName" w:val="℃"/>
                <w:attr w:name="SourceValue" w:val="250"/>
                <w:attr w:name="HasSpace" w:val="False"/>
                <w:attr w:name="Negative" w:val="False"/>
                <w:attr w:name="NumberType" w:val="1"/>
                <w:attr w:name="TCSC" w:val="0"/>
              </w:smartTagPr>
              <w:r w:rsidRPr="00687B52">
                <w:rPr>
                  <w:rFonts w:ascii="宋体" w:eastAsia="宋体" w:hAnsi="宋体" w:cs="Times New Roman"/>
                  <w:color w:val="000000" w:themeColor="text1"/>
                </w:rPr>
                <w:t>250</w:t>
              </w:r>
              <w:r w:rsidRPr="00687B52">
                <w:rPr>
                  <w:rFonts w:ascii="宋体" w:eastAsia="宋体" w:hAnsi="宋体" w:cs="宋体" w:hint="eastAsia"/>
                  <w:color w:val="000000" w:themeColor="text1"/>
                </w:rPr>
                <w:t>℃</w:t>
              </w:r>
            </w:smartTag>
            <w:r w:rsidRPr="00687B52">
              <w:rPr>
                <w:rFonts w:ascii="宋体" w:eastAsia="宋体" w:hAnsi="宋体" w:cs="Times New Roman"/>
                <w:color w:val="000000" w:themeColor="text1"/>
              </w:rPr>
              <w:t>的管道可布置在外侧，但不应与液化烃管道相邻。</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w:t>
            </w:r>
            <w:r w:rsidRPr="00687B52">
              <w:rPr>
                <w:rFonts w:ascii="宋体" w:hAnsi="宋体"/>
                <w:color w:val="000000" w:themeColor="text1"/>
                <w:szCs w:val="24"/>
              </w:rPr>
              <w:lastRenderedPageBreak/>
              <w:t>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第7.2.5</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8"/>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氧气管道与可燃气体、液化烃和可燃液体的管道共架敷设时应布置在一侧，且平行布置时净距不应小于</w:t>
            </w:r>
            <w:smartTag w:uri="urn:schemas-microsoft-com:office:smarttags" w:element="chmetcnv">
              <w:smartTagPr>
                <w:attr w:name="UnitName" w:val="mm"/>
                <w:attr w:name="SourceValue" w:val="500"/>
                <w:attr w:name="HasSpace" w:val="False"/>
                <w:attr w:name="Negative" w:val="False"/>
                <w:attr w:name="NumberType" w:val="1"/>
                <w:attr w:name="TCSC" w:val="0"/>
              </w:smartTagPr>
              <w:r w:rsidRPr="00687B52">
                <w:rPr>
                  <w:rFonts w:ascii="宋体" w:eastAsia="宋体" w:hAnsi="宋体" w:cs="Times New Roman"/>
                  <w:color w:val="000000" w:themeColor="text1"/>
                </w:rPr>
                <w:t>500mm</w:t>
              </w:r>
            </w:smartTag>
            <w:r w:rsidRPr="00687B52">
              <w:rPr>
                <w:rFonts w:ascii="宋体" w:eastAsia="宋体" w:hAnsi="宋体" w:cs="Times New Roman"/>
                <w:color w:val="000000" w:themeColor="text1"/>
              </w:rPr>
              <w:t>，交叉布置时净距不应小于</w:t>
            </w:r>
            <w:smartTag w:uri="urn:schemas-microsoft-com:office:smarttags" w:element="chmetcnv">
              <w:smartTagPr>
                <w:attr w:name="UnitName" w:val="mm"/>
                <w:attr w:name="SourceValue" w:val="250"/>
                <w:attr w:name="HasSpace" w:val="False"/>
                <w:attr w:name="Negative" w:val="False"/>
                <w:attr w:name="NumberType" w:val="1"/>
                <w:attr w:name="TCSC" w:val="0"/>
              </w:smartTagPr>
              <w:r w:rsidRPr="00687B52">
                <w:rPr>
                  <w:rFonts w:ascii="宋体" w:eastAsia="宋体" w:hAnsi="宋体" w:cs="Times New Roman"/>
                  <w:color w:val="000000" w:themeColor="text1"/>
                </w:rPr>
                <w:t>250mm</w:t>
              </w:r>
            </w:smartTag>
            <w:r w:rsidRPr="00687B52">
              <w:rPr>
                <w:rFonts w:ascii="宋体" w:eastAsia="宋体" w:hAnsi="宋体" w:cs="Times New Roman"/>
                <w:color w:val="000000" w:themeColor="text1"/>
              </w:rPr>
              <w:t>。氧气管道与可燃气体、液化烃和可燃液体管道之间宜用公用工程管道隔开。</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第7.2.6</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8"/>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公用工程管道与可燃气体、液化烃和可燃液体的管道或设备连接时应符合下列规定：</w:t>
            </w:r>
          </w:p>
          <w:p w:rsidR="000C2455" w:rsidRPr="00687B52" w:rsidRDefault="000C2455" w:rsidP="00D9787F">
            <w:pPr>
              <w:pStyle w:val="Default"/>
              <w:numPr>
                <w:ilvl w:val="0"/>
                <w:numId w:val="28"/>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连续使用的公用工程管道上应设止回阀，并在其根部设切断阀；</w:t>
            </w:r>
          </w:p>
          <w:p w:rsidR="000C2455" w:rsidRPr="00687B52" w:rsidRDefault="000C2455" w:rsidP="00D9787F">
            <w:pPr>
              <w:pStyle w:val="Default"/>
              <w:numPr>
                <w:ilvl w:val="0"/>
                <w:numId w:val="28"/>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在间歇使用的公用工程管道上应设止回阀和一道切断阀或设两道切断阀，并在两切断阀间设检查阀；</w:t>
            </w:r>
          </w:p>
          <w:p w:rsidR="000C2455" w:rsidRPr="00687B52" w:rsidRDefault="000C2455" w:rsidP="00D9787F">
            <w:pPr>
              <w:pStyle w:val="Default"/>
              <w:numPr>
                <w:ilvl w:val="0"/>
                <w:numId w:val="28"/>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仅在设备停用时使用的公用工程管道应设盲板或断开。</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第7.2.7</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8"/>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连续操作的可燃气体管道的低点应设两道排液阀，排出的液体应排放至密闭系统；仅在开停工时使用的排液阀，可设一道阀门并加丝堵、管帽、盲板或法兰盖。</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第7.2.8</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8"/>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甲、乙</w:t>
            </w:r>
            <w:r w:rsidRPr="00687B52">
              <w:rPr>
                <w:rFonts w:ascii="宋体" w:eastAsia="宋体" w:hAnsi="宋体" w:cs="Times New Roman"/>
                <w:color w:val="000000" w:themeColor="text1"/>
                <w:vertAlign w:val="subscript"/>
              </w:rPr>
              <w:t>A</w:t>
            </w:r>
            <w:r w:rsidRPr="00687B52">
              <w:rPr>
                <w:rFonts w:ascii="宋体" w:eastAsia="宋体" w:hAnsi="宋体" w:cs="Times New Roman"/>
                <w:color w:val="000000" w:themeColor="text1"/>
              </w:rPr>
              <w:t>类设备和管道应有惰性气体置换设施。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第7.2.9</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8"/>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可燃气体压缩机的吸入管道应有防止产生负压的措施。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第7.2.10</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8"/>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离心式可燃气体压缩机和可燃液体泵应在其出口管道上安装止回阀。</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第7.2.11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8"/>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加热炉燃料气调节阀前的管道压力等于或小于0.4MPa（表），且无低压自动保护仪表时，应在每个燃料气调节阀与加热炉之间设置阻火器。</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第7.2.12</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8"/>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加热炉燃料气管道上的分液罐的凝液不应敞开排放。</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第7.2.13</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8"/>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液化烃设备抽出管道应在靠近设备根部设置切断阀。容积超过</w:t>
            </w:r>
            <w:smartTag w:uri="urn:schemas-microsoft-com:office:smarttags" w:element="chmetcnv">
              <w:smartTagPr>
                <w:attr w:name="UnitName" w:val="m3"/>
                <w:attr w:name="SourceValue" w:val="50"/>
                <w:attr w:name="HasSpace" w:val="False"/>
                <w:attr w:name="Negative" w:val="False"/>
                <w:attr w:name="NumberType" w:val="1"/>
                <w:attr w:name="TCSC" w:val="0"/>
              </w:smartTagPr>
              <w:r w:rsidRPr="00687B52">
                <w:rPr>
                  <w:rFonts w:ascii="宋体" w:eastAsia="宋体" w:hAnsi="宋体" w:cs="Times New Roman"/>
                  <w:color w:val="000000" w:themeColor="text1"/>
                </w:rPr>
                <w:t>50m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的液化烃设备与其抽出泵的间距小于</w:t>
            </w:r>
            <w:smartTag w:uri="urn:schemas-microsoft-com:office:smarttags" w:element="chmetcnv">
              <w:smartTagPr>
                <w:attr w:name="UnitName" w:val="m"/>
                <w:attr w:name="SourceValue" w:val="15"/>
                <w:attr w:name="HasSpace" w:val="False"/>
                <w:attr w:name="Negative" w:val="False"/>
                <w:attr w:name="NumberType" w:val="1"/>
                <w:attr w:name="TCSC" w:val="0"/>
              </w:smartTagPr>
              <w:r w:rsidRPr="00687B52">
                <w:rPr>
                  <w:rFonts w:ascii="宋体" w:eastAsia="宋体" w:hAnsi="宋体" w:cs="Times New Roman"/>
                  <w:color w:val="000000" w:themeColor="text1"/>
                </w:rPr>
                <w:t>15m</w:t>
              </w:r>
            </w:smartTag>
            <w:r w:rsidRPr="00687B52">
              <w:rPr>
                <w:rFonts w:ascii="宋体" w:eastAsia="宋体" w:hAnsi="宋体" w:cs="Times New Roman"/>
                <w:color w:val="000000" w:themeColor="text1"/>
              </w:rPr>
              <w:t>时，该切断阀应为带手动功能的遥控阀，遥控阀就地操作按钮距抽出泵的间距不应小于</w:t>
            </w:r>
            <w:smartTag w:uri="urn:schemas-microsoft-com:office:smarttags" w:element="chmetcnv">
              <w:smartTagPr>
                <w:attr w:name="UnitName" w:val="m"/>
                <w:attr w:name="SourceValue" w:val="15"/>
                <w:attr w:name="HasSpace" w:val="False"/>
                <w:attr w:name="Negative" w:val="False"/>
                <w:attr w:name="NumberType" w:val="1"/>
                <w:attr w:name="TCSC" w:val="0"/>
              </w:smartTagPr>
              <w:r w:rsidRPr="00687B52">
                <w:rPr>
                  <w:rFonts w:ascii="宋体" w:eastAsia="宋体" w:hAnsi="宋体" w:cs="Times New Roman"/>
                  <w:color w:val="000000" w:themeColor="text1"/>
                </w:rPr>
                <w:t>15m</w:t>
              </w:r>
            </w:smartTag>
            <w:r w:rsidRPr="00687B52">
              <w:rPr>
                <w:rFonts w:ascii="宋体" w:eastAsia="宋体" w:hAnsi="宋体" w:cs="Times New Roman"/>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第7.2.15</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8"/>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进、出装置的可燃气体、液化烃和可燃液体的管道，在装置的边界处应设隔断阀和8字盲</w:t>
            </w:r>
            <w:r w:rsidRPr="00687B52">
              <w:rPr>
                <w:rFonts w:ascii="宋体" w:eastAsia="宋体" w:hAnsi="宋体" w:cs="Times New Roman"/>
                <w:color w:val="000000" w:themeColor="text1"/>
              </w:rPr>
              <w:lastRenderedPageBreak/>
              <w:t>板，在隔断阀处应设平台，长度等于或大于</w:t>
            </w:r>
            <w:smartTag w:uri="urn:schemas-microsoft-com:office:smarttags" w:element="chmetcnv">
              <w:smartTagPr>
                <w:attr w:name="UnitName" w:val="m"/>
                <w:attr w:name="SourceValue" w:val="8"/>
                <w:attr w:name="HasSpace" w:val="False"/>
                <w:attr w:name="Negative" w:val="False"/>
                <w:attr w:name="NumberType" w:val="1"/>
                <w:attr w:name="TCSC" w:val="0"/>
              </w:smartTagPr>
              <w:r w:rsidRPr="00687B52">
                <w:rPr>
                  <w:rFonts w:ascii="宋体" w:eastAsia="宋体" w:hAnsi="宋体" w:cs="Times New Roman"/>
                  <w:color w:val="000000" w:themeColor="text1"/>
                </w:rPr>
                <w:t>8m</w:t>
              </w:r>
            </w:smartTag>
            <w:r w:rsidRPr="00687B52">
              <w:rPr>
                <w:rFonts w:ascii="宋体" w:eastAsia="宋体" w:hAnsi="宋体" w:cs="Times New Roman"/>
                <w:color w:val="000000" w:themeColor="text1"/>
              </w:rPr>
              <w:t>的平台应在两个方向设梯子。</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第7.2.16</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8"/>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重力流循环回水管道在工艺装置总出口处应设水封</w:t>
            </w:r>
            <w:r w:rsidRPr="00687B52">
              <w:rPr>
                <w:rFonts w:ascii="宋体" w:eastAsia="宋体" w:hAnsi="宋体" w:cs="Times New Roman" w:hint="eastAsia"/>
                <w:color w:val="000000" w:themeColor="text1"/>
              </w:rPr>
              <w:t>；</w:t>
            </w:r>
            <w:r w:rsidRPr="00687B52">
              <w:rPr>
                <w:rFonts w:ascii="宋体" w:eastAsia="宋体" w:hAnsi="宋体" w:cs="Times New Roman"/>
                <w:color w:val="000000" w:themeColor="text1"/>
              </w:rPr>
              <w:t>罐组内的生产污水管道应有独立的排出口，且应在防火堤外设置水封，并应在防火堤与水封之间的管道上设置易开关的隔断阀。</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第7.3.4第7.3.6</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8"/>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甲、乙类工艺装置内生产污水管道的支干管、干管的最高处检查井宜设排气管。排气管的设置应符合下列规定：</w:t>
            </w:r>
          </w:p>
          <w:p w:rsidR="000C2455" w:rsidRPr="00687B52" w:rsidRDefault="000C2455" w:rsidP="00D9787F">
            <w:pPr>
              <w:pStyle w:val="Default"/>
              <w:numPr>
                <w:ilvl w:val="0"/>
                <w:numId w:val="29"/>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管径不宜小于</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687B52">
                <w:rPr>
                  <w:rFonts w:ascii="宋体" w:eastAsia="宋体" w:hAnsi="宋体" w:cs="Times New Roman"/>
                  <w:color w:val="000000" w:themeColor="text1"/>
                </w:rPr>
                <w:t>100mm</w:t>
              </w:r>
            </w:smartTag>
            <w:r w:rsidRPr="00687B52">
              <w:rPr>
                <w:rFonts w:ascii="宋体" w:eastAsia="宋体" w:hAnsi="宋体" w:cs="Times New Roman"/>
                <w:color w:val="000000" w:themeColor="text1"/>
              </w:rPr>
              <w:t>；</w:t>
            </w:r>
          </w:p>
          <w:p w:rsidR="000C2455" w:rsidRPr="00687B52" w:rsidRDefault="000C2455" w:rsidP="00D9787F">
            <w:pPr>
              <w:pStyle w:val="Default"/>
              <w:numPr>
                <w:ilvl w:val="0"/>
                <w:numId w:val="29"/>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排气管的出口应高出地面</w:t>
            </w:r>
            <w:smartTag w:uri="urn:schemas-microsoft-com:office:smarttags" w:element="chmetcnv">
              <w:smartTagPr>
                <w:attr w:name="UnitName" w:val="m"/>
                <w:attr w:name="SourceValue" w:val="2.5"/>
                <w:attr w:name="HasSpace" w:val="False"/>
                <w:attr w:name="Negative" w:val="False"/>
                <w:attr w:name="NumberType" w:val="1"/>
                <w:attr w:name="TCSC" w:val="0"/>
              </w:smartTagPr>
              <w:r w:rsidRPr="00687B52">
                <w:rPr>
                  <w:rFonts w:ascii="宋体" w:eastAsia="宋体" w:hAnsi="宋体" w:cs="Times New Roman"/>
                  <w:color w:val="000000" w:themeColor="text1"/>
                </w:rPr>
                <w:t>2.5m</w:t>
              </w:r>
            </w:smartTag>
            <w:r w:rsidRPr="00687B52">
              <w:rPr>
                <w:rFonts w:ascii="宋体" w:eastAsia="宋体" w:hAnsi="宋体" w:cs="Times New Roman"/>
                <w:color w:val="000000" w:themeColor="text1"/>
              </w:rPr>
              <w:t>以上，并应高出距排气管</w:t>
            </w:r>
            <w:smartTag w:uri="urn:schemas-microsoft-com:office:smarttags" w:element="chmetcnv">
              <w:smartTagPr>
                <w:attr w:name="UnitName" w:val="m"/>
                <w:attr w:name="SourceValue" w:val="3"/>
                <w:attr w:name="HasSpace" w:val="False"/>
                <w:attr w:name="Negative" w:val="False"/>
                <w:attr w:name="NumberType" w:val="1"/>
                <w:attr w:name="TCSC" w:val="0"/>
              </w:smartTagPr>
              <w:r w:rsidRPr="00687B52">
                <w:rPr>
                  <w:rFonts w:ascii="宋体" w:eastAsia="宋体" w:hAnsi="宋体" w:cs="Times New Roman"/>
                  <w:color w:val="000000" w:themeColor="text1"/>
                </w:rPr>
                <w:t>3m</w:t>
              </w:r>
            </w:smartTag>
            <w:r w:rsidRPr="00687B52">
              <w:rPr>
                <w:rFonts w:ascii="宋体" w:eastAsia="宋体" w:hAnsi="宋体" w:cs="Times New Roman"/>
                <w:color w:val="000000" w:themeColor="text1"/>
              </w:rPr>
              <w:t>范围内的操作平台、空气冷却器</w:t>
            </w:r>
            <w:smartTag w:uri="urn:schemas-microsoft-com:office:smarttags" w:element="chmetcnv">
              <w:smartTagPr>
                <w:attr w:name="UnitName" w:val="m"/>
                <w:attr w:name="SourceValue" w:val="2.5"/>
                <w:attr w:name="HasSpace" w:val="False"/>
                <w:attr w:name="Negative" w:val="False"/>
                <w:attr w:name="NumberType" w:val="1"/>
                <w:attr w:name="TCSC" w:val="0"/>
              </w:smartTagPr>
              <w:r w:rsidRPr="00687B52">
                <w:rPr>
                  <w:rFonts w:ascii="宋体" w:eastAsia="宋体" w:hAnsi="宋体" w:cs="Times New Roman"/>
                  <w:color w:val="000000" w:themeColor="text1"/>
                </w:rPr>
                <w:t>2.5m</w:t>
              </w:r>
            </w:smartTag>
            <w:r w:rsidRPr="00687B52">
              <w:rPr>
                <w:rFonts w:ascii="宋体" w:eastAsia="宋体" w:hAnsi="宋体" w:cs="Times New Roman"/>
                <w:color w:val="000000" w:themeColor="text1"/>
              </w:rPr>
              <w:t>以上；</w:t>
            </w:r>
          </w:p>
          <w:p w:rsidR="000C2455" w:rsidRPr="00687B52" w:rsidRDefault="000C2455" w:rsidP="00D9787F">
            <w:pPr>
              <w:pStyle w:val="Default"/>
              <w:numPr>
                <w:ilvl w:val="0"/>
                <w:numId w:val="29"/>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距明火、散发火花地点</w:t>
            </w:r>
            <w:smartTag w:uri="urn:schemas-microsoft-com:office:smarttags" w:element="chmetcnv">
              <w:smartTagPr>
                <w:attr w:name="UnitName" w:val="m"/>
                <w:attr w:name="SourceValue" w:val="15"/>
                <w:attr w:name="HasSpace" w:val="False"/>
                <w:attr w:name="Negative" w:val="False"/>
                <w:attr w:name="NumberType" w:val="1"/>
                <w:attr w:name="TCSC" w:val="0"/>
              </w:smartTagPr>
              <w:r w:rsidRPr="00687B52">
                <w:rPr>
                  <w:rFonts w:ascii="宋体" w:eastAsia="宋体" w:hAnsi="宋体" w:cs="Times New Roman"/>
                  <w:color w:val="000000" w:themeColor="text1"/>
                </w:rPr>
                <w:t>15m</w:t>
              </w:r>
            </w:smartTag>
            <w:r w:rsidRPr="00687B52">
              <w:rPr>
                <w:rFonts w:ascii="宋体" w:eastAsia="宋体" w:hAnsi="宋体" w:cs="Times New Roman"/>
                <w:color w:val="000000" w:themeColor="text1"/>
              </w:rPr>
              <w:t>半径范围内不应设排气管。</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第7.3.7</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8"/>
              </w:numPr>
              <w:spacing w:line="360" w:lineRule="exact"/>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甲、乙类工艺装置内，生产污水管道的下水井井盖与盖座接缝处应密封，且井盖不得有孔洞。</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第7.3.8</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3E1D2A">
            <w:pPr>
              <w:pStyle w:val="a7"/>
              <w:spacing w:line="360" w:lineRule="exact"/>
              <w:rPr>
                <w:rFonts w:ascii="宋体" w:hAnsi="宋体"/>
                <w:b/>
                <w:color w:val="000000" w:themeColor="text1"/>
                <w:szCs w:val="24"/>
              </w:rPr>
            </w:pPr>
            <w:r w:rsidRPr="00687B52">
              <w:rPr>
                <w:rFonts w:ascii="宋体" w:hAnsi="宋体" w:hint="eastAsia"/>
                <w:b/>
                <w:color w:val="000000" w:themeColor="text1"/>
                <w:szCs w:val="24"/>
              </w:rPr>
              <w:t>3</w:t>
            </w:r>
          </w:p>
        </w:tc>
        <w:tc>
          <w:tcPr>
            <w:tcW w:w="4678" w:type="pct"/>
            <w:gridSpan w:val="3"/>
            <w:vAlign w:val="center"/>
          </w:tcPr>
          <w:p w:rsidR="000C2455" w:rsidRPr="00687B52" w:rsidRDefault="000C2455" w:rsidP="003E1D2A">
            <w:pPr>
              <w:pStyle w:val="a7"/>
              <w:spacing w:line="360" w:lineRule="exact"/>
              <w:jc w:val="left"/>
              <w:rPr>
                <w:rFonts w:ascii="宋体" w:hAnsi="宋体"/>
                <w:b/>
                <w:color w:val="000000" w:themeColor="text1"/>
                <w:szCs w:val="24"/>
              </w:rPr>
            </w:pPr>
            <w:r w:rsidRPr="00687B52">
              <w:rPr>
                <w:rFonts w:ascii="宋体" w:hAnsi="宋体"/>
                <w:b/>
                <w:color w:val="000000" w:themeColor="text1"/>
                <w:szCs w:val="24"/>
              </w:rPr>
              <w:t>消防系统与应急设施</w:t>
            </w: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工厂水源直接供给不能满足消防用水量、水压和火灾延续时间内消防用水总量要求时，应建消防水池（罐），并应符合下列规定：</w:t>
            </w:r>
          </w:p>
          <w:p w:rsidR="000C2455" w:rsidRPr="00687B52" w:rsidRDefault="000C2455" w:rsidP="00D9787F">
            <w:pPr>
              <w:pStyle w:val="Default"/>
              <w:numPr>
                <w:ilvl w:val="0"/>
                <w:numId w:val="13"/>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lastRenderedPageBreak/>
              <w:t>水池（罐）的容量，应满足火灾延续时间内消防用水总量的要求。当发生火灾能保证向水池（罐）连续补水时，其容量可减去火灾延续时间内的补充水量；</w:t>
            </w:r>
          </w:p>
          <w:p w:rsidR="000C2455" w:rsidRPr="00687B52" w:rsidRDefault="000C2455" w:rsidP="00D9787F">
            <w:pPr>
              <w:pStyle w:val="Default"/>
              <w:numPr>
                <w:ilvl w:val="0"/>
                <w:numId w:val="13"/>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水池（罐）的总容量大于</w:t>
            </w:r>
            <w:smartTag w:uri="urn:schemas-microsoft-com:office:smarttags" w:element="chmetcnv">
              <w:smartTagPr>
                <w:attr w:name="TCSC" w:val="0"/>
                <w:attr w:name="NumberType" w:val="1"/>
                <w:attr w:name="Negative" w:val="False"/>
                <w:attr w:name="HasSpace" w:val="False"/>
                <w:attr w:name="SourceValue" w:val="1000"/>
                <w:attr w:name="UnitName" w:val="m3"/>
              </w:smartTagPr>
              <w:r w:rsidRPr="00687B52">
                <w:rPr>
                  <w:rFonts w:ascii="宋体" w:eastAsia="宋体" w:hAnsi="宋体" w:cs="Times New Roman"/>
                  <w:color w:val="000000" w:themeColor="text1"/>
                </w:rPr>
                <w:t>1000m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时，应分隔成两个，并设带切断阀的连通管；</w:t>
            </w:r>
          </w:p>
          <w:p w:rsidR="000C2455" w:rsidRPr="00687B52" w:rsidRDefault="000C2455" w:rsidP="00D9787F">
            <w:pPr>
              <w:pStyle w:val="Default"/>
              <w:numPr>
                <w:ilvl w:val="0"/>
                <w:numId w:val="13"/>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水池（罐）的补水时间，不宜超过48h；</w:t>
            </w:r>
          </w:p>
          <w:p w:rsidR="000C2455" w:rsidRPr="00687B52" w:rsidRDefault="000C2455" w:rsidP="00D9787F">
            <w:pPr>
              <w:pStyle w:val="Default"/>
              <w:numPr>
                <w:ilvl w:val="0"/>
                <w:numId w:val="13"/>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当消防水池（罐）与生活或生产水池（罐）合建时，应有消防用水不作他用的措施；</w:t>
            </w:r>
          </w:p>
          <w:p w:rsidR="000C2455" w:rsidRPr="00687B52" w:rsidRDefault="000C2455" w:rsidP="00D9787F">
            <w:pPr>
              <w:pStyle w:val="Default"/>
              <w:numPr>
                <w:ilvl w:val="0"/>
                <w:numId w:val="13"/>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寒冷地区应设防冻措施；</w:t>
            </w:r>
          </w:p>
          <w:p w:rsidR="000C2455" w:rsidRPr="00687B52" w:rsidRDefault="000C2455" w:rsidP="00D9787F">
            <w:pPr>
              <w:pStyle w:val="Default"/>
              <w:numPr>
                <w:ilvl w:val="0"/>
                <w:numId w:val="13"/>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消防水池（罐）应设液位检测、高低液位报警及自动补水设施。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第8.3.2</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消防水泵的吸水管、出水管应</w:t>
            </w:r>
            <w:r w:rsidRPr="00687B52">
              <w:rPr>
                <w:rFonts w:ascii="宋体" w:eastAsia="宋体" w:hAnsi="宋体" w:cs="Times New Roman" w:hint="eastAsia"/>
                <w:color w:val="000000" w:themeColor="text1"/>
              </w:rPr>
              <w:t>满足</w:t>
            </w:r>
            <w:r w:rsidRPr="00687B52">
              <w:rPr>
                <w:rFonts w:ascii="宋体" w:eastAsia="宋体" w:hAnsi="宋体" w:cs="Times New Roman"/>
                <w:color w:val="000000" w:themeColor="text1"/>
              </w:rPr>
              <w:t>：</w:t>
            </w:r>
          </w:p>
          <w:p w:rsidR="000C2455" w:rsidRPr="00687B52" w:rsidRDefault="000C2455" w:rsidP="00D9787F">
            <w:pPr>
              <w:pStyle w:val="Default"/>
              <w:numPr>
                <w:ilvl w:val="0"/>
                <w:numId w:val="14"/>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每台消防水泵宜有独立的吸水管；两台以上成组布置时，其吸水管不应少于两条，当其中一条检修时，其余吸水管应能确保吸取全部消防用水量；</w:t>
            </w:r>
          </w:p>
          <w:p w:rsidR="000C2455" w:rsidRPr="00687B52" w:rsidRDefault="000C2455" w:rsidP="00D9787F">
            <w:pPr>
              <w:pStyle w:val="Default"/>
              <w:numPr>
                <w:ilvl w:val="0"/>
                <w:numId w:val="14"/>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成组布置的水泵，至少应有两条出水管与环状消防水管道连接，两连接点间应设阀门。当一条出水管检修时，其余出水管应能输送全部消防用水量；</w:t>
            </w:r>
          </w:p>
          <w:p w:rsidR="000C2455" w:rsidRPr="00687B52" w:rsidRDefault="000C2455" w:rsidP="00D9787F">
            <w:pPr>
              <w:pStyle w:val="Default"/>
              <w:numPr>
                <w:ilvl w:val="0"/>
                <w:numId w:val="14"/>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泵的出水管道应设防止超压的安全设施；</w:t>
            </w:r>
          </w:p>
          <w:p w:rsidR="000C2455" w:rsidRPr="00687B52" w:rsidRDefault="000C2455" w:rsidP="00D9787F">
            <w:pPr>
              <w:pStyle w:val="Default"/>
              <w:numPr>
                <w:ilvl w:val="0"/>
                <w:numId w:val="14"/>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出水管道上，直径大于</w:t>
            </w:r>
            <w:smartTag w:uri="urn:schemas-microsoft-com:office:smarttags" w:element="chmetcnv">
              <w:smartTagPr>
                <w:attr w:name="TCSC" w:val="0"/>
                <w:attr w:name="NumberType" w:val="1"/>
                <w:attr w:name="Negative" w:val="False"/>
                <w:attr w:name="HasSpace" w:val="False"/>
                <w:attr w:name="SourceValue" w:val="300"/>
                <w:attr w:name="UnitName" w:val="mm"/>
              </w:smartTagPr>
              <w:r w:rsidRPr="00687B52">
                <w:rPr>
                  <w:rFonts w:ascii="宋体" w:eastAsia="宋体" w:hAnsi="宋体" w:cs="Times New Roman"/>
                  <w:color w:val="000000" w:themeColor="text1"/>
                </w:rPr>
                <w:t>300mm</w:t>
              </w:r>
            </w:smartTag>
            <w:r w:rsidRPr="00687B52">
              <w:rPr>
                <w:rFonts w:ascii="宋体" w:eastAsia="宋体" w:hAnsi="宋体" w:cs="Times New Roman"/>
                <w:color w:val="000000" w:themeColor="text1"/>
              </w:rPr>
              <w:t>的阀门不应</w:t>
            </w:r>
            <w:r w:rsidRPr="00687B52">
              <w:rPr>
                <w:rFonts w:ascii="宋体" w:eastAsia="宋体" w:hAnsi="宋体" w:cs="Times New Roman"/>
                <w:color w:val="000000" w:themeColor="text1"/>
              </w:rPr>
              <w:lastRenderedPageBreak/>
              <w:t>选用手动阀门，阀门的启闭应有明显标志。</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第8.3.5</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消防水泵、稳压泵应分别设置备用泵；备用泵的能力不得小于最大一台泵的能力。</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第8.3.6</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消防水泵应设双动力源；当采用柴油机作为动力源时，柴油机的油料储备量应能满足机组连续运转6h的要求。</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第8.3.8</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可燃液体地上立式储罐应设固定或移动式消防冷却水系统，其供水范围、供水强度和设置方式应符合下列规定：</w:t>
            </w:r>
          </w:p>
          <w:p w:rsidR="000C2455" w:rsidRPr="00687B52" w:rsidRDefault="000C2455" w:rsidP="00D9787F">
            <w:pPr>
              <w:pStyle w:val="Default"/>
              <w:numPr>
                <w:ilvl w:val="0"/>
                <w:numId w:val="15"/>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供水范围、供水强度不应小于</w:t>
            </w:r>
            <w:r w:rsidRPr="00687B52">
              <w:rPr>
                <w:rFonts w:ascii="宋体" w:eastAsia="宋体" w:hAnsi="宋体" w:cs="Times New Roman" w:hint="eastAsia"/>
                <w:color w:val="000000" w:themeColor="text1"/>
              </w:rPr>
              <w:t>表8.4.5</w:t>
            </w:r>
            <w:r w:rsidRPr="00687B52">
              <w:rPr>
                <w:rFonts w:ascii="宋体" w:eastAsia="宋体" w:hAnsi="宋体" w:cs="Times New Roman"/>
                <w:color w:val="000000" w:themeColor="text1"/>
              </w:rPr>
              <w:t>的规定；</w:t>
            </w:r>
          </w:p>
          <w:p w:rsidR="000C2455" w:rsidRPr="00687B52" w:rsidRDefault="000C2455" w:rsidP="00D9787F">
            <w:pPr>
              <w:pStyle w:val="Default"/>
              <w:numPr>
                <w:ilvl w:val="0"/>
                <w:numId w:val="15"/>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罐壁高于</w:t>
            </w:r>
            <w:smartTag w:uri="urn:schemas-microsoft-com:office:smarttags" w:element="chmetcnv">
              <w:smartTagPr>
                <w:attr w:name="TCSC" w:val="0"/>
                <w:attr w:name="NumberType" w:val="1"/>
                <w:attr w:name="Negative" w:val="False"/>
                <w:attr w:name="HasSpace" w:val="False"/>
                <w:attr w:name="SourceValue" w:val="17"/>
                <w:attr w:name="UnitName" w:val="m"/>
              </w:smartTagPr>
              <w:r w:rsidRPr="00687B52">
                <w:rPr>
                  <w:rFonts w:ascii="宋体" w:eastAsia="宋体" w:hAnsi="宋体" w:cs="Times New Roman"/>
                  <w:color w:val="000000" w:themeColor="text1"/>
                </w:rPr>
                <w:t>17m</w:t>
              </w:r>
            </w:smartTag>
            <w:r w:rsidRPr="00687B52">
              <w:rPr>
                <w:rFonts w:ascii="宋体" w:eastAsia="宋体" w:hAnsi="宋体" w:cs="Times New Roman"/>
                <w:color w:val="000000" w:themeColor="text1"/>
              </w:rPr>
              <w:t>储罐、容积等于或大于</w:t>
            </w:r>
            <w:smartTag w:uri="urn:schemas-microsoft-com:office:smarttags" w:element="chmetcnv">
              <w:smartTagPr>
                <w:attr w:name="TCSC" w:val="0"/>
                <w:attr w:name="NumberType" w:val="1"/>
                <w:attr w:name="Negative" w:val="False"/>
                <w:attr w:name="HasSpace" w:val="False"/>
                <w:attr w:name="SourceValue" w:val="10000"/>
                <w:attr w:name="UnitName" w:val="m3"/>
              </w:smartTagPr>
              <w:r w:rsidRPr="00687B52">
                <w:rPr>
                  <w:rFonts w:ascii="宋体" w:eastAsia="宋体" w:hAnsi="宋体" w:cs="Times New Roman"/>
                  <w:color w:val="000000" w:themeColor="text1"/>
                </w:rPr>
                <w:t>10000m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储罐、容积等于或大于</w:t>
            </w:r>
            <w:smartTag w:uri="urn:schemas-microsoft-com:office:smarttags" w:element="chmetcnv">
              <w:smartTagPr>
                <w:attr w:name="TCSC" w:val="0"/>
                <w:attr w:name="NumberType" w:val="1"/>
                <w:attr w:name="Negative" w:val="False"/>
                <w:attr w:name="HasSpace" w:val="False"/>
                <w:attr w:name="SourceValue" w:val="2000"/>
                <w:attr w:name="UnitName" w:val="m3"/>
              </w:smartTagPr>
              <w:r w:rsidRPr="00687B52">
                <w:rPr>
                  <w:rFonts w:ascii="宋体" w:eastAsia="宋体" w:hAnsi="宋体" w:cs="Times New Roman"/>
                  <w:color w:val="000000" w:themeColor="text1"/>
                </w:rPr>
                <w:t>2000m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低压储罐应设置固定式消防冷却水系统；</w:t>
            </w:r>
          </w:p>
          <w:p w:rsidR="000C2455" w:rsidRPr="00687B52" w:rsidRDefault="000C2455" w:rsidP="00D9787F">
            <w:pPr>
              <w:pStyle w:val="Default"/>
              <w:numPr>
                <w:ilvl w:val="0"/>
                <w:numId w:val="15"/>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润滑油罐可采用移动式消防冷却水系统；</w:t>
            </w:r>
          </w:p>
          <w:p w:rsidR="000C2455" w:rsidRPr="00687B52" w:rsidRDefault="000C2455" w:rsidP="00D9787F">
            <w:pPr>
              <w:pStyle w:val="Default"/>
              <w:numPr>
                <w:ilvl w:val="0"/>
                <w:numId w:val="15"/>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储罐固定式冷却水系统应有确保达到冷却水强度的调节设施；</w:t>
            </w:r>
          </w:p>
          <w:p w:rsidR="000C2455" w:rsidRPr="00687B52" w:rsidRDefault="000C2455" w:rsidP="00D9787F">
            <w:pPr>
              <w:pStyle w:val="Default"/>
              <w:numPr>
                <w:ilvl w:val="0"/>
                <w:numId w:val="15"/>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控制阀应设在防火堤外，并距被保护罐壁不宜小于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687B52">
                <w:rPr>
                  <w:rFonts w:ascii="宋体" w:eastAsia="宋体" w:hAnsi="宋体" w:cs="Times New Roman"/>
                  <w:color w:val="000000" w:themeColor="text1"/>
                </w:rPr>
                <w:t>15m</w:t>
              </w:r>
            </w:smartTag>
            <w:r w:rsidRPr="00687B52">
              <w:rPr>
                <w:rFonts w:ascii="宋体" w:eastAsia="宋体" w:hAnsi="宋体" w:cs="Times New Roman"/>
                <w:color w:val="000000" w:themeColor="text1"/>
              </w:rPr>
              <w:t>。控制阀后及储罐上设置的消防冷却水管道应采用镀锌钢管。</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第8.4.5</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消防给水管道应环状布置，并应</w:t>
            </w:r>
            <w:r w:rsidRPr="00687B52">
              <w:rPr>
                <w:rFonts w:ascii="宋体" w:eastAsia="宋体" w:hAnsi="宋体" w:cs="Times New Roman" w:hint="eastAsia"/>
                <w:color w:val="000000" w:themeColor="text1"/>
              </w:rPr>
              <w:t>满足</w:t>
            </w:r>
            <w:r w:rsidRPr="00687B52">
              <w:rPr>
                <w:rFonts w:ascii="宋体" w:eastAsia="宋体" w:hAnsi="宋体" w:cs="Times New Roman"/>
                <w:color w:val="000000" w:themeColor="text1"/>
              </w:rPr>
              <w:t>：</w:t>
            </w:r>
          </w:p>
          <w:p w:rsidR="000C2455" w:rsidRPr="00687B52" w:rsidRDefault="000C2455" w:rsidP="00D9787F">
            <w:pPr>
              <w:pStyle w:val="Default"/>
              <w:numPr>
                <w:ilvl w:val="0"/>
                <w:numId w:val="16"/>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lastRenderedPageBreak/>
              <w:t>环状管道的进水管不应少于两条；</w:t>
            </w:r>
          </w:p>
          <w:p w:rsidR="000C2455" w:rsidRPr="00687B52" w:rsidRDefault="000C2455" w:rsidP="00D9787F">
            <w:pPr>
              <w:pStyle w:val="Default"/>
              <w:numPr>
                <w:ilvl w:val="0"/>
                <w:numId w:val="16"/>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环状管道应用阀门分成若干独立管段，每段消火栓的数量不宜超过5个；</w:t>
            </w:r>
          </w:p>
          <w:p w:rsidR="000C2455" w:rsidRPr="00687B52" w:rsidRDefault="000C2455" w:rsidP="00D9787F">
            <w:pPr>
              <w:pStyle w:val="Default"/>
              <w:numPr>
                <w:ilvl w:val="0"/>
                <w:numId w:val="16"/>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当某个环段发生事故时，独立的消防给水管道的其余环段应能满足100%的消防用水量的要求；与生产、生活合用的消防给水管道应能满足100%的消防用水和70%的生产、生活用水的总量的要求；</w:t>
            </w:r>
          </w:p>
          <w:p w:rsidR="000C2455" w:rsidRPr="00687B52" w:rsidRDefault="000C2455" w:rsidP="00D9787F">
            <w:pPr>
              <w:pStyle w:val="Default"/>
              <w:numPr>
                <w:ilvl w:val="0"/>
                <w:numId w:val="16"/>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生产、生活用水量应按70%最大小时用水量计算；消防用水量应按最大秒流量计算。</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w:t>
            </w:r>
            <w:r w:rsidRPr="00687B52">
              <w:rPr>
                <w:rFonts w:ascii="宋体" w:hAnsi="宋体"/>
                <w:color w:val="000000" w:themeColor="text1"/>
                <w:szCs w:val="24"/>
              </w:rPr>
              <w:lastRenderedPageBreak/>
              <w:t>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第8.5.2</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消火栓的设置应符合下列规定：</w:t>
            </w:r>
          </w:p>
          <w:p w:rsidR="000C2455" w:rsidRPr="00687B52" w:rsidRDefault="000C2455" w:rsidP="00D9787F">
            <w:pPr>
              <w:pStyle w:val="Default"/>
              <w:numPr>
                <w:ilvl w:val="0"/>
                <w:numId w:val="17"/>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宜选用地上式消火栓；</w:t>
            </w:r>
          </w:p>
          <w:p w:rsidR="000C2455" w:rsidRPr="00687B52" w:rsidRDefault="000C2455" w:rsidP="00D9787F">
            <w:pPr>
              <w:pStyle w:val="Default"/>
              <w:numPr>
                <w:ilvl w:val="0"/>
                <w:numId w:val="17"/>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消火栓宜沿道路敷设；</w:t>
            </w:r>
          </w:p>
          <w:p w:rsidR="000C2455" w:rsidRPr="00687B52" w:rsidRDefault="000C2455" w:rsidP="00D9787F">
            <w:pPr>
              <w:pStyle w:val="Default"/>
              <w:numPr>
                <w:ilvl w:val="0"/>
                <w:numId w:val="17"/>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消火栓距路面边不宜大于</w:t>
            </w:r>
            <w:smartTag w:uri="urn:schemas-microsoft-com:office:smarttags" w:element="chmetcnv">
              <w:smartTagPr>
                <w:attr w:name="UnitName" w:val="m"/>
                <w:attr w:name="SourceValue" w:val="5"/>
                <w:attr w:name="HasSpace" w:val="False"/>
                <w:attr w:name="Negative" w:val="False"/>
                <w:attr w:name="NumberType" w:val="1"/>
                <w:attr w:name="TCSC" w:val="0"/>
              </w:smartTagPr>
              <w:r w:rsidRPr="00687B52">
                <w:rPr>
                  <w:rFonts w:ascii="宋体" w:eastAsia="宋体" w:hAnsi="宋体" w:cs="Times New Roman"/>
                  <w:color w:val="000000" w:themeColor="text1"/>
                </w:rPr>
                <w:t>5m</w:t>
              </w:r>
            </w:smartTag>
            <w:r w:rsidRPr="00687B52">
              <w:rPr>
                <w:rFonts w:ascii="宋体" w:eastAsia="宋体" w:hAnsi="宋体" w:cs="Times New Roman"/>
                <w:color w:val="000000" w:themeColor="text1"/>
              </w:rPr>
              <w:t>；距建筑物外墙不宜小于</w:t>
            </w:r>
            <w:smartTag w:uri="urn:schemas-microsoft-com:office:smarttags" w:element="chmetcnv">
              <w:smartTagPr>
                <w:attr w:name="UnitName" w:val="m"/>
                <w:attr w:name="SourceValue" w:val="5"/>
                <w:attr w:name="HasSpace" w:val="False"/>
                <w:attr w:name="Negative" w:val="False"/>
                <w:attr w:name="NumberType" w:val="1"/>
                <w:attr w:name="TCSC" w:val="0"/>
              </w:smartTagPr>
              <w:r w:rsidRPr="00687B52">
                <w:rPr>
                  <w:rFonts w:ascii="宋体" w:eastAsia="宋体" w:hAnsi="宋体" w:cs="Times New Roman"/>
                  <w:color w:val="000000" w:themeColor="text1"/>
                </w:rPr>
                <w:t>5m</w:t>
              </w:r>
            </w:smartTag>
            <w:r w:rsidRPr="00687B52">
              <w:rPr>
                <w:rFonts w:ascii="宋体" w:eastAsia="宋体" w:hAnsi="宋体" w:cs="Times New Roman"/>
                <w:color w:val="000000" w:themeColor="text1"/>
              </w:rPr>
              <w:t>；</w:t>
            </w:r>
          </w:p>
          <w:p w:rsidR="000C2455" w:rsidRPr="00687B52" w:rsidRDefault="000C2455" w:rsidP="00D9787F">
            <w:pPr>
              <w:pStyle w:val="Default"/>
              <w:numPr>
                <w:ilvl w:val="0"/>
                <w:numId w:val="17"/>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地上式消火栓距城市型道路路边不宜小于</w:t>
            </w:r>
            <w:smartTag w:uri="urn:schemas-microsoft-com:office:smarttags" w:element="chmetcnv">
              <w:smartTagPr>
                <w:attr w:name="UnitName" w:val="m"/>
                <w:attr w:name="SourceValue" w:val="1"/>
                <w:attr w:name="HasSpace" w:val="False"/>
                <w:attr w:name="Negative" w:val="False"/>
                <w:attr w:name="NumberType" w:val="1"/>
                <w:attr w:name="TCSC" w:val="0"/>
              </w:smartTagPr>
              <w:r w:rsidRPr="00687B52">
                <w:rPr>
                  <w:rFonts w:ascii="宋体" w:eastAsia="宋体" w:hAnsi="宋体" w:cs="Times New Roman"/>
                  <w:color w:val="000000" w:themeColor="text1"/>
                </w:rPr>
                <w:t>1.0m</w:t>
              </w:r>
            </w:smartTag>
            <w:r w:rsidRPr="00687B52">
              <w:rPr>
                <w:rFonts w:ascii="宋体" w:eastAsia="宋体" w:hAnsi="宋体" w:cs="Times New Roman"/>
                <w:color w:val="000000" w:themeColor="text1"/>
              </w:rPr>
              <w:t>；距公路型双车道路肩边不宜小于</w:t>
            </w:r>
            <w:smartTag w:uri="urn:schemas-microsoft-com:office:smarttags" w:element="chmetcnv">
              <w:smartTagPr>
                <w:attr w:name="UnitName" w:val="m"/>
                <w:attr w:name="SourceValue" w:val="1"/>
                <w:attr w:name="HasSpace" w:val="False"/>
                <w:attr w:name="Negative" w:val="False"/>
                <w:attr w:name="NumberType" w:val="1"/>
                <w:attr w:name="TCSC" w:val="0"/>
              </w:smartTagPr>
              <w:r w:rsidRPr="00687B52">
                <w:rPr>
                  <w:rFonts w:ascii="宋体" w:eastAsia="宋体" w:hAnsi="宋体" w:cs="Times New Roman"/>
                  <w:color w:val="000000" w:themeColor="text1"/>
                </w:rPr>
                <w:t>1.0m</w:t>
              </w:r>
            </w:smartTag>
            <w:r w:rsidRPr="00687B52">
              <w:rPr>
                <w:rFonts w:ascii="宋体" w:eastAsia="宋体" w:hAnsi="宋体" w:cs="Times New Roman"/>
                <w:color w:val="000000" w:themeColor="text1"/>
              </w:rPr>
              <w:t>；</w:t>
            </w:r>
          </w:p>
          <w:p w:rsidR="000C2455" w:rsidRPr="00687B52" w:rsidRDefault="000C2455" w:rsidP="00D9787F">
            <w:pPr>
              <w:pStyle w:val="Default"/>
              <w:numPr>
                <w:ilvl w:val="0"/>
                <w:numId w:val="17"/>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地上式消火栓的大口径出水口应面向道路。当其设置场所有可能受到车辆冲撞时，应在其周围设置防护设施；</w:t>
            </w:r>
          </w:p>
          <w:p w:rsidR="000C2455" w:rsidRPr="00687B52" w:rsidRDefault="000C2455" w:rsidP="00D9787F">
            <w:pPr>
              <w:pStyle w:val="Default"/>
              <w:numPr>
                <w:ilvl w:val="0"/>
                <w:numId w:val="17"/>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地下式消火栓应有明显标志。</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第8.5.5</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与生产或生活合用的消防给水管道上的消火栓应设切断阀。</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第8.5.8</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甲、乙类可燃气体、可燃液体设备的高大构架和设备群应设置水炮保护，其设置位置距保护对象不宜小于</w:t>
            </w:r>
            <w:smartTag w:uri="urn:schemas-microsoft-com:office:smarttags" w:element="chmetcnv">
              <w:smartTagPr>
                <w:attr w:name="UnitName" w:val="m"/>
                <w:attr w:name="SourceValue" w:val="15"/>
                <w:attr w:name="HasSpace" w:val="False"/>
                <w:attr w:name="Negative" w:val="False"/>
                <w:attr w:name="NumberType" w:val="1"/>
                <w:attr w:name="TCSC" w:val="0"/>
              </w:smartTagPr>
              <w:r w:rsidRPr="00687B52">
                <w:rPr>
                  <w:rFonts w:ascii="宋体" w:eastAsia="宋体" w:hAnsi="宋体" w:cs="Times New Roman"/>
                  <w:color w:val="000000" w:themeColor="text1"/>
                </w:rPr>
                <w:t>15m</w:t>
              </w:r>
            </w:smartTag>
            <w:r w:rsidRPr="00687B52">
              <w:rPr>
                <w:rFonts w:ascii="宋体" w:eastAsia="宋体" w:hAnsi="宋体" w:cs="Times New Roman"/>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第8.6.1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固定式水炮的布置应根据水炮的设计流量和有效射程确定其保护范围。消防水炮距被保护对象不宜小于</w:t>
            </w:r>
            <w:smartTag w:uri="urn:schemas-microsoft-com:office:smarttags" w:element="chmetcnv">
              <w:smartTagPr>
                <w:attr w:name="UnitName" w:val="m"/>
                <w:attr w:name="SourceValue" w:val="15"/>
                <w:attr w:name="HasSpace" w:val="False"/>
                <w:attr w:name="Negative" w:val="False"/>
                <w:attr w:name="NumberType" w:val="1"/>
                <w:attr w:name="TCSC" w:val="0"/>
              </w:smartTagPr>
              <w:r w:rsidRPr="00687B52">
                <w:rPr>
                  <w:rFonts w:ascii="宋体" w:eastAsia="宋体" w:hAnsi="宋体" w:cs="Times New Roman"/>
                  <w:color w:val="000000" w:themeColor="text1"/>
                </w:rPr>
                <w:t>15m</w:t>
              </w:r>
            </w:smartTag>
            <w:r w:rsidRPr="00687B52">
              <w:rPr>
                <w:rFonts w:ascii="宋体" w:eastAsia="宋体" w:hAnsi="宋体" w:cs="Times New Roman"/>
                <w:color w:val="000000" w:themeColor="text1"/>
              </w:rPr>
              <w:t>。消防水炮的出水量宜为30~</w:t>
            </w:r>
            <w:smartTag w:uri="urn:schemas-microsoft-com:office:smarttags" w:element="chmetcnv">
              <w:smartTagPr>
                <w:attr w:name="UnitName" w:val="l"/>
                <w:attr w:name="SourceValue" w:val="50"/>
                <w:attr w:name="HasSpace" w:val="False"/>
                <w:attr w:name="Negative" w:val="False"/>
                <w:attr w:name="NumberType" w:val="1"/>
                <w:attr w:name="TCSC" w:val="0"/>
              </w:smartTagPr>
              <w:r w:rsidRPr="00687B52">
                <w:rPr>
                  <w:rFonts w:ascii="宋体" w:eastAsia="宋体" w:hAnsi="宋体" w:cs="Times New Roman"/>
                  <w:color w:val="000000" w:themeColor="text1"/>
                </w:rPr>
                <w:t>50L</w:t>
              </w:r>
            </w:smartTag>
            <w:r w:rsidRPr="00687B52">
              <w:rPr>
                <w:rFonts w:ascii="宋体" w:eastAsia="宋体" w:hAnsi="宋体" w:cs="Times New Roman"/>
                <w:color w:val="000000" w:themeColor="text1"/>
              </w:rPr>
              <w:t>/s，水炮应具有直流和水雾两种喷射方式。</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第8.6.2</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工艺装置内的甲、乙类设备的构架平台高出其所处地面</w:t>
            </w:r>
            <w:smartTag w:uri="urn:schemas-microsoft-com:office:smarttags" w:element="chmetcnv">
              <w:smartTagPr>
                <w:attr w:name="TCSC" w:val="0"/>
                <w:attr w:name="NumberType" w:val="1"/>
                <w:attr w:name="Negative" w:val="False"/>
                <w:attr w:name="HasSpace" w:val="False"/>
                <w:attr w:name="SourceValue" w:val="15"/>
                <w:attr w:name="UnitName" w:val="m"/>
              </w:smartTagPr>
              <w:r w:rsidRPr="00687B52">
                <w:rPr>
                  <w:rFonts w:ascii="宋体" w:eastAsia="宋体" w:hAnsi="宋体" w:cs="Times New Roman"/>
                  <w:color w:val="000000" w:themeColor="text1"/>
                </w:rPr>
                <w:t>15m</w:t>
              </w:r>
            </w:smartTag>
            <w:r w:rsidRPr="00687B52">
              <w:rPr>
                <w:rFonts w:ascii="宋体" w:eastAsia="宋体" w:hAnsi="宋体" w:cs="Times New Roman"/>
                <w:color w:val="000000" w:themeColor="text1"/>
              </w:rPr>
              <w:t>时，宜沿梯子敷设半固定式消防给水竖管，并应符合下列规定：</w:t>
            </w:r>
          </w:p>
          <w:p w:rsidR="000C2455" w:rsidRPr="00687B52" w:rsidRDefault="000C2455" w:rsidP="00D9787F">
            <w:pPr>
              <w:pStyle w:val="Default"/>
              <w:numPr>
                <w:ilvl w:val="0"/>
                <w:numId w:val="18"/>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按各层需要设置带阀门的管牙接口；</w:t>
            </w:r>
          </w:p>
          <w:p w:rsidR="000C2455" w:rsidRPr="00687B52" w:rsidRDefault="000C2455" w:rsidP="00D9787F">
            <w:pPr>
              <w:pStyle w:val="Default"/>
              <w:numPr>
                <w:ilvl w:val="0"/>
                <w:numId w:val="18"/>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平台面积小于或等于</w:t>
            </w:r>
            <w:smartTag w:uri="urn:schemas-microsoft-com:office:smarttags" w:element="chmetcnv">
              <w:smartTagPr>
                <w:attr w:name="TCSC" w:val="0"/>
                <w:attr w:name="NumberType" w:val="1"/>
                <w:attr w:name="Negative" w:val="False"/>
                <w:attr w:name="HasSpace" w:val="False"/>
                <w:attr w:name="SourceValue" w:val="50"/>
                <w:attr w:name="UnitName" w:val="m2"/>
              </w:smartTagPr>
              <w:r w:rsidRPr="00687B52">
                <w:rPr>
                  <w:rFonts w:ascii="宋体" w:eastAsia="宋体" w:hAnsi="宋体" w:cs="Times New Roman"/>
                  <w:color w:val="000000" w:themeColor="text1"/>
                </w:rPr>
                <w:t>50m</w:t>
              </w:r>
              <w:r w:rsidRPr="00687B52">
                <w:rPr>
                  <w:rFonts w:ascii="宋体" w:eastAsia="宋体" w:hAnsi="宋体" w:cs="Times New Roman"/>
                  <w:color w:val="000000" w:themeColor="text1"/>
                  <w:vertAlign w:val="superscript"/>
                </w:rPr>
                <w:t>2</w:t>
              </w:r>
            </w:smartTag>
            <w:r w:rsidRPr="00687B52">
              <w:rPr>
                <w:rFonts w:ascii="宋体" w:eastAsia="宋体" w:hAnsi="宋体" w:cs="Times New Roman"/>
                <w:color w:val="000000" w:themeColor="text1"/>
              </w:rPr>
              <w:t>时，管径不宜小于</w:t>
            </w:r>
            <w:smartTag w:uri="urn:schemas-microsoft-com:office:smarttags" w:element="chmetcnv">
              <w:smartTagPr>
                <w:attr w:name="TCSC" w:val="0"/>
                <w:attr w:name="NumberType" w:val="1"/>
                <w:attr w:name="Negative" w:val="False"/>
                <w:attr w:name="HasSpace" w:val="False"/>
                <w:attr w:name="SourceValue" w:val="80"/>
                <w:attr w:name="UnitName" w:val="mm"/>
              </w:smartTagPr>
              <w:r w:rsidRPr="00687B52">
                <w:rPr>
                  <w:rFonts w:ascii="宋体" w:eastAsia="宋体" w:hAnsi="宋体" w:cs="Times New Roman"/>
                  <w:color w:val="000000" w:themeColor="text1"/>
                </w:rPr>
                <w:t>80mm</w:t>
              </w:r>
            </w:smartTag>
            <w:r w:rsidRPr="00687B52">
              <w:rPr>
                <w:rFonts w:ascii="宋体" w:eastAsia="宋体" w:hAnsi="宋体" w:cs="Times New Roman"/>
                <w:color w:val="000000" w:themeColor="text1"/>
              </w:rPr>
              <w:t>；大于</w:t>
            </w:r>
            <w:smartTag w:uri="urn:schemas-microsoft-com:office:smarttags" w:element="chmetcnv">
              <w:smartTagPr>
                <w:attr w:name="TCSC" w:val="0"/>
                <w:attr w:name="NumberType" w:val="1"/>
                <w:attr w:name="Negative" w:val="False"/>
                <w:attr w:name="HasSpace" w:val="False"/>
                <w:attr w:name="SourceValue" w:val="50"/>
                <w:attr w:name="UnitName" w:val="m2"/>
              </w:smartTagPr>
              <w:r w:rsidRPr="00687B52">
                <w:rPr>
                  <w:rFonts w:ascii="宋体" w:eastAsia="宋体" w:hAnsi="宋体" w:cs="Times New Roman"/>
                  <w:color w:val="000000" w:themeColor="text1"/>
                </w:rPr>
                <w:t>50m</w:t>
              </w:r>
              <w:r w:rsidRPr="00687B52">
                <w:rPr>
                  <w:rFonts w:ascii="宋体" w:eastAsia="宋体" w:hAnsi="宋体" w:cs="Times New Roman"/>
                  <w:color w:val="000000" w:themeColor="text1"/>
                  <w:vertAlign w:val="superscript"/>
                </w:rPr>
                <w:t>2</w:t>
              </w:r>
            </w:smartTag>
            <w:r w:rsidRPr="00687B52">
              <w:rPr>
                <w:rFonts w:ascii="宋体" w:eastAsia="宋体" w:hAnsi="宋体" w:cs="Times New Roman"/>
                <w:color w:val="000000" w:themeColor="text1"/>
              </w:rPr>
              <w:t>时，管径不宜小于</w:t>
            </w:r>
            <w:smartTag w:uri="urn:schemas-microsoft-com:office:smarttags" w:element="chmetcnv">
              <w:smartTagPr>
                <w:attr w:name="TCSC" w:val="0"/>
                <w:attr w:name="NumberType" w:val="1"/>
                <w:attr w:name="Negative" w:val="False"/>
                <w:attr w:name="HasSpace" w:val="False"/>
                <w:attr w:name="SourceValue" w:val="100"/>
                <w:attr w:name="UnitName" w:val="mm"/>
              </w:smartTagPr>
              <w:r w:rsidRPr="00687B52">
                <w:rPr>
                  <w:rFonts w:ascii="宋体" w:eastAsia="宋体" w:hAnsi="宋体" w:cs="Times New Roman"/>
                  <w:color w:val="000000" w:themeColor="text1"/>
                </w:rPr>
                <w:t>100mm</w:t>
              </w:r>
            </w:smartTag>
            <w:r w:rsidRPr="00687B52">
              <w:rPr>
                <w:rFonts w:ascii="宋体" w:eastAsia="宋体" w:hAnsi="宋体" w:cs="Times New Roman"/>
                <w:color w:val="000000" w:themeColor="text1"/>
              </w:rPr>
              <w:t xml:space="preserve">； </w:t>
            </w:r>
          </w:p>
          <w:p w:rsidR="000C2455" w:rsidRPr="00687B52" w:rsidRDefault="000C2455" w:rsidP="00D9787F">
            <w:pPr>
              <w:pStyle w:val="Default"/>
              <w:numPr>
                <w:ilvl w:val="0"/>
                <w:numId w:val="18"/>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构架平台长度大于</w:t>
            </w:r>
            <w:smartTag w:uri="urn:schemas-microsoft-com:office:smarttags" w:element="chmetcnv">
              <w:smartTagPr>
                <w:attr w:name="TCSC" w:val="0"/>
                <w:attr w:name="NumberType" w:val="1"/>
                <w:attr w:name="Negative" w:val="False"/>
                <w:attr w:name="HasSpace" w:val="False"/>
                <w:attr w:name="SourceValue" w:val="25"/>
                <w:attr w:name="UnitName" w:val="m"/>
              </w:smartTagPr>
              <w:r w:rsidRPr="00687B52">
                <w:rPr>
                  <w:rFonts w:ascii="宋体" w:eastAsia="宋体" w:hAnsi="宋体" w:cs="Times New Roman"/>
                  <w:color w:val="000000" w:themeColor="text1"/>
                </w:rPr>
                <w:t>25m</w:t>
              </w:r>
            </w:smartTag>
            <w:r w:rsidRPr="00687B52">
              <w:rPr>
                <w:rFonts w:ascii="宋体" w:eastAsia="宋体" w:hAnsi="宋体" w:cs="Times New Roman"/>
                <w:color w:val="000000" w:themeColor="text1"/>
              </w:rPr>
              <w:t>时，宜在另一侧梯子处增设消防给水竖管，且消防给水竖管的间距不宜大于</w:t>
            </w:r>
            <w:smartTag w:uri="urn:schemas-microsoft-com:office:smarttags" w:element="chmetcnv">
              <w:smartTagPr>
                <w:attr w:name="TCSC" w:val="0"/>
                <w:attr w:name="NumberType" w:val="1"/>
                <w:attr w:name="Negative" w:val="False"/>
                <w:attr w:name="HasSpace" w:val="False"/>
                <w:attr w:name="SourceValue" w:val="50"/>
                <w:attr w:name="UnitName" w:val="m"/>
              </w:smartTagPr>
              <w:r w:rsidRPr="00687B52">
                <w:rPr>
                  <w:rFonts w:ascii="宋体" w:eastAsia="宋体" w:hAnsi="宋体" w:cs="Times New Roman"/>
                  <w:color w:val="000000" w:themeColor="text1"/>
                </w:rPr>
                <w:t>50m</w:t>
              </w:r>
            </w:smartTag>
            <w:r w:rsidRPr="00687B52">
              <w:rPr>
                <w:rFonts w:ascii="宋体" w:eastAsia="宋体" w:hAnsi="宋体" w:cs="Times New Roman"/>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第8.6.5</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下列场所应采用固定式泡沫灭火系统：</w:t>
            </w:r>
          </w:p>
          <w:p w:rsidR="000C2455" w:rsidRPr="00687B52" w:rsidRDefault="000C2455" w:rsidP="00D9787F">
            <w:pPr>
              <w:pStyle w:val="Default"/>
              <w:numPr>
                <w:ilvl w:val="0"/>
                <w:numId w:val="19"/>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甲、乙类和闪点等于或小于</w:t>
            </w:r>
            <w:smartTag w:uri="urn:schemas-microsoft-com:office:smarttags" w:element="chmetcnv">
              <w:smartTagPr>
                <w:attr w:name="TCSC" w:val="0"/>
                <w:attr w:name="NumberType" w:val="1"/>
                <w:attr w:name="Negative" w:val="False"/>
                <w:attr w:name="HasSpace" w:val="False"/>
                <w:attr w:name="SourceValue" w:val="90"/>
                <w:attr w:name="UnitName" w:val="℃"/>
              </w:smartTagPr>
              <w:r w:rsidRPr="00687B52">
                <w:rPr>
                  <w:rFonts w:ascii="宋体" w:eastAsia="宋体" w:hAnsi="宋体" w:cs="Times New Roman"/>
                  <w:color w:val="000000" w:themeColor="text1"/>
                </w:rPr>
                <w:t>90</w:t>
              </w:r>
              <w:r w:rsidRPr="00687B52">
                <w:rPr>
                  <w:rFonts w:ascii="宋体" w:eastAsia="宋体" w:hAnsi="宋体" w:cs="宋体" w:hint="eastAsia"/>
                  <w:color w:val="000000" w:themeColor="text1"/>
                </w:rPr>
                <w:t>℃</w:t>
              </w:r>
            </w:smartTag>
            <w:r w:rsidRPr="00687B52">
              <w:rPr>
                <w:rFonts w:ascii="宋体" w:eastAsia="宋体" w:hAnsi="宋体" w:cs="Times New Roman"/>
                <w:color w:val="000000" w:themeColor="text1"/>
              </w:rPr>
              <w:t>的丙类可</w:t>
            </w:r>
            <w:r w:rsidRPr="00687B52">
              <w:rPr>
                <w:rFonts w:ascii="宋体" w:eastAsia="宋体" w:hAnsi="宋体" w:cs="Times New Roman"/>
                <w:color w:val="000000" w:themeColor="text1"/>
              </w:rPr>
              <w:lastRenderedPageBreak/>
              <w:t>燃液体的固定顶罐及浮盘为易熔材料的内浮顶罐：单罐容积等于或大于</w:t>
            </w:r>
            <w:smartTag w:uri="urn:schemas-microsoft-com:office:smarttags" w:element="chmetcnv">
              <w:smartTagPr>
                <w:attr w:name="TCSC" w:val="0"/>
                <w:attr w:name="NumberType" w:val="1"/>
                <w:attr w:name="Negative" w:val="False"/>
                <w:attr w:name="HasSpace" w:val="False"/>
                <w:attr w:name="SourceValue" w:val="10000"/>
                <w:attr w:name="UnitName" w:val="m3"/>
              </w:smartTagPr>
              <w:r w:rsidRPr="00687B52">
                <w:rPr>
                  <w:rFonts w:ascii="宋体" w:eastAsia="宋体" w:hAnsi="宋体" w:cs="Times New Roman"/>
                  <w:color w:val="000000" w:themeColor="text1"/>
                </w:rPr>
                <w:t>10000m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的非水溶性可燃液体储罐；单罐容积等于或大于</w:t>
            </w:r>
            <w:smartTag w:uri="urn:schemas-microsoft-com:office:smarttags" w:element="chmetcnv">
              <w:smartTagPr>
                <w:attr w:name="TCSC" w:val="0"/>
                <w:attr w:name="NumberType" w:val="1"/>
                <w:attr w:name="Negative" w:val="False"/>
                <w:attr w:name="HasSpace" w:val="False"/>
                <w:attr w:name="SourceValue" w:val="500"/>
                <w:attr w:name="UnitName" w:val="m3"/>
              </w:smartTagPr>
              <w:r w:rsidRPr="00687B52">
                <w:rPr>
                  <w:rFonts w:ascii="宋体" w:eastAsia="宋体" w:hAnsi="宋体" w:cs="Times New Roman"/>
                  <w:color w:val="000000" w:themeColor="text1"/>
                </w:rPr>
                <w:t>500m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的水溶性可燃液体储罐；</w:t>
            </w:r>
          </w:p>
          <w:p w:rsidR="000C2455" w:rsidRPr="00687B52" w:rsidRDefault="000C2455" w:rsidP="00D9787F">
            <w:pPr>
              <w:pStyle w:val="Default"/>
              <w:numPr>
                <w:ilvl w:val="0"/>
                <w:numId w:val="19"/>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甲、乙类和闪点等于或小于</w:t>
            </w:r>
            <w:smartTag w:uri="urn:schemas-microsoft-com:office:smarttags" w:element="chmetcnv">
              <w:smartTagPr>
                <w:attr w:name="TCSC" w:val="0"/>
                <w:attr w:name="NumberType" w:val="1"/>
                <w:attr w:name="Negative" w:val="False"/>
                <w:attr w:name="HasSpace" w:val="False"/>
                <w:attr w:name="SourceValue" w:val="90"/>
                <w:attr w:name="UnitName" w:val="℃"/>
              </w:smartTagPr>
              <w:r w:rsidRPr="00687B52">
                <w:rPr>
                  <w:rFonts w:ascii="宋体" w:eastAsia="宋体" w:hAnsi="宋体" w:cs="Times New Roman"/>
                  <w:color w:val="000000" w:themeColor="text1"/>
                </w:rPr>
                <w:t>90</w:t>
              </w:r>
              <w:r w:rsidRPr="00687B52">
                <w:rPr>
                  <w:rFonts w:ascii="宋体" w:eastAsia="宋体" w:hAnsi="宋体" w:cs="宋体" w:hint="eastAsia"/>
                  <w:color w:val="000000" w:themeColor="text1"/>
                </w:rPr>
                <w:t>℃</w:t>
              </w:r>
            </w:smartTag>
            <w:r w:rsidRPr="00687B52">
              <w:rPr>
                <w:rFonts w:ascii="宋体" w:eastAsia="宋体" w:hAnsi="宋体" w:cs="Times New Roman"/>
                <w:color w:val="000000" w:themeColor="text1"/>
              </w:rPr>
              <w:t>的丙类可燃液体的浮顶罐及浮盘为非易熔材料的内浮顶罐：单罐容积等于或大于</w:t>
            </w:r>
            <w:smartTag w:uri="urn:schemas-microsoft-com:office:smarttags" w:element="chmetcnv">
              <w:smartTagPr>
                <w:attr w:name="TCSC" w:val="0"/>
                <w:attr w:name="NumberType" w:val="1"/>
                <w:attr w:name="Negative" w:val="False"/>
                <w:attr w:name="HasSpace" w:val="False"/>
                <w:attr w:name="SourceValue" w:val="50000"/>
                <w:attr w:name="UnitName" w:val="m3"/>
              </w:smartTagPr>
              <w:r w:rsidRPr="00687B52">
                <w:rPr>
                  <w:rFonts w:ascii="宋体" w:eastAsia="宋体" w:hAnsi="宋体" w:cs="Times New Roman"/>
                  <w:color w:val="000000" w:themeColor="text1"/>
                </w:rPr>
                <w:t>50000m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的非水溶性可燃液体储罐；</w:t>
            </w:r>
          </w:p>
          <w:p w:rsidR="000C2455" w:rsidRPr="00687B52" w:rsidRDefault="000C2455" w:rsidP="00D9787F">
            <w:pPr>
              <w:pStyle w:val="Default"/>
              <w:numPr>
                <w:ilvl w:val="0"/>
                <w:numId w:val="19"/>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移动消防设施不能进行有效保护的可燃液体储罐。</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第8.7.2</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下列场所可采用移动式泡沫灭火系统：</w:t>
            </w:r>
          </w:p>
          <w:p w:rsidR="000C2455" w:rsidRPr="00687B52" w:rsidRDefault="000C2455" w:rsidP="00D9787F">
            <w:pPr>
              <w:pStyle w:val="Default"/>
              <w:numPr>
                <w:ilvl w:val="0"/>
                <w:numId w:val="20"/>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罐壁高度小于</w:t>
            </w:r>
            <w:smartTag w:uri="urn:schemas-microsoft-com:office:smarttags" w:element="chmetcnv">
              <w:smartTagPr>
                <w:attr w:name="UnitName" w:val="m"/>
                <w:attr w:name="SourceValue" w:val="7"/>
                <w:attr w:name="HasSpace" w:val="False"/>
                <w:attr w:name="Negative" w:val="False"/>
                <w:attr w:name="NumberType" w:val="1"/>
                <w:attr w:name="TCSC" w:val="0"/>
              </w:smartTagPr>
              <w:r w:rsidRPr="00687B52">
                <w:rPr>
                  <w:rFonts w:ascii="宋体" w:eastAsia="宋体" w:hAnsi="宋体" w:cs="Times New Roman"/>
                  <w:color w:val="000000" w:themeColor="text1"/>
                </w:rPr>
                <w:t>7m</w:t>
              </w:r>
            </w:smartTag>
            <w:r w:rsidRPr="00687B52">
              <w:rPr>
                <w:rFonts w:ascii="宋体" w:eastAsia="宋体" w:hAnsi="宋体" w:cs="Times New Roman"/>
                <w:color w:val="000000" w:themeColor="text1"/>
              </w:rPr>
              <w:t>或容积等于或小于</w:t>
            </w:r>
            <w:smartTag w:uri="urn:schemas-microsoft-com:office:smarttags" w:element="chmetcnv">
              <w:smartTagPr>
                <w:attr w:name="UnitName" w:val="m3"/>
                <w:attr w:name="SourceValue" w:val="200"/>
                <w:attr w:name="HasSpace" w:val="False"/>
                <w:attr w:name="Negative" w:val="False"/>
                <w:attr w:name="NumberType" w:val="1"/>
                <w:attr w:name="TCSC" w:val="0"/>
              </w:smartTagPr>
              <w:r w:rsidRPr="00687B52">
                <w:rPr>
                  <w:rFonts w:ascii="宋体" w:eastAsia="宋体" w:hAnsi="宋体" w:cs="Times New Roman"/>
                  <w:color w:val="000000" w:themeColor="text1"/>
                </w:rPr>
                <w:t>200m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的非水溶性可燃液体储罐；</w:t>
            </w:r>
          </w:p>
          <w:p w:rsidR="000C2455" w:rsidRPr="00687B52" w:rsidRDefault="000C2455" w:rsidP="00D9787F">
            <w:pPr>
              <w:pStyle w:val="Default"/>
              <w:numPr>
                <w:ilvl w:val="0"/>
                <w:numId w:val="20"/>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润滑油储罐；</w:t>
            </w:r>
          </w:p>
          <w:p w:rsidR="000C2455" w:rsidRPr="00687B52" w:rsidRDefault="000C2455" w:rsidP="00D9787F">
            <w:pPr>
              <w:pStyle w:val="Default"/>
              <w:numPr>
                <w:ilvl w:val="0"/>
                <w:numId w:val="20"/>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可燃液体地面流淌火灾、油池火灾。</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第8.7.3</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灭火蒸汽管应从主管上方引出，蒸汽压力不宜大于1MPa。</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第8.8.2</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半固定式灭火蒸汽快速接头（简称半固定式接头）的公称直径应为</w:t>
            </w:r>
            <w:smartTag w:uri="urn:schemas-microsoft-com:office:smarttags" w:element="chmetcnv">
              <w:smartTagPr>
                <w:attr w:name="UnitName" w:val="mm"/>
                <w:attr w:name="SourceValue" w:val="20"/>
                <w:attr w:name="HasSpace" w:val="False"/>
                <w:attr w:name="Negative" w:val="False"/>
                <w:attr w:name="NumberType" w:val="1"/>
                <w:attr w:name="TCSC" w:val="0"/>
              </w:smartTagPr>
              <w:r w:rsidRPr="00687B52">
                <w:rPr>
                  <w:rFonts w:ascii="宋体" w:eastAsia="宋体" w:hAnsi="宋体" w:cs="Times New Roman"/>
                  <w:color w:val="000000" w:themeColor="text1"/>
                </w:rPr>
                <w:t>20mm</w:t>
              </w:r>
            </w:smartTag>
            <w:r w:rsidRPr="00687B52">
              <w:rPr>
                <w:rFonts w:ascii="宋体" w:eastAsia="宋体" w:hAnsi="宋体" w:cs="Times New Roman"/>
                <w:color w:val="000000" w:themeColor="text1"/>
              </w:rPr>
              <w:t>；与其连接的耐热胶管长度宜为15～</w:t>
            </w:r>
            <w:smartTag w:uri="urn:schemas-microsoft-com:office:smarttags" w:element="chmetcnv">
              <w:smartTagPr>
                <w:attr w:name="UnitName" w:val="m"/>
                <w:attr w:name="SourceValue" w:val="20"/>
                <w:attr w:name="HasSpace" w:val="False"/>
                <w:attr w:name="Negative" w:val="False"/>
                <w:attr w:name="NumberType" w:val="1"/>
                <w:attr w:name="TCSC" w:val="0"/>
              </w:smartTagPr>
              <w:r w:rsidRPr="00687B52">
                <w:rPr>
                  <w:rFonts w:ascii="宋体" w:eastAsia="宋体" w:hAnsi="宋体" w:cs="Times New Roman"/>
                  <w:color w:val="000000" w:themeColor="text1"/>
                </w:rPr>
                <w:t>20m</w:t>
              </w:r>
            </w:smartTag>
            <w:r w:rsidRPr="00687B52">
              <w:rPr>
                <w:rFonts w:ascii="宋体" w:eastAsia="宋体" w:hAnsi="宋体" w:cs="Times New Roman"/>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第8.8.3</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生产区内宜设置干粉型或泡沫型灭火器，控制室、机柜间、计算机室、电信站、化验室</w:t>
            </w:r>
            <w:r w:rsidRPr="00687B52">
              <w:rPr>
                <w:rFonts w:ascii="宋体" w:eastAsia="宋体" w:hAnsi="宋体" w:cs="Times New Roman"/>
                <w:color w:val="000000" w:themeColor="text1"/>
              </w:rPr>
              <w:lastRenderedPageBreak/>
              <w:t>等宜设置气体型灭火器。</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第8.9.1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生产区内设置的单个灭火器的规格宜按</w:t>
            </w:r>
            <w:r w:rsidRPr="00687B52">
              <w:rPr>
                <w:rFonts w:ascii="宋体" w:eastAsia="宋体" w:hAnsi="宋体" w:cs="Times New Roman" w:hint="eastAsia"/>
                <w:color w:val="000000" w:themeColor="text1"/>
              </w:rPr>
              <w:t>表8.9.2</w:t>
            </w:r>
            <w:r w:rsidRPr="00687B52">
              <w:rPr>
                <w:rFonts w:ascii="宋体" w:eastAsia="宋体" w:hAnsi="宋体" w:cs="Times New Roman"/>
                <w:color w:val="000000" w:themeColor="text1"/>
              </w:rPr>
              <w:t>选用。</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第8.9.2</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工艺装置内手提式干粉型灭火器的选型及配置应符合下列规定：</w:t>
            </w:r>
          </w:p>
          <w:p w:rsidR="000C2455" w:rsidRPr="00687B52" w:rsidRDefault="000C2455" w:rsidP="00D9787F">
            <w:pPr>
              <w:pStyle w:val="Default"/>
              <w:numPr>
                <w:ilvl w:val="0"/>
                <w:numId w:val="21"/>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扑救可燃气体、可燃液体火灾宜选用钠盐干粉灭火剂，扑救可燃固体表面火灾应采用磷酸铵盐干粉灭火剂，扑救烷基铝类火灾宜采用D类干粉灭火剂。</w:t>
            </w:r>
          </w:p>
          <w:p w:rsidR="000C2455" w:rsidRPr="00687B52" w:rsidRDefault="000C2455" w:rsidP="00D9787F">
            <w:pPr>
              <w:pStyle w:val="Default"/>
              <w:numPr>
                <w:ilvl w:val="0"/>
                <w:numId w:val="21"/>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甲类装置灭火器的最大保护距离不宜超过</w:t>
            </w:r>
            <w:smartTag w:uri="urn:schemas-microsoft-com:office:smarttags" w:element="chmetcnv">
              <w:smartTagPr>
                <w:attr w:name="UnitName" w:val="m"/>
                <w:attr w:name="SourceValue" w:val="9"/>
                <w:attr w:name="HasSpace" w:val="False"/>
                <w:attr w:name="Negative" w:val="False"/>
                <w:attr w:name="NumberType" w:val="1"/>
                <w:attr w:name="TCSC" w:val="0"/>
              </w:smartTagPr>
              <w:r w:rsidRPr="00687B52">
                <w:rPr>
                  <w:rFonts w:ascii="宋体" w:eastAsia="宋体" w:hAnsi="宋体" w:cs="Times New Roman"/>
                  <w:color w:val="000000" w:themeColor="text1"/>
                </w:rPr>
                <w:t>9m</w:t>
              </w:r>
            </w:smartTag>
            <w:r w:rsidRPr="00687B52">
              <w:rPr>
                <w:rFonts w:ascii="宋体" w:eastAsia="宋体" w:hAnsi="宋体" w:cs="Times New Roman"/>
                <w:color w:val="000000" w:themeColor="text1"/>
              </w:rPr>
              <w:t>，乙、丙类装置不宜超过</w:t>
            </w:r>
            <w:smartTag w:uri="urn:schemas-microsoft-com:office:smarttags" w:element="chmetcnv">
              <w:smartTagPr>
                <w:attr w:name="UnitName" w:val="m"/>
                <w:attr w:name="SourceValue" w:val="12"/>
                <w:attr w:name="HasSpace" w:val="False"/>
                <w:attr w:name="Negative" w:val="False"/>
                <w:attr w:name="NumberType" w:val="1"/>
                <w:attr w:name="TCSC" w:val="0"/>
              </w:smartTagPr>
              <w:r w:rsidRPr="00687B52">
                <w:rPr>
                  <w:rFonts w:ascii="宋体" w:eastAsia="宋体" w:hAnsi="宋体" w:cs="Times New Roman"/>
                  <w:color w:val="000000" w:themeColor="text1"/>
                </w:rPr>
                <w:t>12m</w:t>
              </w:r>
            </w:smartTag>
            <w:r w:rsidRPr="00687B52">
              <w:rPr>
                <w:rFonts w:ascii="宋体" w:eastAsia="宋体" w:hAnsi="宋体" w:cs="Times New Roman"/>
                <w:color w:val="000000" w:themeColor="text1"/>
              </w:rPr>
              <w:t>；</w:t>
            </w:r>
          </w:p>
          <w:p w:rsidR="000C2455" w:rsidRPr="00687B52" w:rsidRDefault="000C2455" w:rsidP="00D9787F">
            <w:pPr>
              <w:pStyle w:val="Default"/>
              <w:numPr>
                <w:ilvl w:val="0"/>
                <w:numId w:val="21"/>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每一配置点的灭火器数量不应少于两个，多层构架应分层配置；</w:t>
            </w:r>
          </w:p>
          <w:p w:rsidR="000C2455" w:rsidRPr="00687B52" w:rsidRDefault="000C2455" w:rsidP="00D9787F">
            <w:pPr>
              <w:pStyle w:val="Default"/>
              <w:numPr>
                <w:ilvl w:val="0"/>
                <w:numId w:val="21"/>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危险的重要场所宜增设推车式灭火器。</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第8.9.3</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可燃气体、液化烃和可燃液体的铁路装卸栈台应沿栈台每</w:t>
            </w:r>
            <w:smartTag w:uri="urn:schemas-microsoft-com:office:smarttags" w:element="chmetcnv">
              <w:smartTagPr>
                <w:attr w:name="UnitName" w:val="m"/>
                <w:attr w:name="SourceValue" w:val="12"/>
                <w:attr w:name="HasSpace" w:val="False"/>
                <w:attr w:name="Negative" w:val="False"/>
                <w:attr w:name="NumberType" w:val="1"/>
                <w:attr w:name="TCSC" w:val="0"/>
              </w:smartTagPr>
              <w:r w:rsidRPr="00687B52">
                <w:rPr>
                  <w:rFonts w:ascii="宋体" w:eastAsia="宋体" w:hAnsi="宋体" w:cs="Times New Roman"/>
                  <w:color w:val="000000" w:themeColor="text1"/>
                </w:rPr>
                <w:t>12m</w:t>
              </w:r>
            </w:smartTag>
            <w:r w:rsidRPr="00687B52">
              <w:rPr>
                <w:rFonts w:ascii="宋体" w:eastAsia="宋体" w:hAnsi="宋体" w:cs="Times New Roman"/>
                <w:color w:val="000000" w:themeColor="text1"/>
              </w:rPr>
              <w:t>处上下各分别设置二个手提式干粉型灭火器。</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第8.9.4</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可燃气体、液化烃和可燃液体的地上罐组宜按防火堤内面积每</w:t>
            </w:r>
            <w:smartTag w:uri="urn:schemas-microsoft-com:office:smarttags" w:element="chmetcnv">
              <w:smartTagPr>
                <w:attr w:name="UnitName" w:val="m2"/>
                <w:attr w:name="SourceValue" w:val="400"/>
                <w:attr w:name="HasSpace" w:val="False"/>
                <w:attr w:name="Negative" w:val="False"/>
                <w:attr w:name="NumberType" w:val="1"/>
                <w:attr w:name="TCSC" w:val="0"/>
              </w:smartTagPr>
              <w:r w:rsidRPr="00687B52">
                <w:rPr>
                  <w:rFonts w:ascii="宋体" w:eastAsia="宋体" w:hAnsi="宋体" w:cs="Times New Roman"/>
                  <w:color w:val="000000" w:themeColor="text1"/>
                </w:rPr>
                <w:t>400m</w:t>
              </w:r>
              <w:r w:rsidRPr="00687B52">
                <w:rPr>
                  <w:rFonts w:ascii="宋体" w:eastAsia="宋体" w:hAnsi="宋体" w:cs="Times New Roman"/>
                  <w:color w:val="000000" w:themeColor="text1"/>
                  <w:vertAlign w:val="superscript"/>
                </w:rPr>
                <w:t>2</w:t>
              </w:r>
            </w:smartTag>
            <w:r w:rsidRPr="00687B52">
              <w:rPr>
                <w:rFonts w:ascii="宋体" w:eastAsia="宋体" w:hAnsi="宋体" w:cs="Times New Roman"/>
                <w:color w:val="000000" w:themeColor="text1"/>
              </w:rPr>
              <w:t>配置一个手提式灭火器，但每个储罐配置的数量不宜超过3个。</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第8.9.5</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液化烃罐区应设置消防冷却水系统，并应配置移动式干粉等灭火设施。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第8.10.1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全压力式及半冷冻式液化烃储罐采用的消防设施应符合下列规定：</w:t>
            </w:r>
          </w:p>
          <w:p w:rsidR="000C2455" w:rsidRPr="00687B52" w:rsidRDefault="000C2455" w:rsidP="00D9787F">
            <w:pPr>
              <w:pStyle w:val="Default"/>
              <w:numPr>
                <w:ilvl w:val="0"/>
                <w:numId w:val="22"/>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当单罐容积等于或大于</w:t>
            </w:r>
            <w:smartTag w:uri="urn:schemas-microsoft-com:office:smarttags" w:element="chmetcnv">
              <w:smartTagPr>
                <w:attr w:name="UnitName" w:val="m3"/>
                <w:attr w:name="SourceValue" w:val="1000"/>
                <w:attr w:name="HasSpace" w:val="False"/>
                <w:attr w:name="Negative" w:val="False"/>
                <w:attr w:name="NumberType" w:val="1"/>
                <w:attr w:name="TCSC" w:val="0"/>
              </w:smartTagPr>
              <w:r w:rsidRPr="00687B52">
                <w:rPr>
                  <w:rFonts w:ascii="宋体" w:eastAsia="宋体" w:hAnsi="宋体" w:cs="Times New Roman"/>
                  <w:color w:val="000000" w:themeColor="text1"/>
                </w:rPr>
                <w:t>1000m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时，应采用固定式水喷雾（水喷淋）系统及移动消防冷却水系统；</w:t>
            </w:r>
          </w:p>
          <w:p w:rsidR="000C2455" w:rsidRPr="00687B52" w:rsidRDefault="000C2455" w:rsidP="00D9787F">
            <w:pPr>
              <w:pStyle w:val="Default"/>
              <w:numPr>
                <w:ilvl w:val="0"/>
                <w:numId w:val="22"/>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当单罐容积大于</w:t>
            </w:r>
            <w:smartTag w:uri="urn:schemas-microsoft-com:office:smarttags" w:element="chmetcnv">
              <w:smartTagPr>
                <w:attr w:name="UnitName" w:val="m3"/>
                <w:attr w:name="SourceValue" w:val="100"/>
                <w:attr w:name="HasSpace" w:val="False"/>
                <w:attr w:name="Negative" w:val="False"/>
                <w:attr w:name="NumberType" w:val="1"/>
                <w:attr w:name="TCSC" w:val="0"/>
              </w:smartTagPr>
              <w:r w:rsidRPr="00687B52">
                <w:rPr>
                  <w:rFonts w:ascii="宋体" w:eastAsia="宋体" w:hAnsi="宋体" w:cs="Times New Roman"/>
                  <w:color w:val="000000" w:themeColor="text1"/>
                </w:rPr>
                <w:t>100m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，且小于</w:t>
            </w:r>
            <w:smartTag w:uri="urn:schemas-microsoft-com:office:smarttags" w:element="chmetcnv">
              <w:smartTagPr>
                <w:attr w:name="UnitName" w:val="m3"/>
                <w:attr w:name="SourceValue" w:val="1000"/>
                <w:attr w:name="HasSpace" w:val="False"/>
                <w:attr w:name="Negative" w:val="False"/>
                <w:attr w:name="NumberType" w:val="1"/>
                <w:attr w:name="TCSC" w:val="0"/>
              </w:smartTagPr>
              <w:r w:rsidRPr="00687B52">
                <w:rPr>
                  <w:rFonts w:ascii="宋体" w:eastAsia="宋体" w:hAnsi="宋体" w:cs="Times New Roman"/>
                  <w:color w:val="000000" w:themeColor="text1"/>
                </w:rPr>
                <w:t>1000m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时，应采用固定式水喷雾（水喷淋）系统或固定式水炮及移动式消防冷却系统。当采用固定式水炮作为固定消防冷却设施时，其冷却用水量不宜小于水量计算值的1.3倍，消防水炮保护范围应覆盖每个液化烃罐；</w:t>
            </w:r>
          </w:p>
          <w:p w:rsidR="000C2455" w:rsidRPr="00687B52" w:rsidRDefault="000C2455" w:rsidP="00D9787F">
            <w:pPr>
              <w:pStyle w:val="Default"/>
              <w:numPr>
                <w:ilvl w:val="0"/>
                <w:numId w:val="22"/>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当单罐容积小于或等于</w:t>
            </w:r>
            <w:smartTag w:uri="urn:schemas-microsoft-com:office:smarttags" w:element="chmetcnv">
              <w:smartTagPr>
                <w:attr w:name="UnitName" w:val="m3"/>
                <w:attr w:name="SourceValue" w:val="100"/>
                <w:attr w:name="HasSpace" w:val="False"/>
                <w:attr w:name="Negative" w:val="False"/>
                <w:attr w:name="NumberType" w:val="1"/>
                <w:attr w:name="TCSC" w:val="0"/>
              </w:smartTagPr>
              <w:r w:rsidRPr="00687B52">
                <w:rPr>
                  <w:rFonts w:ascii="宋体" w:eastAsia="宋体" w:hAnsi="宋体" w:cs="Times New Roman"/>
                  <w:color w:val="000000" w:themeColor="text1"/>
                </w:rPr>
                <w:t>100m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时，可采用移动式消防冷却水系统，其罐区消防冷却用水量不得低于</w:t>
            </w:r>
            <w:smartTag w:uri="urn:schemas-microsoft-com:office:smarttags" w:element="chmetcnv">
              <w:smartTagPr>
                <w:attr w:name="UnitName" w:val="l"/>
                <w:attr w:name="SourceValue" w:val="100"/>
                <w:attr w:name="HasSpace" w:val="False"/>
                <w:attr w:name="Negative" w:val="False"/>
                <w:attr w:name="NumberType" w:val="1"/>
                <w:attr w:name="TCSC" w:val="0"/>
              </w:smartTagPr>
              <w:r w:rsidRPr="00687B52">
                <w:rPr>
                  <w:rFonts w:ascii="宋体" w:eastAsia="宋体" w:hAnsi="宋体" w:cs="Times New Roman"/>
                  <w:color w:val="000000" w:themeColor="text1"/>
                </w:rPr>
                <w:t>100L</w:t>
              </w:r>
            </w:smartTag>
            <w:r w:rsidRPr="00687B52">
              <w:rPr>
                <w:rFonts w:ascii="宋体" w:eastAsia="宋体" w:hAnsi="宋体" w:cs="Times New Roman"/>
                <w:color w:val="000000" w:themeColor="text1"/>
              </w:rPr>
              <w:t>/s。</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第8.10.2</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全压力式、半冷冻式液化烃储罐固定式消防冷却水管道的设置应符合下列规定：</w:t>
            </w:r>
          </w:p>
          <w:p w:rsidR="000C2455" w:rsidRPr="00687B52" w:rsidRDefault="000C2455" w:rsidP="00D9787F">
            <w:pPr>
              <w:pStyle w:val="Default"/>
              <w:numPr>
                <w:ilvl w:val="0"/>
                <w:numId w:val="23"/>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储罐容积大于</w:t>
            </w:r>
            <w:smartTag w:uri="urn:schemas-microsoft-com:office:smarttags" w:element="chmetcnv">
              <w:smartTagPr>
                <w:attr w:name="UnitName" w:val="m3"/>
                <w:attr w:name="SourceValue" w:val="400"/>
                <w:attr w:name="HasSpace" w:val="False"/>
                <w:attr w:name="Negative" w:val="False"/>
                <w:attr w:name="NumberType" w:val="1"/>
                <w:attr w:name="TCSC" w:val="0"/>
              </w:smartTagPr>
              <w:r w:rsidRPr="00687B52">
                <w:rPr>
                  <w:rFonts w:ascii="宋体" w:eastAsia="宋体" w:hAnsi="宋体" w:cs="Times New Roman"/>
                  <w:color w:val="000000" w:themeColor="text1"/>
                </w:rPr>
                <w:t>400m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时，供水竖管应采用两条，并对称布置。采用固定水喷雾系统时，罐体管道设置宜分为上半球和下半球两个独立供水系统。</w:t>
            </w:r>
          </w:p>
          <w:p w:rsidR="000C2455" w:rsidRPr="00687B52" w:rsidRDefault="000C2455" w:rsidP="00D9787F">
            <w:pPr>
              <w:pStyle w:val="Default"/>
              <w:numPr>
                <w:ilvl w:val="0"/>
                <w:numId w:val="23"/>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消防冷却水系统可采用手动或遥控控制</w:t>
            </w:r>
            <w:r w:rsidRPr="00687B52">
              <w:rPr>
                <w:rFonts w:ascii="宋体" w:eastAsia="宋体" w:hAnsi="宋体" w:cs="Times New Roman"/>
                <w:color w:val="000000" w:themeColor="text1"/>
              </w:rPr>
              <w:lastRenderedPageBreak/>
              <w:t>阀，当储罐容积等于或大于</w:t>
            </w:r>
            <w:smartTag w:uri="urn:schemas-microsoft-com:office:smarttags" w:element="chmetcnv">
              <w:smartTagPr>
                <w:attr w:name="UnitName" w:val="m3"/>
                <w:attr w:name="SourceValue" w:val="1000"/>
                <w:attr w:name="HasSpace" w:val="False"/>
                <w:attr w:name="Negative" w:val="False"/>
                <w:attr w:name="NumberType" w:val="1"/>
                <w:attr w:name="TCSC" w:val="0"/>
              </w:smartTagPr>
              <w:r w:rsidRPr="00687B52">
                <w:rPr>
                  <w:rFonts w:ascii="宋体" w:eastAsia="宋体" w:hAnsi="宋体" w:cs="Times New Roman"/>
                  <w:color w:val="000000" w:themeColor="text1"/>
                </w:rPr>
                <w:t>1000m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时，应采用遥控控制阀；</w:t>
            </w:r>
          </w:p>
          <w:p w:rsidR="000C2455" w:rsidRPr="00687B52" w:rsidRDefault="000C2455" w:rsidP="00D9787F">
            <w:pPr>
              <w:pStyle w:val="Default"/>
              <w:numPr>
                <w:ilvl w:val="0"/>
                <w:numId w:val="23"/>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控制阀应设在防火堤外，距被保护罐壁不宜小于</w:t>
            </w:r>
            <w:smartTag w:uri="urn:schemas-microsoft-com:office:smarttags" w:element="chmetcnv">
              <w:smartTagPr>
                <w:attr w:name="UnitName" w:val="m"/>
                <w:attr w:name="SourceValue" w:val="15"/>
                <w:attr w:name="HasSpace" w:val="False"/>
                <w:attr w:name="Negative" w:val="False"/>
                <w:attr w:name="NumberType" w:val="1"/>
                <w:attr w:name="TCSC" w:val="0"/>
              </w:smartTagPr>
              <w:r w:rsidRPr="00687B52">
                <w:rPr>
                  <w:rFonts w:ascii="宋体" w:eastAsia="宋体" w:hAnsi="宋体" w:cs="Times New Roman"/>
                  <w:color w:val="000000" w:themeColor="text1"/>
                </w:rPr>
                <w:t>15m</w:t>
              </w:r>
            </w:smartTag>
            <w:r w:rsidRPr="00687B52">
              <w:rPr>
                <w:rFonts w:ascii="宋体" w:eastAsia="宋体" w:hAnsi="宋体" w:cs="Times New Roman"/>
                <w:color w:val="000000" w:themeColor="text1"/>
              </w:rPr>
              <w:t>；</w:t>
            </w:r>
          </w:p>
          <w:p w:rsidR="000C2455" w:rsidRPr="00687B52" w:rsidRDefault="000C2455" w:rsidP="00D9787F">
            <w:pPr>
              <w:pStyle w:val="Default"/>
              <w:numPr>
                <w:ilvl w:val="0"/>
                <w:numId w:val="23"/>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控制阀前应设置带旁通阀的过滤器，控制阀后及储罐上设置的管道，应采用镀锌管。</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第8.10.10</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室内消火栓的设置应符合下列要求：</w:t>
            </w:r>
          </w:p>
          <w:p w:rsidR="000C2455" w:rsidRPr="00687B52" w:rsidRDefault="000C2455" w:rsidP="00D9787F">
            <w:pPr>
              <w:pStyle w:val="Default"/>
              <w:numPr>
                <w:ilvl w:val="0"/>
                <w:numId w:val="24"/>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甲、乙、丙类厂房（仓库）、高层厂房及高架仓库应在各层设置室内消火栓，当单层厂房长度小于</w:t>
            </w:r>
            <w:smartTag w:uri="urn:schemas-microsoft-com:office:smarttags" w:element="chmetcnv">
              <w:smartTagPr>
                <w:attr w:name="UnitName" w:val="m"/>
                <w:attr w:name="SourceValue" w:val="30"/>
                <w:attr w:name="HasSpace" w:val="False"/>
                <w:attr w:name="Negative" w:val="False"/>
                <w:attr w:name="NumberType" w:val="1"/>
                <w:attr w:name="TCSC" w:val="0"/>
              </w:smartTagPr>
              <w:r w:rsidRPr="00687B52">
                <w:rPr>
                  <w:rFonts w:ascii="宋体" w:eastAsia="宋体" w:hAnsi="宋体" w:cs="Times New Roman"/>
                  <w:color w:val="000000" w:themeColor="text1"/>
                </w:rPr>
                <w:t>30m</w:t>
              </w:r>
            </w:smartTag>
            <w:r w:rsidRPr="00687B52">
              <w:rPr>
                <w:rFonts w:ascii="宋体" w:eastAsia="宋体" w:hAnsi="宋体" w:cs="Times New Roman"/>
                <w:color w:val="000000" w:themeColor="text1"/>
              </w:rPr>
              <w:t>时，可不设；</w:t>
            </w:r>
          </w:p>
          <w:p w:rsidR="000C2455" w:rsidRPr="00687B52" w:rsidRDefault="000C2455" w:rsidP="00D9787F">
            <w:pPr>
              <w:pStyle w:val="Default"/>
              <w:numPr>
                <w:ilvl w:val="0"/>
                <w:numId w:val="24"/>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甲、乙类厂房（仓库）、高层厂房及高架仓库的室内消火栓间距不应超过</w:t>
            </w:r>
            <w:smartTag w:uri="urn:schemas-microsoft-com:office:smarttags" w:element="chmetcnv">
              <w:smartTagPr>
                <w:attr w:name="UnitName" w:val="m"/>
                <w:attr w:name="SourceValue" w:val="30"/>
                <w:attr w:name="HasSpace" w:val="False"/>
                <w:attr w:name="Negative" w:val="False"/>
                <w:attr w:name="NumberType" w:val="1"/>
                <w:attr w:name="TCSC" w:val="0"/>
              </w:smartTagPr>
              <w:r w:rsidRPr="00687B52">
                <w:rPr>
                  <w:rFonts w:ascii="宋体" w:eastAsia="宋体" w:hAnsi="宋体" w:cs="Times New Roman"/>
                  <w:color w:val="000000" w:themeColor="text1"/>
                </w:rPr>
                <w:t>30m</w:t>
              </w:r>
            </w:smartTag>
            <w:r w:rsidRPr="00687B52">
              <w:rPr>
                <w:rFonts w:ascii="宋体" w:eastAsia="宋体" w:hAnsi="宋体" w:cs="Times New Roman"/>
                <w:color w:val="000000" w:themeColor="text1"/>
              </w:rPr>
              <w:t>，其他建筑物的室内消火栓间距不应超过</w:t>
            </w:r>
            <w:smartTag w:uri="urn:schemas-microsoft-com:office:smarttags" w:element="chmetcnv">
              <w:smartTagPr>
                <w:attr w:name="UnitName" w:val="m"/>
                <w:attr w:name="SourceValue" w:val="50"/>
                <w:attr w:name="HasSpace" w:val="False"/>
                <w:attr w:name="Negative" w:val="False"/>
                <w:attr w:name="NumberType" w:val="1"/>
                <w:attr w:name="TCSC" w:val="0"/>
              </w:smartTagPr>
              <w:r w:rsidRPr="00687B52">
                <w:rPr>
                  <w:rFonts w:ascii="宋体" w:eastAsia="宋体" w:hAnsi="宋体" w:cs="Times New Roman"/>
                  <w:color w:val="000000" w:themeColor="text1"/>
                </w:rPr>
                <w:t>50m</w:t>
              </w:r>
            </w:smartTag>
            <w:r w:rsidRPr="00687B52">
              <w:rPr>
                <w:rFonts w:ascii="宋体" w:eastAsia="宋体" w:hAnsi="宋体" w:cs="Times New Roman"/>
                <w:color w:val="000000" w:themeColor="text1"/>
              </w:rPr>
              <w:t>；</w:t>
            </w:r>
          </w:p>
          <w:p w:rsidR="000C2455" w:rsidRPr="00687B52" w:rsidRDefault="000C2455" w:rsidP="00D9787F">
            <w:pPr>
              <w:pStyle w:val="Default"/>
              <w:numPr>
                <w:ilvl w:val="0"/>
                <w:numId w:val="24"/>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多层甲、乙类厂房和高层厂房应在楼梯间设置半固定式消防竖管，各层设置消防水带接口；消防竖管的管径不小于</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687B52">
                <w:rPr>
                  <w:rFonts w:ascii="宋体" w:eastAsia="宋体" w:hAnsi="宋体" w:cs="Times New Roman"/>
                  <w:color w:val="000000" w:themeColor="text1"/>
                </w:rPr>
                <w:t>100mm</w:t>
              </w:r>
            </w:smartTag>
            <w:r w:rsidRPr="00687B52">
              <w:rPr>
                <w:rFonts w:ascii="宋体" w:eastAsia="宋体" w:hAnsi="宋体" w:cs="Times New Roman"/>
                <w:color w:val="000000" w:themeColor="text1"/>
              </w:rPr>
              <w:t>，其接口应设在室外便于操作的地点；</w:t>
            </w:r>
          </w:p>
          <w:p w:rsidR="000C2455" w:rsidRPr="00687B52" w:rsidRDefault="000C2455" w:rsidP="00D9787F">
            <w:pPr>
              <w:pStyle w:val="Default"/>
              <w:numPr>
                <w:ilvl w:val="0"/>
                <w:numId w:val="24"/>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室内消火栓给水管网与自动喷水灭火系统的管网可引自同一消防给水系统，但应在报警阀前分开设置；</w:t>
            </w:r>
          </w:p>
          <w:p w:rsidR="000C2455" w:rsidRPr="00687B52" w:rsidRDefault="000C2455" w:rsidP="00D9787F">
            <w:pPr>
              <w:pStyle w:val="Default"/>
              <w:numPr>
                <w:ilvl w:val="0"/>
                <w:numId w:val="24"/>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消火栓配置的水枪应为直流-水雾两用</w:t>
            </w:r>
            <w:r w:rsidRPr="00687B52">
              <w:rPr>
                <w:rFonts w:ascii="宋体" w:eastAsia="宋体" w:hAnsi="宋体" w:cs="Times New Roman"/>
                <w:color w:val="000000" w:themeColor="text1"/>
              </w:rPr>
              <w:lastRenderedPageBreak/>
              <w:t>枪，当室内消火栓栓口处的压力大于0.50MPa时，应设置减压设施。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第8.11.2</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单层仓库的消防设计应符合下列规定：</w:t>
            </w:r>
          </w:p>
          <w:p w:rsidR="000C2455" w:rsidRPr="00687B52" w:rsidRDefault="000C2455" w:rsidP="00D9787F">
            <w:pPr>
              <w:pStyle w:val="Default"/>
              <w:numPr>
                <w:ilvl w:val="0"/>
                <w:numId w:val="25"/>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占地面积超过</w:t>
            </w:r>
            <w:smartTag w:uri="urn:schemas-microsoft-com:office:smarttags" w:element="chmetcnv">
              <w:smartTagPr>
                <w:attr w:name="UnitName" w:val="m2"/>
                <w:attr w:name="SourceValue" w:val="3000"/>
                <w:attr w:name="HasSpace" w:val="False"/>
                <w:attr w:name="Negative" w:val="False"/>
                <w:attr w:name="NumberType" w:val="1"/>
                <w:attr w:name="TCSC" w:val="0"/>
              </w:smartTagPr>
              <w:r w:rsidRPr="00687B52">
                <w:rPr>
                  <w:rFonts w:ascii="宋体" w:eastAsia="宋体" w:hAnsi="宋体" w:cs="Times New Roman"/>
                  <w:color w:val="000000" w:themeColor="text1"/>
                </w:rPr>
                <w:t>3000m</w:t>
              </w:r>
              <w:r w:rsidRPr="00687B52">
                <w:rPr>
                  <w:rFonts w:ascii="宋体" w:eastAsia="宋体" w:hAnsi="宋体" w:cs="Times New Roman"/>
                  <w:color w:val="000000" w:themeColor="text1"/>
                  <w:vertAlign w:val="superscript"/>
                </w:rPr>
                <w:t>2</w:t>
              </w:r>
            </w:smartTag>
            <w:r w:rsidRPr="00687B52">
              <w:rPr>
                <w:rFonts w:ascii="宋体" w:eastAsia="宋体" w:hAnsi="宋体" w:cs="Times New Roman"/>
                <w:color w:val="000000" w:themeColor="text1"/>
              </w:rPr>
              <w:t>的合成橡胶、合成树脂及塑料等产品的仓库及占地面积超过</w:t>
            </w:r>
            <w:smartTag w:uri="urn:schemas-microsoft-com:office:smarttags" w:element="chmetcnv">
              <w:smartTagPr>
                <w:attr w:name="UnitName" w:val="m2"/>
                <w:attr w:name="SourceValue" w:val="1000"/>
                <w:attr w:name="HasSpace" w:val="False"/>
                <w:attr w:name="Negative" w:val="False"/>
                <w:attr w:name="NumberType" w:val="1"/>
                <w:attr w:name="TCSC" w:val="0"/>
              </w:smartTagPr>
              <w:r w:rsidRPr="00687B52">
                <w:rPr>
                  <w:rFonts w:ascii="宋体" w:eastAsia="宋体" w:hAnsi="宋体" w:cs="Times New Roman"/>
                  <w:color w:val="000000" w:themeColor="text1"/>
                </w:rPr>
                <w:t>1000m</w:t>
              </w:r>
              <w:r w:rsidRPr="00687B52">
                <w:rPr>
                  <w:rFonts w:ascii="宋体" w:eastAsia="宋体" w:hAnsi="宋体" w:cs="Times New Roman"/>
                  <w:color w:val="000000" w:themeColor="text1"/>
                  <w:vertAlign w:val="superscript"/>
                </w:rPr>
                <w:t>2</w:t>
              </w:r>
            </w:smartTag>
            <w:r w:rsidRPr="00687B52">
              <w:rPr>
                <w:rFonts w:ascii="宋体" w:eastAsia="宋体" w:hAnsi="宋体" w:cs="Times New Roman"/>
                <w:color w:val="000000" w:themeColor="text1"/>
              </w:rPr>
              <w:t>的合成纤维仓库，应设自动喷水灭火系统且应由厂区稳高压消防给水系统供水；</w:t>
            </w:r>
          </w:p>
          <w:p w:rsidR="000C2455" w:rsidRPr="00687B52" w:rsidRDefault="000C2455" w:rsidP="00D9787F">
            <w:pPr>
              <w:pStyle w:val="Default"/>
              <w:numPr>
                <w:ilvl w:val="0"/>
                <w:numId w:val="25"/>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高架仓库的货架间运输通道宜设置遥控式高架水炮；</w:t>
            </w:r>
          </w:p>
          <w:p w:rsidR="000C2455" w:rsidRPr="00687B52" w:rsidRDefault="000C2455" w:rsidP="00D9787F">
            <w:pPr>
              <w:pStyle w:val="Default"/>
              <w:numPr>
                <w:ilvl w:val="0"/>
                <w:numId w:val="25"/>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应设置火灾自动报警系统；</w:t>
            </w:r>
          </w:p>
          <w:p w:rsidR="000C2455" w:rsidRPr="00687B52" w:rsidRDefault="000C2455" w:rsidP="00D9787F">
            <w:pPr>
              <w:pStyle w:val="Default"/>
              <w:numPr>
                <w:ilvl w:val="0"/>
                <w:numId w:val="25"/>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设有自动喷水灭火系统的仓库宜设置消防排水设施。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第8.11.4</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挤压造粒厂房的消防设计应满足下列要求：</w:t>
            </w:r>
          </w:p>
          <w:p w:rsidR="000C2455" w:rsidRPr="00687B52" w:rsidRDefault="000C2455" w:rsidP="00D9787F">
            <w:pPr>
              <w:pStyle w:val="Default"/>
              <w:numPr>
                <w:ilvl w:val="0"/>
                <w:numId w:val="26"/>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各层应设置室内消火栓，并应配置消防软管卷盘或轻便消防水龙；</w:t>
            </w:r>
          </w:p>
          <w:p w:rsidR="000C2455" w:rsidRPr="00687B52" w:rsidRDefault="000C2455" w:rsidP="00D9787F">
            <w:pPr>
              <w:pStyle w:val="Default"/>
              <w:numPr>
                <w:ilvl w:val="0"/>
                <w:numId w:val="26"/>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在楼梯间应设置室内消火栓系统，并在室外设置水泵结合器；</w:t>
            </w:r>
          </w:p>
          <w:p w:rsidR="000C2455" w:rsidRPr="00687B52" w:rsidRDefault="000C2455" w:rsidP="00D9787F">
            <w:pPr>
              <w:pStyle w:val="Default"/>
              <w:numPr>
                <w:ilvl w:val="0"/>
                <w:numId w:val="26"/>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应设置火灾自动报警系统；</w:t>
            </w:r>
          </w:p>
          <w:p w:rsidR="000C2455" w:rsidRPr="00687B52" w:rsidRDefault="000C2455" w:rsidP="00D9787F">
            <w:pPr>
              <w:pStyle w:val="Default"/>
              <w:numPr>
                <w:ilvl w:val="0"/>
                <w:numId w:val="26"/>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按照国家标准《建筑灭火器配置设计规范》（GB50140）的要求设置手提式和推车式干粉灭火器。</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第8.11.5</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烷基铝类催化剂配制区的消防设计应符合下</w:t>
            </w:r>
            <w:r w:rsidRPr="00687B52">
              <w:rPr>
                <w:rFonts w:ascii="宋体" w:eastAsia="宋体" w:hAnsi="宋体" w:cs="Times New Roman"/>
                <w:color w:val="000000" w:themeColor="text1"/>
              </w:rPr>
              <w:lastRenderedPageBreak/>
              <w:t>列规定：</w:t>
            </w:r>
          </w:p>
          <w:p w:rsidR="000C2455" w:rsidRPr="00687B52" w:rsidRDefault="000C2455" w:rsidP="00D9787F">
            <w:pPr>
              <w:pStyle w:val="Default"/>
              <w:numPr>
                <w:ilvl w:val="0"/>
                <w:numId w:val="27"/>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储罐应设置在有钢筋混凝土隔墙的独立半敞开式建筑物内，并宜设有烷基铝泄漏的收集设施；</w:t>
            </w:r>
          </w:p>
          <w:p w:rsidR="000C2455" w:rsidRPr="00687B52" w:rsidRDefault="000C2455" w:rsidP="00D9787F">
            <w:pPr>
              <w:pStyle w:val="Default"/>
              <w:numPr>
                <w:ilvl w:val="0"/>
                <w:numId w:val="27"/>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应设置火灾自动报警系统；</w:t>
            </w:r>
          </w:p>
          <w:p w:rsidR="000C2455" w:rsidRPr="00687B52" w:rsidRDefault="000C2455" w:rsidP="00D9787F">
            <w:pPr>
              <w:pStyle w:val="Default"/>
              <w:numPr>
                <w:ilvl w:val="0"/>
                <w:numId w:val="27"/>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配制区宜设置局部喷射式D类干粉灭火系统，其控制方式应采用手动遥控启动；</w:t>
            </w:r>
          </w:p>
          <w:p w:rsidR="000C2455" w:rsidRPr="00687B52" w:rsidRDefault="000C2455" w:rsidP="00D9787F">
            <w:pPr>
              <w:pStyle w:val="Default"/>
              <w:numPr>
                <w:ilvl w:val="0"/>
                <w:numId w:val="27"/>
              </w:numPr>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应配置干砂等灭火设施。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lastRenderedPageBreak/>
              <w:t>《石油化工企业设计防火规</w:t>
            </w:r>
            <w:r w:rsidRPr="00687B52">
              <w:rPr>
                <w:rFonts w:ascii="宋体" w:hAnsi="宋体"/>
                <w:color w:val="000000" w:themeColor="text1"/>
                <w:szCs w:val="24"/>
              </w:rPr>
              <w:lastRenderedPageBreak/>
              <w:t>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第8.11.6</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烷基铝类储存仓库应设置火灾自动报警系统，并配置干砂、蛭石、D类干粉灭火器等灭火设施。</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第8.11.7</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石油化工企业的生产区、公用及辅助生产设施、全厂性重要设施和区域性重要设施的火灾危险场所应设置火灾自动报警系统和火灾电话报警。</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第8.12.1</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甲、乙类装置区周围和罐组四周道路边应设置手动火灾报警按钮，其间距不宜大于</w:t>
            </w:r>
            <w:smartTag w:uri="urn:schemas-microsoft-com:office:smarttags" w:element="chmetcnv">
              <w:smartTagPr>
                <w:attr w:name="UnitName" w:val="m"/>
                <w:attr w:name="SourceValue" w:val="100"/>
                <w:attr w:name="HasSpace" w:val="False"/>
                <w:attr w:name="Negative" w:val="False"/>
                <w:attr w:name="NumberType" w:val="1"/>
                <w:attr w:name="TCSC" w:val="0"/>
              </w:smartTagPr>
              <w:r w:rsidRPr="00687B52">
                <w:rPr>
                  <w:rFonts w:ascii="宋体" w:eastAsia="宋体" w:hAnsi="宋体" w:cs="Times New Roman"/>
                  <w:color w:val="000000" w:themeColor="text1"/>
                </w:rPr>
                <w:t>100m</w:t>
              </w:r>
            </w:smartTag>
            <w:r w:rsidRPr="00687B52">
              <w:rPr>
                <w:rFonts w:ascii="宋体" w:eastAsia="宋体" w:hAnsi="宋体" w:cs="Times New Roman"/>
                <w:color w:val="000000" w:themeColor="text1"/>
              </w:rPr>
              <w:t>。</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第8.12.4</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r w:rsidR="000C2455" w:rsidRPr="00687B52" w:rsidTr="003E1D2A">
        <w:trPr>
          <w:jc w:val="center"/>
        </w:trPr>
        <w:tc>
          <w:tcPr>
            <w:tcW w:w="322" w:type="pct"/>
            <w:vAlign w:val="center"/>
          </w:tcPr>
          <w:p w:rsidR="000C2455" w:rsidRPr="00687B52" w:rsidRDefault="000C2455" w:rsidP="00D9787F">
            <w:pPr>
              <w:pStyle w:val="a7"/>
              <w:numPr>
                <w:ilvl w:val="0"/>
                <w:numId w:val="69"/>
              </w:numPr>
              <w:spacing w:line="360" w:lineRule="exact"/>
              <w:jc w:val="both"/>
              <w:rPr>
                <w:rFonts w:ascii="宋体" w:hAnsi="宋体"/>
                <w:color w:val="000000" w:themeColor="text1"/>
                <w:szCs w:val="24"/>
              </w:rPr>
            </w:pPr>
          </w:p>
        </w:tc>
        <w:tc>
          <w:tcPr>
            <w:tcW w:w="1818" w:type="pct"/>
            <w:vAlign w:val="center"/>
          </w:tcPr>
          <w:p w:rsidR="000C2455" w:rsidRPr="00687B52" w:rsidRDefault="000C2455" w:rsidP="003E1D2A">
            <w:pPr>
              <w:pStyle w:val="Default"/>
              <w:snapToGrid w:val="0"/>
              <w:spacing w:line="360" w:lineRule="exact"/>
              <w:rPr>
                <w:rFonts w:ascii="宋体" w:eastAsia="宋体" w:hAnsi="宋体" w:cs="Times New Roman"/>
                <w:color w:val="000000" w:themeColor="text1"/>
              </w:rPr>
            </w:pPr>
            <w:r w:rsidRPr="00687B52">
              <w:rPr>
                <w:rFonts w:ascii="宋体" w:eastAsia="宋体" w:hAnsi="宋体" w:cs="Times New Roman"/>
                <w:color w:val="000000" w:themeColor="text1"/>
              </w:rPr>
              <w:t>单罐容积大于或等于</w:t>
            </w:r>
            <w:smartTag w:uri="urn:schemas-microsoft-com:office:smarttags" w:element="chmetcnv">
              <w:smartTagPr>
                <w:attr w:name="UnitName" w:val="m3"/>
                <w:attr w:name="SourceValue" w:val="30000"/>
                <w:attr w:name="HasSpace" w:val="False"/>
                <w:attr w:name="Negative" w:val="False"/>
                <w:attr w:name="NumberType" w:val="1"/>
                <w:attr w:name="TCSC" w:val="0"/>
              </w:smartTagPr>
              <w:r w:rsidRPr="00687B52">
                <w:rPr>
                  <w:rFonts w:ascii="宋体" w:eastAsia="宋体" w:hAnsi="宋体" w:cs="Times New Roman"/>
                  <w:color w:val="000000" w:themeColor="text1"/>
                </w:rPr>
                <w:t>30000m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的浮顶罐的密封圈处应设置火灾自动报警系统；单罐容积大于或等于</w:t>
            </w:r>
            <w:smartTag w:uri="urn:schemas-microsoft-com:office:smarttags" w:element="chmetcnv">
              <w:smartTagPr>
                <w:attr w:name="UnitName" w:val="m3"/>
                <w:attr w:name="SourceValue" w:val="10000"/>
                <w:attr w:name="HasSpace" w:val="False"/>
                <w:attr w:name="Negative" w:val="False"/>
                <w:attr w:name="NumberType" w:val="1"/>
                <w:attr w:name="TCSC" w:val="0"/>
              </w:smartTagPr>
              <w:r w:rsidRPr="00687B52">
                <w:rPr>
                  <w:rFonts w:ascii="宋体" w:eastAsia="宋体" w:hAnsi="宋体" w:cs="Times New Roman"/>
                  <w:color w:val="000000" w:themeColor="text1"/>
                </w:rPr>
                <w:t>10000m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并小于</w:t>
            </w:r>
            <w:smartTag w:uri="urn:schemas-microsoft-com:office:smarttags" w:element="chmetcnv">
              <w:smartTagPr>
                <w:attr w:name="UnitName" w:val="m3"/>
                <w:attr w:name="SourceValue" w:val="30000"/>
                <w:attr w:name="HasSpace" w:val="False"/>
                <w:attr w:name="Negative" w:val="False"/>
                <w:attr w:name="NumberType" w:val="1"/>
                <w:attr w:name="TCSC" w:val="0"/>
              </w:smartTagPr>
              <w:r w:rsidRPr="00687B52">
                <w:rPr>
                  <w:rFonts w:ascii="宋体" w:eastAsia="宋体" w:hAnsi="宋体" w:cs="Times New Roman"/>
                  <w:color w:val="000000" w:themeColor="text1"/>
                </w:rPr>
                <w:t>30000m</w:t>
              </w:r>
              <w:r w:rsidRPr="00687B52">
                <w:rPr>
                  <w:rFonts w:ascii="宋体" w:eastAsia="宋体" w:hAnsi="宋体" w:cs="Times New Roman"/>
                  <w:color w:val="000000" w:themeColor="text1"/>
                  <w:vertAlign w:val="superscript"/>
                </w:rPr>
                <w:t>3</w:t>
              </w:r>
            </w:smartTag>
            <w:r w:rsidRPr="00687B52">
              <w:rPr>
                <w:rFonts w:ascii="宋体" w:eastAsia="宋体" w:hAnsi="宋体" w:cs="Times New Roman"/>
                <w:color w:val="000000" w:themeColor="text1"/>
              </w:rPr>
              <w:t>的浮顶罐的密封圈处宜设置火灾自动报警系统。</w:t>
            </w:r>
          </w:p>
        </w:tc>
        <w:tc>
          <w:tcPr>
            <w:tcW w:w="1218" w:type="pct"/>
            <w:vAlign w:val="center"/>
          </w:tcPr>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《石油化工企业设计防火规范》（GB50160-2008）</w:t>
            </w:r>
          </w:p>
          <w:p w:rsidR="000C2455" w:rsidRPr="00687B52" w:rsidRDefault="000C2455" w:rsidP="003E1D2A">
            <w:pPr>
              <w:pStyle w:val="a7"/>
              <w:spacing w:line="360" w:lineRule="exact"/>
              <w:rPr>
                <w:rFonts w:ascii="宋体" w:hAnsi="宋体"/>
                <w:color w:val="000000" w:themeColor="text1"/>
                <w:szCs w:val="24"/>
              </w:rPr>
            </w:pPr>
            <w:r w:rsidRPr="00687B52">
              <w:rPr>
                <w:rFonts w:ascii="宋体" w:hAnsi="宋体"/>
                <w:color w:val="000000" w:themeColor="text1"/>
                <w:szCs w:val="24"/>
              </w:rPr>
              <w:t>第8.12.5</w:t>
            </w:r>
          </w:p>
        </w:tc>
        <w:tc>
          <w:tcPr>
            <w:tcW w:w="1642" w:type="pct"/>
          </w:tcPr>
          <w:p w:rsidR="000C2455" w:rsidRPr="00687B52" w:rsidRDefault="000C2455" w:rsidP="003E1D2A">
            <w:pPr>
              <w:pStyle w:val="a7"/>
              <w:spacing w:line="360" w:lineRule="exact"/>
              <w:rPr>
                <w:rFonts w:ascii="宋体" w:hAnsi="宋体"/>
                <w:color w:val="000000" w:themeColor="text1"/>
                <w:szCs w:val="24"/>
              </w:rPr>
            </w:pPr>
          </w:p>
        </w:tc>
      </w:tr>
    </w:tbl>
    <w:p w:rsidR="000C2455" w:rsidRPr="00687B52" w:rsidRDefault="000C2455" w:rsidP="000C2455">
      <w:pPr>
        <w:rPr>
          <w:rFonts w:ascii="Times New Roman" w:hAnsi="Times New Roman"/>
          <w:color w:val="000000" w:themeColor="text1"/>
          <w:sz w:val="24"/>
          <w:szCs w:val="24"/>
        </w:rPr>
        <w:sectPr w:rsidR="000C2455" w:rsidRPr="00687B52" w:rsidSect="00D22E6D">
          <w:footerReference w:type="default" r:id="rId22"/>
          <w:pgSz w:w="16838" w:h="11906" w:orient="landscape"/>
          <w:pgMar w:top="1440" w:right="1797" w:bottom="1440" w:left="1797" w:header="851" w:footer="907" w:gutter="0"/>
          <w:cols w:space="425"/>
          <w:docGrid w:type="lines" w:linePitch="312"/>
        </w:sectPr>
      </w:pPr>
    </w:p>
    <w:p w:rsidR="000C2455" w:rsidRPr="00687B52" w:rsidRDefault="000C2455" w:rsidP="000C2455">
      <w:pPr>
        <w:rPr>
          <w:rFonts w:ascii="Times New Roman" w:hAnsi="Times New Roman"/>
          <w:color w:val="000000" w:themeColor="text1"/>
          <w:szCs w:val="21"/>
        </w:rPr>
      </w:pPr>
      <w:r w:rsidRPr="00687B52">
        <w:rPr>
          <w:rFonts w:ascii="Times New Roman" w:hAnsi="Times New Roman" w:hint="eastAsia"/>
          <w:color w:val="000000" w:themeColor="text1"/>
          <w:szCs w:val="21"/>
        </w:rPr>
        <w:lastRenderedPageBreak/>
        <w:t>专有名词</w:t>
      </w:r>
      <w:r w:rsidRPr="00687B52">
        <w:rPr>
          <w:rFonts w:ascii="Times New Roman" w:hAnsi="Times New Roman"/>
          <w:color w:val="000000" w:themeColor="text1"/>
          <w:szCs w:val="21"/>
        </w:rPr>
        <w:t>说明：</w:t>
      </w:r>
    </w:p>
    <w:p w:rsidR="000C2455" w:rsidRPr="00687B52" w:rsidRDefault="000C2455" w:rsidP="000C2455">
      <w:pPr>
        <w:rPr>
          <w:rFonts w:ascii="Times New Roman"/>
          <w:color w:val="000000" w:themeColor="text1"/>
          <w:szCs w:val="21"/>
        </w:rPr>
      </w:pPr>
      <w:r w:rsidRPr="00687B52">
        <w:rPr>
          <w:rFonts w:ascii="Times New Roman" w:hAnsi="Times New Roman" w:hint="eastAsia"/>
          <w:color w:val="000000" w:themeColor="text1"/>
          <w:szCs w:val="21"/>
        </w:rPr>
        <w:t>1</w:t>
      </w:r>
      <w:r w:rsidRPr="00687B52">
        <w:rPr>
          <w:rFonts w:ascii="Times New Roman" w:hAnsi="Times New Roman" w:hint="eastAsia"/>
          <w:color w:val="000000" w:themeColor="text1"/>
          <w:szCs w:val="21"/>
        </w:rPr>
        <w:t>．</w:t>
      </w:r>
      <w:r w:rsidRPr="00687B52">
        <w:rPr>
          <w:rFonts w:ascii="Times New Roman"/>
          <w:b/>
          <w:color w:val="000000" w:themeColor="text1"/>
          <w:szCs w:val="21"/>
        </w:rPr>
        <w:t>石油化工企业</w:t>
      </w:r>
      <w:r w:rsidRPr="00687B52">
        <w:rPr>
          <w:rFonts w:ascii="Times New Roman" w:hint="eastAsia"/>
          <w:color w:val="000000" w:themeColor="text1"/>
          <w:szCs w:val="21"/>
        </w:rPr>
        <w:t>：</w:t>
      </w:r>
      <w:r w:rsidRPr="00687B52">
        <w:rPr>
          <w:rFonts w:ascii="Times New Roman"/>
          <w:color w:val="000000" w:themeColor="text1"/>
          <w:szCs w:val="21"/>
        </w:rPr>
        <w:t>以石油、天然气及其产品为原料，生产、储运各种石油化工产品的炼油厂、石油化工厂、石油化纤厂或其联合组成的工厂。</w:t>
      </w:r>
    </w:p>
    <w:p w:rsidR="000C2455" w:rsidRPr="00687B52" w:rsidRDefault="000C2455" w:rsidP="000C2455">
      <w:pPr>
        <w:rPr>
          <w:rFonts w:ascii="Times New Roman"/>
          <w:color w:val="000000" w:themeColor="text1"/>
        </w:rPr>
      </w:pPr>
      <w:r w:rsidRPr="00687B52">
        <w:rPr>
          <w:rFonts w:ascii="Times New Roman" w:hAnsi="Times New Roman"/>
          <w:color w:val="000000" w:themeColor="text1"/>
        </w:rPr>
        <w:t>1.1</w:t>
      </w:r>
      <w:r w:rsidRPr="00687B52">
        <w:rPr>
          <w:rFonts w:ascii="Times New Roman"/>
          <w:color w:val="000000" w:themeColor="text1"/>
        </w:rPr>
        <w:t>炼油厂：</w:t>
      </w:r>
      <w:r w:rsidRPr="00687B52">
        <w:rPr>
          <w:rFonts w:ascii="Times New Roman" w:hint="eastAsia"/>
          <w:color w:val="000000" w:themeColor="text1"/>
        </w:rPr>
        <w:t>利用原油，采用常压或减压蒸馏装置，生产汽油、喷气燃料、柴油、燃料油等石油燃料产品，以及各种润滑油。</w:t>
      </w:r>
    </w:p>
    <w:p w:rsidR="000C2455" w:rsidRPr="00687B52" w:rsidRDefault="000C2455" w:rsidP="000C2455">
      <w:pPr>
        <w:rPr>
          <w:rFonts w:ascii="Times New Roman"/>
          <w:color w:val="000000" w:themeColor="text1"/>
        </w:rPr>
      </w:pPr>
      <w:r w:rsidRPr="00687B52">
        <w:rPr>
          <w:rFonts w:ascii="Times New Roman" w:hint="eastAsia"/>
          <w:color w:val="000000" w:themeColor="text1"/>
        </w:rPr>
        <w:t>1.2</w:t>
      </w:r>
      <w:r w:rsidRPr="00687B52">
        <w:rPr>
          <w:rFonts w:ascii="Times New Roman" w:hint="eastAsia"/>
          <w:color w:val="000000" w:themeColor="text1"/>
        </w:rPr>
        <w:t>石油化工厂</w:t>
      </w:r>
      <w:r w:rsidRPr="00687B52">
        <w:rPr>
          <w:rFonts w:ascii="Times New Roman" w:hint="eastAsia"/>
          <w:color w:val="000000" w:themeColor="text1"/>
        </w:rPr>
        <w:t>/</w:t>
      </w:r>
      <w:r w:rsidRPr="00687B52">
        <w:rPr>
          <w:rFonts w:ascii="Times New Roman" w:hint="eastAsia"/>
          <w:color w:val="000000" w:themeColor="text1"/>
        </w:rPr>
        <w:t>化纤厂：利用炼油厂提供的石油化工原料，采用催化裂化、延迟焦化、催化重整、芳烃抽提、气体分离等装置，生产炼厂气、液化石油气和芳烃等，以及生产各种基本有机化工产品，包括合成树脂、合成橡胶、合成纤维和化肥等。</w:t>
      </w:r>
    </w:p>
    <w:p w:rsidR="000C2455" w:rsidRPr="00687B52" w:rsidRDefault="000C2455" w:rsidP="000C2455">
      <w:pPr>
        <w:rPr>
          <w:rFonts w:ascii="Times New Roman"/>
          <w:color w:val="000000" w:themeColor="text1"/>
        </w:rPr>
      </w:pPr>
      <w:r w:rsidRPr="00687B52">
        <w:rPr>
          <w:rFonts w:ascii="Times New Roman" w:hint="eastAsia"/>
          <w:color w:val="000000" w:themeColor="text1"/>
        </w:rPr>
        <w:t>随着国民经济发展的需要，为综合利用石油资源，炼油厂与石油化工厂联合组成石油化工联合企业。</w:t>
      </w:r>
    </w:p>
    <w:p w:rsidR="000C2455" w:rsidRPr="00687B52" w:rsidRDefault="000C2455" w:rsidP="000C2455">
      <w:pPr>
        <w:pStyle w:val="Default"/>
        <w:snapToGrid w:val="0"/>
        <w:spacing w:line="300" w:lineRule="auto"/>
        <w:rPr>
          <w:rFonts w:ascii="Times New Roman" w:eastAsia="宋体" w:cs="Times New Roman"/>
          <w:color w:val="000000" w:themeColor="text1"/>
          <w:sz w:val="21"/>
          <w:szCs w:val="21"/>
        </w:rPr>
      </w:pPr>
      <w:r w:rsidRPr="00687B52">
        <w:rPr>
          <w:rFonts w:ascii="Times New Roman" w:eastAsia="宋体" w:cs="Times New Roman" w:hint="eastAsia"/>
          <w:b/>
          <w:color w:val="000000" w:themeColor="text1"/>
          <w:sz w:val="21"/>
          <w:szCs w:val="21"/>
        </w:rPr>
        <w:t>2</w:t>
      </w:r>
      <w:r w:rsidRPr="00687B52">
        <w:rPr>
          <w:rFonts w:ascii="Times New Roman" w:eastAsia="宋体" w:cs="Times New Roman" w:hint="eastAsia"/>
          <w:b/>
          <w:color w:val="000000" w:themeColor="text1"/>
          <w:sz w:val="21"/>
          <w:szCs w:val="21"/>
        </w:rPr>
        <w:t>．</w:t>
      </w:r>
      <w:r w:rsidRPr="00687B52">
        <w:rPr>
          <w:rFonts w:ascii="Times New Roman" w:eastAsia="宋体" w:cs="Times New Roman"/>
          <w:b/>
          <w:color w:val="000000" w:themeColor="text1"/>
          <w:sz w:val="21"/>
          <w:szCs w:val="21"/>
        </w:rPr>
        <w:t>全厂性重要设施</w:t>
      </w:r>
      <w:r w:rsidRPr="00687B52">
        <w:rPr>
          <w:rFonts w:ascii="Times New Roman" w:eastAsia="宋体" w:cs="Times New Roman" w:hint="eastAsia"/>
          <w:color w:val="000000" w:themeColor="text1"/>
          <w:sz w:val="21"/>
          <w:szCs w:val="21"/>
        </w:rPr>
        <w:t>：</w:t>
      </w:r>
      <w:r w:rsidRPr="00687B52">
        <w:rPr>
          <w:rFonts w:ascii="Times New Roman" w:eastAsia="宋体" w:cs="Times New Roman"/>
          <w:color w:val="000000" w:themeColor="text1"/>
          <w:sz w:val="21"/>
          <w:szCs w:val="21"/>
        </w:rPr>
        <w:t>发生火灾时，影响全厂生产或可能造成重大人身伤亡的设施。全厂性重要设施可分为以下两类：第一类全厂性重要设施：发生火灾时可能造成重大人身伤亡的设施。第二类全厂性重要设施：发生火灾时影响全厂生产的设施。</w:t>
      </w:r>
    </w:p>
    <w:p w:rsidR="000C2455" w:rsidRPr="00687B52" w:rsidRDefault="000C2455" w:rsidP="000C2455">
      <w:pPr>
        <w:pStyle w:val="Default"/>
        <w:snapToGrid w:val="0"/>
        <w:spacing w:line="300" w:lineRule="auto"/>
        <w:rPr>
          <w:rFonts w:ascii="Times New Roman" w:eastAsia="宋体" w:cs="Times New Roman"/>
          <w:color w:val="000000" w:themeColor="text1"/>
          <w:sz w:val="21"/>
          <w:szCs w:val="21"/>
        </w:rPr>
      </w:pPr>
      <w:r w:rsidRPr="00687B52">
        <w:rPr>
          <w:rFonts w:ascii="Times New Roman" w:eastAsia="宋体" w:cs="Times New Roman" w:hint="eastAsia"/>
          <w:color w:val="000000" w:themeColor="text1"/>
          <w:sz w:val="21"/>
          <w:szCs w:val="21"/>
        </w:rPr>
        <w:t>3</w:t>
      </w:r>
      <w:r w:rsidRPr="00687B52">
        <w:rPr>
          <w:rFonts w:ascii="Times New Roman" w:eastAsia="宋体" w:cs="Times New Roman" w:hint="eastAsia"/>
          <w:color w:val="000000" w:themeColor="text1"/>
          <w:sz w:val="21"/>
          <w:szCs w:val="21"/>
        </w:rPr>
        <w:t>．</w:t>
      </w:r>
      <w:r w:rsidRPr="00687B52">
        <w:rPr>
          <w:rFonts w:ascii="Times New Roman" w:eastAsia="宋体" w:cs="Times New Roman"/>
          <w:b/>
          <w:color w:val="000000" w:themeColor="text1"/>
          <w:sz w:val="21"/>
          <w:szCs w:val="21"/>
        </w:rPr>
        <w:t>明火地点</w:t>
      </w:r>
      <w:r w:rsidRPr="00687B52">
        <w:rPr>
          <w:rFonts w:ascii="Times New Roman" w:eastAsia="宋体" w:cs="Times New Roman" w:hint="eastAsia"/>
          <w:color w:val="000000" w:themeColor="text1"/>
          <w:sz w:val="21"/>
          <w:szCs w:val="21"/>
        </w:rPr>
        <w:t>：</w:t>
      </w:r>
      <w:r w:rsidRPr="00687B52">
        <w:rPr>
          <w:rFonts w:ascii="Times New Roman" w:eastAsia="宋体" w:cs="Times New Roman"/>
          <w:color w:val="000000" w:themeColor="text1"/>
          <w:sz w:val="21"/>
          <w:szCs w:val="21"/>
        </w:rPr>
        <w:t>室内外有外露火焰、赤热表面的固定地点。</w:t>
      </w:r>
    </w:p>
    <w:p w:rsidR="000C2455" w:rsidRPr="00687B52" w:rsidRDefault="000C2455" w:rsidP="000C2455">
      <w:pPr>
        <w:pStyle w:val="Default"/>
        <w:snapToGrid w:val="0"/>
        <w:spacing w:line="300" w:lineRule="auto"/>
        <w:rPr>
          <w:rFonts w:ascii="Times New Roman" w:eastAsia="宋体" w:cs="Times New Roman"/>
          <w:color w:val="000000" w:themeColor="text1"/>
          <w:sz w:val="21"/>
          <w:szCs w:val="21"/>
        </w:rPr>
      </w:pPr>
      <w:r w:rsidRPr="00687B52">
        <w:rPr>
          <w:rFonts w:ascii="Times New Roman" w:eastAsia="宋体" w:cs="Times New Roman" w:hint="eastAsia"/>
          <w:color w:val="000000" w:themeColor="text1"/>
          <w:sz w:val="21"/>
          <w:szCs w:val="21"/>
        </w:rPr>
        <w:t>4</w:t>
      </w:r>
      <w:r w:rsidRPr="00687B52">
        <w:rPr>
          <w:rFonts w:ascii="Times New Roman" w:eastAsia="宋体" w:cs="Times New Roman" w:hint="eastAsia"/>
          <w:color w:val="000000" w:themeColor="text1"/>
          <w:sz w:val="21"/>
          <w:szCs w:val="21"/>
        </w:rPr>
        <w:t>．</w:t>
      </w:r>
      <w:r w:rsidRPr="00687B52">
        <w:rPr>
          <w:rFonts w:ascii="Times New Roman" w:eastAsia="宋体" w:cs="Times New Roman"/>
          <w:b/>
          <w:color w:val="000000" w:themeColor="text1"/>
          <w:sz w:val="21"/>
          <w:szCs w:val="21"/>
        </w:rPr>
        <w:t>明火设备</w:t>
      </w:r>
      <w:r w:rsidRPr="00687B52">
        <w:rPr>
          <w:rFonts w:ascii="Times New Roman" w:eastAsia="宋体" w:cs="Times New Roman" w:hint="eastAsia"/>
          <w:color w:val="000000" w:themeColor="text1"/>
          <w:sz w:val="21"/>
          <w:szCs w:val="21"/>
        </w:rPr>
        <w:t>：</w:t>
      </w:r>
      <w:r w:rsidRPr="00687B52">
        <w:rPr>
          <w:rFonts w:ascii="Times New Roman" w:eastAsia="宋体" w:cs="Times New Roman"/>
          <w:color w:val="000000" w:themeColor="text1"/>
          <w:sz w:val="21"/>
          <w:szCs w:val="21"/>
        </w:rPr>
        <w:t>燃烧室与大气连通，非正常情况下有火焰外露的加热设备和废气焚烧设备。</w:t>
      </w:r>
    </w:p>
    <w:p w:rsidR="000C2455" w:rsidRPr="00687B52" w:rsidRDefault="000C2455" w:rsidP="000C2455">
      <w:pPr>
        <w:pStyle w:val="Default"/>
        <w:snapToGrid w:val="0"/>
        <w:spacing w:line="300" w:lineRule="auto"/>
        <w:rPr>
          <w:rFonts w:ascii="Times New Roman" w:eastAsia="宋体" w:cs="Times New Roman"/>
          <w:color w:val="000000" w:themeColor="text1"/>
          <w:sz w:val="21"/>
          <w:szCs w:val="21"/>
        </w:rPr>
      </w:pPr>
      <w:r w:rsidRPr="00687B52">
        <w:rPr>
          <w:rFonts w:ascii="Times New Roman" w:eastAsia="宋体" w:cs="Times New Roman" w:hint="eastAsia"/>
          <w:color w:val="000000" w:themeColor="text1"/>
          <w:sz w:val="21"/>
          <w:szCs w:val="21"/>
        </w:rPr>
        <w:t>5</w:t>
      </w:r>
      <w:r w:rsidRPr="00687B52">
        <w:rPr>
          <w:rFonts w:ascii="Times New Roman" w:eastAsia="宋体" w:cs="Times New Roman" w:hint="eastAsia"/>
          <w:color w:val="000000" w:themeColor="text1"/>
          <w:sz w:val="21"/>
          <w:szCs w:val="21"/>
        </w:rPr>
        <w:t>．</w:t>
      </w:r>
      <w:r w:rsidRPr="00687B52">
        <w:rPr>
          <w:rFonts w:ascii="Times New Roman" w:eastAsia="宋体" w:cs="Times New Roman"/>
          <w:b/>
          <w:color w:val="000000" w:themeColor="text1"/>
          <w:sz w:val="21"/>
          <w:szCs w:val="21"/>
        </w:rPr>
        <w:t>散发火花地点</w:t>
      </w:r>
      <w:r w:rsidRPr="00687B52">
        <w:rPr>
          <w:rFonts w:ascii="Times New Roman" w:eastAsia="宋体" w:cs="Times New Roman" w:hint="eastAsia"/>
          <w:color w:val="000000" w:themeColor="text1"/>
          <w:sz w:val="21"/>
          <w:szCs w:val="21"/>
        </w:rPr>
        <w:t>：</w:t>
      </w:r>
      <w:r w:rsidRPr="00687B52">
        <w:rPr>
          <w:rFonts w:ascii="Times New Roman" w:eastAsia="宋体" w:cs="Times New Roman"/>
          <w:color w:val="000000" w:themeColor="text1"/>
          <w:sz w:val="21"/>
          <w:szCs w:val="21"/>
        </w:rPr>
        <w:t>有飞火的烟囱、室外的砂轮、电焊、气焊（割）、室外非防爆的电气开关等固定地点。</w:t>
      </w:r>
    </w:p>
    <w:p w:rsidR="000C2455" w:rsidRPr="00687B52" w:rsidRDefault="000C2455" w:rsidP="000C2455">
      <w:pPr>
        <w:pStyle w:val="Default"/>
        <w:snapToGrid w:val="0"/>
        <w:spacing w:line="300" w:lineRule="auto"/>
        <w:rPr>
          <w:rFonts w:ascii="Times New Roman" w:eastAsia="宋体" w:cs="Times New Roman"/>
          <w:color w:val="000000" w:themeColor="text1"/>
          <w:sz w:val="21"/>
          <w:szCs w:val="21"/>
        </w:rPr>
      </w:pPr>
      <w:r w:rsidRPr="00687B52">
        <w:rPr>
          <w:rFonts w:ascii="Times New Roman" w:eastAsia="宋体" w:cs="Times New Roman" w:hint="eastAsia"/>
          <w:color w:val="000000" w:themeColor="text1"/>
          <w:sz w:val="21"/>
          <w:szCs w:val="21"/>
        </w:rPr>
        <w:t>6</w:t>
      </w:r>
      <w:r w:rsidRPr="00687B52">
        <w:rPr>
          <w:rFonts w:ascii="Times New Roman" w:eastAsia="宋体" w:cs="Times New Roman" w:hint="eastAsia"/>
          <w:color w:val="000000" w:themeColor="text1"/>
          <w:sz w:val="21"/>
          <w:szCs w:val="21"/>
        </w:rPr>
        <w:t>．</w:t>
      </w:r>
      <w:r w:rsidRPr="00687B52">
        <w:rPr>
          <w:rFonts w:ascii="Times New Roman" w:eastAsia="宋体" w:cs="Times New Roman"/>
          <w:b/>
          <w:color w:val="000000" w:themeColor="text1"/>
          <w:sz w:val="21"/>
          <w:szCs w:val="21"/>
        </w:rPr>
        <w:t>联合装置</w:t>
      </w:r>
      <w:r w:rsidRPr="00687B52">
        <w:rPr>
          <w:rFonts w:ascii="Times New Roman" w:eastAsia="宋体" w:cs="Times New Roman" w:hint="eastAsia"/>
          <w:color w:val="000000" w:themeColor="text1"/>
          <w:sz w:val="21"/>
          <w:szCs w:val="21"/>
        </w:rPr>
        <w:t>：</w:t>
      </w:r>
      <w:r w:rsidRPr="00687B52">
        <w:rPr>
          <w:rFonts w:ascii="Times New Roman" w:eastAsia="宋体" w:cs="Times New Roman"/>
          <w:color w:val="000000" w:themeColor="text1"/>
          <w:sz w:val="21"/>
          <w:szCs w:val="21"/>
        </w:rPr>
        <w:t>由两个或两个以上独立装置集中紧凑布置，且装置间直接进料，无供大修设置的中间原料储罐，其开工或停工检修等均同步进行，视为一套装置。</w:t>
      </w:r>
    </w:p>
    <w:p w:rsidR="000C2455" w:rsidRPr="00687B52" w:rsidRDefault="000C2455" w:rsidP="000C2455">
      <w:pPr>
        <w:pStyle w:val="Default"/>
        <w:snapToGrid w:val="0"/>
        <w:spacing w:line="300" w:lineRule="auto"/>
        <w:rPr>
          <w:rFonts w:ascii="Times New Roman" w:eastAsia="宋体" w:cs="Times New Roman"/>
          <w:b/>
          <w:color w:val="000000" w:themeColor="text1"/>
          <w:sz w:val="21"/>
          <w:szCs w:val="21"/>
        </w:rPr>
      </w:pPr>
      <w:r w:rsidRPr="00687B52">
        <w:rPr>
          <w:rFonts w:ascii="Times New Roman" w:eastAsia="宋体" w:cs="Times New Roman" w:hint="eastAsia"/>
          <w:color w:val="000000" w:themeColor="text1"/>
          <w:sz w:val="21"/>
          <w:szCs w:val="21"/>
        </w:rPr>
        <w:t>7</w:t>
      </w:r>
      <w:r w:rsidRPr="00687B52">
        <w:rPr>
          <w:rFonts w:ascii="Times New Roman" w:eastAsia="宋体" w:cs="Times New Roman" w:hint="eastAsia"/>
          <w:color w:val="000000" w:themeColor="text1"/>
          <w:sz w:val="21"/>
          <w:szCs w:val="21"/>
        </w:rPr>
        <w:t>．</w:t>
      </w:r>
      <w:r w:rsidRPr="00687B52">
        <w:rPr>
          <w:rFonts w:ascii="Times New Roman" w:eastAsia="宋体" w:cs="Times New Roman"/>
          <w:b/>
          <w:color w:val="000000" w:themeColor="text1"/>
          <w:sz w:val="21"/>
          <w:szCs w:val="21"/>
        </w:rPr>
        <w:t>封闭式厂房（仓库）</w:t>
      </w:r>
      <w:r w:rsidRPr="00687B52">
        <w:rPr>
          <w:rFonts w:ascii="Times New Roman" w:eastAsia="宋体" w:cs="Times New Roman" w:hint="eastAsia"/>
          <w:color w:val="000000" w:themeColor="text1"/>
          <w:sz w:val="21"/>
          <w:szCs w:val="21"/>
        </w:rPr>
        <w:t>：</w:t>
      </w:r>
      <w:r w:rsidRPr="00687B52">
        <w:rPr>
          <w:rFonts w:ascii="Times New Roman" w:eastAsia="宋体" w:cs="Times New Roman"/>
          <w:color w:val="000000" w:themeColor="text1"/>
          <w:sz w:val="21"/>
          <w:szCs w:val="21"/>
        </w:rPr>
        <w:t>设有屋顶，建筑外围护结构全部采用封闭式墙体（含门、窗）构造的生产性（储存性）</w:t>
      </w:r>
      <w:r w:rsidRPr="00687B52">
        <w:rPr>
          <w:rFonts w:ascii="Times New Roman" w:eastAsia="宋体" w:hAnsi="Arial" w:cs="Times New Roman"/>
          <w:color w:val="000000" w:themeColor="text1"/>
          <w:sz w:val="21"/>
          <w:szCs w:val="21"/>
        </w:rPr>
        <w:t>建筑物。</w:t>
      </w:r>
    </w:p>
    <w:p w:rsidR="000C2455" w:rsidRPr="00687B52" w:rsidRDefault="000C2455" w:rsidP="000C2455">
      <w:pPr>
        <w:pStyle w:val="Default"/>
        <w:snapToGrid w:val="0"/>
        <w:spacing w:line="300" w:lineRule="auto"/>
        <w:rPr>
          <w:rFonts w:ascii="Times New Roman" w:eastAsia="宋体" w:cs="Times New Roman"/>
          <w:color w:val="000000" w:themeColor="text1"/>
          <w:sz w:val="21"/>
          <w:szCs w:val="21"/>
        </w:rPr>
      </w:pPr>
      <w:r w:rsidRPr="00687B52">
        <w:rPr>
          <w:rFonts w:ascii="Times New Roman" w:eastAsia="宋体" w:cs="Times New Roman" w:hint="eastAsia"/>
          <w:color w:val="000000" w:themeColor="text1"/>
          <w:sz w:val="21"/>
          <w:szCs w:val="21"/>
        </w:rPr>
        <w:t>8</w:t>
      </w:r>
      <w:r w:rsidRPr="00687B52">
        <w:rPr>
          <w:rFonts w:ascii="Times New Roman" w:eastAsia="宋体" w:cs="Times New Roman" w:hint="eastAsia"/>
          <w:color w:val="000000" w:themeColor="text1"/>
          <w:sz w:val="21"/>
          <w:szCs w:val="21"/>
        </w:rPr>
        <w:t>．</w:t>
      </w:r>
      <w:r w:rsidRPr="00687B52">
        <w:rPr>
          <w:rFonts w:ascii="Times New Roman" w:eastAsia="宋体" w:hAnsi="Arial" w:cs="Times New Roman"/>
          <w:b/>
          <w:color w:val="000000" w:themeColor="text1"/>
          <w:sz w:val="21"/>
          <w:szCs w:val="21"/>
        </w:rPr>
        <w:t>半敞开式厂房</w:t>
      </w:r>
      <w:r w:rsidRPr="00687B52">
        <w:rPr>
          <w:rFonts w:ascii="Times New Roman" w:eastAsia="宋体" w:cs="Times New Roman" w:hint="eastAsia"/>
          <w:color w:val="000000" w:themeColor="text1"/>
          <w:sz w:val="21"/>
          <w:szCs w:val="21"/>
        </w:rPr>
        <w:t>：</w:t>
      </w:r>
      <w:r w:rsidRPr="00687B52">
        <w:rPr>
          <w:rFonts w:ascii="Times New Roman" w:eastAsia="宋体" w:hAnsi="Arial" w:cs="Times New Roman"/>
          <w:color w:val="000000" w:themeColor="text1"/>
          <w:sz w:val="21"/>
          <w:szCs w:val="21"/>
        </w:rPr>
        <w:t>设有屋顶，建筑外围护结构局部采用封闭式墙体，所占面积不超过该建筑外围护体表面面积的二分之一（不含屋顶的面积）的生产性建筑物。</w:t>
      </w:r>
    </w:p>
    <w:p w:rsidR="000C2455" w:rsidRPr="00687B52" w:rsidRDefault="000C2455" w:rsidP="000C2455">
      <w:pPr>
        <w:pStyle w:val="Default"/>
        <w:snapToGrid w:val="0"/>
        <w:spacing w:line="300" w:lineRule="auto"/>
        <w:rPr>
          <w:rFonts w:ascii="Times New Roman" w:eastAsia="宋体" w:cs="Times New Roman"/>
          <w:color w:val="000000" w:themeColor="text1"/>
          <w:sz w:val="21"/>
          <w:szCs w:val="21"/>
        </w:rPr>
      </w:pPr>
      <w:r w:rsidRPr="00687B52">
        <w:rPr>
          <w:rFonts w:ascii="Times New Roman" w:eastAsia="宋体" w:cs="Times New Roman" w:hint="eastAsia"/>
          <w:color w:val="000000" w:themeColor="text1"/>
          <w:sz w:val="21"/>
          <w:szCs w:val="21"/>
        </w:rPr>
        <w:t>9</w:t>
      </w:r>
      <w:r w:rsidRPr="00687B52">
        <w:rPr>
          <w:rFonts w:ascii="Times New Roman" w:eastAsia="宋体" w:cs="Times New Roman" w:hint="eastAsia"/>
          <w:color w:val="000000" w:themeColor="text1"/>
          <w:sz w:val="21"/>
          <w:szCs w:val="21"/>
        </w:rPr>
        <w:t>．</w:t>
      </w:r>
      <w:r w:rsidRPr="00687B52">
        <w:rPr>
          <w:rFonts w:ascii="Times New Roman" w:eastAsia="宋体" w:hAnsi="Arial" w:cs="Times New Roman"/>
          <w:b/>
          <w:color w:val="000000" w:themeColor="text1"/>
          <w:sz w:val="21"/>
          <w:szCs w:val="21"/>
        </w:rPr>
        <w:t>敞开式厂房</w:t>
      </w:r>
      <w:r w:rsidRPr="00687B52">
        <w:rPr>
          <w:rFonts w:ascii="Times New Roman" w:eastAsia="宋体" w:cs="Times New Roman" w:hint="eastAsia"/>
          <w:color w:val="000000" w:themeColor="text1"/>
          <w:sz w:val="21"/>
          <w:szCs w:val="21"/>
        </w:rPr>
        <w:t>：</w:t>
      </w:r>
      <w:r w:rsidRPr="00687B52">
        <w:rPr>
          <w:rFonts w:ascii="Times New Roman" w:eastAsia="宋体" w:hAnsi="Arial" w:cs="Times New Roman"/>
          <w:color w:val="000000" w:themeColor="text1"/>
          <w:sz w:val="21"/>
          <w:szCs w:val="21"/>
        </w:rPr>
        <w:t>设有屋顶，不设建筑外围护结构的生产性建筑物。</w:t>
      </w:r>
    </w:p>
    <w:p w:rsidR="000C2455" w:rsidRPr="00687B52" w:rsidRDefault="000C2455" w:rsidP="000C2455">
      <w:pPr>
        <w:pStyle w:val="Default"/>
        <w:snapToGrid w:val="0"/>
        <w:spacing w:line="300" w:lineRule="auto"/>
        <w:rPr>
          <w:rFonts w:ascii="Times New Roman" w:eastAsia="宋体" w:cs="Times New Roman"/>
          <w:color w:val="000000" w:themeColor="text1"/>
          <w:sz w:val="21"/>
          <w:szCs w:val="21"/>
        </w:rPr>
      </w:pPr>
      <w:r w:rsidRPr="00687B52">
        <w:rPr>
          <w:rFonts w:ascii="Times New Roman" w:eastAsia="宋体" w:cs="Times New Roman" w:hint="eastAsia"/>
          <w:color w:val="000000" w:themeColor="text1"/>
          <w:sz w:val="21"/>
          <w:szCs w:val="21"/>
        </w:rPr>
        <w:t>10</w:t>
      </w:r>
      <w:r w:rsidRPr="00687B52">
        <w:rPr>
          <w:rFonts w:ascii="Times New Roman" w:eastAsia="宋体" w:cs="Times New Roman" w:hint="eastAsia"/>
          <w:color w:val="000000" w:themeColor="text1"/>
          <w:sz w:val="21"/>
          <w:szCs w:val="21"/>
        </w:rPr>
        <w:t>．</w:t>
      </w:r>
      <w:r w:rsidRPr="00687B52">
        <w:rPr>
          <w:rFonts w:ascii="Times New Roman" w:eastAsia="宋体" w:hAnsi="Arial" w:cs="Times New Roman"/>
          <w:b/>
          <w:color w:val="000000" w:themeColor="text1"/>
          <w:sz w:val="21"/>
          <w:szCs w:val="21"/>
        </w:rPr>
        <w:t>沸溢性液体</w:t>
      </w:r>
      <w:r w:rsidRPr="00687B52">
        <w:rPr>
          <w:rFonts w:ascii="Times New Roman" w:eastAsia="宋体" w:cs="Times New Roman" w:hint="eastAsia"/>
          <w:color w:val="000000" w:themeColor="text1"/>
          <w:sz w:val="21"/>
          <w:szCs w:val="21"/>
        </w:rPr>
        <w:t>：</w:t>
      </w:r>
      <w:r w:rsidRPr="00687B52">
        <w:rPr>
          <w:rFonts w:ascii="Times New Roman" w:eastAsia="宋体" w:hAnsi="Arial" w:cs="Times New Roman"/>
          <w:color w:val="000000" w:themeColor="text1"/>
          <w:sz w:val="21"/>
          <w:szCs w:val="21"/>
        </w:rPr>
        <w:t>当罐内储存介质温度升高时，由于热传递作用，使罐底水层急速汽化，而会发生沸溢现象的粘性烃类混合物。</w:t>
      </w:r>
    </w:p>
    <w:p w:rsidR="000C2455" w:rsidRPr="00687B52" w:rsidRDefault="000C2455" w:rsidP="003110C0">
      <w:pPr>
        <w:spacing w:line="480" w:lineRule="exact"/>
        <w:jc w:val="left"/>
        <w:rPr>
          <w:color w:val="000000" w:themeColor="text1"/>
          <w:sz w:val="28"/>
          <w:szCs w:val="28"/>
        </w:rPr>
        <w:sectPr w:rsidR="000C2455" w:rsidRPr="00687B52" w:rsidSect="000C2455">
          <w:pgSz w:w="16838" w:h="11906" w:orient="landscape"/>
          <w:pgMar w:top="1588" w:right="1418" w:bottom="1134" w:left="1134" w:header="851" w:footer="992" w:gutter="0"/>
          <w:cols w:space="425"/>
          <w:docGrid w:type="lines" w:linePitch="312"/>
        </w:sectPr>
      </w:pPr>
    </w:p>
    <w:p w:rsidR="000C2455" w:rsidRPr="00687B52" w:rsidRDefault="00406A19" w:rsidP="00406A19">
      <w:pPr>
        <w:pStyle w:val="aff3"/>
        <w:numPr>
          <w:ilvl w:val="0"/>
          <w:numId w:val="0"/>
        </w:numPr>
        <w:rPr>
          <w:rFonts w:eastAsia="黑体" w:hAnsi="黑体"/>
          <w:color w:val="000000" w:themeColor="text1"/>
          <w:sz w:val="28"/>
          <w:szCs w:val="28"/>
        </w:rPr>
      </w:pPr>
      <w:bookmarkStart w:id="31" w:name="_Toc492634894"/>
      <w:r w:rsidRPr="00687B52">
        <w:rPr>
          <w:rFonts w:hint="eastAsia"/>
          <w:color w:val="000000" w:themeColor="text1"/>
        </w:rPr>
        <w:lastRenderedPageBreak/>
        <w:t>表</w:t>
      </w:r>
      <w:r w:rsidRPr="00687B52">
        <w:rPr>
          <w:rFonts w:hint="eastAsia"/>
          <w:color w:val="000000" w:themeColor="text1"/>
        </w:rPr>
        <w:t xml:space="preserve">2-3 </w:t>
      </w:r>
      <w:r w:rsidRPr="00687B52">
        <w:rPr>
          <w:rFonts w:hint="eastAsia"/>
          <w:color w:val="000000" w:themeColor="text1"/>
        </w:rPr>
        <w:t>危险化学品生产企业专业检查表（</w:t>
      </w:r>
      <w:r w:rsidR="000C2455" w:rsidRPr="00687B52">
        <w:rPr>
          <w:color w:val="000000" w:themeColor="text1"/>
        </w:rPr>
        <w:t>合成氨</w:t>
      </w:r>
      <w:r w:rsidRPr="00687B52">
        <w:rPr>
          <w:rFonts w:hint="eastAsia"/>
          <w:color w:val="000000" w:themeColor="text1"/>
        </w:rPr>
        <w:t>）</w:t>
      </w:r>
      <w:bookmarkEnd w:id="3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
        <w:gridCol w:w="3139"/>
        <w:gridCol w:w="2977"/>
        <w:gridCol w:w="3594"/>
        <w:gridCol w:w="2843"/>
      </w:tblGrid>
      <w:tr w:rsidR="000C2455" w:rsidRPr="00687B52" w:rsidTr="003E1D2A">
        <w:trPr>
          <w:tblHeade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序号</w:t>
            </w:r>
          </w:p>
        </w:tc>
        <w:tc>
          <w:tcPr>
            <w:tcW w:w="2272" w:type="pct"/>
            <w:gridSpan w:val="2"/>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标准要求</w:t>
            </w:r>
          </w:p>
        </w:tc>
        <w:tc>
          <w:tcPr>
            <w:tcW w:w="1335"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检查依据</w:t>
            </w:r>
          </w:p>
        </w:tc>
        <w:tc>
          <w:tcPr>
            <w:tcW w:w="1056" w:type="pct"/>
            <w:vAlign w:val="center"/>
          </w:tcPr>
          <w:p w:rsidR="000C2455" w:rsidRPr="00687B52" w:rsidRDefault="000C2455" w:rsidP="003E1D2A">
            <w:pPr>
              <w:pStyle w:val="a7"/>
              <w:rPr>
                <w:rFonts w:hAnsi="Times New Roman"/>
                <w:color w:val="000000" w:themeColor="text1"/>
                <w:szCs w:val="24"/>
              </w:rPr>
            </w:pPr>
            <w:r w:rsidRPr="00687B52">
              <w:rPr>
                <w:rFonts w:hAnsi="Times New Roman" w:hint="eastAsia"/>
                <w:color w:val="000000" w:themeColor="text1"/>
                <w:szCs w:val="24"/>
              </w:rPr>
              <w:t>检查</w:t>
            </w:r>
            <w:r w:rsidRPr="00687B52">
              <w:rPr>
                <w:rFonts w:hAnsi="Times New Roman"/>
                <w:color w:val="000000" w:themeColor="text1"/>
                <w:szCs w:val="24"/>
              </w:rPr>
              <w:t>情况</w:t>
            </w:r>
          </w:p>
        </w:tc>
      </w:tr>
      <w:tr w:rsidR="000C2455" w:rsidRPr="00687B52" w:rsidTr="003E1D2A">
        <w:trPr>
          <w:jc w:val="center"/>
        </w:trPr>
        <w:tc>
          <w:tcPr>
            <w:tcW w:w="337" w:type="pct"/>
            <w:vAlign w:val="center"/>
          </w:tcPr>
          <w:p w:rsidR="000C2455" w:rsidRPr="00687B52" w:rsidRDefault="000C2455" w:rsidP="003B028C">
            <w:pPr>
              <w:pStyle w:val="a7"/>
              <w:rPr>
                <w:rFonts w:hAnsi="Times New Roman"/>
                <w:b/>
                <w:color w:val="000000" w:themeColor="text1"/>
                <w:szCs w:val="24"/>
              </w:rPr>
            </w:pPr>
            <w:r w:rsidRPr="00687B52">
              <w:rPr>
                <w:rFonts w:hAnsi="Times New Roman"/>
                <w:b/>
                <w:color w:val="000000" w:themeColor="text1"/>
                <w:szCs w:val="24"/>
              </w:rPr>
              <w:t>1</w:t>
            </w:r>
          </w:p>
        </w:tc>
        <w:tc>
          <w:tcPr>
            <w:tcW w:w="4663" w:type="pct"/>
            <w:gridSpan w:val="4"/>
            <w:vAlign w:val="center"/>
          </w:tcPr>
          <w:p w:rsidR="000C2455" w:rsidRPr="00687B52" w:rsidRDefault="000C2455" w:rsidP="003E1D2A">
            <w:pPr>
              <w:pStyle w:val="a7"/>
              <w:jc w:val="left"/>
              <w:rPr>
                <w:rFonts w:hAnsi="Times New Roman"/>
                <w:b/>
                <w:color w:val="000000" w:themeColor="text1"/>
                <w:szCs w:val="24"/>
              </w:rPr>
            </w:pPr>
            <w:r w:rsidRPr="00687B52">
              <w:rPr>
                <w:rFonts w:hAnsi="Times New Roman"/>
                <w:b/>
                <w:color w:val="000000" w:themeColor="text1"/>
                <w:szCs w:val="24"/>
              </w:rPr>
              <w:t>选址与总平面布置</w:t>
            </w:r>
          </w:p>
        </w:tc>
      </w:tr>
      <w:tr w:rsidR="000C2455" w:rsidRPr="00687B52" w:rsidTr="003E1D2A">
        <w:trPr>
          <w:jc w:val="center"/>
        </w:trPr>
        <w:tc>
          <w:tcPr>
            <w:tcW w:w="337" w:type="pct"/>
            <w:vAlign w:val="center"/>
          </w:tcPr>
          <w:p w:rsidR="000C2455" w:rsidRPr="00687B52" w:rsidRDefault="003B028C" w:rsidP="003B028C">
            <w:pPr>
              <w:pStyle w:val="a7"/>
              <w:rPr>
                <w:rFonts w:hAnsi="Times New Roman"/>
                <w:color w:val="000000" w:themeColor="text1"/>
                <w:szCs w:val="24"/>
              </w:rPr>
            </w:pPr>
            <w:r w:rsidRPr="00687B52">
              <w:rPr>
                <w:rFonts w:hAnsi="Times New Roman" w:hint="eastAsia"/>
                <w:color w:val="000000" w:themeColor="text1"/>
                <w:szCs w:val="24"/>
              </w:rPr>
              <w:t>1.1</w:t>
            </w:r>
          </w:p>
        </w:tc>
        <w:tc>
          <w:tcPr>
            <w:tcW w:w="2272" w:type="pct"/>
            <w:gridSpan w:val="2"/>
            <w:vAlign w:val="center"/>
          </w:tcPr>
          <w:p w:rsidR="000C2455" w:rsidRPr="00687B52" w:rsidRDefault="000C2455" w:rsidP="003E1D2A">
            <w:pPr>
              <w:pStyle w:val="a7"/>
              <w:jc w:val="left"/>
              <w:rPr>
                <w:rFonts w:hAnsi="Times New Roman"/>
                <w:color w:val="000000" w:themeColor="text1"/>
                <w:szCs w:val="24"/>
              </w:rPr>
            </w:pPr>
            <w:r w:rsidRPr="00687B52">
              <w:rPr>
                <w:rFonts w:hAnsi="Times New Roman"/>
                <w:color w:val="000000" w:themeColor="text1"/>
              </w:rPr>
              <w:t>新的合成氨项目必须进入产业集中区或化工园区，逐步推动现有合成氨企业进区入园。</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《国务院安委会办公室关于进一步加强危险化学品安全生产工作的指导意见》</w:t>
            </w:r>
          </w:p>
          <w:p w:rsidR="000C2455" w:rsidRPr="00687B52" w:rsidRDefault="000C2455" w:rsidP="003E1D2A">
            <w:pPr>
              <w:pStyle w:val="a7"/>
              <w:rPr>
                <w:rFonts w:hAnsi="Times New Roman"/>
                <w:color w:val="000000" w:themeColor="text1"/>
              </w:rPr>
            </w:pPr>
            <w:r w:rsidRPr="00687B52">
              <w:rPr>
                <w:rFonts w:hAnsi="Times New Roman"/>
                <w:color w:val="000000" w:themeColor="text1"/>
              </w:rPr>
              <w:t>安委办</w:t>
            </w:r>
            <w:r w:rsidRPr="00687B52">
              <w:rPr>
                <w:rFonts w:hAnsi="Times New Roman"/>
                <w:color w:val="000000" w:themeColor="text1"/>
              </w:rPr>
              <w:t>[2008]26</w:t>
            </w:r>
            <w:r w:rsidRPr="00687B52">
              <w:rPr>
                <w:rFonts w:hAnsi="Times New Roman"/>
                <w:color w:val="000000" w:themeColor="text1"/>
              </w:rPr>
              <w:t>号</w:t>
            </w:r>
          </w:p>
          <w:p w:rsidR="000C2455" w:rsidRPr="00687B52" w:rsidRDefault="000C2455" w:rsidP="003E1D2A">
            <w:pPr>
              <w:pStyle w:val="a7"/>
              <w:rPr>
                <w:rFonts w:hAnsi="Times New Roman"/>
                <w:color w:val="000000" w:themeColor="text1"/>
                <w:szCs w:val="24"/>
              </w:rPr>
            </w:pPr>
            <w:r w:rsidRPr="00687B52">
              <w:rPr>
                <w:rFonts w:hAnsi="Times New Roman"/>
                <w:color w:val="000000" w:themeColor="text1"/>
              </w:rPr>
              <w:t>第一条</w:t>
            </w:r>
          </w:p>
        </w:tc>
        <w:tc>
          <w:tcPr>
            <w:tcW w:w="1056" w:type="pct"/>
            <w:vAlign w:val="center"/>
          </w:tcPr>
          <w:p w:rsidR="000C2455" w:rsidRPr="00687B52" w:rsidRDefault="000C2455" w:rsidP="003E1D2A">
            <w:pPr>
              <w:spacing w:line="320" w:lineRule="exact"/>
              <w:rPr>
                <w:rFonts w:ascii="Times New Roman" w:hAnsi="Times New Roman"/>
                <w:color w:val="000000" w:themeColor="text1"/>
                <w:sz w:val="24"/>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1.2</w:t>
            </w:r>
          </w:p>
        </w:tc>
        <w:tc>
          <w:tcPr>
            <w:tcW w:w="2272" w:type="pct"/>
            <w:gridSpan w:val="2"/>
            <w:vAlign w:val="center"/>
          </w:tcPr>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1</w:t>
            </w:r>
            <w:r w:rsidRPr="00687B52">
              <w:rPr>
                <w:rFonts w:hAnsi="Times New Roman"/>
                <w:color w:val="000000" w:themeColor="text1"/>
              </w:rPr>
              <w:t>）所在地区近</w:t>
            </w:r>
            <w:r w:rsidRPr="00687B52">
              <w:rPr>
                <w:rFonts w:hAnsi="Times New Roman"/>
                <w:color w:val="000000" w:themeColor="text1"/>
              </w:rPr>
              <w:t>5</w:t>
            </w:r>
            <w:r w:rsidRPr="00687B52">
              <w:rPr>
                <w:rFonts w:hAnsi="Times New Roman"/>
                <w:color w:val="000000" w:themeColor="text1"/>
              </w:rPr>
              <w:t>年平均风速</w:t>
            </w:r>
            <w:r w:rsidRPr="00687B52">
              <w:rPr>
                <w:rFonts w:hAnsi="Times New Roman" w:hint="eastAsia"/>
                <w:color w:val="000000" w:themeColor="text1"/>
              </w:rPr>
              <w:t>＜</w:t>
            </w:r>
            <w:r w:rsidRPr="00687B52">
              <w:rPr>
                <w:rFonts w:hAnsi="Times New Roman"/>
                <w:color w:val="000000" w:themeColor="text1"/>
              </w:rPr>
              <w:t>2m/s</w:t>
            </w:r>
            <w:r w:rsidRPr="00687B52">
              <w:rPr>
                <w:rFonts w:hAnsi="Times New Roman"/>
                <w:color w:val="000000" w:themeColor="text1"/>
              </w:rPr>
              <w:t>的生产规模</w:t>
            </w:r>
            <w:r w:rsidRPr="00687B52">
              <w:rPr>
                <w:rFonts w:hAnsi="Times New Roman" w:hint="eastAsia"/>
                <w:color w:val="000000" w:themeColor="text1"/>
              </w:rPr>
              <w:t>＜</w:t>
            </w:r>
            <w:r w:rsidRPr="00687B52">
              <w:rPr>
                <w:rFonts w:hAnsi="Times New Roman"/>
                <w:color w:val="000000" w:themeColor="text1"/>
              </w:rPr>
              <w:t>30</w:t>
            </w:r>
            <w:r w:rsidRPr="00687B52">
              <w:rPr>
                <w:rFonts w:hAnsi="Times New Roman"/>
                <w:color w:val="000000" w:themeColor="text1"/>
              </w:rPr>
              <w:t>万吨</w:t>
            </w:r>
            <w:r w:rsidRPr="00687B52">
              <w:rPr>
                <w:rFonts w:hAnsi="Times New Roman"/>
                <w:color w:val="000000" w:themeColor="text1"/>
              </w:rPr>
              <w:t>/</w:t>
            </w:r>
            <w:r w:rsidRPr="00687B52">
              <w:rPr>
                <w:rFonts w:hAnsi="Times New Roman"/>
                <w:color w:val="000000" w:themeColor="text1"/>
              </w:rPr>
              <w:t>年的合成氨企业的卫生防护距离不应</w:t>
            </w:r>
            <w:r w:rsidRPr="00687B52">
              <w:rPr>
                <w:rFonts w:hAnsi="Times New Roman" w:hint="eastAsia"/>
                <w:color w:val="000000" w:themeColor="text1"/>
              </w:rPr>
              <w:t>＜</w:t>
            </w:r>
            <w:r w:rsidRPr="00687B52">
              <w:rPr>
                <w:rFonts w:hAnsi="Times New Roman"/>
                <w:color w:val="000000" w:themeColor="text1"/>
              </w:rPr>
              <w:t>900m</w:t>
            </w:r>
            <w:r w:rsidRPr="00687B52">
              <w:rPr>
                <w:rFonts w:hAnsi="Times New Roman"/>
                <w:color w:val="000000" w:themeColor="text1"/>
              </w:rPr>
              <w:t>。</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2</w:t>
            </w:r>
            <w:r w:rsidRPr="00687B52">
              <w:rPr>
                <w:rFonts w:hAnsi="Times New Roman"/>
                <w:color w:val="000000" w:themeColor="text1"/>
              </w:rPr>
              <w:t>）所在地区近</w:t>
            </w:r>
            <w:r w:rsidRPr="00687B52">
              <w:rPr>
                <w:rFonts w:hAnsi="Times New Roman"/>
                <w:color w:val="000000" w:themeColor="text1"/>
              </w:rPr>
              <w:t>5</w:t>
            </w:r>
            <w:r w:rsidRPr="00687B52">
              <w:rPr>
                <w:rFonts w:hAnsi="Times New Roman"/>
                <w:color w:val="000000" w:themeColor="text1"/>
              </w:rPr>
              <w:t>年平均风速在</w:t>
            </w:r>
            <w:r w:rsidRPr="00687B52">
              <w:rPr>
                <w:rFonts w:hAnsi="Times New Roman"/>
                <w:color w:val="000000" w:themeColor="text1"/>
              </w:rPr>
              <w:t>2~4m/s</w:t>
            </w:r>
            <w:r w:rsidRPr="00687B52">
              <w:rPr>
                <w:rFonts w:hAnsi="Times New Roman"/>
                <w:color w:val="000000" w:themeColor="text1"/>
              </w:rPr>
              <w:t>的生产规模</w:t>
            </w:r>
            <w:r w:rsidRPr="00687B52">
              <w:rPr>
                <w:rFonts w:hAnsi="Times New Roman" w:hint="eastAsia"/>
                <w:color w:val="000000" w:themeColor="text1"/>
              </w:rPr>
              <w:t>＜</w:t>
            </w:r>
            <w:r w:rsidRPr="00687B52">
              <w:rPr>
                <w:rFonts w:hAnsi="Times New Roman"/>
                <w:color w:val="000000" w:themeColor="text1"/>
              </w:rPr>
              <w:t>30</w:t>
            </w:r>
            <w:r w:rsidRPr="00687B52">
              <w:rPr>
                <w:rFonts w:hAnsi="Times New Roman"/>
                <w:color w:val="000000" w:themeColor="text1"/>
              </w:rPr>
              <w:t>万吨</w:t>
            </w:r>
            <w:r w:rsidRPr="00687B52">
              <w:rPr>
                <w:rFonts w:hAnsi="Times New Roman"/>
                <w:color w:val="000000" w:themeColor="text1"/>
              </w:rPr>
              <w:t>/</w:t>
            </w:r>
            <w:r w:rsidRPr="00687B52">
              <w:rPr>
                <w:rFonts w:hAnsi="Times New Roman"/>
                <w:color w:val="000000" w:themeColor="text1"/>
              </w:rPr>
              <w:t>年的合成氨企业的卫生防护距离不应</w:t>
            </w:r>
            <w:r w:rsidRPr="00687B52">
              <w:rPr>
                <w:rFonts w:hAnsi="Times New Roman" w:hint="eastAsia"/>
                <w:color w:val="000000" w:themeColor="text1"/>
              </w:rPr>
              <w:t>＜</w:t>
            </w:r>
            <w:r w:rsidRPr="00687B52">
              <w:rPr>
                <w:rFonts w:hAnsi="Times New Roman"/>
                <w:color w:val="000000" w:themeColor="text1"/>
              </w:rPr>
              <w:t>600m</w:t>
            </w:r>
            <w:r w:rsidRPr="00687B52">
              <w:rPr>
                <w:rFonts w:hAnsi="Times New Roman"/>
                <w:color w:val="000000" w:themeColor="text1"/>
              </w:rPr>
              <w:t>。</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3</w:t>
            </w:r>
            <w:r w:rsidRPr="00687B52">
              <w:rPr>
                <w:rFonts w:hAnsi="Times New Roman"/>
                <w:color w:val="000000" w:themeColor="text1"/>
              </w:rPr>
              <w:t>）所在地区近</w:t>
            </w:r>
            <w:r w:rsidRPr="00687B52">
              <w:rPr>
                <w:rFonts w:hAnsi="Times New Roman"/>
                <w:color w:val="000000" w:themeColor="text1"/>
              </w:rPr>
              <w:t>5</w:t>
            </w:r>
            <w:r w:rsidRPr="00687B52">
              <w:rPr>
                <w:rFonts w:hAnsi="Times New Roman"/>
                <w:color w:val="000000" w:themeColor="text1"/>
              </w:rPr>
              <w:t>年平均风速</w:t>
            </w:r>
            <w:r w:rsidRPr="00687B52">
              <w:rPr>
                <w:rFonts w:hAnsi="Times New Roman" w:hint="eastAsia"/>
                <w:color w:val="000000" w:themeColor="text1"/>
              </w:rPr>
              <w:t>＞</w:t>
            </w:r>
            <w:r w:rsidRPr="00687B52">
              <w:rPr>
                <w:rFonts w:hAnsi="Times New Roman"/>
                <w:color w:val="000000" w:themeColor="text1"/>
              </w:rPr>
              <w:t>4m/s</w:t>
            </w:r>
            <w:r w:rsidRPr="00687B52">
              <w:rPr>
                <w:rFonts w:hAnsi="Times New Roman"/>
                <w:color w:val="000000" w:themeColor="text1"/>
              </w:rPr>
              <w:t>的生产规模</w:t>
            </w:r>
            <w:r w:rsidRPr="00687B52">
              <w:rPr>
                <w:rFonts w:hAnsi="Times New Roman" w:hint="eastAsia"/>
                <w:color w:val="000000" w:themeColor="text1"/>
              </w:rPr>
              <w:t>＜</w:t>
            </w:r>
            <w:r w:rsidRPr="00687B52">
              <w:rPr>
                <w:rFonts w:hAnsi="Times New Roman"/>
                <w:color w:val="000000" w:themeColor="text1"/>
              </w:rPr>
              <w:t>30</w:t>
            </w:r>
            <w:r w:rsidRPr="00687B52">
              <w:rPr>
                <w:rFonts w:hAnsi="Times New Roman"/>
                <w:color w:val="000000" w:themeColor="text1"/>
              </w:rPr>
              <w:t>万吨</w:t>
            </w:r>
            <w:r w:rsidRPr="00687B52">
              <w:rPr>
                <w:rFonts w:hAnsi="Times New Roman"/>
                <w:color w:val="000000" w:themeColor="text1"/>
              </w:rPr>
              <w:t>/</w:t>
            </w:r>
            <w:r w:rsidRPr="00687B52">
              <w:rPr>
                <w:rFonts w:hAnsi="Times New Roman"/>
                <w:color w:val="000000" w:themeColor="text1"/>
              </w:rPr>
              <w:t>年的合成氨企业的卫生防护距离不应</w:t>
            </w:r>
            <w:r w:rsidRPr="00687B52">
              <w:rPr>
                <w:rFonts w:hAnsi="Times New Roman" w:hint="eastAsia"/>
                <w:color w:val="000000" w:themeColor="text1"/>
              </w:rPr>
              <w:t>＜</w:t>
            </w:r>
            <w:r w:rsidRPr="00687B52">
              <w:rPr>
                <w:rFonts w:hAnsi="Times New Roman" w:hint="eastAsia"/>
                <w:color w:val="000000" w:themeColor="text1"/>
              </w:rPr>
              <w:t>5</w:t>
            </w:r>
            <w:r w:rsidRPr="00687B52">
              <w:rPr>
                <w:rFonts w:hAnsi="Times New Roman"/>
                <w:color w:val="000000" w:themeColor="text1"/>
              </w:rPr>
              <w:t>00m</w:t>
            </w:r>
            <w:r w:rsidRPr="00687B52">
              <w:rPr>
                <w:rFonts w:hAnsi="Times New Roman"/>
                <w:color w:val="000000" w:themeColor="text1"/>
              </w:rPr>
              <w:t>。</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4</w:t>
            </w:r>
            <w:r w:rsidRPr="00687B52">
              <w:rPr>
                <w:rFonts w:hAnsi="Times New Roman"/>
                <w:color w:val="000000" w:themeColor="text1"/>
              </w:rPr>
              <w:t>）所在地区近</w:t>
            </w:r>
            <w:r w:rsidRPr="00687B52">
              <w:rPr>
                <w:rFonts w:hAnsi="Times New Roman"/>
                <w:color w:val="000000" w:themeColor="text1"/>
              </w:rPr>
              <w:t>5</w:t>
            </w:r>
            <w:r w:rsidRPr="00687B52">
              <w:rPr>
                <w:rFonts w:hAnsi="Times New Roman"/>
                <w:color w:val="000000" w:themeColor="text1"/>
              </w:rPr>
              <w:t>年平均风速</w:t>
            </w:r>
            <w:r w:rsidRPr="00687B52">
              <w:rPr>
                <w:rFonts w:hAnsi="Times New Roman" w:hint="eastAsia"/>
                <w:color w:val="000000" w:themeColor="text1"/>
              </w:rPr>
              <w:t>＜</w:t>
            </w:r>
            <w:r w:rsidRPr="00687B52">
              <w:rPr>
                <w:rFonts w:hAnsi="Times New Roman"/>
                <w:color w:val="000000" w:themeColor="text1"/>
              </w:rPr>
              <w:t>2m/s</w:t>
            </w:r>
            <w:r w:rsidRPr="00687B52">
              <w:rPr>
                <w:rFonts w:hAnsi="Times New Roman"/>
                <w:color w:val="000000" w:themeColor="text1"/>
              </w:rPr>
              <w:t>的生产规模</w:t>
            </w:r>
            <w:r w:rsidRPr="00687B52">
              <w:rPr>
                <w:rFonts w:hAnsi="Times New Roman" w:hint="eastAsia"/>
                <w:color w:val="000000" w:themeColor="text1"/>
              </w:rPr>
              <w:t>≥</w:t>
            </w:r>
            <w:r w:rsidRPr="00687B52">
              <w:rPr>
                <w:rFonts w:hAnsi="Times New Roman"/>
                <w:color w:val="000000" w:themeColor="text1"/>
              </w:rPr>
              <w:t>30</w:t>
            </w:r>
            <w:r w:rsidRPr="00687B52">
              <w:rPr>
                <w:rFonts w:hAnsi="Times New Roman"/>
                <w:color w:val="000000" w:themeColor="text1"/>
              </w:rPr>
              <w:t>万吨</w:t>
            </w:r>
            <w:r w:rsidRPr="00687B52">
              <w:rPr>
                <w:rFonts w:hAnsi="Times New Roman"/>
                <w:color w:val="000000" w:themeColor="text1"/>
              </w:rPr>
              <w:t>/</w:t>
            </w:r>
            <w:r w:rsidRPr="00687B52">
              <w:rPr>
                <w:rFonts w:hAnsi="Times New Roman"/>
                <w:color w:val="000000" w:themeColor="text1"/>
              </w:rPr>
              <w:t>年的合成氨企业的卫生防护距离不应</w:t>
            </w:r>
            <w:r w:rsidRPr="00687B52">
              <w:rPr>
                <w:rFonts w:hAnsi="Times New Roman" w:hint="eastAsia"/>
                <w:color w:val="000000" w:themeColor="text1"/>
              </w:rPr>
              <w:t>＜</w:t>
            </w:r>
            <w:r w:rsidRPr="00687B52">
              <w:rPr>
                <w:rFonts w:hAnsi="Times New Roman"/>
                <w:color w:val="000000" w:themeColor="text1"/>
              </w:rPr>
              <w:t>1200m</w:t>
            </w:r>
            <w:r w:rsidRPr="00687B52">
              <w:rPr>
                <w:rFonts w:hAnsi="Times New Roman"/>
                <w:color w:val="000000" w:themeColor="text1"/>
              </w:rPr>
              <w:t>。</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5</w:t>
            </w:r>
            <w:r w:rsidRPr="00687B52">
              <w:rPr>
                <w:rFonts w:hAnsi="Times New Roman"/>
                <w:color w:val="000000" w:themeColor="text1"/>
              </w:rPr>
              <w:t>）所在地区近</w:t>
            </w:r>
            <w:r w:rsidRPr="00687B52">
              <w:rPr>
                <w:rFonts w:hAnsi="Times New Roman"/>
                <w:color w:val="000000" w:themeColor="text1"/>
              </w:rPr>
              <w:t>5</w:t>
            </w:r>
            <w:r w:rsidRPr="00687B52">
              <w:rPr>
                <w:rFonts w:hAnsi="Times New Roman"/>
                <w:color w:val="000000" w:themeColor="text1"/>
              </w:rPr>
              <w:t>年平均风速在</w:t>
            </w:r>
            <w:r w:rsidRPr="00687B52">
              <w:rPr>
                <w:rFonts w:hAnsi="Times New Roman"/>
                <w:color w:val="000000" w:themeColor="text1"/>
              </w:rPr>
              <w:t>2~4m/s</w:t>
            </w:r>
            <w:r w:rsidRPr="00687B52">
              <w:rPr>
                <w:rFonts w:hAnsi="Times New Roman"/>
                <w:color w:val="000000" w:themeColor="text1"/>
              </w:rPr>
              <w:t>的生产规模</w:t>
            </w:r>
            <w:r w:rsidRPr="00687B52">
              <w:rPr>
                <w:rFonts w:hAnsi="Times New Roman" w:hint="eastAsia"/>
                <w:color w:val="000000" w:themeColor="text1"/>
              </w:rPr>
              <w:t>≥</w:t>
            </w:r>
            <w:r w:rsidRPr="00687B52">
              <w:rPr>
                <w:rFonts w:hAnsi="Times New Roman"/>
                <w:color w:val="000000" w:themeColor="text1"/>
              </w:rPr>
              <w:t>30</w:t>
            </w:r>
            <w:r w:rsidRPr="00687B52">
              <w:rPr>
                <w:rFonts w:hAnsi="Times New Roman"/>
                <w:color w:val="000000" w:themeColor="text1"/>
              </w:rPr>
              <w:t>万吨</w:t>
            </w:r>
            <w:r w:rsidRPr="00687B52">
              <w:rPr>
                <w:rFonts w:hAnsi="Times New Roman"/>
                <w:color w:val="000000" w:themeColor="text1"/>
              </w:rPr>
              <w:t>/</w:t>
            </w:r>
            <w:r w:rsidRPr="00687B52">
              <w:rPr>
                <w:rFonts w:hAnsi="Times New Roman"/>
                <w:color w:val="000000" w:themeColor="text1"/>
              </w:rPr>
              <w:t>年的合成氨企业的卫生防护距离不应</w:t>
            </w:r>
            <w:r w:rsidRPr="00687B52">
              <w:rPr>
                <w:rFonts w:hAnsi="Times New Roman" w:hint="eastAsia"/>
                <w:color w:val="000000" w:themeColor="text1"/>
              </w:rPr>
              <w:t>＜</w:t>
            </w:r>
            <w:r w:rsidRPr="00687B52">
              <w:rPr>
                <w:rFonts w:hAnsi="Times New Roman"/>
                <w:color w:val="000000" w:themeColor="text1"/>
              </w:rPr>
              <w:t>800m</w:t>
            </w:r>
            <w:r w:rsidRPr="00687B52">
              <w:rPr>
                <w:rFonts w:hAnsi="Times New Roman"/>
                <w:color w:val="000000" w:themeColor="text1"/>
              </w:rPr>
              <w:t>。</w:t>
            </w:r>
          </w:p>
          <w:p w:rsidR="000C2455" w:rsidRPr="00687B52" w:rsidRDefault="000C2455" w:rsidP="003E1D2A">
            <w:pPr>
              <w:pStyle w:val="a7"/>
              <w:jc w:val="left"/>
              <w:rPr>
                <w:rFonts w:hAnsi="Times New Roman"/>
                <w:color w:val="000000" w:themeColor="text1"/>
                <w:szCs w:val="24"/>
              </w:rPr>
            </w:pPr>
            <w:r w:rsidRPr="00687B52">
              <w:rPr>
                <w:rFonts w:hAnsi="Times New Roman"/>
                <w:color w:val="000000" w:themeColor="text1"/>
              </w:rPr>
              <w:t>6</w:t>
            </w:r>
            <w:r w:rsidRPr="00687B52">
              <w:rPr>
                <w:rFonts w:hAnsi="Times New Roman"/>
                <w:color w:val="000000" w:themeColor="text1"/>
              </w:rPr>
              <w:t>）所在地区近</w:t>
            </w:r>
            <w:r w:rsidRPr="00687B52">
              <w:rPr>
                <w:rFonts w:hAnsi="Times New Roman"/>
                <w:color w:val="000000" w:themeColor="text1"/>
              </w:rPr>
              <w:t>5</w:t>
            </w:r>
            <w:r w:rsidRPr="00687B52">
              <w:rPr>
                <w:rFonts w:hAnsi="Times New Roman"/>
                <w:color w:val="000000" w:themeColor="text1"/>
              </w:rPr>
              <w:t>年平均风速</w:t>
            </w:r>
            <w:r w:rsidRPr="00687B52">
              <w:rPr>
                <w:rFonts w:hAnsi="Times New Roman" w:hint="eastAsia"/>
                <w:color w:val="000000" w:themeColor="text1"/>
              </w:rPr>
              <w:t>＞</w:t>
            </w:r>
            <w:r w:rsidRPr="00687B52">
              <w:rPr>
                <w:rFonts w:hAnsi="Times New Roman"/>
                <w:color w:val="000000" w:themeColor="text1"/>
              </w:rPr>
              <w:t>4m/s</w:t>
            </w:r>
            <w:r w:rsidRPr="00687B52">
              <w:rPr>
                <w:rFonts w:hAnsi="Times New Roman"/>
                <w:color w:val="000000" w:themeColor="text1"/>
              </w:rPr>
              <w:t>的生产规模</w:t>
            </w:r>
            <w:r w:rsidRPr="00687B52">
              <w:rPr>
                <w:rFonts w:hAnsi="Times New Roman" w:hint="eastAsia"/>
                <w:color w:val="000000" w:themeColor="text1"/>
              </w:rPr>
              <w:t>≥</w:t>
            </w:r>
            <w:r w:rsidRPr="00687B52">
              <w:rPr>
                <w:rFonts w:hAnsi="Times New Roman"/>
                <w:color w:val="000000" w:themeColor="text1"/>
              </w:rPr>
              <w:t>30</w:t>
            </w:r>
            <w:r w:rsidRPr="00687B52">
              <w:rPr>
                <w:rFonts w:hAnsi="Times New Roman"/>
                <w:color w:val="000000" w:themeColor="text1"/>
              </w:rPr>
              <w:t>万吨</w:t>
            </w:r>
            <w:r w:rsidRPr="00687B52">
              <w:rPr>
                <w:rFonts w:hAnsi="Times New Roman"/>
                <w:color w:val="000000" w:themeColor="text1"/>
              </w:rPr>
              <w:t>/</w:t>
            </w:r>
            <w:r w:rsidRPr="00687B52">
              <w:rPr>
                <w:rFonts w:hAnsi="Times New Roman"/>
                <w:color w:val="000000" w:themeColor="text1"/>
              </w:rPr>
              <w:t>年的合成氨企业的卫生防护距离不应</w:t>
            </w:r>
            <w:r w:rsidRPr="00687B52">
              <w:rPr>
                <w:rFonts w:hAnsi="Times New Roman" w:hint="eastAsia"/>
                <w:color w:val="000000" w:themeColor="text1"/>
              </w:rPr>
              <w:t>＜</w:t>
            </w:r>
            <w:r w:rsidRPr="00687B52">
              <w:rPr>
                <w:rFonts w:hAnsi="Times New Roman"/>
                <w:color w:val="000000" w:themeColor="text1"/>
              </w:rPr>
              <w:t>600m</w:t>
            </w:r>
            <w:r w:rsidRPr="00687B52">
              <w:rPr>
                <w:rFonts w:hAnsi="Times New Roman"/>
                <w:color w:val="000000" w:themeColor="text1"/>
              </w:rPr>
              <w:t>。</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《肥料制造企业卫生防护》</w:t>
            </w:r>
            <w:r w:rsidRPr="00687B52">
              <w:rPr>
                <w:rFonts w:hAnsi="Times New Roman"/>
                <w:color w:val="000000" w:themeColor="text1"/>
              </w:rPr>
              <w:t>GB11666.1-2012</w:t>
            </w:r>
          </w:p>
          <w:p w:rsidR="000C2455" w:rsidRPr="00687B52" w:rsidRDefault="000C2455" w:rsidP="003E1D2A">
            <w:pPr>
              <w:pStyle w:val="a7"/>
              <w:rPr>
                <w:rFonts w:hAnsi="Times New Roman"/>
                <w:color w:val="000000" w:themeColor="text1"/>
                <w:szCs w:val="24"/>
              </w:rPr>
            </w:pPr>
            <w:r w:rsidRPr="00687B52">
              <w:rPr>
                <w:rFonts w:hAnsi="Times New Roman"/>
                <w:color w:val="000000" w:themeColor="text1"/>
              </w:rPr>
              <w:t>第</w:t>
            </w:r>
            <w:r w:rsidRPr="00687B52">
              <w:rPr>
                <w:rFonts w:hAnsi="Times New Roman"/>
                <w:color w:val="000000" w:themeColor="text1"/>
              </w:rPr>
              <w:t>4.1</w:t>
            </w:r>
            <w:r w:rsidRPr="00687B52">
              <w:rPr>
                <w:rFonts w:hAnsi="Times New Roman"/>
                <w:color w:val="000000" w:themeColor="text1"/>
              </w:rPr>
              <w:t>条</w:t>
            </w:r>
          </w:p>
        </w:tc>
        <w:tc>
          <w:tcPr>
            <w:tcW w:w="1056" w:type="pct"/>
            <w:vAlign w:val="center"/>
          </w:tcPr>
          <w:p w:rsidR="000C2455" w:rsidRPr="00687B52" w:rsidRDefault="000C2455" w:rsidP="003E1D2A">
            <w:pPr>
              <w:spacing w:line="320" w:lineRule="exact"/>
              <w:rPr>
                <w:rFonts w:ascii="Times New Roman" w:hAnsi="Times New Roman"/>
                <w:color w:val="000000" w:themeColor="text1"/>
                <w:sz w:val="24"/>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1.3</w:t>
            </w:r>
          </w:p>
        </w:tc>
        <w:tc>
          <w:tcPr>
            <w:tcW w:w="2272" w:type="pct"/>
            <w:gridSpan w:val="2"/>
            <w:vAlign w:val="center"/>
          </w:tcPr>
          <w:p w:rsidR="000C2455" w:rsidRPr="00687B52" w:rsidRDefault="000C2455" w:rsidP="003E1D2A">
            <w:pPr>
              <w:pStyle w:val="a7"/>
              <w:jc w:val="left"/>
              <w:rPr>
                <w:rFonts w:hAnsi="Times New Roman"/>
                <w:color w:val="000000" w:themeColor="text1"/>
                <w:szCs w:val="24"/>
              </w:rPr>
            </w:pPr>
            <w:r w:rsidRPr="00687B52">
              <w:rPr>
                <w:rFonts w:hAnsi="宋体"/>
                <w:color w:val="000000" w:themeColor="text1"/>
              </w:rPr>
              <w:t>厂房之间及与乙、丙、丁、戊类仓库、民用建筑等的防火间距不小于</w:t>
            </w:r>
            <w:r w:rsidRPr="00687B52">
              <w:rPr>
                <w:rFonts w:hAnsi="Times New Roman" w:hint="eastAsia"/>
                <w:color w:val="000000" w:themeColor="text1"/>
                <w:szCs w:val="24"/>
              </w:rPr>
              <w:t>表</w:t>
            </w:r>
            <w:r w:rsidRPr="00687B52">
              <w:rPr>
                <w:rFonts w:hAnsi="Times New Roman"/>
                <w:color w:val="000000" w:themeColor="text1"/>
                <w:szCs w:val="24"/>
              </w:rPr>
              <w:t>3.4.1</w:t>
            </w:r>
            <w:r w:rsidRPr="00687B52">
              <w:rPr>
                <w:rFonts w:hAnsi="宋体"/>
                <w:color w:val="000000" w:themeColor="text1"/>
              </w:rPr>
              <w:t>的规定。</w:t>
            </w:r>
          </w:p>
        </w:tc>
        <w:tc>
          <w:tcPr>
            <w:tcW w:w="1335"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rPr>
              <w:t>《建筑设计防火规范》</w:t>
            </w:r>
          </w:p>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GB50016-2014</w:t>
            </w:r>
          </w:p>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第</w:t>
            </w:r>
            <w:r w:rsidRPr="00687B52">
              <w:rPr>
                <w:rFonts w:hAnsi="Times New Roman"/>
                <w:color w:val="000000" w:themeColor="text1"/>
                <w:szCs w:val="24"/>
              </w:rPr>
              <w:t>3.4.1</w:t>
            </w:r>
            <w:r w:rsidRPr="00687B52">
              <w:rPr>
                <w:rFonts w:hAnsi="Times New Roman"/>
                <w:color w:val="000000" w:themeColor="text1"/>
                <w:szCs w:val="24"/>
              </w:rPr>
              <w:t>条</w:t>
            </w:r>
          </w:p>
        </w:tc>
        <w:tc>
          <w:tcPr>
            <w:tcW w:w="1056" w:type="pct"/>
            <w:vAlign w:val="center"/>
          </w:tcPr>
          <w:p w:rsidR="000C2455" w:rsidRPr="00687B52" w:rsidRDefault="000C2455" w:rsidP="003E1D2A">
            <w:pPr>
              <w:pStyle w:val="a7"/>
              <w:jc w:val="both"/>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1.4</w:t>
            </w:r>
          </w:p>
        </w:tc>
        <w:tc>
          <w:tcPr>
            <w:tcW w:w="2272" w:type="pct"/>
            <w:gridSpan w:val="2"/>
            <w:vAlign w:val="center"/>
          </w:tcPr>
          <w:p w:rsidR="000C2455" w:rsidRPr="00687B52" w:rsidRDefault="000C2455" w:rsidP="003E1D2A">
            <w:pPr>
              <w:pStyle w:val="a7"/>
              <w:jc w:val="left"/>
              <w:rPr>
                <w:rFonts w:hAnsi="Times New Roman"/>
                <w:color w:val="000000" w:themeColor="text1"/>
              </w:rPr>
            </w:pPr>
            <w:r w:rsidRPr="00687B52">
              <w:rPr>
                <w:rFonts w:hAnsi="宋体"/>
                <w:color w:val="000000" w:themeColor="text1"/>
              </w:rPr>
              <w:t>乙、丙、丁、戊类仓库之间及与民用建筑的防火间距，不应小于</w:t>
            </w:r>
            <w:r w:rsidRPr="00687B52">
              <w:rPr>
                <w:rFonts w:hAnsi="Times New Roman" w:hint="eastAsia"/>
                <w:color w:val="000000" w:themeColor="text1"/>
                <w:szCs w:val="24"/>
              </w:rPr>
              <w:t>表</w:t>
            </w:r>
            <w:r w:rsidRPr="00687B52">
              <w:rPr>
                <w:rFonts w:hAnsi="Times New Roman" w:hint="eastAsia"/>
                <w:color w:val="000000" w:themeColor="text1"/>
                <w:szCs w:val="24"/>
              </w:rPr>
              <w:t>3.5.2</w:t>
            </w:r>
            <w:r w:rsidRPr="00687B52">
              <w:rPr>
                <w:rFonts w:hAnsi="宋体"/>
                <w:color w:val="000000" w:themeColor="text1"/>
              </w:rPr>
              <w:t>的规定。</w:t>
            </w:r>
          </w:p>
        </w:tc>
        <w:tc>
          <w:tcPr>
            <w:tcW w:w="1335"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rPr>
              <w:t>《建筑设计防火规范》</w:t>
            </w:r>
          </w:p>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GB50016-2014</w:t>
            </w:r>
          </w:p>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第</w:t>
            </w:r>
            <w:r w:rsidRPr="00687B52">
              <w:rPr>
                <w:rFonts w:hAnsi="Times New Roman"/>
                <w:color w:val="000000" w:themeColor="text1"/>
                <w:szCs w:val="24"/>
              </w:rPr>
              <w:t>3.5.2</w:t>
            </w:r>
            <w:r w:rsidRPr="00687B52">
              <w:rPr>
                <w:rFonts w:hAnsi="Times New Roman"/>
                <w:color w:val="000000" w:themeColor="text1"/>
                <w:szCs w:val="24"/>
              </w:rPr>
              <w:t>条</w:t>
            </w:r>
          </w:p>
        </w:tc>
        <w:tc>
          <w:tcPr>
            <w:tcW w:w="1056" w:type="pct"/>
            <w:vAlign w:val="center"/>
          </w:tcPr>
          <w:p w:rsidR="000C2455" w:rsidRPr="00687B52" w:rsidRDefault="000C2455" w:rsidP="003E1D2A">
            <w:pPr>
              <w:pStyle w:val="a7"/>
              <w:jc w:val="both"/>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1.5</w:t>
            </w:r>
          </w:p>
        </w:tc>
        <w:tc>
          <w:tcPr>
            <w:tcW w:w="2272" w:type="pct"/>
            <w:gridSpan w:val="2"/>
            <w:vAlign w:val="center"/>
          </w:tcPr>
          <w:p w:rsidR="000C2455" w:rsidRPr="00687B52" w:rsidRDefault="000C2455" w:rsidP="003E1D2A">
            <w:pPr>
              <w:pStyle w:val="a7"/>
              <w:jc w:val="left"/>
              <w:rPr>
                <w:rFonts w:hAnsi="Times New Roman"/>
                <w:color w:val="000000" w:themeColor="text1"/>
              </w:rPr>
            </w:pPr>
            <w:r w:rsidRPr="00687B52">
              <w:rPr>
                <w:rFonts w:hAnsi="宋体"/>
                <w:color w:val="000000" w:themeColor="text1"/>
              </w:rPr>
              <w:t>乙、丙类液体储罐（区）和乙、丙类液体桶装堆场与其他</w:t>
            </w:r>
            <w:r w:rsidRPr="00687B52">
              <w:rPr>
                <w:rFonts w:hAnsi="宋体"/>
                <w:color w:val="000000" w:themeColor="text1"/>
              </w:rPr>
              <w:lastRenderedPageBreak/>
              <w:t>建筑的防火间距，不应小于</w:t>
            </w:r>
            <w:r w:rsidRPr="00687B52">
              <w:rPr>
                <w:rFonts w:hAnsi="Times New Roman" w:hint="eastAsia"/>
                <w:color w:val="000000" w:themeColor="text1"/>
                <w:szCs w:val="24"/>
              </w:rPr>
              <w:t>表</w:t>
            </w:r>
            <w:r w:rsidRPr="00687B52">
              <w:rPr>
                <w:rFonts w:hAnsi="Times New Roman" w:hint="eastAsia"/>
                <w:color w:val="000000" w:themeColor="text1"/>
                <w:szCs w:val="24"/>
              </w:rPr>
              <w:t>4.2.1</w:t>
            </w:r>
            <w:r w:rsidRPr="00687B52">
              <w:rPr>
                <w:rFonts w:hAnsi="宋体"/>
                <w:color w:val="000000" w:themeColor="text1"/>
              </w:rPr>
              <w:t>的规定。</w:t>
            </w:r>
          </w:p>
        </w:tc>
        <w:tc>
          <w:tcPr>
            <w:tcW w:w="1335"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rPr>
              <w:lastRenderedPageBreak/>
              <w:t>《建筑设计防火规范》</w:t>
            </w:r>
          </w:p>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lastRenderedPageBreak/>
              <w:t>GB50016-2014</w:t>
            </w:r>
          </w:p>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第</w:t>
            </w:r>
            <w:r w:rsidRPr="00687B52">
              <w:rPr>
                <w:rFonts w:hAnsi="Times New Roman"/>
                <w:color w:val="000000" w:themeColor="text1"/>
                <w:szCs w:val="24"/>
              </w:rPr>
              <w:t>4.2.1</w:t>
            </w:r>
            <w:r w:rsidRPr="00687B52">
              <w:rPr>
                <w:rFonts w:hAnsi="Times New Roman"/>
                <w:color w:val="000000" w:themeColor="text1"/>
                <w:szCs w:val="24"/>
              </w:rPr>
              <w:t>条</w:t>
            </w:r>
          </w:p>
        </w:tc>
        <w:tc>
          <w:tcPr>
            <w:tcW w:w="1056" w:type="pct"/>
            <w:vAlign w:val="center"/>
          </w:tcPr>
          <w:p w:rsidR="000C2455" w:rsidRPr="00687B52" w:rsidRDefault="000C2455" w:rsidP="003E1D2A">
            <w:pPr>
              <w:pStyle w:val="a7"/>
              <w:jc w:val="both"/>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lastRenderedPageBreak/>
              <w:t>1.6</w:t>
            </w:r>
          </w:p>
        </w:tc>
        <w:tc>
          <w:tcPr>
            <w:tcW w:w="2272" w:type="pct"/>
            <w:gridSpan w:val="2"/>
            <w:vAlign w:val="center"/>
          </w:tcPr>
          <w:p w:rsidR="000C2455" w:rsidRPr="00687B52" w:rsidRDefault="000C2455" w:rsidP="003E1D2A">
            <w:pPr>
              <w:pStyle w:val="a7"/>
              <w:jc w:val="left"/>
              <w:rPr>
                <w:rFonts w:hAnsi="Times New Roman"/>
                <w:color w:val="000000" w:themeColor="text1"/>
              </w:rPr>
            </w:pPr>
            <w:r w:rsidRPr="00687B52">
              <w:rPr>
                <w:rFonts w:hAnsi="宋体"/>
                <w:color w:val="000000" w:themeColor="text1"/>
              </w:rPr>
              <w:t>乙、丙类液体储罐之间的防火间距不应小于表</w:t>
            </w:r>
            <w:r w:rsidRPr="00687B52">
              <w:rPr>
                <w:rFonts w:hAnsi="Times New Roman" w:hint="eastAsia"/>
                <w:color w:val="000000" w:themeColor="text1"/>
                <w:szCs w:val="24"/>
              </w:rPr>
              <w:t>4.2.2</w:t>
            </w:r>
            <w:r w:rsidRPr="00687B52">
              <w:rPr>
                <w:rFonts w:hAnsi="宋体"/>
                <w:color w:val="000000" w:themeColor="text1"/>
              </w:rPr>
              <w:t>的规定。</w:t>
            </w:r>
          </w:p>
        </w:tc>
        <w:tc>
          <w:tcPr>
            <w:tcW w:w="1335"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rPr>
              <w:t>《建筑设计防火规范》</w:t>
            </w:r>
          </w:p>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GB50016-2014</w:t>
            </w:r>
          </w:p>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第</w:t>
            </w:r>
            <w:r w:rsidRPr="00687B52">
              <w:rPr>
                <w:rFonts w:hAnsi="Times New Roman"/>
                <w:color w:val="000000" w:themeColor="text1"/>
                <w:szCs w:val="24"/>
              </w:rPr>
              <w:t>4.2.2</w:t>
            </w:r>
            <w:r w:rsidRPr="00687B52">
              <w:rPr>
                <w:rFonts w:hAnsi="Times New Roman"/>
                <w:color w:val="000000" w:themeColor="text1"/>
                <w:szCs w:val="24"/>
              </w:rPr>
              <w:t>条</w:t>
            </w:r>
          </w:p>
        </w:tc>
        <w:tc>
          <w:tcPr>
            <w:tcW w:w="1056" w:type="pct"/>
            <w:vAlign w:val="center"/>
          </w:tcPr>
          <w:p w:rsidR="000C2455" w:rsidRPr="00687B52" w:rsidRDefault="000C2455" w:rsidP="003E1D2A">
            <w:pPr>
              <w:pStyle w:val="a7"/>
              <w:jc w:val="both"/>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1.7</w:t>
            </w:r>
          </w:p>
        </w:tc>
        <w:tc>
          <w:tcPr>
            <w:tcW w:w="2272" w:type="pct"/>
            <w:gridSpan w:val="2"/>
            <w:vAlign w:val="center"/>
          </w:tcPr>
          <w:p w:rsidR="000C2455" w:rsidRPr="00687B52" w:rsidRDefault="000C2455" w:rsidP="003E1D2A">
            <w:pPr>
              <w:pStyle w:val="a7"/>
              <w:jc w:val="left"/>
              <w:rPr>
                <w:rFonts w:hAnsi="Times New Roman"/>
                <w:color w:val="000000" w:themeColor="text1"/>
              </w:rPr>
            </w:pPr>
            <w:r w:rsidRPr="00687B52">
              <w:rPr>
                <w:rFonts w:hAnsi="宋体"/>
                <w:color w:val="000000" w:themeColor="text1"/>
              </w:rPr>
              <w:t>湿式煤气柜与建筑物、储罐、堆场等的防火间距不应小于</w:t>
            </w:r>
            <w:r w:rsidRPr="00687B52">
              <w:rPr>
                <w:rFonts w:hAnsi="Times New Roman" w:hint="eastAsia"/>
                <w:color w:val="000000" w:themeColor="text1"/>
                <w:szCs w:val="24"/>
              </w:rPr>
              <w:t>表</w:t>
            </w:r>
            <w:r w:rsidRPr="00687B52">
              <w:rPr>
                <w:rFonts w:hAnsi="Times New Roman" w:hint="eastAsia"/>
                <w:color w:val="000000" w:themeColor="text1"/>
                <w:szCs w:val="24"/>
              </w:rPr>
              <w:t>4.3.1</w:t>
            </w:r>
            <w:r w:rsidRPr="00687B52">
              <w:rPr>
                <w:rFonts w:hAnsi="宋体"/>
                <w:color w:val="000000" w:themeColor="text1"/>
              </w:rPr>
              <w:t>的规定。</w:t>
            </w:r>
          </w:p>
        </w:tc>
        <w:tc>
          <w:tcPr>
            <w:tcW w:w="1335"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rPr>
              <w:t>《建筑设计防火规范》</w:t>
            </w:r>
          </w:p>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GB50016-2014</w:t>
            </w:r>
          </w:p>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第</w:t>
            </w:r>
            <w:r w:rsidRPr="00687B52">
              <w:rPr>
                <w:rFonts w:hAnsi="Times New Roman"/>
                <w:color w:val="000000" w:themeColor="text1"/>
                <w:szCs w:val="24"/>
              </w:rPr>
              <w:t>4.3.1</w:t>
            </w:r>
            <w:r w:rsidRPr="00687B52">
              <w:rPr>
                <w:rFonts w:hAnsi="Times New Roman"/>
                <w:color w:val="000000" w:themeColor="text1"/>
                <w:szCs w:val="24"/>
              </w:rPr>
              <w:t>条</w:t>
            </w:r>
          </w:p>
        </w:tc>
        <w:tc>
          <w:tcPr>
            <w:tcW w:w="1056" w:type="pct"/>
            <w:vAlign w:val="center"/>
          </w:tcPr>
          <w:p w:rsidR="000C2455" w:rsidRPr="00687B52" w:rsidRDefault="000C2455" w:rsidP="003E1D2A">
            <w:pPr>
              <w:pStyle w:val="a7"/>
              <w:jc w:val="both"/>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1.8</w:t>
            </w:r>
          </w:p>
        </w:tc>
        <w:tc>
          <w:tcPr>
            <w:tcW w:w="2272" w:type="pct"/>
            <w:gridSpan w:val="2"/>
            <w:vAlign w:val="center"/>
          </w:tcPr>
          <w:p w:rsidR="000C2455" w:rsidRPr="00687B52" w:rsidRDefault="000C2455" w:rsidP="003E1D2A">
            <w:pPr>
              <w:pStyle w:val="a7"/>
              <w:jc w:val="left"/>
              <w:rPr>
                <w:rFonts w:hAnsi="Times New Roman"/>
                <w:color w:val="000000" w:themeColor="text1"/>
              </w:rPr>
            </w:pPr>
            <w:r w:rsidRPr="00687B52">
              <w:rPr>
                <w:rFonts w:hAnsi="宋体"/>
                <w:bCs/>
                <w:color w:val="000000" w:themeColor="text1"/>
              </w:rPr>
              <w:t>架空电力线与甲、乙类厂房</w:t>
            </w:r>
            <w:r w:rsidRPr="00687B52">
              <w:rPr>
                <w:rFonts w:hAnsi="Times New Roman"/>
                <w:bCs/>
                <w:color w:val="000000" w:themeColor="text1"/>
              </w:rPr>
              <w:t>(</w:t>
            </w:r>
            <w:r w:rsidRPr="00687B52">
              <w:rPr>
                <w:rFonts w:hAnsi="宋体"/>
                <w:bCs/>
                <w:color w:val="000000" w:themeColor="text1"/>
              </w:rPr>
              <w:t>仓库</w:t>
            </w:r>
            <w:r w:rsidRPr="00687B52">
              <w:rPr>
                <w:rFonts w:hAnsi="Times New Roman"/>
                <w:bCs/>
                <w:color w:val="000000" w:themeColor="text1"/>
              </w:rPr>
              <w:t>)</w:t>
            </w:r>
            <w:r w:rsidRPr="00687B52">
              <w:rPr>
                <w:rFonts w:hAnsi="Times New Roman" w:hint="eastAsia"/>
                <w:bCs/>
                <w:color w:val="000000" w:themeColor="text1"/>
              </w:rPr>
              <w:t>，</w:t>
            </w:r>
            <w:r w:rsidRPr="00687B52">
              <w:rPr>
                <w:rFonts w:hAnsi="宋体"/>
                <w:bCs/>
                <w:color w:val="000000" w:themeColor="text1"/>
              </w:rPr>
              <w:t>可燃材料堆垛</w:t>
            </w:r>
            <w:r w:rsidRPr="00687B52">
              <w:rPr>
                <w:rFonts w:hAnsi="Times New Roman" w:hint="eastAsia"/>
                <w:bCs/>
                <w:color w:val="000000" w:themeColor="text1"/>
              </w:rPr>
              <w:t>，</w:t>
            </w:r>
            <w:r w:rsidRPr="00687B52">
              <w:rPr>
                <w:rFonts w:hAnsi="宋体"/>
                <w:bCs/>
                <w:color w:val="000000" w:themeColor="text1"/>
              </w:rPr>
              <w:t>液氨储罐</w:t>
            </w:r>
            <w:r w:rsidRPr="00687B52">
              <w:rPr>
                <w:rFonts w:hAnsi="Times New Roman" w:hint="eastAsia"/>
                <w:bCs/>
                <w:color w:val="000000" w:themeColor="text1"/>
              </w:rPr>
              <w:t>，</w:t>
            </w:r>
            <w:r w:rsidRPr="00687B52">
              <w:rPr>
                <w:rFonts w:hAnsi="宋体"/>
                <w:color w:val="000000" w:themeColor="text1"/>
              </w:rPr>
              <w:t>湿式煤气柜</w:t>
            </w:r>
            <w:r w:rsidRPr="00687B52">
              <w:rPr>
                <w:rFonts w:hAnsi="宋体"/>
                <w:bCs/>
                <w:color w:val="000000" w:themeColor="text1"/>
              </w:rPr>
              <w:t>的最近水平距离应大于电杆（塔）高度的</w:t>
            </w:r>
            <w:r w:rsidRPr="00687B52">
              <w:rPr>
                <w:rFonts w:hAnsi="Times New Roman"/>
                <w:bCs/>
                <w:color w:val="000000" w:themeColor="text1"/>
              </w:rPr>
              <w:t>1.5</w:t>
            </w:r>
            <w:r w:rsidRPr="00687B52">
              <w:rPr>
                <w:rFonts w:hAnsi="宋体"/>
                <w:bCs/>
                <w:color w:val="000000" w:themeColor="text1"/>
              </w:rPr>
              <w:t>倍。</w:t>
            </w:r>
          </w:p>
        </w:tc>
        <w:tc>
          <w:tcPr>
            <w:tcW w:w="1335"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rPr>
              <w:t>《建筑设计防火规范》</w:t>
            </w:r>
          </w:p>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GB50016-2014</w:t>
            </w:r>
          </w:p>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第</w:t>
            </w:r>
            <w:r w:rsidRPr="00687B52">
              <w:rPr>
                <w:rFonts w:hAnsi="Times New Roman"/>
                <w:color w:val="000000" w:themeColor="text1"/>
                <w:szCs w:val="24"/>
              </w:rPr>
              <w:t>10.2.1</w:t>
            </w:r>
            <w:r w:rsidRPr="00687B52">
              <w:rPr>
                <w:rFonts w:hAnsi="Times New Roman"/>
                <w:color w:val="000000" w:themeColor="text1"/>
                <w:szCs w:val="24"/>
              </w:rPr>
              <w:t>条</w:t>
            </w:r>
          </w:p>
        </w:tc>
        <w:tc>
          <w:tcPr>
            <w:tcW w:w="1056" w:type="pct"/>
            <w:vAlign w:val="center"/>
          </w:tcPr>
          <w:p w:rsidR="000C2455" w:rsidRPr="00687B52" w:rsidRDefault="000C2455" w:rsidP="003E1D2A">
            <w:pPr>
              <w:pStyle w:val="a7"/>
              <w:jc w:val="both"/>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b/>
                <w:color w:val="000000" w:themeColor="text1"/>
                <w:szCs w:val="24"/>
              </w:rPr>
            </w:pPr>
            <w:r w:rsidRPr="00687B52">
              <w:rPr>
                <w:rFonts w:hAnsi="Times New Roman"/>
                <w:b/>
                <w:color w:val="000000" w:themeColor="text1"/>
                <w:szCs w:val="24"/>
              </w:rPr>
              <w:t>2</w:t>
            </w:r>
          </w:p>
        </w:tc>
        <w:tc>
          <w:tcPr>
            <w:tcW w:w="4663" w:type="pct"/>
            <w:gridSpan w:val="4"/>
            <w:vAlign w:val="center"/>
          </w:tcPr>
          <w:p w:rsidR="000C2455" w:rsidRPr="00687B52" w:rsidRDefault="000C2455" w:rsidP="003E1D2A">
            <w:pPr>
              <w:pStyle w:val="a7"/>
              <w:jc w:val="left"/>
              <w:rPr>
                <w:rFonts w:hAnsi="Times New Roman"/>
                <w:b/>
                <w:color w:val="000000" w:themeColor="text1"/>
                <w:szCs w:val="24"/>
              </w:rPr>
            </w:pPr>
            <w:r w:rsidRPr="00687B52">
              <w:rPr>
                <w:rFonts w:hAnsi="Times New Roman"/>
                <w:b/>
                <w:color w:val="000000" w:themeColor="text1"/>
                <w:szCs w:val="24"/>
              </w:rPr>
              <w:t>工艺及设备设施</w:t>
            </w:r>
            <w:r w:rsidRPr="00687B52">
              <w:rPr>
                <w:rFonts w:hAnsi="Times New Roman"/>
                <w:b/>
                <w:color w:val="000000" w:themeColor="text1"/>
                <w:szCs w:val="24"/>
              </w:rPr>
              <w:t>-</w:t>
            </w:r>
            <w:r w:rsidRPr="00687B52">
              <w:rPr>
                <w:rFonts w:hAnsi="Times New Roman"/>
                <w:b/>
                <w:color w:val="000000" w:themeColor="text1"/>
                <w:szCs w:val="24"/>
              </w:rPr>
              <w:t>造气工段</w:t>
            </w:r>
          </w:p>
        </w:tc>
      </w:tr>
      <w:tr w:rsidR="000C2455" w:rsidRPr="00687B52" w:rsidTr="003E1D2A">
        <w:trPr>
          <w:jc w:val="center"/>
        </w:trPr>
        <w:tc>
          <w:tcPr>
            <w:tcW w:w="337" w:type="pct"/>
            <w:vMerge w:val="restar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2.1</w:t>
            </w:r>
          </w:p>
        </w:tc>
        <w:tc>
          <w:tcPr>
            <w:tcW w:w="1166" w:type="pct"/>
            <w:vAlign w:val="center"/>
          </w:tcPr>
          <w:p w:rsidR="000C2455" w:rsidRPr="00687B52" w:rsidRDefault="000C2455" w:rsidP="003E1D2A">
            <w:pPr>
              <w:pStyle w:val="a7"/>
              <w:jc w:val="left"/>
              <w:rPr>
                <w:rFonts w:hAnsi="Times New Roman"/>
                <w:bCs/>
                <w:color w:val="000000" w:themeColor="text1"/>
              </w:rPr>
            </w:pPr>
            <w:r w:rsidRPr="00687B52">
              <w:rPr>
                <w:rFonts w:hAnsi="宋体"/>
                <w:bCs/>
                <w:color w:val="000000" w:themeColor="text1"/>
              </w:rPr>
              <w:t>淘汰的落后技术装备名称</w:t>
            </w:r>
          </w:p>
        </w:tc>
        <w:tc>
          <w:tcPr>
            <w:tcW w:w="1106" w:type="pct"/>
            <w:vAlign w:val="center"/>
          </w:tcPr>
          <w:p w:rsidR="000C2455" w:rsidRPr="00687B52" w:rsidRDefault="000C2455" w:rsidP="003E1D2A">
            <w:pPr>
              <w:pStyle w:val="a7"/>
              <w:jc w:val="left"/>
              <w:rPr>
                <w:rFonts w:hAnsi="Times New Roman"/>
                <w:bCs/>
                <w:color w:val="000000" w:themeColor="text1"/>
              </w:rPr>
            </w:pPr>
            <w:r w:rsidRPr="00687B52">
              <w:rPr>
                <w:rFonts w:hAnsi="宋体"/>
                <w:bCs/>
                <w:color w:val="000000" w:themeColor="text1"/>
              </w:rPr>
              <w:t>代替的技术装备名称</w:t>
            </w:r>
          </w:p>
        </w:tc>
        <w:tc>
          <w:tcPr>
            <w:tcW w:w="1335" w:type="pct"/>
            <w:vMerge w:val="restar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rPr>
              <w:t>《国家安全监管总局关于印发淘汰落后安全技术装备目录（</w:t>
            </w:r>
            <w:r w:rsidRPr="00687B52">
              <w:rPr>
                <w:rFonts w:hAnsi="Times New Roman"/>
                <w:color w:val="000000" w:themeColor="text1"/>
              </w:rPr>
              <w:t>2015</w:t>
            </w:r>
            <w:r w:rsidRPr="00687B52">
              <w:rPr>
                <w:rFonts w:hAnsi="Times New Roman"/>
                <w:color w:val="000000" w:themeColor="text1"/>
              </w:rPr>
              <w:t>年第一批）的通知》安监总科技〔</w:t>
            </w:r>
            <w:r w:rsidRPr="00687B52">
              <w:rPr>
                <w:rFonts w:hAnsi="Times New Roman"/>
                <w:color w:val="000000" w:themeColor="text1"/>
              </w:rPr>
              <w:t>2015</w:t>
            </w:r>
            <w:r w:rsidRPr="00687B52">
              <w:rPr>
                <w:rFonts w:hAnsi="Times New Roman"/>
                <w:color w:val="000000" w:themeColor="text1"/>
              </w:rPr>
              <w:t>〕</w:t>
            </w:r>
            <w:r w:rsidRPr="00687B52">
              <w:rPr>
                <w:rFonts w:hAnsi="Times New Roman"/>
                <w:color w:val="000000" w:themeColor="text1"/>
              </w:rPr>
              <w:t>75</w:t>
            </w:r>
            <w:r w:rsidRPr="00687B52">
              <w:rPr>
                <w:rFonts w:hAnsi="Times New Roman"/>
                <w:color w:val="000000" w:themeColor="text1"/>
              </w:rPr>
              <w:t>号</w:t>
            </w:r>
          </w:p>
        </w:tc>
        <w:tc>
          <w:tcPr>
            <w:tcW w:w="1056" w:type="pct"/>
            <w:vMerge w:val="restar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Merge/>
            <w:vAlign w:val="center"/>
          </w:tcPr>
          <w:p w:rsidR="000C2455" w:rsidRPr="00687B52" w:rsidRDefault="000C2455" w:rsidP="003E1D2A">
            <w:pPr>
              <w:pStyle w:val="a7"/>
              <w:rPr>
                <w:rFonts w:hAnsi="Times New Roman"/>
                <w:color w:val="000000" w:themeColor="text1"/>
                <w:szCs w:val="24"/>
              </w:rPr>
            </w:pPr>
          </w:p>
        </w:tc>
        <w:tc>
          <w:tcPr>
            <w:tcW w:w="1166" w:type="pct"/>
            <w:vAlign w:val="center"/>
          </w:tcPr>
          <w:p w:rsidR="000C2455" w:rsidRPr="00687B52" w:rsidRDefault="000C2455" w:rsidP="003E1D2A">
            <w:pPr>
              <w:pStyle w:val="a7"/>
              <w:jc w:val="left"/>
              <w:rPr>
                <w:rFonts w:hAnsi="Times New Roman"/>
                <w:bCs/>
                <w:color w:val="000000" w:themeColor="text1"/>
              </w:rPr>
            </w:pPr>
            <w:r w:rsidRPr="00687B52">
              <w:rPr>
                <w:rFonts w:hAnsi="宋体"/>
                <w:bCs/>
                <w:color w:val="000000" w:themeColor="text1"/>
              </w:rPr>
              <w:t>合成氨半水煤气氨水液相脱硫工艺</w:t>
            </w:r>
          </w:p>
        </w:tc>
        <w:tc>
          <w:tcPr>
            <w:tcW w:w="1106" w:type="pct"/>
            <w:vAlign w:val="center"/>
          </w:tcPr>
          <w:p w:rsidR="000C2455" w:rsidRPr="00687B52" w:rsidRDefault="000C2455" w:rsidP="003E1D2A">
            <w:pPr>
              <w:pStyle w:val="a7"/>
              <w:jc w:val="left"/>
              <w:rPr>
                <w:rFonts w:hAnsi="Times New Roman"/>
                <w:bCs/>
                <w:color w:val="000000" w:themeColor="text1"/>
              </w:rPr>
            </w:pPr>
            <w:r w:rsidRPr="00687B52">
              <w:rPr>
                <w:rFonts w:hAnsi="宋体"/>
                <w:bCs/>
                <w:color w:val="000000" w:themeColor="text1"/>
              </w:rPr>
              <w:t>配套有硫磺回收装置的栲胶湿式脱硫工艺</w:t>
            </w:r>
          </w:p>
        </w:tc>
        <w:tc>
          <w:tcPr>
            <w:tcW w:w="1335" w:type="pct"/>
            <w:vMerge/>
            <w:vAlign w:val="center"/>
          </w:tcPr>
          <w:p w:rsidR="000C2455" w:rsidRPr="00687B52" w:rsidRDefault="000C2455" w:rsidP="003E1D2A">
            <w:pPr>
              <w:pStyle w:val="a7"/>
              <w:rPr>
                <w:rFonts w:hAnsi="Times New Roman"/>
                <w:color w:val="000000" w:themeColor="text1"/>
                <w:szCs w:val="24"/>
              </w:rPr>
            </w:pPr>
          </w:p>
        </w:tc>
        <w:tc>
          <w:tcPr>
            <w:tcW w:w="1056" w:type="pct"/>
            <w:vMerge/>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Merge/>
            <w:vAlign w:val="center"/>
          </w:tcPr>
          <w:p w:rsidR="000C2455" w:rsidRPr="00687B52" w:rsidRDefault="000C2455" w:rsidP="003E1D2A">
            <w:pPr>
              <w:pStyle w:val="a7"/>
              <w:rPr>
                <w:rFonts w:hAnsi="Times New Roman"/>
                <w:color w:val="000000" w:themeColor="text1"/>
                <w:szCs w:val="24"/>
              </w:rPr>
            </w:pPr>
          </w:p>
        </w:tc>
        <w:tc>
          <w:tcPr>
            <w:tcW w:w="1166" w:type="pct"/>
            <w:vAlign w:val="center"/>
          </w:tcPr>
          <w:p w:rsidR="000C2455" w:rsidRPr="00687B52" w:rsidRDefault="000C2455" w:rsidP="003E1D2A">
            <w:pPr>
              <w:pStyle w:val="a7"/>
              <w:jc w:val="left"/>
              <w:rPr>
                <w:rFonts w:hAnsi="Times New Roman"/>
                <w:bCs/>
                <w:color w:val="000000" w:themeColor="text1"/>
              </w:rPr>
            </w:pPr>
            <w:r w:rsidRPr="00687B52">
              <w:rPr>
                <w:rFonts w:hAnsi="宋体"/>
                <w:bCs/>
                <w:color w:val="000000" w:themeColor="text1"/>
              </w:rPr>
              <w:t>合成氨固定层间歇式煤气化装置</w:t>
            </w:r>
          </w:p>
        </w:tc>
        <w:tc>
          <w:tcPr>
            <w:tcW w:w="1106" w:type="pct"/>
            <w:vAlign w:val="center"/>
          </w:tcPr>
          <w:p w:rsidR="000C2455" w:rsidRPr="00687B52" w:rsidRDefault="000C2455" w:rsidP="003E1D2A">
            <w:pPr>
              <w:pStyle w:val="a7"/>
              <w:jc w:val="left"/>
              <w:rPr>
                <w:rFonts w:hAnsi="Times New Roman"/>
                <w:bCs/>
                <w:color w:val="000000" w:themeColor="text1"/>
              </w:rPr>
            </w:pPr>
            <w:r w:rsidRPr="00687B52">
              <w:rPr>
                <w:rFonts w:hAnsi="宋体"/>
                <w:bCs/>
                <w:color w:val="000000" w:themeColor="text1"/>
              </w:rPr>
              <w:t>配套有吹风气余热回收、造气炉渣综合利用装置的煤气化装置</w:t>
            </w:r>
          </w:p>
        </w:tc>
        <w:tc>
          <w:tcPr>
            <w:tcW w:w="1335" w:type="pct"/>
            <w:vMerge/>
            <w:vAlign w:val="center"/>
          </w:tcPr>
          <w:p w:rsidR="000C2455" w:rsidRPr="00687B52" w:rsidRDefault="000C2455" w:rsidP="003E1D2A">
            <w:pPr>
              <w:pStyle w:val="a7"/>
              <w:rPr>
                <w:rFonts w:hAnsi="Times New Roman"/>
                <w:color w:val="000000" w:themeColor="text1"/>
                <w:szCs w:val="24"/>
              </w:rPr>
            </w:pPr>
          </w:p>
        </w:tc>
        <w:tc>
          <w:tcPr>
            <w:tcW w:w="1056" w:type="pct"/>
            <w:vMerge/>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Merge/>
            <w:vAlign w:val="center"/>
          </w:tcPr>
          <w:p w:rsidR="000C2455" w:rsidRPr="00687B52" w:rsidRDefault="000C2455" w:rsidP="003E1D2A">
            <w:pPr>
              <w:pStyle w:val="a7"/>
              <w:rPr>
                <w:rFonts w:hAnsi="Times New Roman"/>
                <w:color w:val="000000" w:themeColor="text1"/>
                <w:szCs w:val="24"/>
              </w:rPr>
            </w:pPr>
          </w:p>
        </w:tc>
        <w:tc>
          <w:tcPr>
            <w:tcW w:w="1166" w:type="pct"/>
            <w:vAlign w:val="center"/>
          </w:tcPr>
          <w:p w:rsidR="000C2455" w:rsidRPr="00687B52" w:rsidRDefault="000C2455" w:rsidP="003E1D2A">
            <w:pPr>
              <w:pStyle w:val="a7"/>
              <w:jc w:val="left"/>
              <w:rPr>
                <w:rFonts w:hAnsi="Times New Roman"/>
                <w:bCs/>
                <w:color w:val="000000" w:themeColor="text1"/>
              </w:rPr>
            </w:pPr>
            <w:r w:rsidRPr="00687B52">
              <w:rPr>
                <w:rFonts w:hAnsi="宋体"/>
                <w:bCs/>
                <w:color w:val="000000" w:themeColor="text1"/>
              </w:rPr>
              <w:t>合成氨一氧化碳常压变换及全中温变换（高温变换）工艺</w:t>
            </w:r>
          </w:p>
        </w:tc>
        <w:tc>
          <w:tcPr>
            <w:tcW w:w="1106" w:type="pct"/>
            <w:vAlign w:val="center"/>
          </w:tcPr>
          <w:p w:rsidR="000C2455" w:rsidRPr="00687B52" w:rsidRDefault="000C2455" w:rsidP="003E1D2A">
            <w:pPr>
              <w:pStyle w:val="a7"/>
              <w:jc w:val="left"/>
              <w:rPr>
                <w:rFonts w:hAnsi="Times New Roman"/>
                <w:bCs/>
                <w:color w:val="000000" w:themeColor="text1"/>
              </w:rPr>
            </w:pPr>
            <w:r w:rsidRPr="00687B52">
              <w:rPr>
                <w:rFonts w:hAnsi="宋体"/>
                <w:bCs/>
                <w:color w:val="000000" w:themeColor="text1"/>
              </w:rPr>
              <w:t>中中低低变换工艺</w:t>
            </w:r>
          </w:p>
        </w:tc>
        <w:tc>
          <w:tcPr>
            <w:tcW w:w="1335" w:type="pct"/>
            <w:vMerge/>
            <w:vAlign w:val="center"/>
          </w:tcPr>
          <w:p w:rsidR="000C2455" w:rsidRPr="00687B52" w:rsidRDefault="000C2455" w:rsidP="003E1D2A">
            <w:pPr>
              <w:pStyle w:val="a7"/>
              <w:rPr>
                <w:rFonts w:hAnsi="Times New Roman"/>
                <w:color w:val="000000" w:themeColor="text1"/>
                <w:szCs w:val="24"/>
              </w:rPr>
            </w:pPr>
          </w:p>
        </w:tc>
        <w:tc>
          <w:tcPr>
            <w:tcW w:w="1056" w:type="pct"/>
            <w:vMerge/>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2.2</w:t>
            </w:r>
          </w:p>
        </w:tc>
        <w:tc>
          <w:tcPr>
            <w:tcW w:w="2272" w:type="pct"/>
            <w:gridSpan w:val="2"/>
            <w:vAlign w:val="center"/>
          </w:tcPr>
          <w:p w:rsidR="000C2455" w:rsidRPr="00687B52" w:rsidRDefault="000C2455" w:rsidP="003E1D2A">
            <w:pPr>
              <w:pStyle w:val="a7"/>
              <w:jc w:val="left"/>
              <w:rPr>
                <w:rFonts w:hAnsi="Times New Roman"/>
                <w:color w:val="000000" w:themeColor="text1"/>
              </w:rPr>
            </w:pPr>
            <w:r w:rsidRPr="00687B52">
              <w:rPr>
                <w:rFonts w:hAnsi="宋体"/>
                <w:color w:val="000000" w:themeColor="text1"/>
              </w:rPr>
              <w:t>①</w:t>
            </w:r>
            <w:r w:rsidRPr="00687B52">
              <w:rPr>
                <w:rFonts w:hAnsi="Times New Roman"/>
                <w:color w:val="000000" w:themeColor="text1"/>
              </w:rPr>
              <w:t>应设置原料煤带式输送机紧急停车设施；</w:t>
            </w:r>
          </w:p>
          <w:p w:rsidR="000C2455" w:rsidRPr="00687B52" w:rsidRDefault="000C2455" w:rsidP="003E1D2A">
            <w:pPr>
              <w:pStyle w:val="a7"/>
              <w:jc w:val="left"/>
              <w:rPr>
                <w:rFonts w:hAnsi="Times New Roman"/>
                <w:color w:val="000000" w:themeColor="text1"/>
              </w:rPr>
            </w:pPr>
            <w:r w:rsidRPr="00687B52">
              <w:rPr>
                <w:rFonts w:hAnsi="宋体"/>
                <w:color w:val="000000" w:themeColor="text1"/>
              </w:rPr>
              <w:t>②</w:t>
            </w:r>
            <w:r w:rsidRPr="00687B52">
              <w:rPr>
                <w:rFonts w:hAnsi="Times New Roman"/>
                <w:color w:val="000000" w:themeColor="text1"/>
              </w:rPr>
              <w:t>应设置下行煤气阀和吹风阀安全联锁设施；</w:t>
            </w:r>
          </w:p>
          <w:p w:rsidR="000C2455" w:rsidRPr="00687B52" w:rsidRDefault="000C2455" w:rsidP="003E1D2A">
            <w:pPr>
              <w:pStyle w:val="a7"/>
              <w:jc w:val="left"/>
              <w:rPr>
                <w:rFonts w:hAnsi="Times New Roman"/>
                <w:color w:val="000000" w:themeColor="text1"/>
              </w:rPr>
            </w:pPr>
            <w:r w:rsidRPr="00687B52">
              <w:rPr>
                <w:rFonts w:hAnsi="宋体"/>
                <w:color w:val="000000" w:themeColor="text1"/>
              </w:rPr>
              <w:t>③</w:t>
            </w:r>
            <w:r w:rsidRPr="00687B52">
              <w:rPr>
                <w:rFonts w:hAnsi="Times New Roman"/>
                <w:color w:val="000000" w:themeColor="text1"/>
              </w:rPr>
              <w:t>煤气下行管、灰斗和炉底空气管道应安装爆破片，爆破片必须装防护罩；</w:t>
            </w:r>
          </w:p>
          <w:p w:rsidR="000C2455" w:rsidRPr="00687B52" w:rsidRDefault="000C2455" w:rsidP="003E1D2A">
            <w:pPr>
              <w:pStyle w:val="a7"/>
              <w:jc w:val="left"/>
              <w:rPr>
                <w:rFonts w:hAnsi="Times New Roman"/>
                <w:color w:val="000000" w:themeColor="text1"/>
              </w:rPr>
            </w:pPr>
            <w:r w:rsidRPr="00687B52">
              <w:rPr>
                <w:rFonts w:hAnsi="宋体"/>
                <w:color w:val="000000" w:themeColor="text1"/>
              </w:rPr>
              <w:t>④</w:t>
            </w:r>
            <w:r w:rsidRPr="00687B52">
              <w:rPr>
                <w:rFonts w:hAnsi="Times New Roman"/>
                <w:color w:val="000000" w:themeColor="text1"/>
              </w:rPr>
              <w:t>吹风阀应采取双阀或增装蝶阀；</w:t>
            </w:r>
          </w:p>
          <w:p w:rsidR="000C2455" w:rsidRPr="00687B52" w:rsidRDefault="000C2455" w:rsidP="003E1D2A">
            <w:pPr>
              <w:pStyle w:val="a7"/>
              <w:jc w:val="left"/>
              <w:rPr>
                <w:rFonts w:hAnsi="Times New Roman"/>
                <w:color w:val="000000" w:themeColor="text1"/>
              </w:rPr>
            </w:pPr>
            <w:r w:rsidRPr="00687B52">
              <w:rPr>
                <w:rFonts w:hAnsi="宋体"/>
                <w:color w:val="000000" w:themeColor="text1"/>
              </w:rPr>
              <w:lastRenderedPageBreak/>
              <w:t>⑤</w:t>
            </w:r>
            <w:r w:rsidRPr="00687B52">
              <w:rPr>
                <w:rFonts w:hAnsi="Times New Roman"/>
                <w:color w:val="000000" w:themeColor="text1"/>
              </w:rPr>
              <w:t>应设置煤气炉一次风管线自动放空设施，造气岗位主要液压阀要安装阀位指示。</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lastRenderedPageBreak/>
              <w:t>《合成氨生产企业安全标准化实施指南》</w:t>
            </w:r>
          </w:p>
          <w:p w:rsidR="000C2455" w:rsidRPr="00687B52" w:rsidRDefault="000C2455" w:rsidP="003E1D2A">
            <w:pPr>
              <w:pStyle w:val="a7"/>
              <w:rPr>
                <w:rFonts w:hAnsi="Times New Roman"/>
                <w:color w:val="000000" w:themeColor="text1"/>
              </w:rPr>
            </w:pPr>
            <w:r w:rsidRPr="00687B52">
              <w:rPr>
                <w:rFonts w:hAnsi="Times New Roman"/>
                <w:color w:val="000000" w:themeColor="text1"/>
              </w:rPr>
              <w:t>AQ/T3017-2008</w:t>
            </w:r>
          </w:p>
          <w:p w:rsidR="000C2455" w:rsidRPr="00687B52" w:rsidRDefault="000C2455" w:rsidP="003E1D2A">
            <w:pPr>
              <w:pStyle w:val="a7"/>
              <w:rPr>
                <w:rFonts w:hAnsi="Times New Roman"/>
                <w:color w:val="000000" w:themeColor="text1"/>
              </w:rPr>
            </w:pPr>
            <w:r w:rsidRPr="00687B52">
              <w:rPr>
                <w:rFonts w:hAnsi="Times New Roman"/>
                <w:color w:val="000000" w:themeColor="text1"/>
              </w:rPr>
              <w:t xml:space="preserve">5.5.2.1 </w:t>
            </w:r>
          </w:p>
          <w:p w:rsidR="000C2455" w:rsidRPr="00687B52" w:rsidRDefault="000C2455" w:rsidP="003E1D2A">
            <w:pPr>
              <w:pStyle w:val="a7"/>
              <w:rPr>
                <w:rFonts w:hAnsi="Times New Roman"/>
                <w:color w:val="000000" w:themeColor="text1"/>
              </w:rPr>
            </w:pPr>
            <w:r w:rsidRPr="00687B52">
              <w:rPr>
                <w:rFonts w:hAnsi="Times New Roman"/>
                <w:color w:val="000000" w:themeColor="text1"/>
              </w:rPr>
              <w:t>1</w:t>
            </w:r>
            <w:r w:rsidRPr="00687B52">
              <w:rPr>
                <w:rFonts w:hAnsi="Times New Roman"/>
                <w:color w:val="000000" w:themeColor="text1"/>
              </w:rPr>
              <w:t>）煤气化</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lastRenderedPageBreak/>
              <w:t>2.3</w:t>
            </w:r>
          </w:p>
        </w:tc>
        <w:tc>
          <w:tcPr>
            <w:tcW w:w="2272" w:type="pct"/>
            <w:gridSpan w:val="2"/>
            <w:vAlign w:val="center"/>
          </w:tcPr>
          <w:p w:rsidR="000C2455" w:rsidRPr="00687B52" w:rsidRDefault="000C2455" w:rsidP="003E1D2A">
            <w:pPr>
              <w:pStyle w:val="a7"/>
              <w:jc w:val="left"/>
              <w:rPr>
                <w:rFonts w:hAnsi="Times New Roman"/>
                <w:color w:val="000000" w:themeColor="text1"/>
              </w:rPr>
            </w:pPr>
            <w:r w:rsidRPr="00687B52">
              <w:rPr>
                <w:rFonts w:hAnsi="宋体"/>
                <w:color w:val="000000" w:themeColor="text1"/>
              </w:rPr>
              <w:t>①</w:t>
            </w:r>
            <w:r w:rsidRPr="00687B52">
              <w:rPr>
                <w:rFonts w:hAnsi="Times New Roman"/>
                <w:color w:val="000000" w:themeColor="text1"/>
              </w:rPr>
              <w:t>应设置重油气化在线氧含量分析报警仪，自动放空联锁设施；</w:t>
            </w:r>
          </w:p>
          <w:p w:rsidR="000C2455" w:rsidRPr="00687B52" w:rsidRDefault="000C2455" w:rsidP="003E1D2A">
            <w:pPr>
              <w:pStyle w:val="a7"/>
              <w:jc w:val="left"/>
              <w:rPr>
                <w:rFonts w:hAnsi="Times New Roman"/>
                <w:color w:val="000000" w:themeColor="text1"/>
              </w:rPr>
            </w:pPr>
            <w:r w:rsidRPr="00687B52">
              <w:rPr>
                <w:rFonts w:hAnsi="宋体"/>
                <w:color w:val="000000" w:themeColor="text1"/>
              </w:rPr>
              <w:t>②</w:t>
            </w:r>
            <w:r w:rsidRPr="00687B52">
              <w:rPr>
                <w:rFonts w:hAnsi="Times New Roman"/>
                <w:color w:val="000000" w:themeColor="text1"/>
              </w:rPr>
              <w:t>应设置喷嘴冷却水出口超温报警及事故水箱设施；</w:t>
            </w:r>
          </w:p>
          <w:p w:rsidR="000C2455" w:rsidRPr="00687B52" w:rsidRDefault="000C2455" w:rsidP="003E1D2A">
            <w:pPr>
              <w:pStyle w:val="a7"/>
              <w:jc w:val="left"/>
              <w:rPr>
                <w:rFonts w:hAnsi="Times New Roman"/>
                <w:color w:val="000000" w:themeColor="text1"/>
              </w:rPr>
            </w:pPr>
            <w:r w:rsidRPr="00687B52">
              <w:rPr>
                <w:rFonts w:hAnsi="宋体"/>
                <w:color w:val="000000" w:themeColor="text1"/>
              </w:rPr>
              <w:t>③</w:t>
            </w:r>
            <w:r w:rsidRPr="00687B52">
              <w:rPr>
                <w:rFonts w:hAnsi="Times New Roman"/>
                <w:color w:val="000000" w:themeColor="text1"/>
              </w:rPr>
              <w:t>应设置氧气管止逆阀和加氮气保护设施；</w:t>
            </w:r>
          </w:p>
          <w:p w:rsidR="000C2455" w:rsidRPr="00687B52" w:rsidRDefault="000C2455" w:rsidP="003E1D2A">
            <w:pPr>
              <w:pStyle w:val="a7"/>
              <w:jc w:val="left"/>
              <w:rPr>
                <w:rFonts w:hAnsi="Times New Roman"/>
                <w:color w:val="000000" w:themeColor="text1"/>
              </w:rPr>
            </w:pPr>
            <w:r w:rsidRPr="00687B52">
              <w:rPr>
                <w:rFonts w:hAnsi="宋体"/>
                <w:color w:val="000000" w:themeColor="text1"/>
              </w:rPr>
              <w:t>④</w:t>
            </w:r>
            <w:r w:rsidRPr="00687B52">
              <w:rPr>
                <w:rFonts w:hAnsi="Times New Roman"/>
                <w:color w:val="000000" w:themeColor="text1"/>
              </w:rPr>
              <w:t>应设置入炉重油流量低限报警联锁停车设施；</w:t>
            </w:r>
          </w:p>
          <w:p w:rsidR="000C2455" w:rsidRPr="00687B52" w:rsidRDefault="000C2455" w:rsidP="003E1D2A">
            <w:pPr>
              <w:pStyle w:val="a7"/>
              <w:jc w:val="left"/>
              <w:rPr>
                <w:rFonts w:hAnsi="Times New Roman"/>
                <w:color w:val="000000" w:themeColor="text1"/>
              </w:rPr>
            </w:pPr>
            <w:r w:rsidRPr="00687B52">
              <w:rPr>
                <w:rFonts w:hAnsi="宋体"/>
                <w:color w:val="000000" w:themeColor="text1"/>
              </w:rPr>
              <w:t>⑤</w:t>
            </w:r>
            <w:r w:rsidRPr="00687B52">
              <w:rPr>
                <w:rFonts w:hAnsi="Times New Roman"/>
                <w:color w:val="000000" w:themeColor="text1"/>
              </w:rPr>
              <w:t>应设置气化炉超压报警设施；</w:t>
            </w:r>
          </w:p>
          <w:p w:rsidR="000C2455" w:rsidRPr="00687B52" w:rsidRDefault="000C2455" w:rsidP="003E1D2A">
            <w:pPr>
              <w:pStyle w:val="a7"/>
              <w:jc w:val="left"/>
              <w:rPr>
                <w:rFonts w:hAnsi="Times New Roman"/>
                <w:color w:val="000000" w:themeColor="text1"/>
              </w:rPr>
            </w:pPr>
            <w:r w:rsidRPr="00687B52">
              <w:rPr>
                <w:rFonts w:hAnsi="宋体"/>
                <w:color w:val="000000" w:themeColor="text1"/>
              </w:rPr>
              <w:t>⑥</w:t>
            </w:r>
            <w:r w:rsidRPr="00687B52">
              <w:rPr>
                <w:rFonts w:hAnsi="Times New Roman"/>
                <w:color w:val="000000" w:themeColor="text1"/>
              </w:rPr>
              <w:t>应设置煤气中氧含量超标报警设施；</w:t>
            </w:r>
          </w:p>
          <w:p w:rsidR="000C2455" w:rsidRPr="00687B52" w:rsidRDefault="000C2455" w:rsidP="003E1D2A">
            <w:pPr>
              <w:pStyle w:val="a7"/>
              <w:jc w:val="left"/>
              <w:rPr>
                <w:rFonts w:hAnsi="Times New Roman"/>
                <w:color w:val="000000" w:themeColor="text1"/>
              </w:rPr>
            </w:pPr>
            <w:r w:rsidRPr="00687B52">
              <w:rPr>
                <w:rFonts w:hAnsi="宋体"/>
                <w:color w:val="000000" w:themeColor="text1"/>
              </w:rPr>
              <w:t>⑦</w:t>
            </w:r>
            <w:r w:rsidRPr="00687B52">
              <w:rPr>
                <w:rFonts w:hAnsi="Times New Roman"/>
                <w:color w:val="000000" w:themeColor="text1"/>
              </w:rPr>
              <w:t>应设置煤气出急冷室温度超标报警设施；</w:t>
            </w:r>
          </w:p>
          <w:p w:rsidR="000C2455" w:rsidRPr="00687B52" w:rsidRDefault="000C2455" w:rsidP="003E1D2A">
            <w:pPr>
              <w:pStyle w:val="a7"/>
              <w:jc w:val="left"/>
              <w:rPr>
                <w:rFonts w:hAnsi="Times New Roman"/>
                <w:color w:val="000000" w:themeColor="text1"/>
              </w:rPr>
            </w:pPr>
            <w:r w:rsidRPr="00687B52">
              <w:rPr>
                <w:rFonts w:hAnsi="宋体"/>
                <w:color w:val="000000" w:themeColor="text1"/>
              </w:rPr>
              <w:t>⑧</w:t>
            </w:r>
            <w:r w:rsidRPr="00687B52">
              <w:rPr>
                <w:rFonts w:hAnsi="Times New Roman"/>
                <w:color w:val="000000" w:themeColor="text1"/>
              </w:rPr>
              <w:t>应设置油罐液位、温度指示仪、高限报警、静电接地设施；油罐区应设置防火堤等设施；</w:t>
            </w:r>
          </w:p>
          <w:p w:rsidR="000C2455" w:rsidRPr="00687B52" w:rsidRDefault="000C2455" w:rsidP="003E1D2A">
            <w:pPr>
              <w:pStyle w:val="a7"/>
              <w:jc w:val="left"/>
              <w:rPr>
                <w:rFonts w:hAnsi="Times New Roman"/>
                <w:color w:val="000000" w:themeColor="text1"/>
              </w:rPr>
            </w:pPr>
            <w:r w:rsidRPr="00687B52">
              <w:rPr>
                <w:rFonts w:hAnsi="宋体"/>
                <w:color w:val="000000" w:themeColor="text1"/>
              </w:rPr>
              <w:t>⑨</w:t>
            </w:r>
            <w:r w:rsidRPr="00687B52">
              <w:rPr>
                <w:rFonts w:hAnsi="Times New Roman"/>
                <w:color w:val="000000" w:themeColor="text1"/>
              </w:rPr>
              <w:t>气化系统联锁装置中，重油入炉阀、氧气入炉阀、煤气出口总阀应选用气开式调节阀；蒸汽人炉阀、氮保护进口阀、重油回路阀、氧气放空阀、煤气放空阀应选用气闭式调节阀。</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《合成氨生产企业安全标准化实施指南》</w:t>
            </w:r>
          </w:p>
          <w:p w:rsidR="000C2455" w:rsidRPr="00687B52" w:rsidRDefault="000C2455" w:rsidP="003E1D2A">
            <w:pPr>
              <w:pStyle w:val="a7"/>
              <w:rPr>
                <w:rFonts w:hAnsi="Times New Roman"/>
                <w:color w:val="000000" w:themeColor="text1"/>
              </w:rPr>
            </w:pPr>
            <w:r w:rsidRPr="00687B52">
              <w:rPr>
                <w:rFonts w:hAnsi="Times New Roman"/>
                <w:color w:val="000000" w:themeColor="text1"/>
              </w:rPr>
              <w:t>AQ/T3017-2008</w:t>
            </w:r>
          </w:p>
          <w:p w:rsidR="000C2455" w:rsidRPr="00687B52" w:rsidRDefault="000C2455" w:rsidP="003E1D2A">
            <w:pPr>
              <w:pStyle w:val="a7"/>
              <w:rPr>
                <w:rFonts w:hAnsi="Times New Roman"/>
                <w:color w:val="000000" w:themeColor="text1"/>
              </w:rPr>
            </w:pPr>
            <w:r w:rsidRPr="00687B52">
              <w:rPr>
                <w:rFonts w:hAnsi="Times New Roman"/>
                <w:color w:val="000000" w:themeColor="text1"/>
              </w:rPr>
              <w:t>5.5.2.1</w:t>
            </w:r>
          </w:p>
          <w:p w:rsidR="000C2455" w:rsidRPr="00687B52" w:rsidRDefault="000C2455" w:rsidP="003E1D2A">
            <w:pPr>
              <w:pStyle w:val="a7"/>
              <w:rPr>
                <w:rFonts w:hAnsi="Times New Roman"/>
                <w:color w:val="000000" w:themeColor="text1"/>
              </w:rPr>
            </w:pPr>
            <w:r w:rsidRPr="00687B52">
              <w:rPr>
                <w:rFonts w:hAnsi="Times New Roman"/>
                <w:color w:val="000000" w:themeColor="text1"/>
              </w:rPr>
              <w:t>2</w:t>
            </w:r>
            <w:r w:rsidRPr="00687B52">
              <w:rPr>
                <w:rFonts w:hAnsi="Times New Roman"/>
                <w:color w:val="000000" w:themeColor="text1"/>
              </w:rPr>
              <w:t>）重油气化</w:t>
            </w:r>
          </w:p>
          <w:p w:rsidR="000C2455" w:rsidRPr="00687B52" w:rsidRDefault="000C2455" w:rsidP="003E1D2A">
            <w:pPr>
              <w:pStyle w:val="a7"/>
              <w:rPr>
                <w:rFonts w:hAnsi="Times New Roman"/>
                <w:color w:val="000000" w:themeColor="text1"/>
              </w:rPr>
            </w:pP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2.4</w:t>
            </w:r>
          </w:p>
        </w:tc>
        <w:tc>
          <w:tcPr>
            <w:tcW w:w="2272" w:type="pct"/>
            <w:gridSpan w:val="2"/>
            <w:vAlign w:val="center"/>
          </w:tcPr>
          <w:p w:rsidR="000C2455" w:rsidRPr="00687B52" w:rsidRDefault="000C2455" w:rsidP="003E1D2A">
            <w:pPr>
              <w:pStyle w:val="a7"/>
              <w:jc w:val="left"/>
              <w:rPr>
                <w:rFonts w:hAnsi="Times New Roman"/>
                <w:color w:val="000000" w:themeColor="text1"/>
              </w:rPr>
            </w:pPr>
            <w:r w:rsidRPr="00687B52">
              <w:rPr>
                <w:rFonts w:hAnsi="宋体"/>
                <w:color w:val="000000" w:themeColor="text1"/>
              </w:rPr>
              <w:t>①</w:t>
            </w:r>
            <w:r w:rsidRPr="00687B52">
              <w:rPr>
                <w:rFonts w:hAnsi="Times New Roman"/>
                <w:color w:val="000000" w:themeColor="text1"/>
              </w:rPr>
              <w:t>应设置二氧化碳吸收塔液位低限报警及联锁脱碳、合成停车设施；</w:t>
            </w:r>
          </w:p>
          <w:p w:rsidR="000C2455" w:rsidRPr="00687B52" w:rsidRDefault="000C2455" w:rsidP="003E1D2A">
            <w:pPr>
              <w:pStyle w:val="a7"/>
              <w:jc w:val="left"/>
              <w:rPr>
                <w:rFonts w:hAnsi="Times New Roman"/>
                <w:color w:val="000000" w:themeColor="text1"/>
              </w:rPr>
            </w:pPr>
            <w:r w:rsidRPr="00687B52">
              <w:rPr>
                <w:rFonts w:hAnsi="宋体"/>
                <w:color w:val="000000" w:themeColor="text1"/>
              </w:rPr>
              <w:t>②</w:t>
            </w:r>
            <w:r w:rsidRPr="00687B52">
              <w:rPr>
                <w:rFonts w:hAnsi="Times New Roman"/>
                <w:color w:val="000000" w:themeColor="text1"/>
              </w:rPr>
              <w:t>应设置天然气总管安全阀及压力高低限报警设施；</w:t>
            </w:r>
          </w:p>
          <w:p w:rsidR="000C2455" w:rsidRPr="00687B52" w:rsidRDefault="000C2455" w:rsidP="003E1D2A">
            <w:pPr>
              <w:pStyle w:val="a7"/>
              <w:jc w:val="left"/>
              <w:rPr>
                <w:rFonts w:hAnsi="Times New Roman"/>
                <w:color w:val="000000" w:themeColor="text1"/>
              </w:rPr>
            </w:pPr>
            <w:r w:rsidRPr="00687B52">
              <w:rPr>
                <w:rFonts w:hAnsi="宋体"/>
                <w:color w:val="000000" w:themeColor="text1"/>
              </w:rPr>
              <w:t>③</w:t>
            </w:r>
            <w:r w:rsidRPr="00687B52">
              <w:rPr>
                <w:rFonts w:hAnsi="Times New Roman"/>
                <w:color w:val="000000" w:themeColor="text1"/>
              </w:rPr>
              <w:t>应设置高压蒸汽包液位低限报警及流量低限、液位低限同时存在时联锁合成氨停车设施；</w:t>
            </w:r>
          </w:p>
          <w:p w:rsidR="000C2455" w:rsidRPr="00687B52" w:rsidRDefault="000C2455" w:rsidP="003E1D2A">
            <w:pPr>
              <w:pStyle w:val="a7"/>
              <w:jc w:val="left"/>
              <w:rPr>
                <w:rFonts w:hAnsi="Times New Roman"/>
                <w:color w:val="000000" w:themeColor="text1"/>
              </w:rPr>
            </w:pPr>
            <w:r w:rsidRPr="00687B52">
              <w:rPr>
                <w:rFonts w:hAnsi="宋体"/>
                <w:color w:val="000000" w:themeColor="text1"/>
              </w:rPr>
              <w:t>④</w:t>
            </w:r>
            <w:r w:rsidRPr="00687B52">
              <w:rPr>
                <w:rFonts w:hAnsi="Times New Roman"/>
                <w:color w:val="000000" w:themeColor="text1"/>
              </w:rPr>
              <w:t>应设置一段转化炉炉膛负压高限报警及联锁合成氨停车装置，现场设置联锁声光报警设施；设置环形蒸汽灭火管线；</w:t>
            </w:r>
          </w:p>
          <w:p w:rsidR="000C2455" w:rsidRPr="00687B52" w:rsidRDefault="000C2455" w:rsidP="003E1D2A">
            <w:pPr>
              <w:pStyle w:val="a7"/>
              <w:jc w:val="left"/>
              <w:rPr>
                <w:rFonts w:hAnsi="Times New Roman"/>
                <w:color w:val="000000" w:themeColor="text1"/>
              </w:rPr>
            </w:pPr>
            <w:r w:rsidRPr="00687B52">
              <w:rPr>
                <w:rFonts w:hAnsi="宋体"/>
                <w:color w:val="000000" w:themeColor="text1"/>
              </w:rPr>
              <w:t>⑤</w:t>
            </w:r>
            <w:r w:rsidRPr="00687B52">
              <w:rPr>
                <w:rFonts w:hAnsi="Times New Roman"/>
                <w:color w:val="000000" w:themeColor="text1"/>
              </w:rPr>
              <w:t>应设置一段转化炉引风机油泵润滑油压低限报警及联锁合成氨停车设施；</w:t>
            </w:r>
          </w:p>
          <w:p w:rsidR="000C2455" w:rsidRPr="00687B52" w:rsidRDefault="000C2455" w:rsidP="003E1D2A">
            <w:pPr>
              <w:pStyle w:val="a7"/>
              <w:jc w:val="left"/>
              <w:rPr>
                <w:rFonts w:hAnsi="Times New Roman"/>
                <w:color w:val="000000" w:themeColor="text1"/>
              </w:rPr>
            </w:pPr>
            <w:r w:rsidRPr="00687B52">
              <w:rPr>
                <w:rFonts w:hAnsi="宋体"/>
                <w:color w:val="000000" w:themeColor="text1"/>
              </w:rPr>
              <w:lastRenderedPageBreak/>
              <w:t>⑥</w:t>
            </w:r>
            <w:r w:rsidRPr="00687B52">
              <w:rPr>
                <w:rFonts w:hAnsi="Times New Roman"/>
                <w:color w:val="000000" w:themeColor="text1"/>
              </w:rPr>
              <w:t>应设置二段转化炉空气流量低限联锁转化紧急停车设施。</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lastRenderedPageBreak/>
              <w:t>《合成氨生产企业安全标准化实施指南》</w:t>
            </w:r>
          </w:p>
          <w:p w:rsidR="000C2455" w:rsidRPr="00687B52" w:rsidRDefault="000C2455" w:rsidP="003E1D2A">
            <w:pPr>
              <w:pStyle w:val="a7"/>
              <w:rPr>
                <w:rFonts w:hAnsi="Times New Roman"/>
                <w:color w:val="000000" w:themeColor="text1"/>
              </w:rPr>
            </w:pPr>
            <w:r w:rsidRPr="00687B52">
              <w:rPr>
                <w:rFonts w:hAnsi="Times New Roman"/>
                <w:color w:val="000000" w:themeColor="text1"/>
              </w:rPr>
              <w:t>AQ/T3017-2008</w:t>
            </w:r>
          </w:p>
          <w:p w:rsidR="000C2455" w:rsidRPr="00687B52" w:rsidRDefault="000C2455" w:rsidP="003E1D2A">
            <w:pPr>
              <w:pStyle w:val="a7"/>
              <w:rPr>
                <w:rFonts w:hAnsi="Times New Roman"/>
                <w:color w:val="000000" w:themeColor="text1"/>
              </w:rPr>
            </w:pPr>
            <w:r w:rsidRPr="00687B52">
              <w:rPr>
                <w:rFonts w:hAnsi="Times New Roman"/>
                <w:color w:val="000000" w:themeColor="text1"/>
              </w:rPr>
              <w:t>5.5.2.1</w:t>
            </w:r>
          </w:p>
          <w:p w:rsidR="000C2455" w:rsidRPr="00687B52" w:rsidRDefault="000C2455" w:rsidP="003E1D2A">
            <w:pPr>
              <w:pStyle w:val="a7"/>
              <w:rPr>
                <w:rFonts w:hAnsi="Times New Roman"/>
                <w:color w:val="000000" w:themeColor="text1"/>
              </w:rPr>
            </w:pPr>
            <w:r w:rsidRPr="00687B52">
              <w:rPr>
                <w:rFonts w:hAnsi="Times New Roman"/>
                <w:color w:val="000000" w:themeColor="text1"/>
              </w:rPr>
              <w:t>3</w:t>
            </w:r>
            <w:r w:rsidRPr="00687B52">
              <w:rPr>
                <w:rFonts w:hAnsi="Times New Roman"/>
                <w:color w:val="000000" w:themeColor="text1"/>
              </w:rPr>
              <w:t>）天然气转化</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lastRenderedPageBreak/>
              <w:t>2.5</w:t>
            </w:r>
          </w:p>
        </w:tc>
        <w:tc>
          <w:tcPr>
            <w:tcW w:w="2272" w:type="pct"/>
            <w:gridSpan w:val="2"/>
            <w:vAlign w:val="center"/>
          </w:tcPr>
          <w:p w:rsidR="000C2455" w:rsidRPr="00687B52" w:rsidRDefault="000C2455" w:rsidP="003E1D2A">
            <w:pPr>
              <w:pStyle w:val="a7"/>
              <w:jc w:val="left"/>
              <w:rPr>
                <w:rFonts w:hAnsi="Times New Roman"/>
                <w:color w:val="000000" w:themeColor="text1"/>
              </w:rPr>
            </w:pPr>
            <w:r w:rsidRPr="00687B52">
              <w:rPr>
                <w:rFonts w:hAnsi="宋体"/>
                <w:color w:val="000000" w:themeColor="text1"/>
              </w:rPr>
              <w:t>①</w:t>
            </w:r>
            <w:r w:rsidRPr="00687B52">
              <w:rPr>
                <w:rFonts w:hAnsi="Times New Roman"/>
                <w:color w:val="000000" w:themeColor="text1"/>
              </w:rPr>
              <w:t>应设置气柜低限位与罗茨风机报警联锁；</w:t>
            </w:r>
          </w:p>
          <w:p w:rsidR="000C2455" w:rsidRPr="00687B52" w:rsidRDefault="000C2455" w:rsidP="003E1D2A">
            <w:pPr>
              <w:pStyle w:val="a7"/>
              <w:jc w:val="left"/>
              <w:rPr>
                <w:rFonts w:hAnsi="Times New Roman"/>
                <w:color w:val="000000" w:themeColor="text1"/>
              </w:rPr>
            </w:pPr>
            <w:r w:rsidRPr="00687B52">
              <w:rPr>
                <w:rFonts w:hAnsi="宋体"/>
                <w:color w:val="000000" w:themeColor="text1"/>
              </w:rPr>
              <w:t>②</w:t>
            </w:r>
            <w:r w:rsidRPr="00687B52">
              <w:rPr>
                <w:rFonts w:hAnsi="Times New Roman"/>
                <w:color w:val="000000" w:themeColor="text1"/>
              </w:rPr>
              <w:t>应在造气、脱硫、压缩设置对气柜的远传监控设施；气柜应设有容积指示仪、高低限位报警器；</w:t>
            </w:r>
          </w:p>
          <w:p w:rsidR="000C2455" w:rsidRPr="00687B52" w:rsidRDefault="000C2455" w:rsidP="003E1D2A">
            <w:pPr>
              <w:pStyle w:val="a7"/>
              <w:jc w:val="left"/>
              <w:rPr>
                <w:rFonts w:hAnsi="Times New Roman"/>
                <w:color w:val="000000" w:themeColor="text1"/>
              </w:rPr>
            </w:pPr>
            <w:r w:rsidRPr="00687B52">
              <w:rPr>
                <w:rFonts w:hAnsi="宋体"/>
                <w:color w:val="000000" w:themeColor="text1"/>
              </w:rPr>
              <w:t>③</w:t>
            </w:r>
            <w:r w:rsidRPr="00687B52">
              <w:rPr>
                <w:rFonts w:hAnsi="Times New Roman"/>
                <w:color w:val="000000" w:themeColor="text1"/>
              </w:rPr>
              <w:t>应设置气柜煤气管道进出口氧含量超标报警联锁设施；气柜应装有手动、自动放空装置，放空管或顶部排放管应有阻火器、消除静电设施，应设独立的避雷设施；设置消防设施和环形消防通道；</w:t>
            </w:r>
          </w:p>
          <w:p w:rsidR="000C2455" w:rsidRPr="00687B52" w:rsidRDefault="000C2455" w:rsidP="003E1D2A">
            <w:pPr>
              <w:pStyle w:val="a7"/>
              <w:jc w:val="left"/>
              <w:rPr>
                <w:rFonts w:hAnsi="Times New Roman"/>
                <w:color w:val="000000" w:themeColor="text1"/>
              </w:rPr>
            </w:pPr>
            <w:r w:rsidRPr="00687B52">
              <w:rPr>
                <w:rFonts w:hAnsi="宋体"/>
                <w:color w:val="000000" w:themeColor="text1"/>
              </w:rPr>
              <w:t>④</w:t>
            </w:r>
            <w:r w:rsidRPr="00687B52">
              <w:rPr>
                <w:rFonts w:hAnsi="Times New Roman"/>
                <w:color w:val="000000" w:themeColor="text1"/>
              </w:rPr>
              <w:t>应设置气柜进出口安全水封，水封要有排水设施。</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《合成氨生产企业安全标准化实施指南》</w:t>
            </w:r>
          </w:p>
          <w:p w:rsidR="000C2455" w:rsidRPr="00687B52" w:rsidRDefault="000C2455" w:rsidP="003E1D2A">
            <w:pPr>
              <w:pStyle w:val="a7"/>
              <w:rPr>
                <w:rFonts w:hAnsi="Times New Roman"/>
                <w:color w:val="000000" w:themeColor="text1"/>
              </w:rPr>
            </w:pPr>
            <w:r w:rsidRPr="00687B52">
              <w:rPr>
                <w:rFonts w:hAnsi="Times New Roman"/>
                <w:color w:val="000000" w:themeColor="text1"/>
              </w:rPr>
              <w:t>AQ/T3017-2008</w:t>
            </w:r>
          </w:p>
          <w:p w:rsidR="000C2455" w:rsidRPr="00687B52" w:rsidRDefault="000C2455" w:rsidP="003E1D2A">
            <w:pPr>
              <w:pStyle w:val="a7"/>
              <w:rPr>
                <w:rFonts w:hAnsi="Times New Roman"/>
                <w:color w:val="000000" w:themeColor="text1"/>
              </w:rPr>
            </w:pPr>
            <w:r w:rsidRPr="00687B52">
              <w:rPr>
                <w:rFonts w:hAnsi="Times New Roman"/>
                <w:color w:val="000000" w:themeColor="text1"/>
              </w:rPr>
              <w:t>5.5.2.1</w:t>
            </w:r>
          </w:p>
          <w:p w:rsidR="000C2455" w:rsidRPr="00687B52" w:rsidRDefault="000C2455" w:rsidP="003E1D2A">
            <w:pPr>
              <w:pStyle w:val="a7"/>
              <w:rPr>
                <w:rFonts w:hAnsi="Times New Roman"/>
                <w:color w:val="000000" w:themeColor="text1"/>
              </w:rPr>
            </w:pPr>
            <w:r w:rsidRPr="00687B52">
              <w:rPr>
                <w:rFonts w:hAnsi="Times New Roman"/>
                <w:color w:val="000000" w:themeColor="text1"/>
              </w:rPr>
              <w:t>4</w:t>
            </w:r>
            <w:r w:rsidRPr="00687B52">
              <w:rPr>
                <w:rFonts w:hAnsi="Times New Roman"/>
                <w:color w:val="000000" w:themeColor="text1"/>
              </w:rPr>
              <w:t>）气柜</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2.6</w:t>
            </w:r>
          </w:p>
        </w:tc>
        <w:tc>
          <w:tcPr>
            <w:tcW w:w="2272" w:type="pct"/>
            <w:gridSpan w:val="2"/>
            <w:vAlign w:val="center"/>
          </w:tcPr>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企业应对装置正常运行过程中的各项工艺参数进行严格控制，安全工艺参数至少满足：</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1</w:t>
            </w:r>
            <w:r w:rsidRPr="00687B52">
              <w:rPr>
                <w:rFonts w:hAnsi="Times New Roman"/>
                <w:color w:val="000000" w:themeColor="text1"/>
              </w:rPr>
              <w:t>）气柜出入口管线氧含量</w:t>
            </w:r>
            <w:r w:rsidRPr="00687B52">
              <w:rPr>
                <w:rFonts w:hAnsi="Times New Roman"/>
                <w:color w:val="000000" w:themeColor="text1"/>
              </w:rPr>
              <w:t>&lt;0.005</w:t>
            </w:r>
            <w:r w:rsidRPr="00687B52">
              <w:rPr>
                <w:rFonts w:hAnsi="Times New Roman"/>
                <w:color w:val="000000" w:themeColor="text1"/>
              </w:rPr>
              <w:t>（体积分数）；</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2</w:t>
            </w:r>
            <w:r w:rsidRPr="00687B52">
              <w:rPr>
                <w:rFonts w:hAnsi="Times New Roman"/>
                <w:color w:val="000000" w:themeColor="text1"/>
              </w:rPr>
              <w:t>）气化炉氧油比</w:t>
            </w:r>
            <w:r w:rsidRPr="00687B52">
              <w:rPr>
                <w:rFonts w:hAnsi="Times New Roman"/>
                <w:color w:val="000000" w:themeColor="text1"/>
              </w:rPr>
              <w:t>0.85</w:t>
            </w:r>
            <w:r w:rsidRPr="00687B52">
              <w:rPr>
                <w:rFonts w:hAnsi="Times New Roman"/>
                <w:color w:val="000000" w:themeColor="text1"/>
              </w:rPr>
              <w:t>～</w:t>
            </w:r>
            <w:r w:rsidRPr="00687B52">
              <w:rPr>
                <w:rFonts w:hAnsi="Times New Roman"/>
                <w:color w:val="000000" w:themeColor="text1"/>
              </w:rPr>
              <w:t>0.90</w:t>
            </w:r>
            <w:r w:rsidRPr="00687B52">
              <w:rPr>
                <w:rFonts w:hAnsi="Times New Roman"/>
                <w:color w:val="000000" w:themeColor="text1"/>
              </w:rPr>
              <w:t>；</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3</w:t>
            </w:r>
            <w:r w:rsidRPr="00687B52">
              <w:rPr>
                <w:rFonts w:hAnsi="Times New Roman"/>
                <w:color w:val="000000" w:themeColor="text1"/>
              </w:rPr>
              <w:t>）回收吹风气燃烧炉上段温度</w:t>
            </w:r>
            <w:r w:rsidRPr="00687B52">
              <w:rPr>
                <w:rFonts w:hAnsi="Times New Roman"/>
                <w:color w:val="000000" w:themeColor="text1"/>
              </w:rPr>
              <w:t>≥750</w:t>
            </w:r>
            <w:r w:rsidRPr="00687B52">
              <w:rPr>
                <w:rFonts w:hAnsi="宋体"/>
                <w:color w:val="000000" w:themeColor="text1"/>
              </w:rPr>
              <w:t>℃</w:t>
            </w:r>
            <w:r w:rsidRPr="00687B52">
              <w:rPr>
                <w:rFonts w:hAnsi="Times New Roman"/>
                <w:color w:val="000000" w:themeColor="text1"/>
              </w:rPr>
              <w:t>。</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《合成氨生产企业安全标准化实施指南》</w:t>
            </w:r>
          </w:p>
          <w:p w:rsidR="000C2455" w:rsidRPr="00687B52" w:rsidRDefault="000C2455" w:rsidP="003E1D2A">
            <w:pPr>
              <w:pStyle w:val="a7"/>
              <w:rPr>
                <w:rFonts w:hAnsi="Times New Roman"/>
                <w:color w:val="000000" w:themeColor="text1"/>
              </w:rPr>
            </w:pPr>
            <w:r w:rsidRPr="00687B52">
              <w:rPr>
                <w:rFonts w:hAnsi="Times New Roman"/>
                <w:color w:val="000000" w:themeColor="text1"/>
              </w:rPr>
              <w:t>AQ/T3017-2008</w:t>
            </w:r>
          </w:p>
          <w:p w:rsidR="000C2455" w:rsidRPr="00687B52" w:rsidRDefault="000C2455" w:rsidP="003E1D2A">
            <w:pPr>
              <w:pStyle w:val="a7"/>
              <w:rPr>
                <w:rFonts w:hAnsi="Times New Roman"/>
                <w:color w:val="000000" w:themeColor="text1"/>
              </w:rPr>
            </w:pPr>
            <w:r w:rsidRPr="00687B52">
              <w:rPr>
                <w:rFonts w:hAnsi="Times New Roman"/>
                <w:color w:val="000000" w:themeColor="text1"/>
              </w:rPr>
              <w:t>5.5.4.3</w:t>
            </w:r>
          </w:p>
          <w:p w:rsidR="000C2455" w:rsidRPr="00687B52" w:rsidRDefault="000C2455" w:rsidP="003E1D2A">
            <w:pPr>
              <w:pStyle w:val="a7"/>
              <w:rPr>
                <w:rFonts w:hAnsi="Times New Roman"/>
                <w:color w:val="000000" w:themeColor="text1"/>
              </w:rPr>
            </w:pP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2.7</w:t>
            </w:r>
          </w:p>
        </w:tc>
        <w:tc>
          <w:tcPr>
            <w:tcW w:w="2272" w:type="pct"/>
            <w:gridSpan w:val="2"/>
            <w:vAlign w:val="center"/>
          </w:tcPr>
          <w:p w:rsidR="000C2455" w:rsidRPr="00687B52" w:rsidRDefault="000C2455" w:rsidP="003E1D2A">
            <w:pPr>
              <w:pStyle w:val="a7"/>
              <w:jc w:val="left"/>
              <w:rPr>
                <w:rFonts w:hAnsi="Times New Roman"/>
                <w:color w:val="000000" w:themeColor="text1"/>
              </w:rPr>
            </w:pPr>
            <w:r w:rsidRPr="00687B52">
              <w:rPr>
                <w:rFonts w:hAnsi="Times New Roman"/>
                <w:color w:val="000000" w:themeColor="text1"/>
                <w:kern w:val="0"/>
              </w:rPr>
              <w:t>夹套锅炉和废热锅炉汽包必须装置安全阀。禁止在夹套锅炉和汽包之间的连通管上装阀门。</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3.3.1</w:t>
            </w:r>
            <w:r w:rsidRPr="00687B52">
              <w:rPr>
                <w:rFonts w:hAnsi="Times New Roman"/>
                <w:color w:val="000000" w:themeColor="text1"/>
                <w:kern w:val="0"/>
              </w:rPr>
              <w:t>煤气化</w:t>
            </w:r>
          </w:p>
          <w:p w:rsidR="000C2455" w:rsidRPr="00687B52" w:rsidRDefault="000C2455" w:rsidP="003E1D2A">
            <w:pPr>
              <w:pStyle w:val="a7"/>
              <w:rPr>
                <w:rFonts w:hAnsi="Times New Roman"/>
                <w:color w:val="000000" w:themeColor="text1"/>
              </w:rPr>
            </w:pPr>
            <w:r w:rsidRPr="00687B52">
              <w:rPr>
                <w:rFonts w:hAnsi="Times New Roman"/>
                <w:color w:val="000000" w:themeColor="text1"/>
              </w:rPr>
              <w:t>3.3.1.3</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2.8</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夹套锅炉和废热锅炉汽包水位应保持在</w:t>
            </w:r>
            <w:r w:rsidRPr="00687B52">
              <w:rPr>
                <w:rFonts w:hAnsi="Times New Roman"/>
                <w:color w:val="000000" w:themeColor="text1"/>
                <w:kern w:val="0"/>
              </w:rPr>
              <w:t>1</w:t>
            </w:r>
            <w:r w:rsidRPr="00687B52">
              <w:rPr>
                <w:rFonts w:hAnsi="Times New Roman"/>
                <w:color w:val="000000" w:themeColor="text1"/>
                <w:kern w:val="0"/>
              </w:rPr>
              <w:t>／</w:t>
            </w:r>
            <w:r w:rsidRPr="00687B52">
              <w:rPr>
                <w:rFonts w:hAnsi="Times New Roman"/>
                <w:color w:val="000000" w:themeColor="text1"/>
                <w:kern w:val="0"/>
              </w:rPr>
              <w:t>2</w:t>
            </w:r>
            <w:r w:rsidRPr="00687B52">
              <w:rPr>
                <w:rFonts w:hAnsi="Times New Roman"/>
                <w:color w:val="000000" w:themeColor="text1"/>
                <w:kern w:val="0"/>
              </w:rPr>
              <w:t>～</w:t>
            </w:r>
            <w:r w:rsidRPr="00687B52">
              <w:rPr>
                <w:rFonts w:hAnsi="Times New Roman"/>
                <w:color w:val="000000" w:themeColor="text1"/>
                <w:kern w:val="0"/>
              </w:rPr>
              <w:t>2</w:t>
            </w:r>
            <w:r w:rsidRPr="00687B52">
              <w:rPr>
                <w:rFonts w:hAnsi="Times New Roman"/>
                <w:color w:val="000000" w:themeColor="text1"/>
                <w:kern w:val="0"/>
              </w:rPr>
              <w:t>／</w:t>
            </w:r>
            <w:r w:rsidRPr="00687B52">
              <w:rPr>
                <w:rFonts w:hAnsi="Times New Roman"/>
                <w:color w:val="000000" w:themeColor="text1"/>
                <w:kern w:val="0"/>
              </w:rPr>
              <w:t>3</w:t>
            </w:r>
            <w:r w:rsidRPr="00687B52">
              <w:rPr>
                <w:rFonts w:hAnsi="Times New Roman"/>
                <w:color w:val="000000" w:themeColor="text1"/>
                <w:kern w:val="0"/>
              </w:rPr>
              <w:t>的高度，并设有低限报警装置。一旦断水未经自然冷却，严禁加水。</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3.3.1</w:t>
            </w:r>
            <w:r w:rsidRPr="00687B52">
              <w:rPr>
                <w:rFonts w:hAnsi="Times New Roman"/>
                <w:color w:val="000000" w:themeColor="text1"/>
                <w:kern w:val="0"/>
              </w:rPr>
              <w:t>煤气化</w:t>
            </w:r>
          </w:p>
          <w:p w:rsidR="000C2455" w:rsidRPr="00687B52" w:rsidRDefault="000C2455" w:rsidP="003E1D2A">
            <w:pPr>
              <w:pStyle w:val="a7"/>
              <w:rPr>
                <w:rFonts w:hAnsi="Times New Roman"/>
                <w:color w:val="000000" w:themeColor="text1"/>
              </w:rPr>
            </w:pPr>
            <w:r w:rsidRPr="00687B52">
              <w:rPr>
                <w:rFonts w:hAnsi="Times New Roman"/>
                <w:color w:val="000000" w:themeColor="text1"/>
              </w:rPr>
              <w:t>3.3.1.3</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2.9</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保持炭层高度及炉温稳定，严格控制半水煤气中氧含量</w:t>
            </w:r>
            <w:r w:rsidRPr="00687B52">
              <w:rPr>
                <w:rFonts w:hAnsi="Times New Roman"/>
                <w:color w:val="000000" w:themeColor="text1"/>
                <w:kern w:val="0"/>
              </w:rPr>
              <w:t>≤0</w:t>
            </w:r>
            <w:r w:rsidRPr="00687B52">
              <w:rPr>
                <w:rFonts w:hAnsi="Times New Roman"/>
                <w:color w:val="000000" w:themeColor="text1"/>
                <w:kern w:val="0"/>
              </w:rPr>
              <w:t>．</w:t>
            </w:r>
            <w:r w:rsidRPr="00687B52">
              <w:rPr>
                <w:rFonts w:hAnsi="Times New Roman"/>
                <w:color w:val="000000" w:themeColor="text1"/>
                <w:kern w:val="0"/>
              </w:rPr>
              <w:t>5</w:t>
            </w:r>
            <w:r w:rsidRPr="00687B52">
              <w:rPr>
                <w:rFonts w:hAnsi="Times New Roman"/>
                <w:color w:val="000000" w:themeColor="text1"/>
                <w:kern w:val="0"/>
              </w:rPr>
              <w:t>％，当氧含量达到</w:t>
            </w:r>
            <w:r w:rsidRPr="00687B52">
              <w:rPr>
                <w:rFonts w:hAnsi="Times New Roman"/>
                <w:color w:val="000000" w:themeColor="text1"/>
                <w:kern w:val="0"/>
              </w:rPr>
              <w:t>1</w:t>
            </w:r>
            <w:r w:rsidRPr="00687B52">
              <w:rPr>
                <w:rFonts w:hAnsi="Times New Roman"/>
                <w:color w:val="000000" w:themeColor="text1"/>
                <w:kern w:val="0"/>
              </w:rPr>
              <w:t>％时，必须立即停炉检查处理。</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3.3.1</w:t>
            </w:r>
            <w:r w:rsidRPr="00687B52">
              <w:rPr>
                <w:rFonts w:hAnsi="Times New Roman"/>
                <w:color w:val="000000" w:themeColor="text1"/>
                <w:kern w:val="0"/>
              </w:rPr>
              <w:t>煤气化</w:t>
            </w:r>
          </w:p>
          <w:p w:rsidR="000C2455" w:rsidRPr="00687B52" w:rsidRDefault="000C2455" w:rsidP="003E1D2A">
            <w:pPr>
              <w:pStyle w:val="a7"/>
              <w:rPr>
                <w:rFonts w:hAnsi="Times New Roman"/>
                <w:color w:val="000000" w:themeColor="text1"/>
              </w:rPr>
            </w:pPr>
            <w:r w:rsidRPr="00687B52">
              <w:rPr>
                <w:rFonts w:hAnsi="Times New Roman"/>
                <w:color w:val="000000" w:themeColor="text1"/>
              </w:rPr>
              <w:t>3.3.1.6</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2.10</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下行煤气阀和吹风阀应有安全联锁装置，防止因阀门失灵引起氧含量增高或爆炸事故发生。</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3.3.1</w:t>
            </w:r>
            <w:r w:rsidRPr="00687B52">
              <w:rPr>
                <w:rFonts w:hAnsi="Times New Roman"/>
                <w:color w:val="000000" w:themeColor="text1"/>
                <w:kern w:val="0"/>
              </w:rPr>
              <w:t>煤气化</w:t>
            </w:r>
          </w:p>
          <w:p w:rsidR="000C2455" w:rsidRPr="00687B52" w:rsidRDefault="000C2455" w:rsidP="003E1D2A">
            <w:pPr>
              <w:pStyle w:val="a7"/>
              <w:rPr>
                <w:rFonts w:hAnsi="Times New Roman"/>
                <w:color w:val="000000" w:themeColor="text1"/>
              </w:rPr>
            </w:pPr>
            <w:r w:rsidRPr="00687B52">
              <w:rPr>
                <w:rFonts w:hAnsi="Times New Roman"/>
                <w:color w:val="000000" w:themeColor="text1"/>
              </w:rPr>
              <w:lastRenderedPageBreak/>
              <w:t>3.3.1.7</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lastRenderedPageBreak/>
              <w:t>2.11</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煤气下行管、灰斗和炉底空气管道必须安装爆破片，爆破片必须装防护罩。</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3.3.1</w:t>
            </w:r>
            <w:r w:rsidRPr="00687B52">
              <w:rPr>
                <w:rFonts w:hAnsi="Times New Roman"/>
                <w:color w:val="000000" w:themeColor="text1"/>
                <w:kern w:val="0"/>
              </w:rPr>
              <w:t>煤气化</w:t>
            </w:r>
          </w:p>
          <w:p w:rsidR="000C2455" w:rsidRPr="00687B52" w:rsidRDefault="000C2455" w:rsidP="003E1D2A">
            <w:pPr>
              <w:pStyle w:val="a7"/>
              <w:rPr>
                <w:rFonts w:hAnsi="Times New Roman"/>
                <w:color w:val="000000" w:themeColor="text1"/>
              </w:rPr>
            </w:pPr>
            <w:r w:rsidRPr="00687B52">
              <w:rPr>
                <w:rFonts w:hAnsi="Times New Roman"/>
                <w:color w:val="000000" w:themeColor="text1"/>
              </w:rPr>
              <w:t>3.3.1.8</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2.12</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空气鼓风机跳闸，必须按照紧急停炉处理，并立即打开炉盖、点火。</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3.3.1</w:t>
            </w:r>
            <w:r w:rsidRPr="00687B52">
              <w:rPr>
                <w:rFonts w:hAnsi="Times New Roman"/>
                <w:color w:val="000000" w:themeColor="text1"/>
                <w:kern w:val="0"/>
              </w:rPr>
              <w:t>煤气化</w:t>
            </w:r>
          </w:p>
          <w:p w:rsidR="000C2455" w:rsidRPr="00687B52" w:rsidRDefault="000C2455" w:rsidP="003E1D2A">
            <w:pPr>
              <w:pStyle w:val="a7"/>
              <w:rPr>
                <w:rFonts w:hAnsi="Times New Roman"/>
                <w:color w:val="000000" w:themeColor="text1"/>
              </w:rPr>
            </w:pPr>
            <w:r w:rsidRPr="00687B52">
              <w:rPr>
                <w:rFonts w:hAnsi="Times New Roman"/>
                <w:color w:val="000000" w:themeColor="text1"/>
              </w:rPr>
              <w:t>3.3.1.9</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2.13</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ˎ̥"/>
                <w:color w:val="000000" w:themeColor="text1"/>
                <w:kern w:val="0"/>
              </w:rPr>
              <w:t>造气操作岗位应设有断水报警装置，并要经常检查洗涤塔水封溢流情况，以防断水造成事故。</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w:t>
            </w:r>
            <w:r w:rsidRPr="00687B52">
              <w:rPr>
                <w:rFonts w:hAnsi="Times New Roman"/>
                <w:color w:val="000000" w:themeColor="text1"/>
                <w:kern w:val="0"/>
              </w:rPr>
              <w:t>造气</w:t>
            </w:r>
            <w:r w:rsidRPr="00687B52">
              <w:rPr>
                <w:rFonts w:hAnsi="Times New Roman"/>
                <w:color w:val="000000" w:themeColor="text1"/>
                <w:kern w:val="0"/>
              </w:rPr>
              <w:t>3.3.1</w:t>
            </w:r>
            <w:r w:rsidRPr="00687B52">
              <w:rPr>
                <w:rFonts w:hAnsi="Times New Roman"/>
                <w:color w:val="000000" w:themeColor="text1"/>
                <w:kern w:val="0"/>
              </w:rPr>
              <w:t>煤气化</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3.3.1.10</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2.14</w:t>
            </w:r>
          </w:p>
        </w:tc>
        <w:tc>
          <w:tcPr>
            <w:tcW w:w="2272" w:type="pct"/>
            <w:gridSpan w:val="2"/>
            <w:vAlign w:val="center"/>
          </w:tcPr>
          <w:p w:rsidR="000C2455" w:rsidRPr="00687B52" w:rsidRDefault="000C2455" w:rsidP="003E1D2A">
            <w:pPr>
              <w:pStyle w:val="a7"/>
              <w:jc w:val="left"/>
              <w:rPr>
                <w:rFonts w:hAnsi="Times New Roman"/>
                <w:color w:val="000000" w:themeColor="text1"/>
                <w:szCs w:val="24"/>
              </w:rPr>
            </w:pPr>
            <w:r w:rsidRPr="00687B52">
              <w:rPr>
                <w:rFonts w:hAnsi="Times New Roman"/>
                <w:color w:val="000000" w:themeColor="text1"/>
                <w:kern w:val="0"/>
              </w:rPr>
              <w:t>气柜应设有容积指示仪、高低限位报警器、低限与罗茨鼓风机联锁停车装置。</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w:t>
            </w:r>
            <w:r w:rsidRPr="00687B52">
              <w:rPr>
                <w:rFonts w:hAnsi="Times New Roman"/>
                <w:color w:val="000000" w:themeColor="text1"/>
                <w:kern w:val="0"/>
              </w:rPr>
              <w:t>造气</w:t>
            </w:r>
            <w:r w:rsidRPr="00687B52">
              <w:rPr>
                <w:rFonts w:hAnsi="Times New Roman"/>
                <w:color w:val="000000" w:themeColor="text1"/>
                <w:kern w:val="0"/>
              </w:rPr>
              <w:t>3.3.1</w:t>
            </w:r>
            <w:r w:rsidRPr="00687B52">
              <w:rPr>
                <w:rFonts w:hAnsi="Times New Roman"/>
                <w:color w:val="000000" w:themeColor="text1"/>
                <w:kern w:val="0"/>
              </w:rPr>
              <w:t>煤气化</w:t>
            </w:r>
          </w:p>
          <w:p w:rsidR="000C2455" w:rsidRPr="00687B52" w:rsidRDefault="000C2455" w:rsidP="003E1D2A">
            <w:pPr>
              <w:pStyle w:val="a7"/>
              <w:rPr>
                <w:rFonts w:hAnsi="Times New Roman"/>
                <w:color w:val="000000" w:themeColor="text1"/>
                <w:szCs w:val="24"/>
              </w:rPr>
            </w:pPr>
            <w:r w:rsidRPr="00687B52">
              <w:rPr>
                <w:rFonts w:hAnsi="Times New Roman"/>
                <w:color w:val="000000" w:themeColor="text1"/>
                <w:kern w:val="0"/>
              </w:rPr>
              <w:t>3.3.1.11</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2.15</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气柜应装有放空装置和独立杆的避雷装置，应有气柜进、出口安全水封；水封放水操作应两人同行，并戴好防毒面具；一人操作，一人监护，以防中毒。</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3.3.1</w:t>
            </w:r>
            <w:r w:rsidRPr="00687B52">
              <w:rPr>
                <w:rFonts w:hAnsi="Times New Roman"/>
                <w:color w:val="000000" w:themeColor="text1"/>
                <w:kern w:val="0"/>
              </w:rPr>
              <w:t>煤气化</w:t>
            </w:r>
          </w:p>
          <w:p w:rsidR="000C2455" w:rsidRPr="00687B52" w:rsidRDefault="000C2455" w:rsidP="003E1D2A">
            <w:pPr>
              <w:pStyle w:val="a7"/>
              <w:rPr>
                <w:rFonts w:hAnsi="Times New Roman"/>
                <w:color w:val="000000" w:themeColor="text1"/>
              </w:rPr>
            </w:pPr>
            <w:r w:rsidRPr="00687B52">
              <w:rPr>
                <w:rFonts w:hAnsi="Times New Roman"/>
                <w:color w:val="000000" w:themeColor="text1"/>
              </w:rPr>
              <w:t>3.3.1.12</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2.16</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气柜停用时，进出口水封应加强封水检查，防止跑水。如长期停用还应在排水阀后加装盲板。</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3.3.1</w:t>
            </w:r>
            <w:r w:rsidRPr="00687B52">
              <w:rPr>
                <w:rFonts w:hAnsi="Times New Roman"/>
                <w:color w:val="000000" w:themeColor="text1"/>
                <w:kern w:val="0"/>
              </w:rPr>
              <w:t>煤气化</w:t>
            </w:r>
          </w:p>
          <w:p w:rsidR="000C2455" w:rsidRPr="00687B52" w:rsidRDefault="000C2455" w:rsidP="003E1D2A">
            <w:pPr>
              <w:pStyle w:val="a7"/>
              <w:rPr>
                <w:rFonts w:hAnsi="Times New Roman"/>
                <w:color w:val="000000" w:themeColor="text1"/>
              </w:rPr>
            </w:pPr>
            <w:r w:rsidRPr="00687B52">
              <w:rPr>
                <w:rFonts w:hAnsi="Times New Roman"/>
                <w:color w:val="000000" w:themeColor="text1"/>
              </w:rPr>
              <w:t>3.3.1.13</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2.17</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气柜检修时需用贫气（</w:t>
            </w:r>
            <w:r w:rsidRPr="00687B52">
              <w:rPr>
                <w:rFonts w:ascii="Times New Roman" w:hAnsi="Times New Roman"/>
                <w:color w:val="000000" w:themeColor="text1"/>
                <w:kern w:val="0"/>
                <w:sz w:val="24"/>
                <w:szCs w:val="21"/>
              </w:rPr>
              <w:t>CO</w:t>
            </w:r>
            <w:r w:rsidRPr="00687B52">
              <w:rPr>
                <w:rFonts w:ascii="Times New Roman" w:hAnsi="Times New Roman"/>
                <w:color w:val="000000" w:themeColor="text1"/>
                <w:kern w:val="0"/>
                <w:sz w:val="24"/>
                <w:szCs w:val="21"/>
              </w:rPr>
              <w:t>＋</w:t>
            </w:r>
            <w:r w:rsidRPr="00687B52">
              <w:rPr>
                <w:rFonts w:ascii="Times New Roman" w:hAnsi="Times New Roman"/>
                <w:color w:val="000000" w:themeColor="text1"/>
                <w:kern w:val="0"/>
                <w:sz w:val="24"/>
                <w:szCs w:val="21"/>
              </w:rPr>
              <w:t>H2≤8</w:t>
            </w:r>
            <w:r w:rsidRPr="00687B52">
              <w:rPr>
                <w:rFonts w:ascii="Times New Roman" w:hAnsi="Times New Roman"/>
                <w:color w:val="000000" w:themeColor="text1"/>
                <w:kern w:val="0"/>
                <w:sz w:val="24"/>
                <w:szCs w:val="21"/>
              </w:rPr>
              <w:t>％，</w:t>
            </w:r>
            <w:r w:rsidRPr="00687B52">
              <w:rPr>
                <w:rFonts w:ascii="Times New Roman" w:hAnsi="Times New Roman"/>
                <w:color w:val="000000" w:themeColor="text1"/>
                <w:kern w:val="0"/>
                <w:sz w:val="24"/>
                <w:szCs w:val="21"/>
              </w:rPr>
              <w:t>O2</w:t>
            </w:r>
            <w:r w:rsidRPr="00687B52">
              <w:rPr>
                <w:rFonts w:ascii="Times New Roman" w:hAnsi="Times New Roman"/>
                <w:color w:val="000000" w:themeColor="text1"/>
                <w:kern w:val="0"/>
                <w:sz w:val="24"/>
                <w:szCs w:val="21"/>
              </w:rPr>
              <w:t>＜</w:t>
            </w:r>
            <w:r w:rsidRPr="00687B52">
              <w:rPr>
                <w:rFonts w:ascii="Times New Roman" w:hAnsi="Times New Roman"/>
                <w:color w:val="000000" w:themeColor="text1"/>
                <w:kern w:val="0"/>
                <w:sz w:val="24"/>
                <w:szCs w:val="21"/>
              </w:rPr>
              <w:t>1</w:t>
            </w:r>
            <w:r w:rsidRPr="00687B52">
              <w:rPr>
                <w:rFonts w:ascii="Times New Roman" w:hAnsi="Times New Roman"/>
                <w:color w:val="000000" w:themeColor="text1"/>
                <w:kern w:val="0"/>
                <w:sz w:val="24"/>
                <w:szCs w:val="21"/>
              </w:rPr>
              <w:t>％）置换合格，加盲板与生产系统隔绝后，方可打开放空阀或人孔，在确认放空阀畅通后，才能缓慢放水，控制放水速度以防气柜抽瘪。</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3.3.1</w:t>
            </w:r>
            <w:r w:rsidRPr="00687B52">
              <w:rPr>
                <w:rFonts w:hAnsi="Times New Roman"/>
                <w:color w:val="000000" w:themeColor="text1"/>
                <w:kern w:val="0"/>
              </w:rPr>
              <w:t>煤气化</w:t>
            </w:r>
          </w:p>
          <w:p w:rsidR="000C2455" w:rsidRPr="00687B52" w:rsidRDefault="000C2455" w:rsidP="003E1D2A">
            <w:pPr>
              <w:pStyle w:val="a7"/>
              <w:rPr>
                <w:rFonts w:hAnsi="Times New Roman"/>
                <w:color w:val="000000" w:themeColor="text1"/>
              </w:rPr>
            </w:pPr>
            <w:r w:rsidRPr="00687B52">
              <w:rPr>
                <w:rFonts w:hAnsi="Times New Roman"/>
                <w:color w:val="000000" w:themeColor="text1"/>
              </w:rPr>
              <w:t>3.3.1.14</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2.18</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变换气柜投产开车或大修后开车用贫气置换合格后才能</w:t>
            </w:r>
            <w:r w:rsidRPr="00687B52">
              <w:rPr>
                <w:rFonts w:ascii="Times New Roman" w:hAnsi="Times New Roman"/>
                <w:color w:val="000000" w:themeColor="text1"/>
                <w:kern w:val="0"/>
                <w:sz w:val="24"/>
                <w:szCs w:val="21"/>
              </w:rPr>
              <w:lastRenderedPageBreak/>
              <w:t>送入变换气；严禁用变换气置换气柜中的空气。</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lastRenderedPageBreak/>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3.3.1</w:t>
            </w:r>
            <w:r w:rsidRPr="00687B52">
              <w:rPr>
                <w:rFonts w:hAnsi="Times New Roman"/>
                <w:color w:val="000000" w:themeColor="text1"/>
                <w:kern w:val="0"/>
              </w:rPr>
              <w:t>煤气化</w:t>
            </w:r>
          </w:p>
          <w:p w:rsidR="000C2455" w:rsidRPr="00687B52" w:rsidRDefault="000C2455" w:rsidP="003E1D2A">
            <w:pPr>
              <w:pStyle w:val="a7"/>
              <w:rPr>
                <w:rFonts w:hAnsi="Times New Roman"/>
                <w:color w:val="000000" w:themeColor="text1"/>
              </w:rPr>
            </w:pPr>
            <w:r w:rsidRPr="00687B52">
              <w:rPr>
                <w:rFonts w:hAnsi="Times New Roman"/>
                <w:color w:val="000000" w:themeColor="text1"/>
              </w:rPr>
              <w:lastRenderedPageBreak/>
              <w:t>3.3.1.15</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lastRenderedPageBreak/>
              <w:t>2.</w:t>
            </w:r>
            <w:r w:rsidRPr="00687B52">
              <w:rPr>
                <w:rFonts w:hAnsi="Times New Roman" w:hint="eastAsia"/>
                <w:color w:val="000000" w:themeColor="text1"/>
                <w:szCs w:val="24"/>
              </w:rPr>
              <w:t>19</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严禁各台煤气炉同时吹风，以免引起回收气体燃烧不完全而发生爆炸事故。</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3.3.1</w:t>
            </w:r>
            <w:r w:rsidRPr="00687B52">
              <w:rPr>
                <w:rFonts w:hAnsi="Times New Roman"/>
                <w:color w:val="000000" w:themeColor="text1"/>
                <w:kern w:val="0"/>
              </w:rPr>
              <w:t>煤气化</w:t>
            </w:r>
          </w:p>
          <w:p w:rsidR="000C2455" w:rsidRPr="00687B52" w:rsidRDefault="000C2455" w:rsidP="003E1D2A">
            <w:pPr>
              <w:pStyle w:val="a7"/>
              <w:rPr>
                <w:rFonts w:hAnsi="Times New Roman"/>
                <w:color w:val="000000" w:themeColor="text1"/>
              </w:rPr>
            </w:pPr>
            <w:r w:rsidRPr="00687B52">
              <w:rPr>
                <w:rFonts w:hAnsi="Times New Roman"/>
                <w:color w:val="000000" w:themeColor="text1"/>
              </w:rPr>
              <w:t>3.3.1.18</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2.2</w:t>
            </w:r>
            <w:r w:rsidRPr="00687B52">
              <w:rPr>
                <w:rFonts w:hAnsi="Times New Roman" w:hint="eastAsia"/>
                <w:color w:val="000000" w:themeColor="text1"/>
                <w:szCs w:val="24"/>
              </w:rPr>
              <w:t>0</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回收吹风气时，燃烧炉上段温度必须</w:t>
            </w:r>
            <w:r w:rsidRPr="00687B52">
              <w:rPr>
                <w:rFonts w:hAnsi="Times New Roman"/>
                <w:color w:val="000000" w:themeColor="text1"/>
                <w:kern w:val="0"/>
              </w:rPr>
              <w:t>≥750</w:t>
            </w:r>
            <w:r w:rsidRPr="00687B52">
              <w:rPr>
                <w:rFonts w:hAnsi="Times New Roman"/>
                <w:color w:val="000000" w:themeColor="text1"/>
                <w:kern w:val="0"/>
                <w:vertAlign w:val="superscript"/>
              </w:rPr>
              <w:t>o</w:t>
            </w:r>
            <w:r w:rsidRPr="00687B52">
              <w:rPr>
                <w:rFonts w:hAnsi="Times New Roman"/>
                <w:color w:val="000000" w:themeColor="text1"/>
                <w:kern w:val="0"/>
              </w:rPr>
              <w:t>C</w:t>
            </w:r>
            <w:r w:rsidRPr="00687B52">
              <w:rPr>
                <w:rFonts w:hAnsi="Times New Roman"/>
                <w:color w:val="000000" w:themeColor="text1"/>
                <w:kern w:val="0"/>
              </w:rPr>
              <w:t>，吹风气才能进入燃烧炉，以免发生爆炸。</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3.3.1</w:t>
            </w:r>
            <w:r w:rsidRPr="00687B52">
              <w:rPr>
                <w:rFonts w:hAnsi="Times New Roman"/>
                <w:color w:val="000000" w:themeColor="text1"/>
                <w:kern w:val="0"/>
              </w:rPr>
              <w:t>煤气化</w:t>
            </w:r>
          </w:p>
          <w:p w:rsidR="000C2455" w:rsidRPr="00687B52" w:rsidRDefault="000C2455" w:rsidP="003E1D2A">
            <w:pPr>
              <w:pStyle w:val="a7"/>
              <w:rPr>
                <w:rFonts w:hAnsi="Times New Roman"/>
                <w:color w:val="000000" w:themeColor="text1"/>
              </w:rPr>
            </w:pPr>
            <w:r w:rsidRPr="00687B52">
              <w:rPr>
                <w:rFonts w:hAnsi="Times New Roman"/>
                <w:color w:val="000000" w:themeColor="text1"/>
              </w:rPr>
              <w:t>3.3.1.19</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2.2</w:t>
            </w:r>
            <w:r w:rsidRPr="00687B52">
              <w:rPr>
                <w:rFonts w:hAnsi="Times New Roman" w:hint="eastAsia"/>
                <w:color w:val="000000" w:themeColor="text1"/>
                <w:szCs w:val="24"/>
              </w:rPr>
              <w:t>1</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严格控制余热锅炉汽包的正常水位在</w:t>
            </w:r>
            <w:r w:rsidRPr="00687B52">
              <w:rPr>
                <w:rFonts w:hAnsi="Times New Roman"/>
                <w:color w:val="000000" w:themeColor="text1"/>
                <w:kern w:val="0"/>
              </w:rPr>
              <w:t>1</w:t>
            </w:r>
            <w:r w:rsidRPr="00687B52">
              <w:rPr>
                <w:rFonts w:hAnsi="Times New Roman"/>
                <w:color w:val="000000" w:themeColor="text1"/>
                <w:kern w:val="0"/>
              </w:rPr>
              <w:t>／</w:t>
            </w:r>
            <w:r w:rsidRPr="00687B52">
              <w:rPr>
                <w:rFonts w:hAnsi="Times New Roman"/>
                <w:color w:val="000000" w:themeColor="text1"/>
                <w:kern w:val="0"/>
              </w:rPr>
              <w:t>2</w:t>
            </w:r>
            <w:r w:rsidRPr="00687B52">
              <w:rPr>
                <w:rFonts w:hAnsi="Times New Roman"/>
                <w:color w:val="000000" w:themeColor="text1"/>
                <w:kern w:val="0"/>
              </w:rPr>
              <w:t>～</w:t>
            </w:r>
            <w:r w:rsidRPr="00687B52">
              <w:rPr>
                <w:rFonts w:hAnsi="Times New Roman"/>
                <w:color w:val="000000" w:themeColor="text1"/>
                <w:kern w:val="0"/>
              </w:rPr>
              <w:t>2</w:t>
            </w:r>
            <w:r w:rsidRPr="00687B52">
              <w:rPr>
                <w:rFonts w:hAnsi="Times New Roman"/>
                <w:color w:val="000000" w:themeColor="text1"/>
                <w:kern w:val="0"/>
              </w:rPr>
              <w:t>／</w:t>
            </w:r>
            <w:r w:rsidRPr="00687B52">
              <w:rPr>
                <w:rFonts w:hAnsi="Times New Roman"/>
                <w:color w:val="000000" w:themeColor="text1"/>
                <w:kern w:val="0"/>
              </w:rPr>
              <w:t>3</w:t>
            </w:r>
            <w:r w:rsidRPr="00687B52">
              <w:rPr>
                <w:rFonts w:hAnsi="Times New Roman"/>
                <w:color w:val="000000" w:themeColor="text1"/>
                <w:kern w:val="0"/>
              </w:rPr>
              <w:t>处，并定期冲洗液位计。</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3.3.1</w:t>
            </w:r>
            <w:r w:rsidRPr="00687B52">
              <w:rPr>
                <w:rFonts w:hAnsi="Times New Roman"/>
                <w:color w:val="000000" w:themeColor="text1"/>
                <w:kern w:val="0"/>
              </w:rPr>
              <w:t>煤气化</w:t>
            </w:r>
          </w:p>
          <w:p w:rsidR="000C2455" w:rsidRPr="00687B52" w:rsidRDefault="000C2455" w:rsidP="003E1D2A">
            <w:pPr>
              <w:pStyle w:val="a7"/>
              <w:rPr>
                <w:rFonts w:hAnsi="Times New Roman"/>
                <w:color w:val="000000" w:themeColor="text1"/>
              </w:rPr>
            </w:pPr>
            <w:r w:rsidRPr="00687B52">
              <w:rPr>
                <w:rFonts w:hAnsi="Times New Roman"/>
                <w:color w:val="000000" w:themeColor="text1"/>
              </w:rPr>
              <w:t>3.3.1.20</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2.2</w:t>
            </w:r>
            <w:r w:rsidRPr="00687B52">
              <w:rPr>
                <w:rFonts w:hAnsi="Times New Roman" w:hint="eastAsia"/>
                <w:color w:val="000000" w:themeColor="text1"/>
                <w:szCs w:val="24"/>
              </w:rPr>
              <w:t>2</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当余热锅炉入口烟气温度</w:t>
            </w:r>
            <w:r w:rsidRPr="00687B52">
              <w:rPr>
                <w:rFonts w:hAnsi="Times New Roman"/>
                <w:color w:val="000000" w:themeColor="text1"/>
                <w:kern w:val="0"/>
              </w:rPr>
              <w:t>≥450</w:t>
            </w:r>
            <w:r w:rsidRPr="00687B52">
              <w:rPr>
                <w:rFonts w:hAnsi="Times New Roman"/>
                <w:color w:val="000000" w:themeColor="text1"/>
                <w:kern w:val="0"/>
                <w:vertAlign w:val="superscript"/>
              </w:rPr>
              <w:t>o</w:t>
            </w:r>
            <w:r w:rsidRPr="00687B52">
              <w:rPr>
                <w:rFonts w:hAnsi="Times New Roman"/>
                <w:color w:val="000000" w:themeColor="text1"/>
                <w:kern w:val="0"/>
              </w:rPr>
              <w:t>C</w:t>
            </w:r>
            <w:r w:rsidRPr="00687B52">
              <w:rPr>
                <w:rFonts w:hAnsi="Times New Roman"/>
                <w:color w:val="000000" w:themeColor="text1"/>
                <w:kern w:val="0"/>
              </w:rPr>
              <w:t>时，必须保持蒸汽过热器有蒸汽流动，以防蒸汽过热器烧坏。</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3.3.1</w:t>
            </w:r>
            <w:r w:rsidRPr="00687B52">
              <w:rPr>
                <w:rFonts w:hAnsi="Times New Roman"/>
                <w:color w:val="000000" w:themeColor="text1"/>
                <w:kern w:val="0"/>
              </w:rPr>
              <w:t>煤气化</w:t>
            </w:r>
          </w:p>
          <w:p w:rsidR="000C2455" w:rsidRPr="00687B52" w:rsidRDefault="000C2455" w:rsidP="003E1D2A">
            <w:pPr>
              <w:pStyle w:val="a7"/>
              <w:rPr>
                <w:rFonts w:hAnsi="Times New Roman"/>
                <w:color w:val="000000" w:themeColor="text1"/>
              </w:rPr>
            </w:pPr>
            <w:r w:rsidRPr="00687B52">
              <w:rPr>
                <w:rFonts w:hAnsi="Times New Roman"/>
                <w:color w:val="000000" w:themeColor="text1"/>
              </w:rPr>
              <w:t>3.3.1.21</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2.2</w:t>
            </w:r>
            <w:r w:rsidRPr="00687B52">
              <w:rPr>
                <w:rFonts w:hAnsi="Times New Roman" w:hint="eastAsia"/>
                <w:color w:val="000000" w:themeColor="text1"/>
                <w:szCs w:val="24"/>
              </w:rPr>
              <w:t>3</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燃烧炉重新点火前，先开鼓风机对整个系统进行吹排，并分析</w:t>
            </w:r>
            <w:r w:rsidRPr="00687B52">
              <w:rPr>
                <w:rFonts w:hAnsi="Times New Roman"/>
                <w:color w:val="000000" w:themeColor="text1"/>
                <w:kern w:val="0"/>
              </w:rPr>
              <w:t>O2≥20</w:t>
            </w:r>
            <w:r w:rsidRPr="00687B52">
              <w:rPr>
                <w:rFonts w:hAnsi="Times New Roman"/>
                <w:color w:val="000000" w:themeColor="text1"/>
                <w:kern w:val="0"/>
              </w:rPr>
              <w:t>％后才能进行点火。</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3.3.1</w:t>
            </w:r>
            <w:r w:rsidRPr="00687B52">
              <w:rPr>
                <w:rFonts w:hAnsi="Times New Roman"/>
                <w:color w:val="000000" w:themeColor="text1"/>
                <w:kern w:val="0"/>
              </w:rPr>
              <w:t>煤气化</w:t>
            </w:r>
          </w:p>
          <w:p w:rsidR="000C2455" w:rsidRPr="00687B52" w:rsidRDefault="000C2455" w:rsidP="003E1D2A">
            <w:pPr>
              <w:pStyle w:val="a7"/>
              <w:rPr>
                <w:rFonts w:hAnsi="Times New Roman"/>
                <w:color w:val="000000" w:themeColor="text1"/>
              </w:rPr>
            </w:pPr>
            <w:r w:rsidRPr="00687B52">
              <w:rPr>
                <w:rFonts w:hAnsi="Times New Roman"/>
                <w:color w:val="000000" w:themeColor="text1"/>
              </w:rPr>
              <w:t>3.3.1.22</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2.2</w:t>
            </w:r>
            <w:r w:rsidRPr="00687B52">
              <w:rPr>
                <w:rFonts w:hAnsi="Times New Roman" w:hint="eastAsia"/>
                <w:color w:val="000000" w:themeColor="text1"/>
                <w:szCs w:val="24"/>
              </w:rPr>
              <w:t>4</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吹风阀要采取双阀或增装蝶阀，造气岗位主要液压阀要安装阀位指示。</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3.3.1</w:t>
            </w:r>
            <w:r w:rsidRPr="00687B52">
              <w:rPr>
                <w:rFonts w:hAnsi="Times New Roman"/>
                <w:color w:val="000000" w:themeColor="text1"/>
                <w:kern w:val="0"/>
              </w:rPr>
              <w:t>煤气化</w:t>
            </w:r>
          </w:p>
          <w:p w:rsidR="000C2455" w:rsidRPr="00687B52" w:rsidRDefault="000C2455" w:rsidP="003E1D2A">
            <w:pPr>
              <w:pStyle w:val="a7"/>
              <w:rPr>
                <w:rFonts w:hAnsi="Times New Roman"/>
                <w:color w:val="000000" w:themeColor="text1"/>
              </w:rPr>
            </w:pPr>
            <w:r w:rsidRPr="00687B52">
              <w:rPr>
                <w:rFonts w:hAnsi="Times New Roman"/>
                <w:color w:val="000000" w:themeColor="text1"/>
              </w:rPr>
              <w:t>3.3.1.23</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2.2</w:t>
            </w:r>
            <w:r w:rsidRPr="00687B52">
              <w:rPr>
                <w:rFonts w:hAnsi="Times New Roman" w:hint="eastAsia"/>
                <w:color w:val="000000" w:themeColor="text1"/>
                <w:szCs w:val="24"/>
              </w:rPr>
              <w:t>5</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严格控制入气化炉氧油比例在</w:t>
            </w:r>
            <w:r w:rsidRPr="00687B52">
              <w:rPr>
                <w:rFonts w:hAnsi="Times New Roman"/>
                <w:color w:val="000000" w:themeColor="text1"/>
                <w:kern w:val="0"/>
              </w:rPr>
              <w:t>0.85</w:t>
            </w:r>
            <w:r w:rsidRPr="00687B52">
              <w:rPr>
                <w:rFonts w:hAnsi="Times New Roman"/>
                <w:color w:val="000000" w:themeColor="text1"/>
                <w:kern w:val="0"/>
              </w:rPr>
              <w:t>～</w:t>
            </w:r>
            <w:r w:rsidRPr="00687B52">
              <w:rPr>
                <w:rFonts w:hAnsi="Times New Roman"/>
                <w:color w:val="000000" w:themeColor="text1"/>
                <w:kern w:val="0"/>
              </w:rPr>
              <w:t>0.90</w:t>
            </w:r>
            <w:r w:rsidRPr="00687B52">
              <w:rPr>
                <w:rFonts w:hAnsi="Times New Roman"/>
                <w:color w:val="000000" w:themeColor="text1"/>
                <w:kern w:val="0"/>
              </w:rPr>
              <w:t>之间，避免超温、过氧或炉温下跌。</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3.3.2</w:t>
            </w:r>
            <w:r w:rsidRPr="00687B52">
              <w:rPr>
                <w:rFonts w:hAnsi="Times New Roman"/>
                <w:color w:val="000000" w:themeColor="text1"/>
                <w:kern w:val="0"/>
              </w:rPr>
              <w:t>重油气化</w:t>
            </w:r>
          </w:p>
          <w:p w:rsidR="000C2455" w:rsidRPr="00687B52" w:rsidRDefault="000C2455" w:rsidP="003E1D2A">
            <w:pPr>
              <w:pStyle w:val="a7"/>
              <w:rPr>
                <w:rFonts w:hAnsi="Times New Roman"/>
                <w:color w:val="000000" w:themeColor="text1"/>
              </w:rPr>
            </w:pPr>
            <w:r w:rsidRPr="00687B52">
              <w:rPr>
                <w:rFonts w:hAnsi="Times New Roman"/>
                <w:color w:val="000000" w:themeColor="text1"/>
              </w:rPr>
              <w:t>3.3.2.1</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2.2</w:t>
            </w:r>
            <w:r w:rsidRPr="00687B52">
              <w:rPr>
                <w:rFonts w:hAnsi="Times New Roman" w:hint="eastAsia"/>
                <w:color w:val="000000" w:themeColor="text1"/>
                <w:szCs w:val="24"/>
              </w:rPr>
              <w:t>6</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喷嘴冷却水必须设置事故水箱，并保持水箱满液位。装拆喷嘴过程中，喷嘴未离开炉子不能断冷却水。</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3.3.2</w:t>
            </w:r>
            <w:r w:rsidRPr="00687B52">
              <w:rPr>
                <w:rFonts w:hAnsi="Times New Roman"/>
                <w:color w:val="000000" w:themeColor="text1"/>
                <w:kern w:val="0"/>
              </w:rPr>
              <w:t>重油气化</w:t>
            </w:r>
          </w:p>
          <w:p w:rsidR="000C2455" w:rsidRPr="00687B52" w:rsidRDefault="000C2455" w:rsidP="003E1D2A">
            <w:pPr>
              <w:pStyle w:val="a7"/>
              <w:rPr>
                <w:rFonts w:hAnsi="Times New Roman"/>
                <w:color w:val="000000" w:themeColor="text1"/>
              </w:rPr>
            </w:pPr>
            <w:r w:rsidRPr="00687B52">
              <w:rPr>
                <w:rFonts w:hAnsi="Times New Roman"/>
                <w:color w:val="000000" w:themeColor="text1"/>
              </w:rPr>
              <w:t>3.3.2.4</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w:t>
            </w:r>
            <w:r w:rsidRPr="00687B52">
              <w:rPr>
                <w:rFonts w:hAnsi="Times New Roman" w:hint="eastAsia"/>
                <w:color w:val="000000" w:themeColor="text1"/>
                <w:szCs w:val="24"/>
              </w:rPr>
              <w:t>27</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开车前，文氏管、分离器及洗涤塔等设备，必须用氮气进</w:t>
            </w:r>
            <w:r w:rsidRPr="00687B52">
              <w:rPr>
                <w:rFonts w:hAnsi="Times New Roman"/>
                <w:color w:val="000000" w:themeColor="text1"/>
                <w:kern w:val="0"/>
              </w:rPr>
              <w:lastRenderedPageBreak/>
              <w:t>行置换，分析氧含量</w:t>
            </w:r>
            <w:r w:rsidRPr="00687B52">
              <w:rPr>
                <w:rFonts w:hAnsi="Times New Roman"/>
                <w:color w:val="000000" w:themeColor="text1"/>
                <w:kern w:val="0"/>
              </w:rPr>
              <w:t>≤0</w:t>
            </w:r>
            <w:r w:rsidRPr="00687B52">
              <w:rPr>
                <w:rFonts w:hAnsi="Times New Roman"/>
                <w:color w:val="000000" w:themeColor="text1"/>
                <w:kern w:val="0"/>
              </w:rPr>
              <w:t>．</w:t>
            </w:r>
            <w:r w:rsidRPr="00687B52">
              <w:rPr>
                <w:rFonts w:hAnsi="Times New Roman"/>
                <w:color w:val="000000" w:themeColor="text1"/>
                <w:kern w:val="0"/>
              </w:rPr>
              <w:t>5</w:t>
            </w:r>
            <w:r w:rsidRPr="00687B52">
              <w:rPr>
                <w:rFonts w:hAnsi="Times New Roman"/>
                <w:color w:val="000000" w:themeColor="text1"/>
                <w:kern w:val="0"/>
              </w:rPr>
              <w:t>％方可投料开车。</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lastRenderedPageBreak/>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lastRenderedPageBreak/>
              <w:t>3.3.2</w:t>
            </w:r>
            <w:r w:rsidRPr="00687B52">
              <w:rPr>
                <w:rFonts w:hAnsi="Times New Roman"/>
                <w:color w:val="000000" w:themeColor="text1"/>
                <w:kern w:val="0"/>
              </w:rPr>
              <w:t>重油气化</w:t>
            </w:r>
          </w:p>
          <w:p w:rsidR="000C2455" w:rsidRPr="00687B52" w:rsidRDefault="000C2455" w:rsidP="003E1D2A">
            <w:pPr>
              <w:pStyle w:val="a7"/>
              <w:rPr>
                <w:rFonts w:hAnsi="Times New Roman"/>
                <w:color w:val="000000" w:themeColor="text1"/>
              </w:rPr>
            </w:pPr>
            <w:r w:rsidRPr="00687B52">
              <w:rPr>
                <w:rFonts w:hAnsi="Times New Roman"/>
                <w:color w:val="000000" w:themeColor="text1"/>
              </w:rPr>
              <w:t>3.3.2.6</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lastRenderedPageBreak/>
              <w:t>2.</w:t>
            </w:r>
            <w:r w:rsidRPr="00687B52">
              <w:rPr>
                <w:rFonts w:hAnsi="Times New Roman" w:hint="eastAsia"/>
                <w:color w:val="000000" w:themeColor="text1"/>
                <w:szCs w:val="24"/>
              </w:rPr>
              <w:t>28</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为防止煤气或重油倒入氧气管发生爆炸，氧气管必须安装止逆阀和加氮保护装置。应在加氮管上装止逆阀，并设二关一开阀门，即两头有二个阀门关死，中间放空阀打开。</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3.3.2</w:t>
            </w:r>
            <w:r w:rsidRPr="00687B52">
              <w:rPr>
                <w:rFonts w:hAnsi="Times New Roman"/>
                <w:color w:val="000000" w:themeColor="text1"/>
                <w:kern w:val="0"/>
              </w:rPr>
              <w:t>重油气化</w:t>
            </w:r>
          </w:p>
          <w:p w:rsidR="000C2455" w:rsidRPr="00687B52" w:rsidRDefault="000C2455" w:rsidP="003E1D2A">
            <w:pPr>
              <w:pStyle w:val="a7"/>
              <w:rPr>
                <w:rFonts w:hAnsi="Times New Roman"/>
                <w:color w:val="000000" w:themeColor="text1"/>
              </w:rPr>
            </w:pPr>
            <w:r w:rsidRPr="00687B52">
              <w:rPr>
                <w:rFonts w:hAnsi="Times New Roman"/>
                <w:color w:val="000000" w:themeColor="text1"/>
              </w:rPr>
              <w:t>3.3.2.7</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w:t>
            </w:r>
            <w:r w:rsidRPr="00687B52">
              <w:rPr>
                <w:rFonts w:hAnsi="Times New Roman" w:hint="eastAsia"/>
                <w:color w:val="000000" w:themeColor="text1"/>
                <w:szCs w:val="24"/>
              </w:rPr>
              <w:t>29</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气化系统联锁装置中，重油入炉阀、氧气入炉阀、煤气出口总阀应选用气开式调节阀；蒸汽入炉阀、氮保护进口阀、重油回路阀、氧气放空阀、煤气放空阀应选用启闭式调节阀。</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3.3.2</w:t>
            </w:r>
            <w:r w:rsidRPr="00687B52">
              <w:rPr>
                <w:rFonts w:hAnsi="Times New Roman"/>
                <w:color w:val="000000" w:themeColor="text1"/>
                <w:kern w:val="0"/>
              </w:rPr>
              <w:t>重油气化</w:t>
            </w:r>
          </w:p>
          <w:p w:rsidR="000C2455" w:rsidRPr="00687B52" w:rsidRDefault="000C2455" w:rsidP="003E1D2A">
            <w:pPr>
              <w:pStyle w:val="a7"/>
              <w:rPr>
                <w:rFonts w:hAnsi="Times New Roman"/>
                <w:color w:val="000000" w:themeColor="text1"/>
              </w:rPr>
            </w:pPr>
            <w:r w:rsidRPr="00687B52">
              <w:rPr>
                <w:rFonts w:hAnsi="Times New Roman"/>
                <w:color w:val="000000" w:themeColor="text1"/>
              </w:rPr>
              <w:t>3.3.2.9</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w:t>
            </w:r>
            <w:r w:rsidRPr="00687B52">
              <w:rPr>
                <w:rFonts w:hAnsi="Times New Roman" w:hint="eastAsia"/>
                <w:color w:val="000000" w:themeColor="text1"/>
                <w:szCs w:val="24"/>
              </w:rPr>
              <w:t>30</w:t>
            </w:r>
          </w:p>
        </w:tc>
        <w:tc>
          <w:tcPr>
            <w:tcW w:w="2272" w:type="pct"/>
            <w:gridSpan w:val="2"/>
            <w:vAlign w:val="center"/>
          </w:tcPr>
          <w:p w:rsidR="000C2455" w:rsidRPr="00687B52" w:rsidRDefault="000C2455" w:rsidP="003E1D2A">
            <w:pPr>
              <w:pStyle w:val="a7"/>
              <w:jc w:val="left"/>
              <w:rPr>
                <w:rFonts w:hAnsi="Times New Roman"/>
                <w:color w:val="000000" w:themeColor="text1"/>
                <w:szCs w:val="24"/>
              </w:rPr>
            </w:pPr>
            <w:r w:rsidRPr="00687B52">
              <w:rPr>
                <w:rFonts w:hAnsi="Times New Roman"/>
                <w:color w:val="000000" w:themeColor="text1"/>
                <w:kern w:val="0"/>
              </w:rPr>
              <w:t>严格控制转化制气过程中天然气、空气、蒸汽压力，防止气压大幅度波动而发生事故。造气操作岗位应设置天然气、空气、蒸汽压力下限和上限报警装置。</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3.3.3</w:t>
            </w:r>
            <w:r w:rsidRPr="00687B52">
              <w:rPr>
                <w:rFonts w:hAnsi="Times New Roman"/>
                <w:color w:val="000000" w:themeColor="text1"/>
                <w:kern w:val="0"/>
              </w:rPr>
              <w:t>天然气化</w:t>
            </w:r>
            <w:r w:rsidRPr="00687B52">
              <w:rPr>
                <w:rFonts w:hAnsi="Times New Roman"/>
                <w:color w:val="000000" w:themeColor="text1"/>
                <w:kern w:val="0"/>
              </w:rPr>
              <w:t>3.3.3.1</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2.3</w:t>
            </w:r>
            <w:r w:rsidRPr="00687B52">
              <w:rPr>
                <w:rFonts w:hAnsi="Times New Roman" w:hint="eastAsia"/>
                <w:color w:val="000000" w:themeColor="text1"/>
                <w:szCs w:val="24"/>
              </w:rPr>
              <w:t>1</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正常生产中，燃烧炉温度不得低于</w:t>
            </w:r>
            <w:r w:rsidRPr="00687B52">
              <w:rPr>
                <w:rFonts w:hAnsi="Times New Roman"/>
                <w:color w:val="000000" w:themeColor="text1"/>
                <w:kern w:val="0"/>
              </w:rPr>
              <w:t>700</w:t>
            </w:r>
            <w:r w:rsidRPr="00687B52">
              <w:rPr>
                <w:rFonts w:hAnsi="Times New Roman"/>
                <w:color w:val="000000" w:themeColor="text1"/>
                <w:kern w:val="0"/>
                <w:vertAlign w:val="superscript"/>
              </w:rPr>
              <w:t>o</w:t>
            </w:r>
            <w:r w:rsidRPr="00687B52">
              <w:rPr>
                <w:rFonts w:hAnsi="Times New Roman"/>
                <w:color w:val="000000" w:themeColor="text1"/>
                <w:kern w:val="0"/>
              </w:rPr>
              <w:t>C</w:t>
            </w:r>
            <w:r w:rsidRPr="00687B52">
              <w:rPr>
                <w:rFonts w:hAnsi="Times New Roman"/>
                <w:color w:val="000000" w:themeColor="text1"/>
                <w:kern w:val="0"/>
              </w:rPr>
              <w:t>；炉膛温度低于</w:t>
            </w:r>
            <w:r w:rsidRPr="00687B52">
              <w:rPr>
                <w:rFonts w:hAnsi="Times New Roman"/>
                <w:color w:val="000000" w:themeColor="text1"/>
                <w:kern w:val="0"/>
              </w:rPr>
              <w:t>700</w:t>
            </w:r>
            <w:r w:rsidRPr="00687B52">
              <w:rPr>
                <w:rFonts w:hAnsi="Times New Roman"/>
                <w:color w:val="000000" w:themeColor="text1"/>
                <w:kern w:val="0"/>
                <w:vertAlign w:val="superscript"/>
              </w:rPr>
              <w:t>o</w:t>
            </w:r>
            <w:r w:rsidRPr="00687B52">
              <w:rPr>
                <w:rFonts w:hAnsi="Times New Roman"/>
                <w:color w:val="000000" w:themeColor="text1"/>
                <w:kern w:val="0"/>
              </w:rPr>
              <w:t>C</w:t>
            </w:r>
            <w:r w:rsidRPr="00687B52">
              <w:rPr>
                <w:rFonts w:hAnsi="Times New Roman"/>
                <w:color w:val="000000" w:themeColor="text1"/>
                <w:kern w:val="0"/>
              </w:rPr>
              <w:t>不能着火，必须人工点火，防止爆炸。</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3.3.3</w:t>
            </w:r>
            <w:r w:rsidRPr="00687B52">
              <w:rPr>
                <w:rFonts w:hAnsi="Times New Roman"/>
                <w:color w:val="000000" w:themeColor="text1"/>
                <w:kern w:val="0"/>
              </w:rPr>
              <w:t>天然气气化</w:t>
            </w:r>
            <w:r w:rsidRPr="00687B52">
              <w:rPr>
                <w:rFonts w:hAnsi="Times New Roman"/>
                <w:color w:val="000000" w:themeColor="text1"/>
              </w:rPr>
              <w:t>3.3.3.2</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2.3</w:t>
            </w:r>
            <w:r w:rsidRPr="00687B52">
              <w:rPr>
                <w:rFonts w:hAnsi="Times New Roman" w:hint="eastAsia"/>
                <w:color w:val="000000" w:themeColor="text1"/>
                <w:szCs w:val="24"/>
              </w:rPr>
              <w:t>2</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严禁二段蓄热炉温度超过</w:t>
            </w:r>
            <w:r w:rsidRPr="00687B52">
              <w:rPr>
                <w:rFonts w:hAnsi="Times New Roman"/>
                <w:color w:val="000000" w:themeColor="text1"/>
                <w:kern w:val="0"/>
              </w:rPr>
              <w:t>950</w:t>
            </w:r>
            <w:r w:rsidRPr="00687B52">
              <w:rPr>
                <w:rFonts w:hAnsi="Times New Roman"/>
                <w:color w:val="000000" w:themeColor="text1"/>
                <w:kern w:val="0"/>
                <w:vertAlign w:val="superscript"/>
              </w:rPr>
              <w:t>o</w:t>
            </w:r>
            <w:r w:rsidRPr="00687B52">
              <w:rPr>
                <w:rFonts w:hAnsi="Times New Roman"/>
                <w:color w:val="000000" w:themeColor="text1"/>
                <w:kern w:val="0"/>
              </w:rPr>
              <w:t>C</w:t>
            </w:r>
            <w:r w:rsidRPr="00687B52">
              <w:rPr>
                <w:rFonts w:hAnsi="Times New Roman"/>
                <w:color w:val="000000" w:themeColor="text1"/>
                <w:kern w:val="0"/>
              </w:rPr>
              <w:t>，以防高温裂解析炭。</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3.3.3</w:t>
            </w:r>
            <w:r w:rsidRPr="00687B52">
              <w:rPr>
                <w:rFonts w:hAnsi="Times New Roman"/>
                <w:color w:val="000000" w:themeColor="text1"/>
                <w:kern w:val="0"/>
              </w:rPr>
              <w:t>天然气气化</w:t>
            </w:r>
            <w:r w:rsidRPr="00687B52">
              <w:rPr>
                <w:rFonts w:hAnsi="Times New Roman"/>
                <w:color w:val="000000" w:themeColor="text1"/>
              </w:rPr>
              <w:t>3.3.3.3</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E63674">
            <w:pPr>
              <w:pStyle w:val="a7"/>
              <w:rPr>
                <w:rFonts w:hAnsi="Times New Roman"/>
                <w:color w:val="000000" w:themeColor="text1"/>
                <w:szCs w:val="24"/>
              </w:rPr>
            </w:pPr>
            <w:r w:rsidRPr="00687B52">
              <w:rPr>
                <w:rFonts w:hAnsi="Times New Roman"/>
                <w:color w:val="000000" w:themeColor="text1"/>
                <w:szCs w:val="24"/>
              </w:rPr>
              <w:t>2.3</w:t>
            </w:r>
            <w:r w:rsidR="00E63674" w:rsidRPr="00687B52">
              <w:rPr>
                <w:rFonts w:hAnsi="Times New Roman" w:hint="eastAsia"/>
                <w:color w:val="000000" w:themeColor="text1"/>
                <w:szCs w:val="24"/>
              </w:rPr>
              <w:t>3</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间歇式转化过程，要严格控制吹风、制气两个阶段的氧含量，即吹风残氧控制在</w:t>
            </w:r>
            <w:r w:rsidRPr="00687B52">
              <w:rPr>
                <w:rFonts w:hAnsi="Times New Roman"/>
                <w:color w:val="000000" w:themeColor="text1"/>
                <w:kern w:val="0"/>
              </w:rPr>
              <w:t>5</w:t>
            </w:r>
            <w:r w:rsidRPr="00687B52">
              <w:rPr>
                <w:rFonts w:hAnsi="Times New Roman"/>
                <w:color w:val="000000" w:themeColor="text1"/>
                <w:kern w:val="0"/>
              </w:rPr>
              <w:t>～</w:t>
            </w:r>
            <w:r w:rsidRPr="00687B52">
              <w:rPr>
                <w:rFonts w:hAnsi="Times New Roman"/>
                <w:color w:val="000000" w:themeColor="text1"/>
                <w:kern w:val="0"/>
              </w:rPr>
              <w:t>7</w:t>
            </w:r>
            <w:r w:rsidRPr="00687B52">
              <w:rPr>
                <w:rFonts w:hAnsi="Times New Roman"/>
                <w:color w:val="000000" w:themeColor="text1"/>
                <w:kern w:val="0"/>
              </w:rPr>
              <w:t>％，转化气中氧＜</w:t>
            </w:r>
            <w:r w:rsidRPr="00687B52">
              <w:rPr>
                <w:rFonts w:hAnsi="Times New Roman"/>
                <w:color w:val="000000" w:themeColor="text1"/>
                <w:kern w:val="0"/>
              </w:rPr>
              <w:t>0</w:t>
            </w:r>
            <w:r w:rsidRPr="00687B52">
              <w:rPr>
                <w:rFonts w:hAnsi="Times New Roman"/>
                <w:color w:val="000000" w:themeColor="text1"/>
                <w:kern w:val="0"/>
              </w:rPr>
              <w:t>．</w:t>
            </w:r>
            <w:r w:rsidRPr="00687B52">
              <w:rPr>
                <w:rFonts w:hAnsi="Times New Roman"/>
                <w:color w:val="000000" w:themeColor="text1"/>
                <w:kern w:val="0"/>
              </w:rPr>
              <w:t>5</w:t>
            </w:r>
            <w:r w:rsidRPr="00687B52">
              <w:rPr>
                <w:rFonts w:hAnsi="Times New Roman"/>
                <w:color w:val="000000" w:themeColor="text1"/>
                <w:kern w:val="0"/>
              </w:rPr>
              <w:t>％。</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3.3.3</w:t>
            </w:r>
            <w:r w:rsidRPr="00687B52">
              <w:rPr>
                <w:rFonts w:hAnsi="Times New Roman"/>
                <w:color w:val="000000" w:themeColor="text1"/>
                <w:kern w:val="0"/>
              </w:rPr>
              <w:t>天然气气化</w:t>
            </w:r>
            <w:r w:rsidRPr="00687B52">
              <w:rPr>
                <w:rFonts w:hAnsi="Times New Roman"/>
                <w:color w:val="000000" w:themeColor="text1"/>
              </w:rPr>
              <w:t>3.3.3.6</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E63674">
            <w:pPr>
              <w:pStyle w:val="a7"/>
              <w:rPr>
                <w:rFonts w:hAnsi="Times New Roman"/>
                <w:color w:val="000000" w:themeColor="text1"/>
                <w:szCs w:val="24"/>
              </w:rPr>
            </w:pPr>
            <w:r w:rsidRPr="00687B52">
              <w:rPr>
                <w:rFonts w:hAnsi="Times New Roman"/>
                <w:color w:val="000000" w:themeColor="text1"/>
                <w:szCs w:val="24"/>
              </w:rPr>
              <w:t>2.</w:t>
            </w:r>
            <w:r w:rsidRPr="00687B52">
              <w:rPr>
                <w:rFonts w:hAnsi="Times New Roman" w:hint="eastAsia"/>
                <w:color w:val="000000" w:themeColor="text1"/>
                <w:szCs w:val="24"/>
              </w:rPr>
              <w:t>3</w:t>
            </w:r>
            <w:r w:rsidR="00E63674" w:rsidRPr="00687B52">
              <w:rPr>
                <w:rFonts w:hAnsi="Times New Roman" w:hint="eastAsia"/>
                <w:color w:val="000000" w:themeColor="text1"/>
                <w:szCs w:val="24"/>
              </w:rPr>
              <w:t>4</w:t>
            </w:r>
          </w:p>
        </w:tc>
        <w:tc>
          <w:tcPr>
            <w:tcW w:w="2272" w:type="pct"/>
            <w:gridSpan w:val="2"/>
            <w:vAlign w:val="center"/>
          </w:tcPr>
          <w:p w:rsidR="000C2455" w:rsidRPr="00687B52" w:rsidRDefault="000C2455" w:rsidP="003E1D2A">
            <w:pPr>
              <w:pStyle w:val="a7"/>
              <w:jc w:val="left"/>
              <w:rPr>
                <w:rFonts w:hAnsi="Times New Roman"/>
                <w:color w:val="000000" w:themeColor="text1"/>
                <w:szCs w:val="24"/>
              </w:rPr>
            </w:pPr>
            <w:r w:rsidRPr="00687B52">
              <w:rPr>
                <w:rFonts w:hAnsi="Times New Roman"/>
                <w:color w:val="000000" w:themeColor="text1"/>
                <w:kern w:val="0"/>
              </w:rPr>
              <w:t>废热锅炉必须设有可靠的安全阀、液位计、液位超高、低限声光报警装置，及压力表、放空阀等。</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3.3.3</w:t>
            </w:r>
            <w:r w:rsidRPr="00687B52">
              <w:rPr>
                <w:rFonts w:hAnsi="Times New Roman"/>
                <w:color w:val="000000" w:themeColor="text1"/>
                <w:kern w:val="0"/>
              </w:rPr>
              <w:t>天然气化</w:t>
            </w:r>
            <w:r w:rsidRPr="00687B52">
              <w:rPr>
                <w:rFonts w:hAnsi="Times New Roman"/>
                <w:color w:val="000000" w:themeColor="text1"/>
                <w:kern w:val="0"/>
              </w:rPr>
              <w:t>3.3.3.18</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E63674">
            <w:pPr>
              <w:pStyle w:val="a7"/>
              <w:rPr>
                <w:rFonts w:hAnsi="Times New Roman"/>
                <w:color w:val="000000" w:themeColor="text1"/>
                <w:szCs w:val="24"/>
              </w:rPr>
            </w:pPr>
            <w:r w:rsidRPr="00687B52">
              <w:rPr>
                <w:rFonts w:hAnsi="Times New Roman"/>
                <w:color w:val="000000" w:themeColor="text1"/>
                <w:szCs w:val="24"/>
              </w:rPr>
              <w:t>2.</w:t>
            </w:r>
            <w:r w:rsidRPr="00687B52">
              <w:rPr>
                <w:rFonts w:hAnsi="Times New Roman" w:hint="eastAsia"/>
                <w:color w:val="000000" w:themeColor="text1"/>
                <w:szCs w:val="24"/>
              </w:rPr>
              <w:t>3</w:t>
            </w:r>
            <w:r w:rsidR="00E63674" w:rsidRPr="00687B52">
              <w:rPr>
                <w:rFonts w:hAnsi="Times New Roman" w:hint="eastAsia"/>
                <w:color w:val="000000" w:themeColor="text1"/>
                <w:szCs w:val="24"/>
              </w:rPr>
              <w:t>5</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废热锅炉液位计要定时冲洗，保持清洁明亮，直观液位真实，稳定在</w:t>
            </w:r>
            <w:r w:rsidRPr="00687B52">
              <w:rPr>
                <w:rFonts w:hAnsi="Times New Roman"/>
                <w:color w:val="000000" w:themeColor="text1"/>
                <w:kern w:val="0"/>
              </w:rPr>
              <w:t>1</w:t>
            </w:r>
            <w:r w:rsidRPr="00687B52">
              <w:rPr>
                <w:rFonts w:hAnsi="Times New Roman"/>
                <w:color w:val="000000" w:themeColor="text1"/>
                <w:kern w:val="0"/>
              </w:rPr>
              <w:t>／</w:t>
            </w:r>
            <w:r w:rsidRPr="00687B52">
              <w:rPr>
                <w:rFonts w:hAnsi="Times New Roman"/>
                <w:color w:val="000000" w:themeColor="text1"/>
                <w:kern w:val="0"/>
              </w:rPr>
              <w:t>2</w:t>
            </w:r>
            <w:r w:rsidRPr="00687B52">
              <w:rPr>
                <w:rFonts w:hAnsi="Times New Roman"/>
                <w:color w:val="000000" w:themeColor="text1"/>
                <w:kern w:val="0"/>
              </w:rPr>
              <w:t>～</w:t>
            </w:r>
            <w:r w:rsidRPr="00687B52">
              <w:rPr>
                <w:rFonts w:hAnsi="Times New Roman"/>
                <w:color w:val="000000" w:themeColor="text1"/>
                <w:kern w:val="0"/>
              </w:rPr>
              <w:t>2</w:t>
            </w:r>
            <w:r w:rsidRPr="00687B52">
              <w:rPr>
                <w:rFonts w:hAnsi="Times New Roman"/>
                <w:color w:val="000000" w:themeColor="text1"/>
                <w:kern w:val="0"/>
              </w:rPr>
              <w:t>／</w:t>
            </w:r>
            <w:r w:rsidRPr="00687B52">
              <w:rPr>
                <w:rFonts w:hAnsi="Times New Roman"/>
                <w:color w:val="000000" w:themeColor="text1"/>
                <w:kern w:val="0"/>
              </w:rPr>
              <w:t>3</w:t>
            </w:r>
            <w:r w:rsidRPr="00687B52">
              <w:rPr>
                <w:rFonts w:hAnsi="Times New Roman"/>
                <w:color w:val="000000" w:themeColor="text1"/>
                <w:kern w:val="0"/>
              </w:rPr>
              <w:t>处。</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3.3.3</w:t>
            </w:r>
            <w:r w:rsidRPr="00687B52">
              <w:rPr>
                <w:rFonts w:hAnsi="Times New Roman"/>
                <w:color w:val="000000" w:themeColor="text1"/>
                <w:kern w:val="0"/>
              </w:rPr>
              <w:t>天然气化</w:t>
            </w:r>
            <w:r w:rsidRPr="00687B52">
              <w:rPr>
                <w:rFonts w:hAnsi="Times New Roman"/>
                <w:color w:val="000000" w:themeColor="text1"/>
                <w:kern w:val="0"/>
              </w:rPr>
              <w:t>3.3.3.19</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3</w:t>
            </w:r>
          </w:p>
        </w:tc>
        <w:tc>
          <w:tcPr>
            <w:tcW w:w="4663" w:type="pct"/>
            <w:gridSpan w:val="4"/>
            <w:vAlign w:val="center"/>
          </w:tcPr>
          <w:p w:rsidR="000C2455" w:rsidRPr="00687B52" w:rsidRDefault="000C2455" w:rsidP="003E1D2A">
            <w:pPr>
              <w:pStyle w:val="a7"/>
              <w:jc w:val="both"/>
              <w:rPr>
                <w:rFonts w:hAnsi="Times New Roman"/>
                <w:color w:val="000000" w:themeColor="text1"/>
                <w:szCs w:val="24"/>
              </w:rPr>
            </w:pPr>
            <w:r w:rsidRPr="00687B52">
              <w:rPr>
                <w:rFonts w:hAnsi="Times New Roman"/>
                <w:b/>
                <w:color w:val="000000" w:themeColor="text1"/>
                <w:szCs w:val="24"/>
              </w:rPr>
              <w:t>工艺及设备设施</w:t>
            </w:r>
            <w:r w:rsidRPr="00687B52">
              <w:rPr>
                <w:rFonts w:hAnsi="Times New Roman"/>
                <w:b/>
                <w:color w:val="000000" w:themeColor="text1"/>
                <w:szCs w:val="24"/>
              </w:rPr>
              <w:t>-</w:t>
            </w:r>
            <w:r w:rsidRPr="00687B52">
              <w:rPr>
                <w:rFonts w:hAnsi="Times New Roman"/>
                <w:b/>
                <w:color w:val="000000" w:themeColor="text1"/>
                <w:szCs w:val="24"/>
              </w:rPr>
              <w:t>脱硫工段</w:t>
            </w: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3.1</w:t>
            </w:r>
          </w:p>
        </w:tc>
        <w:tc>
          <w:tcPr>
            <w:tcW w:w="2272" w:type="pct"/>
            <w:gridSpan w:val="2"/>
            <w:vAlign w:val="center"/>
          </w:tcPr>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1</w:t>
            </w:r>
            <w:r w:rsidRPr="00687B52">
              <w:rPr>
                <w:rFonts w:hAnsi="Times New Roman"/>
                <w:color w:val="000000" w:themeColor="text1"/>
              </w:rPr>
              <w:t>）应设置防止空气压缩机倒转的止逆装置；</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2</w:t>
            </w:r>
            <w:r w:rsidRPr="00687B52">
              <w:rPr>
                <w:rFonts w:hAnsi="Times New Roman"/>
                <w:color w:val="000000" w:themeColor="text1"/>
              </w:rPr>
              <w:t>）应设置脱硫塔压力、液位声光报警和自动排放联锁设施；</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lastRenderedPageBreak/>
              <w:t>3</w:t>
            </w:r>
            <w:r w:rsidRPr="00687B52">
              <w:rPr>
                <w:rFonts w:hAnsi="Times New Roman"/>
                <w:color w:val="000000" w:themeColor="text1"/>
              </w:rPr>
              <w:t>）应设置静电除焦器防止产生负压、氧气自动分析仪与静电除焦柜断电联锁设施；</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4</w:t>
            </w:r>
            <w:r w:rsidRPr="00687B52">
              <w:rPr>
                <w:rFonts w:hAnsi="Times New Roman"/>
                <w:color w:val="000000" w:themeColor="text1"/>
              </w:rPr>
              <w:t>）高压铜液泵出口管道应安装止逆阀；</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5</w:t>
            </w:r>
            <w:r w:rsidRPr="00687B52">
              <w:rPr>
                <w:rFonts w:hAnsi="Times New Roman"/>
                <w:color w:val="000000" w:themeColor="text1"/>
              </w:rPr>
              <w:t>）应独立设置高压吸收和低压再生放空设施；</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6</w:t>
            </w:r>
            <w:r w:rsidRPr="00687B52">
              <w:rPr>
                <w:rFonts w:hAnsi="Times New Roman"/>
                <w:color w:val="000000" w:themeColor="text1"/>
              </w:rPr>
              <w:t>）应设置铜液再生系统超压报警设施、安全阀或防爆片；</w:t>
            </w:r>
          </w:p>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rPr>
              <w:t>7</w:t>
            </w:r>
            <w:r w:rsidRPr="00687B52">
              <w:rPr>
                <w:rFonts w:hAnsi="Times New Roman"/>
                <w:color w:val="000000" w:themeColor="text1"/>
              </w:rPr>
              <w:t>）应设置脱碳塔、铜塔液位高、低限报警设施。</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lastRenderedPageBreak/>
              <w:t>《合成氨生产企业安全标准化实施指南》</w:t>
            </w:r>
          </w:p>
          <w:p w:rsidR="000C2455" w:rsidRPr="00687B52" w:rsidRDefault="000C2455" w:rsidP="003E1D2A">
            <w:pPr>
              <w:pStyle w:val="a7"/>
              <w:rPr>
                <w:rFonts w:hAnsi="Times New Roman"/>
                <w:color w:val="000000" w:themeColor="text1"/>
              </w:rPr>
            </w:pPr>
            <w:r w:rsidRPr="00687B52">
              <w:rPr>
                <w:rFonts w:hAnsi="Times New Roman"/>
                <w:color w:val="000000" w:themeColor="text1"/>
              </w:rPr>
              <w:t>AQ/T3017-2008</w:t>
            </w:r>
          </w:p>
          <w:p w:rsidR="000C2455" w:rsidRPr="00687B52" w:rsidRDefault="000C2455" w:rsidP="003E1D2A">
            <w:pPr>
              <w:pStyle w:val="a7"/>
              <w:rPr>
                <w:rFonts w:hAnsi="Times New Roman"/>
                <w:color w:val="000000" w:themeColor="text1"/>
              </w:rPr>
            </w:pPr>
            <w:r w:rsidRPr="00687B52">
              <w:rPr>
                <w:rFonts w:hAnsi="Times New Roman"/>
                <w:color w:val="000000" w:themeColor="text1"/>
              </w:rPr>
              <w:lastRenderedPageBreak/>
              <w:t>5.5.2.1</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lastRenderedPageBreak/>
              <w:t>3.2</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脱硫溶液制备槽、循环槽等设备，必须设置人孔盖、排气管和防护栏杆。</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3.4</w:t>
            </w:r>
            <w:r w:rsidRPr="00687B52">
              <w:rPr>
                <w:rFonts w:hAnsi="Times New Roman"/>
                <w:color w:val="000000" w:themeColor="text1"/>
                <w:kern w:val="0"/>
              </w:rPr>
              <w:t>脱硫</w:t>
            </w:r>
            <w:r w:rsidRPr="00687B52">
              <w:rPr>
                <w:rFonts w:hAnsi="Times New Roman"/>
                <w:color w:val="000000" w:themeColor="text1"/>
                <w:kern w:val="0"/>
              </w:rPr>
              <w:t>3.4.1</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3.</w:t>
            </w:r>
            <w:r w:rsidRPr="00687B52">
              <w:rPr>
                <w:rFonts w:hAnsi="Times New Roman" w:hint="eastAsia"/>
                <w:color w:val="000000" w:themeColor="text1"/>
                <w:szCs w:val="24"/>
              </w:rPr>
              <w:t>3</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要时刻注意罗茨鼓风机进出口压力，防止负压。鼓风机房应通风良好，防止人员中毒。</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3.4</w:t>
            </w:r>
            <w:r w:rsidRPr="00687B52">
              <w:rPr>
                <w:rFonts w:hAnsi="Times New Roman"/>
                <w:color w:val="000000" w:themeColor="text1"/>
                <w:kern w:val="0"/>
              </w:rPr>
              <w:t>脱硫</w:t>
            </w:r>
            <w:r w:rsidRPr="00687B52">
              <w:rPr>
                <w:rFonts w:hAnsi="Times New Roman"/>
                <w:color w:val="000000" w:themeColor="text1"/>
                <w:kern w:val="0"/>
              </w:rPr>
              <w:t>3.4.3</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3.</w:t>
            </w:r>
            <w:r w:rsidRPr="00687B52">
              <w:rPr>
                <w:rFonts w:hAnsi="Times New Roman" w:hint="eastAsia"/>
                <w:color w:val="000000" w:themeColor="text1"/>
                <w:szCs w:val="24"/>
              </w:rPr>
              <w:t>4</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必须保持富液槽（或称循环槽、地槽）和贫液槽（或称再生槽）液位的正常，防止富液泵和贫液泵抽空。</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3.4</w:t>
            </w:r>
            <w:r w:rsidRPr="00687B52">
              <w:rPr>
                <w:rFonts w:hAnsi="Times New Roman"/>
                <w:color w:val="000000" w:themeColor="text1"/>
                <w:kern w:val="0"/>
              </w:rPr>
              <w:t>脱硫</w:t>
            </w:r>
            <w:r w:rsidRPr="00687B52">
              <w:rPr>
                <w:rFonts w:hAnsi="Times New Roman"/>
                <w:color w:val="000000" w:themeColor="text1"/>
                <w:kern w:val="0"/>
              </w:rPr>
              <w:t>3.4.4</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3.</w:t>
            </w:r>
            <w:r w:rsidRPr="00687B52">
              <w:rPr>
                <w:rFonts w:hAnsi="Times New Roman" w:hint="eastAsia"/>
                <w:color w:val="000000" w:themeColor="text1"/>
                <w:szCs w:val="24"/>
              </w:rPr>
              <w:t>5</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必须保持脱硫塔、清洗塔或分离器、液封等液位正常，严防煤气逸出发生事故。</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3.4</w:t>
            </w:r>
            <w:r w:rsidRPr="00687B52">
              <w:rPr>
                <w:rFonts w:hAnsi="Times New Roman"/>
                <w:color w:val="000000" w:themeColor="text1"/>
                <w:kern w:val="0"/>
              </w:rPr>
              <w:t>脱硫</w:t>
            </w:r>
            <w:r w:rsidRPr="00687B52">
              <w:rPr>
                <w:rFonts w:hAnsi="Times New Roman"/>
                <w:color w:val="000000" w:themeColor="text1"/>
                <w:kern w:val="0"/>
              </w:rPr>
              <w:t>3.4.5</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3.</w:t>
            </w:r>
            <w:r w:rsidRPr="00687B52">
              <w:rPr>
                <w:rFonts w:hAnsi="Times New Roman" w:hint="eastAsia"/>
                <w:color w:val="000000" w:themeColor="text1"/>
                <w:szCs w:val="24"/>
              </w:rPr>
              <w:t>6</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硫磺包装间要有专人负责管理，禁止同时存放氧化剂和易燃物品。</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3.4</w:t>
            </w:r>
            <w:r w:rsidRPr="00687B52">
              <w:rPr>
                <w:rFonts w:hAnsi="Times New Roman"/>
                <w:color w:val="000000" w:themeColor="text1"/>
                <w:kern w:val="0"/>
              </w:rPr>
              <w:t>脱硫</w:t>
            </w:r>
            <w:r w:rsidRPr="00687B52">
              <w:rPr>
                <w:rFonts w:hAnsi="Times New Roman"/>
                <w:color w:val="000000" w:themeColor="text1"/>
                <w:kern w:val="0"/>
              </w:rPr>
              <w:t>3.4.10</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4</w:t>
            </w:r>
          </w:p>
        </w:tc>
        <w:tc>
          <w:tcPr>
            <w:tcW w:w="4663" w:type="pct"/>
            <w:gridSpan w:val="4"/>
            <w:vAlign w:val="center"/>
          </w:tcPr>
          <w:p w:rsidR="000C2455" w:rsidRPr="00687B52" w:rsidRDefault="000C2455" w:rsidP="003E1D2A">
            <w:pPr>
              <w:pStyle w:val="a7"/>
              <w:jc w:val="both"/>
              <w:rPr>
                <w:rFonts w:hAnsi="Times New Roman"/>
                <w:color w:val="000000" w:themeColor="text1"/>
                <w:szCs w:val="24"/>
              </w:rPr>
            </w:pPr>
            <w:r w:rsidRPr="00687B52">
              <w:rPr>
                <w:rFonts w:hAnsi="Times New Roman"/>
                <w:b/>
                <w:color w:val="000000" w:themeColor="text1"/>
                <w:szCs w:val="24"/>
              </w:rPr>
              <w:t>工艺及设备设施</w:t>
            </w:r>
            <w:r w:rsidRPr="00687B52">
              <w:rPr>
                <w:rFonts w:hAnsi="Times New Roman"/>
                <w:b/>
                <w:color w:val="000000" w:themeColor="text1"/>
                <w:szCs w:val="24"/>
              </w:rPr>
              <w:t>-</w:t>
            </w:r>
            <w:r w:rsidRPr="00687B52">
              <w:rPr>
                <w:rFonts w:hAnsi="Times New Roman"/>
                <w:b/>
                <w:color w:val="000000" w:themeColor="text1"/>
                <w:szCs w:val="24"/>
              </w:rPr>
              <w:t>变换工段</w:t>
            </w: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4.1</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低变液体硫化罐应远离明火，罐内要加水保护。用氮气瓶压力压入系统时，罐内压力不得超过</w:t>
            </w:r>
            <w:r w:rsidRPr="00687B52">
              <w:rPr>
                <w:rFonts w:hAnsi="Times New Roman"/>
                <w:color w:val="000000" w:themeColor="text1"/>
                <w:kern w:val="0"/>
              </w:rPr>
              <w:t>0.05MPa.</w:t>
            </w:r>
            <w:r w:rsidRPr="00687B52">
              <w:rPr>
                <w:rFonts w:hAnsi="Times New Roman"/>
                <w:color w:val="000000" w:themeColor="text1"/>
                <w:kern w:val="0"/>
              </w:rPr>
              <w:t>作业现场要备消防器材和防毒面具。</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3.5</w:t>
            </w:r>
            <w:r w:rsidRPr="00687B52">
              <w:rPr>
                <w:rFonts w:hAnsi="Times New Roman"/>
                <w:color w:val="000000" w:themeColor="text1"/>
                <w:kern w:val="0"/>
              </w:rPr>
              <w:t>变换</w:t>
            </w:r>
            <w:r w:rsidRPr="00687B52">
              <w:rPr>
                <w:rFonts w:hAnsi="Times New Roman"/>
                <w:color w:val="000000" w:themeColor="text1"/>
                <w:kern w:val="0"/>
              </w:rPr>
              <w:t>3.5.4</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4.2</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应安装热水泵跳闸及饱和热水塔液位高低限报警信号装置。</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3.5</w:t>
            </w:r>
            <w:r w:rsidRPr="00687B52">
              <w:rPr>
                <w:rFonts w:hAnsi="Times New Roman"/>
                <w:color w:val="000000" w:themeColor="text1"/>
                <w:kern w:val="0"/>
              </w:rPr>
              <w:t>变换</w:t>
            </w:r>
            <w:r w:rsidRPr="00687B52">
              <w:rPr>
                <w:rFonts w:hAnsi="Times New Roman"/>
                <w:color w:val="000000" w:themeColor="text1"/>
                <w:kern w:val="0"/>
              </w:rPr>
              <w:t>3.5.5</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4.3</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停车或正常生产时，必须控制热水饱和塔液位。</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3.5</w:t>
            </w:r>
            <w:r w:rsidRPr="00687B52">
              <w:rPr>
                <w:rFonts w:hAnsi="Times New Roman"/>
                <w:color w:val="000000" w:themeColor="text1"/>
                <w:kern w:val="0"/>
              </w:rPr>
              <w:t>变换</w:t>
            </w:r>
            <w:r w:rsidRPr="00687B52">
              <w:rPr>
                <w:rFonts w:hAnsi="Times New Roman"/>
                <w:color w:val="000000" w:themeColor="text1"/>
                <w:kern w:val="0"/>
              </w:rPr>
              <w:t>3.5.6</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4.4</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正常生产时，入炉煤气中氧含量必须在</w:t>
            </w:r>
            <w:r w:rsidRPr="00687B52">
              <w:rPr>
                <w:rFonts w:hAnsi="Times New Roman"/>
                <w:color w:val="000000" w:themeColor="text1"/>
                <w:kern w:val="0"/>
              </w:rPr>
              <w:t>0.5</w:t>
            </w:r>
            <w:r w:rsidRPr="00687B52">
              <w:rPr>
                <w:rFonts w:hAnsi="Times New Roman"/>
                <w:color w:val="000000" w:themeColor="text1"/>
                <w:kern w:val="0"/>
              </w:rPr>
              <w:t>％以下。</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lastRenderedPageBreak/>
              <w:t>3.5</w:t>
            </w:r>
            <w:r w:rsidRPr="00687B52">
              <w:rPr>
                <w:rFonts w:hAnsi="Times New Roman"/>
                <w:color w:val="000000" w:themeColor="text1"/>
                <w:kern w:val="0"/>
              </w:rPr>
              <w:t>变换</w:t>
            </w:r>
            <w:r w:rsidRPr="00687B52">
              <w:rPr>
                <w:rFonts w:hAnsi="Times New Roman"/>
                <w:color w:val="000000" w:themeColor="text1"/>
                <w:kern w:val="0"/>
              </w:rPr>
              <w:t>3.5.7</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lastRenderedPageBreak/>
              <w:t>5</w:t>
            </w:r>
          </w:p>
        </w:tc>
        <w:tc>
          <w:tcPr>
            <w:tcW w:w="4663" w:type="pct"/>
            <w:gridSpan w:val="4"/>
            <w:vAlign w:val="center"/>
          </w:tcPr>
          <w:p w:rsidR="000C2455" w:rsidRPr="00687B52" w:rsidRDefault="000C2455" w:rsidP="003E1D2A">
            <w:pPr>
              <w:pStyle w:val="a7"/>
              <w:jc w:val="both"/>
              <w:rPr>
                <w:rFonts w:hAnsi="Times New Roman"/>
                <w:color w:val="000000" w:themeColor="text1"/>
                <w:szCs w:val="24"/>
              </w:rPr>
            </w:pPr>
            <w:r w:rsidRPr="00687B52">
              <w:rPr>
                <w:rFonts w:hAnsi="Times New Roman"/>
                <w:b/>
                <w:color w:val="000000" w:themeColor="text1"/>
                <w:szCs w:val="24"/>
              </w:rPr>
              <w:t>工艺及设备设施</w:t>
            </w:r>
            <w:r w:rsidRPr="00687B52">
              <w:rPr>
                <w:rFonts w:hAnsi="Times New Roman"/>
                <w:b/>
                <w:color w:val="000000" w:themeColor="text1"/>
                <w:szCs w:val="24"/>
              </w:rPr>
              <w:t>-</w:t>
            </w:r>
            <w:r w:rsidRPr="00687B52">
              <w:rPr>
                <w:rFonts w:hAnsi="Times New Roman"/>
                <w:b/>
                <w:color w:val="000000" w:themeColor="text1"/>
                <w:szCs w:val="24"/>
              </w:rPr>
              <w:t>碳化工段</w:t>
            </w:r>
          </w:p>
        </w:tc>
      </w:tr>
      <w:tr w:rsidR="000C2455" w:rsidRPr="00687B52" w:rsidTr="003E1D2A">
        <w:trPr>
          <w:jc w:val="center"/>
        </w:trPr>
        <w:tc>
          <w:tcPr>
            <w:tcW w:w="337" w:type="pct"/>
            <w:vMerge w:val="restar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5.1</w:t>
            </w:r>
          </w:p>
        </w:tc>
        <w:tc>
          <w:tcPr>
            <w:tcW w:w="1166" w:type="pct"/>
            <w:vAlign w:val="center"/>
          </w:tcPr>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淘汰的落后技术装备名称</w:t>
            </w:r>
          </w:p>
        </w:tc>
        <w:tc>
          <w:tcPr>
            <w:tcW w:w="1106" w:type="pct"/>
            <w:vAlign w:val="center"/>
          </w:tcPr>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代替的技术装备名称</w:t>
            </w:r>
          </w:p>
        </w:tc>
        <w:tc>
          <w:tcPr>
            <w:tcW w:w="1335" w:type="pct"/>
            <w:vMerge w:val="restar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《国家安全监管总局关于印发淘汰落后安全技术装备目录（</w:t>
            </w:r>
            <w:r w:rsidRPr="00687B52">
              <w:rPr>
                <w:rFonts w:hAnsi="Times New Roman"/>
                <w:color w:val="000000" w:themeColor="text1"/>
              </w:rPr>
              <w:t>2015</w:t>
            </w:r>
            <w:r w:rsidRPr="00687B52">
              <w:rPr>
                <w:rFonts w:hAnsi="Times New Roman"/>
                <w:color w:val="000000" w:themeColor="text1"/>
              </w:rPr>
              <w:t>年第一批）的通知》安监总科技〔</w:t>
            </w:r>
            <w:r w:rsidRPr="00687B52">
              <w:rPr>
                <w:rFonts w:hAnsi="Times New Roman"/>
                <w:color w:val="000000" w:themeColor="text1"/>
              </w:rPr>
              <w:t>2015</w:t>
            </w:r>
            <w:r w:rsidRPr="00687B52">
              <w:rPr>
                <w:rFonts w:hAnsi="Times New Roman"/>
                <w:color w:val="000000" w:themeColor="text1"/>
              </w:rPr>
              <w:t>〕</w:t>
            </w:r>
            <w:r w:rsidRPr="00687B52">
              <w:rPr>
                <w:rFonts w:hAnsi="Times New Roman"/>
                <w:color w:val="000000" w:themeColor="text1"/>
              </w:rPr>
              <w:t>75</w:t>
            </w:r>
            <w:r w:rsidRPr="00687B52">
              <w:rPr>
                <w:rFonts w:hAnsi="Times New Roman"/>
                <w:color w:val="000000" w:themeColor="text1"/>
              </w:rPr>
              <w:t>号</w:t>
            </w:r>
          </w:p>
        </w:tc>
        <w:tc>
          <w:tcPr>
            <w:tcW w:w="1056" w:type="pct"/>
            <w:vMerge w:val="restar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Merge/>
            <w:vAlign w:val="center"/>
          </w:tcPr>
          <w:p w:rsidR="000C2455" w:rsidRPr="00687B52" w:rsidRDefault="000C2455" w:rsidP="003E1D2A">
            <w:pPr>
              <w:pStyle w:val="a7"/>
              <w:rPr>
                <w:rFonts w:hAnsi="Times New Roman"/>
                <w:color w:val="000000" w:themeColor="text1"/>
                <w:szCs w:val="24"/>
              </w:rPr>
            </w:pPr>
          </w:p>
        </w:tc>
        <w:tc>
          <w:tcPr>
            <w:tcW w:w="1166" w:type="pct"/>
            <w:vAlign w:val="center"/>
          </w:tcPr>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三足式离心机</w:t>
            </w:r>
          </w:p>
        </w:tc>
        <w:tc>
          <w:tcPr>
            <w:tcW w:w="1106" w:type="pct"/>
            <w:vAlign w:val="center"/>
          </w:tcPr>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压滤机或全自动离心机</w:t>
            </w:r>
          </w:p>
        </w:tc>
        <w:tc>
          <w:tcPr>
            <w:tcW w:w="1335" w:type="pct"/>
            <w:vMerge/>
            <w:vAlign w:val="center"/>
          </w:tcPr>
          <w:p w:rsidR="000C2455" w:rsidRPr="00687B52" w:rsidRDefault="000C2455" w:rsidP="003E1D2A">
            <w:pPr>
              <w:pStyle w:val="a7"/>
              <w:rPr>
                <w:rFonts w:hAnsi="Times New Roman"/>
                <w:color w:val="000000" w:themeColor="text1"/>
              </w:rPr>
            </w:pPr>
          </w:p>
        </w:tc>
        <w:tc>
          <w:tcPr>
            <w:tcW w:w="1056" w:type="pct"/>
            <w:vMerge/>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5.</w:t>
            </w:r>
            <w:r w:rsidRPr="00687B52">
              <w:rPr>
                <w:rFonts w:hAnsi="Times New Roman" w:hint="eastAsia"/>
                <w:color w:val="000000" w:themeColor="text1"/>
                <w:szCs w:val="24"/>
              </w:rPr>
              <w:t>2</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禁止使用液氨直接制作氨水。</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3.6</w:t>
            </w:r>
            <w:r w:rsidRPr="00687B52">
              <w:rPr>
                <w:rFonts w:hAnsi="Times New Roman"/>
                <w:color w:val="000000" w:themeColor="text1"/>
                <w:kern w:val="0"/>
              </w:rPr>
              <w:t>碳化</w:t>
            </w:r>
            <w:r w:rsidRPr="00687B52">
              <w:rPr>
                <w:rFonts w:hAnsi="Times New Roman"/>
                <w:color w:val="000000" w:themeColor="text1"/>
                <w:kern w:val="0"/>
              </w:rPr>
              <w:t>3.6.5</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5.</w:t>
            </w:r>
            <w:r w:rsidRPr="00687B52">
              <w:rPr>
                <w:rFonts w:hAnsi="Times New Roman" w:hint="eastAsia"/>
                <w:color w:val="000000" w:themeColor="text1"/>
                <w:szCs w:val="24"/>
              </w:rPr>
              <w:t>3</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严格控制原料气中的二氧化碳和氨含量在工艺指标范围内。</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3.6</w:t>
            </w:r>
            <w:r w:rsidRPr="00687B52">
              <w:rPr>
                <w:rFonts w:hAnsi="Times New Roman"/>
                <w:color w:val="000000" w:themeColor="text1"/>
                <w:kern w:val="0"/>
              </w:rPr>
              <w:t>碳化</w:t>
            </w:r>
            <w:r w:rsidRPr="00687B52">
              <w:rPr>
                <w:rFonts w:hAnsi="Times New Roman"/>
                <w:color w:val="000000" w:themeColor="text1"/>
                <w:kern w:val="0"/>
              </w:rPr>
              <w:t>3.6.6</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5.</w:t>
            </w:r>
            <w:r w:rsidRPr="00687B52">
              <w:rPr>
                <w:rFonts w:hAnsi="Times New Roman" w:hint="eastAsia"/>
                <w:color w:val="000000" w:themeColor="text1"/>
                <w:szCs w:val="24"/>
              </w:rPr>
              <w:t>4</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严格碳化操作，防止碳化气倒注氨水槽。</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3.6</w:t>
            </w:r>
            <w:r w:rsidRPr="00687B52">
              <w:rPr>
                <w:rFonts w:hAnsi="Times New Roman"/>
                <w:color w:val="000000" w:themeColor="text1"/>
                <w:kern w:val="0"/>
              </w:rPr>
              <w:t>碳化</w:t>
            </w:r>
            <w:r w:rsidRPr="00687B52">
              <w:rPr>
                <w:rFonts w:hAnsi="Times New Roman"/>
                <w:color w:val="000000" w:themeColor="text1"/>
                <w:kern w:val="0"/>
              </w:rPr>
              <w:t>3.6.7</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5.</w:t>
            </w:r>
            <w:r w:rsidRPr="00687B52">
              <w:rPr>
                <w:rFonts w:hAnsi="Times New Roman" w:hint="eastAsia"/>
                <w:color w:val="000000" w:themeColor="text1"/>
                <w:szCs w:val="24"/>
              </w:rPr>
              <w:t>5</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稠厚器、离心机和包装下料口应设置吸风装置。</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3.6</w:t>
            </w:r>
            <w:r w:rsidRPr="00687B52">
              <w:rPr>
                <w:rFonts w:hAnsi="Times New Roman"/>
                <w:color w:val="000000" w:themeColor="text1"/>
                <w:kern w:val="0"/>
              </w:rPr>
              <w:t>碳化</w:t>
            </w:r>
            <w:r w:rsidRPr="00687B52">
              <w:rPr>
                <w:rFonts w:hAnsi="Times New Roman"/>
                <w:color w:val="000000" w:themeColor="text1"/>
                <w:kern w:val="0"/>
              </w:rPr>
              <w:t>3.6.9</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6</w:t>
            </w:r>
          </w:p>
        </w:tc>
        <w:tc>
          <w:tcPr>
            <w:tcW w:w="4663" w:type="pct"/>
            <w:gridSpan w:val="4"/>
            <w:vAlign w:val="center"/>
          </w:tcPr>
          <w:p w:rsidR="000C2455" w:rsidRPr="00687B52" w:rsidRDefault="000C2455" w:rsidP="003E1D2A">
            <w:pPr>
              <w:pStyle w:val="a7"/>
              <w:jc w:val="both"/>
              <w:rPr>
                <w:rFonts w:hAnsi="Times New Roman"/>
                <w:color w:val="000000" w:themeColor="text1"/>
                <w:szCs w:val="24"/>
              </w:rPr>
            </w:pPr>
            <w:r w:rsidRPr="00687B52">
              <w:rPr>
                <w:rFonts w:hAnsi="Times New Roman"/>
                <w:b/>
                <w:color w:val="000000" w:themeColor="text1"/>
                <w:szCs w:val="24"/>
              </w:rPr>
              <w:t>工艺及设备设施</w:t>
            </w:r>
            <w:r w:rsidRPr="00687B52">
              <w:rPr>
                <w:rFonts w:hAnsi="Times New Roman"/>
                <w:b/>
                <w:color w:val="000000" w:themeColor="text1"/>
                <w:szCs w:val="24"/>
              </w:rPr>
              <w:t>-</w:t>
            </w:r>
            <w:r w:rsidRPr="00687B52">
              <w:rPr>
                <w:rFonts w:hAnsi="Times New Roman"/>
                <w:b/>
                <w:color w:val="000000" w:themeColor="text1"/>
                <w:szCs w:val="24"/>
              </w:rPr>
              <w:t>压缩工段</w:t>
            </w:r>
          </w:p>
        </w:tc>
      </w:tr>
      <w:tr w:rsidR="000C2455" w:rsidRPr="00687B52" w:rsidTr="003E1D2A">
        <w:trPr>
          <w:jc w:val="center"/>
        </w:trPr>
        <w:tc>
          <w:tcPr>
            <w:tcW w:w="337" w:type="pct"/>
            <w:vMerge w:val="restar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6.1</w:t>
            </w:r>
          </w:p>
        </w:tc>
        <w:tc>
          <w:tcPr>
            <w:tcW w:w="1166" w:type="pct"/>
            <w:vAlign w:val="center"/>
          </w:tcPr>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淘汰的落后技术装备名称</w:t>
            </w:r>
          </w:p>
        </w:tc>
        <w:tc>
          <w:tcPr>
            <w:tcW w:w="1106" w:type="pct"/>
            <w:vAlign w:val="center"/>
          </w:tcPr>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代替的技术装备名称</w:t>
            </w:r>
          </w:p>
        </w:tc>
        <w:tc>
          <w:tcPr>
            <w:tcW w:w="1335" w:type="pct"/>
            <w:vMerge w:val="restar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《国家安全监管总局关于印发淘汰落后安全技术装备目录（</w:t>
            </w:r>
            <w:r w:rsidRPr="00687B52">
              <w:rPr>
                <w:rFonts w:hAnsi="Times New Roman"/>
                <w:color w:val="000000" w:themeColor="text1"/>
              </w:rPr>
              <w:t>2015</w:t>
            </w:r>
            <w:r w:rsidRPr="00687B52">
              <w:rPr>
                <w:rFonts w:hAnsi="Times New Roman"/>
                <w:color w:val="000000" w:themeColor="text1"/>
              </w:rPr>
              <w:t>年第一批）的通知》安监总科技〔</w:t>
            </w:r>
            <w:r w:rsidRPr="00687B52">
              <w:rPr>
                <w:rFonts w:hAnsi="Times New Roman"/>
                <w:color w:val="000000" w:themeColor="text1"/>
              </w:rPr>
              <w:t>2015</w:t>
            </w:r>
            <w:r w:rsidRPr="00687B52">
              <w:rPr>
                <w:rFonts w:hAnsi="Times New Roman"/>
                <w:color w:val="000000" w:themeColor="text1"/>
              </w:rPr>
              <w:t>〕</w:t>
            </w:r>
            <w:r w:rsidRPr="00687B52">
              <w:rPr>
                <w:rFonts w:hAnsi="Times New Roman"/>
                <w:color w:val="000000" w:themeColor="text1"/>
              </w:rPr>
              <w:t>75</w:t>
            </w:r>
            <w:r w:rsidRPr="00687B52">
              <w:rPr>
                <w:rFonts w:hAnsi="Times New Roman"/>
                <w:color w:val="000000" w:themeColor="text1"/>
              </w:rPr>
              <w:t>号</w:t>
            </w:r>
          </w:p>
        </w:tc>
        <w:tc>
          <w:tcPr>
            <w:tcW w:w="1056" w:type="pct"/>
            <w:vMerge w:val="restar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Merge/>
            <w:vAlign w:val="center"/>
          </w:tcPr>
          <w:p w:rsidR="000C2455" w:rsidRPr="00687B52" w:rsidRDefault="000C2455" w:rsidP="003E1D2A">
            <w:pPr>
              <w:pStyle w:val="a7"/>
              <w:rPr>
                <w:rFonts w:hAnsi="Times New Roman"/>
                <w:color w:val="000000" w:themeColor="text1"/>
                <w:szCs w:val="24"/>
              </w:rPr>
            </w:pPr>
          </w:p>
        </w:tc>
        <w:tc>
          <w:tcPr>
            <w:tcW w:w="1166" w:type="pct"/>
            <w:vAlign w:val="center"/>
          </w:tcPr>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合成氨</w:t>
            </w:r>
            <w:r w:rsidRPr="00687B52">
              <w:rPr>
                <w:rFonts w:hAnsi="Times New Roman"/>
                <w:color w:val="000000" w:themeColor="text1"/>
                <w:kern w:val="0"/>
              </w:rPr>
              <w:t>L</w:t>
            </w:r>
            <w:r w:rsidRPr="00687B52">
              <w:rPr>
                <w:rFonts w:hAnsi="Times New Roman"/>
                <w:color w:val="000000" w:themeColor="text1"/>
                <w:kern w:val="0"/>
              </w:rPr>
              <w:t>型</w:t>
            </w:r>
            <w:r w:rsidRPr="00687B52">
              <w:rPr>
                <w:rFonts w:hAnsi="Times New Roman"/>
                <w:color w:val="000000" w:themeColor="text1"/>
                <w:kern w:val="0"/>
              </w:rPr>
              <w:t>HN</w:t>
            </w:r>
            <w:r w:rsidRPr="00687B52">
              <w:rPr>
                <w:rFonts w:hAnsi="Times New Roman"/>
                <w:color w:val="000000" w:themeColor="text1"/>
                <w:kern w:val="0"/>
              </w:rPr>
              <w:t>气压缩机</w:t>
            </w:r>
          </w:p>
        </w:tc>
        <w:tc>
          <w:tcPr>
            <w:tcW w:w="1106" w:type="pct"/>
            <w:vAlign w:val="center"/>
          </w:tcPr>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M</w:t>
            </w:r>
            <w:r w:rsidRPr="00687B52">
              <w:rPr>
                <w:rFonts w:hAnsi="Times New Roman"/>
                <w:color w:val="000000" w:themeColor="text1"/>
                <w:kern w:val="0"/>
              </w:rPr>
              <w:t>型或</w:t>
            </w:r>
            <w:r w:rsidRPr="00687B52">
              <w:rPr>
                <w:rFonts w:hAnsi="Times New Roman"/>
                <w:color w:val="000000" w:themeColor="text1"/>
                <w:kern w:val="0"/>
              </w:rPr>
              <w:t>MH</w:t>
            </w:r>
            <w:r w:rsidRPr="00687B52">
              <w:rPr>
                <w:rFonts w:hAnsi="Times New Roman"/>
                <w:color w:val="000000" w:themeColor="text1"/>
                <w:kern w:val="0"/>
              </w:rPr>
              <w:t>型</w:t>
            </w:r>
            <w:r w:rsidRPr="00687B52">
              <w:rPr>
                <w:rFonts w:hAnsi="Times New Roman"/>
                <w:color w:val="000000" w:themeColor="text1"/>
                <w:kern w:val="0"/>
              </w:rPr>
              <w:t>HN</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气压缩机</w:t>
            </w:r>
          </w:p>
        </w:tc>
        <w:tc>
          <w:tcPr>
            <w:tcW w:w="1335" w:type="pct"/>
            <w:vMerge/>
            <w:vAlign w:val="center"/>
          </w:tcPr>
          <w:p w:rsidR="000C2455" w:rsidRPr="00687B52" w:rsidRDefault="000C2455" w:rsidP="003E1D2A">
            <w:pPr>
              <w:pStyle w:val="a7"/>
              <w:rPr>
                <w:rFonts w:hAnsi="Times New Roman"/>
                <w:color w:val="000000" w:themeColor="text1"/>
              </w:rPr>
            </w:pPr>
          </w:p>
        </w:tc>
        <w:tc>
          <w:tcPr>
            <w:tcW w:w="1056" w:type="pct"/>
            <w:vMerge/>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6.2</w:t>
            </w:r>
          </w:p>
        </w:tc>
        <w:tc>
          <w:tcPr>
            <w:tcW w:w="2272" w:type="pct"/>
            <w:gridSpan w:val="2"/>
            <w:vAlign w:val="center"/>
          </w:tcPr>
          <w:p w:rsidR="000C2455" w:rsidRPr="00687B52" w:rsidRDefault="000C2455" w:rsidP="003E1D2A">
            <w:pPr>
              <w:pStyle w:val="a7"/>
              <w:jc w:val="left"/>
              <w:rPr>
                <w:rFonts w:hAnsi="Times New Roman"/>
                <w:color w:val="000000" w:themeColor="text1"/>
                <w:szCs w:val="24"/>
              </w:rPr>
            </w:pPr>
            <w:r w:rsidRPr="00687B52">
              <w:rPr>
                <w:rFonts w:hAnsi="Times New Roman"/>
                <w:color w:val="000000" w:themeColor="text1"/>
                <w:kern w:val="0"/>
              </w:rPr>
              <w:t>应设置本系统入口压力低限报警装置和罗茨机与压缩机停车联锁装置。</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szCs w:val="24"/>
              </w:rPr>
            </w:pPr>
            <w:r w:rsidRPr="00687B52">
              <w:rPr>
                <w:rFonts w:hAnsi="Times New Roman"/>
                <w:color w:val="000000" w:themeColor="text1"/>
                <w:kern w:val="0"/>
              </w:rPr>
              <w:t>3.7</w:t>
            </w:r>
            <w:r w:rsidRPr="00687B52">
              <w:rPr>
                <w:rFonts w:hAnsi="Times New Roman"/>
                <w:color w:val="000000" w:themeColor="text1"/>
                <w:kern w:val="0"/>
              </w:rPr>
              <w:t>压缩</w:t>
            </w:r>
            <w:r w:rsidRPr="00687B52">
              <w:rPr>
                <w:rFonts w:hAnsi="Times New Roman"/>
                <w:color w:val="000000" w:themeColor="text1"/>
                <w:kern w:val="0"/>
              </w:rPr>
              <w:t>3.7.1</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6.3</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压缩机去变换、脱硫、铜洗、</w:t>
            </w:r>
            <w:r w:rsidRPr="00687B52">
              <w:rPr>
                <w:rFonts w:hAnsi="Times New Roman"/>
                <w:color w:val="000000" w:themeColor="text1"/>
                <w:kern w:val="0"/>
              </w:rPr>
              <w:t>“</w:t>
            </w:r>
            <w:r w:rsidRPr="00687B52">
              <w:rPr>
                <w:rFonts w:hAnsi="Times New Roman"/>
                <w:color w:val="000000" w:themeColor="text1"/>
                <w:kern w:val="0"/>
              </w:rPr>
              <w:t>双甲</w:t>
            </w:r>
            <w:r w:rsidRPr="00687B52">
              <w:rPr>
                <w:rFonts w:hAnsi="Times New Roman"/>
                <w:color w:val="000000" w:themeColor="text1"/>
                <w:kern w:val="0"/>
              </w:rPr>
              <w:t>”</w:t>
            </w:r>
            <w:r w:rsidRPr="00687B52">
              <w:rPr>
                <w:rFonts w:hAnsi="Times New Roman"/>
                <w:color w:val="000000" w:themeColor="text1"/>
                <w:kern w:val="0"/>
              </w:rPr>
              <w:t>、合成各工序的工艺管道上，应装止逆阀。</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3.7</w:t>
            </w:r>
            <w:r w:rsidRPr="00687B52">
              <w:rPr>
                <w:rFonts w:hAnsi="Times New Roman"/>
                <w:color w:val="000000" w:themeColor="text1"/>
                <w:kern w:val="0"/>
              </w:rPr>
              <w:t>压缩</w:t>
            </w:r>
            <w:r w:rsidRPr="00687B52">
              <w:rPr>
                <w:rFonts w:hAnsi="Times New Roman"/>
                <w:color w:val="000000" w:themeColor="text1"/>
                <w:kern w:val="0"/>
              </w:rPr>
              <w:t>3.7.2</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6.4</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压缩机各段出口管道上，应安装安全阀并定期校验，确保灵敏可靠；安全阀出口导气管应接出室外，并高出厂房</w:t>
            </w:r>
            <w:r w:rsidRPr="00687B52">
              <w:rPr>
                <w:rFonts w:hAnsi="Times New Roman"/>
                <w:color w:val="000000" w:themeColor="text1"/>
                <w:kern w:val="0"/>
              </w:rPr>
              <w:t>2</w:t>
            </w:r>
            <w:r w:rsidRPr="00687B52">
              <w:rPr>
                <w:rFonts w:hAnsi="Times New Roman"/>
                <w:color w:val="000000" w:themeColor="text1"/>
                <w:kern w:val="0"/>
              </w:rPr>
              <w:t>米。</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3.7</w:t>
            </w:r>
            <w:r w:rsidRPr="00687B52">
              <w:rPr>
                <w:rFonts w:hAnsi="Times New Roman"/>
                <w:color w:val="000000" w:themeColor="text1"/>
                <w:kern w:val="0"/>
              </w:rPr>
              <w:t>压缩</w:t>
            </w:r>
            <w:r w:rsidRPr="00687B52">
              <w:rPr>
                <w:rFonts w:hAnsi="Times New Roman"/>
                <w:color w:val="000000" w:themeColor="text1"/>
                <w:kern w:val="0"/>
              </w:rPr>
              <w:t>3.7.3</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lastRenderedPageBreak/>
              <w:t>6.5</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压缩机总集油槽上回气阀应保持常开，严禁憋压。</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3.7</w:t>
            </w:r>
            <w:r w:rsidRPr="00687B52">
              <w:rPr>
                <w:rFonts w:hAnsi="Times New Roman"/>
                <w:color w:val="000000" w:themeColor="text1"/>
                <w:kern w:val="0"/>
              </w:rPr>
              <w:t>压缩</w:t>
            </w:r>
            <w:r w:rsidRPr="00687B52">
              <w:rPr>
                <w:rFonts w:hAnsi="Times New Roman"/>
                <w:color w:val="000000" w:themeColor="text1"/>
                <w:kern w:val="0"/>
              </w:rPr>
              <w:t>3.7.4</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6.6</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严格执行开停车操作规程。盘车器要拉开，禁止使用吊车进行盘车。</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3.7</w:t>
            </w:r>
            <w:r w:rsidRPr="00687B52">
              <w:rPr>
                <w:rFonts w:hAnsi="Times New Roman"/>
                <w:color w:val="000000" w:themeColor="text1"/>
                <w:kern w:val="0"/>
              </w:rPr>
              <w:t>压缩</w:t>
            </w:r>
            <w:r w:rsidRPr="00687B52">
              <w:rPr>
                <w:rFonts w:hAnsi="Times New Roman"/>
                <w:color w:val="000000" w:themeColor="text1"/>
                <w:kern w:val="0"/>
              </w:rPr>
              <w:t>3.7.6</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6.7</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更换压缩机气缸活门，必须确认压力卸尽方可作业。更换过程中要加强通风，不得撞击，严防煤气中毒及发生着火和爆燃事故。</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3.7</w:t>
            </w:r>
            <w:r w:rsidRPr="00687B52">
              <w:rPr>
                <w:rFonts w:hAnsi="Times New Roman"/>
                <w:color w:val="000000" w:themeColor="text1"/>
                <w:kern w:val="0"/>
              </w:rPr>
              <w:t>压缩</w:t>
            </w:r>
            <w:r w:rsidRPr="00687B52">
              <w:rPr>
                <w:rFonts w:hAnsi="Times New Roman"/>
                <w:color w:val="000000" w:themeColor="text1"/>
                <w:kern w:val="0"/>
              </w:rPr>
              <w:t>3.7.11</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6.8</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排油水时，严禁过猛过快，防止大量窜气。禁止数台压缩机同时排油水，以防进口总管压力波动及总集油槽憋压发生事故。</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3.7</w:t>
            </w:r>
            <w:r w:rsidRPr="00687B52">
              <w:rPr>
                <w:rFonts w:hAnsi="Times New Roman"/>
                <w:color w:val="000000" w:themeColor="text1"/>
                <w:kern w:val="0"/>
              </w:rPr>
              <w:t>压缩</w:t>
            </w:r>
            <w:r w:rsidRPr="00687B52">
              <w:rPr>
                <w:rFonts w:hAnsi="Times New Roman"/>
                <w:color w:val="000000" w:themeColor="text1"/>
                <w:kern w:val="0"/>
              </w:rPr>
              <w:t>3.7.12</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6.9</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压缩机开停机、倒机过程中，升压或卸压必须缓慢，各段压力要平稳，防止气体倒流、高压气窜入低压系统、外工序的溶液水倒入压缩机发生事故。</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3.7</w:t>
            </w:r>
            <w:r w:rsidRPr="00687B52">
              <w:rPr>
                <w:rFonts w:hAnsi="Times New Roman"/>
                <w:color w:val="000000" w:themeColor="text1"/>
                <w:kern w:val="0"/>
              </w:rPr>
              <w:t>压缩</w:t>
            </w:r>
            <w:r w:rsidRPr="00687B52">
              <w:rPr>
                <w:rFonts w:hAnsi="Times New Roman"/>
                <w:color w:val="000000" w:themeColor="text1"/>
                <w:kern w:val="0"/>
              </w:rPr>
              <w:t>3.7.13</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6.10</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Cs w:val="21"/>
              </w:rPr>
            </w:pPr>
            <w:r w:rsidRPr="00687B52">
              <w:rPr>
                <w:rFonts w:ascii="Times New Roman" w:hAnsi="Times New Roman"/>
                <w:color w:val="000000" w:themeColor="text1"/>
                <w:kern w:val="0"/>
                <w:sz w:val="24"/>
                <w:szCs w:val="21"/>
              </w:rPr>
              <w:t>压缩机开机或倒机时，要认真检查相关的各个段间近路阀是否关严，不能内漏，以确保铜洗、</w:t>
            </w:r>
            <w:r w:rsidRPr="00687B52">
              <w:rPr>
                <w:rFonts w:ascii="Times New Roman" w:hAnsi="Times New Roman"/>
                <w:color w:val="000000" w:themeColor="text1"/>
                <w:kern w:val="0"/>
                <w:sz w:val="24"/>
                <w:szCs w:val="21"/>
              </w:rPr>
              <w:t>“</w:t>
            </w:r>
            <w:r w:rsidRPr="00687B52">
              <w:rPr>
                <w:rFonts w:ascii="Times New Roman" w:hAnsi="Times New Roman"/>
                <w:color w:val="000000" w:themeColor="text1"/>
                <w:kern w:val="0"/>
                <w:sz w:val="24"/>
                <w:szCs w:val="21"/>
              </w:rPr>
              <w:t>双甲</w:t>
            </w:r>
            <w:r w:rsidRPr="00687B52">
              <w:rPr>
                <w:rFonts w:ascii="Times New Roman" w:hAnsi="Times New Roman"/>
                <w:color w:val="000000" w:themeColor="text1"/>
                <w:kern w:val="0"/>
                <w:sz w:val="24"/>
                <w:szCs w:val="21"/>
              </w:rPr>
              <w:t>”</w:t>
            </w:r>
            <w:r w:rsidRPr="00687B52">
              <w:rPr>
                <w:rFonts w:ascii="Times New Roman" w:hAnsi="Times New Roman"/>
                <w:color w:val="000000" w:themeColor="text1"/>
                <w:kern w:val="0"/>
                <w:sz w:val="24"/>
                <w:szCs w:val="21"/>
              </w:rPr>
              <w:t>和合成工序的正常操作。</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3.7</w:t>
            </w:r>
            <w:r w:rsidRPr="00687B52">
              <w:rPr>
                <w:rFonts w:hAnsi="Times New Roman"/>
                <w:color w:val="000000" w:themeColor="text1"/>
                <w:kern w:val="0"/>
              </w:rPr>
              <w:t>压缩</w:t>
            </w:r>
            <w:r w:rsidRPr="00687B52">
              <w:rPr>
                <w:rFonts w:hAnsi="Times New Roman"/>
                <w:color w:val="000000" w:themeColor="text1"/>
                <w:kern w:val="0"/>
              </w:rPr>
              <w:t>3.7.14</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7</w:t>
            </w:r>
          </w:p>
        </w:tc>
        <w:tc>
          <w:tcPr>
            <w:tcW w:w="4663" w:type="pct"/>
            <w:gridSpan w:val="4"/>
            <w:vAlign w:val="center"/>
          </w:tcPr>
          <w:p w:rsidR="000C2455" w:rsidRPr="00687B52" w:rsidRDefault="000C2455" w:rsidP="003E1D2A">
            <w:pPr>
              <w:pStyle w:val="a7"/>
              <w:jc w:val="both"/>
              <w:rPr>
                <w:rFonts w:hAnsi="Times New Roman"/>
                <w:color w:val="000000" w:themeColor="text1"/>
                <w:szCs w:val="24"/>
              </w:rPr>
            </w:pPr>
            <w:r w:rsidRPr="00687B52">
              <w:rPr>
                <w:rFonts w:hAnsi="Times New Roman"/>
                <w:b/>
                <w:color w:val="000000" w:themeColor="text1"/>
                <w:szCs w:val="24"/>
              </w:rPr>
              <w:t>工艺及设备设施</w:t>
            </w:r>
            <w:r w:rsidRPr="00687B52">
              <w:rPr>
                <w:rFonts w:hAnsi="Times New Roman"/>
                <w:b/>
                <w:color w:val="000000" w:themeColor="text1"/>
                <w:szCs w:val="24"/>
              </w:rPr>
              <w:t>-</w:t>
            </w:r>
            <w:r w:rsidRPr="00687B52">
              <w:rPr>
                <w:rFonts w:hAnsi="Times New Roman"/>
                <w:b/>
                <w:color w:val="000000" w:themeColor="text1"/>
                <w:szCs w:val="24"/>
              </w:rPr>
              <w:t>净化工段</w:t>
            </w:r>
            <w:r w:rsidRPr="00687B52">
              <w:rPr>
                <w:rFonts w:hAnsi="Times New Roman"/>
                <w:b/>
                <w:color w:val="000000" w:themeColor="text1"/>
                <w:szCs w:val="24"/>
              </w:rPr>
              <w:t>-</w:t>
            </w:r>
            <w:r w:rsidRPr="00687B52">
              <w:rPr>
                <w:rFonts w:hAnsi="Times New Roman"/>
                <w:b/>
                <w:color w:val="000000" w:themeColor="text1"/>
                <w:szCs w:val="24"/>
              </w:rPr>
              <w:t>脱碳</w:t>
            </w: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7.1</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必须保持吸收塔（或水洗塔）、闪蒸器（或氢氮回收器）等液位正常和稳定，严防气体带液或贫液窜气。</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3.8</w:t>
            </w:r>
            <w:r w:rsidRPr="00687B52">
              <w:rPr>
                <w:rFonts w:hAnsi="Times New Roman"/>
                <w:color w:val="000000" w:themeColor="text1"/>
                <w:kern w:val="0"/>
              </w:rPr>
              <w:t>气体净化</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3.8.1</w:t>
            </w:r>
            <w:r w:rsidRPr="00687B52">
              <w:rPr>
                <w:rFonts w:hAnsi="Times New Roman"/>
                <w:color w:val="000000" w:themeColor="text1"/>
                <w:kern w:val="0"/>
              </w:rPr>
              <w:t>脱碳</w:t>
            </w:r>
            <w:r w:rsidRPr="00687B52">
              <w:rPr>
                <w:rFonts w:hAnsi="Times New Roman"/>
                <w:color w:val="000000" w:themeColor="text1"/>
                <w:kern w:val="0"/>
              </w:rPr>
              <w:t>3.8.1.1</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7.2</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吸收塔后必须设有足够大的净化气液分离器，并定期排放，严防带液。</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3.8</w:t>
            </w:r>
            <w:r w:rsidRPr="00687B52">
              <w:rPr>
                <w:rFonts w:hAnsi="Times New Roman"/>
                <w:color w:val="000000" w:themeColor="text1"/>
                <w:kern w:val="0"/>
              </w:rPr>
              <w:t>气体净化</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3.8.1</w:t>
            </w:r>
            <w:r w:rsidRPr="00687B52">
              <w:rPr>
                <w:rFonts w:hAnsi="Times New Roman"/>
                <w:color w:val="000000" w:themeColor="text1"/>
                <w:kern w:val="0"/>
              </w:rPr>
              <w:t>脱碳</w:t>
            </w:r>
            <w:r w:rsidRPr="00687B52">
              <w:rPr>
                <w:rFonts w:hAnsi="Times New Roman"/>
                <w:color w:val="000000" w:themeColor="text1"/>
                <w:kern w:val="0"/>
              </w:rPr>
              <w:t>3.8.1.2</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7.</w:t>
            </w:r>
            <w:r w:rsidRPr="00687B52">
              <w:rPr>
                <w:rFonts w:hAnsi="Times New Roman" w:hint="eastAsia"/>
                <w:color w:val="000000" w:themeColor="text1"/>
                <w:szCs w:val="24"/>
              </w:rPr>
              <w:t>3</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碳酸丙烯脂脱碳，必须严格控制贫液中含水量</w:t>
            </w:r>
            <w:r w:rsidRPr="00687B52">
              <w:rPr>
                <w:rFonts w:hAnsi="Times New Roman"/>
                <w:color w:val="000000" w:themeColor="text1"/>
                <w:kern w:val="0"/>
              </w:rPr>
              <w:t>≤2</w:t>
            </w:r>
            <w:r w:rsidRPr="00687B52">
              <w:rPr>
                <w:rFonts w:hAnsi="Times New Roman"/>
                <w:color w:val="000000" w:themeColor="text1"/>
                <w:kern w:val="0"/>
              </w:rPr>
              <w:t>％，以防</w:t>
            </w:r>
            <w:r w:rsidRPr="00687B52">
              <w:rPr>
                <w:rFonts w:hAnsi="Times New Roman"/>
                <w:color w:val="000000" w:themeColor="text1"/>
                <w:kern w:val="0"/>
              </w:rPr>
              <w:lastRenderedPageBreak/>
              <w:t>止吸收塔及各解吸设备和管道的腐蚀。</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lastRenderedPageBreak/>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lastRenderedPageBreak/>
              <w:t>3.8</w:t>
            </w:r>
            <w:r w:rsidRPr="00687B52">
              <w:rPr>
                <w:rFonts w:hAnsi="Times New Roman"/>
                <w:color w:val="000000" w:themeColor="text1"/>
                <w:kern w:val="0"/>
              </w:rPr>
              <w:t>气体净化</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3.8.1</w:t>
            </w:r>
            <w:r w:rsidRPr="00687B52">
              <w:rPr>
                <w:rFonts w:hAnsi="Times New Roman"/>
                <w:color w:val="000000" w:themeColor="text1"/>
                <w:kern w:val="0"/>
              </w:rPr>
              <w:t>脱碳</w:t>
            </w:r>
            <w:r w:rsidRPr="00687B52">
              <w:rPr>
                <w:rFonts w:hAnsi="Times New Roman"/>
                <w:color w:val="000000" w:themeColor="text1"/>
                <w:kern w:val="0"/>
              </w:rPr>
              <w:t>3.8.1.4</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lastRenderedPageBreak/>
              <w:t>7.</w:t>
            </w:r>
            <w:r w:rsidRPr="00687B52">
              <w:rPr>
                <w:rFonts w:hAnsi="Times New Roman" w:hint="eastAsia"/>
                <w:color w:val="000000" w:themeColor="text1"/>
                <w:szCs w:val="24"/>
              </w:rPr>
              <w:t>4</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必须确保气提塔（或脱气塔）液位正常，严防溶剂泵（或离心泵）抽空。</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3.8</w:t>
            </w:r>
            <w:r w:rsidRPr="00687B52">
              <w:rPr>
                <w:rFonts w:hAnsi="Times New Roman"/>
                <w:color w:val="000000" w:themeColor="text1"/>
                <w:kern w:val="0"/>
              </w:rPr>
              <w:t>气体净化</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3.8.1</w:t>
            </w:r>
            <w:r w:rsidRPr="00687B52">
              <w:rPr>
                <w:rFonts w:hAnsi="Times New Roman"/>
                <w:color w:val="000000" w:themeColor="text1"/>
                <w:kern w:val="0"/>
              </w:rPr>
              <w:t>脱碳</w:t>
            </w:r>
            <w:r w:rsidRPr="00687B52">
              <w:rPr>
                <w:rFonts w:hAnsi="Times New Roman"/>
                <w:color w:val="000000" w:themeColor="text1"/>
                <w:kern w:val="0"/>
              </w:rPr>
              <w:t>3.8.1.5</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8</w:t>
            </w:r>
          </w:p>
        </w:tc>
        <w:tc>
          <w:tcPr>
            <w:tcW w:w="4663" w:type="pct"/>
            <w:gridSpan w:val="4"/>
            <w:vAlign w:val="center"/>
          </w:tcPr>
          <w:p w:rsidR="000C2455" w:rsidRPr="00687B52" w:rsidRDefault="000C2455" w:rsidP="003E1D2A">
            <w:pPr>
              <w:pStyle w:val="a7"/>
              <w:jc w:val="both"/>
              <w:rPr>
                <w:rFonts w:hAnsi="Times New Roman"/>
                <w:color w:val="000000" w:themeColor="text1"/>
                <w:szCs w:val="24"/>
              </w:rPr>
            </w:pPr>
            <w:r w:rsidRPr="00687B52">
              <w:rPr>
                <w:rFonts w:hAnsi="Times New Roman"/>
                <w:b/>
                <w:color w:val="000000" w:themeColor="text1"/>
                <w:szCs w:val="24"/>
              </w:rPr>
              <w:t>工艺及设备设施</w:t>
            </w:r>
            <w:r w:rsidRPr="00687B52">
              <w:rPr>
                <w:rFonts w:hAnsi="Times New Roman"/>
                <w:b/>
                <w:color w:val="000000" w:themeColor="text1"/>
                <w:szCs w:val="24"/>
              </w:rPr>
              <w:t>-</w:t>
            </w:r>
            <w:r w:rsidRPr="00687B52">
              <w:rPr>
                <w:rFonts w:hAnsi="Times New Roman"/>
                <w:b/>
                <w:color w:val="000000" w:themeColor="text1"/>
                <w:szCs w:val="24"/>
              </w:rPr>
              <w:t>净化工段</w:t>
            </w:r>
            <w:r w:rsidRPr="00687B52">
              <w:rPr>
                <w:rFonts w:hAnsi="Times New Roman"/>
                <w:b/>
                <w:color w:val="000000" w:themeColor="text1"/>
                <w:szCs w:val="24"/>
              </w:rPr>
              <w:t>-</w:t>
            </w:r>
            <w:r w:rsidRPr="00687B52">
              <w:rPr>
                <w:rFonts w:hAnsi="Times New Roman"/>
                <w:b/>
                <w:color w:val="000000" w:themeColor="text1"/>
                <w:szCs w:val="24"/>
              </w:rPr>
              <w:t>铜洗</w:t>
            </w: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8.1</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制取醋酸铜氨液或对铜液系统设备、管道检修时，必须佩戴防护器具，谨防铜液溅入眼中。当铜液或醋酸、氨溅入眼内时，应立即在现场用大量清水冲洗，再去就医。</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3.8</w:t>
            </w:r>
            <w:r w:rsidRPr="00687B52">
              <w:rPr>
                <w:rFonts w:hAnsi="Times New Roman"/>
                <w:color w:val="000000" w:themeColor="text1"/>
                <w:kern w:val="0"/>
              </w:rPr>
              <w:t>气体净化</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3.8.2</w:t>
            </w:r>
            <w:r w:rsidRPr="00687B52">
              <w:rPr>
                <w:rFonts w:hAnsi="Times New Roman"/>
                <w:color w:val="000000" w:themeColor="text1"/>
                <w:kern w:val="0"/>
              </w:rPr>
              <w:t>铜洗</w:t>
            </w:r>
            <w:r w:rsidRPr="00687B52">
              <w:rPr>
                <w:rFonts w:hAnsi="Times New Roman"/>
                <w:color w:val="000000" w:themeColor="text1"/>
                <w:kern w:val="0"/>
              </w:rPr>
              <w:t>3.8.2.1</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8.2</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铜液出口管道必须安装止逆阀，以防紧急停车时高压气体倒入铜泵进入低压系统。</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3.8</w:t>
            </w:r>
            <w:r w:rsidRPr="00687B52">
              <w:rPr>
                <w:rFonts w:hAnsi="Times New Roman"/>
                <w:color w:val="000000" w:themeColor="text1"/>
                <w:kern w:val="0"/>
              </w:rPr>
              <w:t>气体净化</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3.8.2</w:t>
            </w:r>
            <w:r w:rsidRPr="00687B52">
              <w:rPr>
                <w:rFonts w:hAnsi="Times New Roman"/>
                <w:color w:val="000000" w:themeColor="text1"/>
                <w:kern w:val="0"/>
              </w:rPr>
              <w:t>铜洗</w:t>
            </w:r>
            <w:r w:rsidRPr="00687B52">
              <w:rPr>
                <w:rFonts w:hAnsi="Times New Roman"/>
                <w:color w:val="000000" w:themeColor="text1"/>
                <w:kern w:val="0"/>
              </w:rPr>
              <w:t>3.8.2.2</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8.3</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严格控制精炼气质量（</w:t>
            </w:r>
            <w:r w:rsidRPr="00687B52">
              <w:rPr>
                <w:rFonts w:ascii="Times New Roman" w:hAnsi="Times New Roman"/>
                <w:color w:val="000000" w:themeColor="text1"/>
                <w:kern w:val="0"/>
                <w:sz w:val="24"/>
                <w:szCs w:val="21"/>
              </w:rPr>
              <w:t>CO</w:t>
            </w:r>
            <w:r w:rsidRPr="00687B52">
              <w:rPr>
                <w:rFonts w:ascii="Times New Roman" w:hAnsi="Times New Roman"/>
                <w:color w:val="000000" w:themeColor="text1"/>
                <w:kern w:val="0"/>
                <w:sz w:val="24"/>
                <w:szCs w:val="21"/>
              </w:rPr>
              <w:t>＋</w:t>
            </w:r>
            <w:r w:rsidRPr="00687B52">
              <w:rPr>
                <w:rFonts w:ascii="Times New Roman" w:hAnsi="Times New Roman"/>
                <w:color w:val="000000" w:themeColor="text1"/>
                <w:kern w:val="0"/>
                <w:sz w:val="24"/>
                <w:szCs w:val="21"/>
              </w:rPr>
              <w:t>CO</w:t>
            </w:r>
            <w:r w:rsidRPr="00687B52">
              <w:rPr>
                <w:rFonts w:ascii="Times New Roman" w:hAnsi="Times New Roman"/>
                <w:color w:val="000000" w:themeColor="text1"/>
                <w:kern w:val="0"/>
                <w:sz w:val="24"/>
                <w:szCs w:val="21"/>
                <w:vertAlign w:val="subscript"/>
              </w:rPr>
              <w:t>2</w:t>
            </w:r>
            <w:r w:rsidRPr="00687B52">
              <w:rPr>
                <w:rFonts w:ascii="Times New Roman" w:hAnsi="Times New Roman"/>
                <w:color w:val="000000" w:themeColor="text1"/>
                <w:kern w:val="0"/>
                <w:sz w:val="24"/>
                <w:szCs w:val="21"/>
              </w:rPr>
              <w:t>含量）和再生后铜液各组份；铜比在规定工艺指标内，保持铜液纯净，发现铜液混有油污、沉淀物应进行过滤处理。</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3.8</w:t>
            </w:r>
            <w:r w:rsidRPr="00687B52">
              <w:rPr>
                <w:rFonts w:hAnsi="Times New Roman"/>
                <w:color w:val="000000" w:themeColor="text1"/>
                <w:kern w:val="0"/>
              </w:rPr>
              <w:t>气体净化</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3.8.2</w:t>
            </w:r>
            <w:r w:rsidRPr="00687B52">
              <w:rPr>
                <w:rFonts w:hAnsi="Times New Roman"/>
                <w:color w:val="000000" w:themeColor="text1"/>
                <w:kern w:val="0"/>
              </w:rPr>
              <w:t>铜洗</w:t>
            </w:r>
            <w:r w:rsidRPr="00687B52">
              <w:rPr>
                <w:rFonts w:hAnsi="Times New Roman"/>
                <w:color w:val="000000" w:themeColor="text1"/>
                <w:kern w:val="0"/>
              </w:rPr>
              <w:t>3.8.2.3</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8.</w:t>
            </w:r>
            <w:r w:rsidRPr="00687B52">
              <w:rPr>
                <w:rFonts w:hAnsi="Times New Roman" w:hint="eastAsia"/>
                <w:color w:val="000000" w:themeColor="text1"/>
                <w:szCs w:val="24"/>
              </w:rPr>
              <w:t>4</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铜塔液位计的照明灯须采用防爆型，并禁止安装在液位计正前方。</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3.8</w:t>
            </w:r>
            <w:r w:rsidRPr="00687B52">
              <w:rPr>
                <w:rFonts w:hAnsi="Times New Roman"/>
                <w:color w:val="000000" w:themeColor="text1"/>
                <w:kern w:val="0"/>
              </w:rPr>
              <w:t>气体净化</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3.8.2</w:t>
            </w:r>
            <w:r w:rsidRPr="00687B52">
              <w:rPr>
                <w:rFonts w:hAnsi="Times New Roman"/>
                <w:color w:val="000000" w:themeColor="text1"/>
                <w:kern w:val="0"/>
              </w:rPr>
              <w:t>铜洗</w:t>
            </w:r>
            <w:r w:rsidRPr="00687B52">
              <w:rPr>
                <w:rFonts w:hAnsi="Times New Roman"/>
                <w:color w:val="000000" w:themeColor="text1"/>
                <w:kern w:val="0"/>
              </w:rPr>
              <w:t>3.8.2.8</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9</w:t>
            </w:r>
          </w:p>
        </w:tc>
        <w:tc>
          <w:tcPr>
            <w:tcW w:w="4663" w:type="pct"/>
            <w:gridSpan w:val="4"/>
            <w:vAlign w:val="center"/>
          </w:tcPr>
          <w:p w:rsidR="000C2455" w:rsidRPr="00687B52" w:rsidRDefault="000C2455" w:rsidP="003E1D2A">
            <w:pPr>
              <w:pStyle w:val="a7"/>
              <w:jc w:val="both"/>
              <w:rPr>
                <w:rFonts w:hAnsi="Times New Roman"/>
                <w:color w:val="000000" w:themeColor="text1"/>
                <w:szCs w:val="24"/>
              </w:rPr>
            </w:pPr>
            <w:r w:rsidRPr="00687B52">
              <w:rPr>
                <w:rFonts w:hAnsi="Times New Roman"/>
                <w:b/>
                <w:color w:val="000000" w:themeColor="text1"/>
                <w:szCs w:val="24"/>
              </w:rPr>
              <w:t>工艺及设备设施</w:t>
            </w:r>
            <w:r w:rsidRPr="00687B52">
              <w:rPr>
                <w:rFonts w:hAnsi="Times New Roman"/>
                <w:b/>
                <w:color w:val="000000" w:themeColor="text1"/>
                <w:szCs w:val="24"/>
              </w:rPr>
              <w:t>-</w:t>
            </w:r>
            <w:r w:rsidRPr="00687B52">
              <w:rPr>
                <w:rFonts w:hAnsi="Times New Roman"/>
                <w:b/>
                <w:color w:val="000000" w:themeColor="text1"/>
                <w:szCs w:val="24"/>
              </w:rPr>
              <w:t>净化工段</w:t>
            </w:r>
            <w:r w:rsidRPr="00687B52">
              <w:rPr>
                <w:rFonts w:hAnsi="Times New Roman"/>
                <w:b/>
                <w:color w:val="000000" w:themeColor="text1"/>
                <w:szCs w:val="24"/>
              </w:rPr>
              <w:t>-“</w:t>
            </w:r>
            <w:r w:rsidRPr="00687B52">
              <w:rPr>
                <w:rFonts w:hAnsi="Times New Roman"/>
                <w:b/>
                <w:color w:val="000000" w:themeColor="text1"/>
                <w:szCs w:val="24"/>
              </w:rPr>
              <w:t>双甲</w:t>
            </w:r>
            <w:r w:rsidRPr="00687B52">
              <w:rPr>
                <w:rFonts w:hAnsi="Times New Roman"/>
                <w:b/>
                <w:color w:val="000000" w:themeColor="text1"/>
                <w:szCs w:val="24"/>
              </w:rPr>
              <w:t>”</w:t>
            </w:r>
            <w:r w:rsidRPr="00687B52">
              <w:rPr>
                <w:rFonts w:hAnsi="Times New Roman"/>
                <w:b/>
                <w:color w:val="000000" w:themeColor="text1"/>
                <w:szCs w:val="24"/>
              </w:rPr>
              <w:t>（粗甲醇、甲烷化）</w:t>
            </w: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9.1</w:t>
            </w:r>
          </w:p>
        </w:tc>
        <w:tc>
          <w:tcPr>
            <w:tcW w:w="2272" w:type="pct"/>
            <w:gridSpan w:val="2"/>
            <w:vAlign w:val="center"/>
          </w:tcPr>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1</w:t>
            </w:r>
            <w:r w:rsidRPr="00687B52">
              <w:rPr>
                <w:rFonts w:hAnsi="Times New Roman"/>
                <w:color w:val="000000" w:themeColor="text1"/>
              </w:rPr>
              <w:t>）应设置净醇洗涤塔、甲醇分离器、甲醇吸收塔液位高低限报警；</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 xml:space="preserve">2)  </w:t>
            </w:r>
            <w:r w:rsidRPr="00687B52">
              <w:rPr>
                <w:rFonts w:hAnsi="Times New Roman"/>
                <w:color w:val="000000" w:themeColor="text1"/>
              </w:rPr>
              <w:t>应设置净醇洗涤塔放液压力、甲醇中间槽压力、放醇管压力高限报警；</w:t>
            </w:r>
          </w:p>
          <w:p w:rsidR="000C2455" w:rsidRPr="00687B52" w:rsidRDefault="000C2455" w:rsidP="003E1D2A">
            <w:pPr>
              <w:pStyle w:val="a7"/>
              <w:jc w:val="left"/>
              <w:rPr>
                <w:rFonts w:hAnsi="Times New Roman"/>
                <w:color w:val="000000" w:themeColor="text1"/>
                <w:szCs w:val="24"/>
              </w:rPr>
            </w:pPr>
            <w:r w:rsidRPr="00687B52">
              <w:rPr>
                <w:rFonts w:hAnsi="Times New Roman"/>
                <w:color w:val="000000" w:themeColor="text1"/>
              </w:rPr>
              <w:t xml:space="preserve">3)  </w:t>
            </w:r>
            <w:r w:rsidRPr="00687B52">
              <w:rPr>
                <w:rFonts w:hAnsi="Times New Roman"/>
                <w:color w:val="000000" w:themeColor="text1"/>
              </w:rPr>
              <w:t>应设置甲醇罐区可燃气体报警仪、泡沫消防和喷淋降温设施。</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《合成氨生产企业安全标准化实施指南》</w:t>
            </w:r>
          </w:p>
          <w:p w:rsidR="000C2455" w:rsidRPr="00687B52" w:rsidRDefault="000C2455" w:rsidP="003E1D2A">
            <w:pPr>
              <w:pStyle w:val="a7"/>
              <w:rPr>
                <w:rFonts w:hAnsi="Times New Roman"/>
                <w:color w:val="000000" w:themeColor="text1"/>
              </w:rPr>
            </w:pPr>
            <w:r w:rsidRPr="00687B52">
              <w:rPr>
                <w:rFonts w:hAnsi="Times New Roman"/>
                <w:color w:val="000000" w:themeColor="text1"/>
              </w:rPr>
              <w:t>AQ/T3017-2008</w:t>
            </w:r>
          </w:p>
          <w:p w:rsidR="000C2455" w:rsidRPr="00687B52" w:rsidRDefault="000C2455" w:rsidP="003E1D2A">
            <w:pPr>
              <w:pStyle w:val="a7"/>
              <w:rPr>
                <w:rFonts w:hAnsi="Times New Roman"/>
                <w:color w:val="000000" w:themeColor="text1"/>
              </w:rPr>
            </w:pPr>
            <w:r w:rsidRPr="00687B52">
              <w:rPr>
                <w:rFonts w:hAnsi="Times New Roman"/>
                <w:color w:val="000000" w:themeColor="text1"/>
              </w:rPr>
              <w:t>5.5.2.1</w:t>
            </w:r>
          </w:p>
          <w:p w:rsidR="000C2455" w:rsidRPr="00687B52" w:rsidRDefault="000C2455" w:rsidP="003E1D2A">
            <w:pPr>
              <w:pStyle w:val="a7"/>
              <w:rPr>
                <w:rFonts w:hAnsi="Times New Roman"/>
                <w:color w:val="000000" w:themeColor="text1"/>
              </w:rPr>
            </w:pPr>
            <w:r w:rsidRPr="00687B52">
              <w:rPr>
                <w:rFonts w:hAnsi="Times New Roman"/>
                <w:color w:val="000000" w:themeColor="text1"/>
              </w:rPr>
              <w:t>c</w:t>
            </w:r>
            <w:r w:rsidRPr="00687B52">
              <w:rPr>
                <w:rFonts w:hAnsi="Times New Roman"/>
                <w:color w:val="000000" w:themeColor="text1"/>
              </w:rPr>
              <w:t>）醇烷化系统</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lastRenderedPageBreak/>
              <w:t>9.2</w:t>
            </w:r>
          </w:p>
        </w:tc>
        <w:tc>
          <w:tcPr>
            <w:tcW w:w="2272" w:type="pct"/>
            <w:gridSpan w:val="2"/>
            <w:vAlign w:val="center"/>
          </w:tcPr>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企业应对装置正常运行过程中的各项工艺参数进行严格控制，安全工艺参数至少满足：</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1</w:t>
            </w:r>
            <w:r w:rsidRPr="00687B52">
              <w:rPr>
                <w:rFonts w:hAnsi="Times New Roman"/>
                <w:color w:val="000000" w:themeColor="text1"/>
              </w:rPr>
              <w:t>）高压甲醇塔、烷化塔、提温换热器、氨合成塔塔壁温度</w:t>
            </w:r>
            <w:r w:rsidRPr="00687B52">
              <w:rPr>
                <w:rFonts w:hAnsi="Times New Roman"/>
                <w:color w:val="000000" w:themeColor="text1"/>
              </w:rPr>
              <w:t>≤120</w:t>
            </w:r>
            <w:r w:rsidRPr="00687B52">
              <w:rPr>
                <w:rFonts w:ascii="宋体" w:hAnsi="宋体" w:cs="宋体" w:hint="eastAsia"/>
                <w:color w:val="000000" w:themeColor="text1"/>
              </w:rPr>
              <w:t>℃</w:t>
            </w:r>
            <w:r w:rsidRPr="00687B52">
              <w:rPr>
                <w:rFonts w:hAnsi="Times New Roman"/>
                <w:color w:val="000000" w:themeColor="text1"/>
              </w:rPr>
              <w:t>；</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《合成氨生产企业安全标准化实施指南》</w:t>
            </w:r>
          </w:p>
          <w:p w:rsidR="000C2455" w:rsidRPr="00687B52" w:rsidRDefault="000C2455" w:rsidP="003E1D2A">
            <w:pPr>
              <w:pStyle w:val="a7"/>
              <w:rPr>
                <w:rFonts w:hAnsi="Times New Roman"/>
                <w:color w:val="000000" w:themeColor="text1"/>
              </w:rPr>
            </w:pPr>
            <w:r w:rsidRPr="00687B52">
              <w:rPr>
                <w:rFonts w:hAnsi="Times New Roman"/>
                <w:color w:val="000000" w:themeColor="text1"/>
              </w:rPr>
              <w:t>AQ/T3017-2008 AQ/T3017-2008</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9.</w:t>
            </w:r>
            <w:r w:rsidRPr="00687B52">
              <w:rPr>
                <w:rFonts w:hAnsi="Times New Roman" w:hint="eastAsia"/>
                <w:color w:val="000000" w:themeColor="text1"/>
                <w:szCs w:val="24"/>
              </w:rPr>
              <w:t>3</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两塔卸压放空速率</w:t>
            </w:r>
            <w:r w:rsidRPr="00687B52">
              <w:rPr>
                <w:rFonts w:hAnsi="Times New Roman"/>
                <w:color w:val="000000" w:themeColor="text1"/>
                <w:kern w:val="0"/>
              </w:rPr>
              <w:t>≤0.4MPa/</w:t>
            </w:r>
            <w:r w:rsidRPr="00687B52">
              <w:rPr>
                <w:rFonts w:hAnsi="Times New Roman"/>
                <w:color w:val="000000" w:themeColor="text1"/>
                <w:kern w:val="0"/>
              </w:rPr>
              <w:t>分，要保持塔前压力高于塔后压力，严防气体倒流，避免把触媒等杂物吹入中心管，造成电炉丝烧断事故。</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3.8</w:t>
            </w:r>
            <w:r w:rsidRPr="00687B52">
              <w:rPr>
                <w:rFonts w:hAnsi="Times New Roman"/>
                <w:color w:val="000000" w:themeColor="text1"/>
                <w:kern w:val="0"/>
              </w:rPr>
              <w:t>气体净化</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3.8.3.4</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9.</w:t>
            </w:r>
            <w:r w:rsidRPr="00687B52">
              <w:rPr>
                <w:rFonts w:hAnsi="Times New Roman" w:hint="eastAsia"/>
                <w:color w:val="000000" w:themeColor="text1"/>
                <w:szCs w:val="24"/>
              </w:rPr>
              <w:t>4</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放粗甲醇操作，应缓慢均匀，放醇压力控制在</w:t>
            </w:r>
            <w:r w:rsidRPr="00687B52">
              <w:rPr>
                <w:rFonts w:ascii="Times New Roman" w:hAnsi="Times New Roman"/>
                <w:color w:val="000000" w:themeColor="text1"/>
                <w:kern w:val="0"/>
                <w:sz w:val="24"/>
                <w:szCs w:val="21"/>
              </w:rPr>
              <w:t>≤0.35</w:t>
            </w:r>
            <w:r w:rsidRPr="00687B52">
              <w:rPr>
                <w:rFonts w:ascii="Times New Roman" w:hAnsi="Times New Roman"/>
                <w:color w:val="000000" w:themeColor="text1"/>
                <w:kern w:val="0"/>
                <w:sz w:val="24"/>
                <w:szCs w:val="21"/>
              </w:rPr>
              <w:t>～</w:t>
            </w:r>
            <w:r w:rsidRPr="00687B52">
              <w:rPr>
                <w:rFonts w:ascii="Times New Roman" w:hAnsi="Times New Roman"/>
                <w:color w:val="000000" w:themeColor="text1"/>
                <w:kern w:val="0"/>
                <w:sz w:val="24"/>
                <w:szCs w:val="21"/>
              </w:rPr>
              <w:t>0.6MPa</w:t>
            </w:r>
            <w:r w:rsidRPr="00687B52">
              <w:rPr>
                <w:rFonts w:ascii="Times New Roman" w:hAnsi="Times New Roman"/>
                <w:color w:val="000000" w:themeColor="text1"/>
                <w:kern w:val="0"/>
                <w:sz w:val="24"/>
                <w:szCs w:val="21"/>
              </w:rPr>
              <w:t>内，严防高压气体窜入低压设备和贮槽。</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3.8</w:t>
            </w:r>
            <w:r w:rsidRPr="00687B52">
              <w:rPr>
                <w:rFonts w:hAnsi="Times New Roman"/>
                <w:color w:val="000000" w:themeColor="text1"/>
                <w:kern w:val="0"/>
              </w:rPr>
              <w:t>气体净化</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3.8.3.5</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9.</w:t>
            </w:r>
            <w:r w:rsidRPr="00687B52">
              <w:rPr>
                <w:rFonts w:hAnsi="Times New Roman" w:hint="eastAsia"/>
                <w:color w:val="000000" w:themeColor="text1"/>
                <w:szCs w:val="24"/>
              </w:rPr>
              <w:t>5</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粗甲醇贮槽液位控制在</w:t>
            </w:r>
            <w:r w:rsidRPr="00687B52">
              <w:rPr>
                <w:rFonts w:hAnsi="Times New Roman"/>
                <w:color w:val="000000" w:themeColor="text1"/>
                <w:kern w:val="0"/>
              </w:rPr>
              <w:t>1/3</w:t>
            </w:r>
            <w:r w:rsidRPr="00687B52">
              <w:rPr>
                <w:rFonts w:hAnsi="Times New Roman"/>
                <w:color w:val="000000" w:themeColor="text1"/>
                <w:kern w:val="0"/>
              </w:rPr>
              <w:t>～</w:t>
            </w:r>
            <w:r w:rsidRPr="00687B52">
              <w:rPr>
                <w:rFonts w:hAnsi="Times New Roman"/>
                <w:color w:val="000000" w:themeColor="text1"/>
                <w:kern w:val="0"/>
              </w:rPr>
              <w:t>3/4</w:t>
            </w:r>
            <w:r w:rsidRPr="00687B52">
              <w:rPr>
                <w:rFonts w:hAnsi="Times New Roman"/>
                <w:color w:val="000000" w:themeColor="text1"/>
                <w:kern w:val="0"/>
              </w:rPr>
              <w:t>处，最大装量不得超过</w:t>
            </w:r>
            <w:r w:rsidRPr="00687B52">
              <w:rPr>
                <w:rFonts w:hAnsi="Times New Roman"/>
                <w:color w:val="000000" w:themeColor="text1"/>
                <w:kern w:val="0"/>
              </w:rPr>
              <w:t>90</w:t>
            </w:r>
            <w:r w:rsidRPr="00687B52">
              <w:rPr>
                <w:rFonts w:hAnsi="Times New Roman"/>
                <w:color w:val="000000" w:themeColor="text1"/>
                <w:kern w:val="0"/>
              </w:rPr>
              <w:t>％。放空管要装有阻火器，贮槽避雷装置要安全可靠。</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3.8</w:t>
            </w:r>
            <w:r w:rsidRPr="00687B52">
              <w:rPr>
                <w:rFonts w:hAnsi="Times New Roman"/>
                <w:color w:val="000000" w:themeColor="text1"/>
                <w:kern w:val="0"/>
              </w:rPr>
              <w:t>气体净化</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3.8.3.9</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9.</w:t>
            </w:r>
            <w:r w:rsidRPr="00687B52">
              <w:rPr>
                <w:rFonts w:hAnsi="Times New Roman" w:hint="eastAsia"/>
                <w:color w:val="000000" w:themeColor="text1"/>
                <w:szCs w:val="24"/>
              </w:rPr>
              <w:t>6</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甲烷化塔升温，严禁用煤气、不合格的变换气。原料升温，气体中</w:t>
            </w:r>
            <w:r w:rsidRPr="00687B52">
              <w:rPr>
                <w:rFonts w:hAnsi="Times New Roman"/>
                <w:color w:val="000000" w:themeColor="text1"/>
                <w:kern w:val="0"/>
              </w:rPr>
              <w:t>CO≤0.4</w:t>
            </w:r>
            <w:r w:rsidRPr="00687B52">
              <w:rPr>
                <w:rFonts w:hAnsi="Times New Roman"/>
                <w:color w:val="000000" w:themeColor="text1"/>
                <w:kern w:val="0"/>
              </w:rPr>
              <w:t>％以下，避免产生羰基镍。</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3.8</w:t>
            </w:r>
            <w:r w:rsidRPr="00687B52">
              <w:rPr>
                <w:rFonts w:hAnsi="Times New Roman"/>
                <w:color w:val="000000" w:themeColor="text1"/>
                <w:kern w:val="0"/>
              </w:rPr>
              <w:t>气体净化</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3.8.3.10</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10</w:t>
            </w:r>
          </w:p>
        </w:tc>
        <w:tc>
          <w:tcPr>
            <w:tcW w:w="4663" w:type="pct"/>
            <w:gridSpan w:val="4"/>
            <w:vAlign w:val="center"/>
          </w:tcPr>
          <w:p w:rsidR="000C2455" w:rsidRPr="00687B52" w:rsidRDefault="000C2455" w:rsidP="003E1D2A">
            <w:pPr>
              <w:pStyle w:val="a7"/>
              <w:jc w:val="both"/>
              <w:rPr>
                <w:rFonts w:hAnsi="Times New Roman"/>
                <w:color w:val="000000" w:themeColor="text1"/>
                <w:szCs w:val="24"/>
              </w:rPr>
            </w:pPr>
            <w:r w:rsidRPr="00687B52">
              <w:rPr>
                <w:rFonts w:hAnsi="Times New Roman"/>
                <w:b/>
                <w:color w:val="000000" w:themeColor="text1"/>
                <w:szCs w:val="24"/>
              </w:rPr>
              <w:t>工艺及设备设施</w:t>
            </w:r>
            <w:r w:rsidRPr="00687B52">
              <w:rPr>
                <w:rFonts w:hAnsi="Times New Roman"/>
                <w:b/>
                <w:color w:val="000000" w:themeColor="text1"/>
                <w:szCs w:val="24"/>
              </w:rPr>
              <w:t>-</w:t>
            </w:r>
            <w:r w:rsidRPr="00687B52">
              <w:rPr>
                <w:rFonts w:hAnsi="Times New Roman"/>
                <w:b/>
                <w:color w:val="000000" w:themeColor="text1"/>
                <w:szCs w:val="24"/>
              </w:rPr>
              <w:t>合成冷冻工段</w:t>
            </w: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10.1</w:t>
            </w:r>
          </w:p>
        </w:tc>
        <w:tc>
          <w:tcPr>
            <w:tcW w:w="2272" w:type="pct"/>
            <w:gridSpan w:val="2"/>
            <w:vAlign w:val="center"/>
          </w:tcPr>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 xml:space="preserve">1)  </w:t>
            </w:r>
            <w:r w:rsidRPr="00687B52">
              <w:rPr>
                <w:rFonts w:hAnsi="Times New Roman"/>
                <w:color w:val="000000" w:themeColor="text1"/>
              </w:rPr>
              <w:t>应设置氢氮压缩机一段入口压力低限声光报警；</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 xml:space="preserve">2)  </w:t>
            </w:r>
            <w:r w:rsidRPr="00687B52">
              <w:rPr>
                <w:rFonts w:hAnsi="Times New Roman"/>
                <w:color w:val="000000" w:themeColor="text1"/>
              </w:rPr>
              <w:t>应设置氨冷却器或闪蒸槽、液氨槽液位高低报警及联锁冰机停车设施；</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 xml:space="preserve">3)  </w:t>
            </w:r>
            <w:r w:rsidRPr="00687B52">
              <w:rPr>
                <w:rFonts w:hAnsi="Times New Roman"/>
                <w:color w:val="000000" w:themeColor="text1"/>
              </w:rPr>
              <w:t>应设置冰机液氨贮槽区遮阳棚和应急喷淋设施；</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 xml:space="preserve">4)  </w:t>
            </w:r>
            <w:r w:rsidRPr="00687B52">
              <w:rPr>
                <w:rFonts w:hAnsi="Times New Roman"/>
                <w:color w:val="000000" w:themeColor="text1"/>
              </w:rPr>
              <w:t>应设置液氨蒸发器、液氨储槽应压力高限报警设施；</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 xml:space="preserve">5)  </w:t>
            </w:r>
            <w:r w:rsidRPr="00687B52">
              <w:rPr>
                <w:rFonts w:hAnsi="Times New Roman"/>
                <w:color w:val="000000" w:themeColor="text1"/>
              </w:rPr>
              <w:t>应设置压缩机润滑油系统油压低限报警、联锁装置；</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 xml:space="preserve">6)  </w:t>
            </w:r>
            <w:r w:rsidRPr="00687B52">
              <w:rPr>
                <w:rFonts w:hAnsi="Times New Roman"/>
                <w:color w:val="000000" w:themeColor="text1"/>
              </w:rPr>
              <w:t>应设置合成系统的氨分离器高低限液位报警装置；</w:t>
            </w:r>
          </w:p>
          <w:p w:rsidR="000C2455" w:rsidRPr="00687B52" w:rsidRDefault="000C2455" w:rsidP="003E1D2A">
            <w:pPr>
              <w:pStyle w:val="a7"/>
              <w:jc w:val="left"/>
              <w:rPr>
                <w:rFonts w:hAnsi="Times New Roman"/>
                <w:color w:val="000000" w:themeColor="text1"/>
                <w:szCs w:val="24"/>
              </w:rPr>
            </w:pPr>
            <w:r w:rsidRPr="00687B52">
              <w:rPr>
                <w:rFonts w:hAnsi="Times New Roman"/>
                <w:color w:val="000000" w:themeColor="text1"/>
              </w:rPr>
              <w:t xml:space="preserve">7)  </w:t>
            </w:r>
            <w:r w:rsidRPr="00687B52">
              <w:rPr>
                <w:rFonts w:hAnsi="Times New Roman"/>
                <w:color w:val="000000" w:themeColor="text1"/>
              </w:rPr>
              <w:t>合成系统的氨冷器、气氨总管、循环机出口、液氨贮槽等部位，必须安装安全阀并定期校验，安全阀出口导气</w:t>
            </w:r>
            <w:r w:rsidRPr="00687B52">
              <w:rPr>
                <w:rFonts w:hAnsi="Times New Roman"/>
                <w:color w:val="000000" w:themeColor="text1"/>
              </w:rPr>
              <w:lastRenderedPageBreak/>
              <w:t>管出口严禁放入室内，应引至回收系统。</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lastRenderedPageBreak/>
              <w:t>《合成氨生产企业安全标准化实施指南》</w:t>
            </w:r>
          </w:p>
          <w:p w:rsidR="000C2455" w:rsidRPr="00687B52" w:rsidRDefault="000C2455" w:rsidP="003E1D2A">
            <w:pPr>
              <w:pStyle w:val="a7"/>
              <w:rPr>
                <w:rFonts w:hAnsi="Times New Roman"/>
                <w:color w:val="000000" w:themeColor="text1"/>
              </w:rPr>
            </w:pPr>
            <w:r w:rsidRPr="00687B52">
              <w:rPr>
                <w:rFonts w:hAnsi="Times New Roman"/>
                <w:color w:val="000000" w:themeColor="text1"/>
              </w:rPr>
              <w:t>AQ/T3017-2008</w:t>
            </w:r>
          </w:p>
          <w:p w:rsidR="000C2455" w:rsidRPr="00687B52" w:rsidRDefault="000C2455" w:rsidP="003E1D2A">
            <w:pPr>
              <w:pStyle w:val="a7"/>
              <w:rPr>
                <w:rFonts w:hAnsi="Times New Roman"/>
                <w:color w:val="000000" w:themeColor="text1"/>
              </w:rPr>
            </w:pPr>
            <w:r w:rsidRPr="00687B52">
              <w:rPr>
                <w:rFonts w:hAnsi="Times New Roman"/>
                <w:color w:val="000000" w:themeColor="text1"/>
              </w:rPr>
              <w:t>5.5.2.1</w:t>
            </w:r>
          </w:p>
          <w:p w:rsidR="000C2455" w:rsidRPr="00687B52" w:rsidRDefault="000C2455" w:rsidP="003E1D2A">
            <w:pPr>
              <w:pStyle w:val="a7"/>
              <w:rPr>
                <w:rFonts w:hAnsi="Times New Roman"/>
                <w:color w:val="000000" w:themeColor="text1"/>
              </w:rPr>
            </w:pPr>
            <w:r w:rsidRPr="00687B52">
              <w:rPr>
                <w:rFonts w:hAnsi="Times New Roman"/>
                <w:color w:val="000000" w:themeColor="text1"/>
              </w:rPr>
              <w:t>d</w:t>
            </w:r>
            <w:r w:rsidRPr="00687B52">
              <w:rPr>
                <w:rFonts w:hAnsi="Times New Roman"/>
                <w:color w:val="000000" w:themeColor="text1"/>
              </w:rPr>
              <w:t>）合成、压缩系统</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lastRenderedPageBreak/>
              <w:t>10.2</w:t>
            </w:r>
          </w:p>
        </w:tc>
        <w:tc>
          <w:tcPr>
            <w:tcW w:w="2272" w:type="pct"/>
            <w:gridSpan w:val="2"/>
            <w:vAlign w:val="center"/>
          </w:tcPr>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 xml:space="preserve">1)  </w:t>
            </w:r>
            <w:r w:rsidRPr="00687B52">
              <w:rPr>
                <w:rFonts w:hAnsi="Times New Roman"/>
                <w:color w:val="000000" w:themeColor="text1"/>
              </w:rPr>
              <w:t>尿素总控操作室应设置二氧化碳压缩机、液氨泵、甲铵泵紧急停车设施；</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 xml:space="preserve">2)  </w:t>
            </w:r>
            <w:r w:rsidRPr="00687B52">
              <w:rPr>
                <w:rFonts w:hAnsi="Times New Roman"/>
                <w:color w:val="000000" w:themeColor="text1"/>
              </w:rPr>
              <w:t>应设置二氧化碳压缩机、液氨泵、甲铵泵低油压报警；</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 xml:space="preserve">3)  </w:t>
            </w:r>
            <w:r w:rsidRPr="00687B52">
              <w:rPr>
                <w:rFonts w:hAnsi="Times New Roman"/>
                <w:color w:val="000000" w:themeColor="text1"/>
              </w:rPr>
              <w:t>应设置合成塔出口压力调节阀自锁装置；</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 xml:space="preserve">4)  </w:t>
            </w:r>
            <w:r w:rsidRPr="00687B52">
              <w:rPr>
                <w:rFonts w:hAnsi="Times New Roman"/>
                <w:color w:val="000000" w:themeColor="text1"/>
              </w:rPr>
              <w:t>应设置尿素合成塔超压声光报警器，设置与液氨泵、甲铵泵、二氧化碳压缩机联锁设施；</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 xml:space="preserve">5)  </w:t>
            </w:r>
            <w:r w:rsidRPr="00687B52">
              <w:rPr>
                <w:rFonts w:hAnsi="Times New Roman"/>
                <w:color w:val="000000" w:themeColor="text1"/>
              </w:rPr>
              <w:t>中压系统惰洗器前应设置压力高限报警、惰洗器后应设置应急放空设施；</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 xml:space="preserve">6)  </w:t>
            </w:r>
            <w:r w:rsidRPr="00687B52">
              <w:rPr>
                <w:rFonts w:hAnsi="Times New Roman"/>
                <w:color w:val="000000" w:themeColor="text1"/>
              </w:rPr>
              <w:t>应设置氨冷凝器气相出口温度低限报警；</w:t>
            </w:r>
          </w:p>
          <w:p w:rsidR="000C2455" w:rsidRPr="00687B52" w:rsidRDefault="000C2455" w:rsidP="003E1D2A">
            <w:pPr>
              <w:pStyle w:val="a7"/>
              <w:jc w:val="left"/>
              <w:rPr>
                <w:rFonts w:hAnsi="Times New Roman"/>
                <w:color w:val="000000" w:themeColor="text1"/>
                <w:szCs w:val="24"/>
              </w:rPr>
            </w:pPr>
            <w:r w:rsidRPr="00687B52">
              <w:rPr>
                <w:rFonts w:hAnsi="Times New Roman"/>
                <w:color w:val="000000" w:themeColor="text1"/>
              </w:rPr>
              <w:t xml:space="preserve">7)  </w:t>
            </w:r>
            <w:r w:rsidRPr="00687B52">
              <w:rPr>
                <w:rFonts w:hAnsi="Times New Roman"/>
                <w:color w:val="000000" w:themeColor="text1"/>
              </w:rPr>
              <w:t>应设置尿素合成塔入口二氧化碳气体中氧含量自动调节设施。</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《合成氨生产企业安全标准化实施指南》</w:t>
            </w:r>
          </w:p>
          <w:p w:rsidR="000C2455" w:rsidRPr="00687B52" w:rsidRDefault="000C2455" w:rsidP="003E1D2A">
            <w:pPr>
              <w:pStyle w:val="a7"/>
              <w:rPr>
                <w:rFonts w:hAnsi="Times New Roman"/>
                <w:color w:val="000000" w:themeColor="text1"/>
              </w:rPr>
            </w:pPr>
            <w:r w:rsidRPr="00687B52">
              <w:rPr>
                <w:rFonts w:hAnsi="Times New Roman"/>
                <w:color w:val="000000" w:themeColor="text1"/>
              </w:rPr>
              <w:t>AQ/T3017-2008</w:t>
            </w:r>
          </w:p>
          <w:p w:rsidR="000C2455" w:rsidRPr="00687B52" w:rsidRDefault="000C2455" w:rsidP="003E1D2A">
            <w:pPr>
              <w:pStyle w:val="a7"/>
              <w:rPr>
                <w:rFonts w:hAnsi="Times New Roman"/>
                <w:color w:val="000000" w:themeColor="text1"/>
              </w:rPr>
            </w:pPr>
            <w:r w:rsidRPr="00687B52">
              <w:rPr>
                <w:rFonts w:hAnsi="Times New Roman"/>
                <w:color w:val="000000" w:themeColor="text1"/>
              </w:rPr>
              <w:t>5.5.2.1</w:t>
            </w:r>
          </w:p>
          <w:p w:rsidR="000C2455" w:rsidRPr="00687B52" w:rsidRDefault="000C2455" w:rsidP="003E1D2A">
            <w:pPr>
              <w:pStyle w:val="a7"/>
              <w:rPr>
                <w:rFonts w:hAnsi="Times New Roman"/>
                <w:color w:val="000000" w:themeColor="text1"/>
              </w:rPr>
            </w:pPr>
            <w:r w:rsidRPr="00687B52">
              <w:rPr>
                <w:rFonts w:hAnsi="Times New Roman"/>
                <w:color w:val="000000" w:themeColor="text1"/>
              </w:rPr>
              <w:t>e)</w:t>
            </w:r>
            <w:r w:rsidRPr="00687B52">
              <w:rPr>
                <w:rFonts w:hAnsi="Times New Roman"/>
                <w:color w:val="000000" w:themeColor="text1"/>
              </w:rPr>
              <w:t>尿素系统</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10.3</w:t>
            </w:r>
          </w:p>
        </w:tc>
        <w:tc>
          <w:tcPr>
            <w:tcW w:w="2272" w:type="pct"/>
            <w:gridSpan w:val="2"/>
            <w:vAlign w:val="center"/>
          </w:tcPr>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企业应对装置正常运行过程中的各项工艺参数进行严格控制，安全工艺参数至少满足：</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1</w:t>
            </w:r>
            <w:r w:rsidRPr="00687B52">
              <w:rPr>
                <w:rFonts w:hAnsi="Times New Roman"/>
                <w:color w:val="000000" w:themeColor="text1"/>
              </w:rPr>
              <w:t>）尿素合成塔出口物料含镍量</w:t>
            </w:r>
            <w:r w:rsidRPr="00687B52">
              <w:rPr>
                <w:rFonts w:hAnsi="Times New Roman"/>
                <w:color w:val="000000" w:themeColor="text1"/>
              </w:rPr>
              <w:t>≤0.2 ppm</w:t>
            </w:r>
            <w:r w:rsidRPr="00687B52">
              <w:rPr>
                <w:rFonts w:hAnsi="Times New Roman"/>
                <w:color w:val="000000" w:themeColor="text1"/>
              </w:rPr>
              <w:t>；</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2</w:t>
            </w:r>
            <w:r w:rsidRPr="00687B52">
              <w:rPr>
                <w:rFonts w:hAnsi="Times New Roman"/>
                <w:color w:val="000000" w:themeColor="text1"/>
              </w:rPr>
              <w:t>）入尿素塔二氧化碳气体中氧含量：</w:t>
            </w:r>
            <w:r w:rsidRPr="00687B52">
              <w:rPr>
                <w:rFonts w:hAnsi="Times New Roman"/>
                <w:color w:val="000000" w:themeColor="text1"/>
              </w:rPr>
              <w:t>0.004</w:t>
            </w:r>
            <w:r w:rsidRPr="00687B52">
              <w:rPr>
                <w:rFonts w:hAnsi="Times New Roman"/>
                <w:color w:val="000000" w:themeColor="text1"/>
              </w:rPr>
              <w:t>～</w:t>
            </w:r>
            <w:r w:rsidRPr="00687B52">
              <w:rPr>
                <w:rFonts w:hAnsi="Times New Roman"/>
                <w:color w:val="000000" w:themeColor="text1"/>
              </w:rPr>
              <w:t>0.006(</w:t>
            </w:r>
            <w:r w:rsidRPr="00687B52">
              <w:rPr>
                <w:rFonts w:hAnsi="Times New Roman"/>
                <w:color w:val="000000" w:themeColor="text1"/>
              </w:rPr>
              <w:t>体积分数</w:t>
            </w:r>
            <w:r w:rsidRPr="00687B52">
              <w:rPr>
                <w:rFonts w:hAnsi="Times New Roman"/>
                <w:color w:val="000000" w:themeColor="text1"/>
              </w:rPr>
              <w:t>)</w:t>
            </w:r>
            <w:r w:rsidRPr="00687B52">
              <w:rPr>
                <w:rFonts w:hAnsi="Times New Roman"/>
                <w:color w:val="000000" w:themeColor="text1"/>
              </w:rPr>
              <w:t>；</w:t>
            </w:r>
          </w:p>
          <w:p w:rsidR="000C2455" w:rsidRPr="00687B52" w:rsidRDefault="000C2455" w:rsidP="003E1D2A">
            <w:pPr>
              <w:pStyle w:val="a7"/>
              <w:jc w:val="left"/>
              <w:rPr>
                <w:rFonts w:hAnsi="Times New Roman"/>
                <w:color w:val="000000" w:themeColor="text1"/>
              </w:rPr>
            </w:pPr>
            <w:r w:rsidRPr="00687B52">
              <w:rPr>
                <w:rFonts w:hAnsi="Times New Roman"/>
                <w:color w:val="000000" w:themeColor="text1"/>
              </w:rPr>
              <w:t>3</w:t>
            </w:r>
            <w:r w:rsidRPr="00687B52">
              <w:rPr>
                <w:rFonts w:hAnsi="Times New Roman"/>
                <w:color w:val="000000" w:themeColor="text1"/>
              </w:rPr>
              <w:t>）液氨贮槽充装量禁止超过贮槽容积的</w:t>
            </w:r>
            <w:r w:rsidRPr="00687B52">
              <w:rPr>
                <w:rFonts w:hAnsi="Times New Roman"/>
                <w:color w:val="000000" w:themeColor="text1"/>
              </w:rPr>
              <w:t>85</w:t>
            </w:r>
            <w:r w:rsidRPr="00687B52">
              <w:rPr>
                <w:rFonts w:hAnsi="Times New Roman"/>
                <w:color w:val="000000" w:themeColor="text1"/>
              </w:rPr>
              <w:t>％，粗甲醇贮槽最大充装量不得超过</w:t>
            </w:r>
            <w:r w:rsidRPr="00687B52">
              <w:rPr>
                <w:rFonts w:hAnsi="Times New Roman"/>
                <w:color w:val="000000" w:themeColor="text1"/>
              </w:rPr>
              <w:t>90</w:t>
            </w:r>
            <w:r w:rsidRPr="00687B52">
              <w:rPr>
                <w:rFonts w:hAnsi="Times New Roman"/>
                <w:color w:val="000000" w:themeColor="text1"/>
              </w:rPr>
              <w:t>％。</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《合成氨生产企业安全标准化实施指南》</w:t>
            </w:r>
          </w:p>
          <w:p w:rsidR="000C2455" w:rsidRPr="00687B52" w:rsidRDefault="000C2455" w:rsidP="003E1D2A">
            <w:pPr>
              <w:pStyle w:val="a7"/>
              <w:rPr>
                <w:rFonts w:hAnsi="Times New Roman"/>
                <w:color w:val="000000" w:themeColor="text1"/>
              </w:rPr>
            </w:pPr>
            <w:r w:rsidRPr="00687B52">
              <w:rPr>
                <w:rFonts w:hAnsi="Times New Roman"/>
                <w:color w:val="000000" w:themeColor="text1"/>
              </w:rPr>
              <w:t>AQ/T3017-2008</w:t>
            </w:r>
          </w:p>
          <w:p w:rsidR="000C2455" w:rsidRPr="00687B52" w:rsidRDefault="000C2455" w:rsidP="003E1D2A">
            <w:pPr>
              <w:pStyle w:val="a7"/>
              <w:rPr>
                <w:rFonts w:hAnsi="Times New Roman"/>
                <w:color w:val="000000" w:themeColor="text1"/>
              </w:rPr>
            </w:pPr>
            <w:r w:rsidRPr="00687B52">
              <w:rPr>
                <w:rFonts w:hAnsi="Times New Roman"/>
                <w:color w:val="000000" w:themeColor="text1"/>
              </w:rPr>
              <w:t>5.5.4.3</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10.</w:t>
            </w:r>
            <w:r w:rsidRPr="00687B52">
              <w:rPr>
                <w:rFonts w:hAnsi="Times New Roman" w:hint="eastAsia"/>
                <w:color w:val="000000" w:themeColor="text1"/>
                <w:szCs w:val="24"/>
              </w:rPr>
              <w:t>4</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Cs w:val="21"/>
              </w:rPr>
            </w:pPr>
            <w:r w:rsidRPr="00687B52">
              <w:rPr>
                <w:rFonts w:ascii="Times New Roman" w:hAnsi="Times New Roman"/>
                <w:color w:val="000000" w:themeColor="text1"/>
                <w:kern w:val="0"/>
                <w:sz w:val="24"/>
                <w:szCs w:val="21"/>
              </w:rPr>
              <w:t>要控制合成塔进口压差，一般不超过</w:t>
            </w:r>
            <w:r w:rsidRPr="00687B52">
              <w:rPr>
                <w:rFonts w:ascii="Times New Roman" w:hAnsi="Times New Roman"/>
                <w:color w:val="000000" w:themeColor="text1"/>
                <w:kern w:val="0"/>
                <w:sz w:val="24"/>
                <w:szCs w:val="21"/>
              </w:rPr>
              <w:t>0.8MPa</w:t>
            </w:r>
            <w:r w:rsidRPr="00687B52">
              <w:rPr>
                <w:rFonts w:ascii="Times New Roman" w:hAnsi="Times New Roman"/>
                <w:color w:val="000000" w:themeColor="text1"/>
                <w:kern w:val="0"/>
                <w:sz w:val="24"/>
                <w:szCs w:val="21"/>
              </w:rPr>
              <w:t>，最大不超过</w:t>
            </w:r>
            <w:r w:rsidRPr="00687B52">
              <w:rPr>
                <w:rFonts w:ascii="Times New Roman" w:hAnsi="Times New Roman"/>
                <w:color w:val="000000" w:themeColor="text1"/>
                <w:kern w:val="0"/>
                <w:sz w:val="24"/>
                <w:szCs w:val="21"/>
              </w:rPr>
              <w:t>1.0MPa</w:t>
            </w:r>
            <w:r w:rsidRPr="00687B52">
              <w:rPr>
                <w:rFonts w:ascii="Times New Roman" w:hAnsi="Times New Roman"/>
                <w:color w:val="000000" w:themeColor="text1"/>
                <w:kern w:val="0"/>
                <w:sz w:val="24"/>
                <w:szCs w:val="21"/>
              </w:rPr>
              <w:t>，超过上述规定，必须及时处理，以防内件受损。</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3.9</w:t>
            </w:r>
            <w:r w:rsidRPr="00687B52">
              <w:rPr>
                <w:rFonts w:hAnsi="Times New Roman"/>
                <w:color w:val="000000" w:themeColor="text1"/>
                <w:kern w:val="0"/>
              </w:rPr>
              <w:t>合成冷冻</w:t>
            </w:r>
            <w:r w:rsidRPr="00687B52">
              <w:rPr>
                <w:rFonts w:hAnsi="Times New Roman"/>
                <w:color w:val="000000" w:themeColor="text1"/>
                <w:kern w:val="0"/>
              </w:rPr>
              <w:t>3.9.14</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10</w:t>
            </w:r>
            <w:r w:rsidRPr="00687B52">
              <w:rPr>
                <w:rFonts w:hAnsi="Times New Roman" w:hint="eastAsia"/>
                <w:color w:val="000000" w:themeColor="text1"/>
                <w:szCs w:val="24"/>
              </w:rPr>
              <w:t>.5</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Cs w:val="21"/>
              </w:rPr>
            </w:pPr>
            <w:r w:rsidRPr="00687B52">
              <w:rPr>
                <w:rFonts w:ascii="Times New Roman" w:hAnsi="Times New Roman"/>
                <w:color w:val="000000" w:themeColor="text1"/>
                <w:kern w:val="0"/>
                <w:sz w:val="24"/>
                <w:szCs w:val="21"/>
              </w:rPr>
              <w:t>氨冷器、气氨总管、循环机出口、液氨贮槽等部位，必须安装安全阀，并定期校验，确保准确灵敏。安全阀出口处加导气管，严禁导气管出口放入室内。</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3.9</w:t>
            </w:r>
            <w:r w:rsidRPr="00687B52">
              <w:rPr>
                <w:rFonts w:hAnsi="Times New Roman"/>
                <w:color w:val="000000" w:themeColor="text1"/>
                <w:kern w:val="0"/>
              </w:rPr>
              <w:t>合成冷冻</w:t>
            </w:r>
            <w:r w:rsidRPr="00687B52">
              <w:rPr>
                <w:rFonts w:hAnsi="Times New Roman"/>
                <w:color w:val="000000" w:themeColor="text1"/>
                <w:kern w:val="0"/>
              </w:rPr>
              <w:t>3.9.17</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lastRenderedPageBreak/>
              <w:t>10.</w:t>
            </w:r>
            <w:r w:rsidRPr="00687B52">
              <w:rPr>
                <w:rFonts w:hAnsi="Times New Roman" w:hint="eastAsia"/>
                <w:color w:val="000000" w:themeColor="text1"/>
                <w:szCs w:val="24"/>
              </w:rPr>
              <w:t>6</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Cs w:val="21"/>
              </w:rPr>
            </w:pPr>
            <w:r w:rsidRPr="00687B52">
              <w:rPr>
                <w:rFonts w:ascii="Times New Roman" w:hAnsi="Times New Roman"/>
                <w:color w:val="000000" w:themeColor="text1"/>
                <w:kern w:val="0"/>
                <w:sz w:val="24"/>
                <w:szCs w:val="21"/>
              </w:rPr>
              <w:t>要严格控制液氨贮槽压力在规定指标范围内。液氨贮槽倒槽操作，必须严格遵守操作程序，防止爆炸事故发生。</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3.9</w:t>
            </w:r>
            <w:r w:rsidRPr="00687B52">
              <w:rPr>
                <w:rFonts w:hAnsi="Times New Roman"/>
                <w:color w:val="000000" w:themeColor="text1"/>
                <w:kern w:val="0"/>
              </w:rPr>
              <w:t>合成冷冻</w:t>
            </w:r>
            <w:r w:rsidRPr="00687B52">
              <w:rPr>
                <w:rFonts w:hAnsi="Times New Roman"/>
                <w:color w:val="000000" w:themeColor="text1"/>
                <w:kern w:val="0"/>
              </w:rPr>
              <w:t>3.9.18</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10.</w:t>
            </w:r>
            <w:r w:rsidRPr="00687B52">
              <w:rPr>
                <w:rFonts w:hAnsi="Times New Roman" w:hint="eastAsia"/>
                <w:color w:val="000000" w:themeColor="text1"/>
                <w:szCs w:val="24"/>
              </w:rPr>
              <w:t>7</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液氨贮槽区应设置遮阳棚、喷淋水、排水等设施。要有防止发生液氨大量泄漏事故的预防措施。</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3.9</w:t>
            </w:r>
            <w:r w:rsidRPr="00687B52">
              <w:rPr>
                <w:rFonts w:hAnsi="Times New Roman"/>
                <w:color w:val="000000" w:themeColor="text1"/>
                <w:kern w:val="0"/>
              </w:rPr>
              <w:t>合成冷冻</w:t>
            </w:r>
            <w:r w:rsidRPr="00687B52">
              <w:rPr>
                <w:rFonts w:hAnsi="Times New Roman"/>
                <w:color w:val="000000" w:themeColor="text1"/>
                <w:kern w:val="0"/>
              </w:rPr>
              <w:t>3.9.19</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10.</w:t>
            </w:r>
            <w:r w:rsidRPr="00687B52">
              <w:rPr>
                <w:rFonts w:hAnsi="Times New Roman" w:hint="eastAsia"/>
                <w:color w:val="000000" w:themeColor="text1"/>
                <w:szCs w:val="24"/>
              </w:rPr>
              <w:t>8</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Cs w:val="21"/>
              </w:rPr>
            </w:pPr>
            <w:r w:rsidRPr="00687B52">
              <w:rPr>
                <w:rFonts w:ascii="Times New Roman" w:hAnsi="Times New Roman"/>
                <w:color w:val="000000" w:themeColor="text1"/>
                <w:kern w:val="0"/>
                <w:sz w:val="24"/>
                <w:szCs w:val="21"/>
              </w:rPr>
              <w:t>液氨贮槽充装量不得超过贮槽容积的</w:t>
            </w:r>
            <w:r w:rsidRPr="00687B52">
              <w:rPr>
                <w:rFonts w:ascii="Times New Roman" w:hAnsi="Times New Roman"/>
                <w:color w:val="000000" w:themeColor="text1"/>
                <w:kern w:val="0"/>
                <w:sz w:val="24"/>
                <w:szCs w:val="21"/>
              </w:rPr>
              <w:t>85</w:t>
            </w:r>
            <w:r w:rsidRPr="00687B52">
              <w:rPr>
                <w:rFonts w:ascii="Times New Roman" w:hAnsi="Times New Roman"/>
                <w:color w:val="000000" w:themeColor="text1"/>
                <w:kern w:val="0"/>
                <w:sz w:val="24"/>
                <w:szCs w:val="21"/>
              </w:rPr>
              <w:t>％。</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3.9</w:t>
            </w:r>
            <w:r w:rsidRPr="00687B52">
              <w:rPr>
                <w:rFonts w:hAnsi="Times New Roman"/>
                <w:color w:val="000000" w:themeColor="text1"/>
                <w:kern w:val="0"/>
              </w:rPr>
              <w:t>合成冷冻</w:t>
            </w:r>
            <w:r w:rsidRPr="00687B52">
              <w:rPr>
                <w:rFonts w:hAnsi="Times New Roman"/>
                <w:color w:val="000000" w:themeColor="text1"/>
                <w:kern w:val="0"/>
              </w:rPr>
              <w:t>3.9.20</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10.</w:t>
            </w:r>
            <w:r w:rsidRPr="00687B52">
              <w:rPr>
                <w:rFonts w:hAnsi="Times New Roman" w:hint="eastAsia"/>
                <w:color w:val="000000" w:themeColor="text1"/>
                <w:szCs w:val="24"/>
              </w:rPr>
              <w:t>9</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冰机进出口必须设置液氨分离器，必须注意冰机进出口温度、有否结霜，防止液氨带入冰机，发生液击事故。</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3.9</w:t>
            </w:r>
            <w:r w:rsidRPr="00687B52">
              <w:rPr>
                <w:rFonts w:hAnsi="Times New Roman"/>
                <w:color w:val="000000" w:themeColor="text1"/>
                <w:kern w:val="0"/>
              </w:rPr>
              <w:t>合成冷冻</w:t>
            </w:r>
            <w:r w:rsidRPr="00687B52">
              <w:rPr>
                <w:rFonts w:hAnsi="Times New Roman"/>
                <w:color w:val="000000" w:themeColor="text1"/>
                <w:kern w:val="0"/>
              </w:rPr>
              <w:t>3.9.21</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11</w:t>
            </w:r>
          </w:p>
        </w:tc>
        <w:tc>
          <w:tcPr>
            <w:tcW w:w="4663" w:type="pct"/>
            <w:gridSpan w:val="4"/>
            <w:vAlign w:val="center"/>
          </w:tcPr>
          <w:p w:rsidR="000C2455" w:rsidRPr="00687B52" w:rsidRDefault="000C2455" w:rsidP="003E1D2A">
            <w:pPr>
              <w:pStyle w:val="a7"/>
              <w:jc w:val="both"/>
              <w:rPr>
                <w:rFonts w:hAnsi="Times New Roman"/>
                <w:color w:val="000000" w:themeColor="text1"/>
                <w:szCs w:val="24"/>
              </w:rPr>
            </w:pPr>
            <w:r w:rsidRPr="00687B52">
              <w:rPr>
                <w:rFonts w:hAnsi="Times New Roman"/>
                <w:b/>
                <w:color w:val="000000" w:themeColor="text1"/>
                <w:szCs w:val="24"/>
              </w:rPr>
              <w:t>工艺及设备设施</w:t>
            </w:r>
            <w:r w:rsidRPr="00687B52">
              <w:rPr>
                <w:rFonts w:hAnsi="Times New Roman"/>
                <w:b/>
                <w:color w:val="000000" w:themeColor="text1"/>
                <w:szCs w:val="24"/>
              </w:rPr>
              <w:t>-</w:t>
            </w:r>
            <w:r w:rsidRPr="00687B52">
              <w:rPr>
                <w:rFonts w:hAnsi="Times New Roman"/>
                <w:b/>
                <w:color w:val="000000" w:themeColor="text1"/>
                <w:szCs w:val="24"/>
              </w:rPr>
              <w:t>液氨贮运、灌装</w:t>
            </w: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11.1</w:t>
            </w:r>
          </w:p>
        </w:tc>
        <w:tc>
          <w:tcPr>
            <w:tcW w:w="2272" w:type="pct"/>
            <w:gridSpan w:val="2"/>
            <w:vAlign w:val="center"/>
          </w:tcPr>
          <w:p w:rsidR="000C2455" w:rsidRPr="00687B52" w:rsidRDefault="000C2455" w:rsidP="003E1D2A">
            <w:pPr>
              <w:spacing w:line="320" w:lineRule="exact"/>
              <w:rPr>
                <w:rFonts w:ascii="Times New Roman" w:hAnsi="Times New Roman"/>
                <w:color w:val="000000" w:themeColor="text1"/>
                <w:sz w:val="24"/>
                <w:szCs w:val="21"/>
              </w:rPr>
            </w:pPr>
            <w:r w:rsidRPr="00687B52">
              <w:rPr>
                <w:rFonts w:ascii="Times New Roman" w:hAnsi="Times New Roman"/>
                <w:color w:val="000000" w:themeColor="text1"/>
                <w:sz w:val="24"/>
                <w:szCs w:val="21"/>
              </w:rPr>
              <w:t>企业液氨充装、储存过程安全管理应符合下列要求：</w:t>
            </w:r>
          </w:p>
          <w:p w:rsidR="000C2455" w:rsidRPr="00687B52" w:rsidRDefault="000C2455" w:rsidP="003E1D2A">
            <w:pPr>
              <w:spacing w:line="320" w:lineRule="exact"/>
              <w:rPr>
                <w:rFonts w:ascii="Times New Roman" w:hAnsi="Times New Roman"/>
                <w:color w:val="000000" w:themeColor="text1"/>
                <w:sz w:val="24"/>
                <w:szCs w:val="21"/>
              </w:rPr>
            </w:pPr>
            <w:r w:rsidRPr="00687B52">
              <w:rPr>
                <w:rFonts w:ascii="Times New Roman" w:hAnsi="Times New Roman"/>
                <w:color w:val="000000" w:themeColor="text1"/>
                <w:sz w:val="24"/>
                <w:szCs w:val="21"/>
              </w:rPr>
              <w:t xml:space="preserve">1)  </w:t>
            </w:r>
            <w:r w:rsidRPr="00687B52">
              <w:rPr>
                <w:rFonts w:ascii="Times New Roman" w:hAnsi="Times New Roman"/>
                <w:color w:val="000000" w:themeColor="text1"/>
                <w:sz w:val="24"/>
                <w:szCs w:val="21"/>
              </w:rPr>
              <w:t>应使用鹤管进行液氨充装；</w:t>
            </w:r>
          </w:p>
          <w:p w:rsidR="000C2455" w:rsidRPr="00687B52" w:rsidRDefault="000C2455" w:rsidP="003E1D2A">
            <w:pPr>
              <w:spacing w:line="320" w:lineRule="exact"/>
              <w:rPr>
                <w:rFonts w:ascii="Times New Roman" w:hAnsi="Times New Roman"/>
                <w:color w:val="000000" w:themeColor="text1"/>
                <w:sz w:val="24"/>
                <w:szCs w:val="21"/>
              </w:rPr>
            </w:pPr>
            <w:r w:rsidRPr="00687B52">
              <w:rPr>
                <w:rFonts w:ascii="Times New Roman" w:hAnsi="Times New Roman"/>
                <w:color w:val="000000" w:themeColor="text1"/>
                <w:sz w:val="24"/>
                <w:szCs w:val="21"/>
              </w:rPr>
              <w:t xml:space="preserve">2)  </w:t>
            </w:r>
            <w:r w:rsidRPr="00687B52">
              <w:rPr>
                <w:rFonts w:ascii="Times New Roman" w:hAnsi="Times New Roman"/>
                <w:color w:val="000000" w:themeColor="text1"/>
                <w:sz w:val="24"/>
                <w:szCs w:val="21"/>
              </w:rPr>
              <w:t>有防止汽车罐车充装过程中车辆发生滑动的有效措施；灌装人员负责将车辆的钥匙拔下，并保管至灌装结束，操作人员、司机、押运员不得离开现场；</w:t>
            </w:r>
          </w:p>
          <w:p w:rsidR="000C2455" w:rsidRPr="00687B52" w:rsidRDefault="000C2455" w:rsidP="003E1D2A">
            <w:pPr>
              <w:spacing w:line="320" w:lineRule="exact"/>
              <w:rPr>
                <w:rFonts w:ascii="Times New Roman" w:hAnsi="Times New Roman"/>
                <w:color w:val="000000" w:themeColor="text1"/>
                <w:sz w:val="24"/>
                <w:szCs w:val="21"/>
              </w:rPr>
            </w:pPr>
            <w:r w:rsidRPr="00687B52">
              <w:rPr>
                <w:rFonts w:ascii="Times New Roman" w:hAnsi="Times New Roman"/>
                <w:color w:val="000000" w:themeColor="text1"/>
                <w:sz w:val="24"/>
                <w:szCs w:val="21"/>
              </w:rPr>
              <w:t xml:space="preserve">3)  </w:t>
            </w:r>
            <w:r w:rsidRPr="00687B52">
              <w:rPr>
                <w:rFonts w:ascii="Times New Roman" w:hAnsi="Times New Roman"/>
                <w:color w:val="000000" w:themeColor="text1"/>
                <w:sz w:val="24"/>
                <w:szCs w:val="21"/>
              </w:rPr>
              <w:t>罐车静电接地报警装置完好；</w:t>
            </w:r>
          </w:p>
          <w:p w:rsidR="000C2455" w:rsidRPr="00687B52" w:rsidRDefault="000C2455" w:rsidP="003E1D2A">
            <w:pPr>
              <w:spacing w:line="320" w:lineRule="exact"/>
              <w:rPr>
                <w:rFonts w:ascii="Times New Roman" w:hAnsi="Times New Roman"/>
                <w:color w:val="000000" w:themeColor="text1"/>
                <w:sz w:val="24"/>
                <w:szCs w:val="21"/>
              </w:rPr>
            </w:pPr>
            <w:r w:rsidRPr="00687B52">
              <w:rPr>
                <w:rFonts w:ascii="Times New Roman" w:hAnsi="Times New Roman"/>
                <w:color w:val="000000" w:themeColor="text1"/>
                <w:sz w:val="24"/>
                <w:szCs w:val="21"/>
              </w:rPr>
              <w:t xml:space="preserve">4)  </w:t>
            </w:r>
            <w:r w:rsidRPr="00687B52">
              <w:rPr>
                <w:rFonts w:ascii="Times New Roman" w:hAnsi="Times New Roman"/>
                <w:color w:val="000000" w:themeColor="text1"/>
                <w:sz w:val="24"/>
                <w:szCs w:val="21"/>
              </w:rPr>
              <w:t>装卸现场、罐车附近严禁烟火，不得使用易产生火花的工具和物品，严禁将罐车作为储罐、气化器使用；</w:t>
            </w:r>
          </w:p>
          <w:p w:rsidR="000C2455" w:rsidRPr="00687B52" w:rsidRDefault="000C2455" w:rsidP="003E1D2A">
            <w:pPr>
              <w:spacing w:line="320" w:lineRule="exact"/>
              <w:rPr>
                <w:rFonts w:ascii="Times New Roman" w:hAnsi="Times New Roman"/>
                <w:color w:val="000000" w:themeColor="text1"/>
                <w:sz w:val="24"/>
                <w:szCs w:val="21"/>
              </w:rPr>
            </w:pPr>
            <w:r w:rsidRPr="00687B52">
              <w:rPr>
                <w:rFonts w:ascii="Times New Roman" w:hAnsi="Times New Roman"/>
                <w:color w:val="000000" w:themeColor="text1"/>
                <w:sz w:val="24"/>
                <w:szCs w:val="21"/>
              </w:rPr>
              <w:t xml:space="preserve">5)  </w:t>
            </w:r>
            <w:r w:rsidRPr="00687B52">
              <w:rPr>
                <w:rFonts w:ascii="Times New Roman" w:hAnsi="Times New Roman"/>
                <w:color w:val="000000" w:themeColor="text1"/>
                <w:sz w:val="24"/>
                <w:szCs w:val="21"/>
              </w:rPr>
              <w:t>严禁用蒸汽或其他方法加热储罐和罐车罐体；</w:t>
            </w:r>
          </w:p>
          <w:p w:rsidR="000C2455" w:rsidRPr="00687B52" w:rsidRDefault="000C2455" w:rsidP="003E1D2A">
            <w:pPr>
              <w:spacing w:line="320" w:lineRule="exact"/>
              <w:rPr>
                <w:rFonts w:ascii="Times New Roman" w:hAnsi="Times New Roman"/>
                <w:color w:val="000000" w:themeColor="text1"/>
                <w:sz w:val="24"/>
                <w:szCs w:val="21"/>
              </w:rPr>
            </w:pPr>
            <w:r w:rsidRPr="00687B52">
              <w:rPr>
                <w:rFonts w:ascii="Times New Roman" w:hAnsi="Times New Roman"/>
                <w:color w:val="000000" w:themeColor="text1"/>
                <w:sz w:val="24"/>
                <w:szCs w:val="21"/>
              </w:rPr>
              <w:t xml:space="preserve">6)  </w:t>
            </w:r>
            <w:r w:rsidRPr="00687B52">
              <w:rPr>
                <w:rFonts w:ascii="Times New Roman" w:hAnsi="Times New Roman"/>
                <w:color w:val="000000" w:themeColor="text1"/>
                <w:sz w:val="24"/>
                <w:szCs w:val="21"/>
              </w:rPr>
              <w:t>充装、储存液氨的场所，应配备必要的抢修器材、防护器具和消防器材；</w:t>
            </w:r>
          </w:p>
          <w:p w:rsidR="000C2455" w:rsidRPr="00687B52" w:rsidRDefault="000C2455" w:rsidP="003E1D2A">
            <w:pPr>
              <w:spacing w:line="320" w:lineRule="exact"/>
              <w:rPr>
                <w:rFonts w:ascii="Times New Roman" w:hAnsi="Times New Roman"/>
                <w:color w:val="000000" w:themeColor="text1"/>
                <w:sz w:val="24"/>
                <w:szCs w:val="21"/>
              </w:rPr>
            </w:pPr>
            <w:r w:rsidRPr="00687B52">
              <w:rPr>
                <w:rFonts w:ascii="Times New Roman" w:hAnsi="Times New Roman"/>
                <w:color w:val="000000" w:themeColor="text1"/>
                <w:sz w:val="24"/>
                <w:szCs w:val="21"/>
              </w:rPr>
              <w:t xml:space="preserve">7)  </w:t>
            </w:r>
            <w:r w:rsidRPr="00687B52">
              <w:rPr>
                <w:rFonts w:ascii="Times New Roman" w:hAnsi="Times New Roman"/>
                <w:color w:val="000000" w:themeColor="text1"/>
                <w:sz w:val="24"/>
                <w:szCs w:val="21"/>
              </w:rPr>
              <w:t>充装前应检查驾驶证、罐体检验证、汽车罐车使用证、押运员证、准运证是否齐全有效；充装车辆应配置灭火器、阻火器、气液相管封帽；</w:t>
            </w:r>
          </w:p>
          <w:p w:rsidR="000C2455" w:rsidRPr="00687B52" w:rsidRDefault="000C2455" w:rsidP="003E1D2A">
            <w:pPr>
              <w:spacing w:line="320" w:lineRule="exact"/>
              <w:rPr>
                <w:rFonts w:ascii="Times New Roman" w:hAnsi="Times New Roman"/>
                <w:color w:val="000000" w:themeColor="text1"/>
                <w:sz w:val="24"/>
                <w:szCs w:val="21"/>
              </w:rPr>
            </w:pPr>
            <w:r w:rsidRPr="00687B52">
              <w:rPr>
                <w:rFonts w:ascii="Times New Roman" w:hAnsi="Times New Roman"/>
                <w:color w:val="000000" w:themeColor="text1"/>
                <w:sz w:val="24"/>
                <w:szCs w:val="21"/>
              </w:rPr>
              <w:t xml:space="preserve">8)  </w:t>
            </w:r>
            <w:r w:rsidRPr="00687B52">
              <w:rPr>
                <w:rFonts w:ascii="Times New Roman" w:hAnsi="Times New Roman"/>
                <w:color w:val="000000" w:themeColor="text1"/>
                <w:sz w:val="24"/>
                <w:szCs w:val="21"/>
              </w:rPr>
              <w:t>罐车在充装前应保证正压，须保持</w:t>
            </w:r>
            <w:r w:rsidRPr="00687B52">
              <w:rPr>
                <w:rFonts w:ascii="Times New Roman" w:hAnsi="Times New Roman"/>
                <w:color w:val="000000" w:themeColor="text1"/>
                <w:sz w:val="24"/>
                <w:szCs w:val="21"/>
              </w:rPr>
              <w:t>0.05 MPa</w:t>
            </w:r>
            <w:r w:rsidRPr="00687B52">
              <w:rPr>
                <w:rFonts w:ascii="Times New Roman" w:hAnsi="Times New Roman"/>
                <w:color w:val="000000" w:themeColor="text1"/>
                <w:sz w:val="24"/>
                <w:szCs w:val="21"/>
              </w:rPr>
              <w:t>以上的</w:t>
            </w:r>
            <w:r w:rsidRPr="00687B52">
              <w:rPr>
                <w:rFonts w:ascii="Times New Roman" w:hAnsi="Times New Roman"/>
                <w:color w:val="000000" w:themeColor="text1"/>
                <w:sz w:val="24"/>
                <w:szCs w:val="21"/>
              </w:rPr>
              <w:lastRenderedPageBreak/>
              <w:t>余压，防止罐车内进入空气；</w:t>
            </w:r>
          </w:p>
          <w:p w:rsidR="000C2455" w:rsidRPr="00687B52" w:rsidRDefault="000C2455" w:rsidP="003E1D2A">
            <w:pPr>
              <w:spacing w:line="320" w:lineRule="exact"/>
              <w:rPr>
                <w:rFonts w:ascii="Times New Roman" w:hAnsi="Times New Roman"/>
                <w:color w:val="000000" w:themeColor="text1"/>
                <w:sz w:val="24"/>
                <w:szCs w:val="21"/>
              </w:rPr>
            </w:pPr>
            <w:r w:rsidRPr="00687B52">
              <w:rPr>
                <w:rFonts w:ascii="Times New Roman" w:hAnsi="Times New Roman"/>
                <w:color w:val="000000" w:themeColor="text1"/>
                <w:sz w:val="24"/>
                <w:szCs w:val="21"/>
              </w:rPr>
              <w:t xml:space="preserve">9)  </w:t>
            </w:r>
            <w:r w:rsidRPr="00687B52">
              <w:rPr>
                <w:rFonts w:ascii="Times New Roman" w:hAnsi="Times New Roman"/>
                <w:color w:val="000000" w:themeColor="text1"/>
                <w:sz w:val="24"/>
                <w:szCs w:val="21"/>
              </w:rPr>
              <w:t>充装压力不超过</w:t>
            </w:r>
            <w:r w:rsidRPr="00687B52">
              <w:rPr>
                <w:rFonts w:ascii="Times New Roman" w:hAnsi="Times New Roman"/>
                <w:color w:val="000000" w:themeColor="text1"/>
                <w:sz w:val="24"/>
                <w:szCs w:val="21"/>
              </w:rPr>
              <w:t>1.6 MPa</w:t>
            </w:r>
            <w:r w:rsidRPr="00687B52">
              <w:rPr>
                <w:rFonts w:ascii="Times New Roman" w:hAnsi="Times New Roman"/>
                <w:color w:val="000000" w:themeColor="text1"/>
                <w:sz w:val="24"/>
                <w:szCs w:val="21"/>
              </w:rPr>
              <w:t>；</w:t>
            </w:r>
          </w:p>
          <w:p w:rsidR="000C2455" w:rsidRPr="00687B52" w:rsidRDefault="000C2455" w:rsidP="003E1D2A">
            <w:pPr>
              <w:spacing w:line="320" w:lineRule="exact"/>
              <w:rPr>
                <w:rFonts w:ascii="Times New Roman" w:hAnsi="Times New Roman"/>
                <w:color w:val="000000" w:themeColor="text1"/>
                <w:sz w:val="24"/>
                <w:szCs w:val="21"/>
              </w:rPr>
            </w:pPr>
            <w:r w:rsidRPr="00687B52">
              <w:rPr>
                <w:rFonts w:ascii="Times New Roman" w:hAnsi="Times New Roman"/>
                <w:color w:val="000000" w:themeColor="text1"/>
                <w:sz w:val="24"/>
                <w:szCs w:val="21"/>
              </w:rPr>
              <w:t xml:space="preserve">10)  </w:t>
            </w:r>
            <w:r w:rsidRPr="00687B52">
              <w:rPr>
                <w:rFonts w:ascii="Times New Roman" w:hAnsi="Times New Roman"/>
                <w:color w:val="000000" w:themeColor="text1"/>
                <w:sz w:val="24"/>
                <w:szCs w:val="21"/>
              </w:rPr>
              <w:t>罐车充装时，每次都要填写充装记录，内容包括：使用单位、充装日期、允许充装量、实际充装量、复称记录，并有充装者、复验者、押运员的签名；</w:t>
            </w:r>
          </w:p>
          <w:p w:rsidR="000C2455" w:rsidRPr="00687B52" w:rsidRDefault="000C2455" w:rsidP="003E1D2A">
            <w:pPr>
              <w:spacing w:line="320" w:lineRule="exact"/>
              <w:rPr>
                <w:rFonts w:ascii="Times New Roman" w:hAnsi="Times New Roman"/>
                <w:color w:val="000000" w:themeColor="text1"/>
                <w:sz w:val="24"/>
                <w:szCs w:val="21"/>
              </w:rPr>
            </w:pPr>
            <w:r w:rsidRPr="00687B52">
              <w:rPr>
                <w:rFonts w:ascii="Times New Roman" w:hAnsi="Times New Roman"/>
                <w:color w:val="000000" w:themeColor="text1"/>
                <w:sz w:val="24"/>
                <w:szCs w:val="21"/>
              </w:rPr>
              <w:t xml:space="preserve">11)  </w:t>
            </w:r>
            <w:r w:rsidRPr="00687B52">
              <w:rPr>
                <w:rFonts w:ascii="Times New Roman" w:hAnsi="Times New Roman"/>
                <w:color w:val="000000" w:themeColor="text1"/>
                <w:sz w:val="24"/>
                <w:szCs w:val="21"/>
              </w:rPr>
              <w:t>液氨充装现场应设置喷淋装置，安装在线计量装置，充装管前第一道阀处应设置为紧急切断阀。</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lastRenderedPageBreak/>
              <w:t>《合成氨生产企业安全标准化实施指南》</w:t>
            </w:r>
          </w:p>
          <w:p w:rsidR="000C2455" w:rsidRPr="00687B52" w:rsidRDefault="000C2455" w:rsidP="003E1D2A">
            <w:pPr>
              <w:pStyle w:val="a7"/>
              <w:rPr>
                <w:rFonts w:hAnsi="Times New Roman"/>
                <w:color w:val="000000" w:themeColor="text1"/>
              </w:rPr>
            </w:pPr>
            <w:r w:rsidRPr="00687B52">
              <w:rPr>
                <w:rFonts w:hAnsi="Times New Roman"/>
                <w:color w:val="000000" w:themeColor="text1"/>
              </w:rPr>
              <w:t>AQ/T3017-2008</w:t>
            </w:r>
          </w:p>
          <w:p w:rsidR="000C2455" w:rsidRPr="00687B52" w:rsidRDefault="000C2455" w:rsidP="003E1D2A">
            <w:pPr>
              <w:pStyle w:val="a7"/>
              <w:rPr>
                <w:rFonts w:hAnsi="Times New Roman"/>
                <w:color w:val="000000" w:themeColor="text1"/>
              </w:rPr>
            </w:pPr>
            <w:r w:rsidRPr="00687B52">
              <w:rPr>
                <w:rFonts w:hAnsi="Times New Roman"/>
                <w:color w:val="000000" w:themeColor="text1"/>
              </w:rPr>
              <w:t>5.5.4.6</w:t>
            </w:r>
          </w:p>
          <w:p w:rsidR="000C2455" w:rsidRPr="00687B52" w:rsidRDefault="000C2455" w:rsidP="003E1D2A">
            <w:pPr>
              <w:pStyle w:val="a7"/>
              <w:rPr>
                <w:rFonts w:hAnsi="Times New Roman"/>
                <w:color w:val="000000" w:themeColor="text1"/>
              </w:rPr>
            </w:pPr>
            <w:r w:rsidRPr="00687B52">
              <w:rPr>
                <w:rFonts w:hAnsi="Times New Roman"/>
                <w:color w:val="000000" w:themeColor="text1"/>
              </w:rPr>
              <w:t xml:space="preserve">a) </w:t>
            </w:r>
            <w:r w:rsidRPr="00687B52">
              <w:rPr>
                <w:rFonts w:hAnsi="Times New Roman"/>
                <w:color w:val="000000" w:themeColor="text1"/>
              </w:rPr>
              <w:t>汽车罐车充装</w:t>
            </w:r>
          </w:p>
          <w:p w:rsidR="000C2455" w:rsidRPr="00687B52" w:rsidRDefault="000C2455" w:rsidP="003E1D2A">
            <w:pPr>
              <w:pStyle w:val="a7"/>
              <w:rPr>
                <w:rFonts w:hAnsi="Times New Roman"/>
                <w:color w:val="000000" w:themeColor="text1"/>
              </w:rPr>
            </w:pPr>
          </w:p>
          <w:p w:rsidR="000C2455" w:rsidRPr="00687B52" w:rsidRDefault="000C2455" w:rsidP="003E1D2A">
            <w:pPr>
              <w:pStyle w:val="a7"/>
              <w:jc w:val="both"/>
              <w:rPr>
                <w:rFonts w:hAnsi="Times New Roman"/>
                <w:color w:val="000000" w:themeColor="text1"/>
              </w:rPr>
            </w:pP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lastRenderedPageBreak/>
              <w:t>11.2</w:t>
            </w:r>
          </w:p>
        </w:tc>
        <w:tc>
          <w:tcPr>
            <w:tcW w:w="2272" w:type="pct"/>
            <w:gridSpan w:val="2"/>
            <w:vAlign w:val="center"/>
          </w:tcPr>
          <w:p w:rsidR="000C2455" w:rsidRPr="00687B52" w:rsidRDefault="000C2455" w:rsidP="003E1D2A">
            <w:pPr>
              <w:spacing w:line="320" w:lineRule="exact"/>
              <w:rPr>
                <w:rFonts w:ascii="Times New Roman" w:hAnsi="Times New Roman"/>
                <w:color w:val="000000" w:themeColor="text1"/>
                <w:sz w:val="24"/>
                <w:szCs w:val="21"/>
              </w:rPr>
            </w:pPr>
            <w:r w:rsidRPr="00687B52">
              <w:rPr>
                <w:rFonts w:ascii="Times New Roman" w:hAnsi="Times New Roman"/>
                <w:color w:val="000000" w:themeColor="text1"/>
                <w:sz w:val="24"/>
                <w:szCs w:val="21"/>
              </w:rPr>
              <w:t xml:space="preserve">1)  </w:t>
            </w:r>
            <w:r w:rsidRPr="00687B52">
              <w:rPr>
                <w:rFonts w:ascii="Times New Roman" w:hAnsi="Times New Roman"/>
                <w:color w:val="000000" w:themeColor="text1"/>
                <w:sz w:val="24"/>
                <w:szCs w:val="21"/>
              </w:rPr>
              <w:t>充装前，必须对钢瓶逐只进行严格的检查，检查合格后方可充装；</w:t>
            </w:r>
          </w:p>
          <w:p w:rsidR="000C2455" w:rsidRPr="00687B52" w:rsidRDefault="000C2455" w:rsidP="003E1D2A">
            <w:pPr>
              <w:spacing w:line="320" w:lineRule="exact"/>
              <w:rPr>
                <w:rFonts w:ascii="Times New Roman" w:hAnsi="Times New Roman"/>
                <w:color w:val="000000" w:themeColor="text1"/>
                <w:sz w:val="24"/>
                <w:szCs w:val="21"/>
              </w:rPr>
            </w:pPr>
            <w:r w:rsidRPr="00687B52">
              <w:rPr>
                <w:rFonts w:ascii="Times New Roman" w:hAnsi="Times New Roman"/>
                <w:color w:val="000000" w:themeColor="text1"/>
                <w:sz w:val="24"/>
                <w:szCs w:val="21"/>
              </w:rPr>
              <w:t xml:space="preserve">2)  </w:t>
            </w:r>
            <w:r w:rsidRPr="00687B52">
              <w:rPr>
                <w:rFonts w:ascii="Times New Roman" w:hAnsi="Times New Roman"/>
                <w:color w:val="000000" w:themeColor="text1"/>
                <w:sz w:val="24"/>
                <w:szCs w:val="21"/>
              </w:rPr>
              <w:t>使用钢瓶充装时，钢瓶瓶帽、防震圈应齐全，同时应设置电子衡器与充装阀报警联锁装置；</w:t>
            </w:r>
          </w:p>
          <w:p w:rsidR="000C2455" w:rsidRPr="00687B52" w:rsidRDefault="000C2455" w:rsidP="003E1D2A">
            <w:pPr>
              <w:spacing w:line="320" w:lineRule="exact"/>
              <w:rPr>
                <w:rFonts w:ascii="Times New Roman" w:hAnsi="Times New Roman"/>
                <w:color w:val="000000" w:themeColor="text1"/>
                <w:sz w:val="24"/>
                <w:szCs w:val="21"/>
              </w:rPr>
            </w:pPr>
            <w:r w:rsidRPr="00687B52">
              <w:rPr>
                <w:rFonts w:ascii="Times New Roman" w:hAnsi="Times New Roman"/>
                <w:color w:val="000000" w:themeColor="text1"/>
                <w:sz w:val="24"/>
                <w:szCs w:val="21"/>
              </w:rPr>
              <w:t xml:space="preserve">3)  </w:t>
            </w:r>
            <w:r w:rsidRPr="00687B52">
              <w:rPr>
                <w:rFonts w:ascii="Times New Roman" w:hAnsi="Times New Roman"/>
                <w:color w:val="000000" w:themeColor="text1"/>
                <w:sz w:val="24"/>
                <w:szCs w:val="21"/>
              </w:rPr>
              <w:t>应逐瓶称重，充装后必须认真复秤和填写充装复秤记录。严禁过量充装</w:t>
            </w:r>
            <w:r w:rsidRPr="00687B52">
              <w:rPr>
                <w:rFonts w:ascii="Times New Roman" w:hAnsi="Times New Roman"/>
                <w:color w:val="000000" w:themeColor="text1"/>
                <w:sz w:val="24"/>
                <w:szCs w:val="21"/>
              </w:rPr>
              <w:t>(</w:t>
            </w:r>
            <w:r w:rsidRPr="00687B52">
              <w:rPr>
                <w:rFonts w:ascii="Times New Roman" w:hAnsi="Times New Roman"/>
                <w:color w:val="000000" w:themeColor="text1"/>
                <w:sz w:val="24"/>
                <w:szCs w:val="21"/>
              </w:rPr>
              <w:t>充装量不得超过</w:t>
            </w:r>
            <w:r w:rsidRPr="00687B52">
              <w:rPr>
                <w:rFonts w:ascii="Times New Roman" w:hAnsi="Times New Roman"/>
                <w:color w:val="000000" w:themeColor="text1"/>
                <w:sz w:val="24"/>
                <w:szCs w:val="21"/>
              </w:rPr>
              <w:t>O.53 kg/L)</w:t>
            </w:r>
            <w:r w:rsidRPr="00687B52">
              <w:rPr>
                <w:rFonts w:ascii="Times New Roman" w:hAnsi="Times New Roman"/>
                <w:color w:val="000000" w:themeColor="text1"/>
                <w:sz w:val="24"/>
                <w:szCs w:val="21"/>
              </w:rPr>
              <w:t>，充装过量的钢瓶不准出厂。严禁用容积计量；</w:t>
            </w:r>
          </w:p>
          <w:p w:rsidR="000C2455" w:rsidRPr="00687B52" w:rsidRDefault="000C2455" w:rsidP="003E1D2A">
            <w:pPr>
              <w:spacing w:line="320" w:lineRule="exact"/>
              <w:rPr>
                <w:rFonts w:ascii="Times New Roman" w:hAnsi="Times New Roman"/>
                <w:color w:val="000000" w:themeColor="text1"/>
                <w:sz w:val="24"/>
                <w:szCs w:val="21"/>
              </w:rPr>
            </w:pPr>
            <w:r w:rsidRPr="00687B52">
              <w:rPr>
                <w:rFonts w:ascii="Times New Roman" w:hAnsi="Times New Roman"/>
                <w:color w:val="000000" w:themeColor="text1"/>
                <w:sz w:val="24"/>
                <w:szCs w:val="21"/>
              </w:rPr>
              <w:t xml:space="preserve">4)  </w:t>
            </w:r>
            <w:r w:rsidRPr="00687B52">
              <w:rPr>
                <w:rFonts w:ascii="Times New Roman" w:hAnsi="Times New Roman"/>
                <w:color w:val="000000" w:themeColor="text1"/>
                <w:sz w:val="24"/>
                <w:szCs w:val="21"/>
              </w:rPr>
              <w:t>称重衡器应保持准确，衡器的最大称量值应为称量的</w:t>
            </w:r>
            <w:r w:rsidRPr="00687B52">
              <w:rPr>
                <w:rFonts w:ascii="Times New Roman" w:hAnsi="Times New Roman"/>
                <w:color w:val="000000" w:themeColor="text1"/>
                <w:sz w:val="24"/>
                <w:szCs w:val="21"/>
              </w:rPr>
              <w:t>1.5</w:t>
            </w:r>
            <w:r w:rsidRPr="00687B52">
              <w:rPr>
                <w:rFonts w:ascii="Times New Roman" w:hAnsi="Times New Roman"/>
                <w:color w:val="000000" w:themeColor="text1"/>
                <w:sz w:val="24"/>
                <w:szCs w:val="21"/>
              </w:rPr>
              <w:t>～</w:t>
            </w:r>
            <w:r w:rsidRPr="00687B52">
              <w:rPr>
                <w:rFonts w:ascii="Times New Roman" w:hAnsi="Times New Roman"/>
                <w:color w:val="000000" w:themeColor="text1"/>
                <w:sz w:val="24"/>
                <w:szCs w:val="21"/>
              </w:rPr>
              <w:t>3</w:t>
            </w:r>
            <w:r w:rsidRPr="00687B52">
              <w:rPr>
                <w:rFonts w:ascii="Times New Roman" w:hAnsi="Times New Roman"/>
                <w:color w:val="000000" w:themeColor="text1"/>
                <w:sz w:val="24"/>
                <w:szCs w:val="21"/>
              </w:rPr>
              <w:t>倍。衡器校验期不得超过三个月；</w:t>
            </w:r>
          </w:p>
          <w:p w:rsidR="000C2455" w:rsidRPr="00687B52" w:rsidRDefault="000C2455" w:rsidP="003E1D2A">
            <w:pPr>
              <w:spacing w:line="320" w:lineRule="exact"/>
              <w:rPr>
                <w:rFonts w:ascii="Times New Roman" w:hAnsi="Times New Roman"/>
                <w:color w:val="000000" w:themeColor="text1"/>
                <w:sz w:val="24"/>
                <w:szCs w:val="21"/>
              </w:rPr>
            </w:pPr>
            <w:r w:rsidRPr="00687B52">
              <w:rPr>
                <w:rFonts w:ascii="Times New Roman" w:hAnsi="Times New Roman"/>
                <w:color w:val="000000" w:themeColor="text1"/>
                <w:sz w:val="24"/>
                <w:szCs w:val="21"/>
              </w:rPr>
              <w:t xml:space="preserve">5)  </w:t>
            </w:r>
            <w:r w:rsidRPr="00687B52">
              <w:rPr>
                <w:rFonts w:ascii="Times New Roman" w:hAnsi="Times New Roman"/>
                <w:color w:val="000000" w:themeColor="text1"/>
                <w:sz w:val="24"/>
                <w:szCs w:val="21"/>
              </w:rPr>
              <w:t>充装现场应设置遮阳设施，防止阳光直接照射钢瓶。</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《合成氨生产企业安全标准化实施指南》</w:t>
            </w:r>
          </w:p>
          <w:p w:rsidR="000C2455" w:rsidRPr="00687B52" w:rsidRDefault="000C2455" w:rsidP="003E1D2A">
            <w:pPr>
              <w:pStyle w:val="a7"/>
              <w:rPr>
                <w:rFonts w:hAnsi="Times New Roman"/>
                <w:color w:val="000000" w:themeColor="text1"/>
              </w:rPr>
            </w:pPr>
            <w:r w:rsidRPr="00687B52">
              <w:rPr>
                <w:rFonts w:hAnsi="Times New Roman"/>
                <w:color w:val="000000" w:themeColor="text1"/>
              </w:rPr>
              <w:t>AQ/T3017-2008</w:t>
            </w:r>
          </w:p>
          <w:p w:rsidR="000C2455" w:rsidRPr="00687B52" w:rsidRDefault="000C2455" w:rsidP="003E1D2A">
            <w:pPr>
              <w:pStyle w:val="a7"/>
              <w:rPr>
                <w:rFonts w:hAnsi="Times New Roman"/>
                <w:color w:val="000000" w:themeColor="text1"/>
              </w:rPr>
            </w:pPr>
            <w:r w:rsidRPr="00687B52">
              <w:rPr>
                <w:rFonts w:hAnsi="Times New Roman"/>
                <w:color w:val="000000" w:themeColor="text1"/>
              </w:rPr>
              <w:t>5.5.4.6</w:t>
            </w:r>
          </w:p>
          <w:p w:rsidR="000C2455" w:rsidRPr="00687B52" w:rsidRDefault="000C2455" w:rsidP="003E1D2A">
            <w:pPr>
              <w:pStyle w:val="a7"/>
              <w:rPr>
                <w:rFonts w:hAnsi="Times New Roman"/>
                <w:color w:val="000000" w:themeColor="text1"/>
              </w:rPr>
            </w:pPr>
            <w:r w:rsidRPr="00687B52">
              <w:rPr>
                <w:rFonts w:hAnsi="Times New Roman"/>
                <w:color w:val="000000" w:themeColor="text1"/>
              </w:rPr>
              <w:t xml:space="preserve">b) </w:t>
            </w:r>
            <w:r w:rsidRPr="00687B52">
              <w:rPr>
                <w:rFonts w:hAnsi="Times New Roman"/>
                <w:color w:val="000000" w:themeColor="text1"/>
              </w:rPr>
              <w:t>钢瓶充装</w:t>
            </w:r>
          </w:p>
          <w:p w:rsidR="000C2455" w:rsidRPr="00687B52" w:rsidRDefault="000C2455" w:rsidP="003E1D2A">
            <w:pPr>
              <w:pStyle w:val="a7"/>
              <w:rPr>
                <w:rFonts w:hAnsi="Times New Roman"/>
                <w:color w:val="000000" w:themeColor="text1"/>
              </w:rPr>
            </w:pP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11.3</w:t>
            </w:r>
          </w:p>
        </w:tc>
        <w:tc>
          <w:tcPr>
            <w:tcW w:w="2272" w:type="pct"/>
            <w:gridSpan w:val="2"/>
            <w:vAlign w:val="center"/>
          </w:tcPr>
          <w:p w:rsidR="000C2455" w:rsidRPr="00687B52" w:rsidRDefault="000C2455" w:rsidP="003E1D2A">
            <w:pPr>
              <w:spacing w:line="320" w:lineRule="exact"/>
              <w:rPr>
                <w:rFonts w:ascii="Times New Roman" w:hAnsi="Times New Roman"/>
                <w:color w:val="000000" w:themeColor="text1"/>
                <w:sz w:val="24"/>
                <w:szCs w:val="21"/>
              </w:rPr>
            </w:pPr>
            <w:r w:rsidRPr="00687B52">
              <w:rPr>
                <w:rFonts w:ascii="Times New Roman" w:hAnsi="Times New Roman"/>
                <w:color w:val="000000" w:themeColor="text1"/>
                <w:sz w:val="24"/>
                <w:szCs w:val="21"/>
              </w:rPr>
              <w:t xml:space="preserve">1)  </w:t>
            </w:r>
            <w:r w:rsidRPr="00687B52">
              <w:rPr>
                <w:rFonts w:ascii="Times New Roman" w:hAnsi="Times New Roman"/>
                <w:color w:val="000000" w:themeColor="text1"/>
                <w:sz w:val="24"/>
                <w:szCs w:val="21"/>
              </w:rPr>
              <w:t>罐区电气设备符合防火防爆要求；</w:t>
            </w:r>
          </w:p>
          <w:p w:rsidR="000C2455" w:rsidRPr="00687B52" w:rsidRDefault="000C2455" w:rsidP="003E1D2A">
            <w:pPr>
              <w:spacing w:line="320" w:lineRule="exact"/>
              <w:rPr>
                <w:rFonts w:ascii="Times New Roman" w:hAnsi="Times New Roman"/>
                <w:color w:val="000000" w:themeColor="text1"/>
                <w:sz w:val="24"/>
                <w:szCs w:val="21"/>
              </w:rPr>
            </w:pPr>
            <w:r w:rsidRPr="00687B52">
              <w:rPr>
                <w:rFonts w:ascii="Times New Roman" w:hAnsi="Times New Roman"/>
                <w:color w:val="000000" w:themeColor="text1"/>
                <w:sz w:val="24"/>
                <w:szCs w:val="21"/>
              </w:rPr>
              <w:t xml:space="preserve">2)  </w:t>
            </w:r>
            <w:r w:rsidRPr="00687B52">
              <w:rPr>
                <w:rFonts w:ascii="Times New Roman" w:hAnsi="Times New Roman"/>
                <w:color w:val="000000" w:themeColor="text1"/>
                <w:sz w:val="24"/>
                <w:szCs w:val="21"/>
              </w:rPr>
              <w:t>应设置液氨储罐远传监控、超限报警装置；</w:t>
            </w:r>
          </w:p>
          <w:p w:rsidR="000C2455" w:rsidRPr="00687B52" w:rsidRDefault="000C2455" w:rsidP="003E1D2A">
            <w:pPr>
              <w:spacing w:line="320" w:lineRule="exact"/>
              <w:rPr>
                <w:rFonts w:ascii="Times New Roman" w:hAnsi="Times New Roman"/>
                <w:color w:val="000000" w:themeColor="text1"/>
                <w:sz w:val="24"/>
                <w:szCs w:val="21"/>
              </w:rPr>
            </w:pPr>
            <w:r w:rsidRPr="00687B52">
              <w:rPr>
                <w:rFonts w:ascii="Times New Roman" w:hAnsi="Times New Roman"/>
                <w:color w:val="000000" w:themeColor="text1"/>
                <w:sz w:val="24"/>
                <w:szCs w:val="21"/>
              </w:rPr>
              <w:t xml:space="preserve">3)  </w:t>
            </w:r>
            <w:r w:rsidRPr="00687B52">
              <w:rPr>
                <w:rFonts w:ascii="Times New Roman" w:hAnsi="Times New Roman"/>
                <w:color w:val="000000" w:themeColor="text1"/>
                <w:sz w:val="24"/>
                <w:szCs w:val="21"/>
              </w:rPr>
              <w:t>超过</w:t>
            </w:r>
            <w:r w:rsidRPr="00687B52">
              <w:rPr>
                <w:rFonts w:ascii="Times New Roman" w:hAnsi="Times New Roman"/>
                <w:color w:val="000000" w:themeColor="text1"/>
                <w:sz w:val="24"/>
                <w:szCs w:val="21"/>
              </w:rPr>
              <w:t>100m</w:t>
            </w:r>
            <w:r w:rsidRPr="00687B52">
              <w:rPr>
                <w:rFonts w:ascii="Times New Roman" w:hAnsi="Times New Roman"/>
                <w:color w:val="000000" w:themeColor="text1"/>
                <w:sz w:val="24"/>
                <w:szCs w:val="21"/>
                <w:vertAlign w:val="superscript"/>
              </w:rPr>
              <w:t>3</w:t>
            </w:r>
            <w:r w:rsidRPr="00687B52">
              <w:rPr>
                <w:rFonts w:ascii="Times New Roman" w:hAnsi="Times New Roman"/>
                <w:color w:val="000000" w:themeColor="text1"/>
                <w:sz w:val="24"/>
                <w:szCs w:val="21"/>
              </w:rPr>
              <w:t>的液氨储罐应设双安全阀，安全阀排气应引至回收系统或火炬排放燃烧系统；</w:t>
            </w:r>
          </w:p>
          <w:p w:rsidR="000C2455" w:rsidRPr="00687B52" w:rsidRDefault="000C2455" w:rsidP="003E1D2A">
            <w:pPr>
              <w:spacing w:line="320" w:lineRule="exact"/>
              <w:rPr>
                <w:rFonts w:ascii="Times New Roman" w:hAnsi="Times New Roman"/>
                <w:color w:val="000000" w:themeColor="text1"/>
                <w:sz w:val="24"/>
                <w:szCs w:val="21"/>
              </w:rPr>
            </w:pPr>
            <w:r w:rsidRPr="00687B52">
              <w:rPr>
                <w:rFonts w:ascii="Times New Roman" w:hAnsi="Times New Roman"/>
                <w:color w:val="000000" w:themeColor="text1"/>
                <w:sz w:val="24"/>
                <w:szCs w:val="21"/>
              </w:rPr>
              <w:t xml:space="preserve">4)  </w:t>
            </w:r>
            <w:r w:rsidRPr="00687B52">
              <w:rPr>
                <w:rFonts w:ascii="Times New Roman" w:hAnsi="Times New Roman"/>
                <w:color w:val="000000" w:themeColor="text1"/>
                <w:sz w:val="24"/>
                <w:szCs w:val="21"/>
              </w:rPr>
              <w:t>液氨储罐进出口管线应设置双切断阀，其中一只出口切断阀为紧急切断阀；</w:t>
            </w:r>
          </w:p>
          <w:p w:rsidR="000C2455" w:rsidRPr="00687B52" w:rsidRDefault="000C2455" w:rsidP="003E1D2A">
            <w:pPr>
              <w:spacing w:line="320" w:lineRule="exact"/>
              <w:rPr>
                <w:rFonts w:ascii="Times New Roman" w:hAnsi="Times New Roman"/>
                <w:color w:val="000000" w:themeColor="text1"/>
                <w:sz w:val="24"/>
                <w:szCs w:val="21"/>
              </w:rPr>
            </w:pPr>
            <w:r w:rsidRPr="00687B52">
              <w:rPr>
                <w:rFonts w:ascii="Times New Roman" w:hAnsi="Times New Roman"/>
                <w:color w:val="000000" w:themeColor="text1"/>
                <w:sz w:val="24"/>
                <w:szCs w:val="21"/>
              </w:rPr>
              <w:t xml:space="preserve">5)  </w:t>
            </w:r>
            <w:r w:rsidRPr="00687B52">
              <w:rPr>
                <w:rFonts w:ascii="Times New Roman" w:hAnsi="Times New Roman"/>
                <w:color w:val="000000" w:themeColor="text1"/>
                <w:sz w:val="24"/>
                <w:szCs w:val="21"/>
              </w:rPr>
              <w:t>液氨储罐区应设置防火堤、备用事故氨罐、气氨回收、应急喷淋及清净下水回收等设施。</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《合成氨生产企业安全标准化实施指南》</w:t>
            </w:r>
          </w:p>
          <w:p w:rsidR="000C2455" w:rsidRPr="00687B52" w:rsidRDefault="000C2455" w:rsidP="003E1D2A">
            <w:pPr>
              <w:pStyle w:val="a7"/>
              <w:rPr>
                <w:rFonts w:hAnsi="Times New Roman"/>
                <w:color w:val="000000" w:themeColor="text1"/>
              </w:rPr>
            </w:pPr>
            <w:r w:rsidRPr="00687B52">
              <w:rPr>
                <w:rFonts w:hAnsi="Times New Roman"/>
                <w:color w:val="000000" w:themeColor="text1"/>
              </w:rPr>
              <w:t>AQ/T3017-2008</w:t>
            </w:r>
          </w:p>
          <w:p w:rsidR="000C2455" w:rsidRPr="00687B52" w:rsidRDefault="000C2455" w:rsidP="003E1D2A">
            <w:pPr>
              <w:pStyle w:val="a7"/>
              <w:rPr>
                <w:rFonts w:hAnsi="Times New Roman"/>
                <w:color w:val="000000" w:themeColor="text1"/>
              </w:rPr>
            </w:pPr>
            <w:r w:rsidRPr="00687B52">
              <w:rPr>
                <w:rFonts w:hAnsi="Times New Roman"/>
                <w:color w:val="000000" w:themeColor="text1"/>
              </w:rPr>
              <w:t>5.5.4.6</w:t>
            </w:r>
          </w:p>
          <w:p w:rsidR="000C2455" w:rsidRPr="00687B52" w:rsidRDefault="000C2455" w:rsidP="003E1D2A">
            <w:pPr>
              <w:pStyle w:val="a7"/>
              <w:rPr>
                <w:rFonts w:hAnsi="Times New Roman"/>
                <w:color w:val="000000" w:themeColor="text1"/>
              </w:rPr>
            </w:pPr>
            <w:r w:rsidRPr="00687B52">
              <w:rPr>
                <w:rFonts w:hAnsi="Times New Roman"/>
                <w:color w:val="000000" w:themeColor="text1"/>
              </w:rPr>
              <w:t xml:space="preserve">c) </w:t>
            </w:r>
            <w:r w:rsidRPr="00687B52">
              <w:rPr>
                <w:rFonts w:hAnsi="Times New Roman"/>
                <w:color w:val="000000" w:themeColor="text1"/>
              </w:rPr>
              <w:t>液氨储存</w:t>
            </w:r>
          </w:p>
          <w:p w:rsidR="000C2455" w:rsidRPr="00687B52" w:rsidRDefault="000C2455" w:rsidP="003E1D2A">
            <w:pPr>
              <w:pStyle w:val="a7"/>
              <w:rPr>
                <w:rFonts w:hAnsi="Times New Roman"/>
                <w:color w:val="000000" w:themeColor="text1"/>
              </w:rPr>
            </w:pP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11.</w:t>
            </w:r>
            <w:r w:rsidRPr="00687B52">
              <w:rPr>
                <w:rFonts w:hAnsi="Times New Roman" w:hint="eastAsia"/>
                <w:color w:val="000000" w:themeColor="text1"/>
                <w:szCs w:val="24"/>
              </w:rPr>
              <w:t>4</w:t>
            </w:r>
          </w:p>
        </w:tc>
        <w:tc>
          <w:tcPr>
            <w:tcW w:w="2272" w:type="pct"/>
            <w:gridSpan w:val="2"/>
            <w:vAlign w:val="center"/>
          </w:tcPr>
          <w:p w:rsidR="000C2455" w:rsidRPr="00687B52" w:rsidRDefault="000C2455" w:rsidP="003E1D2A">
            <w:pPr>
              <w:pStyle w:val="a7"/>
              <w:jc w:val="left"/>
              <w:rPr>
                <w:rFonts w:hAnsi="Times New Roman"/>
                <w:color w:val="000000" w:themeColor="text1"/>
                <w:szCs w:val="24"/>
              </w:rPr>
            </w:pPr>
            <w:r w:rsidRPr="00687B52">
              <w:rPr>
                <w:rFonts w:hAnsi="Times New Roman"/>
                <w:color w:val="000000" w:themeColor="text1"/>
                <w:kern w:val="0"/>
              </w:rPr>
              <w:t>新购置的液氨贮罐、槽车和钢瓶，应有质量合格证及有关</w:t>
            </w:r>
            <w:r w:rsidRPr="00687B52">
              <w:rPr>
                <w:rFonts w:hAnsi="Times New Roman"/>
                <w:color w:val="000000" w:themeColor="text1"/>
                <w:kern w:val="0"/>
              </w:rPr>
              <w:lastRenderedPageBreak/>
              <w:t>资料，并接受当地有关部门的检验，办理贮罐、钢瓶使用登记手续和领取槽车号牌、行驶证后，方可使用。</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lastRenderedPageBreak/>
              <w:t>《小氮肥安全技术规程》</w:t>
            </w:r>
          </w:p>
          <w:p w:rsidR="000C2455" w:rsidRPr="00687B52" w:rsidRDefault="000C2455" w:rsidP="003E1D2A">
            <w:pPr>
              <w:pStyle w:val="a7"/>
              <w:rPr>
                <w:rFonts w:hAnsi="Times New Roman"/>
                <w:color w:val="000000" w:themeColor="text1"/>
                <w:szCs w:val="24"/>
              </w:rPr>
            </w:pPr>
            <w:r w:rsidRPr="00687B52">
              <w:rPr>
                <w:rFonts w:hAnsi="Times New Roman"/>
                <w:color w:val="000000" w:themeColor="text1"/>
                <w:kern w:val="0"/>
              </w:rPr>
              <w:lastRenderedPageBreak/>
              <w:t>8</w:t>
            </w:r>
            <w:r w:rsidRPr="00687B52">
              <w:rPr>
                <w:rFonts w:hAnsi="Times New Roman"/>
                <w:color w:val="000000" w:themeColor="text1"/>
                <w:kern w:val="0"/>
              </w:rPr>
              <w:t>液氨贮运、灌装</w:t>
            </w:r>
            <w:r w:rsidRPr="00687B52">
              <w:rPr>
                <w:rFonts w:hAnsi="Times New Roman"/>
                <w:color w:val="000000" w:themeColor="text1"/>
                <w:kern w:val="0"/>
              </w:rPr>
              <w:t>8.1.2</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lastRenderedPageBreak/>
              <w:t>11.</w:t>
            </w:r>
            <w:r w:rsidRPr="00687B52">
              <w:rPr>
                <w:rFonts w:hAnsi="Times New Roman" w:hint="eastAsia"/>
                <w:color w:val="000000" w:themeColor="text1"/>
                <w:szCs w:val="24"/>
              </w:rPr>
              <w:t>5</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对用户的液氨钢瓶，必须一瓶一卡登记建档。</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szCs w:val="24"/>
              </w:rPr>
            </w:pPr>
            <w:r w:rsidRPr="00687B52">
              <w:rPr>
                <w:rFonts w:hAnsi="Times New Roman"/>
                <w:color w:val="000000" w:themeColor="text1"/>
                <w:kern w:val="0"/>
              </w:rPr>
              <w:t>8</w:t>
            </w:r>
            <w:r w:rsidRPr="00687B52">
              <w:rPr>
                <w:rFonts w:hAnsi="Times New Roman"/>
                <w:color w:val="000000" w:themeColor="text1"/>
                <w:kern w:val="0"/>
              </w:rPr>
              <w:t>液氨贮运、灌装</w:t>
            </w:r>
            <w:r w:rsidRPr="00687B52">
              <w:rPr>
                <w:rFonts w:hAnsi="Times New Roman"/>
                <w:color w:val="000000" w:themeColor="text1"/>
                <w:kern w:val="0"/>
              </w:rPr>
              <w:t>8.1.3</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11.</w:t>
            </w:r>
            <w:r w:rsidRPr="00687B52">
              <w:rPr>
                <w:rFonts w:hAnsi="Times New Roman" w:hint="eastAsia"/>
                <w:color w:val="000000" w:themeColor="text1"/>
                <w:szCs w:val="24"/>
              </w:rPr>
              <w:t>6</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对液氨灌装、贮运、使用、整瓶及有关人员的要求：</w:t>
            </w:r>
          </w:p>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1</w:t>
            </w:r>
            <w:r w:rsidRPr="00687B52">
              <w:rPr>
                <w:rFonts w:hAnsi="Times New Roman"/>
                <w:color w:val="000000" w:themeColor="text1"/>
                <w:kern w:val="0"/>
              </w:rPr>
              <w:t>）应充分了解槽车的性能、安全操作方法、附件结构、工作原理和液氨介质的特性。</w:t>
            </w:r>
          </w:p>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2</w:t>
            </w:r>
            <w:r w:rsidRPr="00687B52">
              <w:rPr>
                <w:rFonts w:hAnsi="Times New Roman"/>
                <w:color w:val="000000" w:themeColor="text1"/>
                <w:kern w:val="0"/>
              </w:rPr>
              <w:t>）应熟练掌握本岗位一般事故处理和防护用具、消防器材的使用方法。</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szCs w:val="24"/>
              </w:rPr>
            </w:pPr>
            <w:r w:rsidRPr="00687B52">
              <w:rPr>
                <w:rFonts w:hAnsi="Times New Roman"/>
                <w:color w:val="000000" w:themeColor="text1"/>
                <w:kern w:val="0"/>
              </w:rPr>
              <w:t>8</w:t>
            </w:r>
            <w:r w:rsidRPr="00687B52">
              <w:rPr>
                <w:rFonts w:hAnsi="Times New Roman"/>
                <w:color w:val="000000" w:themeColor="text1"/>
                <w:kern w:val="0"/>
              </w:rPr>
              <w:t>液氨贮运、灌装</w:t>
            </w:r>
            <w:r w:rsidRPr="00687B52">
              <w:rPr>
                <w:rFonts w:hAnsi="Times New Roman"/>
                <w:color w:val="000000" w:themeColor="text1"/>
                <w:kern w:val="0"/>
              </w:rPr>
              <w:t>8.1.4</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11.</w:t>
            </w:r>
            <w:r w:rsidRPr="00687B52">
              <w:rPr>
                <w:rFonts w:hAnsi="Times New Roman" w:hint="eastAsia"/>
                <w:color w:val="000000" w:themeColor="text1"/>
                <w:szCs w:val="24"/>
              </w:rPr>
              <w:t>7</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不准用移动式槽罐运输液氨。</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8</w:t>
            </w:r>
            <w:r w:rsidRPr="00687B52">
              <w:rPr>
                <w:rFonts w:hAnsi="Times New Roman"/>
                <w:color w:val="000000" w:themeColor="text1"/>
                <w:kern w:val="0"/>
              </w:rPr>
              <w:t>液氨贮运、灌装</w:t>
            </w:r>
            <w:r w:rsidRPr="00687B52">
              <w:rPr>
                <w:rFonts w:hAnsi="Times New Roman"/>
                <w:color w:val="000000" w:themeColor="text1"/>
                <w:kern w:val="0"/>
              </w:rPr>
              <w:t>8.1.8</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11.</w:t>
            </w:r>
            <w:r w:rsidRPr="00687B52">
              <w:rPr>
                <w:rFonts w:hAnsi="Times New Roman" w:hint="eastAsia"/>
                <w:color w:val="000000" w:themeColor="text1"/>
                <w:szCs w:val="24"/>
              </w:rPr>
              <w:t>8</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新安装或检修后首次使用的贮罐与槽车，应用氮气置换至罐内气体氧含量小于</w:t>
            </w:r>
            <w:r w:rsidRPr="00687B52">
              <w:rPr>
                <w:rFonts w:hAnsi="Times New Roman"/>
                <w:color w:val="000000" w:themeColor="text1"/>
                <w:kern w:val="0"/>
              </w:rPr>
              <w:t>2</w:t>
            </w:r>
            <w:r w:rsidRPr="00687B52">
              <w:rPr>
                <w:rFonts w:hAnsi="Times New Roman"/>
                <w:color w:val="000000" w:themeColor="text1"/>
                <w:kern w:val="0"/>
              </w:rPr>
              <w:t>％；或抽真空，真空度不低于</w:t>
            </w:r>
            <w:r w:rsidRPr="00687B52">
              <w:rPr>
                <w:rFonts w:hAnsi="Times New Roman"/>
                <w:color w:val="000000" w:themeColor="text1"/>
                <w:kern w:val="0"/>
              </w:rPr>
              <w:t>0</w:t>
            </w:r>
            <w:r w:rsidRPr="00687B52">
              <w:rPr>
                <w:rFonts w:hAnsi="Times New Roman"/>
                <w:color w:val="000000" w:themeColor="text1"/>
                <w:kern w:val="0"/>
              </w:rPr>
              <w:t>．</w:t>
            </w:r>
            <w:r w:rsidRPr="00687B52">
              <w:rPr>
                <w:rFonts w:hAnsi="Times New Roman"/>
                <w:color w:val="000000" w:themeColor="text1"/>
                <w:kern w:val="0"/>
              </w:rPr>
              <w:t>086MPa</w:t>
            </w:r>
            <w:r w:rsidRPr="00687B52">
              <w:rPr>
                <w:rFonts w:hAnsi="Times New Roman"/>
                <w:color w:val="000000" w:themeColor="text1"/>
                <w:kern w:val="0"/>
              </w:rPr>
              <w:t>后，方可灌氨。</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8</w:t>
            </w:r>
            <w:r w:rsidRPr="00687B52">
              <w:rPr>
                <w:rFonts w:hAnsi="Times New Roman"/>
                <w:color w:val="000000" w:themeColor="text1"/>
                <w:kern w:val="0"/>
              </w:rPr>
              <w:t>液氨贮运、灌装</w:t>
            </w:r>
            <w:r w:rsidRPr="00687B52">
              <w:rPr>
                <w:rFonts w:hAnsi="Times New Roman"/>
                <w:color w:val="000000" w:themeColor="text1"/>
                <w:kern w:val="0"/>
              </w:rPr>
              <w:t>8.2.1</w:t>
            </w:r>
            <w:r w:rsidRPr="00687B52">
              <w:rPr>
                <w:rFonts w:hAnsi="Times New Roman"/>
                <w:color w:val="000000" w:themeColor="text1"/>
                <w:kern w:val="0"/>
              </w:rPr>
              <w:t>贮罐与槽车</w:t>
            </w:r>
            <w:r w:rsidRPr="00687B52">
              <w:rPr>
                <w:rFonts w:hAnsi="Times New Roman"/>
                <w:color w:val="000000" w:themeColor="text1"/>
                <w:kern w:val="0"/>
              </w:rPr>
              <w:t>8.2.1.1</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11.</w:t>
            </w:r>
            <w:r w:rsidRPr="00687B52">
              <w:rPr>
                <w:rFonts w:hAnsi="Times New Roman" w:hint="eastAsia"/>
                <w:color w:val="000000" w:themeColor="text1"/>
                <w:szCs w:val="24"/>
              </w:rPr>
              <w:t>9</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汽车槽车充装新用胶管，必须是有合格证的耐压胶管。胶管和进料管接头处必须有倒牙，并装有紧箍铁板，必须用螺栓把接头紧固。</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8</w:t>
            </w:r>
            <w:r w:rsidRPr="00687B52">
              <w:rPr>
                <w:rFonts w:hAnsi="Times New Roman"/>
                <w:color w:val="000000" w:themeColor="text1"/>
                <w:kern w:val="0"/>
              </w:rPr>
              <w:t>液氨贮运、灌装</w:t>
            </w:r>
            <w:r w:rsidRPr="00687B52">
              <w:rPr>
                <w:rFonts w:hAnsi="Times New Roman"/>
                <w:color w:val="000000" w:themeColor="text1"/>
                <w:kern w:val="0"/>
              </w:rPr>
              <w:t>8.2.1</w:t>
            </w:r>
            <w:r w:rsidRPr="00687B52">
              <w:rPr>
                <w:rFonts w:hAnsi="Times New Roman"/>
                <w:color w:val="000000" w:themeColor="text1"/>
                <w:kern w:val="0"/>
              </w:rPr>
              <w:t>贮罐与槽车</w:t>
            </w:r>
            <w:r w:rsidRPr="00687B52">
              <w:rPr>
                <w:rFonts w:hAnsi="Times New Roman"/>
                <w:color w:val="000000" w:themeColor="text1"/>
                <w:kern w:val="0"/>
              </w:rPr>
              <w:t>8.2.1.2</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11.1</w:t>
            </w:r>
            <w:r w:rsidRPr="00687B52">
              <w:rPr>
                <w:rFonts w:hAnsi="Times New Roman" w:hint="eastAsia"/>
                <w:color w:val="000000" w:themeColor="text1"/>
                <w:szCs w:val="24"/>
              </w:rPr>
              <w:t>0</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槽车充装时，每次都要填写充装记录，内容包括：使用单位、充装日期、允许充装量、实际充装量（过磅），并有充装者、复验者、押运员的签名。</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8</w:t>
            </w:r>
            <w:r w:rsidRPr="00687B52">
              <w:rPr>
                <w:rFonts w:hAnsi="Times New Roman"/>
                <w:color w:val="000000" w:themeColor="text1"/>
                <w:kern w:val="0"/>
              </w:rPr>
              <w:t>液氨贮运、灌装</w:t>
            </w:r>
            <w:r w:rsidRPr="00687B52">
              <w:rPr>
                <w:rFonts w:hAnsi="Times New Roman"/>
                <w:color w:val="000000" w:themeColor="text1"/>
                <w:kern w:val="0"/>
              </w:rPr>
              <w:t>8.2.1</w:t>
            </w:r>
            <w:r w:rsidRPr="00687B52">
              <w:rPr>
                <w:rFonts w:hAnsi="Times New Roman"/>
                <w:color w:val="000000" w:themeColor="text1"/>
                <w:kern w:val="0"/>
              </w:rPr>
              <w:t>贮罐与槽车</w:t>
            </w:r>
            <w:r w:rsidRPr="00687B52">
              <w:rPr>
                <w:rFonts w:hAnsi="Times New Roman"/>
                <w:color w:val="000000" w:themeColor="text1"/>
                <w:kern w:val="0"/>
              </w:rPr>
              <w:t>8.2.1.3</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11.1</w:t>
            </w:r>
            <w:r w:rsidRPr="00687B52">
              <w:rPr>
                <w:rFonts w:hAnsi="Times New Roman" w:hint="eastAsia"/>
                <w:color w:val="000000" w:themeColor="text1"/>
                <w:szCs w:val="24"/>
              </w:rPr>
              <w:t>1</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槽车的允装量，不得超过设计的最大充装量（充装系数</w:t>
            </w:r>
            <w:r w:rsidRPr="00687B52">
              <w:rPr>
                <w:rFonts w:hAnsi="Times New Roman"/>
                <w:color w:val="000000" w:themeColor="text1"/>
                <w:kern w:val="0"/>
              </w:rPr>
              <w:t>0.52</w:t>
            </w:r>
            <w:r w:rsidRPr="00687B52">
              <w:rPr>
                <w:rFonts w:hAnsi="Times New Roman"/>
                <w:color w:val="000000" w:themeColor="text1"/>
                <w:kern w:val="0"/>
              </w:rPr>
              <w:t>吨</w:t>
            </w:r>
            <w:r w:rsidRPr="00687B52">
              <w:rPr>
                <w:rFonts w:hAnsi="Times New Roman"/>
                <w:color w:val="000000" w:themeColor="text1"/>
                <w:kern w:val="0"/>
              </w:rPr>
              <w:t>/m</w:t>
            </w:r>
            <w:r w:rsidRPr="00687B52">
              <w:rPr>
                <w:rFonts w:hAnsi="Times New Roman"/>
                <w:color w:val="000000" w:themeColor="text1"/>
                <w:kern w:val="0"/>
                <w:vertAlign w:val="superscript"/>
              </w:rPr>
              <w:t>3</w:t>
            </w:r>
            <w:r w:rsidRPr="00687B52">
              <w:rPr>
                <w:rFonts w:hAnsi="Times New Roman"/>
                <w:color w:val="000000" w:themeColor="text1"/>
                <w:kern w:val="0"/>
              </w:rPr>
              <w:t>），严禁超装。</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8</w:t>
            </w:r>
            <w:r w:rsidRPr="00687B52">
              <w:rPr>
                <w:rFonts w:hAnsi="Times New Roman"/>
                <w:color w:val="000000" w:themeColor="text1"/>
                <w:kern w:val="0"/>
              </w:rPr>
              <w:t>液氨贮运、灌装</w:t>
            </w:r>
            <w:r w:rsidRPr="00687B52">
              <w:rPr>
                <w:rFonts w:hAnsi="Times New Roman"/>
                <w:color w:val="000000" w:themeColor="text1"/>
                <w:kern w:val="0"/>
              </w:rPr>
              <w:t>8.2.1</w:t>
            </w:r>
            <w:r w:rsidRPr="00687B52">
              <w:rPr>
                <w:rFonts w:hAnsi="Times New Roman"/>
                <w:color w:val="000000" w:themeColor="text1"/>
                <w:kern w:val="0"/>
              </w:rPr>
              <w:t>贮罐与槽车</w:t>
            </w:r>
            <w:r w:rsidRPr="00687B52">
              <w:rPr>
                <w:rFonts w:hAnsi="Times New Roman"/>
                <w:color w:val="000000" w:themeColor="text1"/>
                <w:kern w:val="0"/>
              </w:rPr>
              <w:t>8.2.1.4</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11.1</w:t>
            </w:r>
            <w:r w:rsidRPr="00687B52">
              <w:rPr>
                <w:rFonts w:hAnsi="Times New Roman" w:hint="eastAsia"/>
                <w:color w:val="000000" w:themeColor="text1"/>
                <w:szCs w:val="24"/>
              </w:rPr>
              <w:t>2</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充装过程中，槽车内的液氨或气氨不得向大气排放。</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8</w:t>
            </w:r>
            <w:r w:rsidRPr="00687B52">
              <w:rPr>
                <w:rFonts w:hAnsi="Times New Roman"/>
                <w:color w:val="000000" w:themeColor="text1"/>
                <w:kern w:val="0"/>
              </w:rPr>
              <w:t>液氨贮运、灌装</w:t>
            </w:r>
            <w:r w:rsidRPr="00687B52">
              <w:rPr>
                <w:rFonts w:hAnsi="Times New Roman"/>
                <w:color w:val="000000" w:themeColor="text1"/>
                <w:kern w:val="0"/>
              </w:rPr>
              <w:t>8.2.1</w:t>
            </w:r>
            <w:r w:rsidRPr="00687B52">
              <w:rPr>
                <w:rFonts w:hAnsi="Times New Roman"/>
                <w:color w:val="000000" w:themeColor="text1"/>
                <w:kern w:val="0"/>
              </w:rPr>
              <w:t>贮罐与槽车</w:t>
            </w:r>
            <w:r w:rsidRPr="00687B52">
              <w:rPr>
                <w:rFonts w:hAnsi="Times New Roman"/>
                <w:color w:val="000000" w:themeColor="text1"/>
                <w:kern w:val="0"/>
              </w:rPr>
              <w:t>8.2.1.5</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lastRenderedPageBreak/>
              <w:t>11.1</w:t>
            </w:r>
            <w:r w:rsidRPr="00687B52">
              <w:rPr>
                <w:rFonts w:hAnsi="Times New Roman" w:hint="eastAsia"/>
                <w:color w:val="000000" w:themeColor="text1"/>
                <w:szCs w:val="24"/>
              </w:rPr>
              <w:t>3</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装卸现场、槽车附近严禁烟火，不得使用易产生火花的工具和物品，严禁将槽车作为贮罐、气化器使用。</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8</w:t>
            </w:r>
            <w:r w:rsidRPr="00687B52">
              <w:rPr>
                <w:rFonts w:hAnsi="Times New Roman"/>
                <w:color w:val="000000" w:themeColor="text1"/>
                <w:kern w:val="0"/>
              </w:rPr>
              <w:t>液氨贮运、灌装</w:t>
            </w:r>
            <w:r w:rsidRPr="00687B52">
              <w:rPr>
                <w:rFonts w:hAnsi="Times New Roman"/>
                <w:color w:val="000000" w:themeColor="text1"/>
                <w:kern w:val="0"/>
              </w:rPr>
              <w:t>8.2.1</w:t>
            </w:r>
            <w:r w:rsidRPr="00687B52">
              <w:rPr>
                <w:rFonts w:hAnsi="Times New Roman"/>
                <w:color w:val="000000" w:themeColor="text1"/>
                <w:kern w:val="0"/>
              </w:rPr>
              <w:t>贮罐与槽车</w:t>
            </w:r>
            <w:r w:rsidRPr="00687B52">
              <w:rPr>
                <w:rFonts w:hAnsi="Times New Roman"/>
                <w:color w:val="000000" w:themeColor="text1"/>
                <w:kern w:val="0"/>
              </w:rPr>
              <w:t>8.2.1.6</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11.1</w:t>
            </w:r>
            <w:r w:rsidRPr="00687B52">
              <w:rPr>
                <w:rFonts w:hAnsi="Times New Roman" w:hint="eastAsia"/>
                <w:color w:val="000000" w:themeColor="text1"/>
                <w:szCs w:val="24"/>
              </w:rPr>
              <w:t>4</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严禁用蒸汽或其他方法加热贮罐和槽车罐体。</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8</w:t>
            </w:r>
            <w:r w:rsidRPr="00687B52">
              <w:rPr>
                <w:rFonts w:hAnsi="Times New Roman"/>
                <w:color w:val="000000" w:themeColor="text1"/>
                <w:kern w:val="0"/>
              </w:rPr>
              <w:t>液氨贮运、灌装</w:t>
            </w:r>
            <w:r w:rsidRPr="00687B52">
              <w:rPr>
                <w:rFonts w:hAnsi="Times New Roman"/>
                <w:color w:val="000000" w:themeColor="text1"/>
                <w:kern w:val="0"/>
              </w:rPr>
              <w:t>8.2.1</w:t>
            </w:r>
            <w:r w:rsidRPr="00687B52">
              <w:rPr>
                <w:rFonts w:hAnsi="Times New Roman"/>
                <w:color w:val="000000" w:themeColor="text1"/>
                <w:kern w:val="0"/>
              </w:rPr>
              <w:t>贮罐与槽车</w:t>
            </w:r>
            <w:r w:rsidRPr="00687B52">
              <w:rPr>
                <w:rFonts w:hAnsi="Times New Roman"/>
                <w:color w:val="000000" w:themeColor="text1"/>
                <w:kern w:val="0"/>
              </w:rPr>
              <w:t>8.2.1.7</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11.1</w:t>
            </w:r>
            <w:r w:rsidRPr="00687B52">
              <w:rPr>
                <w:rFonts w:hAnsi="Times New Roman" w:hint="eastAsia"/>
                <w:color w:val="000000" w:themeColor="text1"/>
                <w:szCs w:val="24"/>
              </w:rPr>
              <w:t>5</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槽车的装运应符合以下安全要求：</w:t>
            </w:r>
          </w:p>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1</w:t>
            </w:r>
            <w:r w:rsidRPr="00687B52">
              <w:rPr>
                <w:rFonts w:hAnsi="Times New Roman"/>
                <w:color w:val="000000" w:themeColor="text1"/>
                <w:kern w:val="0"/>
              </w:rPr>
              <w:t>）驾驶员和押运员应懂防毒知识，会使用防毒面具和消防器材。</w:t>
            </w:r>
          </w:p>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2</w:t>
            </w:r>
            <w:r w:rsidRPr="00687B52">
              <w:rPr>
                <w:rFonts w:hAnsi="Times New Roman"/>
                <w:color w:val="000000" w:themeColor="text1"/>
                <w:kern w:val="0"/>
              </w:rPr>
              <w:t>）停放时要远离热源，防止阳光曝晒。禁止在城镇和人口稠密区停留。</w:t>
            </w:r>
          </w:p>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3</w:t>
            </w:r>
            <w:r w:rsidRPr="00687B52">
              <w:rPr>
                <w:rFonts w:hAnsi="Times New Roman"/>
                <w:color w:val="000000" w:themeColor="text1"/>
                <w:kern w:val="0"/>
              </w:rPr>
              <w:t>）禁止与其它易燃、可燃物品同车装运。</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8</w:t>
            </w:r>
            <w:r w:rsidRPr="00687B52">
              <w:rPr>
                <w:rFonts w:hAnsi="Times New Roman"/>
                <w:color w:val="000000" w:themeColor="text1"/>
                <w:kern w:val="0"/>
              </w:rPr>
              <w:t>液氨贮运、灌装</w:t>
            </w:r>
            <w:r w:rsidRPr="00687B52">
              <w:rPr>
                <w:rFonts w:hAnsi="Times New Roman"/>
                <w:color w:val="000000" w:themeColor="text1"/>
                <w:kern w:val="0"/>
              </w:rPr>
              <w:t>8.2.1</w:t>
            </w:r>
            <w:r w:rsidRPr="00687B52">
              <w:rPr>
                <w:rFonts w:hAnsi="Times New Roman"/>
                <w:color w:val="000000" w:themeColor="text1"/>
                <w:kern w:val="0"/>
              </w:rPr>
              <w:t>贮罐与槽车</w:t>
            </w:r>
            <w:r w:rsidRPr="00687B52">
              <w:rPr>
                <w:rFonts w:hAnsi="Times New Roman"/>
                <w:color w:val="000000" w:themeColor="text1"/>
                <w:kern w:val="0"/>
              </w:rPr>
              <w:t>8.2.1.8</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11.</w:t>
            </w:r>
            <w:r w:rsidRPr="00687B52">
              <w:rPr>
                <w:rFonts w:hAnsi="Times New Roman" w:hint="eastAsia"/>
                <w:color w:val="000000" w:themeColor="text1"/>
                <w:szCs w:val="24"/>
              </w:rPr>
              <w:t>16</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押运人员应携带必要的抢修工具，途中发生泄漏应积极予以处理；在装卸作业时，不得离开现场。司机不得随意启动车辆。</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8</w:t>
            </w:r>
            <w:r w:rsidRPr="00687B52">
              <w:rPr>
                <w:rFonts w:hAnsi="Times New Roman"/>
                <w:color w:val="000000" w:themeColor="text1"/>
                <w:kern w:val="0"/>
              </w:rPr>
              <w:t>液氨贮运、灌装</w:t>
            </w:r>
            <w:r w:rsidRPr="00687B52">
              <w:rPr>
                <w:rFonts w:hAnsi="Times New Roman"/>
                <w:color w:val="000000" w:themeColor="text1"/>
                <w:kern w:val="0"/>
              </w:rPr>
              <w:t>8.2.1</w:t>
            </w:r>
            <w:r w:rsidRPr="00687B52">
              <w:rPr>
                <w:rFonts w:hAnsi="Times New Roman"/>
                <w:color w:val="000000" w:themeColor="text1"/>
                <w:kern w:val="0"/>
              </w:rPr>
              <w:t>贮罐与槽车</w:t>
            </w:r>
            <w:r w:rsidRPr="00687B52">
              <w:rPr>
                <w:rFonts w:hAnsi="Times New Roman"/>
                <w:color w:val="000000" w:themeColor="text1"/>
                <w:kern w:val="0"/>
              </w:rPr>
              <w:t>8.2.1.9</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11.</w:t>
            </w:r>
            <w:r w:rsidRPr="00687B52">
              <w:rPr>
                <w:rFonts w:hAnsi="Times New Roman" w:hint="eastAsia"/>
                <w:color w:val="000000" w:themeColor="text1"/>
                <w:szCs w:val="24"/>
              </w:rPr>
              <w:t>17</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槽车贮罐必须保持</w:t>
            </w:r>
            <w:r w:rsidRPr="00687B52">
              <w:rPr>
                <w:rFonts w:hAnsi="Times New Roman"/>
                <w:color w:val="000000" w:themeColor="text1"/>
                <w:kern w:val="0"/>
              </w:rPr>
              <w:t>0.05MPa</w:t>
            </w:r>
            <w:r w:rsidRPr="00687B52">
              <w:rPr>
                <w:rFonts w:hAnsi="Times New Roman"/>
                <w:color w:val="000000" w:themeColor="text1"/>
                <w:kern w:val="0"/>
              </w:rPr>
              <w:t>以上的余压。</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8</w:t>
            </w:r>
            <w:r w:rsidRPr="00687B52">
              <w:rPr>
                <w:rFonts w:hAnsi="Times New Roman"/>
                <w:color w:val="000000" w:themeColor="text1"/>
                <w:kern w:val="0"/>
              </w:rPr>
              <w:t>液氨贮运、灌装</w:t>
            </w:r>
            <w:r w:rsidRPr="00687B52">
              <w:rPr>
                <w:rFonts w:hAnsi="Times New Roman"/>
                <w:color w:val="000000" w:themeColor="text1"/>
                <w:kern w:val="0"/>
              </w:rPr>
              <w:t>8.2.1</w:t>
            </w:r>
            <w:r w:rsidRPr="00687B52">
              <w:rPr>
                <w:rFonts w:hAnsi="Times New Roman"/>
                <w:color w:val="000000" w:themeColor="text1"/>
                <w:kern w:val="0"/>
              </w:rPr>
              <w:t>贮罐与槽车</w:t>
            </w:r>
            <w:r w:rsidRPr="00687B52">
              <w:rPr>
                <w:rFonts w:hAnsi="Times New Roman"/>
                <w:color w:val="000000" w:themeColor="text1"/>
                <w:kern w:val="0"/>
              </w:rPr>
              <w:t>8.2.1.10</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11.</w:t>
            </w:r>
            <w:r w:rsidRPr="00687B52">
              <w:rPr>
                <w:rFonts w:hAnsi="Times New Roman" w:hint="eastAsia"/>
                <w:color w:val="000000" w:themeColor="text1"/>
                <w:szCs w:val="24"/>
              </w:rPr>
              <w:t>18</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有下列情形之一的钢瓶，严禁充装：</w:t>
            </w:r>
          </w:p>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1</w:t>
            </w:r>
            <w:r w:rsidRPr="00687B52">
              <w:rPr>
                <w:rFonts w:ascii="Times New Roman" w:hAnsi="Times New Roman"/>
                <w:color w:val="000000" w:themeColor="text1"/>
                <w:kern w:val="0"/>
                <w:sz w:val="24"/>
                <w:szCs w:val="21"/>
              </w:rPr>
              <w:t>）钢瓶标记、颜色标记不合规定及无法判定瓶内气体的；</w:t>
            </w:r>
          </w:p>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2</w:t>
            </w:r>
            <w:r w:rsidRPr="00687B52">
              <w:rPr>
                <w:rFonts w:ascii="Times New Roman" w:hAnsi="Times New Roman"/>
                <w:color w:val="000000" w:themeColor="text1"/>
                <w:kern w:val="0"/>
                <w:sz w:val="24"/>
                <w:szCs w:val="21"/>
              </w:rPr>
              <w:t>）钢瓶装过其它物质的；</w:t>
            </w:r>
          </w:p>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3</w:t>
            </w:r>
            <w:r w:rsidRPr="00687B52">
              <w:rPr>
                <w:rFonts w:ascii="Times New Roman" w:hAnsi="Times New Roman"/>
                <w:color w:val="000000" w:themeColor="text1"/>
                <w:kern w:val="0"/>
                <w:sz w:val="24"/>
                <w:szCs w:val="21"/>
              </w:rPr>
              <w:t>）钢瓶内无剩余压力的；</w:t>
            </w:r>
          </w:p>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4</w:t>
            </w:r>
            <w:r w:rsidRPr="00687B52">
              <w:rPr>
                <w:rFonts w:ascii="Times New Roman" w:hAnsi="Times New Roman"/>
                <w:color w:val="000000" w:themeColor="text1"/>
                <w:kern w:val="0"/>
                <w:sz w:val="24"/>
                <w:szCs w:val="21"/>
              </w:rPr>
              <w:t>）安全附件不全、损坏或不符合规定的；</w:t>
            </w:r>
          </w:p>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lastRenderedPageBreak/>
              <w:t>5</w:t>
            </w:r>
            <w:r w:rsidRPr="00687B52">
              <w:rPr>
                <w:rFonts w:ascii="Times New Roman" w:hAnsi="Times New Roman"/>
                <w:color w:val="000000" w:themeColor="text1"/>
                <w:kern w:val="0"/>
                <w:sz w:val="24"/>
                <w:szCs w:val="21"/>
              </w:rPr>
              <w:t>）超过检验期限的；</w:t>
            </w:r>
          </w:p>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6</w:t>
            </w:r>
            <w:r w:rsidRPr="00687B52">
              <w:rPr>
                <w:rFonts w:ascii="Times New Roman" w:hAnsi="Times New Roman"/>
                <w:color w:val="000000" w:themeColor="text1"/>
                <w:kern w:val="0"/>
                <w:sz w:val="24"/>
                <w:szCs w:val="21"/>
              </w:rPr>
              <w:t>）经外观检查，存在明显损伤的（如角阀、堵头连接丝扣破损、裂纹、斑痕深度超标等）。</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lastRenderedPageBreak/>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8</w:t>
            </w:r>
            <w:r w:rsidRPr="00687B52">
              <w:rPr>
                <w:rFonts w:hAnsi="Times New Roman"/>
                <w:color w:val="000000" w:themeColor="text1"/>
                <w:kern w:val="0"/>
              </w:rPr>
              <w:t>液氨贮运、灌装</w:t>
            </w:r>
            <w:r w:rsidRPr="00687B52">
              <w:rPr>
                <w:rFonts w:hAnsi="Times New Roman"/>
                <w:color w:val="000000" w:themeColor="text1"/>
                <w:kern w:val="0"/>
              </w:rPr>
              <w:t>8.2.2</w:t>
            </w:r>
            <w:r w:rsidRPr="00687B52">
              <w:rPr>
                <w:rFonts w:hAnsi="Times New Roman"/>
                <w:color w:val="000000" w:themeColor="text1"/>
                <w:kern w:val="0"/>
              </w:rPr>
              <w:t>贮罐与槽车</w:t>
            </w:r>
            <w:r w:rsidRPr="00687B52">
              <w:rPr>
                <w:rFonts w:hAnsi="Times New Roman"/>
                <w:color w:val="000000" w:themeColor="text1"/>
                <w:kern w:val="0"/>
              </w:rPr>
              <w:t>8.2.2.2</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lastRenderedPageBreak/>
              <w:t>11.</w:t>
            </w:r>
            <w:r w:rsidRPr="00687B52">
              <w:rPr>
                <w:rFonts w:hAnsi="Times New Roman" w:hint="eastAsia"/>
                <w:color w:val="000000" w:themeColor="text1"/>
                <w:szCs w:val="24"/>
              </w:rPr>
              <w:t>19</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钢瓶充装应逐瓶用磅秤称重，充装后必须认真复秤和填写充装复秤记录。严禁过量充装（充装量不得超过</w:t>
            </w:r>
            <w:r w:rsidRPr="00687B52">
              <w:rPr>
                <w:rFonts w:ascii="Times New Roman" w:hAnsi="Times New Roman"/>
                <w:color w:val="000000" w:themeColor="text1"/>
                <w:kern w:val="0"/>
                <w:sz w:val="24"/>
                <w:szCs w:val="21"/>
              </w:rPr>
              <w:t>0</w:t>
            </w:r>
            <w:r w:rsidRPr="00687B52">
              <w:rPr>
                <w:rFonts w:ascii="Times New Roman" w:hAnsi="Times New Roman"/>
                <w:color w:val="000000" w:themeColor="text1"/>
                <w:kern w:val="0"/>
                <w:sz w:val="24"/>
                <w:szCs w:val="21"/>
              </w:rPr>
              <w:t>．</w:t>
            </w:r>
            <w:r w:rsidRPr="00687B52">
              <w:rPr>
                <w:rFonts w:ascii="Times New Roman" w:hAnsi="Times New Roman"/>
                <w:color w:val="000000" w:themeColor="text1"/>
                <w:kern w:val="0"/>
                <w:sz w:val="24"/>
                <w:szCs w:val="21"/>
              </w:rPr>
              <w:t>53</w:t>
            </w:r>
            <w:r w:rsidRPr="00687B52">
              <w:rPr>
                <w:rFonts w:ascii="Times New Roman" w:hAnsi="Times New Roman"/>
                <w:color w:val="000000" w:themeColor="text1"/>
                <w:kern w:val="0"/>
                <w:sz w:val="24"/>
                <w:szCs w:val="21"/>
              </w:rPr>
              <w:t>千克</w:t>
            </w:r>
            <w:r w:rsidRPr="00687B52">
              <w:rPr>
                <w:rFonts w:ascii="Times New Roman" w:hAnsi="Times New Roman"/>
                <w:color w:val="000000" w:themeColor="text1"/>
                <w:kern w:val="0"/>
                <w:sz w:val="24"/>
                <w:szCs w:val="21"/>
              </w:rPr>
              <w:t>/</w:t>
            </w:r>
            <w:r w:rsidRPr="00687B52">
              <w:rPr>
                <w:rFonts w:ascii="Times New Roman" w:hAnsi="Times New Roman"/>
                <w:color w:val="000000" w:themeColor="text1"/>
                <w:kern w:val="0"/>
                <w:sz w:val="24"/>
                <w:szCs w:val="21"/>
              </w:rPr>
              <w:t>升），充装过量的钢瓶不准出厂。严禁用容积计量。</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8</w:t>
            </w:r>
            <w:r w:rsidRPr="00687B52">
              <w:rPr>
                <w:rFonts w:hAnsi="Times New Roman"/>
                <w:color w:val="000000" w:themeColor="text1"/>
                <w:kern w:val="0"/>
              </w:rPr>
              <w:t>液氨贮运、灌装</w:t>
            </w:r>
            <w:r w:rsidRPr="00687B52">
              <w:rPr>
                <w:rFonts w:hAnsi="Times New Roman"/>
                <w:color w:val="000000" w:themeColor="text1"/>
                <w:kern w:val="0"/>
              </w:rPr>
              <w:t>8.2.2</w:t>
            </w:r>
            <w:r w:rsidRPr="00687B52">
              <w:rPr>
                <w:rFonts w:hAnsi="Times New Roman"/>
                <w:color w:val="000000" w:themeColor="text1"/>
                <w:kern w:val="0"/>
              </w:rPr>
              <w:t>贮罐与槽车</w:t>
            </w:r>
            <w:r w:rsidRPr="00687B52">
              <w:rPr>
                <w:rFonts w:hAnsi="Times New Roman"/>
                <w:color w:val="000000" w:themeColor="text1"/>
                <w:kern w:val="0"/>
              </w:rPr>
              <w:t>8.2.2.3</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11.2</w:t>
            </w:r>
            <w:r w:rsidRPr="00687B52">
              <w:rPr>
                <w:rFonts w:hAnsi="Times New Roman" w:hint="eastAsia"/>
                <w:color w:val="000000" w:themeColor="text1"/>
                <w:szCs w:val="24"/>
              </w:rPr>
              <w:t>0</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称重衡器应保持准确，衡器的最大称量值应为称量的</w:t>
            </w:r>
            <w:r w:rsidRPr="00687B52">
              <w:rPr>
                <w:rFonts w:ascii="Times New Roman" w:hAnsi="Times New Roman"/>
                <w:color w:val="000000" w:themeColor="text1"/>
                <w:kern w:val="0"/>
                <w:sz w:val="24"/>
                <w:szCs w:val="21"/>
              </w:rPr>
              <w:t>1.5</w:t>
            </w:r>
            <w:r w:rsidRPr="00687B52">
              <w:rPr>
                <w:rFonts w:ascii="Times New Roman" w:hAnsi="Times New Roman"/>
                <w:color w:val="000000" w:themeColor="text1"/>
                <w:kern w:val="0"/>
                <w:sz w:val="24"/>
                <w:szCs w:val="21"/>
              </w:rPr>
              <w:t>～</w:t>
            </w:r>
            <w:r w:rsidRPr="00687B52">
              <w:rPr>
                <w:rFonts w:ascii="Times New Roman" w:hAnsi="Times New Roman"/>
                <w:color w:val="000000" w:themeColor="text1"/>
                <w:kern w:val="0"/>
                <w:sz w:val="24"/>
                <w:szCs w:val="21"/>
              </w:rPr>
              <w:t>3</w:t>
            </w:r>
            <w:r w:rsidRPr="00687B52">
              <w:rPr>
                <w:rFonts w:ascii="Times New Roman" w:hAnsi="Times New Roman"/>
                <w:color w:val="000000" w:themeColor="text1"/>
                <w:kern w:val="0"/>
                <w:sz w:val="24"/>
                <w:szCs w:val="21"/>
              </w:rPr>
              <w:t>倍。衡器校验期不得超过三个月。</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8</w:t>
            </w:r>
            <w:r w:rsidRPr="00687B52">
              <w:rPr>
                <w:rFonts w:hAnsi="Times New Roman"/>
                <w:color w:val="000000" w:themeColor="text1"/>
                <w:kern w:val="0"/>
              </w:rPr>
              <w:t>液氨贮运、灌装</w:t>
            </w:r>
            <w:r w:rsidRPr="00687B52">
              <w:rPr>
                <w:rFonts w:hAnsi="Times New Roman"/>
                <w:color w:val="000000" w:themeColor="text1"/>
                <w:kern w:val="0"/>
              </w:rPr>
              <w:t>8.2.2</w:t>
            </w:r>
            <w:r w:rsidRPr="00687B52">
              <w:rPr>
                <w:rFonts w:hAnsi="Times New Roman"/>
                <w:color w:val="000000" w:themeColor="text1"/>
                <w:kern w:val="0"/>
              </w:rPr>
              <w:t>贮罐与槽车</w:t>
            </w:r>
            <w:r w:rsidRPr="00687B52">
              <w:rPr>
                <w:rFonts w:hAnsi="Times New Roman"/>
                <w:color w:val="000000" w:themeColor="text1"/>
                <w:kern w:val="0"/>
              </w:rPr>
              <w:t>8.2.2.4</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11.2</w:t>
            </w:r>
            <w:r w:rsidRPr="00687B52">
              <w:rPr>
                <w:rFonts w:hAnsi="Times New Roman" w:hint="eastAsia"/>
                <w:color w:val="000000" w:themeColor="text1"/>
                <w:szCs w:val="24"/>
              </w:rPr>
              <w:t>1</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充装现场应有遮阳设施，防止阳光直接照射钢瓶。</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8</w:t>
            </w:r>
            <w:r w:rsidRPr="00687B52">
              <w:rPr>
                <w:rFonts w:hAnsi="Times New Roman"/>
                <w:color w:val="000000" w:themeColor="text1"/>
                <w:kern w:val="0"/>
              </w:rPr>
              <w:t>液氨贮运、灌装</w:t>
            </w:r>
            <w:r w:rsidRPr="00687B52">
              <w:rPr>
                <w:rFonts w:hAnsi="Times New Roman"/>
                <w:color w:val="000000" w:themeColor="text1"/>
                <w:kern w:val="0"/>
              </w:rPr>
              <w:t>8.2.2</w:t>
            </w:r>
            <w:r w:rsidRPr="00687B52">
              <w:rPr>
                <w:rFonts w:hAnsi="Times New Roman"/>
                <w:color w:val="000000" w:themeColor="text1"/>
                <w:kern w:val="0"/>
              </w:rPr>
              <w:t>贮罐与槽车</w:t>
            </w:r>
            <w:r w:rsidRPr="00687B52">
              <w:rPr>
                <w:rFonts w:hAnsi="Times New Roman"/>
                <w:color w:val="000000" w:themeColor="text1"/>
                <w:kern w:val="0"/>
              </w:rPr>
              <w:t>8.2.2.5</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11.2</w:t>
            </w:r>
            <w:r w:rsidRPr="00687B52">
              <w:rPr>
                <w:rFonts w:hAnsi="Times New Roman" w:hint="eastAsia"/>
                <w:color w:val="000000" w:themeColor="text1"/>
                <w:szCs w:val="24"/>
              </w:rPr>
              <w:t>2</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液氨钢瓶运输时，应遵守下列规定：</w:t>
            </w:r>
          </w:p>
          <w:p w:rsidR="000C2455" w:rsidRPr="00687B52" w:rsidRDefault="000C2455" w:rsidP="003E1D2A">
            <w:pPr>
              <w:widowControl/>
              <w:spacing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1</w:t>
            </w:r>
            <w:r w:rsidRPr="00687B52">
              <w:rPr>
                <w:rFonts w:ascii="Times New Roman" w:hAnsi="Times New Roman"/>
                <w:color w:val="000000" w:themeColor="text1"/>
                <w:kern w:val="0"/>
                <w:sz w:val="24"/>
                <w:szCs w:val="21"/>
              </w:rPr>
              <w:t>）应具有《化学危险品准运证》的运输单位承运；</w:t>
            </w:r>
          </w:p>
          <w:p w:rsidR="000C2455" w:rsidRPr="00687B52" w:rsidRDefault="000C2455" w:rsidP="003E1D2A">
            <w:pPr>
              <w:widowControl/>
              <w:spacing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2</w:t>
            </w:r>
            <w:r w:rsidRPr="00687B52">
              <w:rPr>
                <w:rFonts w:ascii="Times New Roman" w:hAnsi="Times New Roman"/>
                <w:color w:val="000000" w:themeColor="text1"/>
                <w:kern w:val="0"/>
                <w:sz w:val="24"/>
                <w:szCs w:val="21"/>
              </w:rPr>
              <w:t>）运输的车辆应挂有规定的</w:t>
            </w:r>
            <w:r w:rsidRPr="00687B52">
              <w:rPr>
                <w:rFonts w:ascii="Times New Roman" w:hAnsi="Times New Roman"/>
                <w:color w:val="000000" w:themeColor="text1"/>
                <w:kern w:val="0"/>
                <w:sz w:val="24"/>
                <w:szCs w:val="21"/>
              </w:rPr>
              <w:t>“</w:t>
            </w:r>
            <w:r w:rsidRPr="00687B52">
              <w:rPr>
                <w:rFonts w:ascii="Times New Roman" w:hAnsi="Times New Roman"/>
                <w:color w:val="000000" w:themeColor="text1"/>
                <w:kern w:val="0"/>
                <w:sz w:val="24"/>
                <w:szCs w:val="21"/>
              </w:rPr>
              <w:t>危险品</w:t>
            </w:r>
            <w:r w:rsidRPr="00687B52">
              <w:rPr>
                <w:rFonts w:ascii="Times New Roman" w:hAnsi="Times New Roman"/>
                <w:color w:val="000000" w:themeColor="text1"/>
                <w:kern w:val="0"/>
                <w:sz w:val="24"/>
                <w:szCs w:val="21"/>
              </w:rPr>
              <w:t>”</w:t>
            </w:r>
            <w:r w:rsidRPr="00687B52">
              <w:rPr>
                <w:rFonts w:ascii="Times New Roman" w:hAnsi="Times New Roman"/>
                <w:color w:val="000000" w:themeColor="text1"/>
                <w:kern w:val="0"/>
                <w:sz w:val="24"/>
                <w:szCs w:val="21"/>
              </w:rPr>
              <w:t>标志，并备有灭火器材；</w:t>
            </w:r>
          </w:p>
          <w:p w:rsidR="000C2455" w:rsidRPr="00687B52" w:rsidRDefault="000C2455" w:rsidP="003E1D2A">
            <w:pPr>
              <w:widowControl/>
              <w:spacing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3</w:t>
            </w:r>
            <w:r w:rsidRPr="00687B52">
              <w:rPr>
                <w:rFonts w:ascii="Times New Roman" w:hAnsi="Times New Roman"/>
                <w:color w:val="000000" w:themeColor="text1"/>
                <w:kern w:val="0"/>
                <w:sz w:val="24"/>
                <w:szCs w:val="21"/>
              </w:rPr>
              <w:t>）钢瓶必须配戴瓶帽、防震圈，轻装轻卸，严禁抛、滚、滑、碰；</w:t>
            </w:r>
          </w:p>
          <w:p w:rsidR="000C2455" w:rsidRPr="00687B52" w:rsidRDefault="000C2455" w:rsidP="003E1D2A">
            <w:pPr>
              <w:widowControl/>
              <w:spacing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4</w:t>
            </w:r>
            <w:r w:rsidRPr="00687B52">
              <w:rPr>
                <w:rFonts w:ascii="Times New Roman" w:hAnsi="Times New Roman"/>
                <w:color w:val="000000" w:themeColor="text1"/>
                <w:kern w:val="0"/>
                <w:sz w:val="24"/>
                <w:szCs w:val="21"/>
              </w:rPr>
              <w:t>）严禁在同一车上装载两种不同可燃气体、液体和助燃气体的钢瓶；</w:t>
            </w:r>
          </w:p>
          <w:p w:rsidR="000C2455" w:rsidRPr="00687B52" w:rsidRDefault="000C2455" w:rsidP="003E1D2A">
            <w:pPr>
              <w:widowControl/>
              <w:spacing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5</w:t>
            </w:r>
            <w:r w:rsidRPr="00687B52">
              <w:rPr>
                <w:rFonts w:ascii="Times New Roman" w:hAnsi="Times New Roman"/>
                <w:color w:val="000000" w:themeColor="text1"/>
                <w:kern w:val="0"/>
                <w:sz w:val="24"/>
                <w:szCs w:val="21"/>
              </w:rPr>
              <w:t>）夏季运输要有遮阳设施，防止曝晒。</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kern w:val="0"/>
              </w:rPr>
              <w:t>8</w:t>
            </w:r>
            <w:r w:rsidRPr="00687B52">
              <w:rPr>
                <w:rFonts w:hAnsi="Times New Roman"/>
                <w:color w:val="000000" w:themeColor="text1"/>
                <w:kern w:val="0"/>
              </w:rPr>
              <w:t>液氨贮运、灌装</w:t>
            </w:r>
            <w:r w:rsidRPr="00687B52">
              <w:rPr>
                <w:rFonts w:hAnsi="Times New Roman"/>
                <w:color w:val="000000" w:themeColor="text1"/>
                <w:kern w:val="0"/>
              </w:rPr>
              <w:t>8.2.2</w:t>
            </w:r>
            <w:r w:rsidRPr="00687B52">
              <w:rPr>
                <w:rFonts w:hAnsi="Times New Roman"/>
                <w:color w:val="000000" w:themeColor="text1"/>
                <w:kern w:val="0"/>
              </w:rPr>
              <w:t>贮罐与槽车</w:t>
            </w:r>
            <w:r w:rsidRPr="00687B52">
              <w:rPr>
                <w:rFonts w:hAnsi="Times New Roman"/>
                <w:color w:val="000000" w:themeColor="text1"/>
                <w:kern w:val="0"/>
              </w:rPr>
              <w:t>8.2.2.6</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12</w:t>
            </w:r>
          </w:p>
        </w:tc>
        <w:tc>
          <w:tcPr>
            <w:tcW w:w="4663" w:type="pct"/>
            <w:gridSpan w:val="4"/>
            <w:vAlign w:val="center"/>
          </w:tcPr>
          <w:p w:rsidR="000C2455" w:rsidRPr="00687B52" w:rsidRDefault="000C2455" w:rsidP="003E1D2A">
            <w:pPr>
              <w:pStyle w:val="a7"/>
              <w:jc w:val="both"/>
              <w:rPr>
                <w:rFonts w:hAnsi="Times New Roman"/>
                <w:color w:val="000000" w:themeColor="text1"/>
                <w:szCs w:val="24"/>
              </w:rPr>
            </w:pPr>
            <w:r w:rsidRPr="00687B52">
              <w:rPr>
                <w:rFonts w:hAnsi="Times New Roman"/>
                <w:b/>
                <w:color w:val="000000" w:themeColor="text1"/>
                <w:szCs w:val="24"/>
              </w:rPr>
              <w:t>工艺及设备设施</w:t>
            </w:r>
            <w:r w:rsidRPr="00687B52">
              <w:rPr>
                <w:rFonts w:hAnsi="Times New Roman"/>
                <w:b/>
                <w:color w:val="000000" w:themeColor="text1"/>
                <w:szCs w:val="24"/>
              </w:rPr>
              <w:t>-</w:t>
            </w:r>
            <w:r w:rsidRPr="00687B52">
              <w:rPr>
                <w:rFonts w:hAnsi="Times New Roman"/>
                <w:b/>
                <w:color w:val="000000" w:themeColor="text1"/>
                <w:szCs w:val="24"/>
              </w:rPr>
              <w:t>自动控制、仪表等</w:t>
            </w: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12.1</w:t>
            </w:r>
          </w:p>
        </w:tc>
        <w:tc>
          <w:tcPr>
            <w:tcW w:w="2272" w:type="pct"/>
            <w:gridSpan w:val="2"/>
            <w:vAlign w:val="center"/>
          </w:tcPr>
          <w:p w:rsidR="000C2455" w:rsidRPr="00687B52" w:rsidRDefault="000C2455" w:rsidP="003E1D2A">
            <w:pPr>
              <w:widowControl/>
              <w:spacing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1</w:t>
            </w:r>
            <w:r w:rsidRPr="00687B52">
              <w:rPr>
                <w:rFonts w:ascii="Times New Roman" w:hAnsi="Times New Roman"/>
                <w:color w:val="000000" w:themeColor="text1"/>
                <w:kern w:val="0"/>
                <w:sz w:val="24"/>
                <w:szCs w:val="21"/>
              </w:rPr>
              <w:t>）易燃易爆场所设备液位计的现场照明须采用防爆型，并禁止安装在液位计正前；</w:t>
            </w:r>
          </w:p>
          <w:p w:rsidR="000C2455" w:rsidRPr="00687B52" w:rsidRDefault="000C2455" w:rsidP="003E1D2A">
            <w:pPr>
              <w:widowControl/>
              <w:spacing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lastRenderedPageBreak/>
              <w:t>2</w:t>
            </w:r>
            <w:r w:rsidRPr="00687B52">
              <w:rPr>
                <w:rFonts w:ascii="Times New Roman" w:hAnsi="Times New Roman"/>
                <w:color w:val="000000" w:themeColor="text1"/>
                <w:kern w:val="0"/>
                <w:sz w:val="24"/>
                <w:szCs w:val="21"/>
              </w:rPr>
              <w:t>）应设置合成氨全系统人工紧急停车设施；</w:t>
            </w:r>
          </w:p>
          <w:p w:rsidR="000C2455" w:rsidRPr="00687B52" w:rsidRDefault="000C2455" w:rsidP="003E1D2A">
            <w:pPr>
              <w:widowControl/>
              <w:spacing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3</w:t>
            </w:r>
            <w:r w:rsidRPr="00687B52">
              <w:rPr>
                <w:rFonts w:ascii="Times New Roman" w:hAnsi="Times New Roman"/>
                <w:color w:val="000000" w:themeColor="text1"/>
                <w:kern w:val="0"/>
                <w:sz w:val="24"/>
                <w:szCs w:val="21"/>
              </w:rPr>
              <w:t>）应设置造气、转化、合成系统人工紧急停车设施；</w:t>
            </w:r>
          </w:p>
          <w:p w:rsidR="000C2455" w:rsidRPr="00687B52" w:rsidRDefault="000C2455" w:rsidP="003E1D2A">
            <w:pPr>
              <w:widowControl/>
              <w:spacing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4</w:t>
            </w:r>
            <w:r w:rsidRPr="00687B52">
              <w:rPr>
                <w:rFonts w:ascii="Times New Roman" w:hAnsi="Times New Roman"/>
                <w:color w:val="000000" w:themeColor="text1"/>
                <w:kern w:val="0"/>
                <w:sz w:val="24"/>
                <w:szCs w:val="21"/>
              </w:rPr>
              <w:t>）应设置仪表风压力低限报警联锁合成氨停车设施；</w:t>
            </w:r>
          </w:p>
          <w:p w:rsidR="000C2455" w:rsidRPr="00687B52" w:rsidRDefault="000C2455" w:rsidP="003E1D2A">
            <w:pPr>
              <w:widowControl/>
              <w:spacing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6</w:t>
            </w:r>
            <w:r w:rsidRPr="00687B52">
              <w:rPr>
                <w:rFonts w:ascii="Times New Roman" w:hAnsi="Times New Roman"/>
                <w:color w:val="000000" w:themeColor="text1"/>
                <w:kern w:val="0"/>
                <w:sz w:val="24"/>
                <w:szCs w:val="21"/>
              </w:rPr>
              <w:t>）余热锅炉汽包应设置现场和远传液位设施、低限报警联锁装置、安全阀；</w:t>
            </w:r>
          </w:p>
          <w:p w:rsidR="000C2455" w:rsidRPr="00687B52" w:rsidRDefault="000C2455" w:rsidP="003E1D2A">
            <w:pPr>
              <w:widowControl/>
              <w:spacing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7</w:t>
            </w:r>
            <w:r w:rsidRPr="00687B52">
              <w:rPr>
                <w:rFonts w:ascii="Times New Roman" w:hAnsi="Times New Roman"/>
                <w:color w:val="000000" w:themeColor="text1"/>
                <w:kern w:val="0"/>
                <w:sz w:val="24"/>
                <w:szCs w:val="21"/>
              </w:rPr>
              <w:t>）凡有隔热衬里的设备</w:t>
            </w:r>
            <w:r w:rsidRPr="00687B52">
              <w:rPr>
                <w:rFonts w:ascii="Times New Roman" w:hAnsi="Times New Roman"/>
                <w:color w:val="000000" w:themeColor="text1"/>
                <w:kern w:val="0"/>
                <w:sz w:val="24"/>
                <w:szCs w:val="21"/>
              </w:rPr>
              <w:t>(</w:t>
            </w:r>
            <w:r w:rsidRPr="00687B52">
              <w:rPr>
                <w:rFonts w:ascii="Times New Roman" w:hAnsi="Times New Roman"/>
                <w:color w:val="000000" w:themeColor="text1"/>
                <w:kern w:val="0"/>
                <w:sz w:val="24"/>
                <w:szCs w:val="21"/>
              </w:rPr>
              <w:t>加热炉除外</w:t>
            </w:r>
            <w:r w:rsidRPr="00687B52">
              <w:rPr>
                <w:rFonts w:ascii="Times New Roman" w:hAnsi="Times New Roman"/>
                <w:color w:val="000000" w:themeColor="text1"/>
                <w:kern w:val="0"/>
                <w:sz w:val="24"/>
                <w:szCs w:val="21"/>
              </w:rPr>
              <w:t>)</w:t>
            </w:r>
            <w:r w:rsidRPr="00687B52">
              <w:rPr>
                <w:rFonts w:ascii="Times New Roman" w:hAnsi="Times New Roman"/>
                <w:color w:val="000000" w:themeColor="text1"/>
                <w:kern w:val="0"/>
                <w:sz w:val="24"/>
                <w:szCs w:val="21"/>
              </w:rPr>
              <w:t>，其外壁应设置测温设施；</w:t>
            </w:r>
          </w:p>
          <w:p w:rsidR="000C2455" w:rsidRPr="00687B52" w:rsidRDefault="000C2455" w:rsidP="003E1D2A">
            <w:pPr>
              <w:widowControl/>
              <w:spacing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8</w:t>
            </w:r>
            <w:r w:rsidRPr="00687B52">
              <w:rPr>
                <w:rFonts w:ascii="Times New Roman" w:hAnsi="Times New Roman"/>
                <w:color w:val="000000" w:themeColor="text1"/>
                <w:kern w:val="0"/>
                <w:sz w:val="24"/>
                <w:szCs w:val="21"/>
              </w:rPr>
              <w:t>）应在可能泄漏氨、氢气、天然气、合成气、一氧化碳、二氧化硫、硫化氢等有毒有害、易燃易爆气体作业场所设置检测报警仪；</w:t>
            </w:r>
          </w:p>
          <w:p w:rsidR="000C2455" w:rsidRPr="00687B52" w:rsidRDefault="000C2455" w:rsidP="003E1D2A">
            <w:pPr>
              <w:widowControl/>
              <w:spacing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9</w:t>
            </w:r>
            <w:r w:rsidRPr="00687B52">
              <w:rPr>
                <w:rFonts w:ascii="Times New Roman" w:hAnsi="Times New Roman"/>
                <w:color w:val="000000" w:themeColor="text1"/>
                <w:kern w:val="0"/>
                <w:sz w:val="24"/>
                <w:szCs w:val="21"/>
              </w:rPr>
              <w:t>）企业应在高压设备和管线上设置相应的安全泄压设施；</w:t>
            </w:r>
          </w:p>
          <w:p w:rsidR="000C2455" w:rsidRPr="00687B52" w:rsidRDefault="000C2455" w:rsidP="003E1D2A">
            <w:pPr>
              <w:widowControl/>
              <w:spacing w:line="320" w:lineRule="exact"/>
              <w:jc w:val="left"/>
              <w:rPr>
                <w:rFonts w:ascii="Times New Roman" w:hAnsi="Times New Roman"/>
                <w:b/>
                <w:color w:val="000000" w:themeColor="text1"/>
                <w:szCs w:val="24"/>
              </w:rPr>
            </w:pPr>
            <w:r w:rsidRPr="00687B52">
              <w:rPr>
                <w:rFonts w:ascii="Times New Roman" w:hAnsi="Times New Roman"/>
                <w:color w:val="000000" w:themeColor="text1"/>
                <w:kern w:val="0"/>
                <w:sz w:val="24"/>
                <w:szCs w:val="21"/>
              </w:rPr>
              <w:t>10</w:t>
            </w:r>
            <w:r w:rsidRPr="00687B52">
              <w:rPr>
                <w:rFonts w:ascii="Times New Roman" w:hAnsi="Times New Roman"/>
                <w:color w:val="000000" w:themeColor="text1"/>
                <w:kern w:val="0"/>
                <w:sz w:val="24"/>
                <w:szCs w:val="21"/>
              </w:rPr>
              <w:t>）存在放射性危害的液位计处应设置符合要求的保护设施和措施；</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lastRenderedPageBreak/>
              <w:t>《合成氨生产企业安全标准化实施指南》</w:t>
            </w:r>
          </w:p>
          <w:p w:rsidR="000C2455" w:rsidRPr="00687B52" w:rsidRDefault="000C2455" w:rsidP="003E1D2A">
            <w:pPr>
              <w:pStyle w:val="a7"/>
              <w:rPr>
                <w:rFonts w:hAnsi="Times New Roman"/>
                <w:color w:val="000000" w:themeColor="text1"/>
              </w:rPr>
            </w:pPr>
            <w:r w:rsidRPr="00687B52">
              <w:rPr>
                <w:rFonts w:hAnsi="Times New Roman"/>
                <w:color w:val="000000" w:themeColor="text1"/>
              </w:rPr>
              <w:lastRenderedPageBreak/>
              <w:t>AQ/T3017-2008</w:t>
            </w:r>
          </w:p>
          <w:p w:rsidR="000C2455" w:rsidRPr="00687B52" w:rsidRDefault="000C2455" w:rsidP="003E1D2A">
            <w:pPr>
              <w:pStyle w:val="a7"/>
              <w:rPr>
                <w:rFonts w:hAnsi="Times New Roman"/>
                <w:color w:val="000000" w:themeColor="text1"/>
              </w:rPr>
            </w:pPr>
            <w:r w:rsidRPr="00687B52">
              <w:rPr>
                <w:rFonts w:hAnsi="Times New Roman"/>
                <w:color w:val="000000" w:themeColor="text1"/>
              </w:rPr>
              <w:t>5.5.2.1</w:t>
            </w:r>
          </w:p>
          <w:p w:rsidR="000C2455" w:rsidRPr="00687B52" w:rsidRDefault="000C2455" w:rsidP="003E1D2A">
            <w:pPr>
              <w:pStyle w:val="a7"/>
              <w:rPr>
                <w:rFonts w:hAnsi="Times New Roman"/>
                <w:color w:val="000000" w:themeColor="text1"/>
              </w:rPr>
            </w:pPr>
            <w:r w:rsidRPr="00687B52">
              <w:rPr>
                <w:rFonts w:hAnsi="Times New Roman"/>
                <w:color w:val="000000" w:themeColor="text1"/>
              </w:rPr>
              <w:t>f</w:t>
            </w:r>
            <w:r w:rsidRPr="00687B52">
              <w:rPr>
                <w:rFonts w:hAnsi="Times New Roman"/>
                <w:color w:val="000000" w:themeColor="text1"/>
              </w:rPr>
              <w:t>）其他</w:t>
            </w:r>
          </w:p>
          <w:p w:rsidR="000C2455" w:rsidRPr="00687B52" w:rsidRDefault="000C2455" w:rsidP="003E1D2A">
            <w:pPr>
              <w:pStyle w:val="a7"/>
              <w:rPr>
                <w:rFonts w:hAnsi="Times New Roman"/>
                <w:color w:val="000000" w:themeColor="text1"/>
              </w:rPr>
            </w:pP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lastRenderedPageBreak/>
              <w:t>12.</w:t>
            </w:r>
            <w:r w:rsidRPr="00687B52">
              <w:rPr>
                <w:rFonts w:hAnsi="Times New Roman" w:hint="eastAsia"/>
                <w:color w:val="000000" w:themeColor="text1"/>
                <w:szCs w:val="24"/>
              </w:rPr>
              <w:t>2</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安全控制的基本要求：</w:t>
            </w:r>
          </w:p>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1</w:t>
            </w:r>
            <w:r w:rsidRPr="00687B52">
              <w:rPr>
                <w:rFonts w:hAnsi="Times New Roman"/>
                <w:color w:val="000000" w:themeColor="text1"/>
                <w:kern w:val="0"/>
              </w:rPr>
              <w:t>）合成氨装置温度、压力报警和联锁；</w:t>
            </w:r>
          </w:p>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2</w:t>
            </w:r>
            <w:r w:rsidRPr="00687B52">
              <w:rPr>
                <w:rFonts w:hAnsi="Times New Roman"/>
                <w:color w:val="000000" w:themeColor="text1"/>
                <w:kern w:val="0"/>
              </w:rPr>
              <w:t>）物料比例控制和联锁；</w:t>
            </w:r>
          </w:p>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3</w:t>
            </w:r>
            <w:r w:rsidRPr="00687B52">
              <w:rPr>
                <w:rFonts w:hAnsi="Times New Roman"/>
                <w:color w:val="000000" w:themeColor="text1"/>
                <w:kern w:val="0"/>
              </w:rPr>
              <w:t>）压缩机的温度、入口分离器液位、压力报警联锁；</w:t>
            </w:r>
          </w:p>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4</w:t>
            </w:r>
            <w:r w:rsidRPr="00687B52">
              <w:rPr>
                <w:rFonts w:hAnsi="Times New Roman"/>
                <w:color w:val="000000" w:themeColor="text1"/>
                <w:kern w:val="0"/>
              </w:rPr>
              <w:t>）紧急冷却系统；</w:t>
            </w:r>
          </w:p>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5</w:t>
            </w:r>
            <w:r w:rsidRPr="00687B52">
              <w:rPr>
                <w:rFonts w:hAnsi="Times New Roman"/>
                <w:color w:val="000000" w:themeColor="text1"/>
                <w:kern w:val="0"/>
              </w:rPr>
              <w:t>）紧急切断系统；</w:t>
            </w:r>
          </w:p>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6</w:t>
            </w:r>
            <w:r w:rsidRPr="00687B52">
              <w:rPr>
                <w:rFonts w:hAnsi="Times New Roman"/>
                <w:color w:val="000000" w:themeColor="text1"/>
                <w:kern w:val="0"/>
              </w:rPr>
              <w:t>）安全泄放系统；</w:t>
            </w:r>
          </w:p>
          <w:p w:rsidR="000C2455" w:rsidRPr="00687B52" w:rsidRDefault="000C2455" w:rsidP="003E1D2A">
            <w:pPr>
              <w:pStyle w:val="a7"/>
              <w:jc w:val="left"/>
              <w:rPr>
                <w:rFonts w:hAnsi="Times New Roman"/>
                <w:color w:val="000000" w:themeColor="text1"/>
                <w:szCs w:val="24"/>
              </w:rPr>
            </w:pPr>
            <w:r w:rsidRPr="00687B52">
              <w:rPr>
                <w:rFonts w:hAnsi="Times New Roman"/>
                <w:color w:val="000000" w:themeColor="text1"/>
                <w:kern w:val="0"/>
              </w:rPr>
              <w:t>7</w:t>
            </w:r>
            <w:r w:rsidRPr="00687B52">
              <w:rPr>
                <w:rFonts w:hAnsi="Times New Roman"/>
                <w:color w:val="000000" w:themeColor="text1"/>
                <w:kern w:val="0"/>
              </w:rPr>
              <w:t>）可燃、有毒气体检测报警装置。</w:t>
            </w:r>
          </w:p>
        </w:tc>
        <w:tc>
          <w:tcPr>
            <w:tcW w:w="1335"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rPr>
              <w:t>首批重点监管的危险化工工艺安全控制要求、重点监控参数及推荐的控制方案</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12.</w:t>
            </w:r>
            <w:r w:rsidRPr="00687B52">
              <w:rPr>
                <w:rFonts w:hAnsi="Times New Roman" w:hint="eastAsia"/>
                <w:color w:val="000000" w:themeColor="text1"/>
                <w:szCs w:val="24"/>
              </w:rPr>
              <w:t>3</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宜采用的控制方式：</w:t>
            </w:r>
          </w:p>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1</w:t>
            </w:r>
            <w:r w:rsidRPr="00687B52">
              <w:rPr>
                <w:rFonts w:hAnsi="Times New Roman"/>
                <w:color w:val="000000" w:themeColor="text1"/>
                <w:kern w:val="0"/>
              </w:rPr>
              <w:t>）将合成氨装置内温度、压力与物料流量、冷却系统形成联锁关系；</w:t>
            </w:r>
          </w:p>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2</w:t>
            </w:r>
            <w:r w:rsidRPr="00687B52">
              <w:rPr>
                <w:rFonts w:hAnsi="Times New Roman"/>
                <w:color w:val="000000" w:themeColor="text1"/>
                <w:kern w:val="0"/>
              </w:rPr>
              <w:t>）将压缩机温度、压力、入口分离器液位与供电系统形成联锁关系；</w:t>
            </w:r>
          </w:p>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lastRenderedPageBreak/>
              <w:t>3</w:t>
            </w:r>
            <w:r w:rsidRPr="00687B52">
              <w:rPr>
                <w:rFonts w:hAnsi="Times New Roman"/>
                <w:color w:val="000000" w:themeColor="text1"/>
                <w:kern w:val="0"/>
              </w:rPr>
              <w:t>）紧急停车系统。</w:t>
            </w:r>
          </w:p>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4</w:t>
            </w:r>
            <w:r w:rsidRPr="00687B52">
              <w:rPr>
                <w:rFonts w:hAnsi="Times New Roman"/>
                <w:color w:val="000000" w:themeColor="text1"/>
                <w:kern w:val="0"/>
              </w:rPr>
              <w:t>）合成单元自动控制还需要设置以下几个控制回路：</w:t>
            </w:r>
          </w:p>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w:t>
            </w:r>
            <w:r w:rsidRPr="00687B52">
              <w:rPr>
                <w:rFonts w:hAnsi="Times New Roman"/>
                <w:color w:val="000000" w:themeColor="text1"/>
                <w:kern w:val="0"/>
              </w:rPr>
              <w:t>1</w:t>
            </w:r>
            <w:r w:rsidRPr="00687B52">
              <w:rPr>
                <w:rFonts w:hAnsi="Times New Roman"/>
                <w:color w:val="000000" w:themeColor="text1"/>
                <w:kern w:val="0"/>
              </w:rPr>
              <w:t>）氨分、冷交液位；（</w:t>
            </w:r>
            <w:r w:rsidRPr="00687B52">
              <w:rPr>
                <w:rFonts w:hAnsi="Times New Roman"/>
                <w:color w:val="000000" w:themeColor="text1"/>
                <w:kern w:val="0"/>
              </w:rPr>
              <w:t>2</w:t>
            </w:r>
            <w:r w:rsidRPr="00687B52">
              <w:rPr>
                <w:rFonts w:hAnsi="Times New Roman"/>
                <w:color w:val="000000" w:themeColor="text1"/>
                <w:kern w:val="0"/>
              </w:rPr>
              <w:t>）废锅液位；（</w:t>
            </w:r>
            <w:r w:rsidRPr="00687B52">
              <w:rPr>
                <w:rFonts w:hAnsi="Times New Roman"/>
                <w:color w:val="000000" w:themeColor="text1"/>
                <w:kern w:val="0"/>
              </w:rPr>
              <w:t>3</w:t>
            </w:r>
            <w:r w:rsidRPr="00687B52">
              <w:rPr>
                <w:rFonts w:hAnsi="Times New Roman"/>
                <w:color w:val="000000" w:themeColor="text1"/>
                <w:kern w:val="0"/>
              </w:rPr>
              <w:t>）循环量控制；（</w:t>
            </w:r>
            <w:r w:rsidRPr="00687B52">
              <w:rPr>
                <w:rFonts w:hAnsi="Times New Roman"/>
                <w:color w:val="000000" w:themeColor="text1"/>
                <w:kern w:val="0"/>
              </w:rPr>
              <w:t>4</w:t>
            </w:r>
            <w:r w:rsidRPr="00687B52">
              <w:rPr>
                <w:rFonts w:hAnsi="Times New Roman"/>
                <w:color w:val="000000" w:themeColor="text1"/>
                <w:kern w:val="0"/>
              </w:rPr>
              <w:t>）废锅蒸汽流量；（</w:t>
            </w:r>
            <w:r w:rsidRPr="00687B52">
              <w:rPr>
                <w:rFonts w:hAnsi="Times New Roman"/>
                <w:color w:val="000000" w:themeColor="text1"/>
                <w:kern w:val="0"/>
              </w:rPr>
              <w:t>5</w:t>
            </w:r>
            <w:r w:rsidRPr="00687B52">
              <w:rPr>
                <w:rFonts w:hAnsi="Times New Roman"/>
                <w:color w:val="000000" w:themeColor="text1"/>
                <w:kern w:val="0"/>
              </w:rPr>
              <w:t>）废锅蒸汽压力。</w:t>
            </w:r>
          </w:p>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安全设施，包括安全阀、爆破片、紧急放空阀、液位计、单向阀及紧急切断装置等。</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lastRenderedPageBreak/>
              <w:t>首批重点监管的危险化工工艺安全控制要求、重点监控参数及推荐的控制方案</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b/>
                <w:color w:val="000000" w:themeColor="text1"/>
                <w:szCs w:val="24"/>
              </w:rPr>
            </w:pPr>
            <w:r w:rsidRPr="00687B52">
              <w:rPr>
                <w:rFonts w:hAnsi="Times New Roman"/>
                <w:b/>
                <w:color w:val="000000" w:themeColor="text1"/>
                <w:szCs w:val="24"/>
              </w:rPr>
              <w:lastRenderedPageBreak/>
              <w:t>13</w:t>
            </w:r>
          </w:p>
        </w:tc>
        <w:tc>
          <w:tcPr>
            <w:tcW w:w="4663" w:type="pct"/>
            <w:gridSpan w:val="4"/>
            <w:vAlign w:val="center"/>
          </w:tcPr>
          <w:p w:rsidR="000C2455" w:rsidRPr="00687B52" w:rsidRDefault="000C2455" w:rsidP="003E1D2A">
            <w:pPr>
              <w:pStyle w:val="a7"/>
              <w:jc w:val="both"/>
              <w:rPr>
                <w:rFonts w:hAnsi="Times New Roman"/>
                <w:color w:val="000000" w:themeColor="text1"/>
                <w:szCs w:val="24"/>
              </w:rPr>
            </w:pPr>
            <w:r w:rsidRPr="00687B52">
              <w:rPr>
                <w:rFonts w:hAnsi="Times New Roman"/>
                <w:b/>
                <w:color w:val="000000" w:themeColor="text1"/>
                <w:kern w:val="0"/>
              </w:rPr>
              <w:t>公用工程及辅助设施</w:t>
            </w:r>
            <w:r w:rsidRPr="00687B52">
              <w:rPr>
                <w:rFonts w:hAnsi="Times New Roman"/>
                <w:b/>
                <w:color w:val="000000" w:themeColor="text1"/>
                <w:kern w:val="0"/>
              </w:rPr>
              <w:t>-</w:t>
            </w:r>
            <w:r w:rsidRPr="00687B52">
              <w:rPr>
                <w:rFonts w:hAnsi="Times New Roman"/>
                <w:b/>
                <w:color w:val="000000" w:themeColor="text1"/>
                <w:kern w:val="0"/>
              </w:rPr>
              <w:t>煤场</w:t>
            </w: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13.1</w:t>
            </w:r>
          </w:p>
        </w:tc>
        <w:tc>
          <w:tcPr>
            <w:tcW w:w="2272" w:type="pct"/>
            <w:gridSpan w:val="2"/>
            <w:vAlign w:val="center"/>
          </w:tcPr>
          <w:p w:rsidR="000C2455" w:rsidRPr="00687B52" w:rsidRDefault="000C2455" w:rsidP="003E1D2A">
            <w:pPr>
              <w:widowControl/>
              <w:spacing w:line="320" w:lineRule="exact"/>
              <w:jc w:val="left"/>
              <w:rPr>
                <w:rFonts w:ascii="Times New Roman" w:hAnsi="Times New Roman"/>
                <w:color w:val="000000" w:themeColor="text1"/>
                <w:kern w:val="0"/>
                <w:szCs w:val="21"/>
              </w:rPr>
            </w:pPr>
            <w:r w:rsidRPr="00687B52">
              <w:rPr>
                <w:rFonts w:ascii="Times New Roman" w:hAnsi="Times New Roman"/>
                <w:color w:val="000000" w:themeColor="text1"/>
                <w:sz w:val="24"/>
                <w:szCs w:val="21"/>
              </w:rPr>
              <w:t>煤的堆超过</w:t>
            </w:r>
            <w:r w:rsidRPr="00687B52">
              <w:rPr>
                <w:rFonts w:ascii="Times New Roman" w:hAnsi="Times New Roman"/>
                <w:color w:val="000000" w:themeColor="text1"/>
                <w:sz w:val="24"/>
                <w:szCs w:val="21"/>
              </w:rPr>
              <w:t>3</w:t>
            </w:r>
            <w:r w:rsidRPr="00687B52">
              <w:rPr>
                <w:rFonts w:ascii="Times New Roman" w:hAnsi="Times New Roman"/>
                <w:color w:val="000000" w:themeColor="text1"/>
                <w:sz w:val="24"/>
                <w:szCs w:val="21"/>
              </w:rPr>
              <w:t>米，堆放期一般不宜超过三个月，应定期测量煤堆上、中下三层不同方位煤层的温度。当温度达到</w:t>
            </w:r>
            <w:r w:rsidRPr="00687B52">
              <w:rPr>
                <w:rFonts w:ascii="Times New Roman" w:hAnsi="Times New Roman"/>
                <w:color w:val="000000" w:themeColor="text1"/>
                <w:sz w:val="24"/>
                <w:szCs w:val="21"/>
              </w:rPr>
              <w:t>50</w:t>
            </w:r>
            <w:r w:rsidRPr="00687B52">
              <w:rPr>
                <w:rFonts w:ascii="Times New Roman" w:hAnsi="Times New Roman"/>
                <w:color w:val="000000" w:themeColor="text1"/>
                <w:sz w:val="24"/>
                <w:szCs w:val="21"/>
                <w:vertAlign w:val="superscript"/>
              </w:rPr>
              <w:t>o</w:t>
            </w:r>
            <w:r w:rsidRPr="00687B52">
              <w:rPr>
                <w:rFonts w:ascii="Times New Roman" w:hAnsi="Times New Roman"/>
                <w:color w:val="000000" w:themeColor="text1"/>
                <w:sz w:val="24"/>
                <w:szCs w:val="21"/>
              </w:rPr>
              <w:t>C</w:t>
            </w:r>
            <w:r w:rsidRPr="00687B52">
              <w:rPr>
                <w:rFonts w:ascii="Times New Roman" w:hAnsi="Times New Roman"/>
                <w:color w:val="000000" w:themeColor="text1"/>
                <w:sz w:val="24"/>
                <w:szCs w:val="21"/>
              </w:rPr>
              <w:t>时，要加强监测，达</w:t>
            </w:r>
            <w:r w:rsidRPr="00687B52">
              <w:rPr>
                <w:rFonts w:ascii="Times New Roman" w:hAnsi="Times New Roman"/>
                <w:color w:val="000000" w:themeColor="text1"/>
                <w:sz w:val="24"/>
                <w:szCs w:val="21"/>
              </w:rPr>
              <w:t>60</w:t>
            </w:r>
            <w:r w:rsidRPr="00687B52">
              <w:rPr>
                <w:rFonts w:ascii="Times New Roman" w:hAnsi="Times New Roman"/>
                <w:color w:val="000000" w:themeColor="text1"/>
                <w:sz w:val="24"/>
                <w:szCs w:val="21"/>
                <w:vertAlign w:val="superscript"/>
              </w:rPr>
              <w:t>o</w:t>
            </w:r>
            <w:r w:rsidRPr="00687B52">
              <w:rPr>
                <w:rFonts w:ascii="Times New Roman" w:hAnsi="Times New Roman"/>
                <w:color w:val="000000" w:themeColor="text1"/>
                <w:sz w:val="24"/>
                <w:szCs w:val="21"/>
              </w:rPr>
              <w:t>C</w:t>
            </w:r>
            <w:r w:rsidRPr="00687B52">
              <w:rPr>
                <w:rFonts w:ascii="Times New Roman" w:hAnsi="Times New Roman"/>
                <w:color w:val="000000" w:themeColor="text1"/>
                <w:sz w:val="24"/>
                <w:szCs w:val="21"/>
              </w:rPr>
              <w:t>时应采取措施及时处理，防止煤层自然。原煤进厂要进行煤质分析，对挥发物、硫分和水分含量较高的煤应设置多孔通风篓，防止煤堆自燃着火。</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w:t>
            </w:r>
            <w:r w:rsidRPr="00687B52">
              <w:rPr>
                <w:rFonts w:hAnsi="Times New Roman"/>
                <w:color w:val="000000" w:themeColor="text1"/>
              </w:rPr>
              <w:t>原料</w:t>
            </w:r>
            <w:r w:rsidRPr="00687B52">
              <w:rPr>
                <w:rFonts w:hAnsi="Times New Roman"/>
                <w:color w:val="000000" w:themeColor="text1"/>
              </w:rPr>
              <w:t>3.1.1</w:t>
            </w:r>
            <w:r w:rsidRPr="00687B52">
              <w:rPr>
                <w:rFonts w:hAnsi="Times New Roman"/>
                <w:color w:val="000000" w:themeColor="text1"/>
              </w:rPr>
              <w:t>煤</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3.1.1.1</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13.2</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Cs w:val="21"/>
              </w:rPr>
            </w:pPr>
            <w:r w:rsidRPr="00687B52">
              <w:rPr>
                <w:rFonts w:ascii="Times New Roman" w:hAnsi="Times New Roman"/>
                <w:color w:val="000000" w:themeColor="text1"/>
                <w:sz w:val="24"/>
                <w:szCs w:val="21"/>
              </w:rPr>
              <w:t>贮煤场的地下不得辅设电缆、采暖管道和可燃、易燃液体及气体管道。</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w:t>
            </w:r>
            <w:r w:rsidRPr="00687B52">
              <w:rPr>
                <w:rFonts w:hAnsi="Times New Roman"/>
                <w:color w:val="000000" w:themeColor="text1"/>
              </w:rPr>
              <w:t>原料</w:t>
            </w:r>
            <w:r w:rsidRPr="00687B52">
              <w:rPr>
                <w:rFonts w:hAnsi="Times New Roman"/>
                <w:color w:val="000000" w:themeColor="text1"/>
              </w:rPr>
              <w:t>3.1.1</w:t>
            </w:r>
            <w:r w:rsidRPr="00687B52">
              <w:rPr>
                <w:rFonts w:hAnsi="Times New Roman"/>
                <w:color w:val="000000" w:themeColor="text1"/>
              </w:rPr>
              <w:t>煤</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3.1.1.2</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13.3</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Cs w:val="21"/>
              </w:rPr>
            </w:pPr>
            <w:r w:rsidRPr="00687B52">
              <w:rPr>
                <w:rFonts w:ascii="Times New Roman" w:hAnsi="Times New Roman"/>
                <w:color w:val="000000" w:themeColor="text1"/>
                <w:sz w:val="24"/>
                <w:szCs w:val="21"/>
              </w:rPr>
              <w:t>堆煤厂房应采用非燃烧的材料建造，要有良好的通风条件，煤堆顶部距房顶不宜小于</w:t>
            </w:r>
            <w:r w:rsidRPr="00687B52">
              <w:rPr>
                <w:rFonts w:ascii="Times New Roman" w:hAnsi="Times New Roman"/>
                <w:color w:val="000000" w:themeColor="text1"/>
                <w:sz w:val="24"/>
                <w:szCs w:val="21"/>
              </w:rPr>
              <w:t>1.9</w:t>
            </w:r>
            <w:r w:rsidRPr="00687B52">
              <w:rPr>
                <w:rFonts w:ascii="Times New Roman" w:hAnsi="Times New Roman"/>
                <w:color w:val="000000" w:themeColor="text1"/>
                <w:sz w:val="24"/>
                <w:szCs w:val="21"/>
              </w:rPr>
              <w:t>米，墙壁要有足够的耐压强度。煤场应备有一定的消防器材。</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w:t>
            </w:r>
            <w:r w:rsidRPr="00687B52">
              <w:rPr>
                <w:rFonts w:hAnsi="Times New Roman"/>
                <w:color w:val="000000" w:themeColor="text1"/>
              </w:rPr>
              <w:t>原料</w:t>
            </w:r>
            <w:r w:rsidRPr="00687B52">
              <w:rPr>
                <w:rFonts w:hAnsi="Times New Roman"/>
                <w:color w:val="000000" w:themeColor="text1"/>
              </w:rPr>
              <w:t>3.1.1</w:t>
            </w:r>
            <w:r w:rsidRPr="00687B52">
              <w:rPr>
                <w:rFonts w:hAnsi="Times New Roman"/>
                <w:color w:val="000000" w:themeColor="text1"/>
              </w:rPr>
              <w:t>煤</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3.1.1.3</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13.4</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Cs w:val="21"/>
              </w:rPr>
            </w:pPr>
            <w:r w:rsidRPr="00687B52">
              <w:rPr>
                <w:rFonts w:ascii="Times New Roman" w:hAnsi="Times New Roman"/>
                <w:color w:val="000000" w:themeColor="text1"/>
                <w:sz w:val="24"/>
                <w:szCs w:val="21"/>
              </w:rPr>
              <w:t>煤场的各边坡面倾斜度应为</w:t>
            </w:r>
            <w:r w:rsidRPr="00687B52">
              <w:rPr>
                <w:rFonts w:ascii="Times New Roman" w:hAnsi="Times New Roman"/>
                <w:color w:val="000000" w:themeColor="text1"/>
                <w:sz w:val="24"/>
                <w:szCs w:val="21"/>
              </w:rPr>
              <w:t>40</w:t>
            </w:r>
            <w:r w:rsidRPr="00687B52">
              <w:rPr>
                <w:rFonts w:ascii="Times New Roman" w:hAnsi="Times New Roman"/>
                <w:color w:val="000000" w:themeColor="text1"/>
                <w:sz w:val="24"/>
                <w:szCs w:val="21"/>
              </w:rPr>
              <w:t>～</w:t>
            </w:r>
            <w:r w:rsidRPr="00687B52">
              <w:rPr>
                <w:rFonts w:ascii="Times New Roman" w:hAnsi="Times New Roman"/>
                <w:color w:val="000000" w:themeColor="text1"/>
                <w:sz w:val="24"/>
                <w:szCs w:val="21"/>
              </w:rPr>
              <w:t>45</w:t>
            </w:r>
            <w:r w:rsidRPr="00687B52">
              <w:rPr>
                <w:rFonts w:ascii="Times New Roman" w:hAnsi="Times New Roman"/>
                <w:color w:val="000000" w:themeColor="text1"/>
                <w:sz w:val="24"/>
                <w:szCs w:val="21"/>
              </w:rPr>
              <w:t>度，煤场的通道宽度不应小于</w:t>
            </w:r>
            <w:r w:rsidRPr="00687B52">
              <w:rPr>
                <w:rFonts w:ascii="Times New Roman" w:hAnsi="Times New Roman"/>
                <w:color w:val="000000" w:themeColor="text1"/>
                <w:sz w:val="24"/>
                <w:szCs w:val="21"/>
              </w:rPr>
              <w:t>4</w:t>
            </w:r>
            <w:r w:rsidRPr="00687B52">
              <w:rPr>
                <w:rFonts w:ascii="Times New Roman" w:hAnsi="Times New Roman"/>
                <w:color w:val="000000" w:themeColor="text1"/>
                <w:sz w:val="24"/>
                <w:szCs w:val="21"/>
              </w:rPr>
              <w:t>米，堆与堆的最小间距应不小于</w:t>
            </w:r>
            <w:r w:rsidRPr="00687B52">
              <w:rPr>
                <w:rFonts w:ascii="Times New Roman" w:hAnsi="Times New Roman"/>
                <w:color w:val="000000" w:themeColor="text1"/>
                <w:sz w:val="24"/>
                <w:szCs w:val="21"/>
              </w:rPr>
              <w:t>2</w:t>
            </w:r>
            <w:r w:rsidRPr="00687B52">
              <w:rPr>
                <w:rFonts w:ascii="Times New Roman" w:hAnsi="Times New Roman"/>
                <w:color w:val="000000" w:themeColor="text1"/>
                <w:sz w:val="24"/>
                <w:szCs w:val="21"/>
              </w:rPr>
              <w:t>米。</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w:t>
            </w:r>
            <w:r w:rsidRPr="00687B52">
              <w:rPr>
                <w:rFonts w:hAnsi="Times New Roman"/>
                <w:color w:val="000000" w:themeColor="text1"/>
              </w:rPr>
              <w:t>原料</w:t>
            </w:r>
            <w:r w:rsidRPr="00687B52">
              <w:rPr>
                <w:rFonts w:hAnsi="Times New Roman"/>
                <w:color w:val="000000" w:themeColor="text1"/>
              </w:rPr>
              <w:t>3.1.1</w:t>
            </w:r>
            <w:r w:rsidRPr="00687B52">
              <w:rPr>
                <w:rFonts w:hAnsi="Times New Roman"/>
                <w:color w:val="000000" w:themeColor="text1"/>
              </w:rPr>
              <w:t>煤</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3.1.1.4</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13.5</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sz w:val="24"/>
                <w:szCs w:val="21"/>
              </w:rPr>
            </w:pPr>
            <w:r w:rsidRPr="00687B52">
              <w:rPr>
                <w:rFonts w:ascii="Times New Roman" w:hAnsi="Times New Roman"/>
                <w:color w:val="000000" w:themeColor="text1"/>
                <w:sz w:val="24"/>
                <w:szCs w:val="21"/>
              </w:rPr>
              <w:t>取煤时，禁止挖空煤堆底脚。发现边坡有裂缝、有疏松预兆，应迅速处理至正常坡度，方可重新装车。</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w:t>
            </w:r>
            <w:r w:rsidRPr="00687B52">
              <w:rPr>
                <w:rFonts w:hAnsi="Times New Roman"/>
                <w:color w:val="000000" w:themeColor="text1"/>
              </w:rPr>
              <w:t>原料</w:t>
            </w:r>
            <w:r w:rsidRPr="00687B52">
              <w:rPr>
                <w:rFonts w:hAnsi="Times New Roman"/>
                <w:color w:val="000000" w:themeColor="text1"/>
              </w:rPr>
              <w:t>3.1.1</w:t>
            </w:r>
            <w:r w:rsidRPr="00687B52">
              <w:rPr>
                <w:rFonts w:hAnsi="Times New Roman"/>
                <w:color w:val="000000" w:themeColor="text1"/>
              </w:rPr>
              <w:t>煤</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3.1.1.5</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lastRenderedPageBreak/>
              <w:t>13.</w:t>
            </w:r>
            <w:r w:rsidRPr="00687B52">
              <w:rPr>
                <w:rFonts w:hAnsi="Times New Roman" w:hint="eastAsia"/>
                <w:color w:val="000000" w:themeColor="text1"/>
                <w:szCs w:val="24"/>
              </w:rPr>
              <w:t>6</w:t>
            </w:r>
          </w:p>
        </w:tc>
        <w:tc>
          <w:tcPr>
            <w:tcW w:w="2272" w:type="pct"/>
            <w:gridSpan w:val="2"/>
            <w:vAlign w:val="center"/>
          </w:tcPr>
          <w:p w:rsidR="000C2455" w:rsidRPr="00687B52" w:rsidRDefault="000C2455" w:rsidP="003E1D2A">
            <w:pPr>
              <w:spacing w:line="320" w:lineRule="exact"/>
              <w:rPr>
                <w:rFonts w:ascii="Times New Roman" w:hAnsi="Times New Roman"/>
                <w:color w:val="000000" w:themeColor="text1"/>
                <w:sz w:val="24"/>
                <w:szCs w:val="21"/>
              </w:rPr>
            </w:pPr>
            <w:r w:rsidRPr="00687B52">
              <w:rPr>
                <w:rFonts w:ascii="Times New Roman" w:hAnsi="Times New Roman"/>
                <w:color w:val="000000" w:themeColor="text1"/>
                <w:sz w:val="24"/>
                <w:szCs w:val="21"/>
              </w:rPr>
              <w:t>利用变换气碳化，装球运行前及切气出球前，都要用蒸汽（也可用氮气、纯净二氧化碳等其他惰性气体）进行置换，防止罐内变换气和空气混合形成爆炸性气体。</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w:t>
            </w:r>
            <w:r w:rsidRPr="00687B52">
              <w:rPr>
                <w:rFonts w:hAnsi="Times New Roman"/>
                <w:color w:val="000000" w:themeColor="text1"/>
              </w:rPr>
              <w:t>原料</w:t>
            </w:r>
            <w:r w:rsidRPr="00687B52">
              <w:rPr>
                <w:rFonts w:hAnsi="Times New Roman"/>
                <w:color w:val="000000" w:themeColor="text1"/>
              </w:rPr>
              <w:t>3.1.1</w:t>
            </w:r>
            <w:r w:rsidRPr="00687B52">
              <w:rPr>
                <w:rFonts w:hAnsi="Times New Roman"/>
                <w:color w:val="000000" w:themeColor="text1"/>
              </w:rPr>
              <w:t>煤</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3.1.1.7</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13.</w:t>
            </w:r>
            <w:r w:rsidRPr="00687B52">
              <w:rPr>
                <w:rFonts w:hAnsi="Times New Roman" w:hint="eastAsia"/>
                <w:color w:val="000000" w:themeColor="text1"/>
                <w:szCs w:val="24"/>
              </w:rPr>
              <w:t>7</w:t>
            </w:r>
          </w:p>
        </w:tc>
        <w:tc>
          <w:tcPr>
            <w:tcW w:w="2272" w:type="pct"/>
            <w:gridSpan w:val="2"/>
            <w:vAlign w:val="center"/>
          </w:tcPr>
          <w:p w:rsidR="000C2455" w:rsidRPr="00687B52" w:rsidRDefault="000C2455" w:rsidP="003E1D2A">
            <w:pPr>
              <w:pStyle w:val="a7"/>
              <w:jc w:val="left"/>
              <w:rPr>
                <w:rFonts w:hAnsi="Times New Roman"/>
                <w:color w:val="000000" w:themeColor="text1"/>
                <w:szCs w:val="24"/>
              </w:rPr>
            </w:pPr>
            <w:r w:rsidRPr="00687B52">
              <w:rPr>
                <w:rFonts w:hAnsi="Times New Roman"/>
                <w:color w:val="000000" w:themeColor="text1"/>
                <w:kern w:val="0"/>
              </w:rPr>
              <w:t>皮带运输机应装设紧急停车装置。严禁在皮带运输机上行走或坐卧休息。禁止在皮带运输机上任意放置器具、材料、物件。穿越皮带运输机时，应从设置的</w:t>
            </w:r>
            <w:r w:rsidRPr="00687B52">
              <w:rPr>
                <w:rFonts w:hAnsi="Times New Roman"/>
                <w:color w:val="000000" w:themeColor="text1"/>
                <w:kern w:val="0"/>
              </w:rPr>
              <w:t>“</w:t>
            </w:r>
            <w:r w:rsidRPr="00687B52">
              <w:rPr>
                <w:rFonts w:hAnsi="Times New Roman"/>
                <w:color w:val="000000" w:themeColor="text1"/>
                <w:kern w:val="0"/>
              </w:rPr>
              <w:t>过桥</w:t>
            </w:r>
            <w:r w:rsidRPr="00687B52">
              <w:rPr>
                <w:rFonts w:hAnsi="Times New Roman"/>
                <w:color w:val="000000" w:themeColor="text1"/>
                <w:kern w:val="0"/>
              </w:rPr>
              <w:t>”</w:t>
            </w:r>
            <w:r w:rsidRPr="00687B52">
              <w:rPr>
                <w:rFonts w:hAnsi="Times New Roman"/>
                <w:color w:val="000000" w:themeColor="text1"/>
                <w:kern w:val="0"/>
              </w:rPr>
              <w:t>上通过。清理皮带上杂物或排除故障必须停机，并切断电源、挂警示牌（按钮停车不算有效断电）。</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w:t>
            </w:r>
            <w:r w:rsidRPr="00687B52">
              <w:rPr>
                <w:rFonts w:hAnsi="Times New Roman"/>
                <w:color w:val="000000" w:themeColor="text1"/>
              </w:rPr>
              <w:t>原料</w:t>
            </w:r>
            <w:r w:rsidRPr="00687B52">
              <w:rPr>
                <w:rFonts w:hAnsi="Times New Roman"/>
                <w:color w:val="000000" w:themeColor="text1"/>
              </w:rPr>
              <w:t>3.1.1</w:t>
            </w:r>
            <w:r w:rsidRPr="00687B52">
              <w:rPr>
                <w:rFonts w:hAnsi="Times New Roman"/>
                <w:color w:val="000000" w:themeColor="text1"/>
              </w:rPr>
              <w:t>煤</w:t>
            </w:r>
          </w:p>
          <w:p w:rsidR="000C2455" w:rsidRPr="00687B52" w:rsidRDefault="000C2455" w:rsidP="003E1D2A">
            <w:pPr>
              <w:pStyle w:val="a7"/>
              <w:rPr>
                <w:rFonts w:hAnsi="Times New Roman"/>
                <w:color w:val="000000" w:themeColor="text1"/>
                <w:szCs w:val="24"/>
              </w:rPr>
            </w:pPr>
            <w:r w:rsidRPr="00687B52">
              <w:rPr>
                <w:rFonts w:hAnsi="Times New Roman"/>
                <w:color w:val="000000" w:themeColor="text1"/>
              </w:rPr>
              <w:t>3.1.1.10</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13.</w:t>
            </w:r>
            <w:r w:rsidRPr="00687B52">
              <w:rPr>
                <w:rFonts w:hAnsi="Times New Roman" w:hint="eastAsia"/>
                <w:color w:val="000000" w:themeColor="text1"/>
                <w:szCs w:val="24"/>
              </w:rPr>
              <w:t>8</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原料进入粉碎机前，应有消除杂物的吸铁装置，以防损坏制造煤球（棒）的设备。</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w:t>
            </w:r>
            <w:r w:rsidRPr="00687B52">
              <w:rPr>
                <w:rFonts w:hAnsi="Times New Roman"/>
                <w:color w:val="000000" w:themeColor="text1"/>
              </w:rPr>
              <w:t>原料</w:t>
            </w:r>
            <w:r w:rsidRPr="00687B52">
              <w:rPr>
                <w:rFonts w:hAnsi="Times New Roman"/>
                <w:color w:val="000000" w:themeColor="text1"/>
              </w:rPr>
              <w:t>3.1.1</w:t>
            </w:r>
            <w:r w:rsidRPr="00687B52">
              <w:rPr>
                <w:rFonts w:hAnsi="Times New Roman"/>
                <w:color w:val="000000" w:themeColor="text1"/>
              </w:rPr>
              <w:t>煤</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3.1.1.11</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13.</w:t>
            </w:r>
            <w:r w:rsidRPr="00687B52">
              <w:rPr>
                <w:rFonts w:hAnsi="Times New Roman" w:hint="eastAsia"/>
                <w:color w:val="000000" w:themeColor="text1"/>
                <w:szCs w:val="24"/>
              </w:rPr>
              <w:t>9</w:t>
            </w:r>
          </w:p>
        </w:tc>
        <w:tc>
          <w:tcPr>
            <w:tcW w:w="2272" w:type="pct"/>
            <w:gridSpan w:val="2"/>
            <w:vAlign w:val="center"/>
          </w:tcPr>
          <w:p w:rsidR="000C2455" w:rsidRPr="00687B52" w:rsidRDefault="000C2455" w:rsidP="003E1D2A">
            <w:pPr>
              <w:pStyle w:val="a7"/>
              <w:jc w:val="left"/>
              <w:rPr>
                <w:rFonts w:hAnsi="Times New Roman"/>
                <w:color w:val="000000" w:themeColor="text1"/>
              </w:rPr>
            </w:pPr>
            <w:r w:rsidRPr="00687B52">
              <w:rPr>
                <w:rFonts w:hAnsi="Times New Roman"/>
                <w:color w:val="000000" w:themeColor="text1"/>
                <w:kern w:val="0"/>
              </w:rPr>
              <w:t>严禁在煤球成型机两辊轮间捣捅物料。在清理鼠笼粉碎机进，必须拉开电源闸刀，挂上警告牌，并取下保险丝，确保安全。</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w:t>
            </w:r>
            <w:r w:rsidRPr="00687B52">
              <w:rPr>
                <w:rFonts w:hAnsi="Times New Roman"/>
                <w:color w:val="000000" w:themeColor="text1"/>
              </w:rPr>
              <w:t>原料</w:t>
            </w:r>
            <w:r w:rsidRPr="00687B52">
              <w:rPr>
                <w:rFonts w:hAnsi="Times New Roman"/>
                <w:color w:val="000000" w:themeColor="text1"/>
              </w:rPr>
              <w:t>3.1.1</w:t>
            </w:r>
            <w:r w:rsidRPr="00687B52">
              <w:rPr>
                <w:rFonts w:hAnsi="Times New Roman"/>
                <w:color w:val="000000" w:themeColor="text1"/>
              </w:rPr>
              <w:t>煤</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3.1.1.12</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13.1</w:t>
            </w:r>
            <w:r w:rsidRPr="00687B52">
              <w:rPr>
                <w:rFonts w:hAnsi="Times New Roman" w:hint="eastAsia"/>
                <w:color w:val="000000" w:themeColor="text1"/>
                <w:szCs w:val="24"/>
              </w:rPr>
              <w:t>0</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皮带传动应符合以下安全要求：</w:t>
            </w:r>
          </w:p>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hint="eastAsia"/>
                <w:color w:val="000000" w:themeColor="text1"/>
                <w:kern w:val="0"/>
                <w:sz w:val="24"/>
                <w:szCs w:val="21"/>
              </w:rPr>
              <w:t>1</w:t>
            </w:r>
            <w:r w:rsidRPr="00687B52">
              <w:rPr>
                <w:rFonts w:ascii="Times New Roman" w:hAnsi="Times New Roman" w:hint="eastAsia"/>
                <w:color w:val="000000" w:themeColor="text1"/>
                <w:kern w:val="0"/>
                <w:sz w:val="24"/>
                <w:szCs w:val="21"/>
              </w:rPr>
              <w:t>）</w:t>
            </w:r>
            <w:r w:rsidRPr="00687B52">
              <w:rPr>
                <w:rFonts w:ascii="Times New Roman" w:hAnsi="Times New Roman"/>
                <w:color w:val="000000" w:themeColor="text1"/>
                <w:kern w:val="0"/>
                <w:sz w:val="24"/>
                <w:szCs w:val="21"/>
              </w:rPr>
              <w:t>禁止使用带凹坑、毛刺、裂纹等缺陷的皮带轮。</w:t>
            </w:r>
          </w:p>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hint="eastAsia"/>
                <w:color w:val="000000" w:themeColor="text1"/>
                <w:kern w:val="0"/>
                <w:sz w:val="24"/>
                <w:szCs w:val="21"/>
              </w:rPr>
              <w:t>2</w:t>
            </w:r>
            <w:r w:rsidRPr="00687B52">
              <w:rPr>
                <w:rFonts w:ascii="Times New Roman" w:hAnsi="Times New Roman" w:hint="eastAsia"/>
                <w:color w:val="000000" w:themeColor="text1"/>
                <w:kern w:val="0"/>
                <w:sz w:val="24"/>
                <w:szCs w:val="21"/>
              </w:rPr>
              <w:t>）</w:t>
            </w:r>
            <w:r w:rsidRPr="00687B52">
              <w:rPr>
                <w:rFonts w:ascii="Times New Roman" w:hAnsi="Times New Roman"/>
                <w:color w:val="000000" w:themeColor="text1"/>
                <w:kern w:val="0"/>
                <w:sz w:val="24"/>
                <w:szCs w:val="21"/>
              </w:rPr>
              <w:t>在易燃易爆危险场所安装皮带传动装置，应设有导除静电的装置。</w:t>
            </w:r>
          </w:p>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hint="eastAsia"/>
                <w:color w:val="000000" w:themeColor="text1"/>
                <w:kern w:val="0"/>
                <w:sz w:val="24"/>
                <w:szCs w:val="21"/>
              </w:rPr>
              <w:t>3</w:t>
            </w:r>
            <w:r w:rsidRPr="00687B52">
              <w:rPr>
                <w:rFonts w:ascii="Times New Roman" w:hAnsi="Times New Roman" w:hint="eastAsia"/>
                <w:color w:val="000000" w:themeColor="text1"/>
                <w:kern w:val="0"/>
                <w:sz w:val="24"/>
                <w:szCs w:val="21"/>
              </w:rPr>
              <w:t>）</w:t>
            </w:r>
            <w:r w:rsidRPr="00687B52">
              <w:rPr>
                <w:rFonts w:ascii="Times New Roman" w:hAnsi="Times New Roman"/>
                <w:color w:val="000000" w:themeColor="text1"/>
                <w:kern w:val="0"/>
                <w:sz w:val="24"/>
                <w:szCs w:val="21"/>
              </w:rPr>
              <w:t>皮带机的两侧应设置防护栏杆，皮带安全罩应大于皮带宽度</w:t>
            </w:r>
            <w:r w:rsidRPr="00687B52">
              <w:rPr>
                <w:rFonts w:ascii="Times New Roman" w:hAnsi="Times New Roman"/>
                <w:color w:val="000000" w:themeColor="text1"/>
                <w:kern w:val="0"/>
                <w:sz w:val="24"/>
                <w:szCs w:val="21"/>
              </w:rPr>
              <w:t>50</w:t>
            </w:r>
            <w:r w:rsidRPr="00687B52">
              <w:rPr>
                <w:rFonts w:ascii="Times New Roman" w:hAnsi="Times New Roman"/>
                <w:color w:val="000000" w:themeColor="text1"/>
                <w:kern w:val="0"/>
                <w:sz w:val="24"/>
                <w:szCs w:val="21"/>
              </w:rPr>
              <w:t>毫米。</w:t>
            </w:r>
          </w:p>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hint="eastAsia"/>
                <w:color w:val="000000" w:themeColor="text1"/>
                <w:kern w:val="0"/>
                <w:sz w:val="24"/>
                <w:szCs w:val="21"/>
              </w:rPr>
              <w:t>4</w:t>
            </w:r>
            <w:r w:rsidRPr="00687B52">
              <w:rPr>
                <w:rFonts w:ascii="Times New Roman" w:hAnsi="Times New Roman" w:hint="eastAsia"/>
                <w:color w:val="000000" w:themeColor="text1"/>
                <w:kern w:val="0"/>
                <w:sz w:val="24"/>
                <w:szCs w:val="21"/>
              </w:rPr>
              <w:t>）</w:t>
            </w:r>
            <w:r w:rsidRPr="00687B52">
              <w:rPr>
                <w:rFonts w:ascii="Times New Roman" w:hAnsi="Times New Roman"/>
                <w:color w:val="000000" w:themeColor="text1"/>
                <w:kern w:val="0"/>
                <w:sz w:val="24"/>
                <w:szCs w:val="21"/>
              </w:rPr>
              <w:t>较长的皮带输送机，应每隔</w:t>
            </w:r>
            <w:r w:rsidRPr="00687B52">
              <w:rPr>
                <w:rFonts w:ascii="Times New Roman" w:hAnsi="Times New Roman"/>
                <w:color w:val="000000" w:themeColor="text1"/>
                <w:kern w:val="0"/>
                <w:sz w:val="24"/>
                <w:szCs w:val="21"/>
              </w:rPr>
              <w:t>20</w:t>
            </w:r>
            <w:r w:rsidRPr="00687B52">
              <w:rPr>
                <w:rFonts w:ascii="Times New Roman" w:hAnsi="Times New Roman"/>
                <w:color w:val="000000" w:themeColor="text1"/>
                <w:kern w:val="0"/>
                <w:sz w:val="24"/>
                <w:szCs w:val="21"/>
              </w:rPr>
              <w:t>米设有事故紧急停车装置。</w:t>
            </w:r>
          </w:p>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hint="eastAsia"/>
                <w:color w:val="000000" w:themeColor="text1"/>
                <w:kern w:val="0"/>
                <w:sz w:val="24"/>
                <w:szCs w:val="21"/>
              </w:rPr>
              <w:t>5</w:t>
            </w:r>
            <w:r w:rsidRPr="00687B52">
              <w:rPr>
                <w:rFonts w:ascii="Times New Roman" w:hAnsi="Times New Roman" w:hint="eastAsia"/>
                <w:color w:val="000000" w:themeColor="text1"/>
                <w:kern w:val="0"/>
                <w:sz w:val="24"/>
                <w:szCs w:val="21"/>
              </w:rPr>
              <w:t>）</w:t>
            </w:r>
            <w:r w:rsidRPr="00687B52">
              <w:rPr>
                <w:rFonts w:ascii="Times New Roman" w:hAnsi="Times New Roman"/>
                <w:color w:val="000000" w:themeColor="text1"/>
                <w:kern w:val="0"/>
                <w:sz w:val="24"/>
                <w:szCs w:val="21"/>
              </w:rPr>
              <w:t>凡低于地面的传动装置应辅设牢固的盖板。</w:t>
            </w:r>
          </w:p>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hint="eastAsia"/>
                <w:color w:val="000000" w:themeColor="text1"/>
                <w:kern w:val="0"/>
                <w:sz w:val="24"/>
                <w:szCs w:val="21"/>
              </w:rPr>
              <w:lastRenderedPageBreak/>
              <w:t>6</w:t>
            </w:r>
            <w:r w:rsidRPr="00687B52">
              <w:rPr>
                <w:rFonts w:ascii="Times New Roman" w:hAnsi="Times New Roman" w:hint="eastAsia"/>
                <w:color w:val="000000" w:themeColor="text1"/>
                <w:kern w:val="0"/>
                <w:sz w:val="24"/>
                <w:szCs w:val="21"/>
              </w:rPr>
              <w:t>）</w:t>
            </w:r>
            <w:r w:rsidRPr="00687B52">
              <w:rPr>
                <w:rFonts w:ascii="Times New Roman" w:hAnsi="Times New Roman"/>
                <w:color w:val="000000" w:themeColor="text1"/>
                <w:kern w:val="0"/>
                <w:sz w:val="24"/>
                <w:szCs w:val="21"/>
              </w:rPr>
              <w:t>凡高空架设的皮带输送机跨越通道时，应设置防护板。</w:t>
            </w:r>
          </w:p>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hint="eastAsia"/>
                <w:color w:val="000000" w:themeColor="text1"/>
                <w:kern w:val="0"/>
                <w:sz w:val="24"/>
                <w:szCs w:val="21"/>
              </w:rPr>
              <w:t>7</w:t>
            </w:r>
            <w:r w:rsidRPr="00687B52">
              <w:rPr>
                <w:rFonts w:ascii="Times New Roman" w:hAnsi="Times New Roman" w:hint="eastAsia"/>
                <w:color w:val="000000" w:themeColor="text1"/>
                <w:kern w:val="0"/>
                <w:sz w:val="24"/>
                <w:szCs w:val="21"/>
              </w:rPr>
              <w:t>）</w:t>
            </w:r>
            <w:r w:rsidRPr="00687B52">
              <w:rPr>
                <w:rFonts w:ascii="Times New Roman" w:hAnsi="Times New Roman"/>
                <w:color w:val="000000" w:themeColor="text1"/>
                <w:kern w:val="0"/>
                <w:sz w:val="24"/>
                <w:szCs w:val="21"/>
              </w:rPr>
              <w:t>移动式皮带输送机必须有防滑动、防倾覆的安全措施。</w:t>
            </w:r>
          </w:p>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hint="eastAsia"/>
                <w:color w:val="000000" w:themeColor="text1"/>
                <w:kern w:val="0"/>
                <w:sz w:val="24"/>
                <w:szCs w:val="21"/>
              </w:rPr>
              <w:t>8</w:t>
            </w:r>
            <w:r w:rsidRPr="00687B52">
              <w:rPr>
                <w:rFonts w:ascii="Times New Roman" w:hAnsi="Times New Roman" w:hint="eastAsia"/>
                <w:color w:val="000000" w:themeColor="text1"/>
                <w:kern w:val="0"/>
                <w:sz w:val="24"/>
                <w:szCs w:val="21"/>
              </w:rPr>
              <w:t>）</w:t>
            </w:r>
            <w:r w:rsidRPr="00687B52">
              <w:rPr>
                <w:rFonts w:ascii="Times New Roman" w:hAnsi="Times New Roman"/>
                <w:color w:val="000000" w:themeColor="text1"/>
                <w:kern w:val="0"/>
                <w:sz w:val="24"/>
                <w:szCs w:val="21"/>
              </w:rPr>
              <w:t>严禁皮带运输机带负荷启动。</w:t>
            </w:r>
          </w:p>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hint="eastAsia"/>
                <w:color w:val="000000" w:themeColor="text1"/>
                <w:kern w:val="0"/>
                <w:sz w:val="24"/>
                <w:szCs w:val="21"/>
              </w:rPr>
              <w:t>9</w:t>
            </w:r>
            <w:r w:rsidRPr="00687B52">
              <w:rPr>
                <w:rFonts w:ascii="Times New Roman" w:hAnsi="Times New Roman" w:hint="eastAsia"/>
                <w:color w:val="000000" w:themeColor="text1"/>
                <w:kern w:val="0"/>
                <w:sz w:val="24"/>
                <w:szCs w:val="21"/>
              </w:rPr>
              <w:t>）</w:t>
            </w:r>
            <w:r w:rsidRPr="00687B52">
              <w:rPr>
                <w:rFonts w:ascii="Times New Roman" w:hAnsi="Times New Roman"/>
                <w:color w:val="000000" w:themeColor="text1"/>
                <w:kern w:val="0"/>
                <w:sz w:val="24"/>
                <w:szCs w:val="21"/>
              </w:rPr>
              <w:t>皮带输送机在运行中，严禁进行铲、刮等清理作业。也不准用扫帚清扫和进行维修工作。</w:t>
            </w:r>
          </w:p>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hint="eastAsia"/>
                <w:color w:val="000000" w:themeColor="text1"/>
                <w:kern w:val="0"/>
                <w:sz w:val="24"/>
                <w:szCs w:val="21"/>
              </w:rPr>
              <w:t>10</w:t>
            </w:r>
            <w:r w:rsidRPr="00687B52">
              <w:rPr>
                <w:rFonts w:ascii="Times New Roman" w:hAnsi="Times New Roman" w:hint="eastAsia"/>
                <w:color w:val="000000" w:themeColor="text1"/>
                <w:kern w:val="0"/>
                <w:sz w:val="24"/>
                <w:szCs w:val="21"/>
              </w:rPr>
              <w:t>）</w:t>
            </w:r>
            <w:r w:rsidRPr="00687B52">
              <w:rPr>
                <w:rFonts w:ascii="Times New Roman" w:hAnsi="Times New Roman"/>
                <w:color w:val="000000" w:themeColor="text1"/>
                <w:kern w:val="0"/>
                <w:sz w:val="24"/>
                <w:szCs w:val="21"/>
              </w:rPr>
              <w:t>皮带机检修前，应办理检修许可证，切断电源，取下保险盒，并在电器按钮上挂</w:t>
            </w:r>
            <w:r w:rsidRPr="00687B52">
              <w:rPr>
                <w:rFonts w:ascii="Times New Roman" w:hAnsi="Times New Roman"/>
                <w:color w:val="000000" w:themeColor="text1"/>
                <w:kern w:val="0"/>
                <w:sz w:val="24"/>
                <w:szCs w:val="21"/>
              </w:rPr>
              <w:t>“</w:t>
            </w:r>
            <w:r w:rsidRPr="00687B52">
              <w:rPr>
                <w:rFonts w:ascii="Times New Roman" w:hAnsi="Times New Roman"/>
                <w:color w:val="000000" w:themeColor="text1"/>
                <w:kern w:val="0"/>
                <w:sz w:val="24"/>
                <w:szCs w:val="21"/>
              </w:rPr>
              <w:t>禁止合闸</w:t>
            </w:r>
            <w:r w:rsidRPr="00687B52">
              <w:rPr>
                <w:rFonts w:ascii="Times New Roman" w:hAnsi="Times New Roman"/>
                <w:color w:val="000000" w:themeColor="text1"/>
                <w:kern w:val="0"/>
                <w:sz w:val="24"/>
                <w:szCs w:val="21"/>
              </w:rPr>
              <w:t>”</w:t>
            </w:r>
            <w:r w:rsidRPr="00687B52">
              <w:rPr>
                <w:rFonts w:ascii="Times New Roman" w:hAnsi="Times New Roman"/>
                <w:color w:val="000000" w:themeColor="text1"/>
                <w:kern w:val="0"/>
                <w:sz w:val="24"/>
                <w:szCs w:val="21"/>
              </w:rPr>
              <w:t>的警告牌。</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lastRenderedPageBreak/>
              <w:t>《小氮肥安全技术规程》</w:t>
            </w:r>
          </w:p>
          <w:p w:rsidR="000C2455" w:rsidRPr="00687B52" w:rsidRDefault="000C2455" w:rsidP="003E1D2A">
            <w:pPr>
              <w:pStyle w:val="a7"/>
              <w:rPr>
                <w:rFonts w:hAnsi="Times New Roman"/>
                <w:color w:val="000000" w:themeColor="text1"/>
                <w:kern w:val="0"/>
              </w:rPr>
            </w:pPr>
            <w:r w:rsidRPr="00687B52">
              <w:rPr>
                <w:rFonts w:hAnsi="Times New Roman"/>
                <w:color w:val="000000" w:themeColor="text1"/>
                <w:kern w:val="0"/>
              </w:rPr>
              <w:t>4.3</w:t>
            </w:r>
            <w:r w:rsidRPr="00687B52">
              <w:rPr>
                <w:rFonts w:hAnsi="Times New Roman"/>
                <w:color w:val="000000" w:themeColor="text1"/>
                <w:kern w:val="0"/>
              </w:rPr>
              <w:t>传动装置</w:t>
            </w:r>
            <w:r w:rsidRPr="00687B52">
              <w:rPr>
                <w:rFonts w:hAnsi="Times New Roman"/>
                <w:color w:val="000000" w:themeColor="text1"/>
                <w:kern w:val="0"/>
              </w:rPr>
              <w:t>4.3.2</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b/>
                <w:color w:val="000000" w:themeColor="text1"/>
                <w:szCs w:val="24"/>
              </w:rPr>
            </w:pPr>
            <w:r w:rsidRPr="00687B52">
              <w:rPr>
                <w:rFonts w:hAnsi="Times New Roman"/>
                <w:b/>
                <w:color w:val="000000" w:themeColor="text1"/>
                <w:szCs w:val="24"/>
              </w:rPr>
              <w:lastRenderedPageBreak/>
              <w:t>14</w:t>
            </w:r>
          </w:p>
        </w:tc>
        <w:tc>
          <w:tcPr>
            <w:tcW w:w="4663" w:type="pct"/>
            <w:gridSpan w:val="4"/>
            <w:vAlign w:val="center"/>
          </w:tcPr>
          <w:p w:rsidR="000C2455" w:rsidRPr="00687B52" w:rsidRDefault="000C2455" w:rsidP="003E1D2A">
            <w:pPr>
              <w:pStyle w:val="a7"/>
              <w:jc w:val="both"/>
              <w:rPr>
                <w:rFonts w:hAnsi="Times New Roman"/>
                <w:color w:val="000000" w:themeColor="text1"/>
                <w:szCs w:val="24"/>
              </w:rPr>
            </w:pPr>
            <w:r w:rsidRPr="00687B52">
              <w:rPr>
                <w:rFonts w:hAnsi="Times New Roman"/>
                <w:b/>
                <w:color w:val="000000" w:themeColor="text1"/>
                <w:kern w:val="0"/>
              </w:rPr>
              <w:t>公用工程及辅助设施</w:t>
            </w:r>
            <w:r w:rsidRPr="00687B52">
              <w:rPr>
                <w:rFonts w:hAnsi="Times New Roman"/>
                <w:b/>
                <w:color w:val="000000" w:themeColor="text1"/>
                <w:kern w:val="0"/>
              </w:rPr>
              <w:t>-</w:t>
            </w:r>
            <w:r w:rsidRPr="00687B52">
              <w:rPr>
                <w:rFonts w:hAnsi="Times New Roman"/>
                <w:b/>
                <w:color w:val="000000" w:themeColor="text1"/>
                <w:kern w:val="0"/>
              </w:rPr>
              <w:t>重油</w:t>
            </w: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14.1</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4"/>
              </w:rPr>
            </w:pPr>
            <w:r w:rsidRPr="00687B52">
              <w:rPr>
                <w:rFonts w:ascii="Times New Roman" w:hAnsi="Times New Roman"/>
                <w:color w:val="000000" w:themeColor="text1"/>
                <w:kern w:val="0"/>
                <w:sz w:val="24"/>
                <w:szCs w:val="24"/>
              </w:rPr>
              <w:t>重油贮罐应远离明火和能散发火花的地方，离厂房及其它生产装置</w:t>
            </w:r>
            <w:r w:rsidRPr="00687B52">
              <w:rPr>
                <w:rFonts w:ascii="Times New Roman" w:hAnsi="Times New Roman"/>
                <w:color w:val="000000" w:themeColor="text1"/>
                <w:kern w:val="0"/>
                <w:sz w:val="24"/>
                <w:szCs w:val="24"/>
              </w:rPr>
              <w:t>15</w:t>
            </w:r>
            <w:r w:rsidRPr="00687B52">
              <w:rPr>
                <w:rFonts w:ascii="Times New Roman" w:hAnsi="Times New Roman"/>
                <w:color w:val="000000" w:themeColor="text1"/>
                <w:kern w:val="0"/>
                <w:sz w:val="24"/>
                <w:szCs w:val="24"/>
              </w:rPr>
              <w:t>米以上，贮罐间距不应小于最大罐径的</w:t>
            </w:r>
            <w:r w:rsidRPr="00687B52">
              <w:rPr>
                <w:rFonts w:ascii="Times New Roman" w:hAnsi="Times New Roman"/>
                <w:color w:val="000000" w:themeColor="text1"/>
                <w:kern w:val="0"/>
                <w:sz w:val="24"/>
                <w:szCs w:val="24"/>
              </w:rPr>
              <w:t>1/2</w:t>
            </w:r>
            <w:r w:rsidRPr="00687B52">
              <w:rPr>
                <w:rFonts w:ascii="Times New Roman" w:hAnsi="Times New Roman"/>
                <w:color w:val="000000" w:themeColor="text1"/>
                <w:kern w:val="0"/>
                <w:sz w:val="24"/>
                <w:szCs w:val="24"/>
              </w:rPr>
              <w:t>。</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w:t>
            </w:r>
            <w:r w:rsidRPr="00687B52">
              <w:rPr>
                <w:rFonts w:hAnsi="Times New Roman"/>
                <w:color w:val="000000" w:themeColor="text1"/>
              </w:rPr>
              <w:t>原料</w:t>
            </w:r>
            <w:r w:rsidRPr="00687B52">
              <w:rPr>
                <w:rFonts w:hAnsi="Times New Roman"/>
                <w:color w:val="000000" w:themeColor="text1"/>
              </w:rPr>
              <w:t>3.1.2</w:t>
            </w:r>
            <w:r w:rsidRPr="00687B52">
              <w:rPr>
                <w:rFonts w:hAnsi="Times New Roman"/>
                <w:color w:val="000000" w:themeColor="text1"/>
              </w:rPr>
              <w:t>重油</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3.1.2.1</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14.2</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4"/>
              </w:rPr>
            </w:pPr>
            <w:r w:rsidRPr="00687B52">
              <w:rPr>
                <w:rFonts w:ascii="Times New Roman" w:hAnsi="Times New Roman"/>
                <w:color w:val="000000" w:themeColor="text1"/>
                <w:kern w:val="0"/>
                <w:sz w:val="24"/>
                <w:szCs w:val="24"/>
              </w:rPr>
              <w:t>重油贮罐的贮油量应控制在容积的</w:t>
            </w:r>
            <w:r w:rsidRPr="00687B52">
              <w:rPr>
                <w:rFonts w:ascii="Times New Roman" w:hAnsi="Times New Roman"/>
                <w:color w:val="000000" w:themeColor="text1"/>
                <w:kern w:val="0"/>
                <w:sz w:val="24"/>
                <w:szCs w:val="24"/>
              </w:rPr>
              <w:t>90</w:t>
            </w:r>
            <w:r w:rsidRPr="00687B52">
              <w:rPr>
                <w:rFonts w:ascii="Times New Roman" w:hAnsi="Times New Roman"/>
                <w:color w:val="000000" w:themeColor="text1"/>
                <w:kern w:val="0"/>
                <w:sz w:val="24"/>
                <w:szCs w:val="24"/>
              </w:rPr>
              <w:t>％以内，其油位应低于消防泡沫剂进口</w:t>
            </w:r>
            <w:r w:rsidRPr="00687B52">
              <w:rPr>
                <w:rFonts w:ascii="Times New Roman" w:hAnsi="Times New Roman"/>
                <w:color w:val="000000" w:themeColor="text1"/>
                <w:kern w:val="0"/>
                <w:sz w:val="24"/>
                <w:szCs w:val="24"/>
              </w:rPr>
              <w:t>400</w:t>
            </w:r>
            <w:r w:rsidRPr="00687B52">
              <w:rPr>
                <w:rFonts w:ascii="Times New Roman" w:hAnsi="Times New Roman"/>
                <w:color w:val="000000" w:themeColor="text1"/>
                <w:kern w:val="0"/>
                <w:sz w:val="24"/>
                <w:szCs w:val="24"/>
              </w:rPr>
              <w:t>毫米。</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w:t>
            </w:r>
            <w:r w:rsidRPr="00687B52">
              <w:rPr>
                <w:rFonts w:hAnsi="Times New Roman"/>
                <w:color w:val="000000" w:themeColor="text1"/>
              </w:rPr>
              <w:t>原料</w:t>
            </w:r>
            <w:r w:rsidRPr="00687B52">
              <w:rPr>
                <w:rFonts w:hAnsi="Times New Roman"/>
                <w:color w:val="000000" w:themeColor="text1"/>
              </w:rPr>
              <w:t>3.1.2</w:t>
            </w:r>
            <w:r w:rsidRPr="00687B52">
              <w:rPr>
                <w:rFonts w:hAnsi="Times New Roman"/>
                <w:color w:val="000000" w:themeColor="text1"/>
              </w:rPr>
              <w:t>重油</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3.1.2.2</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14.3</w:t>
            </w:r>
          </w:p>
        </w:tc>
        <w:tc>
          <w:tcPr>
            <w:tcW w:w="2272" w:type="pct"/>
            <w:gridSpan w:val="2"/>
            <w:vAlign w:val="center"/>
          </w:tcPr>
          <w:p w:rsidR="000C2455" w:rsidRPr="00687B52" w:rsidRDefault="000C2455" w:rsidP="003E1D2A">
            <w:pPr>
              <w:spacing w:line="320" w:lineRule="exact"/>
              <w:rPr>
                <w:rFonts w:ascii="Times New Roman" w:hAnsi="Times New Roman"/>
                <w:color w:val="000000" w:themeColor="text1"/>
                <w:kern w:val="0"/>
                <w:sz w:val="24"/>
                <w:szCs w:val="24"/>
              </w:rPr>
            </w:pPr>
            <w:r w:rsidRPr="00687B52">
              <w:rPr>
                <w:rFonts w:ascii="Times New Roman" w:hAnsi="Times New Roman"/>
                <w:color w:val="000000" w:themeColor="text1"/>
                <w:kern w:val="0"/>
                <w:sz w:val="24"/>
                <w:szCs w:val="24"/>
              </w:rPr>
              <w:t>重油贮罐必须设有良好的加热装置，一般以低压蒸汽保持长期均衡供热，罐内油温控制在</w:t>
            </w:r>
            <w:r w:rsidRPr="00687B52">
              <w:rPr>
                <w:rFonts w:ascii="Times New Roman" w:hAnsi="Times New Roman"/>
                <w:color w:val="000000" w:themeColor="text1"/>
                <w:kern w:val="0"/>
                <w:sz w:val="24"/>
                <w:szCs w:val="24"/>
              </w:rPr>
              <w:t>70</w:t>
            </w:r>
            <w:r w:rsidRPr="00687B52">
              <w:rPr>
                <w:rFonts w:ascii="Times New Roman" w:hAnsi="Times New Roman"/>
                <w:color w:val="000000" w:themeColor="text1"/>
                <w:kern w:val="0"/>
                <w:sz w:val="24"/>
                <w:szCs w:val="24"/>
              </w:rPr>
              <w:t>～</w:t>
            </w:r>
            <w:r w:rsidRPr="00687B52">
              <w:rPr>
                <w:rFonts w:ascii="Times New Roman" w:hAnsi="Times New Roman"/>
                <w:color w:val="000000" w:themeColor="text1"/>
                <w:kern w:val="0"/>
                <w:sz w:val="24"/>
                <w:szCs w:val="24"/>
              </w:rPr>
              <w:t>80</w:t>
            </w:r>
            <w:r w:rsidRPr="00687B52">
              <w:rPr>
                <w:rFonts w:ascii="Times New Roman" w:hAnsi="Times New Roman"/>
                <w:color w:val="000000" w:themeColor="text1"/>
                <w:kern w:val="0"/>
                <w:sz w:val="24"/>
                <w:szCs w:val="24"/>
                <w:vertAlign w:val="superscript"/>
              </w:rPr>
              <w:t>o</w:t>
            </w:r>
            <w:r w:rsidRPr="00687B52">
              <w:rPr>
                <w:rFonts w:ascii="Times New Roman" w:hAnsi="Times New Roman"/>
                <w:color w:val="000000" w:themeColor="text1"/>
                <w:kern w:val="0"/>
                <w:sz w:val="24"/>
                <w:szCs w:val="24"/>
              </w:rPr>
              <w:t>C</w:t>
            </w:r>
            <w:r w:rsidRPr="00687B52">
              <w:rPr>
                <w:rFonts w:ascii="Times New Roman" w:hAnsi="Times New Roman"/>
                <w:color w:val="000000" w:themeColor="text1"/>
                <w:kern w:val="0"/>
                <w:sz w:val="24"/>
                <w:szCs w:val="24"/>
              </w:rPr>
              <w:t>，最高温度不得超过</w:t>
            </w:r>
            <w:r w:rsidRPr="00687B52">
              <w:rPr>
                <w:rFonts w:ascii="Times New Roman" w:hAnsi="Times New Roman"/>
                <w:color w:val="000000" w:themeColor="text1"/>
                <w:kern w:val="0"/>
                <w:sz w:val="24"/>
                <w:szCs w:val="24"/>
              </w:rPr>
              <w:t>90</w:t>
            </w:r>
            <w:r w:rsidRPr="00687B52">
              <w:rPr>
                <w:rFonts w:ascii="Times New Roman" w:hAnsi="Times New Roman"/>
                <w:color w:val="000000" w:themeColor="text1"/>
                <w:kern w:val="0"/>
                <w:sz w:val="24"/>
                <w:szCs w:val="24"/>
                <w:vertAlign w:val="superscript"/>
              </w:rPr>
              <w:t>o</w:t>
            </w:r>
            <w:r w:rsidRPr="00687B52">
              <w:rPr>
                <w:rFonts w:ascii="Times New Roman" w:hAnsi="Times New Roman"/>
                <w:color w:val="000000" w:themeColor="text1"/>
                <w:kern w:val="0"/>
                <w:sz w:val="24"/>
                <w:szCs w:val="24"/>
              </w:rPr>
              <w:t>C</w:t>
            </w:r>
            <w:r w:rsidRPr="00687B52">
              <w:rPr>
                <w:rFonts w:ascii="Times New Roman" w:hAnsi="Times New Roman"/>
                <w:color w:val="000000" w:themeColor="text1"/>
                <w:kern w:val="0"/>
                <w:sz w:val="24"/>
                <w:szCs w:val="24"/>
              </w:rPr>
              <w:t>。</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w:t>
            </w:r>
            <w:r w:rsidRPr="00687B52">
              <w:rPr>
                <w:rFonts w:hAnsi="Times New Roman"/>
                <w:color w:val="000000" w:themeColor="text1"/>
              </w:rPr>
              <w:t>原料</w:t>
            </w:r>
            <w:r w:rsidRPr="00687B52">
              <w:rPr>
                <w:rFonts w:hAnsi="Times New Roman"/>
                <w:color w:val="000000" w:themeColor="text1"/>
              </w:rPr>
              <w:t>3.1.2</w:t>
            </w:r>
            <w:r w:rsidRPr="00687B52">
              <w:rPr>
                <w:rFonts w:hAnsi="Times New Roman"/>
                <w:color w:val="000000" w:themeColor="text1"/>
              </w:rPr>
              <w:t>重油</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3.1.2.3</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14.4</w:t>
            </w:r>
          </w:p>
        </w:tc>
        <w:tc>
          <w:tcPr>
            <w:tcW w:w="2272" w:type="pct"/>
            <w:gridSpan w:val="2"/>
            <w:vAlign w:val="center"/>
          </w:tcPr>
          <w:p w:rsidR="000C2455" w:rsidRPr="00687B52" w:rsidRDefault="000C2455" w:rsidP="003E1D2A">
            <w:pPr>
              <w:spacing w:line="320" w:lineRule="exact"/>
              <w:rPr>
                <w:rFonts w:ascii="Times New Roman" w:hAnsi="Times New Roman"/>
                <w:color w:val="000000" w:themeColor="text1"/>
                <w:kern w:val="0"/>
                <w:szCs w:val="21"/>
              </w:rPr>
            </w:pPr>
            <w:r w:rsidRPr="00687B52">
              <w:rPr>
                <w:rFonts w:ascii="Times New Roman" w:hAnsi="Times New Roman"/>
                <w:color w:val="000000" w:themeColor="text1"/>
                <w:kern w:val="0"/>
                <w:sz w:val="24"/>
                <w:szCs w:val="24"/>
              </w:rPr>
              <w:t>油罐区必须安装独立避雷针，禁止采用在罐壁上焊接避雷装置。重油罐必须有可靠的接地装置。</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w:t>
            </w:r>
            <w:r w:rsidRPr="00687B52">
              <w:rPr>
                <w:rFonts w:hAnsi="Times New Roman"/>
                <w:color w:val="000000" w:themeColor="text1"/>
              </w:rPr>
              <w:t>原料</w:t>
            </w:r>
            <w:r w:rsidRPr="00687B52">
              <w:rPr>
                <w:rFonts w:hAnsi="Times New Roman"/>
                <w:color w:val="000000" w:themeColor="text1"/>
              </w:rPr>
              <w:t>3.1.2</w:t>
            </w:r>
            <w:r w:rsidRPr="00687B52">
              <w:rPr>
                <w:rFonts w:hAnsi="Times New Roman"/>
                <w:color w:val="000000" w:themeColor="text1"/>
              </w:rPr>
              <w:t>重油</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3.1.2.5</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14.5</w:t>
            </w:r>
          </w:p>
        </w:tc>
        <w:tc>
          <w:tcPr>
            <w:tcW w:w="2272" w:type="pct"/>
            <w:gridSpan w:val="2"/>
            <w:vAlign w:val="center"/>
          </w:tcPr>
          <w:p w:rsidR="000C2455" w:rsidRPr="00687B52" w:rsidRDefault="000C2455" w:rsidP="003E1D2A">
            <w:pPr>
              <w:spacing w:line="320" w:lineRule="exact"/>
              <w:rPr>
                <w:rFonts w:ascii="Times New Roman" w:hAnsi="Times New Roman"/>
                <w:color w:val="000000" w:themeColor="text1"/>
                <w:kern w:val="0"/>
                <w:szCs w:val="21"/>
              </w:rPr>
            </w:pPr>
            <w:r w:rsidRPr="00687B52">
              <w:rPr>
                <w:rFonts w:ascii="Times New Roman" w:hAnsi="Times New Roman"/>
                <w:color w:val="000000" w:themeColor="text1"/>
                <w:kern w:val="0"/>
                <w:sz w:val="24"/>
                <w:szCs w:val="24"/>
              </w:rPr>
              <w:t>取样和检测口处，应使用软金属衬垫，以免撞击产生火花。装卸油过程中禁止取样和检测。</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w:t>
            </w:r>
            <w:r w:rsidRPr="00687B52">
              <w:rPr>
                <w:rFonts w:hAnsi="Times New Roman"/>
                <w:color w:val="000000" w:themeColor="text1"/>
              </w:rPr>
              <w:t>原料</w:t>
            </w:r>
            <w:r w:rsidRPr="00687B52">
              <w:rPr>
                <w:rFonts w:hAnsi="Times New Roman"/>
                <w:color w:val="000000" w:themeColor="text1"/>
              </w:rPr>
              <w:t>3.1.2</w:t>
            </w:r>
            <w:r w:rsidRPr="00687B52">
              <w:rPr>
                <w:rFonts w:hAnsi="Times New Roman"/>
                <w:color w:val="000000" w:themeColor="text1"/>
              </w:rPr>
              <w:t>重油</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3.1.2.6</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14.6</w:t>
            </w:r>
          </w:p>
        </w:tc>
        <w:tc>
          <w:tcPr>
            <w:tcW w:w="2272" w:type="pct"/>
            <w:gridSpan w:val="2"/>
            <w:vAlign w:val="center"/>
          </w:tcPr>
          <w:p w:rsidR="000C2455" w:rsidRPr="00687B52" w:rsidRDefault="000C2455" w:rsidP="003E1D2A">
            <w:pPr>
              <w:spacing w:line="320" w:lineRule="exact"/>
              <w:rPr>
                <w:rFonts w:ascii="Times New Roman" w:hAnsi="Times New Roman"/>
                <w:color w:val="000000" w:themeColor="text1"/>
                <w:kern w:val="0"/>
                <w:szCs w:val="21"/>
              </w:rPr>
            </w:pPr>
            <w:r w:rsidRPr="00687B52">
              <w:rPr>
                <w:rFonts w:ascii="Times New Roman" w:hAnsi="Times New Roman"/>
                <w:color w:val="000000" w:themeColor="text1"/>
                <w:kern w:val="0"/>
                <w:sz w:val="24"/>
                <w:szCs w:val="24"/>
              </w:rPr>
              <w:t>重油罐区严禁烟火，应设置警告牌，配备足够的消防器材，</w:t>
            </w:r>
            <w:r w:rsidRPr="00687B52">
              <w:rPr>
                <w:rFonts w:ascii="Times New Roman" w:hAnsi="Times New Roman"/>
                <w:color w:val="000000" w:themeColor="text1"/>
                <w:kern w:val="0"/>
                <w:sz w:val="24"/>
                <w:szCs w:val="24"/>
              </w:rPr>
              <w:lastRenderedPageBreak/>
              <w:t>应设置符合规定的事故防火围堤。</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lastRenderedPageBreak/>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lastRenderedPageBreak/>
              <w:t>3.1</w:t>
            </w:r>
            <w:r w:rsidRPr="00687B52">
              <w:rPr>
                <w:rFonts w:hAnsi="Times New Roman"/>
                <w:color w:val="000000" w:themeColor="text1"/>
              </w:rPr>
              <w:t>原料</w:t>
            </w:r>
            <w:r w:rsidRPr="00687B52">
              <w:rPr>
                <w:rFonts w:hAnsi="Times New Roman"/>
                <w:color w:val="000000" w:themeColor="text1"/>
              </w:rPr>
              <w:t>3.1.2</w:t>
            </w:r>
            <w:r w:rsidRPr="00687B52">
              <w:rPr>
                <w:rFonts w:hAnsi="Times New Roman"/>
                <w:color w:val="000000" w:themeColor="text1"/>
              </w:rPr>
              <w:t>重油</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3.1.2.7</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lastRenderedPageBreak/>
              <w:t>14.7</w:t>
            </w:r>
          </w:p>
        </w:tc>
        <w:tc>
          <w:tcPr>
            <w:tcW w:w="2272" w:type="pct"/>
            <w:gridSpan w:val="2"/>
            <w:vAlign w:val="center"/>
          </w:tcPr>
          <w:p w:rsidR="000C2455" w:rsidRPr="00687B52" w:rsidRDefault="000C2455" w:rsidP="003E1D2A">
            <w:pPr>
              <w:spacing w:line="320" w:lineRule="exact"/>
              <w:rPr>
                <w:rFonts w:ascii="Times New Roman" w:hAnsi="Times New Roman"/>
                <w:color w:val="000000" w:themeColor="text1"/>
                <w:kern w:val="0"/>
                <w:szCs w:val="21"/>
              </w:rPr>
            </w:pPr>
            <w:r w:rsidRPr="00687B52">
              <w:rPr>
                <w:rFonts w:ascii="Times New Roman" w:hAnsi="Times New Roman"/>
                <w:color w:val="000000" w:themeColor="text1"/>
                <w:kern w:val="0"/>
                <w:sz w:val="24"/>
                <w:szCs w:val="24"/>
              </w:rPr>
              <w:t>重油贮罐的基础外露部分、装卸栈台、安全梯、管架及保温材料，均不得使用可燃材料。</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w:t>
            </w:r>
            <w:r w:rsidRPr="00687B52">
              <w:rPr>
                <w:rFonts w:hAnsi="Times New Roman"/>
                <w:color w:val="000000" w:themeColor="text1"/>
              </w:rPr>
              <w:t>原料</w:t>
            </w:r>
            <w:r w:rsidRPr="00687B52">
              <w:rPr>
                <w:rFonts w:hAnsi="Times New Roman"/>
                <w:color w:val="000000" w:themeColor="text1"/>
              </w:rPr>
              <w:t>3.1.2</w:t>
            </w:r>
            <w:r w:rsidRPr="00687B52">
              <w:rPr>
                <w:rFonts w:hAnsi="Times New Roman"/>
                <w:color w:val="000000" w:themeColor="text1"/>
              </w:rPr>
              <w:t>重油</w:t>
            </w:r>
          </w:p>
          <w:p w:rsidR="000C2455" w:rsidRPr="00687B52" w:rsidRDefault="000C2455" w:rsidP="003E1D2A">
            <w:pPr>
              <w:pStyle w:val="a7"/>
              <w:rPr>
                <w:rFonts w:hAnsi="Times New Roman"/>
                <w:color w:val="000000" w:themeColor="text1"/>
              </w:rPr>
            </w:pPr>
            <w:r w:rsidRPr="00687B52">
              <w:rPr>
                <w:rFonts w:hAnsi="Times New Roman"/>
                <w:color w:val="000000" w:themeColor="text1"/>
              </w:rPr>
              <w:t>3.1.2.8</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b/>
                <w:color w:val="000000" w:themeColor="text1"/>
                <w:szCs w:val="24"/>
              </w:rPr>
            </w:pPr>
            <w:r w:rsidRPr="00687B52">
              <w:rPr>
                <w:rFonts w:hAnsi="Times New Roman"/>
                <w:b/>
                <w:color w:val="000000" w:themeColor="text1"/>
                <w:szCs w:val="24"/>
              </w:rPr>
              <w:t>15</w:t>
            </w:r>
          </w:p>
        </w:tc>
        <w:tc>
          <w:tcPr>
            <w:tcW w:w="4663" w:type="pct"/>
            <w:gridSpan w:val="4"/>
            <w:vAlign w:val="center"/>
          </w:tcPr>
          <w:p w:rsidR="000C2455" w:rsidRPr="00687B52" w:rsidRDefault="000C2455" w:rsidP="003E1D2A">
            <w:pPr>
              <w:pStyle w:val="a7"/>
              <w:jc w:val="both"/>
              <w:rPr>
                <w:rFonts w:hAnsi="Times New Roman"/>
                <w:color w:val="000000" w:themeColor="text1"/>
                <w:szCs w:val="24"/>
              </w:rPr>
            </w:pPr>
            <w:r w:rsidRPr="00687B52">
              <w:rPr>
                <w:rFonts w:hAnsi="Times New Roman"/>
                <w:b/>
                <w:color w:val="000000" w:themeColor="text1"/>
                <w:kern w:val="0"/>
              </w:rPr>
              <w:t>公用工程及辅助设施</w:t>
            </w:r>
            <w:r w:rsidRPr="00687B52">
              <w:rPr>
                <w:rFonts w:hAnsi="Times New Roman"/>
                <w:b/>
                <w:color w:val="000000" w:themeColor="text1"/>
                <w:kern w:val="0"/>
              </w:rPr>
              <w:t>-</w:t>
            </w:r>
            <w:r w:rsidRPr="00687B52">
              <w:rPr>
                <w:rFonts w:hAnsi="Times New Roman"/>
                <w:b/>
                <w:color w:val="000000" w:themeColor="text1"/>
                <w:kern w:val="0"/>
              </w:rPr>
              <w:t>空分</w:t>
            </w: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15.1</w:t>
            </w:r>
          </w:p>
        </w:tc>
        <w:tc>
          <w:tcPr>
            <w:tcW w:w="2272" w:type="pct"/>
            <w:gridSpan w:val="2"/>
            <w:vAlign w:val="center"/>
          </w:tcPr>
          <w:p w:rsidR="000C2455" w:rsidRPr="00687B52" w:rsidRDefault="000C2455" w:rsidP="003E1D2A">
            <w:pPr>
              <w:spacing w:line="320" w:lineRule="exact"/>
              <w:rPr>
                <w:rFonts w:ascii="Times New Roman" w:hAnsi="Times New Roman"/>
                <w:color w:val="000000" w:themeColor="text1"/>
                <w:kern w:val="0"/>
                <w:szCs w:val="21"/>
              </w:rPr>
            </w:pPr>
            <w:r w:rsidRPr="00687B52">
              <w:rPr>
                <w:rFonts w:ascii="Times New Roman" w:hAnsi="Times New Roman"/>
                <w:color w:val="000000" w:themeColor="text1"/>
                <w:kern w:val="0"/>
                <w:sz w:val="24"/>
                <w:szCs w:val="24"/>
              </w:rPr>
              <w:t>空分车间周围</w:t>
            </w:r>
            <w:r w:rsidRPr="00687B52">
              <w:rPr>
                <w:rFonts w:ascii="Times New Roman" w:hAnsi="Times New Roman"/>
                <w:color w:val="000000" w:themeColor="text1"/>
                <w:kern w:val="0"/>
                <w:sz w:val="24"/>
                <w:szCs w:val="24"/>
              </w:rPr>
              <w:t>300</w:t>
            </w:r>
            <w:r w:rsidRPr="00687B52">
              <w:rPr>
                <w:rFonts w:ascii="Times New Roman" w:hAnsi="Times New Roman"/>
                <w:color w:val="000000" w:themeColor="text1"/>
                <w:kern w:val="0"/>
                <w:sz w:val="24"/>
                <w:szCs w:val="24"/>
              </w:rPr>
              <w:t>米以内，不应设置大型汽车库、乙炔发生器和其它会产生碳氢化合物及氮氧化物装置；禁止设置可燃物品仓库；禁止倾倒电石渣或堆放电石。</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3.2</w:t>
            </w:r>
            <w:r w:rsidRPr="00687B52">
              <w:rPr>
                <w:rFonts w:hAnsi="Times New Roman"/>
                <w:color w:val="000000" w:themeColor="text1"/>
              </w:rPr>
              <w:t>空分</w:t>
            </w:r>
            <w:r w:rsidRPr="00687B52">
              <w:rPr>
                <w:rFonts w:hAnsi="Times New Roman"/>
                <w:color w:val="000000" w:themeColor="text1"/>
              </w:rPr>
              <w:t>3.2.1</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15.2</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空分车间应建造在主导风向上风侧的厂边缘区；空分装置的空气进口管口距地面高度不得小于</w:t>
            </w:r>
            <w:r w:rsidRPr="00687B52">
              <w:rPr>
                <w:rFonts w:hAnsi="Times New Roman"/>
                <w:color w:val="000000" w:themeColor="text1"/>
                <w:kern w:val="0"/>
              </w:rPr>
              <w:t>10</w:t>
            </w:r>
            <w:r w:rsidRPr="00687B52">
              <w:rPr>
                <w:rFonts w:hAnsi="Times New Roman"/>
                <w:color w:val="000000" w:themeColor="text1"/>
                <w:kern w:val="0"/>
              </w:rPr>
              <w:t>米。</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3.2</w:t>
            </w:r>
            <w:r w:rsidRPr="00687B52">
              <w:rPr>
                <w:rFonts w:hAnsi="Times New Roman"/>
                <w:color w:val="000000" w:themeColor="text1"/>
              </w:rPr>
              <w:t>空分</w:t>
            </w:r>
            <w:r w:rsidRPr="00687B52">
              <w:rPr>
                <w:rFonts w:hAnsi="Times New Roman"/>
                <w:color w:val="000000" w:themeColor="text1"/>
              </w:rPr>
              <w:t>3.2.2</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15.3</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分馏塔、氧压机、氧气管道和氧气瓶充填系统严禁被油沾污。开车生产前或检修后开车，必须对系统的管道、设备、阀门、仪表等进行严格的脱脂。</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3.2</w:t>
            </w:r>
            <w:r w:rsidRPr="00687B52">
              <w:rPr>
                <w:rFonts w:hAnsi="Times New Roman"/>
                <w:color w:val="000000" w:themeColor="text1"/>
              </w:rPr>
              <w:t>空分</w:t>
            </w:r>
            <w:r w:rsidRPr="00687B52">
              <w:rPr>
                <w:rFonts w:hAnsi="Times New Roman"/>
                <w:color w:val="000000" w:themeColor="text1"/>
              </w:rPr>
              <w:t>3.2.3</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15.4</w:t>
            </w:r>
          </w:p>
        </w:tc>
        <w:tc>
          <w:tcPr>
            <w:tcW w:w="2272" w:type="pct"/>
            <w:gridSpan w:val="2"/>
            <w:vAlign w:val="center"/>
          </w:tcPr>
          <w:p w:rsidR="000C2455" w:rsidRPr="00687B52" w:rsidRDefault="000C2455" w:rsidP="003E1D2A">
            <w:pPr>
              <w:widowControl/>
              <w:spacing w:before="150" w:after="150" w:line="320" w:lineRule="exact"/>
              <w:jc w:val="left"/>
              <w:rPr>
                <w:rFonts w:ascii="Times New Roman" w:hAnsi="Times New Roman"/>
                <w:color w:val="000000" w:themeColor="text1"/>
                <w:kern w:val="0"/>
                <w:sz w:val="24"/>
                <w:szCs w:val="21"/>
              </w:rPr>
            </w:pPr>
            <w:r w:rsidRPr="00687B52">
              <w:rPr>
                <w:rFonts w:ascii="Times New Roman" w:hAnsi="Times New Roman"/>
                <w:color w:val="000000" w:themeColor="text1"/>
                <w:kern w:val="0"/>
                <w:sz w:val="24"/>
                <w:szCs w:val="21"/>
              </w:rPr>
              <w:t>要严格控制空冷器、下塔和主塔液位，定期排放油水，防止冻结切换或换热器及膨胀机械带液等事故的发生。</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3.2</w:t>
            </w:r>
            <w:r w:rsidRPr="00687B52">
              <w:rPr>
                <w:rFonts w:hAnsi="Times New Roman"/>
                <w:color w:val="000000" w:themeColor="text1"/>
              </w:rPr>
              <w:t>空分</w:t>
            </w:r>
            <w:r w:rsidRPr="00687B52">
              <w:rPr>
                <w:rFonts w:hAnsi="Times New Roman"/>
                <w:color w:val="000000" w:themeColor="text1"/>
              </w:rPr>
              <w:t>3.2.5</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15.5</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定期分析原料空气、液空、液氧中的乙炔和碳氢化合物、氮氧化全物、油类等含量。如超过工艺指标，应立即查明原因，采取相应措施，使之达到指标，否则须停车处理。</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3.2</w:t>
            </w:r>
            <w:r w:rsidRPr="00687B52">
              <w:rPr>
                <w:rFonts w:hAnsi="Times New Roman"/>
                <w:color w:val="000000" w:themeColor="text1"/>
              </w:rPr>
              <w:t>空分</w:t>
            </w:r>
            <w:r w:rsidRPr="00687B52">
              <w:rPr>
                <w:rFonts w:hAnsi="Times New Roman"/>
                <w:color w:val="000000" w:themeColor="text1"/>
              </w:rPr>
              <w:t>3.2.6</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15.6</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禁止向室内排放液氮、液空、液氧应在安全地点排放或进行回收。</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3.2</w:t>
            </w:r>
            <w:r w:rsidRPr="00687B52">
              <w:rPr>
                <w:rFonts w:hAnsi="Times New Roman"/>
                <w:color w:val="000000" w:themeColor="text1"/>
              </w:rPr>
              <w:t>空分</w:t>
            </w:r>
            <w:r w:rsidRPr="00687B52">
              <w:rPr>
                <w:rFonts w:hAnsi="Times New Roman"/>
                <w:color w:val="000000" w:themeColor="text1"/>
              </w:rPr>
              <w:t>3.2.10</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15.7</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氮、氧气柜应设高度标尺和高低限位报警装置。应经常检查钟罩，使其升降灵活。</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3.2</w:t>
            </w:r>
            <w:r w:rsidRPr="00687B52">
              <w:rPr>
                <w:rFonts w:hAnsi="Times New Roman"/>
                <w:color w:val="000000" w:themeColor="text1"/>
              </w:rPr>
              <w:t>空分</w:t>
            </w:r>
            <w:r w:rsidRPr="00687B52">
              <w:rPr>
                <w:rFonts w:hAnsi="Times New Roman"/>
                <w:color w:val="000000" w:themeColor="text1"/>
              </w:rPr>
              <w:t>3.2.11</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15.8</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高低压流程的空分装置，应有防止高压窜入低压的措施，在低压设备上应装防爆板。</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3.2</w:t>
            </w:r>
            <w:r w:rsidRPr="00687B52">
              <w:rPr>
                <w:rFonts w:hAnsi="Times New Roman"/>
                <w:color w:val="000000" w:themeColor="text1"/>
              </w:rPr>
              <w:t>空分</w:t>
            </w:r>
            <w:r w:rsidRPr="00687B52">
              <w:rPr>
                <w:rFonts w:hAnsi="Times New Roman"/>
                <w:color w:val="000000" w:themeColor="text1"/>
              </w:rPr>
              <w:t>3.2.12</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lastRenderedPageBreak/>
              <w:t>15.9</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严格控制氮气纯度；其产品氮气（</w:t>
            </w:r>
            <w:r w:rsidRPr="00687B52">
              <w:rPr>
                <w:rFonts w:hAnsi="Times New Roman"/>
                <w:color w:val="000000" w:themeColor="text1"/>
                <w:kern w:val="0"/>
              </w:rPr>
              <w:t>N2</w:t>
            </w:r>
            <w:r w:rsidRPr="00687B52">
              <w:rPr>
                <w:rFonts w:hAnsi="Times New Roman"/>
                <w:color w:val="000000" w:themeColor="text1"/>
                <w:kern w:val="0"/>
              </w:rPr>
              <w:t>）</w:t>
            </w:r>
            <w:r w:rsidRPr="00687B52">
              <w:rPr>
                <w:rFonts w:hAnsi="Times New Roman"/>
                <w:color w:val="000000" w:themeColor="text1"/>
                <w:kern w:val="0"/>
              </w:rPr>
              <w:t>≥99</w:t>
            </w:r>
            <w:r w:rsidRPr="00687B52">
              <w:rPr>
                <w:rFonts w:hAnsi="Times New Roman"/>
                <w:color w:val="000000" w:themeColor="text1"/>
                <w:kern w:val="0"/>
              </w:rPr>
              <w:t>．</w:t>
            </w:r>
            <w:r w:rsidRPr="00687B52">
              <w:rPr>
                <w:rFonts w:hAnsi="Times New Roman"/>
                <w:color w:val="000000" w:themeColor="text1"/>
                <w:kern w:val="0"/>
              </w:rPr>
              <w:t>99</w:t>
            </w:r>
            <w:r w:rsidRPr="00687B52">
              <w:rPr>
                <w:rFonts w:hAnsi="Times New Roman"/>
                <w:color w:val="000000" w:themeColor="text1"/>
                <w:kern w:val="0"/>
              </w:rPr>
              <w:t>％，富氮气含氮量（</w:t>
            </w:r>
            <w:r w:rsidRPr="00687B52">
              <w:rPr>
                <w:rFonts w:hAnsi="Times New Roman"/>
                <w:color w:val="000000" w:themeColor="text1"/>
                <w:kern w:val="0"/>
              </w:rPr>
              <w:t>N2</w:t>
            </w:r>
            <w:r w:rsidRPr="00687B52">
              <w:rPr>
                <w:rFonts w:hAnsi="Times New Roman"/>
                <w:color w:val="000000" w:themeColor="text1"/>
                <w:kern w:val="0"/>
              </w:rPr>
              <w:t>）为</w:t>
            </w:r>
            <w:r w:rsidRPr="00687B52">
              <w:rPr>
                <w:rFonts w:hAnsi="Times New Roman"/>
                <w:color w:val="000000" w:themeColor="text1"/>
                <w:kern w:val="0"/>
              </w:rPr>
              <w:t>99</w:t>
            </w:r>
            <w:r w:rsidRPr="00687B52">
              <w:rPr>
                <w:rFonts w:hAnsi="Times New Roman"/>
                <w:color w:val="000000" w:themeColor="text1"/>
                <w:kern w:val="0"/>
              </w:rPr>
              <w:t>．</w:t>
            </w:r>
            <w:r w:rsidRPr="00687B52">
              <w:rPr>
                <w:rFonts w:hAnsi="Times New Roman"/>
                <w:color w:val="000000" w:themeColor="text1"/>
                <w:kern w:val="0"/>
              </w:rPr>
              <w:t>9</w:t>
            </w:r>
            <w:r w:rsidRPr="00687B52">
              <w:rPr>
                <w:rFonts w:hAnsi="Times New Roman"/>
                <w:color w:val="000000" w:themeColor="text1"/>
                <w:kern w:val="0"/>
              </w:rPr>
              <w:t>％。防止氧含量升高与原料气混合发生爆炸。</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3.2</w:t>
            </w:r>
            <w:r w:rsidRPr="00687B52">
              <w:rPr>
                <w:rFonts w:hAnsi="Times New Roman"/>
                <w:color w:val="000000" w:themeColor="text1"/>
              </w:rPr>
              <w:t>空分</w:t>
            </w:r>
            <w:r w:rsidRPr="00687B52">
              <w:rPr>
                <w:rFonts w:hAnsi="Times New Roman"/>
                <w:color w:val="000000" w:themeColor="text1"/>
              </w:rPr>
              <w:t>3.2.13</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15.10</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kern w:val="0"/>
              </w:rPr>
              <w:t>为使空分设施安全运行，必须严格执行安全操作指标，并安装以下报警联锁装置：压缩机终端出口压力；供油装置输出油压；压缩机轴承温度；增速器轴承温度；增速器回油温度；转子轴位移；膨胀机转速；断冷却水报警。</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《小氮肥安全技术规程》</w:t>
            </w:r>
          </w:p>
          <w:p w:rsidR="000C2455" w:rsidRPr="00687B52" w:rsidRDefault="000C2455" w:rsidP="003E1D2A">
            <w:pPr>
              <w:pStyle w:val="a7"/>
              <w:rPr>
                <w:rFonts w:hAnsi="Times New Roman"/>
                <w:color w:val="000000" w:themeColor="text1"/>
              </w:rPr>
            </w:pPr>
            <w:r w:rsidRPr="00687B52">
              <w:rPr>
                <w:rFonts w:hAnsi="Times New Roman"/>
                <w:color w:val="000000" w:themeColor="text1"/>
              </w:rPr>
              <w:t>3.2</w:t>
            </w:r>
            <w:r w:rsidRPr="00687B52">
              <w:rPr>
                <w:rFonts w:hAnsi="Times New Roman"/>
                <w:color w:val="000000" w:themeColor="text1"/>
              </w:rPr>
              <w:t>空分</w:t>
            </w:r>
            <w:r w:rsidRPr="00687B52">
              <w:rPr>
                <w:rFonts w:hAnsi="Times New Roman"/>
                <w:color w:val="000000" w:themeColor="text1"/>
              </w:rPr>
              <w:t>3.2.14</w:t>
            </w:r>
          </w:p>
        </w:tc>
        <w:tc>
          <w:tcPr>
            <w:tcW w:w="1056" w:type="pct"/>
          </w:tcPr>
          <w:p w:rsidR="000C2455" w:rsidRPr="00687B52" w:rsidRDefault="000C2455" w:rsidP="003E1D2A">
            <w:pPr>
              <w:pStyle w:val="a7"/>
              <w:rPr>
                <w:rFonts w:hAnsi="Times New Roman"/>
                <w:color w:val="000000" w:themeColor="text1"/>
                <w:szCs w:val="24"/>
              </w:rPr>
            </w:pPr>
          </w:p>
        </w:tc>
      </w:tr>
      <w:tr w:rsidR="000C2455" w:rsidRPr="00687B52" w:rsidTr="003E1D2A">
        <w:trPr>
          <w:jc w:val="center"/>
        </w:trPr>
        <w:tc>
          <w:tcPr>
            <w:tcW w:w="337" w:type="pct"/>
            <w:vAlign w:val="center"/>
          </w:tcPr>
          <w:p w:rsidR="000C2455" w:rsidRPr="00687B52" w:rsidRDefault="000C2455" w:rsidP="003E1D2A">
            <w:pPr>
              <w:pStyle w:val="a7"/>
              <w:rPr>
                <w:rFonts w:hAnsi="Times New Roman"/>
                <w:color w:val="000000" w:themeColor="text1"/>
                <w:szCs w:val="24"/>
              </w:rPr>
            </w:pPr>
            <w:r w:rsidRPr="00687B52">
              <w:rPr>
                <w:rFonts w:hAnsi="Times New Roman"/>
                <w:color w:val="000000" w:themeColor="text1"/>
                <w:szCs w:val="24"/>
              </w:rPr>
              <w:t>15.11</w:t>
            </w:r>
          </w:p>
        </w:tc>
        <w:tc>
          <w:tcPr>
            <w:tcW w:w="2272" w:type="pct"/>
            <w:gridSpan w:val="2"/>
            <w:vAlign w:val="center"/>
          </w:tcPr>
          <w:p w:rsidR="000C2455" w:rsidRPr="00687B52" w:rsidRDefault="000C2455" w:rsidP="003E1D2A">
            <w:pPr>
              <w:pStyle w:val="a7"/>
              <w:jc w:val="left"/>
              <w:rPr>
                <w:rFonts w:hAnsi="Times New Roman"/>
                <w:color w:val="000000" w:themeColor="text1"/>
                <w:kern w:val="0"/>
              </w:rPr>
            </w:pPr>
            <w:r w:rsidRPr="00687B52">
              <w:rPr>
                <w:rFonts w:hAnsi="Times New Roman"/>
                <w:color w:val="000000" w:themeColor="text1"/>
              </w:rPr>
              <w:t>应设置空分压缩机终端出口压力、膨胀机超速、冷却水中断等报警联锁装置。</w:t>
            </w:r>
          </w:p>
        </w:tc>
        <w:tc>
          <w:tcPr>
            <w:tcW w:w="1335" w:type="pct"/>
            <w:vAlign w:val="center"/>
          </w:tcPr>
          <w:p w:rsidR="000C2455" w:rsidRPr="00687B52" w:rsidRDefault="000C2455" w:rsidP="003E1D2A">
            <w:pPr>
              <w:pStyle w:val="a7"/>
              <w:rPr>
                <w:rFonts w:hAnsi="Times New Roman"/>
                <w:color w:val="000000" w:themeColor="text1"/>
              </w:rPr>
            </w:pPr>
            <w:r w:rsidRPr="00687B52">
              <w:rPr>
                <w:rFonts w:hAnsi="Times New Roman"/>
                <w:color w:val="000000" w:themeColor="text1"/>
              </w:rPr>
              <w:t>《合成氨生产企业安全标准化实施指南》</w:t>
            </w:r>
          </w:p>
          <w:p w:rsidR="000C2455" w:rsidRPr="00687B52" w:rsidRDefault="000C2455" w:rsidP="003E1D2A">
            <w:pPr>
              <w:pStyle w:val="a7"/>
              <w:rPr>
                <w:rFonts w:hAnsi="Times New Roman"/>
                <w:color w:val="000000" w:themeColor="text1"/>
              </w:rPr>
            </w:pPr>
            <w:r w:rsidRPr="00687B52">
              <w:rPr>
                <w:rFonts w:hAnsi="Times New Roman"/>
                <w:color w:val="000000" w:themeColor="text1"/>
              </w:rPr>
              <w:t>AQ/T3017-2008</w:t>
            </w:r>
          </w:p>
          <w:p w:rsidR="000C2455" w:rsidRPr="00687B52" w:rsidRDefault="000C2455" w:rsidP="003E1D2A">
            <w:pPr>
              <w:pStyle w:val="a7"/>
              <w:rPr>
                <w:rFonts w:hAnsi="Times New Roman"/>
                <w:color w:val="000000" w:themeColor="text1"/>
              </w:rPr>
            </w:pPr>
            <w:r w:rsidRPr="00687B52">
              <w:rPr>
                <w:rFonts w:hAnsi="Times New Roman"/>
                <w:color w:val="000000" w:themeColor="text1"/>
              </w:rPr>
              <w:t>5.5.2.1 f</w:t>
            </w:r>
            <w:r w:rsidRPr="00687B52">
              <w:rPr>
                <w:rFonts w:hAnsi="Times New Roman"/>
                <w:color w:val="000000" w:themeColor="text1"/>
              </w:rPr>
              <w:t>）其他</w:t>
            </w:r>
          </w:p>
        </w:tc>
        <w:tc>
          <w:tcPr>
            <w:tcW w:w="1056" w:type="pct"/>
          </w:tcPr>
          <w:p w:rsidR="000C2455" w:rsidRPr="00687B52" w:rsidRDefault="000C2455" w:rsidP="003E1D2A">
            <w:pPr>
              <w:pStyle w:val="a7"/>
              <w:rPr>
                <w:rFonts w:hAnsi="Times New Roman"/>
                <w:color w:val="000000" w:themeColor="text1"/>
                <w:szCs w:val="24"/>
              </w:rPr>
            </w:pPr>
          </w:p>
        </w:tc>
      </w:tr>
    </w:tbl>
    <w:p w:rsidR="000C2455" w:rsidRPr="00687B52" w:rsidRDefault="000C2455" w:rsidP="003110C0">
      <w:pPr>
        <w:spacing w:line="480" w:lineRule="exact"/>
        <w:jc w:val="left"/>
        <w:rPr>
          <w:color w:val="000000" w:themeColor="text1"/>
          <w:sz w:val="28"/>
          <w:szCs w:val="28"/>
        </w:rPr>
        <w:sectPr w:rsidR="000C2455" w:rsidRPr="00687B52" w:rsidSect="00D22E6D">
          <w:footerReference w:type="default" r:id="rId23"/>
          <w:pgSz w:w="16838" w:h="11906" w:orient="landscape"/>
          <w:pgMar w:top="1457" w:right="1797" w:bottom="1457" w:left="1797" w:header="851" w:footer="907" w:gutter="0"/>
          <w:cols w:space="425"/>
          <w:docGrid w:type="lines" w:linePitch="312"/>
        </w:sectPr>
      </w:pPr>
    </w:p>
    <w:p w:rsidR="000C2455" w:rsidRPr="00687B52" w:rsidRDefault="00406A19" w:rsidP="00406A19">
      <w:pPr>
        <w:pStyle w:val="aff3"/>
        <w:numPr>
          <w:ilvl w:val="0"/>
          <w:numId w:val="0"/>
        </w:numPr>
        <w:rPr>
          <w:color w:val="000000" w:themeColor="text1"/>
          <w:szCs w:val="28"/>
        </w:rPr>
      </w:pPr>
      <w:bookmarkStart w:id="32" w:name="_Toc492634895"/>
      <w:r w:rsidRPr="00687B52">
        <w:rPr>
          <w:rFonts w:hint="eastAsia"/>
          <w:color w:val="000000" w:themeColor="text1"/>
        </w:rPr>
        <w:lastRenderedPageBreak/>
        <w:t>表</w:t>
      </w:r>
      <w:r w:rsidRPr="00687B52">
        <w:rPr>
          <w:rFonts w:hint="eastAsia"/>
          <w:color w:val="000000" w:themeColor="text1"/>
        </w:rPr>
        <w:t xml:space="preserve">2-4 </w:t>
      </w:r>
      <w:r w:rsidRPr="00687B52">
        <w:rPr>
          <w:rFonts w:hint="eastAsia"/>
          <w:color w:val="000000" w:themeColor="text1"/>
        </w:rPr>
        <w:t>危险化学品生产企业专业检查表（</w:t>
      </w:r>
      <w:r w:rsidR="000C2455" w:rsidRPr="00687B52">
        <w:rPr>
          <w:rFonts w:hint="eastAsia"/>
          <w:color w:val="000000" w:themeColor="text1"/>
          <w:szCs w:val="28"/>
        </w:rPr>
        <w:t>氯碱</w:t>
      </w:r>
      <w:r w:rsidRPr="00687B52">
        <w:rPr>
          <w:rFonts w:hint="eastAsia"/>
          <w:color w:val="000000" w:themeColor="text1"/>
        </w:rPr>
        <w:t>）</w:t>
      </w:r>
      <w:bookmarkEnd w:id="32"/>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6359"/>
        <w:gridCol w:w="2975"/>
        <w:gridCol w:w="2790"/>
      </w:tblGrid>
      <w:tr w:rsidR="000C2455" w:rsidRPr="00687B52" w:rsidTr="00406A19">
        <w:trPr>
          <w:trHeight w:val="569"/>
          <w:tblHeader/>
          <w:jc w:val="center"/>
        </w:trPr>
        <w:tc>
          <w:tcPr>
            <w:tcW w:w="329" w:type="pct"/>
            <w:vAlign w:val="center"/>
          </w:tcPr>
          <w:p w:rsidR="000C2455" w:rsidRPr="00687B52" w:rsidRDefault="000C2455" w:rsidP="00406A19">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序号</w:t>
            </w:r>
          </w:p>
        </w:tc>
        <w:tc>
          <w:tcPr>
            <w:tcW w:w="2450" w:type="pct"/>
            <w:vAlign w:val="center"/>
          </w:tcPr>
          <w:p w:rsidR="000C2455" w:rsidRPr="00687B52" w:rsidRDefault="000C2455" w:rsidP="00406A19">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检查内容</w:t>
            </w:r>
          </w:p>
        </w:tc>
        <w:tc>
          <w:tcPr>
            <w:tcW w:w="1146" w:type="pct"/>
            <w:vAlign w:val="center"/>
          </w:tcPr>
          <w:p w:rsidR="000C2455" w:rsidRPr="00687B52" w:rsidRDefault="000C2455" w:rsidP="00406A19">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检查依据</w:t>
            </w:r>
          </w:p>
        </w:tc>
        <w:tc>
          <w:tcPr>
            <w:tcW w:w="1075" w:type="pct"/>
            <w:vAlign w:val="center"/>
          </w:tcPr>
          <w:p w:rsidR="000C2455" w:rsidRPr="00687B52" w:rsidRDefault="000C2455" w:rsidP="00406A19">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检查情况</w:t>
            </w:r>
          </w:p>
        </w:tc>
      </w:tr>
      <w:tr w:rsidR="000C2455" w:rsidRPr="00687B52" w:rsidTr="00406A19">
        <w:trPr>
          <w:jc w:val="center"/>
        </w:trPr>
        <w:tc>
          <w:tcPr>
            <w:tcW w:w="329" w:type="pct"/>
            <w:vAlign w:val="center"/>
          </w:tcPr>
          <w:p w:rsidR="000C2455" w:rsidRPr="00687B52" w:rsidRDefault="000C2455" w:rsidP="00406A19">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1</w:t>
            </w:r>
          </w:p>
        </w:tc>
        <w:tc>
          <w:tcPr>
            <w:tcW w:w="4671" w:type="pct"/>
            <w:gridSpan w:val="3"/>
            <w:vAlign w:val="center"/>
          </w:tcPr>
          <w:p w:rsidR="000C2455" w:rsidRPr="00687B52" w:rsidRDefault="000C2455" w:rsidP="003E1D2A">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区域位置、总图布置与建筑</w:t>
            </w:r>
          </w:p>
        </w:tc>
      </w:tr>
      <w:tr w:rsidR="000C2455" w:rsidRPr="00687B52" w:rsidTr="00406A19">
        <w:trPr>
          <w:jc w:val="center"/>
        </w:trPr>
        <w:tc>
          <w:tcPr>
            <w:tcW w:w="329" w:type="pct"/>
            <w:vAlign w:val="center"/>
          </w:tcPr>
          <w:p w:rsidR="000C2455" w:rsidRPr="00687B52" w:rsidRDefault="000C2455" w:rsidP="00D9787F">
            <w:pPr>
              <w:pStyle w:val="a7"/>
              <w:numPr>
                <w:ilvl w:val="0"/>
                <w:numId w:val="71"/>
              </w:numPr>
              <w:ind w:left="113" w:hanging="113"/>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场所是否按《危险化学品重大危险源监督管理暂行规定》（安监总局令第40号令发布，第79号修订)）确定外部安全防护距离，并计算风险；下列敏感目标是否在安全防护距离之外，个人风险和社会风险是否可接受：</w:t>
            </w:r>
          </w:p>
          <w:p w:rsidR="000C2455" w:rsidRPr="00687B52" w:rsidRDefault="000C2455" w:rsidP="00D9787F">
            <w:pPr>
              <w:pStyle w:val="a7"/>
              <w:numPr>
                <w:ilvl w:val="0"/>
                <w:numId w:val="70"/>
              </w:numPr>
              <w:spacing w:line="240" w:lineRule="auto"/>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居民区、商业中心、公园等人口密集区域；</w:t>
            </w:r>
          </w:p>
          <w:p w:rsidR="000C2455" w:rsidRPr="00687B52" w:rsidRDefault="000C2455" w:rsidP="00D9787F">
            <w:pPr>
              <w:pStyle w:val="a7"/>
              <w:numPr>
                <w:ilvl w:val="0"/>
                <w:numId w:val="70"/>
              </w:numPr>
              <w:spacing w:line="240" w:lineRule="auto"/>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学校、医院、影剧院、体育场（馆）等公共设施；</w:t>
            </w:r>
          </w:p>
          <w:p w:rsidR="000C2455" w:rsidRPr="00687B52" w:rsidRDefault="000C2455" w:rsidP="00D9787F">
            <w:pPr>
              <w:pStyle w:val="a7"/>
              <w:numPr>
                <w:ilvl w:val="0"/>
                <w:numId w:val="70"/>
              </w:numPr>
              <w:spacing w:line="240" w:lineRule="auto"/>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供水水源、水厂及水源保护区；</w:t>
            </w:r>
          </w:p>
          <w:p w:rsidR="000C2455" w:rsidRPr="00687B52" w:rsidRDefault="000C2455" w:rsidP="00D9787F">
            <w:pPr>
              <w:pStyle w:val="a7"/>
              <w:numPr>
                <w:ilvl w:val="0"/>
                <w:numId w:val="70"/>
              </w:numPr>
              <w:spacing w:line="240" w:lineRule="auto"/>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车站、码头（按照国家规定，经批准专门从事危险化学品装卸作业的除外）、机场以及公路、铁路、水路交通干线、地铁风亭及出入口；</w:t>
            </w:r>
          </w:p>
          <w:p w:rsidR="000C2455" w:rsidRPr="00687B52" w:rsidRDefault="000C2455" w:rsidP="00D9787F">
            <w:pPr>
              <w:pStyle w:val="a7"/>
              <w:numPr>
                <w:ilvl w:val="0"/>
                <w:numId w:val="70"/>
              </w:numPr>
              <w:spacing w:line="240" w:lineRule="auto"/>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基本农田保护区、畜牧区、渔业水域和种子、种畜、水产苗种生产基；</w:t>
            </w:r>
          </w:p>
          <w:p w:rsidR="000C2455" w:rsidRPr="00687B52" w:rsidRDefault="000C2455" w:rsidP="00D9787F">
            <w:pPr>
              <w:pStyle w:val="a7"/>
              <w:numPr>
                <w:ilvl w:val="0"/>
                <w:numId w:val="70"/>
              </w:numPr>
              <w:spacing w:line="240" w:lineRule="auto"/>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河流、湖泊、风景名胜区和自然保护区；</w:t>
            </w:r>
          </w:p>
          <w:p w:rsidR="000C2455" w:rsidRPr="00687B52" w:rsidRDefault="000C2455" w:rsidP="00D9787F">
            <w:pPr>
              <w:pStyle w:val="a7"/>
              <w:numPr>
                <w:ilvl w:val="0"/>
                <w:numId w:val="70"/>
              </w:numPr>
              <w:spacing w:line="240" w:lineRule="auto"/>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军事禁区、军事管理区；⑧法律、行政法规规定予以保护的其他区域。</w:t>
            </w:r>
          </w:p>
        </w:tc>
        <w:tc>
          <w:tcPr>
            <w:tcW w:w="1146" w:type="pct"/>
            <w:vAlign w:val="center"/>
          </w:tcPr>
          <w:p w:rsidR="000C2455" w:rsidRPr="00687B52" w:rsidRDefault="000C2455" w:rsidP="003E1D2A">
            <w:pPr>
              <w:pStyle w:val="a7"/>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《危险化学品安全管理条例》</w:t>
            </w:r>
          </w:p>
          <w:p w:rsidR="000C2455" w:rsidRPr="00687B52" w:rsidRDefault="000C2455" w:rsidP="003E1D2A">
            <w:pPr>
              <w:pStyle w:val="a7"/>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第十九条</w:t>
            </w:r>
          </w:p>
        </w:tc>
        <w:tc>
          <w:tcPr>
            <w:tcW w:w="1075"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1"/>
              </w:numPr>
              <w:ind w:left="113" w:hanging="113"/>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hAnsiTheme="minorEastAsia" w:cs="Times New Roman"/>
                <w:color w:val="000000" w:themeColor="text1"/>
                <w:szCs w:val="24"/>
              </w:rPr>
            </w:pPr>
            <w:r w:rsidRPr="00687B52">
              <w:rPr>
                <w:rFonts w:asciiTheme="minorEastAsia" w:eastAsiaTheme="minorEastAsia" w:hAnsiTheme="minorEastAsia" w:hint="eastAsia"/>
                <w:color w:val="000000" w:themeColor="text1"/>
                <w:szCs w:val="24"/>
              </w:rPr>
              <w:t>涉及</w:t>
            </w:r>
            <w:r w:rsidRPr="00687B52">
              <w:rPr>
                <w:rFonts w:asciiTheme="minorEastAsia" w:eastAsiaTheme="minorEastAsia" w:hAnsiTheme="minorEastAsia"/>
                <w:color w:val="000000" w:themeColor="text1"/>
                <w:szCs w:val="24"/>
              </w:rPr>
              <w:t>易燃、易爆、剧毒、放射性等危险物品的化工企业不得</w:t>
            </w:r>
            <w:r w:rsidRPr="00687B52">
              <w:rPr>
                <w:rFonts w:asciiTheme="minorEastAsia" w:eastAsiaTheme="minorEastAsia" w:hAnsiTheme="minorEastAsia" w:hint="eastAsia"/>
                <w:color w:val="000000" w:themeColor="text1"/>
                <w:szCs w:val="24"/>
              </w:rPr>
              <w:t>设立在以下</w:t>
            </w:r>
            <w:r w:rsidRPr="00687B52">
              <w:rPr>
                <w:rFonts w:asciiTheme="minorEastAsia" w:eastAsiaTheme="minorEastAsia" w:hAnsiTheme="minorEastAsia"/>
                <w:color w:val="000000" w:themeColor="text1"/>
                <w:szCs w:val="24"/>
              </w:rPr>
              <w:t>场所：</w:t>
            </w:r>
            <w:r w:rsidRPr="00687B52">
              <w:rPr>
                <w:rFonts w:asciiTheme="minorEastAsia" w:eastAsiaTheme="minorEastAsia" w:hAnsiTheme="minorEastAsia" w:hint="eastAsia"/>
                <w:color w:val="000000" w:themeColor="text1"/>
                <w:szCs w:val="24"/>
              </w:rPr>
              <w:t>①</w:t>
            </w:r>
            <w:r w:rsidRPr="00687B52">
              <w:rPr>
                <w:rFonts w:asciiTheme="minorEastAsia" w:hAnsiTheme="minorEastAsia" w:cs="Times New Roman"/>
                <w:color w:val="000000" w:themeColor="text1"/>
                <w:szCs w:val="24"/>
              </w:rPr>
              <w:t>公路用地外缘起向外100米</w:t>
            </w:r>
            <w:r w:rsidRPr="00687B52">
              <w:rPr>
                <w:rFonts w:asciiTheme="minorEastAsia" w:hAnsiTheme="minorEastAsia" w:cs="Times New Roman" w:hint="eastAsia"/>
                <w:color w:val="000000" w:themeColor="text1"/>
                <w:szCs w:val="24"/>
              </w:rPr>
              <w:t>内</w:t>
            </w:r>
            <w:r w:rsidRPr="00687B52">
              <w:rPr>
                <w:rFonts w:asciiTheme="minorEastAsia" w:hAnsiTheme="minorEastAsia" w:cs="Times New Roman"/>
                <w:color w:val="000000" w:themeColor="text1"/>
                <w:szCs w:val="24"/>
              </w:rPr>
              <w:t>；</w:t>
            </w:r>
          </w:p>
          <w:p w:rsidR="000C2455" w:rsidRPr="00687B52" w:rsidRDefault="000C2455" w:rsidP="003E1D2A">
            <w:pPr>
              <w:pStyle w:val="ab"/>
              <w:spacing w:line="360" w:lineRule="exact"/>
              <w:ind w:left="420" w:firstLineChars="0" w:firstLine="0"/>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②</w:t>
            </w:r>
            <w:r w:rsidRPr="00687B52">
              <w:rPr>
                <w:rFonts w:asciiTheme="minorEastAsia" w:hAnsiTheme="minorEastAsia" w:cs="Times New Roman"/>
                <w:color w:val="000000" w:themeColor="text1"/>
                <w:sz w:val="24"/>
                <w:szCs w:val="24"/>
              </w:rPr>
              <w:t>公路渡口和中型以上公路桥梁周围200米</w:t>
            </w:r>
            <w:r w:rsidRPr="00687B52">
              <w:rPr>
                <w:rFonts w:asciiTheme="minorEastAsia" w:hAnsiTheme="minorEastAsia" w:cs="Times New Roman" w:hint="eastAsia"/>
                <w:color w:val="000000" w:themeColor="text1"/>
                <w:sz w:val="24"/>
                <w:szCs w:val="24"/>
              </w:rPr>
              <w:t>内</w:t>
            </w:r>
            <w:r w:rsidRPr="00687B52">
              <w:rPr>
                <w:rFonts w:asciiTheme="minorEastAsia" w:hAnsiTheme="minorEastAsia" w:cs="Times New Roman"/>
                <w:color w:val="000000" w:themeColor="text1"/>
                <w:sz w:val="24"/>
                <w:szCs w:val="24"/>
              </w:rPr>
              <w:t>；</w:t>
            </w:r>
          </w:p>
          <w:p w:rsidR="000C2455" w:rsidRPr="00687B52" w:rsidRDefault="000C2455" w:rsidP="003E1D2A">
            <w:pPr>
              <w:pStyle w:val="ab"/>
              <w:spacing w:line="360" w:lineRule="exact"/>
              <w:ind w:left="420" w:firstLineChars="0" w:firstLine="0"/>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③</w:t>
            </w:r>
            <w:r w:rsidRPr="00687B52">
              <w:rPr>
                <w:rFonts w:asciiTheme="minorEastAsia" w:hAnsiTheme="minorEastAsia" w:cs="Times New Roman"/>
                <w:color w:val="000000" w:themeColor="text1"/>
                <w:sz w:val="24"/>
                <w:szCs w:val="24"/>
              </w:rPr>
              <w:t>公路隧道上方和洞口外100米</w:t>
            </w:r>
            <w:r w:rsidRPr="00687B52">
              <w:rPr>
                <w:rFonts w:asciiTheme="minorEastAsia" w:hAnsiTheme="minorEastAsia" w:cs="Times New Roman" w:hint="eastAsia"/>
                <w:color w:val="000000" w:themeColor="text1"/>
                <w:sz w:val="24"/>
                <w:szCs w:val="24"/>
              </w:rPr>
              <w:t>内</w:t>
            </w:r>
            <w:r w:rsidRPr="00687B52">
              <w:rPr>
                <w:rFonts w:asciiTheme="minorEastAsia" w:hAnsiTheme="minorEastAsia" w:cs="Times New Roman"/>
                <w:color w:val="000000" w:themeColor="text1"/>
                <w:sz w:val="24"/>
                <w:szCs w:val="24"/>
              </w:rPr>
              <w:t>。</w:t>
            </w:r>
          </w:p>
        </w:tc>
        <w:tc>
          <w:tcPr>
            <w:tcW w:w="1146" w:type="pct"/>
            <w:vAlign w:val="center"/>
          </w:tcPr>
          <w:p w:rsidR="000C2455" w:rsidRPr="00687B52" w:rsidRDefault="000C2455" w:rsidP="003E1D2A">
            <w:pPr>
              <w:spacing w:line="36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《公路安全保护条例》</w:t>
            </w:r>
          </w:p>
          <w:p w:rsidR="000C2455" w:rsidRPr="00687B52" w:rsidRDefault="000C2455" w:rsidP="003E1D2A">
            <w:pPr>
              <w:spacing w:line="36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w:t>
            </w:r>
            <w:r w:rsidRPr="00687B52">
              <w:rPr>
                <w:rFonts w:asciiTheme="minorEastAsia" w:hAnsiTheme="minorEastAsia" w:cs="Times New Roman" w:hint="eastAsia"/>
                <w:color w:val="000000" w:themeColor="text1"/>
                <w:sz w:val="24"/>
                <w:szCs w:val="24"/>
              </w:rPr>
              <w:t>18</w:t>
            </w:r>
            <w:r w:rsidRPr="00687B52">
              <w:rPr>
                <w:rFonts w:asciiTheme="minorEastAsia" w:hAnsiTheme="minorEastAsia" w:cs="Times New Roman"/>
                <w:color w:val="000000" w:themeColor="text1"/>
                <w:sz w:val="24"/>
                <w:szCs w:val="24"/>
              </w:rPr>
              <w:t>条</w:t>
            </w:r>
          </w:p>
        </w:tc>
        <w:tc>
          <w:tcPr>
            <w:tcW w:w="1075"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1"/>
              </w:numPr>
              <w:ind w:left="113" w:hanging="113"/>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厂址应位于城镇或居住区的全年最小频率风向的上风侧</w:t>
            </w:r>
            <w:r w:rsidRPr="00687B52">
              <w:rPr>
                <w:rFonts w:asciiTheme="minorEastAsia" w:eastAsiaTheme="minorEastAsia" w:hAnsiTheme="minorEastAsia" w:hint="eastAsia"/>
                <w:color w:val="000000" w:themeColor="text1"/>
                <w:szCs w:val="24"/>
              </w:rPr>
              <w:t>。</w:t>
            </w:r>
          </w:p>
        </w:tc>
        <w:tc>
          <w:tcPr>
            <w:tcW w:w="1146" w:type="pct"/>
            <w:vAlign w:val="center"/>
          </w:tcPr>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hAnsiTheme="minorEastAsia"/>
                <w:color w:val="000000" w:themeColor="text1"/>
                <w:szCs w:val="24"/>
              </w:rPr>
              <w:t>《</w:t>
            </w:r>
            <w:r w:rsidRPr="00687B52">
              <w:rPr>
                <w:rFonts w:asciiTheme="minorEastAsia" w:hAnsiTheme="minorEastAsia" w:hint="eastAsia"/>
                <w:color w:val="000000" w:themeColor="text1"/>
                <w:szCs w:val="24"/>
              </w:rPr>
              <w:t>化工企业总图运输设计规范</w:t>
            </w:r>
            <w:r w:rsidRPr="00687B52">
              <w:rPr>
                <w:rFonts w:asciiTheme="minorEastAsia" w:hAnsiTheme="minorEastAsia"/>
                <w:color w:val="000000" w:themeColor="text1"/>
                <w:szCs w:val="24"/>
              </w:rPr>
              <w:t>》</w:t>
            </w:r>
            <w:r w:rsidRPr="00687B52">
              <w:rPr>
                <w:rFonts w:asciiTheme="minorEastAsia" w:eastAsiaTheme="minorEastAsia" w:hAnsiTheme="minorEastAsia"/>
                <w:color w:val="000000" w:themeColor="text1"/>
                <w:szCs w:val="24"/>
              </w:rPr>
              <w:t>GB50489-2009</w:t>
            </w:r>
          </w:p>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3.1.8</w:t>
            </w:r>
            <w:r w:rsidRPr="00687B52">
              <w:rPr>
                <w:rFonts w:asciiTheme="minorEastAsia" w:eastAsiaTheme="minorEastAsia" w:hAnsiTheme="minorEastAsia"/>
                <w:color w:val="000000" w:themeColor="text1"/>
                <w:szCs w:val="24"/>
              </w:rPr>
              <w:t>条</w:t>
            </w:r>
          </w:p>
        </w:tc>
        <w:tc>
          <w:tcPr>
            <w:tcW w:w="1075" w:type="pct"/>
            <w:vAlign w:val="center"/>
          </w:tcPr>
          <w:p w:rsidR="000C2455" w:rsidRPr="00687B52" w:rsidRDefault="000C2455" w:rsidP="003E1D2A">
            <w:pPr>
              <w:pStyle w:val="a7"/>
              <w:jc w:val="both"/>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1"/>
              </w:numPr>
              <w:ind w:left="113" w:hanging="113"/>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危险化学品生产</w:t>
            </w:r>
            <w:r w:rsidRPr="00687B52">
              <w:rPr>
                <w:rFonts w:asciiTheme="minorEastAsia" w:hAnsiTheme="minorEastAsia" w:cs="Times New Roman" w:hint="eastAsia"/>
                <w:color w:val="000000" w:themeColor="text1"/>
                <w:sz w:val="24"/>
                <w:szCs w:val="24"/>
              </w:rPr>
              <w:t>、</w:t>
            </w:r>
            <w:r w:rsidRPr="00687B52">
              <w:rPr>
                <w:rFonts w:asciiTheme="minorEastAsia" w:hAnsiTheme="minorEastAsia" w:cs="Times New Roman"/>
                <w:color w:val="000000" w:themeColor="text1"/>
                <w:sz w:val="24"/>
                <w:szCs w:val="24"/>
              </w:rPr>
              <w:t>储存装置与下列场所防火安全间距应符合</w:t>
            </w:r>
            <w:r w:rsidRPr="00687B52">
              <w:rPr>
                <w:rFonts w:asciiTheme="minorEastAsia" w:hAnsiTheme="minorEastAsia" w:cs="Times New Roman"/>
                <w:color w:val="000000" w:themeColor="text1"/>
                <w:sz w:val="24"/>
                <w:szCs w:val="24"/>
              </w:rPr>
              <w:lastRenderedPageBreak/>
              <w:t>规范要求：</w:t>
            </w:r>
          </w:p>
          <w:p w:rsidR="000C2455" w:rsidRPr="00687B52" w:rsidRDefault="000C2455"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控制室；</w:t>
            </w:r>
          </w:p>
          <w:p w:rsidR="000C2455" w:rsidRPr="00687B52" w:rsidRDefault="000C2455"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变配电室；</w:t>
            </w:r>
          </w:p>
          <w:p w:rsidR="000C2455" w:rsidRPr="00687B52" w:rsidRDefault="000C2455"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点火源（包括火炬、明火或散发火花地点）；</w:t>
            </w:r>
          </w:p>
          <w:p w:rsidR="000C2455" w:rsidRPr="00687B52" w:rsidRDefault="000C2455"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民用建筑，如办公楼、厂外民居等；</w:t>
            </w:r>
          </w:p>
          <w:p w:rsidR="000C2455" w:rsidRPr="00687B52" w:rsidRDefault="000C2455"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厂房；</w:t>
            </w:r>
          </w:p>
          <w:p w:rsidR="000C2455" w:rsidRPr="00687B52" w:rsidRDefault="000C2455"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仓库；</w:t>
            </w:r>
          </w:p>
          <w:p w:rsidR="000C2455" w:rsidRPr="00687B52" w:rsidRDefault="000C2455"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甲、乙、丙类液体罐区、堆场；</w:t>
            </w:r>
          </w:p>
          <w:p w:rsidR="000C2455" w:rsidRPr="00687B52" w:rsidRDefault="000C2455"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厂内、外道路</w:t>
            </w:r>
            <w:r w:rsidRPr="00687B52">
              <w:rPr>
                <w:rFonts w:asciiTheme="minorEastAsia" w:hAnsiTheme="minorEastAsia" w:cs="Times New Roman" w:hint="eastAsia"/>
                <w:color w:val="000000" w:themeColor="text1"/>
                <w:kern w:val="0"/>
                <w:sz w:val="24"/>
                <w:szCs w:val="24"/>
              </w:rPr>
              <w:t>、</w:t>
            </w:r>
            <w:r w:rsidRPr="00687B52">
              <w:rPr>
                <w:rFonts w:asciiTheme="minorEastAsia" w:hAnsiTheme="minorEastAsia" w:cs="Times New Roman"/>
                <w:color w:val="000000" w:themeColor="text1"/>
                <w:kern w:val="0"/>
                <w:sz w:val="24"/>
                <w:szCs w:val="24"/>
              </w:rPr>
              <w:t>铁路中心线</w:t>
            </w:r>
            <w:r w:rsidRPr="00687B52">
              <w:rPr>
                <w:rFonts w:asciiTheme="minorEastAsia" w:hAnsiTheme="minorEastAsia" w:cs="Times New Roman"/>
                <w:color w:val="000000" w:themeColor="text1"/>
                <w:sz w:val="24"/>
                <w:szCs w:val="24"/>
              </w:rPr>
              <w:t>；</w:t>
            </w:r>
          </w:p>
          <w:p w:rsidR="000C2455" w:rsidRPr="00687B52" w:rsidRDefault="000C2455"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厂区围墙；</w:t>
            </w:r>
          </w:p>
          <w:p w:rsidR="000C2455" w:rsidRPr="00687B52" w:rsidRDefault="000C2455"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架空电力线；</w:t>
            </w:r>
          </w:p>
          <w:p w:rsidR="000C2455" w:rsidRPr="00687B52" w:rsidRDefault="000C2455"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氢气柜</w:t>
            </w:r>
            <w:r w:rsidRPr="00687B52">
              <w:rPr>
                <w:rFonts w:asciiTheme="minorEastAsia" w:hAnsiTheme="minorEastAsia" w:cs="Times New Roman"/>
                <w:color w:val="000000" w:themeColor="text1"/>
                <w:sz w:val="24"/>
                <w:szCs w:val="24"/>
              </w:rPr>
              <w:t>；</w:t>
            </w:r>
          </w:p>
          <w:p w:rsidR="000C2455" w:rsidRPr="00687B52" w:rsidRDefault="000C2455"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重要公共建筑</w:t>
            </w:r>
            <w:r w:rsidRPr="00687B52">
              <w:rPr>
                <w:rFonts w:asciiTheme="minorEastAsia" w:hAnsiTheme="minorEastAsia" w:cs="Times New Roman" w:hint="eastAsia"/>
                <w:color w:val="000000" w:themeColor="text1"/>
                <w:sz w:val="24"/>
                <w:szCs w:val="24"/>
              </w:rPr>
              <w:t>；</w:t>
            </w:r>
          </w:p>
          <w:p w:rsidR="000C2455" w:rsidRPr="00687B52" w:rsidRDefault="000C2455"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架空电力线</w:t>
            </w:r>
            <w:r w:rsidRPr="00687B52">
              <w:rPr>
                <w:rFonts w:asciiTheme="minorEastAsia" w:hAnsiTheme="minorEastAsia" w:cs="Times New Roman" w:hint="eastAsia"/>
                <w:color w:val="000000" w:themeColor="text1"/>
                <w:sz w:val="24"/>
                <w:szCs w:val="24"/>
              </w:rPr>
              <w:t>；</w:t>
            </w:r>
          </w:p>
          <w:p w:rsidR="000C2455" w:rsidRPr="00687B52" w:rsidRDefault="000C2455"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防火堤</w:t>
            </w:r>
            <w:r w:rsidRPr="00687B52">
              <w:rPr>
                <w:rFonts w:asciiTheme="minorEastAsia" w:hAnsiTheme="minorEastAsia" w:cs="Times New Roman" w:hint="eastAsia"/>
                <w:color w:val="000000" w:themeColor="text1"/>
                <w:sz w:val="24"/>
                <w:szCs w:val="24"/>
              </w:rPr>
              <w:t>；</w:t>
            </w:r>
          </w:p>
        </w:tc>
        <w:tc>
          <w:tcPr>
            <w:tcW w:w="1146" w:type="pct"/>
            <w:vAlign w:val="center"/>
          </w:tcPr>
          <w:p w:rsidR="000C2455" w:rsidRPr="00687B52" w:rsidRDefault="000C2455"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lastRenderedPageBreak/>
              <w:t>《建筑设计防火规范》</w:t>
            </w:r>
            <w:r w:rsidRPr="00687B52">
              <w:rPr>
                <w:rFonts w:asciiTheme="minorEastAsia" w:hAnsiTheme="minorEastAsia" w:cs="Times New Roman"/>
                <w:color w:val="000000" w:themeColor="text1"/>
                <w:sz w:val="24"/>
                <w:szCs w:val="24"/>
              </w:rPr>
              <w:lastRenderedPageBreak/>
              <w:t>GB50016-2014</w:t>
            </w:r>
          </w:p>
          <w:p w:rsidR="000C2455" w:rsidRPr="00687B52" w:rsidRDefault="000C2455"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第3.4.1，3.4.2，3.4.3，3.4.4，3.4.12，3.5.1，3.5.2，4.2.1，4.2.2，</w:t>
            </w:r>
            <w:r w:rsidRPr="00687B52">
              <w:rPr>
                <w:rFonts w:asciiTheme="minorEastAsia" w:hAnsiTheme="minorEastAsia" w:cs="Times New Roman"/>
                <w:color w:val="000000" w:themeColor="text1"/>
                <w:kern w:val="0"/>
                <w:sz w:val="24"/>
                <w:szCs w:val="24"/>
              </w:rPr>
              <w:t>4.2.3，4.2.5、</w:t>
            </w:r>
            <w:r w:rsidRPr="00687B52">
              <w:rPr>
                <w:rFonts w:asciiTheme="minorEastAsia" w:hAnsiTheme="minorEastAsia" w:cs="Times New Roman"/>
                <w:color w:val="000000" w:themeColor="text1"/>
                <w:sz w:val="24"/>
                <w:szCs w:val="24"/>
              </w:rPr>
              <w:t>4.2.7~9，4.3.1，4.3.6，10.2.1条</w:t>
            </w:r>
          </w:p>
        </w:tc>
        <w:tc>
          <w:tcPr>
            <w:tcW w:w="1075" w:type="pct"/>
            <w:vAlign w:val="center"/>
          </w:tcPr>
          <w:p w:rsidR="000C2455" w:rsidRPr="00687B52" w:rsidRDefault="000C2455" w:rsidP="003E1D2A">
            <w:pPr>
              <w:rPr>
                <w:rFonts w:asciiTheme="minorEastAsia" w:hAnsiTheme="minorEastAsia"/>
                <w:color w:val="000000" w:themeColor="text1"/>
                <w:sz w:val="24"/>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1"/>
              </w:numPr>
              <w:ind w:left="113" w:hanging="113"/>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6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边导线与建筑物之间的最小距离：标准电压ll0 kV，最小距离4.0m；标准电压220 kV，最小距离5.0m；标准电压330 kV，最小距离6.0m；标准电压500 kV，最小距离8.5m。</w:t>
            </w:r>
          </w:p>
        </w:tc>
        <w:tc>
          <w:tcPr>
            <w:tcW w:w="1146" w:type="pct"/>
            <w:vAlign w:val="center"/>
          </w:tcPr>
          <w:p w:rsidR="000C2455" w:rsidRPr="00687B52" w:rsidRDefault="000C2455" w:rsidP="003E1D2A">
            <w:pPr>
              <w:spacing w:line="240" w:lineRule="atLeas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《ll0～500kV 架空送电线路设计技术规程》</w:t>
            </w:r>
          </w:p>
          <w:p w:rsidR="000C2455" w:rsidRPr="00687B52" w:rsidRDefault="000C2455" w:rsidP="003E1D2A">
            <w:pPr>
              <w:spacing w:line="240" w:lineRule="atLeas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DL/T 5092-1999</w:t>
            </w:r>
          </w:p>
          <w:p w:rsidR="000C2455" w:rsidRPr="00687B52" w:rsidRDefault="000C2455" w:rsidP="003E1D2A">
            <w:pPr>
              <w:spacing w:line="240" w:lineRule="atLeas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第16.0.4条</w:t>
            </w:r>
          </w:p>
        </w:tc>
        <w:tc>
          <w:tcPr>
            <w:tcW w:w="1075" w:type="pct"/>
            <w:vAlign w:val="center"/>
          </w:tcPr>
          <w:p w:rsidR="000C2455" w:rsidRPr="00687B52" w:rsidRDefault="000C2455" w:rsidP="003E1D2A">
            <w:pPr>
              <w:rPr>
                <w:rFonts w:asciiTheme="minorEastAsia" w:hAnsiTheme="minorEastAsia"/>
                <w:color w:val="000000" w:themeColor="text1"/>
                <w:sz w:val="24"/>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1"/>
              </w:numPr>
              <w:ind w:left="113" w:hanging="113"/>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20" w:lineRule="exact"/>
              <w:ind w:firstLineChars="100" w:firstLine="24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压缩空气站的布置除应符合现行国家标准《压缩空气站设计规范》</w:t>
            </w:r>
            <w:r w:rsidRPr="00687B52">
              <w:rPr>
                <w:rFonts w:asciiTheme="minorEastAsia" w:hAnsiTheme="minorEastAsia" w:cs="Arial"/>
                <w:color w:val="000000" w:themeColor="text1"/>
                <w:sz w:val="24"/>
                <w:szCs w:val="24"/>
              </w:rPr>
              <w:t>GB50029</w:t>
            </w:r>
            <w:r w:rsidRPr="00687B52">
              <w:rPr>
                <w:rFonts w:asciiTheme="minorEastAsia" w:hAnsiTheme="minorEastAsia" w:cs="Arial" w:hint="eastAsia"/>
                <w:color w:val="000000" w:themeColor="text1"/>
                <w:sz w:val="24"/>
                <w:szCs w:val="24"/>
              </w:rPr>
              <w:t>的有关规定外，尚应符合下列规定：</w:t>
            </w:r>
          </w:p>
          <w:p w:rsidR="000C2455" w:rsidRPr="00687B52" w:rsidRDefault="000C2455" w:rsidP="003E1D2A">
            <w:pPr>
              <w:spacing w:line="320" w:lineRule="exact"/>
              <w:ind w:left="24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①宜布置在空气洁净的地段，并应避免靠近散发爆炸性、腐蚀性和有害汽提及粉尘等场所的全年最小频率风向的下风侧。</w:t>
            </w:r>
          </w:p>
          <w:p w:rsidR="000C2455" w:rsidRPr="00687B52" w:rsidRDefault="000C2455" w:rsidP="003E1D2A">
            <w:pPr>
              <w:spacing w:line="320" w:lineRule="exact"/>
              <w:ind w:left="24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②压缩空气站的朝向应结合地形、气象条件，是站内有良好的通风和采光。贮气罐宜布置在站房的北侧。</w:t>
            </w:r>
          </w:p>
          <w:p w:rsidR="000C2455" w:rsidRPr="00687B52" w:rsidRDefault="000C2455" w:rsidP="003E1D2A">
            <w:pPr>
              <w:spacing w:line="320" w:lineRule="exact"/>
              <w:ind w:left="24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③宜靠近负荷中心。</w:t>
            </w:r>
          </w:p>
        </w:tc>
        <w:tc>
          <w:tcPr>
            <w:tcW w:w="1146" w:type="pct"/>
            <w:vAlign w:val="center"/>
          </w:tcPr>
          <w:p w:rsidR="000C2455" w:rsidRPr="00687B52" w:rsidRDefault="000C2455"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《化工企业总图运输设计规范》</w:t>
            </w:r>
            <w:r w:rsidRPr="00687B52">
              <w:rPr>
                <w:rFonts w:asciiTheme="minorEastAsia" w:hAnsiTheme="minorEastAsia" w:cs="Arial"/>
                <w:color w:val="000000" w:themeColor="text1"/>
                <w:sz w:val="24"/>
                <w:szCs w:val="24"/>
              </w:rPr>
              <w:t>GB50489-2009</w:t>
            </w:r>
          </w:p>
          <w:p w:rsidR="000C2455" w:rsidRPr="00687B52" w:rsidRDefault="000C2455"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第</w:t>
            </w:r>
            <w:r w:rsidRPr="00687B52">
              <w:rPr>
                <w:rFonts w:asciiTheme="minorEastAsia" w:hAnsiTheme="minorEastAsia" w:cs="Arial"/>
                <w:color w:val="000000" w:themeColor="text1"/>
                <w:sz w:val="24"/>
                <w:szCs w:val="24"/>
              </w:rPr>
              <w:t>5.3.7</w:t>
            </w:r>
            <w:r w:rsidRPr="00687B52">
              <w:rPr>
                <w:rFonts w:asciiTheme="minorEastAsia" w:hAnsiTheme="minorEastAsia" w:cs="Arial" w:hint="eastAsia"/>
                <w:color w:val="000000" w:themeColor="text1"/>
                <w:sz w:val="24"/>
                <w:szCs w:val="24"/>
              </w:rPr>
              <w:t>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1"/>
              </w:numPr>
              <w:ind w:left="113" w:hanging="113"/>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冷冻站的布置应符合下列要求：</w:t>
            </w:r>
          </w:p>
          <w:p w:rsidR="000C2455" w:rsidRPr="00687B52" w:rsidRDefault="000C2455"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①靠近负荷中心；</w:t>
            </w:r>
          </w:p>
          <w:p w:rsidR="000C2455" w:rsidRPr="00687B52" w:rsidRDefault="000C2455"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②宜布置在通风良好的地段，并应避免靠近热源和人员集中场所；</w:t>
            </w:r>
          </w:p>
          <w:p w:rsidR="000C2455" w:rsidRPr="00687B52" w:rsidRDefault="000C2455"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③宜位于散发腐蚀性气体、粉尘设施的全年最小频率风向下风侧。</w:t>
            </w:r>
          </w:p>
        </w:tc>
        <w:tc>
          <w:tcPr>
            <w:tcW w:w="1146" w:type="pct"/>
            <w:vAlign w:val="center"/>
          </w:tcPr>
          <w:p w:rsidR="000C2455" w:rsidRPr="00687B52" w:rsidRDefault="000C2455" w:rsidP="003E1D2A">
            <w:pPr>
              <w:spacing w:line="320" w:lineRule="exact"/>
              <w:jc w:val="center"/>
              <w:rPr>
                <w:rFonts w:asciiTheme="minorEastAsia" w:hAnsiTheme="minorEastAsia" w:cs="Arial"/>
                <w:color w:val="000000" w:themeColor="text1"/>
                <w:sz w:val="24"/>
                <w:szCs w:val="24"/>
              </w:rPr>
            </w:pPr>
            <w:r w:rsidRPr="00687B52">
              <w:rPr>
                <w:rFonts w:asciiTheme="minorEastAsia" w:hAnsiTheme="minorEastAsia" w:cs="Arial"/>
                <w:color w:val="000000" w:themeColor="text1"/>
                <w:sz w:val="24"/>
                <w:szCs w:val="24"/>
              </w:rPr>
              <w:t>《</w:t>
            </w:r>
            <w:r w:rsidRPr="00687B52">
              <w:rPr>
                <w:rFonts w:asciiTheme="minorEastAsia" w:hAnsiTheme="minorEastAsia" w:cs="Arial" w:hint="eastAsia"/>
                <w:color w:val="000000" w:themeColor="text1"/>
                <w:sz w:val="24"/>
                <w:szCs w:val="24"/>
              </w:rPr>
              <w:t>化工企业总图运输设计规范</w:t>
            </w:r>
            <w:r w:rsidRPr="00687B52">
              <w:rPr>
                <w:rFonts w:asciiTheme="minorEastAsia" w:hAnsiTheme="minorEastAsia" w:cs="Arial"/>
                <w:color w:val="000000" w:themeColor="text1"/>
                <w:sz w:val="24"/>
                <w:szCs w:val="24"/>
              </w:rPr>
              <w:t>》</w:t>
            </w:r>
          </w:p>
          <w:p w:rsidR="000C2455" w:rsidRPr="00687B52" w:rsidRDefault="000C2455" w:rsidP="003E1D2A">
            <w:pPr>
              <w:spacing w:line="320" w:lineRule="exact"/>
              <w:jc w:val="center"/>
              <w:rPr>
                <w:rFonts w:asciiTheme="minorEastAsia" w:hAnsiTheme="minorEastAsia" w:cs="Arial"/>
                <w:color w:val="000000" w:themeColor="text1"/>
                <w:sz w:val="24"/>
                <w:szCs w:val="24"/>
              </w:rPr>
            </w:pPr>
            <w:r w:rsidRPr="00687B52">
              <w:rPr>
                <w:rFonts w:asciiTheme="minorEastAsia" w:hAnsiTheme="minorEastAsia" w:cs="Arial"/>
                <w:color w:val="000000" w:themeColor="text1"/>
                <w:sz w:val="24"/>
                <w:szCs w:val="24"/>
              </w:rPr>
              <w:t>GB50</w:t>
            </w:r>
            <w:r w:rsidRPr="00687B52">
              <w:rPr>
                <w:rFonts w:asciiTheme="minorEastAsia" w:hAnsiTheme="minorEastAsia" w:cs="Arial" w:hint="eastAsia"/>
                <w:color w:val="000000" w:themeColor="text1"/>
                <w:sz w:val="24"/>
                <w:szCs w:val="24"/>
              </w:rPr>
              <w:t>489</w:t>
            </w:r>
            <w:r w:rsidRPr="00687B52">
              <w:rPr>
                <w:rFonts w:asciiTheme="minorEastAsia" w:hAnsiTheme="minorEastAsia" w:cs="Arial"/>
                <w:color w:val="000000" w:themeColor="text1"/>
                <w:sz w:val="24"/>
                <w:szCs w:val="24"/>
              </w:rPr>
              <w:t>-200</w:t>
            </w:r>
            <w:r w:rsidRPr="00687B52">
              <w:rPr>
                <w:rFonts w:asciiTheme="minorEastAsia" w:hAnsiTheme="minorEastAsia" w:cs="Arial" w:hint="eastAsia"/>
                <w:color w:val="000000" w:themeColor="text1"/>
                <w:sz w:val="24"/>
                <w:szCs w:val="24"/>
              </w:rPr>
              <w:t>9</w:t>
            </w:r>
          </w:p>
          <w:p w:rsidR="000C2455" w:rsidRPr="00687B52" w:rsidRDefault="000C2455" w:rsidP="003E1D2A">
            <w:pPr>
              <w:spacing w:line="320" w:lineRule="exact"/>
              <w:jc w:val="center"/>
              <w:rPr>
                <w:rFonts w:asciiTheme="minorEastAsia" w:hAnsiTheme="minorEastAsia" w:cs="Arial"/>
                <w:color w:val="000000" w:themeColor="text1"/>
                <w:sz w:val="24"/>
                <w:szCs w:val="24"/>
              </w:rPr>
            </w:pPr>
            <w:r w:rsidRPr="00687B52">
              <w:rPr>
                <w:rFonts w:asciiTheme="minorEastAsia" w:hAnsiTheme="minorEastAsia" w:cs="Arial"/>
                <w:color w:val="000000" w:themeColor="text1"/>
                <w:sz w:val="24"/>
                <w:szCs w:val="24"/>
              </w:rPr>
              <w:t>第</w:t>
            </w:r>
            <w:r w:rsidRPr="00687B52">
              <w:rPr>
                <w:rFonts w:asciiTheme="minorEastAsia" w:hAnsiTheme="minorEastAsia" w:cs="Arial" w:hint="eastAsia"/>
                <w:color w:val="000000" w:themeColor="text1"/>
                <w:sz w:val="24"/>
                <w:szCs w:val="24"/>
              </w:rPr>
              <w:t>5</w:t>
            </w:r>
            <w:r w:rsidRPr="00687B52">
              <w:rPr>
                <w:rFonts w:asciiTheme="minorEastAsia" w:hAnsiTheme="minorEastAsia" w:cs="Arial"/>
                <w:color w:val="000000" w:themeColor="text1"/>
                <w:sz w:val="24"/>
                <w:szCs w:val="24"/>
              </w:rPr>
              <w:t>.</w:t>
            </w:r>
            <w:r w:rsidRPr="00687B52">
              <w:rPr>
                <w:rFonts w:asciiTheme="minorEastAsia" w:hAnsiTheme="minorEastAsia" w:cs="Arial" w:hint="eastAsia"/>
                <w:color w:val="000000" w:themeColor="text1"/>
                <w:sz w:val="24"/>
                <w:szCs w:val="24"/>
              </w:rPr>
              <w:t>3</w:t>
            </w:r>
            <w:r w:rsidRPr="00687B52">
              <w:rPr>
                <w:rFonts w:asciiTheme="minorEastAsia" w:hAnsiTheme="minorEastAsia" w:cs="Arial"/>
                <w:color w:val="000000" w:themeColor="text1"/>
                <w:sz w:val="24"/>
                <w:szCs w:val="24"/>
              </w:rPr>
              <w:t>.</w:t>
            </w:r>
            <w:r w:rsidRPr="00687B52">
              <w:rPr>
                <w:rFonts w:asciiTheme="minorEastAsia" w:hAnsiTheme="minorEastAsia" w:cs="Arial" w:hint="eastAsia"/>
                <w:color w:val="000000" w:themeColor="text1"/>
                <w:sz w:val="24"/>
                <w:szCs w:val="24"/>
              </w:rPr>
              <w:t>8</w:t>
            </w:r>
            <w:r w:rsidRPr="00687B52">
              <w:rPr>
                <w:rFonts w:asciiTheme="minorEastAsia" w:hAnsiTheme="minorEastAsia" w:cs="Arial"/>
                <w:color w:val="000000" w:themeColor="text1"/>
                <w:sz w:val="24"/>
                <w:szCs w:val="24"/>
              </w:rPr>
              <w:t>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1"/>
              </w:numPr>
              <w:ind w:left="113" w:hanging="113"/>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hAnsiTheme="minorEastAsia"/>
                <w:color w:val="000000" w:themeColor="text1"/>
                <w:szCs w:val="24"/>
              </w:rPr>
            </w:pPr>
            <w:r w:rsidRPr="00687B52">
              <w:rPr>
                <w:rFonts w:asciiTheme="minorEastAsia" w:eastAsiaTheme="minorEastAsia" w:hAnsiTheme="minorEastAsia"/>
                <w:color w:val="000000" w:themeColor="text1"/>
                <w:szCs w:val="24"/>
              </w:rPr>
              <w:t>厂区出入口数量不宜少于2个。人流出入口与货流出入口分开设置。</w:t>
            </w:r>
          </w:p>
        </w:tc>
        <w:tc>
          <w:tcPr>
            <w:tcW w:w="1146" w:type="pct"/>
          </w:tcPr>
          <w:p w:rsidR="000C2455" w:rsidRPr="00687B52" w:rsidRDefault="00F54DF7" w:rsidP="003E1D2A">
            <w:pPr>
              <w:spacing w:line="320" w:lineRule="exact"/>
              <w:jc w:val="center"/>
              <w:rPr>
                <w:rFonts w:asciiTheme="minorEastAsia" w:hAnsiTheme="minorEastAsia" w:cs="Arial"/>
                <w:color w:val="000000" w:themeColor="text1"/>
                <w:sz w:val="24"/>
                <w:szCs w:val="24"/>
              </w:rPr>
            </w:pPr>
            <w:hyperlink r:id="rId24" w:tgtFrame="_blank" w:history="1">
              <w:r w:rsidR="000C2455" w:rsidRPr="00687B52">
                <w:rPr>
                  <w:rFonts w:asciiTheme="minorEastAsia" w:hAnsiTheme="minorEastAsia"/>
                  <w:color w:val="000000" w:themeColor="text1"/>
                  <w:sz w:val="24"/>
                  <w:szCs w:val="24"/>
                </w:rPr>
                <w:t>《工业企业总平面设计规范》</w:t>
              </w:r>
            </w:hyperlink>
          </w:p>
          <w:p w:rsidR="000C2455" w:rsidRPr="00687B52" w:rsidRDefault="000C2455" w:rsidP="003E1D2A">
            <w:pPr>
              <w:spacing w:line="320" w:lineRule="exact"/>
              <w:jc w:val="center"/>
              <w:rPr>
                <w:rFonts w:asciiTheme="minorEastAsia" w:hAnsiTheme="minorEastAsia" w:cs="Arial"/>
                <w:color w:val="000000" w:themeColor="text1"/>
                <w:sz w:val="24"/>
                <w:szCs w:val="24"/>
              </w:rPr>
            </w:pPr>
            <w:r w:rsidRPr="00687B52">
              <w:rPr>
                <w:rFonts w:asciiTheme="minorEastAsia" w:hAnsiTheme="minorEastAsia" w:cs="Arial"/>
                <w:color w:val="000000" w:themeColor="text1"/>
                <w:sz w:val="24"/>
                <w:szCs w:val="24"/>
              </w:rPr>
              <w:t>GB50187-2012</w:t>
            </w:r>
          </w:p>
          <w:p w:rsidR="000C2455" w:rsidRPr="00687B52" w:rsidRDefault="000C2455" w:rsidP="003E1D2A">
            <w:pPr>
              <w:spacing w:line="320" w:lineRule="exact"/>
              <w:jc w:val="center"/>
              <w:rPr>
                <w:rFonts w:asciiTheme="minorEastAsia" w:hAnsiTheme="minorEastAsia" w:cs="Arial"/>
                <w:color w:val="000000" w:themeColor="text1"/>
                <w:sz w:val="24"/>
                <w:szCs w:val="24"/>
              </w:rPr>
            </w:pPr>
            <w:r w:rsidRPr="00687B52">
              <w:rPr>
                <w:rFonts w:asciiTheme="minorEastAsia" w:hAnsiTheme="minorEastAsia" w:cs="Arial"/>
                <w:color w:val="000000" w:themeColor="text1"/>
                <w:sz w:val="24"/>
                <w:szCs w:val="24"/>
              </w:rPr>
              <w:t>第5.7.4条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1"/>
              </w:numPr>
              <w:ind w:left="113" w:hanging="113"/>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电解车间、氢气净化车间、氯气压缩液化及装卸车间、盐酸车间、氢气柜、罐区等周围应设置消防车道。以下场所应设置环形消防车道：</w:t>
            </w:r>
          </w:p>
          <w:p w:rsidR="000C2455" w:rsidRPr="00687B52" w:rsidRDefault="000C2455" w:rsidP="00D9787F">
            <w:pPr>
              <w:pStyle w:val="ab"/>
              <w:numPr>
                <w:ilvl w:val="0"/>
                <w:numId w:val="76"/>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占地面积大于3000m</w:t>
            </w:r>
            <w:r w:rsidRPr="00687B52">
              <w:rPr>
                <w:rFonts w:asciiTheme="minorEastAsia" w:hAnsiTheme="minorEastAsia" w:cs="Times New Roman"/>
                <w:color w:val="000000" w:themeColor="text1"/>
                <w:sz w:val="24"/>
                <w:szCs w:val="24"/>
                <w:vertAlign w:val="superscript"/>
              </w:rPr>
              <w:t>2</w:t>
            </w:r>
            <w:r w:rsidRPr="00687B52">
              <w:rPr>
                <w:rFonts w:asciiTheme="minorEastAsia" w:hAnsiTheme="minorEastAsia" w:cs="Times New Roman"/>
                <w:color w:val="000000" w:themeColor="text1"/>
                <w:sz w:val="24"/>
                <w:szCs w:val="24"/>
              </w:rPr>
              <w:t>的</w:t>
            </w:r>
            <w:r w:rsidRPr="00687B52">
              <w:rPr>
                <w:rFonts w:asciiTheme="minorEastAsia" w:hAnsiTheme="minorEastAsia" w:cs="Times New Roman" w:hint="eastAsia"/>
                <w:color w:val="000000" w:themeColor="text1"/>
                <w:sz w:val="24"/>
                <w:szCs w:val="24"/>
              </w:rPr>
              <w:t>甲乙丙类厂房；</w:t>
            </w:r>
          </w:p>
          <w:p w:rsidR="000C2455" w:rsidRPr="00687B52" w:rsidRDefault="000C2455" w:rsidP="00D9787F">
            <w:pPr>
              <w:pStyle w:val="ab"/>
              <w:numPr>
                <w:ilvl w:val="0"/>
                <w:numId w:val="76"/>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占地面积大于</w:t>
            </w:r>
            <w:r w:rsidRPr="00687B52">
              <w:rPr>
                <w:rFonts w:asciiTheme="minorEastAsia" w:hAnsiTheme="minorEastAsia" w:cs="Times New Roman" w:hint="eastAsia"/>
                <w:color w:val="000000" w:themeColor="text1"/>
                <w:sz w:val="24"/>
                <w:szCs w:val="24"/>
              </w:rPr>
              <w:t>15</w:t>
            </w:r>
            <w:r w:rsidRPr="00687B52">
              <w:rPr>
                <w:rFonts w:asciiTheme="minorEastAsia" w:hAnsiTheme="minorEastAsia" w:cs="Times New Roman"/>
                <w:color w:val="000000" w:themeColor="text1"/>
                <w:sz w:val="24"/>
                <w:szCs w:val="24"/>
              </w:rPr>
              <w:t>00m</w:t>
            </w:r>
            <w:r w:rsidRPr="00687B52">
              <w:rPr>
                <w:rFonts w:asciiTheme="minorEastAsia" w:hAnsiTheme="minorEastAsia" w:cs="Times New Roman"/>
                <w:color w:val="000000" w:themeColor="text1"/>
                <w:sz w:val="24"/>
                <w:szCs w:val="24"/>
                <w:vertAlign w:val="superscript"/>
              </w:rPr>
              <w:t>2</w:t>
            </w:r>
            <w:r w:rsidRPr="00687B52">
              <w:rPr>
                <w:rFonts w:asciiTheme="minorEastAsia" w:hAnsiTheme="minorEastAsia" w:cs="Times New Roman"/>
                <w:color w:val="000000" w:themeColor="text1"/>
                <w:sz w:val="24"/>
                <w:szCs w:val="24"/>
              </w:rPr>
              <w:t>的</w:t>
            </w:r>
            <w:r w:rsidRPr="00687B52">
              <w:rPr>
                <w:rFonts w:asciiTheme="minorEastAsia" w:hAnsiTheme="minorEastAsia" w:cs="Times New Roman" w:hint="eastAsia"/>
                <w:color w:val="000000" w:themeColor="text1"/>
                <w:sz w:val="24"/>
                <w:szCs w:val="24"/>
              </w:rPr>
              <w:t>乙丙类仓库；</w:t>
            </w:r>
          </w:p>
          <w:p w:rsidR="000C2455" w:rsidRPr="00687B52" w:rsidRDefault="000C2455" w:rsidP="00D9787F">
            <w:pPr>
              <w:pStyle w:val="ab"/>
              <w:numPr>
                <w:ilvl w:val="0"/>
                <w:numId w:val="76"/>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占地面积大于3000</w:t>
            </w:r>
            <w:r w:rsidRPr="00687B52">
              <w:rPr>
                <w:rFonts w:asciiTheme="minorEastAsia" w:hAnsiTheme="minorEastAsia" w:cs="Times New Roman" w:hint="eastAsia"/>
                <w:color w:val="000000" w:themeColor="text1"/>
                <w:sz w:val="24"/>
                <w:szCs w:val="24"/>
              </w:rPr>
              <w:t>0</w:t>
            </w:r>
            <w:r w:rsidRPr="00687B52">
              <w:rPr>
                <w:rFonts w:asciiTheme="minorEastAsia" w:hAnsiTheme="minorEastAsia" w:cs="Times New Roman"/>
                <w:color w:val="000000" w:themeColor="text1"/>
                <w:sz w:val="24"/>
                <w:szCs w:val="24"/>
              </w:rPr>
              <w:t>m2的可燃材料堆场</w:t>
            </w:r>
            <w:r w:rsidRPr="00687B52">
              <w:rPr>
                <w:rFonts w:asciiTheme="minorEastAsia" w:hAnsiTheme="minorEastAsia" w:cs="Times New Roman" w:hint="eastAsia"/>
                <w:color w:val="000000" w:themeColor="text1"/>
                <w:sz w:val="24"/>
                <w:szCs w:val="24"/>
              </w:rPr>
              <w:t>；</w:t>
            </w:r>
          </w:p>
          <w:p w:rsidR="000C2455" w:rsidRPr="00687B52" w:rsidRDefault="000C2455" w:rsidP="00D9787F">
            <w:pPr>
              <w:pStyle w:val="ab"/>
              <w:numPr>
                <w:ilvl w:val="0"/>
                <w:numId w:val="76"/>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环形消防车道</w:t>
            </w:r>
            <w:r w:rsidRPr="00687B52">
              <w:rPr>
                <w:rFonts w:asciiTheme="minorEastAsia" w:hAnsiTheme="minorEastAsia" w:cs="Times New Roman"/>
                <w:color w:val="000000" w:themeColor="text1"/>
                <w:sz w:val="24"/>
                <w:szCs w:val="24"/>
              </w:rPr>
              <w:t>至少应有两处与其它车道连通。</w:t>
            </w:r>
          </w:p>
        </w:tc>
        <w:tc>
          <w:tcPr>
            <w:tcW w:w="1146" w:type="pct"/>
            <w:vAlign w:val="center"/>
          </w:tcPr>
          <w:p w:rsidR="000C2455" w:rsidRPr="00687B52" w:rsidRDefault="000C2455" w:rsidP="003E1D2A">
            <w:pPr>
              <w:spacing w:line="24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《建筑设计防火规范》GB50016-2014</w:t>
            </w:r>
          </w:p>
          <w:p w:rsidR="000C2455" w:rsidRPr="00687B52" w:rsidRDefault="000C2455" w:rsidP="003E1D2A">
            <w:pPr>
              <w:spacing w:line="24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第7.1条</w:t>
            </w:r>
          </w:p>
        </w:tc>
        <w:tc>
          <w:tcPr>
            <w:tcW w:w="1075" w:type="pct"/>
            <w:vAlign w:val="center"/>
          </w:tcPr>
          <w:p w:rsidR="000C2455" w:rsidRPr="00687B52" w:rsidRDefault="000C2455" w:rsidP="003E1D2A">
            <w:pPr>
              <w:pStyle w:val="a7"/>
              <w:jc w:val="both"/>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1"/>
              </w:numPr>
              <w:ind w:left="113" w:hanging="113"/>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6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消防车道应符合下列要求：</w:t>
            </w:r>
          </w:p>
          <w:p w:rsidR="000C2455" w:rsidRPr="00687B52" w:rsidRDefault="000C2455" w:rsidP="00D9787F">
            <w:pPr>
              <w:pStyle w:val="ab"/>
              <w:numPr>
                <w:ilvl w:val="0"/>
                <w:numId w:val="77"/>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车道的净宽度和净空高度均不应小于4.0m；</w:t>
            </w:r>
          </w:p>
          <w:p w:rsidR="000C2455" w:rsidRPr="00687B52" w:rsidRDefault="000C2455" w:rsidP="00D9787F">
            <w:pPr>
              <w:pStyle w:val="ab"/>
              <w:numPr>
                <w:ilvl w:val="0"/>
                <w:numId w:val="77"/>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转弯半径应满足消防车转弯的要求；</w:t>
            </w:r>
          </w:p>
          <w:p w:rsidR="000C2455" w:rsidRPr="00687B52" w:rsidRDefault="000C2455" w:rsidP="00D9787F">
            <w:pPr>
              <w:pStyle w:val="ab"/>
              <w:numPr>
                <w:ilvl w:val="0"/>
                <w:numId w:val="77"/>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消防车道靠建筑外墙一侧的边缘距离建筑外墙不宜小于5m；</w:t>
            </w:r>
          </w:p>
          <w:p w:rsidR="000C2455" w:rsidRPr="00687B52" w:rsidRDefault="000C2455" w:rsidP="00D9787F">
            <w:pPr>
              <w:pStyle w:val="ab"/>
              <w:numPr>
                <w:ilvl w:val="0"/>
                <w:numId w:val="77"/>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消防车道的坡度不宜大于8%。</w:t>
            </w:r>
          </w:p>
        </w:tc>
        <w:tc>
          <w:tcPr>
            <w:tcW w:w="1146" w:type="pct"/>
            <w:vAlign w:val="center"/>
          </w:tcPr>
          <w:p w:rsidR="000C2455" w:rsidRPr="00687B52" w:rsidRDefault="000C2455"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《建筑设计防火规范》GB50016-2014</w:t>
            </w:r>
          </w:p>
          <w:p w:rsidR="000C2455" w:rsidRPr="00687B52" w:rsidRDefault="000C2455"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第7.1.8条</w:t>
            </w:r>
          </w:p>
        </w:tc>
        <w:tc>
          <w:tcPr>
            <w:tcW w:w="1075" w:type="pct"/>
            <w:vAlign w:val="center"/>
          </w:tcPr>
          <w:p w:rsidR="000C2455" w:rsidRPr="00687B52" w:rsidRDefault="000C2455" w:rsidP="003E1D2A">
            <w:pPr>
              <w:pStyle w:val="a7"/>
              <w:jc w:val="both"/>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1"/>
              </w:numPr>
              <w:ind w:left="113" w:hanging="113"/>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6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跨越道路上空架设管线距路面的最小净高不得小于5m。</w:t>
            </w:r>
          </w:p>
        </w:tc>
        <w:tc>
          <w:tcPr>
            <w:tcW w:w="1146" w:type="pct"/>
            <w:vAlign w:val="center"/>
          </w:tcPr>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《工业企业厂内铁路、道路运输安全规程》</w:t>
            </w:r>
          </w:p>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GB4387－2008</w:t>
            </w:r>
          </w:p>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第6.1.2条</w:t>
            </w:r>
          </w:p>
        </w:tc>
        <w:tc>
          <w:tcPr>
            <w:tcW w:w="1075" w:type="pct"/>
            <w:vAlign w:val="center"/>
          </w:tcPr>
          <w:p w:rsidR="000C2455" w:rsidRPr="00687B52" w:rsidRDefault="000C2455" w:rsidP="003E1D2A">
            <w:pPr>
              <w:pStyle w:val="a7"/>
              <w:jc w:val="both"/>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1"/>
              </w:numPr>
              <w:ind w:left="113" w:hanging="113"/>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电解车间、氢气净化车间、氯气压缩液化及装卸车间、盐酸车间等甲、乙类厂房的耐火等级不应低于二级。</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电解车间、氢气净化车间、盐酸车间等甲类厂房宜采用单层建筑，单层甲类厂房每个防火分区的最大允许建筑面积分别为4000㎡（一级耐火）、3000㎡（二级耐火），多层甲类厂房每个防火分区的最大允许建筑面积分别为3000㎡（一级耐火）、2000㎡（二级耐火）。</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氯气压缩液化及装卸车间等乙类单层厂房每个防火分区的最大允许建筑面积分别为5000㎡（一级耐火）、4000㎡（二级耐火）。</w:t>
            </w:r>
          </w:p>
        </w:tc>
        <w:tc>
          <w:tcPr>
            <w:tcW w:w="1146" w:type="pct"/>
            <w:vAlign w:val="center"/>
          </w:tcPr>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eastAsiaTheme="minorEastAsia" w:hAnsi="Times New Roman" w:cs="Times New Roman"/>
                <w:color w:val="000000" w:themeColor="text1"/>
                <w:szCs w:val="24"/>
              </w:rPr>
              <w:t>3.2.2</w:t>
            </w:r>
            <w:r w:rsidRPr="00687B52">
              <w:rPr>
                <w:rFonts w:eastAsiaTheme="minorEastAsia" w:hAnsiTheme="minorEastAsia" w:cs="Times New Roman"/>
                <w:color w:val="000000" w:themeColor="text1"/>
                <w:szCs w:val="24"/>
              </w:rPr>
              <w:t>、</w:t>
            </w:r>
            <w:r w:rsidRPr="00687B52">
              <w:rPr>
                <w:rFonts w:eastAsiaTheme="minorEastAsia" w:hAnsi="Times New Roman" w:cs="Times New Roman"/>
                <w:color w:val="000000" w:themeColor="text1"/>
                <w:szCs w:val="24"/>
              </w:rPr>
              <w:t>3.3.1</w:t>
            </w:r>
            <w:r w:rsidRPr="00687B52">
              <w:rPr>
                <w:rFonts w:asciiTheme="minorEastAsia" w:eastAsiaTheme="minorEastAsia" w:hAnsiTheme="minorEastAsia"/>
                <w:color w:val="000000" w:themeColor="text1"/>
                <w:szCs w:val="24"/>
              </w:rPr>
              <w:t>条</w:t>
            </w:r>
          </w:p>
        </w:tc>
        <w:tc>
          <w:tcPr>
            <w:tcW w:w="1075" w:type="pct"/>
            <w:vAlign w:val="center"/>
          </w:tcPr>
          <w:p w:rsidR="000C2455" w:rsidRPr="00687B52" w:rsidRDefault="000C2455" w:rsidP="003E1D2A">
            <w:pPr>
              <w:pStyle w:val="a7"/>
              <w:jc w:val="both"/>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1"/>
              </w:numPr>
              <w:ind w:left="113" w:hanging="113"/>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高架仓库、高层仓库、甲类仓库、多层乙类仓库和储存可燃液体的多层丙类仓库，其耐火等级不应低于二级。</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甲类仓库（储存3、4项甲类危险化学品）每座仓库最大允许建筑面积为180㎡，每个防火分区的最大允许建筑面积分别为60㎡；甲类仓库（储存1、2、5、6项甲类危险化学品）每座仓库最大允许建筑面积为750㎡，每个防火分区的最大允许建筑面积分别为250㎡。</w:t>
            </w:r>
          </w:p>
        </w:tc>
        <w:tc>
          <w:tcPr>
            <w:tcW w:w="1146" w:type="pct"/>
            <w:vAlign w:val="center"/>
          </w:tcPr>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eastAsiaTheme="minorEastAsia" w:hAnsi="Times New Roman" w:cs="Times New Roman" w:hint="eastAsia"/>
                <w:color w:val="000000" w:themeColor="text1"/>
                <w:szCs w:val="24"/>
              </w:rPr>
              <w:t>3.2.7</w:t>
            </w:r>
            <w:r w:rsidRPr="00687B52">
              <w:rPr>
                <w:rFonts w:eastAsiaTheme="minorEastAsia" w:hAnsi="Times New Roman" w:cs="Times New Roman" w:hint="eastAsia"/>
                <w:color w:val="000000" w:themeColor="text1"/>
                <w:szCs w:val="24"/>
              </w:rPr>
              <w:t>、</w:t>
            </w:r>
            <w:r w:rsidRPr="00687B52">
              <w:rPr>
                <w:rFonts w:eastAsiaTheme="minorEastAsia" w:hAnsi="Times New Roman" w:cs="Times New Roman" w:hint="eastAsia"/>
                <w:color w:val="000000" w:themeColor="text1"/>
                <w:szCs w:val="24"/>
              </w:rPr>
              <w:t>3.3.2</w:t>
            </w:r>
            <w:r w:rsidRPr="00687B52">
              <w:rPr>
                <w:rFonts w:asciiTheme="minorEastAsia" w:eastAsiaTheme="minorEastAsia" w:hAnsiTheme="minorEastAsia"/>
                <w:color w:val="000000" w:themeColor="text1"/>
                <w:szCs w:val="24"/>
              </w:rPr>
              <w:t>条</w:t>
            </w:r>
          </w:p>
        </w:tc>
        <w:tc>
          <w:tcPr>
            <w:tcW w:w="1075" w:type="pct"/>
            <w:vAlign w:val="center"/>
          </w:tcPr>
          <w:p w:rsidR="000C2455" w:rsidRPr="00687B52" w:rsidRDefault="000C2455" w:rsidP="003E1D2A">
            <w:pPr>
              <w:pStyle w:val="a7"/>
              <w:jc w:val="both"/>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1"/>
              </w:numPr>
              <w:ind w:left="113" w:hanging="113"/>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员工宿舍严禁设置在厂房</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仓库内</w:t>
            </w:r>
            <w:r w:rsidRPr="00687B52">
              <w:rPr>
                <w:rFonts w:asciiTheme="minorEastAsia" w:eastAsiaTheme="minorEastAsia" w:hAnsiTheme="minorEastAsia" w:hint="eastAsia"/>
                <w:color w:val="000000" w:themeColor="text1"/>
                <w:szCs w:val="24"/>
              </w:rPr>
              <w:t>。</w:t>
            </w:r>
          </w:p>
        </w:tc>
        <w:tc>
          <w:tcPr>
            <w:tcW w:w="1146" w:type="pct"/>
            <w:vAlign w:val="center"/>
          </w:tcPr>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r w:rsidRPr="00687B52">
              <w:rPr>
                <w:rFonts w:asciiTheme="minorEastAsia" w:eastAsiaTheme="minorEastAsia" w:hAnsiTheme="minorEastAsia"/>
                <w:color w:val="000000" w:themeColor="text1"/>
                <w:szCs w:val="24"/>
              </w:rPr>
              <w:t>第</w:t>
            </w:r>
            <w:r w:rsidRPr="00687B52">
              <w:rPr>
                <w:rFonts w:eastAsiaTheme="minorEastAsia" w:hAnsi="Times New Roman" w:cs="Times New Roman"/>
                <w:color w:val="000000" w:themeColor="text1"/>
                <w:szCs w:val="24"/>
              </w:rPr>
              <w:t>3.3.5</w:t>
            </w:r>
            <w:r w:rsidRPr="00687B52">
              <w:rPr>
                <w:rFonts w:eastAsiaTheme="minorEastAsia" w:hAnsi="Times New Roman" w:cs="Times New Roman"/>
                <w:color w:val="000000" w:themeColor="text1"/>
                <w:szCs w:val="24"/>
              </w:rPr>
              <w:t>、</w:t>
            </w:r>
            <w:r w:rsidRPr="00687B52">
              <w:rPr>
                <w:rFonts w:eastAsiaTheme="minorEastAsia" w:hAnsi="Times New Roman" w:cs="Times New Roman"/>
                <w:color w:val="000000" w:themeColor="text1"/>
                <w:szCs w:val="24"/>
              </w:rPr>
              <w:t>3.3.9</w:t>
            </w:r>
            <w:r w:rsidRPr="00687B52">
              <w:rPr>
                <w:rFonts w:asciiTheme="minorEastAsia" w:eastAsiaTheme="minorEastAsia" w:hAnsiTheme="minorEastAsia"/>
                <w:color w:val="000000" w:themeColor="text1"/>
                <w:szCs w:val="24"/>
              </w:rPr>
              <w:t>条</w:t>
            </w:r>
          </w:p>
        </w:tc>
        <w:tc>
          <w:tcPr>
            <w:tcW w:w="1075" w:type="pct"/>
            <w:vAlign w:val="center"/>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1"/>
              </w:numPr>
              <w:ind w:left="113" w:hanging="113"/>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企业应禁止在电解厂房及其他有氯气、</w:t>
            </w:r>
            <w:r w:rsidRPr="00687B52">
              <w:rPr>
                <w:rFonts w:asciiTheme="minorEastAsia" w:eastAsiaTheme="minorEastAsia" w:hAnsiTheme="minorEastAsia" w:hint="eastAsia"/>
                <w:color w:val="000000" w:themeColor="text1"/>
                <w:szCs w:val="24"/>
              </w:rPr>
              <w:t>氢</w:t>
            </w:r>
            <w:r w:rsidRPr="00687B52">
              <w:rPr>
                <w:rFonts w:asciiTheme="minorEastAsia" w:eastAsiaTheme="minorEastAsia" w:hAnsiTheme="minorEastAsia"/>
                <w:color w:val="000000" w:themeColor="text1"/>
                <w:szCs w:val="24"/>
              </w:rPr>
              <w:t>气存在的建筑物内设置操作室、办公室或休息室。</w:t>
            </w:r>
          </w:p>
        </w:tc>
        <w:tc>
          <w:tcPr>
            <w:tcW w:w="1146" w:type="pct"/>
            <w:vAlign w:val="center"/>
          </w:tcPr>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氯碱生产企业安全标准化实施指南</w:t>
            </w:r>
            <w:r w:rsidRPr="00687B52">
              <w:rPr>
                <w:rFonts w:asciiTheme="minorEastAsia" w:eastAsiaTheme="minorEastAsia" w:hAnsiTheme="minorEastAsia" w:hint="eastAsia"/>
                <w:color w:val="000000" w:themeColor="text1"/>
                <w:szCs w:val="24"/>
              </w:rPr>
              <w:t>》AQ/T3016-2008</w:t>
            </w:r>
          </w:p>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第5.5.4.8条</w:t>
            </w:r>
          </w:p>
        </w:tc>
        <w:tc>
          <w:tcPr>
            <w:tcW w:w="1075" w:type="pct"/>
            <w:vAlign w:val="center"/>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1"/>
              </w:numPr>
              <w:ind w:left="113" w:hanging="113"/>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电解车间、氢气净化车间、氯气压缩液化及装卸车间、盐酸车间等</w:t>
            </w:r>
            <w:r w:rsidRPr="00687B52">
              <w:rPr>
                <w:rFonts w:asciiTheme="minorEastAsia" w:eastAsiaTheme="minorEastAsia" w:hAnsiTheme="minorEastAsia"/>
                <w:color w:val="000000" w:themeColor="text1"/>
                <w:szCs w:val="24"/>
              </w:rPr>
              <w:t>甲</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乙</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丙类生产场所</w:t>
            </w:r>
            <w:r w:rsidRPr="00687B52">
              <w:rPr>
                <w:rFonts w:asciiTheme="minorEastAsia" w:eastAsiaTheme="minorEastAsia" w:hAnsiTheme="minorEastAsia" w:hint="eastAsia"/>
                <w:color w:val="000000" w:themeColor="text1"/>
                <w:szCs w:val="24"/>
              </w:rPr>
              <w:t>（仓库）不应设置在地下或半地下。</w:t>
            </w:r>
          </w:p>
        </w:tc>
        <w:tc>
          <w:tcPr>
            <w:tcW w:w="1146" w:type="pct"/>
            <w:vAlign w:val="center"/>
          </w:tcPr>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3.3.4</w:t>
            </w:r>
            <w:r w:rsidRPr="00687B52">
              <w:rPr>
                <w:rFonts w:asciiTheme="minorEastAsia" w:eastAsiaTheme="minorEastAsia" w:hAnsiTheme="minorEastAsia"/>
                <w:color w:val="000000" w:themeColor="text1"/>
                <w:szCs w:val="24"/>
              </w:rPr>
              <w:t>条</w:t>
            </w:r>
          </w:p>
        </w:tc>
        <w:tc>
          <w:tcPr>
            <w:tcW w:w="1075" w:type="pct"/>
            <w:vAlign w:val="center"/>
          </w:tcPr>
          <w:p w:rsidR="000C2455" w:rsidRPr="00687B52" w:rsidRDefault="000C2455" w:rsidP="003E1D2A">
            <w:pPr>
              <w:ind w:firstLineChars="150" w:firstLine="360"/>
              <w:rPr>
                <w:rFonts w:asciiTheme="minorEastAsia" w:hAnsiTheme="minorEastAsia" w:cs="Arial"/>
                <w:color w:val="000000" w:themeColor="text1"/>
                <w:sz w:val="24"/>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1"/>
              </w:numPr>
              <w:ind w:left="113" w:hanging="113"/>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供</w:t>
            </w:r>
            <w:r w:rsidRPr="00687B52">
              <w:rPr>
                <w:rFonts w:asciiTheme="minorEastAsia" w:eastAsiaTheme="minorEastAsia" w:hAnsiTheme="minorEastAsia" w:hint="eastAsia"/>
                <w:color w:val="000000" w:themeColor="text1"/>
                <w:szCs w:val="24"/>
              </w:rPr>
              <w:t>电解车间等</w:t>
            </w:r>
            <w:r w:rsidRPr="00687B52">
              <w:rPr>
                <w:rFonts w:asciiTheme="minorEastAsia" w:eastAsiaTheme="minorEastAsia" w:hAnsiTheme="minorEastAsia"/>
                <w:color w:val="000000" w:themeColor="text1"/>
                <w:szCs w:val="24"/>
              </w:rPr>
              <w:t>甲</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乙类厂房专用的</w:t>
            </w:r>
            <w:r w:rsidRPr="00687B52">
              <w:rPr>
                <w:rFonts w:asciiTheme="minorEastAsia" w:eastAsiaTheme="minorEastAsia" w:hAnsiTheme="minorEastAsia" w:hint="eastAsia"/>
                <w:color w:val="000000" w:themeColor="text1"/>
                <w:szCs w:val="24"/>
              </w:rPr>
              <w:t>10kV及以下的变配电站，当采用无门窗、洞口的防火墙分隔时，可一面贴邻。</w:t>
            </w:r>
          </w:p>
        </w:tc>
        <w:tc>
          <w:tcPr>
            <w:tcW w:w="1146" w:type="pct"/>
            <w:vAlign w:val="center"/>
          </w:tcPr>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3.3.8</w:t>
            </w:r>
            <w:r w:rsidRPr="00687B52">
              <w:rPr>
                <w:rFonts w:asciiTheme="minorEastAsia" w:eastAsiaTheme="minorEastAsia" w:hAnsiTheme="minorEastAsia"/>
                <w:color w:val="000000" w:themeColor="text1"/>
                <w:szCs w:val="24"/>
              </w:rPr>
              <w:t>条</w:t>
            </w:r>
          </w:p>
        </w:tc>
        <w:tc>
          <w:tcPr>
            <w:tcW w:w="1075" w:type="pct"/>
            <w:vAlign w:val="center"/>
          </w:tcPr>
          <w:p w:rsidR="000C2455" w:rsidRPr="00687B52" w:rsidRDefault="000C2455" w:rsidP="003E1D2A">
            <w:pPr>
              <w:ind w:firstLineChars="150" w:firstLine="360"/>
              <w:rPr>
                <w:rFonts w:asciiTheme="minorEastAsia" w:hAnsiTheme="minorEastAsia" w:cs="Arial"/>
                <w:color w:val="000000" w:themeColor="text1"/>
                <w:sz w:val="24"/>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1"/>
              </w:numPr>
              <w:ind w:left="113" w:hanging="113"/>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电解车间、氢气净化车间、氯气压缩液化及装卸车间、盐酸车间等有爆炸危险的厂房或厂房内有爆炸危险的部位应设置泄压设施。</w:t>
            </w:r>
          </w:p>
        </w:tc>
        <w:tc>
          <w:tcPr>
            <w:tcW w:w="1146" w:type="pct"/>
            <w:vAlign w:val="center"/>
          </w:tcPr>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第3.6.2条</w:t>
            </w:r>
          </w:p>
        </w:tc>
        <w:tc>
          <w:tcPr>
            <w:tcW w:w="1075" w:type="pct"/>
            <w:vAlign w:val="center"/>
          </w:tcPr>
          <w:p w:rsidR="000C2455" w:rsidRPr="00687B52" w:rsidRDefault="000C2455" w:rsidP="003E1D2A">
            <w:pPr>
              <w:ind w:firstLineChars="150" w:firstLine="360"/>
              <w:jc w:val="left"/>
              <w:rPr>
                <w:rFonts w:asciiTheme="minorEastAsia" w:hAnsiTheme="minorEastAsia" w:cs="Arial"/>
                <w:color w:val="000000" w:themeColor="text1"/>
                <w:sz w:val="24"/>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1"/>
              </w:numPr>
              <w:ind w:left="113" w:hanging="113"/>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电解车间、氢气净化车间、氯气压缩液化及装卸车间、盐酸车间等</w:t>
            </w:r>
            <w:r w:rsidRPr="00687B52">
              <w:rPr>
                <w:rFonts w:asciiTheme="minorEastAsia" w:eastAsiaTheme="minorEastAsia" w:hAnsiTheme="minorEastAsia"/>
                <w:color w:val="000000" w:themeColor="text1"/>
                <w:szCs w:val="24"/>
              </w:rPr>
              <w:t>有爆炸危险的甲</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乙类厂房的总控制室应独立设置</w:t>
            </w:r>
            <w:r w:rsidRPr="00687B52">
              <w:rPr>
                <w:rFonts w:asciiTheme="minorEastAsia" w:eastAsiaTheme="minorEastAsia" w:hAnsiTheme="minorEastAsia" w:hint="eastAsia"/>
                <w:color w:val="000000" w:themeColor="text1"/>
                <w:szCs w:val="24"/>
              </w:rPr>
              <w:t>。</w:t>
            </w:r>
          </w:p>
        </w:tc>
        <w:tc>
          <w:tcPr>
            <w:tcW w:w="1146" w:type="pct"/>
            <w:vAlign w:val="center"/>
          </w:tcPr>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第3.6.8条</w:t>
            </w:r>
          </w:p>
        </w:tc>
        <w:tc>
          <w:tcPr>
            <w:tcW w:w="1075" w:type="pct"/>
            <w:vAlign w:val="center"/>
          </w:tcPr>
          <w:p w:rsidR="000C2455" w:rsidRPr="00687B52" w:rsidRDefault="000C2455" w:rsidP="003E1D2A">
            <w:pPr>
              <w:ind w:firstLineChars="150" w:firstLine="360"/>
              <w:jc w:val="left"/>
              <w:rPr>
                <w:rFonts w:asciiTheme="minorEastAsia" w:hAnsiTheme="minorEastAsia" w:cs="Arial"/>
                <w:color w:val="000000" w:themeColor="text1"/>
                <w:sz w:val="24"/>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1"/>
              </w:numPr>
              <w:ind w:left="113" w:hanging="113"/>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有爆炸危险的甲</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乙类厂房的</w:t>
            </w:r>
            <w:r w:rsidRPr="00687B52">
              <w:rPr>
                <w:rFonts w:asciiTheme="minorEastAsia" w:eastAsiaTheme="minorEastAsia" w:hAnsiTheme="minorEastAsia" w:hint="eastAsia"/>
                <w:color w:val="000000" w:themeColor="text1"/>
                <w:szCs w:val="24"/>
              </w:rPr>
              <w:t>分</w:t>
            </w:r>
            <w:r w:rsidRPr="00687B52">
              <w:rPr>
                <w:rFonts w:asciiTheme="minorEastAsia" w:eastAsiaTheme="minorEastAsia" w:hAnsiTheme="minorEastAsia"/>
                <w:color w:val="000000" w:themeColor="text1"/>
                <w:szCs w:val="24"/>
              </w:rPr>
              <w:t>控制室</w:t>
            </w:r>
            <w:r w:rsidRPr="00687B52">
              <w:rPr>
                <w:rFonts w:asciiTheme="minorEastAsia" w:eastAsiaTheme="minorEastAsia" w:hAnsiTheme="minorEastAsia" w:hint="eastAsia"/>
                <w:color w:val="000000" w:themeColor="text1"/>
                <w:szCs w:val="24"/>
              </w:rPr>
              <w:t>宜</w:t>
            </w:r>
            <w:r w:rsidRPr="00687B52">
              <w:rPr>
                <w:rFonts w:asciiTheme="minorEastAsia" w:eastAsiaTheme="minorEastAsia" w:hAnsiTheme="minorEastAsia"/>
                <w:color w:val="000000" w:themeColor="text1"/>
                <w:szCs w:val="24"/>
              </w:rPr>
              <w:t>独立设置</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当贴邻外墙设置时</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应采用耐火极限不低于</w:t>
            </w:r>
            <w:r w:rsidRPr="00687B52">
              <w:rPr>
                <w:rFonts w:asciiTheme="minorEastAsia" w:eastAsiaTheme="minorEastAsia" w:hAnsiTheme="minorEastAsia" w:hint="eastAsia"/>
                <w:color w:val="000000" w:themeColor="text1"/>
                <w:szCs w:val="24"/>
              </w:rPr>
              <w:t>3h的防火隔墙与与其他部位分隔。</w:t>
            </w:r>
          </w:p>
        </w:tc>
        <w:tc>
          <w:tcPr>
            <w:tcW w:w="1146" w:type="pct"/>
            <w:vAlign w:val="center"/>
          </w:tcPr>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第3.6.9 条</w:t>
            </w:r>
          </w:p>
        </w:tc>
        <w:tc>
          <w:tcPr>
            <w:tcW w:w="1075" w:type="pct"/>
            <w:vAlign w:val="center"/>
          </w:tcPr>
          <w:p w:rsidR="000C2455" w:rsidRPr="00687B52" w:rsidRDefault="000C2455" w:rsidP="003E1D2A">
            <w:pPr>
              <w:ind w:firstLineChars="150" w:firstLine="360"/>
              <w:rPr>
                <w:rFonts w:asciiTheme="minorEastAsia" w:hAnsiTheme="minorEastAsia" w:cs="Arial"/>
                <w:color w:val="000000" w:themeColor="text1"/>
                <w:sz w:val="24"/>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1"/>
              </w:numPr>
              <w:ind w:left="113" w:hanging="113"/>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盐水、电解</w:t>
            </w:r>
            <w:r w:rsidRPr="00687B52">
              <w:rPr>
                <w:rFonts w:asciiTheme="minorEastAsia" w:eastAsiaTheme="minorEastAsia" w:hAnsiTheme="minorEastAsia"/>
                <w:color w:val="000000" w:themeColor="text1"/>
                <w:szCs w:val="24"/>
              </w:rPr>
              <w:t>车间内</w:t>
            </w:r>
            <w:r w:rsidRPr="00687B52">
              <w:rPr>
                <w:rFonts w:asciiTheme="minorEastAsia" w:eastAsiaTheme="minorEastAsia" w:hAnsiTheme="minorEastAsia" w:hint="eastAsia"/>
                <w:color w:val="000000" w:themeColor="text1"/>
                <w:szCs w:val="24"/>
              </w:rPr>
              <w:t>墙体</w:t>
            </w:r>
            <w:r w:rsidRPr="00687B52">
              <w:rPr>
                <w:rFonts w:asciiTheme="minorEastAsia" w:eastAsiaTheme="minorEastAsia" w:hAnsiTheme="minorEastAsia"/>
                <w:color w:val="000000" w:themeColor="text1"/>
                <w:szCs w:val="24"/>
              </w:rPr>
              <w:t>表面应防止凝结水产生</w:t>
            </w:r>
            <w:r w:rsidRPr="00687B52">
              <w:rPr>
                <w:rFonts w:asciiTheme="minorEastAsia" w:eastAsiaTheme="minorEastAsia" w:hAnsiTheme="minorEastAsia" w:hint="eastAsia"/>
                <w:color w:val="000000" w:themeColor="text1"/>
                <w:szCs w:val="24"/>
              </w:rPr>
              <w:t>，车间</w:t>
            </w:r>
            <w:r w:rsidRPr="00687B52">
              <w:rPr>
                <w:rFonts w:asciiTheme="minorEastAsia" w:eastAsiaTheme="minorEastAsia" w:hAnsiTheme="minorEastAsia"/>
                <w:color w:val="000000" w:themeColor="text1"/>
                <w:szCs w:val="24"/>
              </w:rPr>
              <w:t>应采取排水防湿设施，防止顶棚滴水和地面积水。</w:t>
            </w:r>
          </w:p>
        </w:tc>
        <w:tc>
          <w:tcPr>
            <w:tcW w:w="1146" w:type="pct"/>
            <w:vAlign w:val="center"/>
          </w:tcPr>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《化工企业安全卫生设计规范》</w:t>
            </w:r>
          </w:p>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HG20571-2014</w:t>
            </w:r>
          </w:p>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5.2.6</w:t>
            </w:r>
            <w:r w:rsidRPr="00687B52">
              <w:rPr>
                <w:rFonts w:asciiTheme="minorEastAsia" w:eastAsiaTheme="minorEastAsia" w:hAnsiTheme="minorEastAsia"/>
                <w:color w:val="000000" w:themeColor="text1"/>
                <w:szCs w:val="24"/>
              </w:rPr>
              <w:t>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trHeight w:val="476"/>
          <w:jc w:val="center"/>
        </w:trPr>
        <w:tc>
          <w:tcPr>
            <w:tcW w:w="329" w:type="pct"/>
            <w:vAlign w:val="center"/>
          </w:tcPr>
          <w:p w:rsidR="000C2455" w:rsidRPr="00687B52" w:rsidRDefault="000C2455" w:rsidP="00406A19">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2</w:t>
            </w:r>
          </w:p>
        </w:tc>
        <w:tc>
          <w:tcPr>
            <w:tcW w:w="4671" w:type="pct"/>
            <w:gridSpan w:val="3"/>
            <w:vAlign w:val="center"/>
          </w:tcPr>
          <w:p w:rsidR="000C2455" w:rsidRPr="00687B52" w:rsidRDefault="000C2455" w:rsidP="003E1D2A">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工艺及设备设施</w:t>
            </w: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应选择先进的、成熟的工艺技术，安全性能可靠的设备设施，采用DCS集散控制系统和ESD紧急停车系统。</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宋体" w:hAnsi="宋体" w:cs="宋体" w:hint="eastAsia"/>
                <w:color w:val="000000" w:themeColor="text1"/>
                <w:kern w:val="0"/>
              </w:rPr>
              <w:t>严禁使用水银法烧碱工艺、石墨阳极隔膜烧碱工艺、未采用节能措施（扩张阳极、改性隔膜、活性阴极、小极距等技术）的普通金属阳极隔膜烧碱工艺。</w:t>
            </w:r>
          </w:p>
        </w:tc>
        <w:tc>
          <w:tcPr>
            <w:tcW w:w="1146" w:type="pct"/>
            <w:vAlign w:val="center"/>
          </w:tcPr>
          <w:p w:rsidR="000C2455" w:rsidRPr="00687B52" w:rsidRDefault="000C2455" w:rsidP="003E1D2A">
            <w:pPr>
              <w:pStyle w:val="a7"/>
              <w:spacing w:line="28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氯碱生产企业安全标准化实施指南</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AQ</w:t>
            </w:r>
            <w:r w:rsidRPr="00687B52">
              <w:rPr>
                <w:rFonts w:asciiTheme="minorEastAsia" w:eastAsiaTheme="minorEastAsia" w:hAnsiTheme="minorEastAsia" w:hint="eastAsia"/>
                <w:color w:val="000000" w:themeColor="text1"/>
                <w:szCs w:val="24"/>
              </w:rPr>
              <w:t>/T</w:t>
            </w:r>
            <w:r w:rsidRPr="00687B52">
              <w:rPr>
                <w:rFonts w:asciiTheme="minorEastAsia" w:eastAsiaTheme="minorEastAsia" w:hAnsiTheme="minorEastAsia"/>
                <w:color w:val="000000" w:themeColor="text1"/>
                <w:szCs w:val="24"/>
              </w:rPr>
              <w:t>30</w:t>
            </w:r>
            <w:r w:rsidRPr="00687B52">
              <w:rPr>
                <w:rFonts w:asciiTheme="minorEastAsia" w:eastAsiaTheme="minorEastAsia" w:hAnsiTheme="minorEastAsia" w:hint="eastAsia"/>
                <w:color w:val="000000" w:themeColor="text1"/>
                <w:szCs w:val="24"/>
              </w:rPr>
              <w:t>1</w:t>
            </w:r>
            <w:r w:rsidRPr="00687B52">
              <w:rPr>
                <w:rFonts w:asciiTheme="minorEastAsia" w:eastAsiaTheme="minorEastAsia" w:hAnsiTheme="minorEastAsia"/>
                <w:color w:val="000000" w:themeColor="text1"/>
                <w:szCs w:val="24"/>
              </w:rPr>
              <w:t>6-2008</w:t>
            </w:r>
          </w:p>
          <w:p w:rsidR="000C2455" w:rsidRPr="00687B52" w:rsidRDefault="000C2455" w:rsidP="003E1D2A">
            <w:pPr>
              <w:pStyle w:val="a7"/>
              <w:spacing w:line="28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第5.5.1.4条</w:t>
            </w:r>
          </w:p>
          <w:p w:rsidR="000C2455" w:rsidRPr="00687B52" w:rsidRDefault="000C2455" w:rsidP="003E1D2A">
            <w:pPr>
              <w:pStyle w:val="a7"/>
              <w:spacing w:line="28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《氯碱（烧碱、聚氯乙烯）行业准入条件》</w:t>
            </w:r>
          </w:p>
          <w:p w:rsidR="000C2455" w:rsidRPr="00687B52" w:rsidRDefault="000C2455" w:rsidP="003E1D2A">
            <w:pPr>
              <w:pStyle w:val="a7"/>
              <w:spacing w:line="28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第二条（三）</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定期</w:t>
            </w:r>
            <w:r w:rsidRPr="00687B52">
              <w:rPr>
                <w:rFonts w:asciiTheme="minorEastAsia" w:eastAsiaTheme="minorEastAsia" w:hAnsiTheme="minorEastAsia" w:hint="eastAsia"/>
                <w:color w:val="000000" w:themeColor="text1"/>
                <w:szCs w:val="24"/>
              </w:rPr>
              <w:t>对液氯储存设施</w:t>
            </w:r>
            <w:r w:rsidRPr="00687B52">
              <w:rPr>
                <w:rFonts w:asciiTheme="minorEastAsia" w:eastAsiaTheme="minorEastAsia" w:hAnsiTheme="minorEastAsia"/>
                <w:color w:val="000000" w:themeColor="text1"/>
                <w:szCs w:val="24"/>
              </w:rPr>
              <w:t>进行三氯化氮的分析检测和排放</w:t>
            </w:r>
            <w:r w:rsidRPr="00687B52">
              <w:rPr>
                <w:rFonts w:asciiTheme="minorEastAsia" w:eastAsiaTheme="minorEastAsia" w:hAnsiTheme="minorEastAsia" w:hint="eastAsia"/>
                <w:color w:val="000000" w:themeColor="text1"/>
                <w:szCs w:val="24"/>
              </w:rPr>
              <w:t>；</w:t>
            </w:r>
          </w:p>
        </w:tc>
        <w:tc>
          <w:tcPr>
            <w:tcW w:w="1146" w:type="pct"/>
            <w:vAlign w:val="center"/>
          </w:tcPr>
          <w:p w:rsidR="000C2455" w:rsidRPr="00687B52" w:rsidRDefault="000C2455" w:rsidP="003E1D2A">
            <w:pPr>
              <w:pStyle w:val="a7"/>
              <w:spacing w:line="28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氯碱生产企业安全标准化实施指南</w:t>
            </w:r>
            <w:r w:rsidRPr="00687B52">
              <w:rPr>
                <w:rFonts w:asciiTheme="minorEastAsia" w:eastAsiaTheme="minorEastAsia" w:hAnsiTheme="minorEastAsia" w:hint="eastAsia"/>
                <w:color w:val="000000" w:themeColor="text1"/>
                <w:szCs w:val="24"/>
              </w:rPr>
              <w:t>》AQ/T3016-2008</w:t>
            </w:r>
          </w:p>
          <w:p w:rsidR="000C2455" w:rsidRPr="00687B52" w:rsidRDefault="000C2455" w:rsidP="003E1D2A">
            <w:pPr>
              <w:pStyle w:val="a7"/>
              <w:spacing w:line="28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第5.5.4.5条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电解工艺安全控制的基本要求：</w:t>
            </w:r>
          </w:p>
          <w:p w:rsidR="000C2455" w:rsidRPr="00687B52" w:rsidRDefault="000C2455" w:rsidP="003E1D2A">
            <w:pPr>
              <w:pStyle w:val="a7"/>
              <w:ind w:left="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①电解槽温度、压力、液位、流量报警和联锁；</w:t>
            </w:r>
          </w:p>
          <w:p w:rsidR="000C2455" w:rsidRPr="00687B52" w:rsidRDefault="000C2455" w:rsidP="003E1D2A">
            <w:pPr>
              <w:pStyle w:val="a7"/>
              <w:ind w:left="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②电解供电整流装置与电解槽供电的报警和联锁；</w:t>
            </w:r>
          </w:p>
          <w:p w:rsidR="000C2455" w:rsidRPr="00687B52" w:rsidRDefault="000C2455" w:rsidP="003E1D2A">
            <w:pPr>
              <w:pStyle w:val="a7"/>
              <w:ind w:left="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③紧急联锁切断装置；</w:t>
            </w:r>
          </w:p>
          <w:p w:rsidR="000C2455" w:rsidRPr="00687B52" w:rsidRDefault="000C2455" w:rsidP="003E1D2A">
            <w:pPr>
              <w:pStyle w:val="a7"/>
              <w:ind w:left="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④事故状态下氯气吸收中和系统；</w:t>
            </w:r>
          </w:p>
          <w:p w:rsidR="000C2455" w:rsidRPr="00687B52" w:rsidRDefault="000C2455" w:rsidP="003E1D2A">
            <w:pPr>
              <w:pStyle w:val="a7"/>
              <w:ind w:left="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⑥可燃和有毒气体检测报警装置等。</w:t>
            </w:r>
          </w:p>
        </w:tc>
        <w:tc>
          <w:tcPr>
            <w:tcW w:w="1146" w:type="pct"/>
            <w:vAlign w:val="center"/>
          </w:tcPr>
          <w:p w:rsidR="000C2455" w:rsidRPr="00687B52" w:rsidRDefault="000C2455" w:rsidP="003E1D2A">
            <w:pPr>
              <w:pStyle w:val="a7"/>
              <w:spacing w:line="28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《重点监管的危险化工工艺目录》（</w:t>
            </w:r>
            <w:hyperlink r:id="rId25" w:tgtFrame="_blank" w:history="1">
              <w:r w:rsidRPr="00687B52">
                <w:rPr>
                  <w:rFonts w:asciiTheme="minorEastAsia" w:eastAsiaTheme="minorEastAsia" w:hAnsiTheme="minorEastAsia"/>
                  <w:color w:val="000000" w:themeColor="text1"/>
                  <w:szCs w:val="24"/>
                </w:rPr>
                <w:t>安监总管三〔2009〕116号</w:t>
              </w:r>
            </w:hyperlink>
            <w:r w:rsidRPr="00687B52">
              <w:rPr>
                <w:rFonts w:asciiTheme="minorEastAsia" w:eastAsiaTheme="minorEastAsia" w:hAnsiTheme="minorEastAsia" w:hint="eastAsia"/>
                <w:color w:val="000000" w:themeColor="text1"/>
                <w:szCs w:val="24"/>
              </w:rPr>
              <w:t>）</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spacing w:line="240" w:lineRule="auto"/>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电解厂房</w:t>
            </w:r>
            <w:r w:rsidRPr="00687B52">
              <w:rPr>
                <w:rFonts w:asciiTheme="minorEastAsia" w:eastAsiaTheme="minorEastAsia" w:hAnsiTheme="minorEastAsia" w:hint="eastAsia"/>
                <w:color w:val="000000" w:themeColor="text1"/>
                <w:szCs w:val="24"/>
              </w:rPr>
              <w:t>、</w:t>
            </w:r>
            <w:r w:rsidRPr="00687B52">
              <w:rPr>
                <w:rFonts w:asciiTheme="minorEastAsia" w:hAnsiTheme="minorEastAsia" w:hint="eastAsia"/>
                <w:color w:val="000000" w:themeColor="text1"/>
                <w:szCs w:val="24"/>
              </w:rPr>
              <w:t>盐酸厂房</w:t>
            </w:r>
            <w:r w:rsidRPr="00687B52">
              <w:rPr>
                <w:rFonts w:asciiTheme="minorEastAsia" w:eastAsiaTheme="minorEastAsia" w:hAnsiTheme="minorEastAsia"/>
                <w:color w:val="000000" w:themeColor="text1"/>
                <w:szCs w:val="24"/>
              </w:rPr>
              <w:t>内应设置氢气、氯气检测报警仪</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rPr>
              <w:t>氯气干燥、液化及充装</w:t>
            </w:r>
            <w:r w:rsidRPr="00687B52">
              <w:rPr>
                <w:rFonts w:asciiTheme="minorEastAsia" w:eastAsiaTheme="minorEastAsia" w:hAnsiTheme="minorEastAsia" w:hint="eastAsia"/>
                <w:color w:val="000000" w:themeColor="text1"/>
              </w:rPr>
              <w:t>系统应设置有毒气体（氯）浓度检测报警器；氢气输送、净化工序应</w:t>
            </w:r>
            <w:r w:rsidRPr="00687B52">
              <w:rPr>
                <w:rFonts w:asciiTheme="minorEastAsia" w:eastAsiaTheme="minorEastAsia" w:hAnsiTheme="minorEastAsia"/>
                <w:color w:val="000000" w:themeColor="text1"/>
                <w:szCs w:val="24"/>
              </w:rPr>
              <w:t>应设置氢气检测报警仪。</w:t>
            </w:r>
          </w:p>
          <w:p w:rsidR="000C2455" w:rsidRPr="00687B52" w:rsidRDefault="000C2455" w:rsidP="003E1D2A">
            <w:pPr>
              <w:pStyle w:val="a7"/>
              <w:spacing w:line="240" w:lineRule="auto"/>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可燃/有毒气体检测报警信号应引入控制室集中显示报警，并与事故通风系统联锁。</w:t>
            </w:r>
          </w:p>
          <w:p w:rsidR="000C2455" w:rsidRPr="00687B52" w:rsidRDefault="000C2455" w:rsidP="003E1D2A">
            <w:pPr>
              <w:pStyle w:val="a7"/>
              <w:spacing w:line="240" w:lineRule="auto"/>
              <w:ind w:firstLineChars="150" w:firstLine="360"/>
              <w:jc w:val="left"/>
              <w:rPr>
                <w:rFonts w:eastAsiaTheme="minorEastAsia" w:hAnsi="Times New Roman" w:cs="Times New Roman"/>
                <w:color w:val="000000" w:themeColor="text1"/>
                <w:szCs w:val="24"/>
              </w:rPr>
            </w:pPr>
            <w:r w:rsidRPr="00687B52">
              <w:rPr>
                <w:rFonts w:asciiTheme="minorEastAsia" w:eastAsiaTheme="minorEastAsia" w:hAnsiTheme="minorEastAsia" w:hint="eastAsia"/>
                <w:color w:val="000000" w:themeColor="text1"/>
                <w:szCs w:val="24"/>
              </w:rPr>
              <w:t>氯</w:t>
            </w:r>
            <w:r w:rsidRPr="00687B52">
              <w:rPr>
                <w:rFonts w:asciiTheme="minorEastAsia" w:eastAsiaTheme="minorEastAsia" w:hAnsiTheme="minorEastAsia"/>
                <w:color w:val="000000" w:themeColor="text1"/>
                <w:szCs w:val="24"/>
              </w:rPr>
              <w:t>比重大于空气</w:t>
            </w:r>
            <w:r w:rsidRPr="00687B52">
              <w:rPr>
                <w:rFonts w:asciiTheme="minorEastAsia" w:eastAsiaTheme="minorEastAsia" w:hAnsiTheme="minorEastAsia" w:hint="eastAsia"/>
                <w:color w:val="000000" w:themeColor="text1"/>
                <w:szCs w:val="24"/>
              </w:rPr>
              <w:t>，其</w:t>
            </w:r>
            <w:r w:rsidRPr="00687B52">
              <w:rPr>
                <w:rFonts w:asciiTheme="minorEastAsia" w:eastAsiaTheme="minorEastAsia" w:hAnsiTheme="minorEastAsia"/>
                <w:color w:val="000000" w:themeColor="text1"/>
                <w:szCs w:val="24"/>
              </w:rPr>
              <w:t>检（探）测器应靠近泄漏点，安装高度应距地坪（或楼地板）</w:t>
            </w:r>
            <w:r w:rsidRPr="00687B52">
              <w:rPr>
                <w:rFonts w:eastAsiaTheme="minorEastAsia" w:hAnsi="Times New Roman" w:cs="Times New Roman"/>
                <w:color w:val="000000" w:themeColor="text1"/>
                <w:szCs w:val="24"/>
              </w:rPr>
              <w:t>0.3</w:t>
            </w:r>
            <w:r w:rsidRPr="00687B52">
              <w:rPr>
                <w:rFonts w:eastAsiaTheme="minorEastAsia" w:hAnsi="Times New Roman" w:cs="Times New Roman" w:hint="eastAsia"/>
                <w:color w:val="000000" w:themeColor="text1"/>
                <w:szCs w:val="24"/>
              </w:rPr>
              <w:t>~</w:t>
            </w:r>
            <w:r w:rsidRPr="00687B52">
              <w:rPr>
                <w:rFonts w:eastAsiaTheme="minorEastAsia" w:hAnsi="Times New Roman" w:cs="Times New Roman"/>
                <w:color w:val="000000" w:themeColor="text1"/>
                <w:szCs w:val="24"/>
              </w:rPr>
              <w:t>0.6m</w:t>
            </w:r>
            <w:r w:rsidRPr="00687B52">
              <w:rPr>
                <w:rFonts w:eastAsiaTheme="minorEastAsia" w:hAnsi="Times New Roman" w:cs="Times New Roman"/>
                <w:color w:val="000000" w:themeColor="text1"/>
                <w:szCs w:val="24"/>
              </w:rPr>
              <w:t>。</w:t>
            </w:r>
          </w:p>
          <w:p w:rsidR="000C2455" w:rsidRPr="00687B52" w:rsidRDefault="000C2455" w:rsidP="003E1D2A">
            <w:pPr>
              <w:pStyle w:val="a7"/>
              <w:spacing w:line="240" w:lineRule="auto"/>
              <w:ind w:firstLineChars="150" w:firstLine="360"/>
              <w:jc w:val="left"/>
              <w:rPr>
                <w:rFonts w:asciiTheme="minorEastAsia" w:eastAsiaTheme="minorEastAsia" w:hAnsiTheme="minorEastAsia"/>
                <w:b/>
                <w:color w:val="000000" w:themeColor="text1"/>
                <w:sz w:val="18"/>
                <w:szCs w:val="18"/>
              </w:rPr>
            </w:pPr>
            <w:r w:rsidRPr="00687B52">
              <w:rPr>
                <w:rFonts w:asciiTheme="minorEastAsia" w:eastAsiaTheme="minorEastAsia" w:hAnsiTheme="minorEastAsia" w:hint="eastAsia"/>
                <w:color w:val="000000" w:themeColor="text1"/>
                <w:szCs w:val="24"/>
              </w:rPr>
              <w:t>氢气比重小于空气，其检（探）测器安装高度应高出释放源</w:t>
            </w:r>
            <w:r w:rsidRPr="00687B52">
              <w:rPr>
                <w:rFonts w:eastAsiaTheme="minorEastAsia" w:hAnsi="Times New Roman" w:cs="Times New Roman"/>
                <w:color w:val="000000" w:themeColor="text1"/>
                <w:szCs w:val="24"/>
              </w:rPr>
              <w:t>0.5~2m</w:t>
            </w:r>
            <w:r w:rsidRPr="00687B52">
              <w:rPr>
                <w:rFonts w:asciiTheme="minorEastAsia" w:eastAsiaTheme="minorEastAsia" w:hAnsiTheme="minorEastAsia" w:hint="eastAsia"/>
                <w:color w:val="000000" w:themeColor="text1"/>
                <w:szCs w:val="24"/>
              </w:rPr>
              <w:t>。</w:t>
            </w:r>
          </w:p>
        </w:tc>
        <w:tc>
          <w:tcPr>
            <w:tcW w:w="1146" w:type="pct"/>
            <w:vAlign w:val="center"/>
          </w:tcPr>
          <w:p w:rsidR="000C2455" w:rsidRPr="00687B52" w:rsidRDefault="000C2455" w:rsidP="003E1D2A">
            <w:pPr>
              <w:pStyle w:val="a7"/>
              <w:spacing w:line="240" w:lineRule="auto"/>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《石油化工可燃气体和有毒气体检测报警设计规范》GB50493-2009</w:t>
            </w:r>
          </w:p>
          <w:p w:rsidR="000C2455" w:rsidRPr="00687B52" w:rsidRDefault="000C2455" w:rsidP="003E1D2A">
            <w:pPr>
              <w:pStyle w:val="a7"/>
              <w:spacing w:line="240" w:lineRule="auto"/>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w:t>
            </w:r>
            <w:r w:rsidRPr="00687B52">
              <w:rPr>
                <w:rFonts w:eastAsiaTheme="minorEastAsia" w:hAnsi="Times New Roman" w:cs="Times New Roman"/>
                <w:color w:val="000000" w:themeColor="text1"/>
                <w:szCs w:val="24"/>
              </w:rPr>
              <w:t>3.0.1</w:t>
            </w:r>
            <w:r w:rsidRPr="00687B52">
              <w:rPr>
                <w:rFonts w:eastAsiaTheme="minorEastAsia" w:hAnsiTheme="minorEastAsia" w:cs="Times New Roman"/>
                <w:color w:val="000000" w:themeColor="text1"/>
                <w:szCs w:val="24"/>
              </w:rPr>
              <w:t>、</w:t>
            </w:r>
            <w:r w:rsidRPr="00687B52">
              <w:rPr>
                <w:rFonts w:eastAsiaTheme="minorEastAsia" w:hAnsi="Times New Roman" w:cs="Times New Roman"/>
                <w:color w:val="000000" w:themeColor="text1"/>
                <w:szCs w:val="24"/>
              </w:rPr>
              <w:t>6.1.1</w:t>
            </w:r>
            <w:r w:rsidRPr="00687B52">
              <w:rPr>
                <w:rFonts w:asciiTheme="minorEastAsia" w:eastAsiaTheme="minorEastAsia" w:hAnsiTheme="minorEastAsia" w:hint="eastAsia"/>
                <w:color w:val="000000" w:themeColor="text1"/>
                <w:szCs w:val="24"/>
              </w:rPr>
              <w:t>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电解直流电回路两端应设置对地电压测量仪表。对地电压偏差应小于端电压的10％，但绝对偏差应小于35伏。</w:t>
            </w:r>
          </w:p>
        </w:tc>
        <w:tc>
          <w:tcPr>
            <w:tcW w:w="1146" w:type="pct"/>
            <w:vAlign w:val="center"/>
          </w:tcPr>
          <w:p w:rsidR="000C2455" w:rsidRPr="00687B52" w:rsidRDefault="000C2455" w:rsidP="003E1D2A">
            <w:pPr>
              <w:pStyle w:val="a7"/>
              <w:spacing w:line="240" w:lineRule="auto"/>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《氯碱安全生产技术规范》</w:t>
            </w:r>
          </w:p>
          <w:p w:rsidR="000C2455" w:rsidRPr="00687B52" w:rsidRDefault="000C2455" w:rsidP="003E1D2A">
            <w:pPr>
              <w:pStyle w:val="a7"/>
              <w:spacing w:line="240" w:lineRule="auto"/>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DB37/T1933-2011</w:t>
            </w:r>
          </w:p>
          <w:p w:rsidR="000C2455" w:rsidRPr="00687B52" w:rsidRDefault="000C2455" w:rsidP="003E1D2A">
            <w:pPr>
              <w:pStyle w:val="a7"/>
              <w:spacing w:line="240" w:lineRule="auto"/>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第一百一十五条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氯气系统安全水封设施的排空口、安装的安全阀放空管线应引至吸收装置；</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有可能出现氯气泄漏的生产装置区域位置，安装与吸收装置连接设施。</w:t>
            </w:r>
          </w:p>
        </w:tc>
        <w:tc>
          <w:tcPr>
            <w:tcW w:w="1146" w:type="pct"/>
            <w:vAlign w:val="center"/>
          </w:tcPr>
          <w:p w:rsidR="000C2455" w:rsidRPr="00687B52" w:rsidRDefault="000C2455" w:rsidP="003E1D2A">
            <w:pPr>
              <w:pStyle w:val="a7"/>
              <w:spacing w:line="240" w:lineRule="atLeas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氯碱生产企业安全标准化实施指南</w:t>
            </w:r>
            <w:r w:rsidRPr="00687B52">
              <w:rPr>
                <w:rFonts w:asciiTheme="minorEastAsia" w:eastAsiaTheme="minorEastAsia" w:hAnsiTheme="minorEastAsia" w:hint="eastAsia"/>
                <w:color w:val="000000" w:themeColor="text1"/>
                <w:szCs w:val="24"/>
              </w:rPr>
              <w:t>》AQ/T3016-2008</w:t>
            </w:r>
          </w:p>
          <w:p w:rsidR="000C2455" w:rsidRPr="00687B52" w:rsidRDefault="000C2455" w:rsidP="003E1D2A">
            <w:pPr>
              <w:pStyle w:val="a7"/>
              <w:spacing w:line="240" w:lineRule="atLeas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第5.5.2.1条a）</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安全工艺参数应满足下列指标：</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①</w:t>
            </w:r>
            <w:r w:rsidRPr="00687B52">
              <w:rPr>
                <w:rFonts w:asciiTheme="minorEastAsia" w:eastAsiaTheme="minorEastAsia" w:hAnsiTheme="minorEastAsia"/>
                <w:color w:val="000000" w:themeColor="text1"/>
                <w:szCs w:val="24"/>
              </w:rPr>
              <w:t>进入电解槽盐水无机铵含量≤1 rng／</w:t>
            </w:r>
            <w:r w:rsidRPr="00687B52">
              <w:rPr>
                <w:rFonts w:asciiTheme="minorEastAsia" w:eastAsiaTheme="minorEastAsia" w:hAnsiTheme="minorEastAsia" w:hint="eastAsia"/>
                <w:color w:val="000000" w:themeColor="text1"/>
                <w:szCs w:val="24"/>
              </w:rPr>
              <w:t>L,总</w:t>
            </w:r>
            <w:r w:rsidRPr="00687B52">
              <w:rPr>
                <w:rFonts w:asciiTheme="minorEastAsia" w:eastAsiaTheme="minorEastAsia" w:hAnsiTheme="minorEastAsia"/>
                <w:color w:val="000000" w:themeColor="text1"/>
                <w:szCs w:val="24"/>
              </w:rPr>
              <w:t>铵含量≤4 mg／</w:t>
            </w:r>
            <w:r w:rsidRPr="00687B52">
              <w:rPr>
                <w:rFonts w:asciiTheme="minorEastAsia" w:eastAsiaTheme="minorEastAsia" w:hAnsiTheme="minorEastAsia" w:hint="eastAsia"/>
                <w:color w:val="000000" w:themeColor="text1"/>
                <w:szCs w:val="24"/>
              </w:rPr>
              <w:t>L</w:t>
            </w:r>
            <w:r w:rsidRPr="00687B52">
              <w:rPr>
                <w:rFonts w:asciiTheme="minorEastAsia" w:eastAsiaTheme="minorEastAsia" w:hAnsiTheme="minorEastAsia"/>
                <w:color w:val="000000" w:themeColor="text1"/>
                <w:szCs w:val="24"/>
              </w:rPr>
              <w:t>；</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②</w:t>
            </w:r>
            <w:r w:rsidRPr="00687B52">
              <w:rPr>
                <w:rFonts w:asciiTheme="minorEastAsia" w:eastAsiaTheme="minorEastAsia" w:hAnsiTheme="minorEastAsia"/>
                <w:color w:val="000000" w:themeColor="text1"/>
                <w:szCs w:val="24"/>
              </w:rPr>
              <w:t>氯气总管中含氢≤</w:t>
            </w:r>
            <w:r w:rsidRPr="00687B52">
              <w:rPr>
                <w:rFonts w:asciiTheme="minorEastAsia" w:eastAsiaTheme="minorEastAsia" w:hAnsiTheme="minorEastAsia" w:hint="eastAsia"/>
                <w:color w:val="000000" w:themeColor="text1"/>
                <w:szCs w:val="24"/>
              </w:rPr>
              <w:t>0.</w:t>
            </w:r>
            <w:r w:rsidRPr="00687B52">
              <w:rPr>
                <w:rFonts w:asciiTheme="minorEastAsia" w:eastAsiaTheme="minorEastAsia" w:hAnsiTheme="minorEastAsia"/>
                <w:color w:val="000000" w:themeColor="text1"/>
                <w:szCs w:val="24"/>
              </w:rPr>
              <w:t>004(体积分数)；</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③</w:t>
            </w:r>
            <w:r w:rsidRPr="00687B52">
              <w:rPr>
                <w:rFonts w:asciiTheme="minorEastAsia" w:eastAsiaTheme="minorEastAsia" w:hAnsiTheme="minorEastAsia"/>
                <w:color w:val="000000" w:themeColor="text1"/>
                <w:szCs w:val="24"/>
              </w:rPr>
              <w:t>氯气液化尾气中含氢≤</w:t>
            </w:r>
            <w:r w:rsidRPr="00687B52">
              <w:rPr>
                <w:rFonts w:asciiTheme="minorEastAsia" w:eastAsiaTheme="minorEastAsia" w:hAnsiTheme="minorEastAsia" w:hint="eastAsia"/>
                <w:color w:val="000000" w:themeColor="text1"/>
                <w:szCs w:val="24"/>
              </w:rPr>
              <w:t>0.</w:t>
            </w:r>
            <w:r w:rsidRPr="00687B52">
              <w:rPr>
                <w:rFonts w:asciiTheme="minorEastAsia" w:eastAsiaTheme="minorEastAsia" w:hAnsiTheme="minorEastAsia"/>
                <w:color w:val="000000" w:themeColor="text1"/>
                <w:szCs w:val="24"/>
              </w:rPr>
              <w:t>04(体积分数)；</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④</w:t>
            </w:r>
            <w:r w:rsidRPr="00687B52">
              <w:rPr>
                <w:rFonts w:asciiTheme="minorEastAsia" w:eastAsiaTheme="minorEastAsia" w:hAnsiTheme="minorEastAsia"/>
                <w:color w:val="000000" w:themeColor="text1"/>
                <w:szCs w:val="24"/>
              </w:rPr>
              <w:t>液氯产品纯度≥0．996(质量分数)，含水≤0</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0004(质量分数)，三氯化氮含量≤0．00004(质量分数)</w:t>
            </w:r>
            <w:r w:rsidRPr="00687B52">
              <w:rPr>
                <w:rFonts w:asciiTheme="minorEastAsia" w:eastAsiaTheme="minorEastAsia" w:hAnsiTheme="minorEastAsia" w:hint="eastAsia"/>
                <w:color w:val="000000" w:themeColor="text1"/>
                <w:szCs w:val="24"/>
              </w:rPr>
              <w:t>。</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液氯的充装压力≤1</w:t>
            </w:r>
            <w:r w:rsidRPr="00687B52">
              <w:rPr>
                <w:rFonts w:asciiTheme="minorEastAsia" w:eastAsiaTheme="minorEastAsia" w:hAnsiTheme="minorEastAsia" w:hint="eastAsia"/>
                <w:color w:val="000000" w:themeColor="text1"/>
                <w:szCs w:val="24"/>
              </w:rPr>
              <w:t>.1</w:t>
            </w:r>
            <w:r w:rsidRPr="00687B52">
              <w:rPr>
                <w:rFonts w:asciiTheme="minorEastAsia" w:eastAsiaTheme="minorEastAsia" w:hAnsiTheme="minorEastAsia"/>
                <w:color w:val="000000" w:themeColor="text1"/>
                <w:szCs w:val="24"/>
              </w:rPr>
              <w:t xml:space="preserve">MPa； </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⑤</w:t>
            </w:r>
            <w:r w:rsidRPr="00687B52">
              <w:rPr>
                <w:rFonts w:asciiTheme="minorEastAsia" w:eastAsiaTheme="minorEastAsia" w:hAnsiTheme="minorEastAsia"/>
                <w:color w:val="000000" w:themeColor="text1"/>
                <w:szCs w:val="24"/>
              </w:rPr>
              <w:t xml:space="preserve"> 液氯钢瓶充装系数为</w:t>
            </w:r>
            <w:r w:rsidRPr="00687B52">
              <w:rPr>
                <w:rFonts w:asciiTheme="minorEastAsia" w:eastAsiaTheme="minorEastAsia" w:hAnsiTheme="minorEastAsia" w:hint="eastAsia"/>
                <w:color w:val="000000" w:themeColor="text1"/>
                <w:szCs w:val="24"/>
              </w:rPr>
              <w:t>1.25</w:t>
            </w:r>
            <w:r w:rsidRPr="00687B52">
              <w:rPr>
                <w:rFonts w:asciiTheme="minorEastAsia" w:eastAsiaTheme="minorEastAsia" w:hAnsiTheme="minorEastAsia"/>
                <w:color w:val="000000" w:themeColor="text1"/>
                <w:szCs w:val="24"/>
              </w:rPr>
              <w:t xml:space="preserve"> kg／</w:t>
            </w:r>
            <w:r w:rsidRPr="00687B52">
              <w:rPr>
                <w:rFonts w:asciiTheme="minorEastAsia" w:eastAsiaTheme="minorEastAsia" w:hAnsiTheme="minorEastAsia" w:hint="eastAsia"/>
                <w:color w:val="000000" w:themeColor="text1"/>
                <w:szCs w:val="24"/>
              </w:rPr>
              <w:t>L</w:t>
            </w:r>
            <w:r w:rsidRPr="00687B52">
              <w:rPr>
                <w:rFonts w:asciiTheme="minorEastAsia" w:eastAsiaTheme="minorEastAsia" w:hAnsiTheme="minorEastAsia"/>
                <w:color w:val="000000" w:themeColor="text1"/>
                <w:szCs w:val="24"/>
              </w:rPr>
              <w:t>，液氯罐车充装系数为</w:t>
            </w:r>
            <w:r w:rsidRPr="00687B52">
              <w:rPr>
                <w:rFonts w:asciiTheme="minorEastAsia" w:eastAsiaTheme="minorEastAsia" w:hAnsiTheme="minorEastAsia" w:hint="eastAsia"/>
                <w:color w:val="000000" w:themeColor="text1"/>
                <w:szCs w:val="24"/>
              </w:rPr>
              <w:t>1.20</w:t>
            </w:r>
            <w:r w:rsidRPr="00687B52">
              <w:rPr>
                <w:rFonts w:asciiTheme="minorEastAsia" w:eastAsiaTheme="minorEastAsia" w:hAnsiTheme="minorEastAsia"/>
                <w:color w:val="000000" w:themeColor="text1"/>
                <w:szCs w:val="24"/>
              </w:rPr>
              <w:t>kg／L；</w:t>
            </w:r>
          </w:p>
        </w:tc>
        <w:tc>
          <w:tcPr>
            <w:tcW w:w="1146" w:type="pct"/>
            <w:vAlign w:val="center"/>
          </w:tcPr>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氯碱生产企业安全标准化实施指南</w:t>
            </w:r>
            <w:r w:rsidRPr="00687B52">
              <w:rPr>
                <w:rFonts w:asciiTheme="minorEastAsia" w:eastAsiaTheme="minorEastAsia" w:hAnsiTheme="minorEastAsia" w:hint="eastAsia"/>
                <w:color w:val="000000" w:themeColor="text1"/>
                <w:szCs w:val="24"/>
              </w:rPr>
              <w:t>》AQ/T3016-2008</w:t>
            </w:r>
          </w:p>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第5.5.4.2条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氢气系统应符合下列要求：</w:t>
            </w:r>
          </w:p>
          <w:p w:rsidR="000C2455" w:rsidRPr="00687B52" w:rsidRDefault="000C2455" w:rsidP="003E1D2A">
            <w:pPr>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①</w:t>
            </w:r>
            <w:r w:rsidRPr="00687B52">
              <w:rPr>
                <w:rFonts w:asciiTheme="minorEastAsia" w:hAnsiTheme="minorEastAsia" w:cs="Arial"/>
                <w:color w:val="000000" w:themeColor="text1"/>
                <w:sz w:val="24"/>
                <w:szCs w:val="24"/>
              </w:rPr>
              <w:t>氢气系统应设置自动放空安全水封及蒸汽或氮气稀释灭火设施。</w:t>
            </w:r>
          </w:p>
          <w:p w:rsidR="000C2455" w:rsidRPr="00687B52" w:rsidRDefault="000C2455" w:rsidP="003E1D2A">
            <w:pPr>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②</w:t>
            </w:r>
            <w:r w:rsidRPr="00687B52">
              <w:rPr>
                <w:rFonts w:asciiTheme="minorEastAsia" w:hAnsiTheme="minorEastAsia" w:cs="Arial"/>
                <w:color w:val="000000" w:themeColor="text1"/>
                <w:sz w:val="24"/>
                <w:szCs w:val="24"/>
              </w:rPr>
              <w:t>放空管应采用金属材料，不准使用塑料管或橡皮管。</w:t>
            </w:r>
          </w:p>
          <w:p w:rsidR="000C2455" w:rsidRPr="00687B52" w:rsidRDefault="000C2455" w:rsidP="003E1D2A">
            <w:pPr>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③</w:t>
            </w:r>
            <w:r w:rsidRPr="00687B52">
              <w:rPr>
                <w:rFonts w:asciiTheme="minorEastAsia" w:hAnsiTheme="minorEastAsia" w:cs="Arial"/>
                <w:color w:val="000000" w:themeColor="text1"/>
                <w:sz w:val="24"/>
                <w:szCs w:val="24"/>
              </w:rPr>
              <w:t>不准在室内排放氢气。</w:t>
            </w:r>
          </w:p>
          <w:p w:rsidR="000C2455" w:rsidRPr="00687B52" w:rsidRDefault="000C2455" w:rsidP="003E1D2A">
            <w:pPr>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④</w:t>
            </w:r>
            <w:r w:rsidRPr="00687B52">
              <w:rPr>
                <w:rFonts w:asciiTheme="minorEastAsia" w:hAnsiTheme="minorEastAsia" w:cs="Arial"/>
                <w:color w:val="000000" w:themeColor="text1"/>
                <w:sz w:val="24"/>
                <w:szCs w:val="24"/>
              </w:rPr>
              <w:t>氢气贮罐的放空阀、安全阀和管道系统均设置放空管</w:t>
            </w:r>
            <w:r w:rsidRPr="00687B52">
              <w:rPr>
                <w:rFonts w:asciiTheme="minorEastAsia" w:hAnsiTheme="minorEastAsia" w:cs="Arial" w:hint="eastAsia"/>
                <w:color w:val="000000" w:themeColor="text1"/>
                <w:sz w:val="24"/>
                <w:szCs w:val="24"/>
              </w:rPr>
              <w:t>；</w:t>
            </w:r>
            <w:r w:rsidRPr="00687B52">
              <w:rPr>
                <w:rFonts w:asciiTheme="minorEastAsia" w:hAnsiTheme="minorEastAsia" w:cs="Arial"/>
                <w:color w:val="000000" w:themeColor="text1"/>
                <w:sz w:val="24"/>
                <w:szCs w:val="24"/>
              </w:rPr>
              <w:t>吹洗置换，放空降压，必须通过放空管排放。</w:t>
            </w:r>
          </w:p>
          <w:p w:rsidR="000C2455" w:rsidRPr="00687B52" w:rsidRDefault="000C2455" w:rsidP="003E1D2A">
            <w:pPr>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⑤</w:t>
            </w:r>
            <w:r w:rsidRPr="00687B52">
              <w:rPr>
                <w:rFonts w:asciiTheme="minorEastAsia" w:hAnsiTheme="minorEastAsia" w:cs="Arial"/>
                <w:color w:val="000000" w:themeColor="text1"/>
                <w:sz w:val="24"/>
                <w:szCs w:val="24"/>
              </w:rPr>
              <w:t>放空管高度及要求</w:t>
            </w:r>
            <w:r w:rsidRPr="00687B52">
              <w:rPr>
                <w:rFonts w:asciiTheme="minorEastAsia" w:hAnsiTheme="minorEastAsia" w:cs="Arial" w:hint="eastAsia"/>
                <w:color w:val="000000" w:themeColor="text1"/>
                <w:sz w:val="24"/>
                <w:szCs w:val="24"/>
              </w:rPr>
              <w:t>：室内排放管的出口应高出屋顶2m以上。室外设备的排放管应高于附近有人员作业的最高设备2m以上。</w:t>
            </w:r>
          </w:p>
          <w:p w:rsidR="000C2455" w:rsidRPr="00687B52" w:rsidRDefault="000C2455" w:rsidP="003E1D2A">
            <w:pPr>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⑥</w:t>
            </w:r>
            <w:r w:rsidRPr="00687B52">
              <w:rPr>
                <w:rFonts w:asciiTheme="minorEastAsia" w:hAnsiTheme="minorEastAsia" w:cs="Arial"/>
                <w:color w:val="000000" w:themeColor="text1"/>
                <w:sz w:val="24"/>
                <w:szCs w:val="24"/>
              </w:rPr>
              <w:t>放空管应设阻火器，凡条件允许，可与灭火蒸汽或惰性气体管线连接，以防着火</w:t>
            </w:r>
            <w:r w:rsidRPr="00687B52">
              <w:rPr>
                <w:rFonts w:asciiTheme="minorEastAsia" w:hAnsiTheme="minorEastAsia" w:cs="Arial" w:hint="eastAsia"/>
                <w:color w:val="000000" w:themeColor="text1"/>
                <w:sz w:val="24"/>
                <w:szCs w:val="24"/>
              </w:rPr>
              <w:t>。</w:t>
            </w:r>
          </w:p>
          <w:p w:rsidR="000C2455" w:rsidRPr="00687B52" w:rsidRDefault="000C2455" w:rsidP="00D9787F">
            <w:pPr>
              <w:pStyle w:val="a7"/>
              <w:numPr>
                <w:ilvl w:val="0"/>
                <w:numId w:val="74"/>
              </w:numPr>
              <w:jc w:val="left"/>
              <w:rPr>
                <w:rFonts w:asciiTheme="minorEastAsia" w:hAnsiTheme="minorEastAsia"/>
                <w:color w:val="000000" w:themeColor="text1"/>
                <w:szCs w:val="24"/>
              </w:rPr>
            </w:pPr>
            <w:r w:rsidRPr="00687B52">
              <w:rPr>
                <w:rFonts w:asciiTheme="minorEastAsia" w:hAnsiTheme="minorEastAsia"/>
                <w:color w:val="000000" w:themeColor="text1"/>
                <w:szCs w:val="24"/>
              </w:rPr>
              <w:t>应有防止雨雪侵入和外来异物堵塞放空管的措施。</w:t>
            </w:r>
          </w:p>
        </w:tc>
        <w:tc>
          <w:tcPr>
            <w:tcW w:w="1146" w:type="pct"/>
            <w:vAlign w:val="center"/>
          </w:tcPr>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氯碱生产企业安全标准化实施指南</w:t>
            </w:r>
            <w:r w:rsidRPr="00687B52">
              <w:rPr>
                <w:rFonts w:asciiTheme="minorEastAsia" w:eastAsiaTheme="minorEastAsia" w:hAnsiTheme="minorEastAsia" w:hint="eastAsia"/>
                <w:color w:val="000000" w:themeColor="text1"/>
                <w:szCs w:val="24"/>
              </w:rPr>
              <w:t>》AQ/T3016-2008</w:t>
            </w:r>
          </w:p>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第5.5.2.1条b)</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凡属下列情况之一的容器必须安装安全阀：</w:t>
            </w:r>
            <w:r w:rsidRPr="00687B52">
              <w:rPr>
                <w:rFonts w:asciiTheme="minorEastAsia" w:eastAsiaTheme="minorEastAsia" w:hAnsiTheme="minorEastAsia" w:hint="eastAsia"/>
                <w:color w:val="000000" w:themeColor="text1"/>
                <w:szCs w:val="24"/>
              </w:rPr>
              <w:t>①</w:t>
            </w:r>
            <w:r w:rsidRPr="00687B52">
              <w:rPr>
                <w:rFonts w:asciiTheme="minorEastAsia" w:eastAsiaTheme="minorEastAsia" w:hAnsiTheme="minorEastAsia"/>
                <w:color w:val="000000" w:themeColor="text1"/>
                <w:szCs w:val="24"/>
              </w:rPr>
              <w:t>独立的压力系统（有切断阀与其它系统分开）；</w:t>
            </w:r>
            <w:r w:rsidRPr="00687B52">
              <w:rPr>
                <w:rFonts w:asciiTheme="minorEastAsia" w:eastAsiaTheme="minorEastAsia" w:hAnsiTheme="minorEastAsia" w:hint="eastAsia"/>
                <w:color w:val="000000" w:themeColor="text1"/>
                <w:szCs w:val="24"/>
              </w:rPr>
              <w:t>②</w:t>
            </w:r>
            <w:r w:rsidRPr="00687B52">
              <w:rPr>
                <w:rFonts w:asciiTheme="minorEastAsia" w:eastAsiaTheme="minorEastAsia" w:hAnsiTheme="minorEastAsia"/>
                <w:color w:val="000000" w:themeColor="text1"/>
                <w:szCs w:val="24"/>
              </w:rPr>
              <w:t>容器的压力物料来源处没有安全阀的场合；</w:t>
            </w:r>
            <w:r w:rsidRPr="00687B52">
              <w:rPr>
                <w:rFonts w:asciiTheme="minorEastAsia" w:eastAsiaTheme="minorEastAsia" w:hAnsiTheme="minorEastAsia" w:hint="eastAsia"/>
                <w:color w:val="000000" w:themeColor="text1"/>
                <w:szCs w:val="24"/>
              </w:rPr>
              <w:t>③</w:t>
            </w:r>
            <w:r w:rsidRPr="00687B52">
              <w:rPr>
                <w:rFonts w:asciiTheme="minorEastAsia" w:eastAsiaTheme="minorEastAsia" w:hAnsiTheme="minorEastAsia"/>
                <w:color w:val="000000" w:themeColor="text1"/>
                <w:szCs w:val="24"/>
              </w:rPr>
              <w:t>设计压力小于压力来源处的压力的容器及管道；</w:t>
            </w:r>
            <w:r w:rsidRPr="00687B52">
              <w:rPr>
                <w:rFonts w:asciiTheme="minorEastAsia" w:eastAsiaTheme="minorEastAsia" w:hAnsiTheme="minorEastAsia" w:hint="eastAsia"/>
                <w:color w:val="000000" w:themeColor="text1"/>
                <w:szCs w:val="24"/>
              </w:rPr>
              <w:t>④</w:t>
            </w:r>
            <w:r w:rsidRPr="00687B52">
              <w:rPr>
                <w:rFonts w:asciiTheme="minorEastAsia" w:eastAsiaTheme="minorEastAsia" w:hAnsiTheme="minorEastAsia"/>
                <w:color w:val="000000" w:themeColor="text1"/>
                <w:szCs w:val="24"/>
              </w:rPr>
              <w:t>容积式泵和压缩机的出口管道；</w:t>
            </w:r>
            <w:r w:rsidRPr="00687B52">
              <w:rPr>
                <w:rFonts w:asciiTheme="minorEastAsia" w:eastAsiaTheme="minorEastAsia" w:hAnsiTheme="minorEastAsia" w:hint="eastAsia"/>
                <w:color w:val="000000" w:themeColor="text1"/>
                <w:szCs w:val="24"/>
              </w:rPr>
              <w:t>⑤</w:t>
            </w:r>
            <w:r w:rsidRPr="00687B52">
              <w:rPr>
                <w:rFonts w:asciiTheme="minorEastAsia" w:eastAsiaTheme="minorEastAsia" w:hAnsiTheme="minorEastAsia"/>
                <w:color w:val="000000" w:themeColor="text1"/>
                <w:szCs w:val="24"/>
              </w:rPr>
              <w:t>由于不凝气的累积产生超压的容器；</w:t>
            </w:r>
            <w:r w:rsidRPr="00687B52">
              <w:rPr>
                <w:rFonts w:asciiTheme="minorEastAsia" w:eastAsiaTheme="minorEastAsia" w:hAnsiTheme="minorEastAsia" w:hint="eastAsia"/>
                <w:color w:val="000000" w:themeColor="text1"/>
                <w:szCs w:val="24"/>
              </w:rPr>
              <w:t>⑥</w:t>
            </w:r>
            <w:r w:rsidRPr="00687B52">
              <w:rPr>
                <w:rFonts w:asciiTheme="minorEastAsia" w:eastAsiaTheme="minorEastAsia" w:hAnsiTheme="minorEastAsia"/>
                <w:color w:val="000000" w:themeColor="text1"/>
                <w:szCs w:val="24"/>
              </w:rPr>
              <w:t>由于工艺事故、自控事故、电力事故、火灾事故和公用工程事故引起的超压部位；</w:t>
            </w:r>
            <w:r w:rsidRPr="00687B52">
              <w:rPr>
                <w:rFonts w:asciiTheme="minorEastAsia" w:eastAsiaTheme="minorEastAsia" w:hAnsiTheme="minorEastAsia" w:hint="eastAsia"/>
                <w:color w:val="000000" w:themeColor="text1"/>
                <w:szCs w:val="24"/>
              </w:rPr>
              <w:t>⑦</w:t>
            </w:r>
            <w:r w:rsidRPr="00687B52">
              <w:rPr>
                <w:rFonts w:asciiTheme="minorEastAsia" w:eastAsiaTheme="minorEastAsia" w:hAnsiTheme="minorEastAsia"/>
                <w:color w:val="000000" w:themeColor="text1"/>
                <w:szCs w:val="24"/>
              </w:rPr>
              <w:t>液体因两端阀门关闭而产生热膨胀的部位；</w:t>
            </w:r>
            <w:r w:rsidRPr="00687B52">
              <w:rPr>
                <w:rFonts w:asciiTheme="minorEastAsia" w:eastAsiaTheme="minorEastAsia" w:hAnsiTheme="minorEastAsia" w:hint="eastAsia"/>
                <w:color w:val="000000" w:themeColor="text1"/>
                <w:szCs w:val="24"/>
              </w:rPr>
              <w:t>⑧</w:t>
            </w:r>
            <w:r w:rsidRPr="00687B52">
              <w:rPr>
                <w:rFonts w:asciiTheme="minorEastAsia" w:eastAsiaTheme="minorEastAsia" w:hAnsiTheme="minorEastAsia"/>
                <w:color w:val="000000" w:themeColor="text1"/>
                <w:szCs w:val="24"/>
              </w:rPr>
              <w:t>某些情况下，由于泵出口止回阀的泄漏，则在泵的入口管道上设置安全阀；</w:t>
            </w:r>
            <w:r w:rsidRPr="00687B52">
              <w:rPr>
                <w:rFonts w:asciiTheme="minorEastAsia" w:eastAsiaTheme="minorEastAsia" w:hAnsiTheme="minorEastAsia" w:hint="eastAsia"/>
                <w:color w:val="000000" w:themeColor="text1"/>
                <w:szCs w:val="24"/>
              </w:rPr>
              <w:t>⑨</w:t>
            </w:r>
            <w:r w:rsidRPr="00687B52">
              <w:rPr>
                <w:rFonts w:asciiTheme="minorEastAsia" w:eastAsiaTheme="minorEastAsia" w:hAnsiTheme="minorEastAsia"/>
                <w:color w:val="000000" w:themeColor="text1"/>
                <w:szCs w:val="24"/>
              </w:rPr>
              <w:t>其它应设置安全阀的地方。</w:t>
            </w:r>
          </w:p>
        </w:tc>
        <w:tc>
          <w:tcPr>
            <w:tcW w:w="1146" w:type="pct"/>
            <w:vAlign w:val="center"/>
          </w:tcPr>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《安全阀的设置和选用》HG/T20570-95</w:t>
            </w:r>
          </w:p>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第4.4.1条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20" w:lineRule="exact"/>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酸、碱液体储罐区应符合下列要求：</w:t>
            </w:r>
          </w:p>
          <w:p w:rsidR="000C2455" w:rsidRPr="00687B52" w:rsidRDefault="000C2455" w:rsidP="003E1D2A">
            <w:pPr>
              <w:spacing w:line="320" w:lineRule="exact"/>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①</w:t>
            </w:r>
            <w:r w:rsidRPr="00687B52">
              <w:rPr>
                <w:rFonts w:asciiTheme="minorEastAsia" w:hAnsiTheme="minorEastAsia" w:cs="Arial"/>
                <w:color w:val="000000" w:themeColor="text1"/>
                <w:sz w:val="24"/>
                <w:szCs w:val="24"/>
              </w:rPr>
              <w:t>氢氧化钠和氢氧化钾、硫酸和盐酸等溶液储罐应安装液位计</w:t>
            </w:r>
            <w:r w:rsidRPr="00687B52">
              <w:rPr>
                <w:rFonts w:asciiTheme="minorEastAsia" w:hAnsiTheme="minorEastAsia" w:cs="Arial" w:hint="eastAsia"/>
                <w:color w:val="000000" w:themeColor="text1"/>
                <w:sz w:val="24"/>
                <w:szCs w:val="24"/>
              </w:rPr>
              <w:t>。</w:t>
            </w:r>
          </w:p>
          <w:p w:rsidR="000C2455" w:rsidRPr="00687B52" w:rsidRDefault="000C2455" w:rsidP="003E1D2A">
            <w:pPr>
              <w:spacing w:line="320" w:lineRule="exact"/>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②酸</w:t>
            </w:r>
            <w:r w:rsidRPr="00687B52">
              <w:rPr>
                <w:rFonts w:asciiTheme="minorEastAsia" w:hAnsiTheme="minorEastAsia" w:cs="Arial"/>
                <w:color w:val="000000" w:themeColor="text1"/>
                <w:sz w:val="24"/>
                <w:szCs w:val="24"/>
              </w:rPr>
              <w:t>、碱储罐区独立建立，酸、碱储罐区设置围堰</w:t>
            </w:r>
            <w:r w:rsidRPr="00687B52">
              <w:rPr>
                <w:rFonts w:asciiTheme="minorEastAsia" w:hAnsiTheme="minorEastAsia" w:cs="Arial" w:hint="eastAsia"/>
                <w:color w:val="000000" w:themeColor="text1"/>
                <w:sz w:val="24"/>
                <w:szCs w:val="24"/>
              </w:rPr>
              <w:t>。</w:t>
            </w:r>
          </w:p>
          <w:p w:rsidR="000C2455" w:rsidRPr="00687B52" w:rsidRDefault="000C2455" w:rsidP="003E1D2A">
            <w:pPr>
              <w:spacing w:line="320" w:lineRule="exact"/>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③储存酸碱等腐蚀性介质的储罐组内的地面应做防腐蚀处理。</w:t>
            </w:r>
          </w:p>
          <w:p w:rsidR="000C2455" w:rsidRPr="00687B52" w:rsidRDefault="000C2455" w:rsidP="003E1D2A">
            <w:pPr>
              <w:spacing w:line="320" w:lineRule="exact"/>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④每个储罐组的防护墙应设置不少于2处越堤人行踏步或坡道，并应设置在不同方位上。隔堤、隔墙应设置人行踏步或坡道。</w:t>
            </w:r>
          </w:p>
        </w:tc>
        <w:tc>
          <w:tcPr>
            <w:tcW w:w="1146" w:type="pct"/>
            <w:vAlign w:val="center"/>
          </w:tcPr>
          <w:p w:rsidR="000C2455" w:rsidRPr="00687B52" w:rsidRDefault="000C2455" w:rsidP="003E1D2A">
            <w:pPr>
              <w:spacing w:line="240" w:lineRule="atLeas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w:t>
            </w:r>
            <w:r w:rsidRPr="00687B52">
              <w:rPr>
                <w:rFonts w:asciiTheme="minorEastAsia" w:hAnsiTheme="minorEastAsia" w:cs="Arial"/>
                <w:color w:val="000000" w:themeColor="text1"/>
                <w:sz w:val="24"/>
                <w:szCs w:val="24"/>
              </w:rPr>
              <w:t>氯碱生产企业安全标准化实施指南</w:t>
            </w:r>
            <w:r w:rsidRPr="00687B52">
              <w:rPr>
                <w:rFonts w:asciiTheme="minorEastAsia" w:hAnsiTheme="minorEastAsia" w:cs="Arial" w:hint="eastAsia"/>
                <w:color w:val="000000" w:themeColor="text1"/>
                <w:sz w:val="24"/>
                <w:szCs w:val="24"/>
              </w:rPr>
              <w:t>》</w:t>
            </w:r>
          </w:p>
          <w:p w:rsidR="000C2455" w:rsidRPr="00687B52" w:rsidRDefault="000C2455" w:rsidP="003E1D2A">
            <w:pPr>
              <w:spacing w:line="240" w:lineRule="atLeas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AQ/T3016-2008</w:t>
            </w:r>
          </w:p>
          <w:p w:rsidR="000C2455" w:rsidRPr="00687B52" w:rsidRDefault="000C2455" w:rsidP="003E1D2A">
            <w:pPr>
              <w:pStyle w:val="a7"/>
              <w:spacing w:line="240" w:lineRule="atLeast"/>
              <w:jc w:val="left"/>
              <w:rPr>
                <w:rFonts w:asciiTheme="minorEastAsia" w:eastAsiaTheme="minorEastAsia" w:hAnsiTheme="minorEastAsia"/>
                <w:color w:val="000000" w:themeColor="text1"/>
                <w:szCs w:val="24"/>
              </w:rPr>
            </w:pPr>
            <w:r w:rsidRPr="00687B52">
              <w:rPr>
                <w:rFonts w:asciiTheme="minorEastAsia" w:hAnsiTheme="minorEastAsia" w:hint="eastAsia"/>
                <w:color w:val="000000" w:themeColor="text1"/>
                <w:szCs w:val="24"/>
              </w:rPr>
              <w:t>第5.5.2.1条d)</w:t>
            </w:r>
            <w:r w:rsidRPr="00687B52">
              <w:rPr>
                <w:rFonts w:asciiTheme="minorEastAsia" w:eastAsiaTheme="minorEastAsia" w:hAnsiTheme="minorEastAsia" w:hint="eastAsia"/>
                <w:color w:val="000000" w:themeColor="text1"/>
                <w:szCs w:val="24"/>
              </w:rPr>
              <w:t xml:space="preserve"> 《储罐区防火堤设计规范》GB50351-2014</w:t>
            </w:r>
          </w:p>
          <w:p w:rsidR="000C2455" w:rsidRPr="00687B52" w:rsidRDefault="000C2455" w:rsidP="003E1D2A">
            <w:pPr>
              <w:pStyle w:val="a7"/>
              <w:spacing w:line="240" w:lineRule="atLeas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w:t>
            </w:r>
            <w:r w:rsidRPr="00687B52">
              <w:rPr>
                <w:rFonts w:eastAsiaTheme="minorEastAsia" w:hAnsi="Times New Roman" w:cs="Times New Roman"/>
                <w:color w:val="000000" w:themeColor="text1"/>
                <w:szCs w:val="24"/>
              </w:rPr>
              <w:t>3.1.7</w:t>
            </w:r>
            <w:r w:rsidRPr="00687B52">
              <w:rPr>
                <w:rFonts w:eastAsiaTheme="minorEastAsia" w:hAnsiTheme="minorEastAsia" w:cs="Times New Roman"/>
                <w:color w:val="000000" w:themeColor="text1"/>
                <w:szCs w:val="24"/>
              </w:rPr>
              <w:t>、</w:t>
            </w:r>
            <w:r w:rsidRPr="00687B52">
              <w:rPr>
                <w:rFonts w:eastAsiaTheme="minorEastAsia" w:hAnsi="Times New Roman" w:cs="Times New Roman"/>
                <w:color w:val="000000" w:themeColor="text1"/>
                <w:szCs w:val="24"/>
              </w:rPr>
              <w:t>3.3.5</w:t>
            </w:r>
            <w:r w:rsidRPr="00687B52">
              <w:rPr>
                <w:rFonts w:asciiTheme="minorEastAsia" w:eastAsiaTheme="minorEastAsia" w:hAnsiTheme="minorEastAsia" w:hint="eastAsia"/>
                <w:color w:val="000000" w:themeColor="text1"/>
                <w:szCs w:val="24"/>
              </w:rPr>
              <w:t>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20" w:lineRule="exact"/>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①</w:t>
            </w:r>
            <w:r w:rsidRPr="00687B52">
              <w:rPr>
                <w:rFonts w:asciiTheme="minorEastAsia" w:hAnsiTheme="minorEastAsia" w:cs="Arial"/>
                <w:color w:val="000000" w:themeColor="text1"/>
                <w:sz w:val="24"/>
                <w:szCs w:val="24"/>
              </w:rPr>
              <w:t>应设置整流装置与氯压机或纳氏泵动力电源报警联锁装置；</w:t>
            </w:r>
          </w:p>
          <w:p w:rsidR="000C2455" w:rsidRPr="00687B52" w:rsidRDefault="000C2455" w:rsidP="003E1D2A">
            <w:pPr>
              <w:spacing w:line="320" w:lineRule="exact"/>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②</w:t>
            </w:r>
            <w:r w:rsidRPr="00687B52">
              <w:rPr>
                <w:rFonts w:asciiTheme="minorEastAsia" w:hAnsiTheme="minorEastAsia" w:cs="Arial"/>
                <w:color w:val="000000" w:themeColor="text1"/>
                <w:sz w:val="24"/>
                <w:szCs w:val="24"/>
              </w:rPr>
              <w:t>应设置整流装置与氢压机或鼓风机动力电源报警联锁装置；</w:t>
            </w:r>
          </w:p>
          <w:p w:rsidR="000C2455" w:rsidRPr="00687B52" w:rsidRDefault="000C2455" w:rsidP="003E1D2A">
            <w:pPr>
              <w:spacing w:line="320" w:lineRule="exact"/>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③</w:t>
            </w:r>
            <w:r w:rsidRPr="00687B52">
              <w:rPr>
                <w:rFonts w:asciiTheme="minorEastAsia" w:hAnsiTheme="minorEastAsia" w:cs="Arial"/>
                <w:color w:val="000000" w:themeColor="text1"/>
                <w:sz w:val="24"/>
                <w:szCs w:val="24"/>
              </w:rPr>
              <w:t>应设置整流装置与氯气总管压力报警联锁装置；</w:t>
            </w:r>
          </w:p>
          <w:p w:rsidR="000C2455" w:rsidRPr="00687B52" w:rsidRDefault="000C2455" w:rsidP="003E1D2A">
            <w:pPr>
              <w:spacing w:line="320" w:lineRule="exact"/>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④</w:t>
            </w:r>
            <w:r w:rsidRPr="00687B52">
              <w:rPr>
                <w:rFonts w:asciiTheme="minorEastAsia" w:hAnsiTheme="minorEastAsia" w:cs="Arial"/>
                <w:color w:val="000000" w:themeColor="text1"/>
                <w:sz w:val="24"/>
                <w:szCs w:val="24"/>
              </w:rPr>
              <w:t>应设置整流装置与氢气总管压力报警联锁装置；</w:t>
            </w:r>
          </w:p>
        </w:tc>
        <w:tc>
          <w:tcPr>
            <w:tcW w:w="1146" w:type="pct"/>
            <w:vAlign w:val="center"/>
          </w:tcPr>
          <w:p w:rsidR="000C2455" w:rsidRPr="00687B52" w:rsidRDefault="000C2455" w:rsidP="003E1D2A">
            <w:pPr>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w:t>
            </w:r>
            <w:r w:rsidRPr="00687B52">
              <w:rPr>
                <w:rFonts w:asciiTheme="minorEastAsia" w:hAnsiTheme="minorEastAsia" w:cs="Arial"/>
                <w:color w:val="000000" w:themeColor="text1"/>
                <w:sz w:val="24"/>
                <w:szCs w:val="24"/>
              </w:rPr>
              <w:t>氯碱生产企业安全标准化实施指南</w:t>
            </w:r>
            <w:r w:rsidRPr="00687B52">
              <w:rPr>
                <w:rFonts w:asciiTheme="minorEastAsia" w:hAnsiTheme="minorEastAsia" w:cs="Arial" w:hint="eastAsia"/>
                <w:color w:val="000000" w:themeColor="text1"/>
                <w:sz w:val="24"/>
                <w:szCs w:val="24"/>
              </w:rPr>
              <w:t>》</w:t>
            </w:r>
          </w:p>
          <w:p w:rsidR="000C2455" w:rsidRPr="00687B52" w:rsidRDefault="000C2455" w:rsidP="003E1D2A">
            <w:pPr>
              <w:jc w:val="center"/>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AQ/T3016-2008</w:t>
            </w:r>
          </w:p>
          <w:p w:rsidR="000C2455" w:rsidRPr="00687B52" w:rsidRDefault="000C2455" w:rsidP="003E1D2A">
            <w:pPr>
              <w:pStyle w:val="a7"/>
              <w:spacing w:line="240" w:lineRule="auto"/>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第5.5.2.1条c)</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20" w:lineRule="exact"/>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氢气</w:t>
            </w:r>
            <w:r w:rsidRPr="00687B52">
              <w:rPr>
                <w:rFonts w:asciiTheme="minorEastAsia" w:hAnsiTheme="minorEastAsia" w:cs="Arial"/>
                <w:color w:val="000000" w:themeColor="text1"/>
                <w:sz w:val="24"/>
                <w:szCs w:val="24"/>
              </w:rPr>
              <w:t>管道应设放空管、取样口和吹扫口，其位置应能满足管道内气体吹扫、置换的要求。</w:t>
            </w:r>
          </w:p>
          <w:p w:rsidR="000C2455" w:rsidRPr="00687B52" w:rsidRDefault="000C2455" w:rsidP="003E1D2A">
            <w:pPr>
              <w:spacing w:line="320" w:lineRule="exact"/>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湿氢管道上最低点应设置排水装置。</w:t>
            </w:r>
          </w:p>
        </w:tc>
        <w:tc>
          <w:tcPr>
            <w:tcW w:w="1146" w:type="pct"/>
            <w:vAlign w:val="center"/>
          </w:tcPr>
          <w:p w:rsidR="000C2455" w:rsidRPr="00687B52" w:rsidRDefault="000C2455" w:rsidP="003E1D2A">
            <w:pPr>
              <w:adjustRightInd w:val="0"/>
              <w:snapToGrid w:val="0"/>
              <w:spacing w:line="280" w:lineRule="exact"/>
              <w:jc w:val="center"/>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《氢气使用安全技术规程》</w:t>
            </w:r>
          </w:p>
          <w:p w:rsidR="000C2455" w:rsidRPr="00687B52" w:rsidRDefault="000C2455" w:rsidP="003E1D2A">
            <w:pPr>
              <w:adjustRightInd w:val="0"/>
              <w:snapToGrid w:val="0"/>
              <w:spacing w:line="280" w:lineRule="exact"/>
              <w:jc w:val="center"/>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GB4962-2008</w:t>
            </w:r>
          </w:p>
          <w:p w:rsidR="000C2455" w:rsidRPr="00687B52" w:rsidRDefault="000C2455" w:rsidP="003E1D2A">
            <w:pPr>
              <w:adjustRightInd w:val="0"/>
              <w:snapToGrid w:val="0"/>
              <w:spacing w:line="280" w:lineRule="exact"/>
              <w:jc w:val="center"/>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第</w:t>
            </w:r>
            <w:r w:rsidRPr="00687B52">
              <w:rPr>
                <w:rFonts w:ascii="宋体" w:eastAsia="宋体" w:hAnsi="宋体" w:cs="宋体"/>
                <w:color w:val="000000" w:themeColor="text1"/>
                <w:kern w:val="0"/>
                <w:sz w:val="24"/>
                <w:szCs w:val="24"/>
              </w:rPr>
              <w:t>4.4.5</w:t>
            </w:r>
            <w:r w:rsidRPr="00687B52">
              <w:rPr>
                <w:rFonts w:ascii="宋体" w:eastAsia="宋体" w:hAnsi="宋体" w:cs="宋体" w:hint="eastAsia"/>
                <w:color w:val="000000" w:themeColor="text1"/>
                <w:kern w:val="0"/>
                <w:sz w:val="24"/>
                <w:szCs w:val="24"/>
              </w:rPr>
              <w:t>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20" w:lineRule="exact"/>
              <w:ind w:firstLineChars="150" w:firstLine="360"/>
              <w:rPr>
                <w:rFonts w:asciiTheme="minorEastAsia" w:hAnsiTheme="minorEastAsia" w:cs="Arial"/>
                <w:color w:val="000000" w:themeColor="text1"/>
                <w:sz w:val="24"/>
                <w:szCs w:val="24"/>
              </w:rPr>
            </w:pPr>
            <w:r w:rsidRPr="00687B52">
              <w:rPr>
                <w:rFonts w:asciiTheme="minorEastAsia" w:hAnsiTheme="minorEastAsia" w:cs="Arial"/>
                <w:color w:val="000000" w:themeColor="text1"/>
                <w:sz w:val="24"/>
                <w:szCs w:val="24"/>
              </w:rPr>
              <w:t>氢气管道宜采用架空敷设，其支架应为非燃烧体。架空管道不应与电缆、导电线敷设在同一支架上。</w:t>
            </w:r>
          </w:p>
        </w:tc>
        <w:tc>
          <w:tcPr>
            <w:tcW w:w="1146" w:type="pct"/>
            <w:vAlign w:val="center"/>
          </w:tcPr>
          <w:p w:rsidR="000C2455" w:rsidRPr="00687B52" w:rsidRDefault="000C2455" w:rsidP="003E1D2A">
            <w:pPr>
              <w:pStyle w:val="a7"/>
              <w:spacing w:line="280" w:lineRule="exact"/>
              <w:rPr>
                <w:rFonts w:ascii="宋体" w:hAnsi="宋体" w:cs="宋体"/>
                <w:color w:val="000000" w:themeColor="text1"/>
                <w:kern w:val="0"/>
                <w:szCs w:val="24"/>
              </w:rPr>
            </w:pPr>
            <w:r w:rsidRPr="00687B52">
              <w:rPr>
                <w:rFonts w:ascii="宋体" w:hAnsi="宋体" w:cs="宋体" w:hint="eastAsia"/>
                <w:color w:val="000000" w:themeColor="text1"/>
                <w:kern w:val="0"/>
                <w:szCs w:val="24"/>
              </w:rPr>
              <w:t>《氢气使用安全技术规程》</w:t>
            </w:r>
          </w:p>
          <w:p w:rsidR="000C2455" w:rsidRPr="00687B52" w:rsidRDefault="000C2455" w:rsidP="003E1D2A">
            <w:pPr>
              <w:pStyle w:val="a7"/>
              <w:spacing w:line="280" w:lineRule="exact"/>
              <w:rPr>
                <w:rFonts w:ascii="宋体" w:hAnsi="宋体" w:cs="宋体"/>
                <w:color w:val="000000" w:themeColor="text1"/>
                <w:kern w:val="0"/>
                <w:szCs w:val="24"/>
              </w:rPr>
            </w:pPr>
            <w:r w:rsidRPr="00687B52">
              <w:rPr>
                <w:rFonts w:ascii="宋体" w:hAnsi="宋体" w:cs="宋体" w:hint="eastAsia"/>
                <w:color w:val="000000" w:themeColor="text1"/>
                <w:kern w:val="0"/>
                <w:szCs w:val="24"/>
              </w:rPr>
              <w:t>GB4962-2008</w:t>
            </w:r>
          </w:p>
          <w:p w:rsidR="000C2455" w:rsidRPr="00687B52" w:rsidRDefault="000C2455" w:rsidP="003E1D2A">
            <w:pPr>
              <w:pStyle w:val="a7"/>
              <w:spacing w:line="280" w:lineRule="exact"/>
              <w:rPr>
                <w:rFonts w:ascii="宋体" w:hAnsi="宋体" w:cs="宋体"/>
                <w:color w:val="000000" w:themeColor="text1"/>
                <w:kern w:val="0"/>
                <w:szCs w:val="24"/>
              </w:rPr>
            </w:pPr>
            <w:r w:rsidRPr="00687B52">
              <w:rPr>
                <w:rFonts w:ascii="宋体" w:hAnsi="宋体" w:cs="宋体" w:hint="eastAsia"/>
                <w:color w:val="000000" w:themeColor="text1"/>
                <w:kern w:val="0"/>
                <w:szCs w:val="24"/>
              </w:rPr>
              <w:t>第4.4.6条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20" w:lineRule="exact"/>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氢气</w:t>
            </w:r>
            <w:r w:rsidRPr="00687B52">
              <w:rPr>
                <w:rFonts w:asciiTheme="minorEastAsia" w:hAnsiTheme="minorEastAsia" w:cs="Arial"/>
                <w:color w:val="000000" w:themeColor="text1"/>
                <w:sz w:val="24"/>
                <w:szCs w:val="24"/>
              </w:rPr>
              <w:t>管道不得穿过生活间、办公室、配电室、仪表室、楼梯间和其他不使用氢气的房间。不宜穿过吊顶、技术 (夹) 层，当必须穿过吊顶或技术 (夹) 层时，应采取安全措施。</w:t>
            </w:r>
            <w:r w:rsidRPr="00687B52">
              <w:rPr>
                <w:rFonts w:asciiTheme="minorEastAsia" w:hAnsiTheme="minorEastAsia" w:cs="Arial" w:hint="eastAsia"/>
                <w:color w:val="000000" w:themeColor="text1"/>
                <w:sz w:val="24"/>
                <w:szCs w:val="24"/>
              </w:rPr>
              <w:t>氢气</w:t>
            </w:r>
            <w:r w:rsidRPr="00687B52">
              <w:rPr>
                <w:rFonts w:asciiTheme="minorEastAsia" w:hAnsiTheme="minorEastAsia" w:cs="Arial"/>
                <w:color w:val="000000" w:themeColor="text1"/>
                <w:sz w:val="24"/>
                <w:szCs w:val="24"/>
              </w:rPr>
              <w:t>管道穿过墙壁或楼板处，应设套管。套管内的管段不应有焊缝，管道和套管之间应用不燃材料填塞。</w:t>
            </w:r>
          </w:p>
        </w:tc>
        <w:tc>
          <w:tcPr>
            <w:tcW w:w="1146" w:type="pct"/>
            <w:vAlign w:val="center"/>
          </w:tcPr>
          <w:p w:rsidR="000C2455" w:rsidRPr="00687B52" w:rsidRDefault="000C2455" w:rsidP="003E1D2A">
            <w:pPr>
              <w:pStyle w:val="a7"/>
              <w:spacing w:line="280" w:lineRule="exact"/>
              <w:rPr>
                <w:rFonts w:ascii="宋体" w:hAnsi="宋体" w:cs="宋体"/>
                <w:color w:val="000000" w:themeColor="text1"/>
                <w:kern w:val="0"/>
                <w:szCs w:val="24"/>
              </w:rPr>
            </w:pPr>
            <w:r w:rsidRPr="00687B52">
              <w:rPr>
                <w:rFonts w:ascii="宋体" w:hAnsi="宋体" w:cs="宋体" w:hint="eastAsia"/>
                <w:color w:val="000000" w:themeColor="text1"/>
                <w:kern w:val="0"/>
                <w:szCs w:val="24"/>
              </w:rPr>
              <w:t>《氢气使用安全技术规程》</w:t>
            </w:r>
          </w:p>
          <w:p w:rsidR="000C2455" w:rsidRPr="00687B52" w:rsidRDefault="000C2455" w:rsidP="003E1D2A">
            <w:pPr>
              <w:pStyle w:val="a7"/>
              <w:spacing w:line="280" w:lineRule="exact"/>
              <w:rPr>
                <w:rFonts w:ascii="宋体" w:hAnsi="宋体" w:cs="宋体"/>
                <w:color w:val="000000" w:themeColor="text1"/>
                <w:kern w:val="0"/>
                <w:szCs w:val="24"/>
              </w:rPr>
            </w:pPr>
            <w:r w:rsidRPr="00687B52">
              <w:rPr>
                <w:rFonts w:ascii="宋体" w:hAnsi="宋体" w:cs="宋体" w:hint="eastAsia"/>
                <w:color w:val="000000" w:themeColor="text1"/>
                <w:kern w:val="0"/>
                <w:szCs w:val="24"/>
              </w:rPr>
              <w:t>GB4962-2008</w:t>
            </w:r>
          </w:p>
          <w:p w:rsidR="000C2455" w:rsidRPr="00687B52" w:rsidRDefault="000C2455" w:rsidP="003E1D2A">
            <w:pPr>
              <w:pStyle w:val="a7"/>
              <w:spacing w:line="280" w:lineRule="exact"/>
              <w:rPr>
                <w:rFonts w:ascii="宋体" w:hAnsi="宋体" w:cs="宋体"/>
                <w:color w:val="000000" w:themeColor="text1"/>
                <w:kern w:val="0"/>
                <w:szCs w:val="24"/>
              </w:rPr>
            </w:pPr>
            <w:r w:rsidRPr="00687B52">
              <w:rPr>
                <w:rFonts w:ascii="宋体" w:hAnsi="宋体" w:cs="宋体" w:hint="eastAsia"/>
                <w:color w:val="000000" w:themeColor="text1"/>
                <w:kern w:val="0"/>
                <w:szCs w:val="24"/>
              </w:rPr>
              <w:t>第4.4.7条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20" w:lineRule="exact"/>
              <w:ind w:firstLineChars="150" w:firstLine="360"/>
              <w:rPr>
                <w:rFonts w:asciiTheme="minorEastAsia" w:hAnsiTheme="minorEastAsia" w:cs="Arial"/>
                <w:color w:val="000000" w:themeColor="text1"/>
                <w:sz w:val="24"/>
                <w:szCs w:val="24"/>
              </w:rPr>
            </w:pPr>
            <w:r w:rsidRPr="00687B52">
              <w:rPr>
                <w:rFonts w:asciiTheme="minorEastAsia" w:hAnsiTheme="minorEastAsia" w:cs="Arial"/>
                <w:color w:val="000000" w:themeColor="text1"/>
                <w:sz w:val="24"/>
                <w:szCs w:val="24"/>
              </w:rPr>
              <w:t>室内</w:t>
            </w:r>
            <w:r w:rsidRPr="00687B52">
              <w:rPr>
                <w:rFonts w:asciiTheme="minorEastAsia" w:hAnsiTheme="minorEastAsia" w:cs="Arial" w:hint="eastAsia"/>
                <w:color w:val="000000" w:themeColor="text1"/>
                <w:sz w:val="24"/>
                <w:szCs w:val="24"/>
              </w:rPr>
              <w:t>氢气</w:t>
            </w:r>
            <w:r w:rsidRPr="00687B52">
              <w:rPr>
                <w:rFonts w:asciiTheme="minorEastAsia" w:hAnsiTheme="minorEastAsia" w:cs="Arial"/>
                <w:color w:val="000000" w:themeColor="text1"/>
                <w:sz w:val="24"/>
                <w:szCs w:val="24"/>
              </w:rPr>
              <w:t>管道不应敷设在地沟中或直接埋地，室外地沟敷设的管道，应有防止氢气泄漏、积聚或窜入其他沟道的措施。埋地敷设的管道埋深不宜小于0.7米。含湿氢气的管道应敷设在冰冻层以下。</w:t>
            </w:r>
          </w:p>
        </w:tc>
        <w:tc>
          <w:tcPr>
            <w:tcW w:w="1146" w:type="pct"/>
            <w:vAlign w:val="center"/>
          </w:tcPr>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《氢气使用安全技术规程》</w:t>
            </w:r>
          </w:p>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GB4962-2008</w:t>
            </w:r>
          </w:p>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第4.4.</w:t>
            </w:r>
            <w:r w:rsidRPr="00687B52">
              <w:rPr>
                <w:rFonts w:asciiTheme="minorEastAsia" w:hAnsiTheme="minorEastAsia" w:hint="eastAsia"/>
                <w:color w:val="000000" w:themeColor="text1"/>
                <w:szCs w:val="24"/>
              </w:rPr>
              <w:t>8</w:t>
            </w:r>
            <w:r w:rsidRPr="00687B52">
              <w:rPr>
                <w:rFonts w:asciiTheme="minorEastAsia" w:eastAsiaTheme="minorEastAsia" w:hAnsiTheme="minorEastAsia" w:hint="eastAsia"/>
                <w:color w:val="000000" w:themeColor="text1"/>
                <w:szCs w:val="24"/>
              </w:rPr>
              <w:t>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20" w:lineRule="exact"/>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在氢气管道与其相连的装置、设备之间应安装止回阀，界区间阀门宜设置有效隔离措施，防止来自装置、设备的外部火焰回火至氢气系统。</w:t>
            </w:r>
          </w:p>
        </w:tc>
        <w:tc>
          <w:tcPr>
            <w:tcW w:w="1146" w:type="pct"/>
            <w:vAlign w:val="center"/>
          </w:tcPr>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《氢气使用安全技术规程》</w:t>
            </w:r>
          </w:p>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GB4962-2008</w:t>
            </w:r>
          </w:p>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第4.4.9条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20" w:lineRule="exact"/>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氢气柜钟罩高度位置应有标尺显示高低（储量），每小时检查一次，并社会中超高、过低位置报警装置。</w:t>
            </w:r>
          </w:p>
        </w:tc>
        <w:tc>
          <w:tcPr>
            <w:tcW w:w="1146" w:type="pct"/>
            <w:vAlign w:val="center"/>
          </w:tcPr>
          <w:p w:rsidR="000C2455" w:rsidRPr="00687B52" w:rsidRDefault="000C2455" w:rsidP="003E1D2A">
            <w:pPr>
              <w:pStyle w:val="a7"/>
              <w:spacing w:line="28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《氢气使用安全技术规程》</w:t>
            </w:r>
          </w:p>
          <w:p w:rsidR="000C2455" w:rsidRPr="00687B52" w:rsidRDefault="000C2455" w:rsidP="003E1D2A">
            <w:pPr>
              <w:pStyle w:val="a7"/>
              <w:spacing w:line="28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GB4962-2008</w:t>
            </w:r>
          </w:p>
          <w:p w:rsidR="000C2455" w:rsidRPr="00687B52" w:rsidRDefault="000C2455" w:rsidP="003E1D2A">
            <w:pPr>
              <w:pStyle w:val="a7"/>
              <w:spacing w:line="28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第6.5.3条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20" w:lineRule="exact"/>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进出氢气柜的氢气管道上应设置安全水封。水封应保证有足够的水位，防止氢气柜因缺水二逸出气体。寒冷地区应有防止水封结冰的措施</w:t>
            </w:r>
          </w:p>
        </w:tc>
        <w:tc>
          <w:tcPr>
            <w:tcW w:w="1146" w:type="pct"/>
            <w:vAlign w:val="center"/>
          </w:tcPr>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《氢气使用安全技术规程》</w:t>
            </w:r>
          </w:p>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GB4962-2008</w:t>
            </w:r>
          </w:p>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w:t>
            </w:r>
            <w:r w:rsidRPr="00687B52">
              <w:rPr>
                <w:rFonts w:eastAsiaTheme="minorEastAsia" w:hAnsi="Times New Roman" w:cs="Times New Roman"/>
                <w:color w:val="000000" w:themeColor="text1"/>
                <w:szCs w:val="24"/>
              </w:rPr>
              <w:t>6.5.9</w:t>
            </w:r>
            <w:r w:rsidRPr="00687B52">
              <w:rPr>
                <w:rFonts w:eastAsiaTheme="minorEastAsia" w:hAnsiTheme="minorEastAsia" w:cs="Times New Roman"/>
                <w:color w:val="000000" w:themeColor="text1"/>
                <w:szCs w:val="24"/>
              </w:rPr>
              <w:t>、</w:t>
            </w:r>
            <w:r w:rsidRPr="00687B52">
              <w:rPr>
                <w:rFonts w:eastAsiaTheme="minorEastAsia" w:hAnsi="Times New Roman" w:cs="Times New Roman"/>
                <w:color w:val="000000" w:themeColor="text1"/>
                <w:szCs w:val="24"/>
              </w:rPr>
              <w:t>6.5.6</w:t>
            </w:r>
            <w:r w:rsidRPr="00687B52">
              <w:rPr>
                <w:rFonts w:asciiTheme="minorEastAsia" w:eastAsiaTheme="minorEastAsia" w:hAnsiTheme="minorEastAsia" w:hint="eastAsia"/>
                <w:color w:val="000000" w:themeColor="text1"/>
                <w:szCs w:val="24"/>
              </w:rPr>
              <w:t>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①</w:t>
            </w:r>
            <w:r w:rsidRPr="00687B52">
              <w:rPr>
                <w:rFonts w:asciiTheme="minorEastAsia" w:eastAsiaTheme="minorEastAsia" w:hAnsiTheme="minorEastAsia"/>
                <w:color w:val="000000" w:themeColor="text1"/>
                <w:szCs w:val="24"/>
              </w:rPr>
              <w:t>氯气系统安全水封设施的排空口、安装的安全阀放空管线应引至吸收装置；</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②</w:t>
            </w:r>
            <w:r w:rsidRPr="00687B52">
              <w:rPr>
                <w:rFonts w:asciiTheme="minorEastAsia" w:eastAsiaTheme="minorEastAsia" w:hAnsiTheme="minorEastAsia"/>
                <w:color w:val="000000" w:themeColor="text1"/>
                <w:szCs w:val="24"/>
              </w:rPr>
              <w:t>有可能出现氯气泄漏的生产装置区域位置，安装与吸收装置连接设施。</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③严</w:t>
            </w:r>
            <w:r w:rsidRPr="00687B52">
              <w:rPr>
                <w:rFonts w:asciiTheme="minorEastAsia" w:eastAsiaTheme="minorEastAsia" w:hAnsiTheme="minorEastAsia"/>
                <w:color w:val="000000" w:themeColor="text1"/>
                <w:szCs w:val="24"/>
              </w:rPr>
              <w:t>禁将液氯钢瓶、储罐作为气化器使用</w:t>
            </w:r>
            <w:r w:rsidRPr="00687B52">
              <w:rPr>
                <w:rFonts w:asciiTheme="minorEastAsia" w:eastAsiaTheme="minorEastAsia" w:hAnsiTheme="minorEastAsia" w:hint="eastAsia"/>
                <w:color w:val="000000" w:themeColor="text1"/>
                <w:szCs w:val="24"/>
              </w:rPr>
              <w:t>。</w:t>
            </w:r>
          </w:p>
        </w:tc>
        <w:tc>
          <w:tcPr>
            <w:tcW w:w="1146" w:type="pct"/>
            <w:vAlign w:val="center"/>
          </w:tcPr>
          <w:p w:rsidR="000C2455" w:rsidRPr="00687B52" w:rsidRDefault="000C2455" w:rsidP="003E1D2A">
            <w:pPr>
              <w:pStyle w:val="a7"/>
              <w:spacing w:line="240" w:lineRule="auto"/>
              <w:rPr>
                <w:rFonts w:asciiTheme="minorEastAsia" w:eastAsiaTheme="minorEastAsia" w:hAnsiTheme="minorEastAsia"/>
                <w:color w:val="000000" w:themeColor="text1"/>
                <w:szCs w:val="24"/>
              </w:rPr>
            </w:pPr>
          </w:p>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氯碱生产企业安全标准化实施指南</w:t>
            </w:r>
            <w:r w:rsidRPr="00687B52">
              <w:rPr>
                <w:rFonts w:asciiTheme="minorEastAsia" w:eastAsiaTheme="minorEastAsia" w:hAnsiTheme="minorEastAsia" w:hint="eastAsia"/>
                <w:color w:val="000000" w:themeColor="text1"/>
                <w:szCs w:val="24"/>
              </w:rPr>
              <w:t>》</w:t>
            </w:r>
          </w:p>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AQ/T3016-2008</w:t>
            </w:r>
          </w:p>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第5.5.2.1条a）</w:t>
            </w:r>
          </w:p>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第5.5.4.5条</w:t>
            </w:r>
          </w:p>
          <w:p w:rsidR="000C2455" w:rsidRPr="00687B52" w:rsidRDefault="000C2455" w:rsidP="003E1D2A">
            <w:pPr>
              <w:pStyle w:val="a7"/>
              <w:spacing w:line="240" w:lineRule="auto"/>
              <w:jc w:val="both"/>
              <w:rPr>
                <w:rFonts w:asciiTheme="minorEastAsia" w:eastAsiaTheme="minorEastAsia" w:hAnsiTheme="minorEastAsia"/>
                <w:color w:val="000000" w:themeColor="text1"/>
                <w:szCs w:val="24"/>
              </w:rPr>
            </w:pP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液氯储罐、计量槽、汽化器等压力容器应设置安全阀、压力表、液位计、温度计，并将压力、液位、温度报警信号传至控制室或操作室；</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液氯储罐氯气输入、输出管线上分别设置双切断阀；</w:t>
            </w:r>
          </w:p>
        </w:tc>
        <w:tc>
          <w:tcPr>
            <w:tcW w:w="1146" w:type="pct"/>
            <w:vAlign w:val="center"/>
          </w:tcPr>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氯碱生产企业安全标准化实施指南</w:t>
            </w:r>
            <w:r w:rsidRPr="00687B52">
              <w:rPr>
                <w:rFonts w:asciiTheme="minorEastAsia" w:eastAsiaTheme="minorEastAsia" w:hAnsiTheme="minorEastAsia" w:hint="eastAsia"/>
                <w:color w:val="000000" w:themeColor="text1"/>
                <w:szCs w:val="24"/>
              </w:rPr>
              <w:t>》AQ/T3016-2008</w:t>
            </w:r>
          </w:p>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第5.5.2.1条a)</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液氯储罐的安全要求：</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①液氯贮罐的贮存量不应超过储罐总容量的80%。</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②液氯贮罐输入和输出管道，应分别设置两个截止阀门。</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③液氯储罐区20m范围内，不应堆放易燃和可燃物品。</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④地上液氯储罐区地面应低于周围地面0.3</w:t>
            </w:r>
            <w:r w:rsidRPr="00687B52">
              <w:rPr>
                <w:rFonts w:asciiTheme="minorHAnsi" w:eastAsiaTheme="minorEastAsia" w:hAnsiTheme="minorHAnsi" w:cstheme="minorHAnsi"/>
                <w:color w:val="000000" w:themeColor="text1"/>
                <w:szCs w:val="24"/>
              </w:rPr>
              <w:t>~</w:t>
            </w:r>
            <w:r w:rsidRPr="00687B52">
              <w:rPr>
                <w:rFonts w:asciiTheme="minorEastAsia" w:eastAsiaTheme="minorEastAsia" w:hAnsiTheme="minorEastAsia" w:hint="eastAsia"/>
                <w:color w:val="000000" w:themeColor="text1"/>
                <w:szCs w:val="24"/>
              </w:rPr>
              <w:t>0.5m或在储存区周边设0.3</w:t>
            </w:r>
            <w:r w:rsidRPr="00687B52">
              <w:rPr>
                <w:rFonts w:asciiTheme="minorHAnsi" w:eastAsiaTheme="minorEastAsia" w:hAnsiTheme="minorHAnsi" w:cstheme="minorHAnsi"/>
                <w:color w:val="000000" w:themeColor="text1"/>
                <w:szCs w:val="24"/>
              </w:rPr>
              <w:t>~</w:t>
            </w:r>
            <w:r w:rsidRPr="00687B52">
              <w:rPr>
                <w:rFonts w:asciiTheme="minorEastAsia" w:eastAsiaTheme="minorEastAsia" w:hAnsiTheme="minorEastAsia" w:hint="eastAsia"/>
                <w:color w:val="000000" w:themeColor="text1"/>
                <w:szCs w:val="24"/>
              </w:rPr>
              <w:t>0.5m的事故围堰，防止一旦发生液氯泄漏事故，液氯汽化面积扩大。</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⑤</w:t>
            </w:r>
            <w:r w:rsidRPr="00687B52">
              <w:rPr>
                <w:rFonts w:asciiTheme="minorEastAsia" w:eastAsiaTheme="minorEastAsia" w:hAnsiTheme="minorEastAsia"/>
                <w:color w:val="000000" w:themeColor="text1"/>
                <w:szCs w:val="24"/>
              </w:rPr>
              <w:t>至少保留一台最大容积的空液氯储罐作为事故备用罐</w:t>
            </w:r>
            <w:r w:rsidRPr="00687B52">
              <w:rPr>
                <w:rFonts w:asciiTheme="minorEastAsia" w:eastAsiaTheme="minorEastAsia" w:hAnsiTheme="minorEastAsia" w:hint="eastAsia"/>
                <w:color w:val="000000" w:themeColor="text1"/>
                <w:szCs w:val="24"/>
              </w:rPr>
              <w:t>。</w:t>
            </w:r>
          </w:p>
        </w:tc>
        <w:tc>
          <w:tcPr>
            <w:tcW w:w="1146" w:type="pct"/>
            <w:vAlign w:val="center"/>
          </w:tcPr>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《氯气安全规程》</w:t>
            </w:r>
          </w:p>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GB11984-2008</w:t>
            </w:r>
          </w:p>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第7.2.1、7.2.4、5.2.3</w:t>
            </w:r>
            <w:r w:rsidRPr="00687B52">
              <w:rPr>
                <w:rFonts w:eastAsiaTheme="minorEastAsia" w:hAnsi="Times New Roman" w:cs="Times New Roman"/>
                <w:color w:val="000000" w:themeColor="text1"/>
                <w:szCs w:val="24"/>
              </w:rPr>
              <w:t>~</w:t>
            </w:r>
            <w:r w:rsidRPr="00687B52">
              <w:rPr>
                <w:rFonts w:asciiTheme="minorEastAsia" w:eastAsiaTheme="minorEastAsia" w:hAnsiTheme="minorEastAsia" w:hint="eastAsia"/>
                <w:color w:val="000000" w:themeColor="text1"/>
                <w:szCs w:val="24"/>
              </w:rPr>
              <w:t>4条</w:t>
            </w:r>
          </w:p>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氯碱生产企业安全标准化实施指南</w:t>
            </w:r>
            <w:r w:rsidRPr="00687B52">
              <w:rPr>
                <w:rFonts w:asciiTheme="minorEastAsia" w:eastAsiaTheme="minorEastAsia" w:hAnsiTheme="minorEastAsia" w:hint="eastAsia"/>
                <w:color w:val="000000" w:themeColor="text1"/>
                <w:szCs w:val="24"/>
              </w:rPr>
              <w:t>》</w:t>
            </w:r>
          </w:p>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AQ/T3016-2008</w:t>
            </w:r>
          </w:p>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第5.5.2.1条</w:t>
            </w:r>
          </w:p>
        </w:tc>
        <w:tc>
          <w:tcPr>
            <w:tcW w:w="1075" w:type="pct"/>
          </w:tcPr>
          <w:p w:rsidR="000C2455" w:rsidRPr="00687B52" w:rsidRDefault="000C2455" w:rsidP="003E1D2A">
            <w:pPr>
              <w:pStyle w:val="a7"/>
              <w:spacing w:line="240" w:lineRule="exact"/>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液氯钢瓶的储存要求：</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①</w:t>
            </w:r>
            <w:r w:rsidRPr="00687B52">
              <w:rPr>
                <w:rFonts w:asciiTheme="minorEastAsia" w:eastAsiaTheme="minorEastAsia" w:hAnsiTheme="minorEastAsia"/>
                <w:color w:val="000000" w:themeColor="text1"/>
                <w:szCs w:val="24"/>
              </w:rPr>
              <w:t>储存于阴凉、通风</w:t>
            </w:r>
            <w:r w:rsidRPr="00687B52">
              <w:rPr>
                <w:rFonts w:asciiTheme="minorEastAsia" w:eastAsiaTheme="minorEastAsia" w:hAnsiTheme="minorEastAsia" w:hint="eastAsia"/>
                <w:color w:val="000000" w:themeColor="text1"/>
                <w:szCs w:val="24"/>
              </w:rPr>
              <w:t>的专用</w:t>
            </w:r>
            <w:r w:rsidRPr="00687B52">
              <w:rPr>
                <w:rFonts w:asciiTheme="minorEastAsia" w:eastAsiaTheme="minorEastAsia" w:hAnsiTheme="minorEastAsia"/>
                <w:color w:val="000000" w:themeColor="text1"/>
                <w:szCs w:val="24"/>
              </w:rPr>
              <w:t>仓库内，库房温度不宜超过30℃，相对湿度不超过80％，防止阳光直射。</w:t>
            </w:r>
            <w:r w:rsidRPr="00687B52">
              <w:rPr>
                <w:rFonts w:asciiTheme="minorEastAsia" w:eastAsiaTheme="minorEastAsia" w:hAnsiTheme="minorEastAsia" w:hint="eastAsia"/>
                <w:color w:val="000000" w:themeColor="text1"/>
                <w:szCs w:val="24"/>
              </w:rPr>
              <w:t>不应露天存放，也不应使用易燃、可燃材料搭设的棚架存放。</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②液氯空瓶和充装后的重瓶应分开放置，不应与其他气瓶混存，不应同室存放其他危险物品。</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③液氯重瓶存放期不应超过三个月。</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④液氯充装量为500kg和1000kg的重瓶，应横向卧放，防止滚动，并流出调运间距和通道。</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⑤</w:t>
            </w:r>
            <w:r w:rsidRPr="00687B52">
              <w:rPr>
                <w:rFonts w:asciiTheme="minorEastAsia" w:eastAsiaTheme="minorEastAsia" w:hAnsiTheme="minorEastAsia"/>
                <w:color w:val="000000" w:themeColor="text1"/>
                <w:szCs w:val="24"/>
              </w:rPr>
              <w:t>储存区应备有泄漏应急处理设备</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应备应急堵漏工具。</w:t>
            </w:r>
          </w:p>
        </w:tc>
        <w:tc>
          <w:tcPr>
            <w:tcW w:w="1146" w:type="pct"/>
            <w:vAlign w:val="center"/>
          </w:tcPr>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《氯气安全规程》</w:t>
            </w:r>
          </w:p>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GB11984-2008</w:t>
            </w:r>
          </w:p>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第7.1.1</w:t>
            </w:r>
            <w:r w:rsidRPr="00687B52">
              <w:rPr>
                <w:rFonts w:eastAsiaTheme="minorEastAsia" w:hAnsi="Times New Roman" w:cs="Times New Roman"/>
                <w:color w:val="000000" w:themeColor="text1"/>
                <w:szCs w:val="24"/>
              </w:rPr>
              <w:t>~</w:t>
            </w:r>
            <w:r w:rsidRPr="00687B52">
              <w:rPr>
                <w:rFonts w:asciiTheme="minorEastAsia" w:eastAsiaTheme="minorEastAsia" w:hAnsiTheme="minorEastAsia" w:hint="eastAsia"/>
                <w:color w:val="000000" w:themeColor="text1"/>
                <w:szCs w:val="24"/>
              </w:rPr>
              <w:t>4条</w:t>
            </w:r>
          </w:p>
          <w:p w:rsidR="000C2455" w:rsidRPr="00687B52" w:rsidRDefault="000C2455" w:rsidP="003E1D2A">
            <w:pPr>
              <w:spacing w:line="320" w:lineRule="exact"/>
              <w:rPr>
                <w:rFonts w:asciiTheme="minorEastAsia" w:hAnsiTheme="minorEastAsia" w:cs="Arial"/>
                <w:color w:val="000000" w:themeColor="text1"/>
                <w:sz w:val="24"/>
                <w:szCs w:val="24"/>
              </w:rPr>
            </w:pPr>
          </w:p>
          <w:p w:rsidR="000C2455" w:rsidRPr="00687B52" w:rsidRDefault="000C2455"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《首批重点监管的危险化学品安全措施和应急处置原则》安监总厅管三</w:t>
            </w:r>
            <w:r w:rsidRPr="00687B52">
              <w:rPr>
                <w:rFonts w:ascii="Times New Roman" w:hAnsiTheme="minorEastAsia" w:cs="Times New Roman" w:hint="eastAsia"/>
                <w:color w:val="000000" w:themeColor="text1"/>
                <w:sz w:val="24"/>
                <w:szCs w:val="24"/>
              </w:rPr>
              <w:t>(</w:t>
            </w:r>
            <w:r w:rsidRPr="00687B52">
              <w:rPr>
                <w:rFonts w:ascii="Times New Roman" w:hAnsi="Times New Roman" w:cs="Times New Roman"/>
                <w:color w:val="000000" w:themeColor="text1"/>
                <w:sz w:val="24"/>
                <w:szCs w:val="24"/>
              </w:rPr>
              <w:t>2011</w:t>
            </w:r>
            <w:r w:rsidRPr="00687B52">
              <w:rPr>
                <w:rFonts w:ascii="Times New Roman" w:hAnsiTheme="minorEastAsia" w:cs="Times New Roman" w:hint="eastAsia"/>
                <w:color w:val="000000" w:themeColor="text1"/>
                <w:sz w:val="24"/>
                <w:szCs w:val="24"/>
              </w:rPr>
              <w:t>)</w:t>
            </w:r>
            <w:r w:rsidRPr="00687B52">
              <w:rPr>
                <w:rFonts w:ascii="Times New Roman" w:hAnsi="Times New Roman" w:cs="Times New Roman"/>
                <w:color w:val="000000" w:themeColor="text1"/>
                <w:sz w:val="24"/>
                <w:szCs w:val="24"/>
              </w:rPr>
              <w:t>142</w:t>
            </w:r>
            <w:r w:rsidRPr="00687B52">
              <w:rPr>
                <w:rFonts w:asciiTheme="minorEastAsia" w:hAnsiTheme="minorEastAsia" w:cs="Arial" w:hint="eastAsia"/>
                <w:color w:val="000000" w:themeColor="text1"/>
                <w:sz w:val="24"/>
                <w:szCs w:val="24"/>
              </w:rPr>
              <w:t>号</w:t>
            </w:r>
          </w:p>
          <w:p w:rsidR="000C2455" w:rsidRPr="00687B52" w:rsidRDefault="000C2455" w:rsidP="003E1D2A">
            <w:pPr>
              <w:pStyle w:val="a7"/>
              <w:rPr>
                <w:rFonts w:asciiTheme="minorEastAsia" w:eastAsiaTheme="minorEastAsia" w:hAnsiTheme="minorEastAsia"/>
                <w:color w:val="000000" w:themeColor="text1"/>
                <w:szCs w:val="24"/>
              </w:rPr>
            </w:pP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自</w:t>
            </w:r>
            <w:r w:rsidRPr="00687B52">
              <w:rPr>
                <w:rFonts w:asciiTheme="minorEastAsia" w:eastAsiaTheme="minorEastAsia" w:hAnsiTheme="minorEastAsia"/>
                <w:color w:val="000000" w:themeColor="text1"/>
                <w:szCs w:val="24"/>
              </w:rPr>
              <w:t>2017</w:t>
            </w:r>
            <w:r w:rsidRPr="00687B52">
              <w:rPr>
                <w:rFonts w:asciiTheme="minorEastAsia" w:eastAsiaTheme="minorEastAsia" w:hAnsiTheme="minorEastAsia" w:hint="eastAsia"/>
                <w:color w:val="000000" w:themeColor="text1"/>
                <w:szCs w:val="24"/>
              </w:rPr>
              <w:t>年</w:t>
            </w:r>
            <w:r w:rsidRPr="00687B52">
              <w:rPr>
                <w:rFonts w:asciiTheme="minorEastAsia" w:eastAsiaTheme="minorEastAsia" w:hAnsiTheme="minorEastAsia"/>
                <w:color w:val="000000" w:themeColor="text1"/>
                <w:szCs w:val="24"/>
              </w:rPr>
              <w:t>1</w:t>
            </w:r>
            <w:r w:rsidRPr="00687B52">
              <w:rPr>
                <w:rFonts w:asciiTheme="minorEastAsia" w:eastAsiaTheme="minorEastAsia" w:hAnsiTheme="minorEastAsia" w:hint="eastAsia"/>
                <w:color w:val="000000" w:themeColor="text1"/>
                <w:szCs w:val="24"/>
              </w:rPr>
              <w:t>月</w:t>
            </w:r>
            <w:r w:rsidRPr="00687B52">
              <w:rPr>
                <w:rFonts w:asciiTheme="minorEastAsia" w:eastAsiaTheme="minorEastAsia" w:hAnsiTheme="minorEastAsia"/>
                <w:color w:val="000000" w:themeColor="text1"/>
                <w:szCs w:val="24"/>
              </w:rPr>
              <w:t>1</w:t>
            </w:r>
            <w:r w:rsidRPr="00687B52">
              <w:rPr>
                <w:rFonts w:asciiTheme="minorEastAsia" w:eastAsiaTheme="minorEastAsia" w:hAnsiTheme="minorEastAsia" w:hint="eastAsia"/>
                <w:color w:val="000000" w:themeColor="text1"/>
                <w:szCs w:val="24"/>
              </w:rPr>
              <w:t>日起，凡是未实现温度、压力、液位等信息的远程不间断采集检测，未设置可燃和有毒有害气体泄漏检测报警装置的构成重大危险源的危险化学品罐区，一律停止使用。</w:t>
            </w:r>
          </w:p>
        </w:tc>
        <w:tc>
          <w:tcPr>
            <w:tcW w:w="1146" w:type="pct"/>
            <w:vAlign w:val="center"/>
          </w:tcPr>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《危险化学品储存场所安全专项整治工作方案》</w:t>
            </w:r>
          </w:p>
          <w:p w:rsidR="000C2455" w:rsidRPr="00687B52" w:rsidRDefault="000C2455" w:rsidP="003E1D2A">
            <w:pPr>
              <w:pStyle w:val="a7"/>
              <w:spacing w:line="240" w:lineRule="auto"/>
              <w:rPr>
                <w:rFonts w:ascii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第3条5）</w:t>
            </w:r>
          </w:p>
        </w:tc>
        <w:tc>
          <w:tcPr>
            <w:tcW w:w="1075" w:type="pct"/>
          </w:tcPr>
          <w:p w:rsidR="000C2455" w:rsidRPr="00687B52" w:rsidRDefault="000C2455" w:rsidP="003E1D2A">
            <w:pPr>
              <w:spacing w:line="320" w:lineRule="exact"/>
              <w:jc w:val="center"/>
              <w:rPr>
                <w:rFonts w:asciiTheme="minorEastAsia" w:hAnsiTheme="minorEastAsia" w:cs="Arial"/>
                <w:color w:val="000000" w:themeColor="text1"/>
                <w:sz w:val="24"/>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液氨、液氯等易燃易爆、有毒有害液化气体的充装应使用万向节管道充装系统的。</w:t>
            </w:r>
          </w:p>
        </w:tc>
        <w:tc>
          <w:tcPr>
            <w:tcW w:w="1146" w:type="pct"/>
            <w:vAlign w:val="center"/>
          </w:tcPr>
          <w:p w:rsidR="000C2455" w:rsidRPr="00687B52" w:rsidRDefault="000C2455" w:rsidP="00EA31F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《安全生产法》</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涉及液氨、液氯等易燃易爆及有毒介质的安全阀及其他泄放设施不应直排大气的。</w:t>
            </w:r>
          </w:p>
        </w:tc>
        <w:tc>
          <w:tcPr>
            <w:tcW w:w="1146" w:type="pct"/>
            <w:vAlign w:val="center"/>
          </w:tcPr>
          <w:p w:rsidR="000C2455" w:rsidRPr="00687B52" w:rsidRDefault="000C2455" w:rsidP="00EA31F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《安全生产法》</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液氯钢瓶充装应采取以下安全设施或措施：</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①</w:t>
            </w:r>
            <w:r w:rsidRPr="00687B52">
              <w:rPr>
                <w:rFonts w:asciiTheme="minorEastAsia" w:eastAsiaTheme="minorEastAsia" w:hAnsiTheme="minorEastAsia"/>
                <w:color w:val="000000" w:themeColor="text1"/>
                <w:szCs w:val="24"/>
              </w:rPr>
              <w:t>液氯钢瓶充装计量器具应设置超装报警和液氯自动切断装置；</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②</w:t>
            </w:r>
            <w:r w:rsidRPr="00687B52">
              <w:rPr>
                <w:rFonts w:asciiTheme="minorEastAsia" w:eastAsiaTheme="minorEastAsia" w:hAnsiTheme="minorEastAsia"/>
                <w:color w:val="000000" w:themeColor="text1"/>
                <w:szCs w:val="24"/>
              </w:rPr>
              <w:t>液氯钢瓶充装区域应设置液氯钢瓶泄漏紧急处理设施</w:t>
            </w:r>
            <w:r w:rsidRPr="00687B52">
              <w:rPr>
                <w:rFonts w:asciiTheme="minorEastAsia" w:eastAsiaTheme="minorEastAsia" w:hAnsiTheme="minorEastAsia" w:hint="eastAsia"/>
                <w:color w:val="000000" w:themeColor="text1"/>
                <w:szCs w:val="24"/>
              </w:rPr>
              <w:t>。</w:t>
            </w:r>
          </w:p>
        </w:tc>
        <w:tc>
          <w:tcPr>
            <w:tcW w:w="1146" w:type="pct"/>
            <w:vAlign w:val="center"/>
          </w:tcPr>
          <w:p w:rsidR="000C2455" w:rsidRPr="00687B52" w:rsidRDefault="000C2455" w:rsidP="003E1D2A">
            <w:pPr>
              <w:pStyle w:val="a7"/>
              <w:spacing w:line="240" w:lineRule="auto"/>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《氯气安全规程》</w:t>
            </w:r>
          </w:p>
          <w:p w:rsidR="000C2455" w:rsidRPr="00687B52" w:rsidRDefault="000C2455" w:rsidP="003E1D2A">
            <w:pPr>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GB 11984-2008</w:t>
            </w:r>
          </w:p>
          <w:p w:rsidR="000C2455" w:rsidRPr="00687B52" w:rsidRDefault="000C2455" w:rsidP="003E1D2A">
            <w:pPr>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第5.1.2条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氯</w:t>
            </w:r>
            <w:r w:rsidRPr="00687B52">
              <w:rPr>
                <w:rFonts w:asciiTheme="minorEastAsia" w:eastAsiaTheme="minorEastAsia" w:hAnsiTheme="minorEastAsia"/>
                <w:color w:val="000000" w:themeColor="text1"/>
                <w:szCs w:val="24"/>
              </w:rPr>
              <w:t>汽车罐车充装</w:t>
            </w:r>
            <w:r w:rsidRPr="00687B52">
              <w:rPr>
                <w:rFonts w:asciiTheme="minorEastAsia" w:eastAsiaTheme="minorEastAsia" w:hAnsiTheme="minorEastAsia" w:hint="eastAsia"/>
                <w:color w:val="000000" w:themeColor="text1"/>
                <w:szCs w:val="24"/>
              </w:rPr>
              <w:t>，应采取以下安全设施或措施</w:t>
            </w:r>
            <w:r w:rsidRPr="00687B52">
              <w:rPr>
                <w:rFonts w:asciiTheme="minorEastAsia" w:eastAsiaTheme="minorEastAsia" w:hAnsiTheme="minorEastAsia"/>
                <w:color w:val="000000" w:themeColor="text1"/>
                <w:szCs w:val="24"/>
              </w:rPr>
              <w:t>：</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①</w:t>
            </w:r>
            <w:r w:rsidRPr="00687B52">
              <w:rPr>
                <w:rFonts w:asciiTheme="minorEastAsia" w:eastAsiaTheme="minorEastAsia" w:hAnsiTheme="minorEastAsia"/>
                <w:color w:val="000000" w:themeColor="text1"/>
                <w:szCs w:val="24"/>
              </w:rPr>
              <w:t>应设置防超装和报警设施、充装管线自动切断装置；</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②</w:t>
            </w:r>
            <w:r w:rsidRPr="00687B52">
              <w:rPr>
                <w:rFonts w:asciiTheme="minorEastAsia" w:eastAsiaTheme="minorEastAsia" w:hAnsiTheme="minorEastAsia"/>
                <w:color w:val="000000" w:themeColor="text1"/>
                <w:szCs w:val="24"/>
              </w:rPr>
              <w:t>配备电子衡器，对完成充装的罐车进行充装量的计量和复检；配备超装汽车罐车卸车的设施；</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③</w:t>
            </w:r>
            <w:r w:rsidRPr="00687B52">
              <w:rPr>
                <w:rFonts w:asciiTheme="minorEastAsia" w:eastAsiaTheme="minorEastAsia" w:hAnsiTheme="minorEastAsia"/>
                <w:color w:val="000000" w:themeColor="text1"/>
                <w:szCs w:val="24"/>
              </w:rPr>
              <w:t>充装后应防止液氯充装管道处于满液封闭状态；</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④</w:t>
            </w:r>
            <w:r w:rsidRPr="00687B52">
              <w:rPr>
                <w:rFonts w:asciiTheme="minorEastAsia" w:eastAsiaTheme="minorEastAsia" w:hAnsiTheme="minorEastAsia"/>
                <w:color w:val="000000" w:themeColor="text1"/>
                <w:szCs w:val="24"/>
              </w:rPr>
              <w:t>充装用软管应每半年进行一次水压试验并有试验结果记录和试验人员签字</w:t>
            </w:r>
            <w:r w:rsidRPr="00687B52">
              <w:rPr>
                <w:rFonts w:asciiTheme="minorEastAsia" w:eastAsiaTheme="minorEastAsia" w:hAnsiTheme="minorEastAsia" w:hint="eastAsia"/>
                <w:color w:val="000000" w:themeColor="text1"/>
                <w:szCs w:val="24"/>
              </w:rPr>
              <w:t>。</w:t>
            </w:r>
          </w:p>
        </w:tc>
        <w:tc>
          <w:tcPr>
            <w:tcW w:w="1146" w:type="pct"/>
            <w:vAlign w:val="center"/>
          </w:tcPr>
          <w:p w:rsidR="000C2455" w:rsidRPr="00687B52" w:rsidRDefault="000C2455" w:rsidP="003E1D2A">
            <w:pPr>
              <w:pStyle w:val="a7"/>
              <w:spacing w:line="24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《氯气安全规程》</w:t>
            </w:r>
          </w:p>
          <w:p w:rsidR="000C2455" w:rsidRPr="00687B52" w:rsidRDefault="000C2455" w:rsidP="003E1D2A">
            <w:pPr>
              <w:spacing w:line="24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GB 11984-2008</w:t>
            </w:r>
          </w:p>
          <w:p w:rsidR="000C2455" w:rsidRPr="00687B52" w:rsidRDefault="000C2455" w:rsidP="003E1D2A">
            <w:pPr>
              <w:spacing w:line="24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第</w:t>
            </w:r>
            <w:r w:rsidRPr="00687B52">
              <w:rPr>
                <w:rFonts w:asciiTheme="minorEastAsia" w:hAnsiTheme="minorEastAsia" w:cs="Arial"/>
                <w:color w:val="000000" w:themeColor="text1"/>
                <w:sz w:val="24"/>
                <w:szCs w:val="24"/>
              </w:rPr>
              <w:t>5.2.1</w:t>
            </w:r>
            <w:r w:rsidRPr="00687B52">
              <w:rPr>
                <w:rFonts w:asciiTheme="minorEastAsia" w:hAnsiTheme="minorEastAsia" w:cs="Arial" w:hint="eastAsia"/>
                <w:color w:val="000000" w:themeColor="text1"/>
                <w:sz w:val="24"/>
                <w:szCs w:val="24"/>
              </w:rPr>
              <w:t>、</w:t>
            </w:r>
            <w:r w:rsidRPr="00687B52">
              <w:rPr>
                <w:rFonts w:asciiTheme="minorEastAsia" w:hAnsiTheme="minorEastAsia" w:cs="Arial"/>
                <w:color w:val="000000" w:themeColor="text1"/>
                <w:sz w:val="24"/>
                <w:szCs w:val="24"/>
              </w:rPr>
              <w:t>5.2.3</w:t>
            </w:r>
            <w:r w:rsidRPr="00687B52">
              <w:rPr>
                <w:rFonts w:asciiTheme="minorEastAsia" w:hAnsiTheme="minorEastAsia" w:cs="Arial" w:hint="eastAsia"/>
                <w:color w:val="000000" w:themeColor="text1"/>
                <w:sz w:val="24"/>
                <w:szCs w:val="24"/>
              </w:rPr>
              <w:t>条</w:t>
            </w:r>
          </w:p>
          <w:p w:rsidR="000C2455" w:rsidRPr="00687B52" w:rsidRDefault="000C2455" w:rsidP="003E1D2A">
            <w:pPr>
              <w:spacing w:line="24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w:t>
            </w:r>
            <w:r w:rsidRPr="00687B52">
              <w:rPr>
                <w:rFonts w:asciiTheme="minorEastAsia" w:hAnsiTheme="minorEastAsia" w:cs="Arial"/>
                <w:color w:val="000000" w:themeColor="text1"/>
                <w:sz w:val="24"/>
                <w:szCs w:val="24"/>
              </w:rPr>
              <w:t>氯碱生产企业安全标准化实施指南</w:t>
            </w:r>
            <w:r w:rsidRPr="00687B52">
              <w:rPr>
                <w:rFonts w:asciiTheme="minorEastAsia" w:hAnsiTheme="minorEastAsia" w:cs="Arial" w:hint="eastAsia"/>
                <w:color w:val="000000" w:themeColor="text1"/>
                <w:sz w:val="24"/>
                <w:szCs w:val="24"/>
              </w:rPr>
              <w:t>》</w:t>
            </w:r>
          </w:p>
          <w:p w:rsidR="000C2455" w:rsidRPr="00687B52" w:rsidRDefault="000C2455" w:rsidP="003E1D2A">
            <w:pPr>
              <w:spacing w:line="24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AQ/T3016-2008</w:t>
            </w:r>
          </w:p>
          <w:p w:rsidR="000C2455" w:rsidRPr="00687B52" w:rsidRDefault="000C2455" w:rsidP="003E1D2A">
            <w:pPr>
              <w:spacing w:line="24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第5.5.4.6条b）</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氯</w:t>
            </w:r>
            <w:r w:rsidRPr="00687B52">
              <w:rPr>
                <w:rFonts w:asciiTheme="minorEastAsia" w:hAnsiTheme="minorEastAsia" w:cs="Arial"/>
                <w:color w:val="000000" w:themeColor="text1"/>
                <w:sz w:val="24"/>
                <w:szCs w:val="24"/>
              </w:rPr>
              <w:t>气系统应做到：</w:t>
            </w:r>
          </w:p>
          <w:p w:rsidR="000C2455" w:rsidRPr="00687B52" w:rsidRDefault="000C2455" w:rsidP="003E1D2A">
            <w:pPr>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①</w:t>
            </w:r>
            <w:r w:rsidRPr="00687B52">
              <w:rPr>
                <w:rFonts w:asciiTheme="minorEastAsia" w:hAnsiTheme="minorEastAsia" w:cs="Arial"/>
                <w:color w:val="000000" w:themeColor="text1"/>
                <w:sz w:val="24"/>
                <w:szCs w:val="24"/>
              </w:rPr>
              <w:t>设置防止氯气泄漏的事故氯气吸收装置(以下简称吸收装置)，吸收装置保证随时处理装置开停车、正常状态和非正常状态下排放的氯气；吸收装置至少具备处理30 min生产装置满负荷运行产出的氯气能力；</w:t>
            </w:r>
          </w:p>
          <w:p w:rsidR="000C2455" w:rsidRPr="00687B52" w:rsidRDefault="000C2455" w:rsidP="003E1D2A">
            <w:pPr>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②</w:t>
            </w:r>
            <w:r w:rsidRPr="00687B52">
              <w:rPr>
                <w:rFonts w:asciiTheme="minorEastAsia" w:hAnsiTheme="minorEastAsia" w:cs="Arial"/>
                <w:color w:val="000000" w:themeColor="text1"/>
                <w:sz w:val="24"/>
                <w:szCs w:val="24"/>
              </w:rPr>
              <w:t>氯气系统安全水封设施的排空口</w:t>
            </w:r>
            <w:r w:rsidRPr="00687B52">
              <w:rPr>
                <w:rFonts w:asciiTheme="minorEastAsia" w:hAnsiTheme="minorEastAsia" w:cs="Arial" w:hint="eastAsia"/>
                <w:color w:val="000000" w:themeColor="text1"/>
                <w:sz w:val="24"/>
                <w:szCs w:val="24"/>
              </w:rPr>
              <w:t>、</w:t>
            </w:r>
            <w:r w:rsidRPr="00687B52">
              <w:rPr>
                <w:rFonts w:asciiTheme="minorEastAsia" w:hAnsiTheme="minorEastAsia" w:cs="Arial"/>
                <w:color w:val="000000" w:themeColor="text1"/>
                <w:sz w:val="24"/>
                <w:szCs w:val="24"/>
              </w:rPr>
              <w:t>安全阀放空管线应引至吸收装置；</w:t>
            </w:r>
          </w:p>
          <w:p w:rsidR="000C2455" w:rsidRPr="00687B52" w:rsidRDefault="000C2455" w:rsidP="003E1D2A">
            <w:pPr>
              <w:ind w:firstLineChars="150" w:firstLine="36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③</w:t>
            </w:r>
            <w:r w:rsidRPr="00687B52">
              <w:rPr>
                <w:rFonts w:asciiTheme="minorEastAsia" w:hAnsiTheme="minorEastAsia" w:cs="Arial"/>
                <w:color w:val="000000" w:themeColor="text1"/>
                <w:sz w:val="24"/>
                <w:szCs w:val="24"/>
              </w:rPr>
              <w:t>至少配备两套重型防化服</w:t>
            </w:r>
            <w:r w:rsidRPr="00687B52">
              <w:rPr>
                <w:rFonts w:asciiTheme="minorEastAsia" w:hAnsiTheme="minorEastAsia" w:cs="Arial" w:hint="eastAsia"/>
                <w:color w:val="000000" w:themeColor="text1"/>
                <w:sz w:val="24"/>
                <w:szCs w:val="24"/>
              </w:rPr>
              <w:t>、</w:t>
            </w:r>
            <w:r w:rsidRPr="00687B52">
              <w:rPr>
                <w:rFonts w:asciiTheme="minorEastAsia" w:hAnsiTheme="minorEastAsia" w:cs="Arial"/>
                <w:color w:val="000000" w:themeColor="text1"/>
                <w:sz w:val="24"/>
                <w:szCs w:val="24"/>
              </w:rPr>
              <w:t>两套轻型防化服</w:t>
            </w:r>
            <w:r w:rsidRPr="00687B52">
              <w:rPr>
                <w:rFonts w:asciiTheme="minorEastAsia" w:hAnsiTheme="minorEastAsia" w:cs="Arial" w:hint="eastAsia"/>
                <w:color w:val="000000" w:themeColor="text1"/>
                <w:sz w:val="24"/>
                <w:szCs w:val="24"/>
              </w:rPr>
              <w:t>、</w:t>
            </w:r>
            <w:r w:rsidRPr="00687B52">
              <w:rPr>
                <w:rFonts w:asciiTheme="minorEastAsia" w:hAnsiTheme="minorEastAsia" w:cs="Arial"/>
                <w:color w:val="000000" w:themeColor="text1"/>
                <w:sz w:val="24"/>
                <w:szCs w:val="24"/>
              </w:rPr>
              <w:t>正压式空气呼吸器</w:t>
            </w:r>
            <w:r w:rsidRPr="00687B52">
              <w:rPr>
                <w:rFonts w:asciiTheme="minorEastAsia" w:hAnsiTheme="minorEastAsia" w:cs="Arial" w:hint="eastAsia"/>
                <w:color w:val="000000" w:themeColor="text1"/>
                <w:sz w:val="24"/>
                <w:szCs w:val="24"/>
              </w:rPr>
              <w:t>。</w:t>
            </w:r>
          </w:p>
        </w:tc>
        <w:tc>
          <w:tcPr>
            <w:tcW w:w="1146" w:type="pct"/>
            <w:vAlign w:val="center"/>
          </w:tcPr>
          <w:p w:rsidR="000C2455" w:rsidRPr="00687B52" w:rsidRDefault="000C2455" w:rsidP="003E1D2A">
            <w:pPr>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w:t>
            </w:r>
            <w:r w:rsidRPr="00687B52">
              <w:rPr>
                <w:rFonts w:asciiTheme="minorEastAsia" w:hAnsiTheme="minorEastAsia" w:cs="Arial"/>
                <w:color w:val="000000" w:themeColor="text1"/>
                <w:sz w:val="24"/>
                <w:szCs w:val="24"/>
              </w:rPr>
              <w:t>氯碱生产企业安全标准化实施指南</w:t>
            </w:r>
            <w:r w:rsidRPr="00687B52">
              <w:rPr>
                <w:rFonts w:asciiTheme="minorEastAsia" w:hAnsiTheme="minorEastAsia" w:cs="Arial" w:hint="eastAsia"/>
                <w:color w:val="000000" w:themeColor="text1"/>
                <w:sz w:val="24"/>
                <w:szCs w:val="24"/>
              </w:rPr>
              <w:t>》</w:t>
            </w:r>
          </w:p>
          <w:p w:rsidR="000C2455" w:rsidRPr="00687B52" w:rsidRDefault="000C2455" w:rsidP="003E1D2A">
            <w:pPr>
              <w:jc w:val="center"/>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AQ/T3016-2008</w:t>
            </w:r>
          </w:p>
          <w:p w:rsidR="000C2455" w:rsidRPr="00687B52" w:rsidRDefault="000C2455" w:rsidP="003E1D2A">
            <w:pPr>
              <w:jc w:val="center"/>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第5.5.2.1条a)</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2"/>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20" w:lineRule="exact"/>
              <w:ind w:firstLineChars="150" w:firstLine="360"/>
              <w:rPr>
                <w:rFonts w:asciiTheme="minorEastAsia" w:hAnsiTheme="minorEastAsia" w:cs="Arial"/>
                <w:color w:val="000000" w:themeColor="text1"/>
                <w:sz w:val="24"/>
                <w:szCs w:val="24"/>
              </w:rPr>
            </w:pPr>
            <w:r w:rsidRPr="00687B52">
              <w:rPr>
                <w:rFonts w:asciiTheme="minorEastAsia" w:hAnsiTheme="minorEastAsia" w:cs="Arial"/>
                <w:color w:val="000000" w:themeColor="text1"/>
                <w:sz w:val="24"/>
                <w:szCs w:val="24"/>
              </w:rPr>
              <w:t>氯化氢合成炉的氯气、氢气进口管线设置紧急切断设施</w:t>
            </w:r>
            <w:r w:rsidRPr="00687B52">
              <w:rPr>
                <w:rFonts w:asciiTheme="minorEastAsia" w:hAnsiTheme="minorEastAsia" w:cs="Arial" w:hint="eastAsia"/>
                <w:color w:val="000000" w:themeColor="text1"/>
                <w:sz w:val="24"/>
                <w:szCs w:val="24"/>
              </w:rPr>
              <w:t>。</w:t>
            </w:r>
          </w:p>
        </w:tc>
        <w:tc>
          <w:tcPr>
            <w:tcW w:w="1146" w:type="pct"/>
            <w:vAlign w:val="center"/>
          </w:tcPr>
          <w:p w:rsidR="000C2455" w:rsidRPr="00687B52" w:rsidRDefault="000C2455" w:rsidP="003E1D2A">
            <w:pPr>
              <w:spacing w:line="320" w:lineRule="exact"/>
              <w:jc w:val="center"/>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w:t>
            </w:r>
            <w:r w:rsidRPr="00687B52">
              <w:rPr>
                <w:rFonts w:asciiTheme="minorEastAsia" w:hAnsiTheme="minorEastAsia" w:cs="Arial"/>
                <w:color w:val="000000" w:themeColor="text1"/>
                <w:sz w:val="24"/>
                <w:szCs w:val="24"/>
              </w:rPr>
              <w:t>氯碱生产企业安全标准化实施指南</w:t>
            </w:r>
            <w:r w:rsidRPr="00687B52">
              <w:rPr>
                <w:rFonts w:asciiTheme="minorEastAsia" w:hAnsiTheme="minorEastAsia" w:cs="Arial" w:hint="eastAsia"/>
                <w:color w:val="000000" w:themeColor="text1"/>
                <w:sz w:val="24"/>
                <w:szCs w:val="24"/>
              </w:rPr>
              <w:t>》</w:t>
            </w:r>
          </w:p>
          <w:p w:rsidR="000C2455" w:rsidRPr="00687B52" w:rsidRDefault="000C2455" w:rsidP="003E1D2A">
            <w:pPr>
              <w:spacing w:line="320" w:lineRule="exact"/>
              <w:jc w:val="center"/>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AQ/T3016-2008</w:t>
            </w:r>
          </w:p>
          <w:p w:rsidR="000C2455" w:rsidRPr="00687B52" w:rsidRDefault="000C2455" w:rsidP="003E1D2A">
            <w:pPr>
              <w:spacing w:line="320" w:lineRule="exact"/>
              <w:jc w:val="center"/>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第5.5.2.1条d）</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trHeight w:val="500"/>
          <w:jc w:val="center"/>
        </w:trPr>
        <w:tc>
          <w:tcPr>
            <w:tcW w:w="329" w:type="pct"/>
            <w:vAlign w:val="center"/>
          </w:tcPr>
          <w:p w:rsidR="000C2455" w:rsidRPr="00687B52" w:rsidRDefault="000C2455" w:rsidP="00406A19">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3</w:t>
            </w:r>
          </w:p>
        </w:tc>
        <w:tc>
          <w:tcPr>
            <w:tcW w:w="4671" w:type="pct"/>
            <w:gridSpan w:val="3"/>
            <w:vAlign w:val="center"/>
          </w:tcPr>
          <w:p w:rsidR="000C2455" w:rsidRPr="00687B52" w:rsidRDefault="000C2455" w:rsidP="003E1D2A">
            <w:pPr>
              <w:pStyle w:val="a7"/>
              <w:jc w:val="left"/>
              <w:rPr>
                <w:rFonts w:asciiTheme="minorEastAsia" w:eastAsiaTheme="minorEastAsia" w:hAnsiTheme="minorEastAsia"/>
                <w:b/>
                <w:color w:val="000000" w:themeColor="text1"/>
                <w:szCs w:val="24"/>
              </w:rPr>
            </w:pPr>
            <w:r w:rsidRPr="00687B52">
              <w:rPr>
                <w:rFonts w:asciiTheme="minorEastAsia" w:hAnsiTheme="minorEastAsia" w:hint="eastAsia"/>
                <w:b/>
                <w:color w:val="000000" w:themeColor="text1"/>
                <w:szCs w:val="24"/>
              </w:rPr>
              <w:t>仓库</w:t>
            </w:r>
          </w:p>
        </w:tc>
      </w:tr>
      <w:tr w:rsidR="000C2455" w:rsidRPr="00687B52" w:rsidTr="00406A19">
        <w:trPr>
          <w:jc w:val="center"/>
        </w:trPr>
        <w:tc>
          <w:tcPr>
            <w:tcW w:w="329" w:type="pct"/>
            <w:vAlign w:val="center"/>
          </w:tcPr>
          <w:p w:rsidR="000C2455" w:rsidRPr="00687B52" w:rsidRDefault="000C2455" w:rsidP="00D9787F">
            <w:pPr>
              <w:pStyle w:val="a7"/>
              <w:numPr>
                <w:ilvl w:val="0"/>
                <w:numId w:val="73"/>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20" w:lineRule="exact"/>
              <w:ind w:firstLineChars="100" w:firstLine="24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根据危险品性能分区、分类、分库贮存。各类危险品不得与禁忌物料混合贮存。</w:t>
            </w:r>
          </w:p>
          <w:p w:rsidR="000C2455" w:rsidRPr="00687B52" w:rsidRDefault="000C2455" w:rsidP="003E1D2A">
            <w:pPr>
              <w:spacing w:line="320" w:lineRule="exact"/>
              <w:ind w:firstLineChars="100" w:firstLine="24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易燃液体、遇湿易燃物品、易燃固体不得与氧化剂混合贮存，具有还原性的氧化剂应单独存放。</w:t>
            </w:r>
          </w:p>
        </w:tc>
        <w:tc>
          <w:tcPr>
            <w:tcW w:w="1146" w:type="pct"/>
            <w:vAlign w:val="center"/>
          </w:tcPr>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w:t>
            </w:r>
          </w:p>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w:t>
            </w:r>
          </w:p>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第4.8、6.7条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3"/>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贮存的化学危险品应有明显的标志</w:t>
            </w:r>
            <w:r w:rsidRPr="00687B52">
              <w:rPr>
                <w:rFonts w:asciiTheme="minorEastAsia" w:eastAsiaTheme="minorEastAsia" w:hAnsiTheme="minorEastAsia" w:hint="eastAsia"/>
                <w:color w:val="000000" w:themeColor="text1"/>
                <w:szCs w:val="24"/>
              </w:rPr>
              <w:t>。</w:t>
            </w:r>
          </w:p>
          <w:p w:rsidR="000C2455" w:rsidRPr="00687B52" w:rsidRDefault="000C2455" w:rsidP="003E1D2A">
            <w:pPr>
              <w:pStyle w:val="a7"/>
              <w:ind w:firstLineChars="150" w:firstLine="36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辅助材料中的纯碱、亚硫酸钠和氯化钡、α-纤维素，分属有害品或毒害品；烧碱、盐酸、硫酸等属强腐蚀剂，应定点储存，做好标识。</w:t>
            </w:r>
            <w:r w:rsidRPr="00687B52">
              <w:rPr>
                <w:rFonts w:asciiTheme="minorEastAsia" w:eastAsiaTheme="minorEastAsia" w:hAnsiTheme="minorEastAsia" w:hint="eastAsia"/>
                <w:color w:val="000000" w:themeColor="text1"/>
                <w:szCs w:val="24"/>
              </w:rPr>
              <w:t>）</w:t>
            </w:r>
          </w:p>
        </w:tc>
        <w:tc>
          <w:tcPr>
            <w:tcW w:w="1146" w:type="pct"/>
            <w:vAlign w:val="center"/>
          </w:tcPr>
          <w:p w:rsidR="000C2455" w:rsidRPr="00687B52" w:rsidRDefault="000C2455" w:rsidP="003E1D2A">
            <w:pPr>
              <w:pStyle w:val="a7"/>
              <w:spacing w:line="240" w:lineRule="auto"/>
              <w:rPr>
                <w:rFonts w:asciiTheme="minorEastAsia" w:hAnsiTheme="minorEastAsia"/>
                <w:color w:val="000000" w:themeColor="text1"/>
                <w:szCs w:val="24"/>
              </w:rPr>
            </w:pPr>
            <w:r w:rsidRPr="00687B52">
              <w:rPr>
                <w:rFonts w:asciiTheme="minorEastAsia" w:hAnsiTheme="minorEastAsia" w:hint="eastAsia"/>
                <w:color w:val="000000" w:themeColor="text1"/>
                <w:szCs w:val="24"/>
              </w:rPr>
              <w:t>《常用危险化学品贮存通则》</w:t>
            </w:r>
          </w:p>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hAnsiTheme="minorEastAsia" w:hint="eastAsia"/>
                <w:color w:val="000000" w:themeColor="text1"/>
                <w:szCs w:val="24"/>
              </w:rPr>
              <w:t>GB15603-1995</w:t>
            </w:r>
          </w:p>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第4.6条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3"/>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20" w:lineRule="exact"/>
              <w:ind w:firstLineChars="100" w:firstLine="24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贮存化学危险品的建筑物、区域内严禁吸烟和使用明火。</w:t>
            </w:r>
          </w:p>
        </w:tc>
        <w:tc>
          <w:tcPr>
            <w:tcW w:w="1146" w:type="pct"/>
            <w:vAlign w:val="center"/>
          </w:tcPr>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w:t>
            </w:r>
          </w:p>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w:t>
            </w:r>
          </w:p>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第4.9条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3"/>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20" w:lineRule="exact"/>
              <w:ind w:firstLineChars="100" w:firstLine="24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有毒品应贮存在阴凉、通风、干燥的场所，不要露天存放，不要接近酸类物质。</w:t>
            </w:r>
          </w:p>
        </w:tc>
        <w:tc>
          <w:tcPr>
            <w:tcW w:w="1146" w:type="pct"/>
            <w:vAlign w:val="center"/>
          </w:tcPr>
          <w:p w:rsidR="000C2455" w:rsidRPr="00687B52" w:rsidRDefault="000C2455" w:rsidP="003E1D2A">
            <w:pPr>
              <w:pStyle w:val="a7"/>
              <w:spacing w:line="240" w:lineRule="auto"/>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w:t>
            </w:r>
          </w:p>
          <w:p w:rsidR="000C2455" w:rsidRPr="00687B52" w:rsidRDefault="000C2455" w:rsidP="003E1D2A">
            <w:pPr>
              <w:jc w:val="center"/>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GB 15603-1995</w:t>
            </w:r>
          </w:p>
          <w:p w:rsidR="000C2455" w:rsidRPr="00687B52" w:rsidRDefault="000C2455" w:rsidP="003E1D2A">
            <w:pPr>
              <w:jc w:val="center"/>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第6.8条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3"/>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20" w:lineRule="exact"/>
              <w:ind w:firstLineChars="100" w:firstLine="24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腐蚀性物品，包装必须严密，不允许泄漏，严禁与液化气体和其他物品共存。</w:t>
            </w:r>
          </w:p>
        </w:tc>
        <w:tc>
          <w:tcPr>
            <w:tcW w:w="1146" w:type="pct"/>
            <w:vAlign w:val="center"/>
          </w:tcPr>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w:t>
            </w:r>
          </w:p>
          <w:p w:rsidR="000C2455" w:rsidRPr="00687B52" w:rsidRDefault="000C2455" w:rsidP="003E1D2A">
            <w:pPr>
              <w:spacing w:line="320" w:lineRule="exact"/>
              <w:jc w:val="center"/>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GB 15603-1995</w:t>
            </w:r>
          </w:p>
          <w:p w:rsidR="000C2455" w:rsidRPr="00687B52" w:rsidRDefault="000C2455" w:rsidP="003E1D2A">
            <w:pPr>
              <w:spacing w:line="320" w:lineRule="exact"/>
              <w:jc w:val="center"/>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第6.9条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3"/>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20" w:lineRule="exact"/>
              <w:ind w:firstLineChars="100" w:firstLine="24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库房应干燥、易于通风、密闭和避光，并应安装避雷装置；库房内可能散发（或泄漏）可燃气体、可燃蒸汽的场所应安装可燃气体检测报警装置。</w:t>
            </w:r>
          </w:p>
        </w:tc>
        <w:tc>
          <w:tcPr>
            <w:tcW w:w="1146" w:type="pct"/>
            <w:vAlign w:val="center"/>
          </w:tcPr>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《易燃易爆性商品储存养护技术条件》GB17914-2013</w:t>
            </w:r>
          </w:p>
          <w:p w:rsidR="000C2455" w:rsidRPr="00687B52" w:rsidRDefault="000C2455" w:rsidP="003E1D2A">
            <w:pPr>
              <w:pStyle w:val="a7"/>
              <w:spacing w:line="240" w:lineRule="auto"/>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第3.2条</w:t>
            </w:r>
          </w:p>
          <w:p w:rsidR="000C2455" w:rsidRPr="00687B52" w:rsidRDefault="000C2455" w:rsidP="003E1D2A">
            <w:pPr>
              <w:pStyle w:val="a7"/>
              <w:spacing w:line="240" w:lineRule="auto"/>
              <w:rPr>
                <w:rFonts w:asciiTheme="minorEastAsia" w:eastAsiaTheme="minorEastAsia" w:hAnsiTheme="minorEastAsia"/>
                <w:color w:val="000000" w:themeColor="text1"/>
                <w:szCs w:val="24"/>
              </w:rPr>
            </w:pPr>
          </w:p>
          <w:p w:rsidR="000C2455" w:rsidRPr="00687B52" w:rsidRDefault="000C2455" w:rsidP="003E1D2A">
            <w:pPr>
              <w:pStyle w:val="a7"/>
              <w:spacing w:line="240" w:lineRule="auto"/>
              <w:rPr>
                <w:rFonts w:asciiTheme="minorEastAsia" w:eastAsiaTheme="minorEastAsia" w:hAnsiTheme="minorEastAsia"/>
                <w:color w:val="000000" w:themeColor="text1"/>
                <w:szCs w:val="24"/>
              </w:rPr>
            </w:pP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3"/>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20" w:lineRule="exact"/>
              <w:ind w:firstLineChars="100" w:firstLine="24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易燃易爆危险品（气瓶装除外）不应直接落地存放，一般应垫15cm以上。遇湿易燃物品、易吸潮溶化和吸潮分解的商品应适当增加下垫高度。</w:t>
            </w:r>
          </w:p>
        </w:tc>
        <w:tc>
          <w:tcPr>
            <w:tcW w:w="1146" w:type="pct"/>
            <w:vAlign w:val="center"/>
          </w:tcPr>
          <w:p w:rsidR="000C2455" w:rsidRPr="00687B52" w:rsidRDefault="000C2455" w:rsidP="003E1D2A">
            <w:pPr>
              <w:pStyle w:val="a7"/>
              <w:spacing w:line="240" w:lineRule="auto"/>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《易燃易爆性商品储存养护技术条件》GB17914-2013</w:t>
            </w:r>
          </w:p>
          <w:p w:rsidR="000C2455" w:rsidRPr="00687B52" w:rsidRDefault="000C2455" w:rsidP="003E1D2A">
            <w:pPr>
              <w:pStyle w:val="a7"/>
              <w:spacing w:line="240" w:lineRule="auto"/>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第6.1.2条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3"/>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20" w:lineRule="exact"/>
              <w:ind w:firstLineChars="100" w:firstLine="24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危险化学品应码行列式压缝货垛，做到牢固、整齐、美观，出入库方便，一般垛高不应超过3m。</w:t>
            </w:r>
          </w:p>
        </w:tc>
        <w:tc>
          <w:tcPr>
            <w:tcW w:w="1146" w:type="pct"/>
            <w:vAlign w:val="center"/>
          </w:tcPr>
          <w:p w:rsidR="000C2455" w:rsidRPr="00687B52" w:rsidRDefault="000C2455" w:rsidP="003E1D2A">
            <w:pPr>
              <w:pStyle w:val="a7"/>
              <w:spacing w:line="28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《易燃易爆性商品储存养护技术条件》GB17914-2013第6.1.3条GB17915-2013第5.2.2.2条GB17916-2013第6.2.2条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3"/>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20" w:lineRule="exact"/>
              <w:ind w:firstLineChars="100" w:firstLine="24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堆垛间距：</w:t>
            </w:r>
          </w:p>
          <w:p w:rsidR="000C2455" w:rsidRPr="00687B52" w:rsidRDefault="000C2455" w:rsidP="00D9787F">
            <w:pPr>
              <w:pStyle w:val="ab"/>
              <w:numPr>
                <w:ilvl w:val="0"/>
                <w:numId w:val="7"/>
              </w:numPr>
              <w:adjustRightInd w:val="0"/>
              <w:spacing w:line="320" w:lineRule="exact"/>
              <w:ind w:firstLineChars="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主通道大于等于180cm；</w:t>
            </w:r>
          </w:p>
          <w:p w:rsidR="000C2455" w:rsidRPr="00687B52" w:rsidRDefault="000C2455" w:rsidP="00D9787F">
            <w:pPr>
              <w:pStyle w:val="ab"/>
              <w:numPr>
                <w:ilvl w:val="0"/>
                <w:numId w:val="7"/>
              </w:numPr>
              <w:adjustRightInd w:val="0"/>
              <w:spacing w:line="320" w:lineRule="exact"/>
              <w:ind w:firstLineChars="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支通道大于等于80cm；</w:t>
            </w:r>
          </w:p>
          <w:p w:rsidR="000C2455" w:rsidRPr="00687B52" w:rsidRDefault="000C2455" w:rsidP="00D9787F">
            <w:pPr>
              <w:pStyle w:val="ab"/>
              <w:numPr>
                <w:ilvl w:val="0"/>
                <w:numId w:val="7"/>
              </w:numPr>
              <w:adjustRightInd w:val="0"/>
              <w:spacing w:line="320" w:lineRule="exact"/>
              <w:ind w:firstLineChars="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墙距大于等于30cm；</w:t>
            </w:r>
          </w:p>
          <w:p w:rsidR="000C2455" w:rsidRPr="00687B52" w:rsidRDefault="000C2455" w:rsidP="00D9787F">
            <w:pPr>
              <w:pStyle w:val="ab"/>
              <w:numPr>
                <w:ilvl w:val="0"/>
                <w:numId w:val="7"/>
              </w:numPr>
              <w:adjustRightInd w:val="0"/>
              <w:spacing w:line="320" w:lineRule="exact"/>
              <w:ind w:firstLineChars="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柱距大于等于10cm；</w:t>
            </w:r>
          </w:p>
          <w:p w:rsidR="000C2455" w:rsidRPr="00687B52" w:rsidRDefault="000C2455" w:rsidP="00D9787F">
            <w:pPr>
              <w:pStyle w:val="ab"/>
              <w:numPr>
                <w:ilvl w:val="0"/>
                <w:numId w:val="7"/>
              </w:numPr>
              <w:adjustRightInd w:val="0"/>
              <w:spacing w:line="320" w:lineRule="exact"/>
              <w:ind w:firstLineChars="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垛距大于等于10cm；</w:t>
            </w:r>
          </w:p>
          <w:p w:rsidR="000C2455" w:rsidRPr="00687B52" w:rsidRDefault="000C2455" w:rsidP="00D9787F">
            <w:pPr>
              <w:pStyle w:val="ab"/>
              <w:numPr>
                <w:ilvl w:val="0"/>
                <w:numId w:val="7"/>
              </w:numPr>
              <w:adjustRightInd w:val="0"/>
              <w:spacing w:line="320" w:lineRule="exact"/>
              <w:ind w:firstLineChars="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顶距大于等于50cm。</w:t>
            </w:r>
          </w:p>
        </w:tc>
        <w:tc>
          <w:tcPr>
            <w:tcW w:w="1146" w:type="pct"/>
            <w:vAlign w:val="center"/>
          </w:tcPr>
          <w:p w:rsidR="000C2455" w:rsidRPr="00687B52" w:rsidRDefault="000C2455" w:rsidP="003E1D2A">
            <w:pPr>
              <w:pStyle w:val="a7"/>
              <w:spacing w:line="240" w:lineRule="auto"/>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《易燃易爆性商品储存养护技术条件》GB17914-2013</w:t>
            </w:r>
          </w:p>
          <w:p w:rsidR="000C2455" w:rsidRPr="00687B52" w:rsidRDefault="000C2455" w:rsidP="003E1D2A">
            <w:pPr>
              <w:pStyle w:val="a7"/>
              <w:spacing w:line="240" w:lineRule="auto"/>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第6.2条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3"/>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20" w:lineRule="exact"/>
              <w:ind w:firstLineChars="100" w:firstLine="24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库房内设置温湿度表，按规定时间进行观测和记录。</w:t>
            </w:r>
          </w:p>
        </w:tc>
        <w:tc>
          <w:tcPr>
            <w:tcW w:w="1146" w:type="pct"/>
            <w:vAlign w:val="center"/>
          </w:tcPr>
          <w:p w:rsidR="000C2455" w:rsidRPr="00687B52" w:rsidRDefault="000C2455" w:rsidP="003E1D2A">
            <w:pPr>
              <w:pStyle w:val="a7"/>
              <w:spacing w:line="28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《易燃易爆性商品储存养护技术条件》GB17914-2013 GB17916-2013</w:t>
            </w:r>
          </w:p>
          <w:p w:rsidR="000C2455" w:rsidRPr="00687B52" w:rsidRDefault="000C2455" w:rsidP="003E1D2A">
            <w:pPr>
              <w:pStyle w:val="a7"/>
              <w:spacing w:line="28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第7.1.1条</w:t>
            </w:r>
          </w:p>
          <w:p w:rsidR="000C2455" w:rsidRPr="00687B52" w:rsidRDefault="000C2455" w:rsidP="003E1D2A">
            <w:pPr>
              <w:pStyle w:val="a7"/>
              <w:spacing w:line="28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GB17915-2013</w:t>
            </w:r>
          </w:p>
          <w:p w:rsidR="000C2455" w:rsidRPr="00687B52" w:rsidRDefault="000C2455" w:rsidP="003E1D2A">
            <w:pPr>
              <w:pStyle w:val="a7"/>
              <w:spacing w:line="28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第6.1.1条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3"/>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20" w:lineRule="exact"/>
              <w:ind w:firstLineChars="100" w:firstLine="24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甲、乙、丙类液体仓库应设置防止液体流散的设施。</w:t>
            </w:r>
          </w:p>
        </w:tc>
        <w:tc>
          <w:tcPr>
            <w:tcW w:w="1146" w:type="pct"/>
            <w:vAlign w:val="center"/>
          </w:tcPr>
          <w:p w:rsidR="000C2455" w:rsidRPr="00687B52" w:rsidRDefault="000C2455" w:rsidP="003E1D2A">
            <w:pPr>
              <w:spacing w:line="360" w:lineRule="exact"/>
              <w:jc w:val="center"/>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《建筑设计防火规》GB50016-2014</w:t>
            </w:r>
          </w:p>
          <w:p w:rsidR="000C2455" w:rsidRPr="00687B52" w:rsidRDefault="000C2455" w:rsidP="003E1D2A">
            <w:pPr>
              <w:spacing w:line="320" w:lineRule="exact"/>
              <w:jc w:val="center"/>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第3.6.12条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r w:rsidR="000C2455" w:rsidRPr="00687B52" w:rsidTr="00406A19">
        <w:trPr>
          <w:jc w:val="center"/>
        </w:trPr>
        <w:tc>
          <w:tcPr>
            <w:tcW w:w="329" w:type="pct"/>
            <w:vAlign w:val="center"/>
          </w:tcPr>
          <w:p w:rsidR="000C2455" w:rsidRPr="00687B52" w:rsidRDefault="000C2455" w:rsidP="00D9787F">
            <w:pPr>
              <w:pStyle w:val="a7"/>
              <w:numPr>
                <w:ilvl w:val="0"/>
                <w:numId w:val="73"/>
              </w:numPr>
              <w:rPr>
                <w:rFonts w:asciiTheme="minorEastAsia" w:eastAsiaTheme="minorEastAsia" w:hAnsiTheme="minorEastAsia"/>
                <w:color w:val="000000" w:themeColor="text1"/>
                <w:szCs w:val="24"/>
              </w:rPr>
            </w:pPr>
          </w:p>
        </w:tc>
        <w:tc>
          <w:tcPr>
            <w:tcW w:w="2450" w:type="pct"/>
            <w:vAlign w:val="center"/>
          </w:tcPr>
          <w:p w:rsidR="000C2455" w:rsidRPr="00687B52" w:rsidRDefault="000C2455" w:rsidP="003E1D2A">
            <w:pPr>
              <w:spacing w:line="320" w:lineRule="exact"/>
              <w:ind w:firstLineChars="100" w:firstLine="24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桶装、瓶装甲类液体不应露天存放。</w:t>
            </w:r>
          </w:p>
        </w:tc>
        <w:tc>
          <w:tcPr>
            <w:tcW w:w="1146" w:type="pct"/>
            <w:vAlign w:val="center"/>
          </w:tcPr>
          <w:p w:rsidR="000C2455" w:rsidRPr="00687B52" w:rsidRDefault="000C2455" w:rsidP="003E1D2A">
            <w:pPr>
              <w:spacing w:line="360" w:lineRule="exact"/>
              <w:jc w:val="center"/>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《建筑设计防火规》GB50016-2014</w:t>
            </w:r>
          </w:p>
          <w:p w:rsidR="000C2455" w:rsidRPr="00687B52" w:rsidRDefault="000C2455" w:rsidP="003E1D2A">
            <w:pPr>
              <w:spacing w:line="320" w:lineRule="exact"/>
              <w:jc w:val="center"/>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第4.1.2条</w:t>
            </w:r>
          </w:p>
        </w:tc>
        <w:tc>
          <w:tcPr>
            <w:tcW w:w="1075" w:type="pct"/>
          </w:tcPr>
          <w:p w:rsidR="000C2455" w:rsidRPr="00687B52" w:rsidRDefault="000C2455" w:rsidP="003E1D2A">
            <w:pPr>
              <w:pStyle w:val="a7"/>
              <w:rPr>
                <w:rFonts w:asciiTheme="minorEastAsia" w:eastAsiaTheme="minorEastAsia" w:hAnsiTheme="minorEastAsia"/>
                <w:color w:val="000000" w:themeColor="text1"/>
                <w:szCs w:val="24"/>
              </w:rPr>
            </w:pPr>
          </w:p>
        </w:tc>
      </w:tr>
    </w:tbl>
    <w:p w:rsidR="000C2455" w:rsidRPr="00687B52" w:rsidRDefault="000C2455" w:rsidP="000C2455">
      <w:pPr>
        <w:rPr>
          <w:rFonts w:asciiTheme="minorEastAsia" w:hAnsiTheme="minorEastAsia"/>
          <w:color w:val="000000" w:themeColor="text1"/>
          <w:szCs w:val="21"/>
        </w:rPr>
      </w:pPr>
      <w:r w:rsidRPr="00687B52">
        <w:rPr>
          <w:rFonts w:asciiTheme="minorEastAsia" w:hAnsiTheme="minorEastAsia" w:hint="eastAsia"/>
          <w:color w:val="000000" w:themeColor="text1"/>
          <w:szCs w:val="21"/>
        </w:rPr>
        <w:t>说明：</w:t>
      </w:r>
    </w:p>
    <w:p w:rsidR="000C2455" w:rsidRPr="00687B52" w:rsidRDefault="000C2455" w:rsidP="000C2455">
      <w:pPr>
        <w:spacing w:line="320" w:lineRule="exact"/>
        <w:ind w:firstLineChars="150" w:firstLine="315"/>
        <w:jc w:val="left"/>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1、本表“</w:t>
      </w:r>
      <w:r w:rsidRPr="00687B52">
        <w:rPr>
          <w:rFonts w:asciiTheme="minorEastAsia" w:hAnsiTheme="minorEastAsia" w:cs="Arial" w:hint="eastAsia"/>
          <w:b/>
          <w:color w:val="000000" w:themeColor="text1"/>
          <w:szCs w:val="21"/>
        </w:rPr>
        <w:t>区域位置、总平面布置及建筑</w:t>
      </w:r>
      <w:r w:rsidRPr="00687B52">
        <w:rPr>
          <w:rFonts w:asciiTheme="minorEastAsia" w:hAnsiTheme="minorEastAsia" w:cs="Arial" w:hint="eastAsia"/>
          <w:color w:val="000000" w:themeColor="text1"/>
          <w:szCs w:val="21"/>
        </w:rPr>
        <w:t>”主要依据</w:t>
      </w:r>
      <w:r w:rsidRPr="00687B52">
        <w:rPr>
          <w:rFonts w:asciiTheme="minorEastAsia" w:hAnsiTheme="minorEastAsia" w:cs="Arial"/>
          <w:color w:val="000000" w:themeColor="text1"/>
          <w:szCs w:val="21"/>
        </w:rPr>
        <w:t>《建筑设计防火规范》GB50016-2014</w:t>
      </w:r>
      <w:r w:rsidRPr="00687B52">
        <w:rPr>
          <w:rFonts w:asciiTheme="minorEastAsia" w:hAnsiTheme="minorEastAsia" w:cs="Arial" w:hint="eastAsia"/>
          <w:color w:val="000000" w:themeColor="text1"/>
          <w:szCs w:val="21"/>
        </w:rPr>
        <w:t>、</w:t>
      </w:r>
      <w:r w:rsidRPr="00687B52">
        <w:rPr>
          <w:rFonts w:asciiTheme="minorEastAsia" w:hAnsiTheme="minorEastAsia" w:cs="Arial"/>
          <w:color w:val="000000" w:themeColor="text1"/>
          <w:szCs w:val="21"/>
        </w:rPr>
        <w:t>《</w:t>
      </w:r>
      <w:r w:rsidRPr="00687B52">
        <w:rPr>
          <w:rFonts w:asciiTheme="minorEastAsia" w:hAnsiTheme="minorEastAsia" w:cs="Arial" w:hint="eastAsia"/>
          <w:color w:val="000000" w:themeColor="text1"/>
          <w:szCs w:val="21"/>
        </w:rPr>
        <w:t>化工企业总图运输设计规范</w:t>
      </w:r>
      <w:r w:rsidRPr="00687B52">
        <w:rPr>
          <w:rFonts w:asciiTheme="minorEastAsia" w:hAnsiTheme="minorEastAsia" w:cs="Arial"/>
          <w:color w:val="000000" w:themeColor="text1"/>
          <w:szCs w:val="21"/>
        </w:rPr>
        <w:t>》GB50</w:t>
      </w:r>
      <w:r w:rsidRPr="00687B52">
        <w:rPr>
          <w:rFonts w:asciiTheme="minorEastAsia" w:hAnsiTheme="minorEastAsia" w:cs="Arial" w:hint="eastAsia"/>
          <w:color w:val="000000" w:themeColor="text1"/>
          <w:szCs w:val="21"/>
        </w:rPr>
        <w:t>489</w:t>
      </w:r>
      <w:r w:rsidRPr="00687B52">
        <w:rPr>
          <w:rFonts w:asciiTheme="minorEastAsia" w:hAnsiTheme="minorEastAsia" w:cs="Arial"/>
          <w:color w:val="000000" w:themeColor="text1"/>
          <w:szCs w:val="21"/>
        </w:rPr>
        <w:t>-200</w:t>
      </w:r>
      <w:r w:rsidRPr="00687B52">
        <w:rPr>
          <w:rFonts w:asciiTheme="minorEastAsia" w:hAnsiTheme="minorEastAsia" w:cs="Arial" w:hint="eastAsia"/>
          <w:color w:val="000000" w:themeColor="text1"/>
          <w:szCs w:val="21"/>
        </w:rPr>
        <w:t>9、《危险化学品管理条例》等标准规范制定；</w:t>
      </w:r>
    </w:p>
    <w:p w:rsidR="000C2455" w:rsidRPr="00687B52" w:rsidRDefault="000C2455" w:rsidP="000C2455">
      <w:pPr>
        <w:pStyle w:val="a7"/>
        <w:ind w:firstLineChars="150" w:firstLine="315"/>
        <w:jc w:val="left"/>
        <w:rPr>
          <w:rFonts w:asciiTheme="minorEastAsia" w:hAnsiTheme="minorEastAsia"/>
          <w:color w:val="000000" w:themeColor="text1"/>
          <w:sz w:val="21"/>
        </w:rPr>
      </w:pPr>
      <w:r w:rsidRPr="00687B52">
        <w:rPr>
          <w:rFonts w:asciiTheme="minorEastAsia" w:hAnsiTheme="minorEastAsia" w:hint="eastAsia"/>
          <w:color w:val="000000" w:themeColor="text1"/>
          <w:sz w:val="21"/>
        </w:rPr>
        <w:t>2、本表“</w:t>
      </w:r>
      <w:r w:rsidRPr="00687B52">
        <w:rPr>
          <w:rFonts w:ascii="宋体" w:hAnsi="宋体" w:hint="eastAsia"/>
          <w:b/>
          <w:color w:val="000000" w:themeColor="text1"/>
          <w:sz w:val="21"/>
        </w:rPr>
        <w:t>工艺、设备设施安全</w:t>
      </w:r>
      <w:r w:rsidRPr="00687B52">
        <w:rPr>
          <w:rFonts w:asciiTheme="minorEastAsia" w:hAnsiTheme="minorEastAsia" w:hint="eastAsia"/>
          <w:color w:val="000000" w:themeColor="text1"/>
          <w:sz w:val="21"/>
        </w:rPr>
        <w:t>”主要依据《</w:t>
      </w:r>
      <w:r w:rsidRPr="00687B52">
        <w:rPr>
          <w:rFonts w:asciiTheme="minorEastAsia" w:hAnsiTheme="minorEastAsia"/>
          <w:color w:val="000000" w:themeColor="text1"/>
          <w:sz w:val="21"/>
        </w:rPr>
        <w:t>氯碱生产企业安全标准化实施指南</w:t>
      </w:r>
      <w:r w:rsidRPr="00687B52">
        <w:rPr>
          <w:rFonts w:asciiTheme="minorEastAsia" w:hAnsiTheme="minorEastAsia" w:hint="eastAsia"/>
          <w:color w:val="000000" w:themeColor="text1"/>
          <w:sz w:val="21"/>
        </w:rPr>
        <w:t>》AQ/T3016-2008、</w:t>
      </w:r>
      <w:r w:rsidRPr="00687B52">
        <w:rPr>
          <w:rFonts w:asciiTheme="minorEastAsia" w:eastAsiaTheme="minorEastAsia" w:hAnsiTheme="minorEastAsia" w:hint="eastAsia"/>
          <w:color w:val="000000" w:themeColor="text1"/>
          <w:sz w:val="21"/>
        </w:rPr>
        <w:t>《化工企业安全卫生设计规范》</w:t>
      </w:r>
      <w:r w:rsidRPr="00687B52">
        <w:rPr>
          <w:rFonts w:asciiTheme="minorEastAsia" w:eastAsiaTheme="minorEastAsia" w:hAnsiTheme="minorEastAsia"/>
          <w:color w:val="000000" w:themeColor="text1"/>
          <w:sz w:val="21"/>
        </w:rPr>
        <w:t>HG20571-2014</w:t>
      </w:r>
      <w:r w:rsidRPr="00687B52">
        <w:rPr>
          <w:rFonts w:asciiTheme="minorEastAsia" w:eastAsiaTheme="minorEastAsia" w:hAnsiTheme="minorEastAsia" w:hint="eastAsia"/>
          <w:color w:val="000000" w:themeColor="text1"/>
          <w:sz w:val="21"/>
        </w:rPr>
        <w:t>、</w:t>
      </w:r>
      <w:r w:rsidRPr="00687B52">
        <w:rPr>
          <w:rFonts w:asciiTheme="minorEastAsia" w:hAnsiTheme="minorEastAsia" w:hint="eastAsia"/>
          <w:color w:val="000000" w:themeColor="text1"/>
          <w:sz w:val="21"/>
        </w:rPr>
        <w:t>《重点监管的危险化工工艺目录》（</w:t>
      </w:r>
      <w:hyperlink r:id="rId26" w:tgtFrame="_blank" w:history="1">
        <w:r w:rsidRPr="00687B52">
          <w:rPr>
            <w:rFonts w:asciiTheme="minorEastAsia" w:hAnsiTheme="minorEastAsia"/>
            <w:color w:val="000000" w:themeColor="text1"/>
            <w:sz w:val="21"/>
          </w:rPr>
          <w:t>安监总管三〔2009〕116号</w:t>
        </w:r>
      </w:hyperlink>
      <w:r w:rsidRPr="00687B52">
        <w:rPr>
          <w:rFonts w:asciiTheme="minorEastAsia" w:hAnsiTheme="minorEastAsia" w:hint="eastAsia"/>
          <w:color w:val="000000" w:themeColor="text1"/>
          <w:sz w:val="21"/>
        </w:rPr>
        <w:t>）、《氢气使用安全技术规程》GB 4962-2008、《氯气安全规程》GB11984-2008、《液氯使用安全技术要求》AQ3014-2008、《安全生产法》、《</w:t>
      </w:r>
      <w:hyperlink r:id="rId27" w:tgtFrame="_blank" w:history="1">
        <w:r w:rsidRPr="00687B52">
          <w:rPr>
            <w:rFonts w:asciiTheme="minorEastAsia" w:hAnsiTheme="minorEastAsia"/>
            <w:color w:val="000000" w:themeColor="text1"/>
            <w:sz w:val="21"/>
          </w:rPr>
          <w:t>生产过程安全卫生要求总则</w:t>
        </w:r>
      </w:hyperlink>
      <w:r w:rsidRPr="00687B52">
        <w:rPr>
          <w:rFonts w:asciiTheme="minorEastAsia" w:hAnsiTheme="minorEastAsia" w:hint="eastAsia"/>
          <w:color w:val="000000" w:themeColor="text1"/>
          <w:sz w:val="21"/>
        </w:rPr>
        <w:t>》</w:t>
      </w:r>
      <w:r w:rsidRPr="00687B52">
        <w:rPr>
          <w:rFonts w:asciiTheme="minorEastAsia" w:hAnsiTheme="minorEastAsia"/>
          <w:color w:val="000000" w:themeColor="text1"/>
          <w:sz w:val="21"/>
        </w:rPr>
        <w:t>GB/T12801-2008</w:t>
      </w:r>
      <w:r w:rsidRPr="00687B52">
        <w:rPr>
          <w:rFonts w:asciiTheme="minorEastAsia" w:hAnsiTheme="minorEastAsia" w:hint="eastAsia"/>
          <w:color w:val="000000" w:themeColor="text1"/>
          <w:sz w:val="21"/>
        </w:rPr>
        <w:t>、《危险化学品管理条例》等标准规范制定。</w:t>
      </w:r>
    </w:p>
    <w:p w:rsidR="000C2455" w:rsidRPr="00687B52" w:rsidRDefault="000C2455" w:rsidP="000C2455">
      <w:pPr>
        <w:pStyle w:val="a7"/>
        <w:ind w:firstLineChars="150" w:firstLine="315"/>
        <w:jc w:val="left"/>
        <w:rPr>
          <w:rFonts w:asciiTheme="minorEastAsia" w:hAnsiTheme="minorEastAsia"/>
          <w:color w:val="000000" w:themeColor="text1"/>
          <w:sz w:val="21"/>
        </w:rPr>
      </w:pPr>
      <w:r w:rsidRPr="00687B52">
        <w:rPr>
          <w:rFonts w:asciiTheme="minorEastAsia" w:hAnsiTheme="minorEastAsia" w:hint="eastAsia"/>
          <w:color w:val="000000" w:themeColor="text1"/>
          <w:sz w:val="21"/>
        </w:rPr>
        <w:t>3、本表“</w:t>
      </w:r>
      <w:r w:rsidRPr="00687B52">
        <w:rPr>
          <w:rFonts w:asciiTheme="minorEastAsia" w:hAnsiTheme="minorEastAsia" w:hint="eastAsia"/>
          <w:b/>
          <w:color w:val="000000" w:themeColor="text1"/>
          <w:sz w:val="21"/>
        </w:rPr>
        <w:t>仓库</w:t>
      </w:r>
      <w:r w:rsidRPr="00687B52">
        <w:rPr>
          <w:rFonts w:asciiTheme="minorEastAsia" w:hAnsiTheme="minorEastAsia" w:hint="eastAsia"/>
          <w:color w:val="000000" w:themeColor="text1"/>
          <w:sz w:val="21"/>
        </w:rPr>
        <w:t>”主要依据</w:t>
      </w:r>
      <w:r w:rsidRPr="00687B52">
        <w:rPr>
          <w:rFonts w:asciiTheme="minorEastAsia" w:hAnsiTheme="minorEastAsia"/>
          <w:color w:val="000000" w:themeColor="text1"/>
          <w:sz w:val="21"/>
        </w:rPr>
        <w:t>《建筑设计防火规范》GB50016-2014</w:t>
      </w:r>
      <w:r w:rsidRPr="00687B52">
        <w:rPr>
          <w:rFonts w:asciiTheme="minorEastAsia" w:hAnsiTheme="minorEastAsia" w:hint="eastAsia"/>
          <w:color w:val="000000" w:themeColor="text1"/>
          <w:sz w:val="21"/>
        </w:rPr>
        <w:t>、《易燃易爆性商品储存养护技术条件》GB17914-2013、《腐蚀性商品储存养护技术条件》GB17915-2013、《毒害性商品储存养护技术条件》GB17916-2013、《常用化学品贮存通则》GB15603-1995等标准规范制定。</w:t>
      </w:r>
    </w:p>
    <w:p w:rsidR="000C2455" w:rsidRPr="00687B52" w:rsidRDefault="000C2455" w:rsidP="00F25ED0">
      <w:pPr>
        <w:adjustRightInd w:val="0"/>
        <w:snapToGrid w:val="0"/>
        <w:spacing w:beforeLines="50" w:before="156"/>
        <w:jc w:val="left"/>
        <w:rPr>
          <w:rFonts w:asciiTheme="minorEastAsia" w:hAnsiTheme="minorEastAsia" w:cs="Arial"/>
          <w:color w:val="000000" w:themeColor="text1"/>
          <w:szCs w:val="21"/>
        </w:rPr>
        <w:sectPr w:rsidR="000C2455" w:rsidRPr="00687B52" w:rsidSect="00D22E6D">
          <w:footerReference w:type="default" r:id="rId28"/>
          <w:pgSz w:w="16838" w:h="11906" w:orient="landscape"/>
          <w:pgMar w:top="1457" w:right="1797" w:bottom="1457" w:left="1797" w:header="851" w:footer="907" w:gutter="0"/>
          <w:cols w:space="425"/>
          <w:docGrid w:type="lines" w:linePitch="312"/>
        </w:sectPr>
      </w:pPr>
    </w:p>
    <w:p w:rsidR="000C2455" w:rsidRPr="00687B52" w:rsidRDefault="00406A19" w:rsidP="00406A19">
      <w:pPr>
        <w:pStyle w:val="aff3"/>
        <w:numPr>
          <w:ilvl w:val="0"/>
          <w:numId w:val="0"/>
        </w:numPr>
        <w:rPr>
          <w:color w:val="000000" w:themeColor="text1"/>
          <w:szCs w:val="28"/>
        </w:rPr>
      </w:pPr>
      <w:bookmarkStart w:id="33" w:name="_Toc492634896"/>
      <w:r w:rsidRPr="00687B52">
        <w:rPr>
          <w:rFonts w:hint="eastAsia"/>
          <w:color w:val="000000" w:themeColor="text1"/>
        </w:rPr>
        <w:t>表</w:t>
      </w:r>
      <w:r w:rsidRPr="00687B52">
        <w:rPr>
          <w:rFonts w:hint="eastAsia"/>
          <w:color w:val="000000" w:themeColor="text1"/>
        </w:rPr>
        <w:t>2-5</w:t>
      </w:r>
      <w:r w:rsidRPr="00687B52">
        <w:rPr>
          <w:rFonts w:hint="eastAsia"/>
          <w:color w:val="000000" w:themeColor="text1"/>
        </w:rPr>
        <w:t>危险化学品生产企业专业检查表（</w:t>
      </w:r>
      <w:r w:rsidR="000C2455" w:rsidRPr="00687B52">
        <w:rPr>
          <w:rFonts w:hint="eastAsia"/>
          <w:color w:val="000000" w:themeColor="text1"/>
          <w:szCs w:val="28"/>
        </w:rPr>
        <w:t>硫酸</w:t>
      </w:r>
      <w:r w:rsidRPr="00687B52">
        <w:rPr>
          <w:rFonts w:hint="eastAsia"/>
          <w:color w:val="000000" w:themeColor="text1"/>
        </w:rPr>
        <w:t>）</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1424"/>
        <w:gridCol w:w="186"/>
        <w:gridCol w:w="1206"/>
        <w:gridCol w:w="490"/>
        <w:gridCol w:w="1249"/>
        <w:gridCol w:w="328"/>
        <w:gridCol w:w="1936"/>
        <w:gridCol w:w="2539"/>
        <w:gridCol w:w="3120"/>
      </w:tblGrid>
      <w:tr w:rsidR="000C2455" w:rsidRPr="00687B52" w:rsidTr="00406A19">
        <w:trPr>
          <w:tblHeader/>
        </w:trPr>
        <w:tc>
          <w:tcPr>
            <w:tcW w:w="365" w:type="pct"/>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序号</w:t>
            </w:r>
          </w:p>
        </w:tc>
        <w:tc>
          <w:tcPr>
            <w:tcW w:w="2533" w:type="pct"/>
            <w:gridSpan w:val="7"/>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检查内容</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检查依据</w:t>
            </w:r>
          </w:p>
        </w:tc>
        <w:tc>
          <w:tcPr>
            <w:tcW w:w="1159"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检查情况</w:t>
            </w:r>
          </w:p>
        </w:tc>
      </w:tr>
      <w:tr w:rsidR="000C2455" w:rsidRPr="00687B52" w:rsidTr="00406A19">
        <w:tc>
          <w:tcPr>
            <w:tcW w:w="365" w:type="pct"/>
            <w:shd w:val="clear" w:color="auto" w:fill="auto"/>
            <w:vAlign w:val="center"/>
          </w:tcPr>
          <w:p w:rsidR="000C2455" w:rsidRPr="00687B52" w:rsidRDefault="000C2455" w:rsidP="004A5011">
            <w:pPr>
              <w:pStyle w:val="a7"/>
              <w:spacing w:line="300" w:lineRule="exac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1</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b/>
                <w:color w:val="000000" w:themeColor="text1"/>
                <w:szCs w:val="24"/>
              </w:rPr>
            </w:pPr>
            <w:r w:rsidRPr="00687B52">
              <w:rPr>
                <w:rFonts w:asciiTheme="minorEastAsia" w:hAnsiTheme="minorEastAsia" w:cs="Times New Roman" w:hint="eastAsia"/>
                <w:b/>
                <w:color w:val="000000" w:themeColor="text1"/>
                <w:szCs w:val="24"/>
              </w:rPr>
              <w:t>区域位置、总平面布置和建筑</w:t>
            </w:r>
          </w:p>
        </w:tc>
        <w:tc>
          <w:tcPr>
            <w:tcW w:w="943" w:type="pct"/>
            <w:shd w:val="clear" w:color="auto" w:fill="auto"/>
          </w:tcPr>
          <w:p w:rsidR="000C2455" w:rsidRPr="00687B52" w:rsidRDefault="000C2455" w:rsidP="00F25ED0">
            <w:pPr>
              <w:adjustRightInd w:val="0"/>
              <w:snapToGrid w:val="0"/>
              <w:spacing w:afterLines="50" w:after="156" w:line="300" w:lineRule="exact"/>
              <w:jc w:val="center"/>
              <w:rPr>
                <w:rFonts w:ascii="黑体" w:eastAsia="黑体" w:hAnsi="黑体"/>
                <w:color w:val="000000" w:themeColor="text1"/>
                <w:sz w:val="28"/>
                <w:szCs w:val="28"/>
              </w:rPr>
            </w:pPr>
          </w:p>
        </w:tc>
        <w:tc>
          <w:tcPr>
            <w:tcW w:w="1159" w:type="pct"/>
            <w:shd w:val="clear" w:color="auto" w:fill="auto"/>
            <w:vAlign w:val="center"/>
          </w:tcPr>
          <w:p w:rsidR="000C2455" w:rsidRPr="00687B52" w:rsidRDefault="000C2455" w:rsidP="00F25ED0">
            <w:pPr>
              <w:adjustRightInd w:val="0"/>
              <w:snapToGrid w:val="0"/>
              <w:spacing w:afterLines="50" w:after="156" w:line="300" w:lineRule="exact"/>
              <w:rPr>
                <w:rFonts w:ascii="黑体" w:eastAsia="黑体" w:hAnsi="黑体"/>
                <w:color w:val="000000" w:themeColor="text1"/>
                <w:sz w:val="28"/>
                <w:szCs w:val="28"/>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1.1</w:t>
            </w:r>
          </w:p>
        </w:tc>
        <w:tc>
          <w:tcPr>
            <w:tcW w:w="2533" w:type="pct"/>
            <w:gridSpan w:val="7"/>
            <w:shd w:val="clear" w:color="auto" w:fill="auto"/>
            <w:vAlign w:val="center"/>
          </w:tcPr>
          <w:p w:rsidR="000C2455" w:rsidRPr="00687B52" w:rsidRDefault="000C2455" w:rsidP="003E1D2A">
            <w:pPr>
              <w:pStyle w:val="a7"/>
              <w:spacing w:line="300" w:lineRule="exact"/>
              <w:jc w:val="left"/>
              <w:rPr>
                <w:b/>
                <w:color w:val="000000" w:themeColor="text1"/>
              </w:rPr>
            </w:pPr>
            <w:r w:rsidRPr="00687B52">
              <w:rPr>
                <w:rFonts w:hint="eastAsia"/>
                <w:b/>
                <w:color w:val="000000" w:themeColor="text1"/>
              </w:rPr>
              <w:t>区域位置与总图布置</w:t>
            </w:r>
          </w:p>
        </w:tc>
        <w:tc>
          <w:tcPr>
            <w:tcW w:w="943" w:type="pct"/>
            <w:shd w:val="clear" w:color="auto" w:fill="auto"/>
            <w:vAlign w:val="center"/>
          </w:tcPr>
          <w:p w:rsidR="000C2455" w:rsidRPr="00687B52" w:rsidRDefault="000C2455" w:rsidP="003E1D2A">
            <w:pPr>
              <w:pStyle w:val="a7"/>
              <w:spacing w:line="300" w:lineRule="exact"/>
              <w:rPr>
                <w:color w:val="000000" w:themeColor="text1"/>
              </w:rPr>
            </w:pPr>
          </w:p>
        </w:tc>
        <w:tc>
          <w:tcPr>
            <w:tcW w:w="1159" w:type="pct"/>
            <w:shd w:val="clear" w:color="auto" w:fill="auto"/>
            <w:vAlign w:val="center"/>
          </w:tcPr>
          <w:p w:rsidR="000C2455" w:rsidRPr="00687B52" w:rsidRDefault="000C2455" w:rsidP="003E1D2A">
            <w:pPr>
              <w:spacing w:line="300" w:lineRule="exact"/>
              <w:rPr>
                <w:color w:val="000000" w:themeColor="text1"/>
                <w:sz w:val="24"/>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1.1.1</w:t>
            </w:r>
          </w:p>
        </w:tc>
        <w:tc>
          <w:tcPr>
            <w:tcW w:w="2533" w:type="pct"/>
            <w:gridSpan w:val="7"/>
            <w:shd w:val="clear" w:color="auto" w:fill="auto"/>
            <w:vAlign w:val="center"/>
          </w:tcPr>
          <w:p w:rsidR="000C2455" w:rsidRPr="00687B52" w:rsidRDefault="000C2455" w:rsidP="003E1D2A">
            <w:pPr>
              <w:pStyle w:val="a7"/>
              <w:spacing w:line="300" w:lineRule="exact"/>
              <w:jc w:val="left"/>
              <w:rPr>
                <w:color w:val="000000" w:themeColor="text1"/>
              </w:rPr>
            </w:pPr>
            <w:r w:rsidRPr="00687B52">
              <w:rPr>
                <w:color w:val="000000" w:themeColor="text1"/>
              </w:rPr>
              <w:t>厂址应位于不受洪水、潮水或内涝威胁的地带，并应符合下列规定：</w:t>
            </w:r>
          </w:p>
          <w:p w:rsidR="000C2455" w:rsidRPr="00687B52" w:rsidRDefault="000C2455" w:rsidP="003E1D2A">
            <w:pPr>
              <w:pStyle w:val="a7"/>
              <w:spacing w:line="300" w:lineRule="exact"/>
              <w:jc w:val="left"/>
              <w:rPr>
                <w:color w:val="000000" w:themeColor="text1"/>
              </w:rPr>
            </w:pPr>
            <w:r w:rsidRPr="00687B52">
              <w:rPr>
                <w:color w:val="000000" w:themeColor="text1"/>
              </w:rPr>
              <w:t>1</w:t>
            </w:r>
            <w:r w:rsidRPr="00687B52">
              <w:rPr>
                <w:rFonts w:hint="eastAsia"/>
                <w:color w:val="000000" w:themeColor="text1"/>
              </w:rPr>
              <w:t>）当厂址不可避免不受洪水、潮水、或内涝威胁的地带时，必须采取防洪、排涝措施；</w:t>
            </w:r>
          </w:p>
          <w:p w:rsidR="000C2455" w:rsidRPr="00687B52" w:rsidRDefault="000C2455" w:rsidP="003E1D2A">
            <w:pPr>
              <w:pStyle w:val="a7"/>
              <w:spacing w:line="300" w:lineRule="exact"/>
              <w:jc w:val="left"/>
              <w:rPr>
                <w:color w:val="000000" w:themeColor="text1"/>
              </w:rPr>
            </w:pPr>
            <w:r w:rsidRPr="00687B52">
              <w:rPr>
                <w:color w:val="000000" w:themeColor="text1"/>
              </w:rPr>
              <w:t>2</w:t>
            </w:r>
            <w:r w:rsidRPr="00687B52">
              <w:rPr>
                <w:rFonts w:hint="eastAsia"/>
                <w:color w:val="000000" w:themeColor="text1"/>
              </w:rPr>
              <w:t>）</w:t>
            </w:r>
            <w:r w:rsidRPr="00687B52">
              <w:rPr>
                <w:color w:val="000000" w:themeColor="text1"/>
              </w:rPr>
              <w:t>凡受江、河、潮、海洪水、潮水或山洪威胁的工业企业，防洪标准应符合现行国家标准《防洪标准》</w:t>
            </w:r>
            <w:r w:rsidRPr="00687B52">
              <w:rPr>
                <w:color w:val="000000" w:themeColor="text1"/>
              </w:rPr>
              <w:t>GB 50201</w:t>
            </w:r>
            <w:r w:rsidRPr="00687B52">
              <w:rPr>
                <w:color w:val="000000" w:themeColor="text1"/>
              </w:rPr>
              <w:t>的有关规定。</w:t>
            </w:r>
          </w:p>
        </w:tc>
        <w:tc>
          <w:tcPr>
            <w:tcW w:w="943" w:type="pct"/>
            <w:shd w:val="clear" w:color="auto" w:fill="auto"/>
            <w:vAlign w:val="center"/>
          </w:tcPr>
          <w:p w:rsidR="000C2455" w:rsidRPr="00687B52" w:rsidRDefault="000C2455" w:rsidP="003E1D2A">
            <w:pPr>
              <w:pStyle w:val="a7"/>
              <w:spacing w:line="300" w:lineRule="exact"/>
              <w:rPr>
                <w:color w:val="000000" w:themeColor="text1"/>
              </w:rPr>
            </w:pPr>
            <w:r w:rsidRPr="00687B52">
              <w:rPr>
                <w:rFonts w:hint="eastAsia"/>
                <w:color w:val="000000" w:themeColor="text1"/>
              </w:rPr>
              <w:t>《工业企业总平面设计规范》</w:t>
            </w:r>
            <w:r w:rsidRPr="00687B52">
              <w:rPr>
                <w:rFonts w:hint="eastAsia"/>
                <w:color w:val="000000" w:themeColor="text1"/>
              </w:rPr>
              <w:t>GB50187-2012</w:t>
            </w:r>
          </w:p>
          <w:p w:rsidR="000C2455" w:rsidRPr="00687B52" w:rsidRDefault="000C2455" w:rsidP="003E1D2A">
            <w:pPr>
              <w:pStyle w:val="a7"/>
              <w:spacing w:line="300" w:lineRule="exact"/>
              <w:rPr>
                <w:color w:val="000000" w:themeColor="text1"/>
              </w:rPr>
            </w:pPr>
            <w:r w:rsidRPr="00687B52">
              <w:rPr>
                <w:rFonts w:hint="eastAsia"/>
                <w:color w:val="000000" w:themeColor="text1"/>
              </w:rPr>
              <w:t>第</w:t>
            </w:r>
            <w:r w:rsidRPr="00687B52">
              <w:rPr>
                <w:rFonts w:hint="eastAsia"/>
                <w:color w:val="000000" w:themeColor="text1"/>
              </w:rPr>
              <w:t>3.0.12</w:t>
            </w:r>
            <w:r w:rsidRPr="00687B52">
              <w:rPr>
                <w:rFonts w:hint="eastAsia"/>
                <w:color w:val="000000" w:themeColor="text1"/>
              </w:rPr>
              <w:t>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1.1.2</w:t>
            </w:r>
          </w:p>
        </w:tc>
        <w:tc>
          <w:tcPr>
            <w:tcW w:w="2533" w:type="pct"/>
            <w:gridSpan w:val="7"/>
            <w:shd w:val="clear" w:color="auto" w:fill="auto"/>
            <w:vAlign w:val="center"/>
          </w:tcPr>
          <w:p w:rsidR="000C2455" w:rsidRPr="00687B52" w:rsidRDefault="000C2455" w:rsidP="003E1D2A">
            <w:pPr>
              <w:pStyle w:val="a7"/>
              <w:spacing w:line="300" w:lineRule="exact"/>
              <w:jc w:val="left"/>
              <w:rPr>
                <w:color w:val="000000" w:themeColor="text1"/>
              </w:rPr>
            </w:pPr>
            <w:r w:rsidRPr="00687B52">
              <w:rPr>
                <w:rFonts w:hint="eastAsia"/>
                <w:color w:val="000000" w:themeColor="text1"/>
              </w:rPr>
              <w:t>山区建厂，当厂址位于山坡或山脚处时，应采取防止山洪、泥石流等自然灾害的危害的加固措施，应对山坡的稳定性等作出地质灾害的危险性评估报告。</w:t>
            </w:r>
          </w:p>
        </w:tc>
        <w:tc>
          <w:tcPr>
            <w:tcW w:w="943" w:type="pct"/>
            <w:shd w:val="clear" w:color="auto" w:fill="auto"/>
            <w:vAlign w:val="center"/>
          </w:tcPr>
          <w:p w:rsidR="000C2455" w:rsidRPr="00687B52" w:rsidRDefault="000C2455" w:rsidP="003E1D2A">
            <w:pPr>
              <w:pStyle w:val="a7"/>
              <w:spacing w:line="300" w:lineRule="exact"/>
              <w:rPr>
                <w:color w:val="000000" w:themeColor="text1"/>
              </w:rPr>
            </w:pPr>
            <w:r w:rsidRPr="00687B52">
              <w:rPr>
                <w:rFonts w:hint="eastAsia"/>
                <w:color w:val="000000" w:themeColor="text1"/>
              </w:rPr>
              <w:t>《工业企业总平面设计规范》</w:t>
            </w:r>
            <w:r w:rsidRPr="00687B52">
              <w:rPr>
                <w:rFonts w:hint="eastAsia"/>
                <w:color w:val="000000" w:themeColor="text1"/>
              </w:rPr>
              <w:t>GB50187-2012</w:t>
            </w:r>
          </w:p>
          <w:p w:rsidR="000C2455" w:rsidRPr="00687B52" w:rsidRDefault="000C2455" w:rsidP="003E1D2A">
            <w:pPr>
              <w:pStyle w:val="a7"/>
              <w:spacing w:line="300" w:lineRule="exact"/>
              <w:rPr>
                <w:color w:val="000000" w:themeColor="text1"/>
              </w:rPr>
            </w:pPr>
            <w:r w:rsidRPr="00687B52">
              <w:rPr>
                <w:rFonts w:hint="eastAsia"/>
                <w:color w:val="000000" w:themeColor="text1"/>
              </w:rPr>
              <w:t>第</w:t>
            </w:r>
            <w:r w:rsidRPr="00687B52">
              <w:rPr>
                <w:rFonts w:hint="eastAsia"/>
                <w:color w:val="000000" w:themeColor="text1"/>
              </w:rPr>
              <w:t>3.0.13</w:t>
            </w:r>
            <w:r w:rsidRPr="00687B52">
              <w:rPr>
                <w:rFonts w:hint="eastAsia"/>
                <w:color w:val="000000" w:themeColor="text1"/>
              </w:rPr>
              <w:t>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1.1.3</w:t>
            </w:r>
          </w:p>
        </w:tc>
        <w:tc>
          <w:tcPr>
            <w:tcW w:w="2533" w:type="pct"/>
            <w:gridSpan w:val="7"/>
            <w:shd w:val="clear" w:color="auto" w:fill="auto"/>
            <w:vAlign w:val="center"/>
          </w:tcPr>
          <w:p w:rsidR="000C2455" w:rsidRPr="00687B52" w:rsidRDefault="000C2455" w:rsidP="003E1D2A">
            <w:pPr>
              <w:pStyle w:val="a7"/>
              <w:spacing w:line="300" w:lineRule="exact"/>
              <w:jc w:val="left"/>
              <w:rPr>
                <w:color w:val="000000" w:themeColor="text1"/>
              </w:rPr>
            </w:pPr>
            <w:r w:rsidRPr="00687B52">
              <w:rPr>
                <w:color w:val="000000" w:themeColor="text1"/>
              </w:rPr>
              <w:t>下列地段和地区不应选为厂址：</w:t>
            </w:r>
          </w:p>
          <w:p w:rsidR="000C2455" w:rsidRPr="00687B52" w:rsidRDefault="000C2455" w:rsidP="003E1D2A">
            <w:pPr>
              <w:pStyle w:val="a7"/>
              <w:spacing w:line="300" w:lineRule="exact"/>
              <w:jc w:val="left"/>
              <w:rPr>
                <w:color w:val="000000" w:themeColor="text1"/>
              </w:rPr>
            </w:pPr>
            <w:r w:rsidRPr="00687B52">
              <w:rPr>
                <w:rFonts w:hint="eastAsia"/>
                <w:color w:val="000000" w:themeColor="text1"/>
              </w:rPr>
              <w:t>1</w:t>
            </w:r>
            <w:r w:rsidRPr="00687B52">
              <w:rPr>
                <w:rFonts w:hint="eastAsia"/>
                <w:color w:val="000000" w:themeColor="text1"/>
              </w:rPr>
              <w:t>）发震断层和抗震设防烈度为</w:t>
            </w:r>
            <w:r w:rsidRPr="00687B52">
              <w:rPr>
                <w:rFonts w:hint="eastAsia"/>
                <w:color w:val="000000" w:themeColor="text1"/>
              </w:rPr>
              <w:t>9</w:t>
            </w:r>
            <w:r w:rsidRPr="00687B52">
              <w:rPr>
                <w:rFonts w:hint="eastAsia"/>
                <w:color w:val="000000" w:themeColor="text1"/>
              </w:rPr>
              <w:t>度及高于</w:t>
            </w:r>
            <w:r w:rsidRPr="00687B52">
              <w:rPr>
                <w:rFonts w:hint="eastAsia"/>
                <w:color w:val="000000" w:themeColor="text1"/>
              </w:rPr>
              <w:t>9</w:t>
            </w:r>
            <w:r w:rsidRPr="00687B52">
              <w:rPr>
                <w:rFonts w:hint="eastAsia"/>
                <w:color w:val="000000" w:themeColor="text1"/>
              </w:rPr>
              <w:t>度的地震区；</w:t>
            </w:r>
          </w:p>
          <w:p w:rsidR="000C2455" w:rsidRPr="00687B52" w:rsidRDefault="000C2455" w:rsidP="003E1D2A">
            <w:pPr>
              <w:pStyle w:val="a7"/>
              <w:spacing w:line="300" w:lineRule="exact"/>
              <w:jc w:val="left"/>
              <w:rPr>
                <w:color w:val="000000" w:themeColor="text1"/>
              </w:rPr>
            </w:pPr>
            <w:r w:rsidRPr="00687B52">
              <w:rPr>
                <w:rFonts w:hint="eastAsia"/>
                <w:color w:val="000000" w:themeColor="text1"/>
              </w:rPr>
              <w:t>2</w:t>
            </w:r>
            <w:r w:rsidRPr="00687B52">
              <w:rPr>
                <w:rFonts w:hint="eastAsia"/>
                <w:color w:val="000000" w:themeColor="text1"/>
              </w:rPr>
              <w:t>）有泥石流、滑坡、流沙、溶洞等直接危害的地段；</w:t>
            </w:r>
          </w:p>
          <w:p w:rsidR="000C2455" w:rsidRPr="00687B52" w:rsidRDefault="000C2455" w:rsidP="003E1D2A">
            <w:pPr>
              <w:pStyle w:val="a7"/>
              <w:spacing w:line="300" w:lineRule="exact"/>
              <w:jc w:val="left"/>
              <w:rPr>
                <w:color w:val="000000" w:themeColor="text1"/>
              </w:rPr>
            </w:pPr>
            <w:r w:rsidRPr="00687B52">
              <w:rPr>
                <w:rFonts w:hint="eastAsia"/>
                <w:color w:val="000000" w:themeColor="text1"/>
              </w:rPr>
              <w:t>3</w:t>
            </w:r>
            <w:r w:rsidRPr="00687B52">
              <w:rPr>
                <w:rFonts w:hint="eastAsia"/>
                <w:color w:val="000000" w:themeColor="text1"/>
              </w:rPr>
              <w:t>）采矿陷落（错动）区地表界限内；</w:t>
            </w:r>
          </w:p>
          <w:p w:rsidR="000C2455" w:rsidRPr="00687B52" w:rsidRDefault="000C2455" w:rsidP="003E1D2A">
            <w:pPr>
              <w:pStyle w:val="a7"/>
              <w:spacing w:line="300" w:lineRule="exact"/>
              <w:jc w:val="left"/>
              <w:rPr>
                <w:color w:val="000000" w:themeColor="text1"/>
              </w:rPr>
            </w:pPr>
            <w:r w:rsidRPr="00687B52">
              <w:rPr>
                <w:rFonts w:hint="eastAsia"/>
                <w:color w:val="000000" w:themeColor="text1"/>
              </w:rPr>
              <w:t>4</w:t>
            </w:r>
            <w:r w:rsidRPr="00687B52">
              <w:rPr>
                <w:rFonts w:hint="eastAsia"/>
                <w:color w:val="000000" w:themeColor="text1"/>
              </w:rPr>
              <w:t>）爆破危险界限内；</w:t>
            </w:r>
          </w:p>
          <w:p w:rsidR="000C2455" w:rsidRPr="00687B52" w:rsidRDefault="000C2455" w:rsidP="003E1D2A">
            <w:pPr>
              <w:pStyle w:val="a7"/>
              <w:spacing w:line="300" w:lineRule="exact"/>
              <w:jc w:val="left"/>
              <w:rPr>
                <w:color w:val="000000" w:themeColor="text1"/>
              </w:rPr>
            </w:pPr>
            <w:r w:rsidRPr="00687B52">
              <w:rPr>
                <w:rFonts w:hint="eastAsia"/>
                <w:color w:val="000000" w:themeColor="text1"/>
              </w:rPr>
              <w:t>5</w:t>
            </w:r>
            <w:r w:rsidRPr="00687B52">
              <w:rPr>
                <w:rFonts w:hint="eastAsia"/>
                <w:color w:val="000000" w:themeColor="text1"/>
              </w:rPr>
              <w:t>）坝或堤决溃后可能淹没的地区；</w:t>
            </w:r>
          </w:p>
          <w:p w:rsidR="000C2455" w:rsidRPr="00687B52" w:rsidRDefault="000C2455" w:rsidP="003E1D2A">
            <w:pPr>
              <w:pStyle w:val="a7"/>
              <w:spacing w:line="300" w:lineRule="exact"/>
              <w:jc w:val="left"/>
              <w:rPr>
                <w:color w:val="000000" w:themeColor="text1"/>
              </w:rPr>
            </w:pPr>
            <w:r w:rsidRPr="00687B52">
              <w:rPr>
                <w:rFonts w:hint="eastAsia"/>
                <w:color w:val="000000" w:themeColor="text1"/>
              </w:rPr>
              <w:t>6</w:t>
            </w:r>
            <w:r w:rsidRPr="00687B52">
              <w:rPr>
                <w:rFonts w:hint="eastAsia"/>
                <w:color w:val="000000" w:themeColor="text1"/>
              </w:rPr>
              <w:t>）有严重放射性物质污染影响区；</w:t>
            </w:r>
          </w:p>
          <w:p w:rsidR="000C2455" w:rsidRPr="00687B52" w:rsidRDefault="000C2455" w:rsidP="003E1D2A">
            <w:pPr>
              <w:pStyle w:val="a7"/>
              <w:spacing w:line="300" w:lineRule="exact"/>
              <w:jc w:val="left"/>
              <w:rPr>
                <w:color w:val="000000" w:themeColor="text1"/>
              </w:rPr>
            </w:pPr>
            <w:r w:rsidRPr="00687B52">
              <w:rPr>
                <w:rFonts w:hint="eastAsia"/>
                <w:color w:val="000000" w:themeColor="text1"/>
              </w:rPr>
              <w:t>7</w:t>
            </w:r>
            <w:r w:rsidRPr="00687B52">
              <w:rPr>
                <w:rFonts w:hint="eastAsia"/>
                <w:color w:val="000000" w:themeColor="text1"/>
              </w:rPr>
              <w:t>）生活居住区、文教区、水源保护区、名胜古迹、风景游览区、温泉、疗养区、自然保护区和其它需要特别保护的区域；</w:t>
            </w:r>
          </w:p>
          <w:p w:rsidR="000C2455" w:rsidRPr="00687B52" w:rsidRDefault="000C2455" w:rsidP="003E1D2A">
            <w:pPr>
              <w:pStyle w:val="a7"/>
              <w:spacing w:line="300" w:lineRule="exact"/>
              <w:jc w:val="left"/>
              <w:rPr>
                <w:color w:val="000000" w:themeColor="text1"/>
              </w:rPr>
            </w:pPr>
            <w:r w:rsidRPr="00687B52">
              <w:rPr>
                <w:rFonts w:hint="eastAsia"/>
                <w:color w:val="000000" w:themeColor="text1"/>
              </w:rPr>
              <w:t>8</w:t>
            </w:r>
            <w:r w:rsidRPr="00687B52">
              <w:rPr>
                <w:rFonts w:hint="eastAsia"/>
                <w:color w:val="000000" w:themeColor="text1"/>
              </w:rPr>
              <w:t>）对飞机起落、电台通讯、电视转播、雷达导航和重要的天文、气象、地震观察以及军事设施等规定有影响的范围内；</w:t>
            </w:r>
          </w:p>
          <w:p w:rsidR="000C2455" w:rsidRPr="00687B52" w:rsidRDefault="000C2455" w:rsidP="003E1D2A">
            <w:pPr>
              <w:pStyle w:val="a7"/>
              <w:spacing w:line="300" w:lineRule="exact"/>
              <w:jc w:val="left"/>
              <w:rPr>
                <w:color w:val="000000" w:themeColor="text1"/>
              </w:rPr>
            </w:pPr>
            <w:r w:rsidRPr="00687B52">
              <w:rPr>
                <w:color w:val="000000" w:themeColor="text1"/>
              </w:rPr>
              <w:t>9</w:t>
            </w:r>
            <w:r w:rsidRPr="00687B52">
              <w:rPr>
                <w:rFonts w:hint="eastAsia"/>
                <w:color w:val="000000" w:themeColor="text1"/>
              </w:rPr>
              <w:t>）</w:t>
            </w:r>
            <w:r w:rsidRPr="00687B52">
              <w:rPr>
                <w:color w:val="000000" w:themeColor="text1"/>
              </w:rPr>
              <w:t>很严重的自重湿陷性黄土地段，厚度大的新近堆积黄土地段和高压缩性的饱和黄土地段等地质条件恶劣地段；</w:t>
            </w:r>
          </w:p>
          <w:p w:rsidR="000C2455" w:rsidRPr="00687B52" w:rsidRDefault="000C2455" w:rsidP="003E1D2A">
            <w:pPr>
              <w:pStyle w:val="a7"/>
              <w:spacing w:line="300" w:lineRule="exact"/>
              <w:jc w:val="left"/>
              <w:rPr>
                <w:color w:val="000000" w:themeColor="text1"/>
              </w:rPr>
            </w:pPr>
            <w:r w:rsidRPr="00687B52">
              <w:rPr>
                <w:color w:val="000000" w:themeColor="text1"/>
              </w:rPr>
              <w:t>10</w:t>
            </w:r>
            <w:r w:rsidRPr="00687B52">
              <w:rPr>
                <w:rFonts w:hint="eastAsia"/>
                <w:color w:val="000000" w:themeColor="text1"/>
              </w:rPr>
              <w:t>）</w:t>
            </w:r>
            <w:r w:rsidRPr="00687B52">
              <w:rPr>
                <w:color w:val="000000" w:themeColor="text1"/>
              </w:rPr>
              <w:t>具有开采价值的矿藏区；</w:t>
            </w:r>
          </w:p>
          <w:p w:rsidR="000C2455" w:rsidRPr="00687B52" w:rsidRDefault="000C2455" w:rsidP="003E1D2A">
            <w:pPr>
              <w:pStyle w:val="a7"/>
              <w:spacing w:line="300" w:lineRule="exact"/>
              <w:jc w:val="left"/>
              <w:rPr>
                <w:color w:val="000000" w:themeColor="text1"/>
              </w:rPr>
            </w:pPr>
            <w:r w:rsidRPr="00687B52">
              <w:rPr>
                <w:rFonts w:hint="eastAsia"/>
                <w:color w:val="000000" w:themeColor="text1"/>
              </w:rPr>
              <w:t>11</w:t>
            </w:r>
            <w:r w:rsidRPr="00687B52">
              <w:rPr>
                <w:rFonts w:hint="eastAsia"/>
                <w:color w:val="000000" w:themeColor="text1"/>
              </w:rPr>
              <w:t>）受海啸或湖涌危害的地区。</w:t>
            </w:r>
          </w:p>
        </w:tc>
        <w:tc>
          <w:tcPr>
            <w:tcW w:w="943" w:type="pct"/>
            <w:shd w:val="clear" w:color="auto" w:fill="auto"/>
            <w:vAlign w:val="center"/>
          </w:tcPr>
          <w:p w:rsidR="000C2455" w:rsidRPr="00687B52" w:rsidRDefault="000C2455" w:rsidP="003E1D2A">
            <w:pPr>
              <w:pStyle w:val="a7"/>
              <w:spacing w:line="300" w:lineRule="exact"/>
              <w:rPr>
                <w:color w:val="000000" w:themeColor="text1"/>
              </w:rPr>
            </w:pPr>
            <w:r w:rsidRPr="00687B52">
              <w:rPr>
                <w:rFonts w:hint="eastAsia"/>
                <w:color w:val="000000" w:themeColor="text1"/>
              </w:rPr>
              <w:t>《工业企业总平面设计规范》</w:t>
            </w:r>
            <w:r w:rsidRPr="00687B52">
              <w:rPr>
                <w:rFonts w:hint="eastAsia"/>
                <w:color w:val="000000" w:themeColor="text1"/>
              </w:rPr>
              <w:t>GB50187-2012</w:t>
            </w:r>
          </w:p>
          <w:p w:rsidR="000C2455" w:rsidRPr="00687B52" w:rsidRDefault="000C2455" w:rsidP="003E1D2A">
            <w:pPr>
              <w:pStyle w:val="a7"/>
              <w:spacing w:line="300" w:lineRule="exact"/>
              <w:rPr>
                <w:color w:val="000000" w:themeColor="text1"/>
              </w:rPr>
            </w:pPr>
            <w:r w:rsidRPr="00687B52">
              <w:rPr>
                <w:rFonts w:hint="eastAsia"/>
                <w:color w:val="000000" w:themeColor="text1"/>
              </w:rPr>
              <w:t>第</w:t>
            </w:r>
            <w:r w:rsidRPr="00687B52">
              <w:rPr>
                <w:rFonts w:hint="eastAsia"/>
                <w:color w:val="000000" w:themeColor="text1"/>
              </w:rPr>
              <w:t>3.0.14</w:t>
            </w:r>
            <w:r w:rsidRPr="00687B52">
              <w:rPr>
                <w:rFonts w:hint="eastAsia"/>
                <w:color w:val="000000" w:themeColor="text1"/>
              </w:rPr>
              <w:t>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vMerge w:val="restar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1.1.4</w:t>
            </w:r>
          </w:p>
        </w:tc>
        <w:tc>
          <w:tcPr>
            <w:tcW w:w="2533" w:type="pct"/>
            <w:gridSpan w:val="7"/>
            <w:shd w:val="clear" w:color="auto" w:fill="auto"/>
            <w:vAlign w:val="center"/>
          </w:tcPr>
          <w:p w:rsidR="000C2455" w:rsidRPr="00687B52" w:rsidRDefault="000C2455" w:rsidP="003E1D2A">
            <w:pPr>
              <w:pStyle w:val="a7"/>
              <w:spacing w:line="300" w:lineRule="exact"/>
              <w:jc w:val="left"/>
              <w:rPr>
                <w:color w:val="000000" w:themeColor="text1"/>
              </w:rPr>
            </w:pPr>
            <w:r w:rsidRPr="00687B52">
              <w:rPr>
                <w:rFonts w:hint="eastAsia"/>
                <w:color w:val="000000" w:themeColor="text1"/>
              </w:rPr>
              <w:t>硫酸制造企业卫生防护距离如下：</w:t>
            </w:r>
          </w:p>
        </w:tc>
        <w:tc>
          <w:tcPr>
            <w:tcW w:w="943" w:type="pct"/>
            <w:vMerge w:val="restart"/>
            <w:shd w:val="clear" w:color="auto" w:fill="auto"/>
            <w:vAlign w:val="center"/>
          </w:tcPr>
          <w:p w:rsidR="000C2455" w:rsidRPr="00687B52" w:rsidRDefault="000C2455" w:rsidP="003E1D2A">
            <w:pPr>
              <w:pStyle w:val="a7"/>
              <w:spacing w:line="300" w:lineRule="exact"/>
              <w:rPr>
                <w:color w:val="000000" w:themeColor="text1"/>
              </w:rPr>
            </w:pPr>
            <w:r w:rsidRPr="00687B52">
              <w:rPr>
                <w:rFonts w:hint="eastAsia"/>
                <w:color w:val="000000" w:themeColor="text1"/>
              </w:rPr>
              <w:t>《基础化学原料制造业卫生防护距离第</w:t>
            </w:r>
            <w:r w:rsidRPr="00687B52">
              <w:rPr>
                <w:rFonts w:hint="eastAsia"/>
                <w:color w:val="000000" w:themeColor="text1"/>
              </w:rPr>
              <w:t>3</w:t>
            </w:r>
            <w:r w:rsidRPr="00687B52">
              <w:rPr>
                <w:rFonts w:hint="eastAsia"/>
                <w:color w:val="000000" w:themeColor="text1"/>
              </w:rPr>
              <w:t>部分：硫酸制造业》</w:t>
            </w:r>
          </w:p>
          <w:p w:rsidR="000C2455" w:rsidRPr="00687B52" w:rsidRDefault="000C2455" w:rsidP="003E1D2A">
            <w:pPr>
              <w:pStyle w:val="a7"/>
              <w:spacing w:line="300" w:lineRule="exact"/>
              <w:rPr>
                <w:color w:val="000000" w:themeColor="text1"/>
              </w:rPr>
            </w:pPr>
            <w:r w:rsidRPr="00687B52">
              <w:rPr>
                <w:rFonts w:hint="eastAsia"/>
                <w:color w:val="000000" w:themeColor="text1"/>
              </w:rPr>
              <w:t>GB/T 18071.3-2012</w:t>
            </w:r>
          </w:p>
          <w:p w:rsidR="000C2455" w:rsidRPr="00687B52" w:rsidRDefault="000C2455" w:rsidP="003E1D2A">
            <w:pPr>
              <w:pStyle w:val="a7"/>
              <w:spacing w:line="300" w:lineRule="exact"/>
              <w:rPr>
                <w:color w:val="000000" w:themeColor="text1"/>
              </w:rPr>
            </w:pPr>
          </w:p>
        </w:tc>
        <w:tc>
          <w:tcPr>
            <w:tcW w:w="1159" w:type="pct"/>
            <w:vMerge w:val="restart"/>
            <w:shd w:val="clear" w:color="auto" w:fill="auto"/>
            <w:vAlign w:val="center"/>
          </w:tcPr>
          <w:p w:rsidR="000C2455" w:rsidRPr="00687B52" w:rsidRDefault="000C2455" w:rsidP="003E1D2A">
            <w:pPr>
              <w:pStyle w:val="a7"/>
              <w:spacing w:line="300" w:lineRule="exact"/>
              <w:jc w:val="both"/>
              <w:rPr>
                <w:color w:val="000000" w:themeColor="text1"/>
              </w:rPr>
            </w:pPr>
          </w:p>
        </w:tc>
      </w:tr>
      <w:tr w:rsidR="000C2455" w:rsidRPr="00687B52" w:rsidTr="00406A19">
        <w:tc>
          <w:tcPr>
            <w:tcW w:w="365" w:type="pct"/>
            <w:vMerge/>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p>
        </w:tc>
        <w:tc>
          <w:tcPr>
            <w:tcW w:w="529" w:type="pct"/>
            <w:shd w:val="clear" w:color="auto" w:fill="auto"/>
            <w:vAlign w:val="center"/>
          </w:tcPr>
          <w:p w:rsidR="000C2455" w:rsidRPr="00687B52" w:rsidRDefault="000C2455" w:rsidP="003E1D2A">
            <w:pPr>
              <w:pStyle w:val="a7"/>
              <w:spacing w:line="300" w:lineRule="exact"/>
              <w:rPr>
                <w:color w:val="000000" w:themeColor="text1"/>
                <w:sz w:val="21"/>
              </w:rPr>
            </w:pPr>
            <w:r w:rsidRPr="00687B52">
              <w:rPr>
                <w:rFonts w:hint="eastAsia"/>
                <w:color w:val="000000" w:themeColor="text1"/>
                <w:sz w:val="21"/>
              </w:rPr>
              <w:t>生产规模</w:t>
            </w:r>
            <w:r w:rsidRPr="00687B52">
              <w:rPr>
                <w:rFonts w:hint="eastAsia"/>
                <w:color w:val="000000" w:themeColor="text1"/>
                <w:sz w:val="21"/>
              </w:rPr>
              <w:t>kt/a</w:t>
            </w:r>
          </w:p>
        </w:tc>
        <w:tc>
          <w:tcPr>
            <w:tcW w:w="1285" w:type="pct"/>
            <w:gridSpan w:val="5"/>
            <w:shd w:val="clear" w:color="auto" w:fill="auto"/>
            <w:vAlign w:val="center"/>
          </w:tcPr>
          <w:p w:rsidR="000C2455" w:rsidRPr="00687B52" w:rsidRDefault="000C2455" w:rsidP="003E1D2A">
            <w:pPr>
              <w:pStyle w:val="a7"/>
              <w:spacing w:line="300" w:lineRule="exact"/>
              <w:rPr>
                <w:color w:val="000000" w:themeColor="text1"/>
                <w:sz w:val="21"/>
              </w:rPr>
            </w:pPr>
            <w:r w:rsidRPr="00687B52">
              <w:rPr>
                <w:rFonts w:hint="eastAsia"/>
                <w:color w:val="000000" w:themeColor="text1"/>
                <w:sz w:val="21"/>
              </w:rPr>
              <w:t>所在地区近五年平均风速</w:t>
            </w:r>
            <w:r w:rsidRPr="00687B52">
              <w:rPr>
                <w:rFonts w:hint="eastAsia"/>
                <w:color w:val="000000" w:themeColor="text1"/>
                <w:sz w:val="21"/>
              </w:rPr>
              <w:t>m/s</w:t>
            </w:r>
          </w:p>
        </w:tc>
        <w:tc>
          <w:tcPr>
            <w:tcW w:w="719" w:type="pct"/>
            <w:shd w:val="clear" w:color="auto" w:fill="auto"/>
            <w:vAlign w:val="center"/>
          </w:tcPr>
          <w:p w:rsidR="000C2455" w:rsidRPr="00687B52" w:rsidRDefault="000C2455" w:rsidP="003E1D2A">
            <w:pPr>
              <w:pStyle w:val="a7"/>
              <w:spacing w:line="300" w:lineRule="exact"/>
              <w:rPr>
                <w:color w:val="000000" w:themeColor="text1"/>
                <w:sz w:val="21"/>
              </w:rPr>
            </w:pPr>
            <w:r w:rsidRPr="00687B52">
              <w:rPr>
                <w:rFonts w:hint="eastAsia"/>
                <w:color w:val="000000" w:themeColor="text1"/>
                <w:sz w:val="21"/>
              </w:rPr>
              <w:t>卫生防护距离</w:t>
            </w:r>
            <w:r w:rsidRPr="00687B52">
              <w:rPr>
                <w:rFonts w:hint="eastAsia"/>
                <w:color w:val="000000" w:themeColor="text1"/>
                <w:sz w:val="21"/>
              </w:rPr>
              <w:t>m</w:t>
            </w:r>
          </w:p>
        </w:tc>
        <w:tc>
          <w:tcPr>
            <w:tcW w:w="943" w:type="pct"/>
            <w:vMerge/>
            <w:shd w:val="clear" w:color="auto" w:fill="auto"/>
            <w:vAlign w:val="center"/>
          </w:tcPr>
          <w:p w:rsidR="000C2455" w:rsidRPr="00687B52" w:rsidRDefault="000C2455" w:rsidP="003E1D2A">
            <w:pPr>
              <w:pStyle w:val="a7"/>
              <w:spacing w:line="300" w:lineRule="exact"/>
              <w:rPr>
                <w:color w:val="000000" w:themeColor="text1"/>
              </w:rPr>
            </w:pPr>
          </w:p>
        </w:tc>
        <w:tc>
          <w:tcPr>
            <w:tcW w:w="1159" w:type="pct"/>
            <w:vMerge/>
            <w:shd w:val="clear" w:color="auto" w:fill="auto"/>
            <w:vAlign w:val="center"/>
          </w:tcPr>
          <w:p w:rsidR="000C2455" w:rsidRPr="00687B52" w:rsidRDefault="000C2455" w:rsidP="003E1D2A">
            <w:pPr>
              <w:pStyle w:val="a7"/>
              <w:spacing w:line="300" w:lineRule="exact"/>
              <w:rPr>
                <w:color w:val="000000" w:themeColor="text1"/>
              </w:rPr>
            </w:pPr>
          </w:p>
        </w:tc>
      </w:tr>
      <w:tr w:rsidR="000C2455" w:rsidRPr="00687B52" w:rsidTr="00406A19">
        <w:tc>
          <w:tcPr>
            <w:tcW w:w="365" w:type="pct"/>
            <w:vMerge/>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p>
        </w:tc>
        <w:tc>
          <w:tcPr>
            <w:tcW w:w="529" w:type="pct"/>
            <w:vMerge w:val="restart"/>
            <w:shd w:val="clear" w:color="auto" w:fill="auto"/>
            <w:vAlign w:val="center"/>
          </w:tcPr>
          <w:p w:rsidR="000C2455" w:rsidRPr="00687B52" w:rsidRDefault="000C2455" w:rsidP="003E1D2A">
            <w:pPr>
              <w:pStyle w:val="a7"/>
              <w:spacing w:line="300" w:lineRule="exact"/>
              <w:rPr>
                <w:color w:val="000000" w:themeColor="text1"/>
                <w:sz w:val="21"/>
              </w:rPr>
            </w:pPr>
            <w:r w:rsidRPr="00687B52">
              <w:rPr>
                <w:rFonts w:hint="eastAsia"/>
                <w:color w:val="000000" w:themeColor="text1"/>
                <w:sz w:val="21"/>
              </w:rPr>
              <w:t>＜</w:t>
            </w:r>
            <w:r w:rsidRPr="00687B52">
              <w:rPr>
                <w:rFonts w:hint="eastAsia"/>
                <w:color w:val="000000" w:themeColor="text1"/>
                <w:sz w:val="21"/>
              </w:rPr>
              <w:t>500</w:t>
            </w:r>
          </w:p>
        </w:tc>
        <w:tc>
          <w:tcPr>
            <w:tcW w:w="1285" w:type="pct"/>
            <w:gridSpan w:val="5"/>
            <w:shd w:val="clear" w:color="auto" w:fill="auto"/>
            <w:vAlign w:val="center"/>
          </w:tcPr>
          <w:p w:rsidR="000C2455" w:rsidRPr="00687B52" w:rsidRDefault="000C2455" w:rsidP="003E1D2A">
            <w:pPr>
              <w:pStyle w:val="a7"/>
              <w:spacing w:line="300" w:lineRule="exact"/>
              <w:rPr>
                <w:color w:val="000000" w:themeColor="text1"/>
                <w:sz w:val="21"/>
              </w:rPr>
            </w:pPr>
            <w:r w:rsidRPr="00687B52">
              <w:rPr>
                <w:rFonts w:hint="eastAsia"/>
                <w:color w:val="000000" w:themeColor="text1"/>
                <w:sz w:val="21"/>
              </w:rPr>
              <w:t>＜</w:t>
            </w:r>
            <w:r w:rsidRPr="00687B52">
              <w:rPr>
                <w:rFonts w:hint="eastAsia"/>
                <w:color w:val="000000" w:themeColor="text1"/>
                <w:sz w:val="21"/>
              </w:rPr>
              <w:t>2</w:t>
            </w:r>
          </w:p>
        </w:tc>
        <w:tc>
          <w:tcPr>
            <w:tcW w:w="719" w:type="pct"/>
            <w:shd w:val="clear" w:color="auto" w:fill="auto"/>
            <w:vAlign w:val="center"/>
          </w:tcPr>
          <w:p w:rsidR="000C2455" w:rsidRPr="00687B52" w:rsidRDefault="000C2455" w:rsidP="003E1D2A">
            <w:pPr>
              <w:pStyle w:val="a7"/>
              <w:spacing w:line="300" w:lineRule="exact"/>
              <w:rPr>
                <w:color w:val="000000" w:themeColor="text1"/>
                <w:sz w:val="21"/>
              </w:rPr>
            </w:pPr>
            <w:r w:rsidRPr="00687B52">
              <w:rPr>
                <w:rFonts w:hint="eastAsia"/>
                <w:color w:val="000000" w:themeColor="text1"/>
                <w:sz w:val="21"/>
              </w:rPr>
              <w:t>400</w:t>
            </w:r>
          </w:p>
        </w:tc>
        <w:tc>
          <w:tcPr>
            <w:tcW w:w="943" w:type="pct"/>
            <w:vMerge/>
            <w:shd w:val="clear" w:color="auto" w:fill="auto"/>
            <w:vAlign w:val="center"/>
          </w:tcPr>
          <w:p w:rsidR="000C2455" w:rsidRPr="00687B52" w:rsidRDefault="000C2455" w:rsidP="003E1D2A">
            <w:pPr>
              <w:pStyle w:val="a7"/>
              <w:spacing w:line="300" w:lineRule="exact"/>
              <w:rPr>
                <w:color w:val="000000" w:themeColor="text1"/>
              </w:rPr>
            </w:pPr>
          </w:p>
        </w:tc>
        <w:tc>
          <w:tcPr>
            <w:tcW w:w="1159" w:type="pct"/>
            <w:vMerge/>
            <w:shd w:val="clear" w:color="auto" w:fill="auto"/>
            <w:vAlign w:val="center"/>
          </w:tcPr>
          <w:p w:rsidR="000C2455" w:rsidRPr="00687B52" w:rsidRDefault="000C2455" w:rsidP="003E1D2A">
            <w:pPr>
              <w:pStyle w:val="a7"/>
              <w:spacing w:line="300" w:lineRule="exact"/>
              <w:rPr>
                <w:color w:val="000000" w:themeColor="text1"/>
              </w:rPr>
            </w:pPr>
          </w:p>
        </w:tc>
      </w:tr>
      <w:tr w:rsidR="000C2455" w:rsidRPr="00687B52" w:rsidTr="00406A19">
        <w:tc>
          <w:tcPr>
            <w:tcW w:w="365" w:type="pct"/>
            <w:vMerge/>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p>
        </w:tc>
        <w:tc>
          <w:tcPr>
            <w:tcW w:w="529" w:type="pct"/>
            <w:vMerge/>
            <w:shd w:val="clear" w:color="auto" w:fill="auto"/>
            <w:vAlign w:val="center"/>
          </w:tcPr>
          <w:p w:rsidR="000C2455" w:rsidRPr="00687B52" w:rsidRDefault="000C2455" w:rsidP="003E1D2A">
            <w:pPr>
              <w:pStyle w:val="a7"/>
              <w:spacing w:line="300" w:lineRule="exact"/>
              <w:rPr>
                <w:color w:val="000000" w:themeColor="text1"/>
                <w:sz w:val="21"/>
              </w:rPr>
            </w:pPr>
          </w:p>
        </w:tc>
        <w:tc>
          <w:tcPr>
            <w:tcW w:w="1285" w:type="pct"/>
            <w:gridSpan w:val="5"/>
            <w:shd w:val="clear" w:color="auto" w:fill="auto"/>
            <w:vAlign w:val="center"/>
          </w:tcPr>
          <w:p w:rsidR="000C2455" w:rsidRPr="00687B52" w:rsidRDefault="000C2455" w:rsidP="003E1D2A">
            <w:pPr>
              <w:pStyle w:val="a7"/>
              <w:spacing w:line="300" w:lineRule="exact"/>
              <w:rPr>
                <w:color w:val="000000" w:themeColor="text1"/>
                <w:sz w:val="21"/>
              </w:rPr>
            </w:pPr>
            <w:r w:rsidRPr="00687B52">
              <w:rPr>
                <w:rFonts w:hint="eastAsia"/>
                <w:color w:val="000000" w:themeColor="text1"/>
                <w:sz w:val="21"/>
              </w:rPr>
              <w:t>2~4</w:t>
            </w:r>
          </w:p>
        </w:tc>
        <w:tc>
          <w:tcPr>
            <w:tcW w:w="719" w:type="pct"/>
            <w:shd w:val="clear" w:color="auto" w:fill="auto"/>
            <w:vAlign w:val="center"/>
          </w:tcPr>
          <w:p w:rsidR="000C2455" w:rsidRPr="00687B52" w:rsidRDefault="000C2455" w:rsidP="003E1D2A">
            <w:pPr>
              <w:pStyle w:val="a7"/>
              <w:spacing w:line="300" w:lineRule="exact"/>
              <w:rPr>
                <w:color w:val="000000" w:themeColor="text1"/>
                <w:sz w:val="21"/>
              </w:rPr>
            </w:pPr>
            <w:r w:rsidRPr="00687B52">
              <w:rPr>
                <w:rFonts w:hint="eastAsia"/>
                <w:color w:val="000000" w:themeColor="text1"/>
                <w:sz w:val="21"/>
              </w:rPr>
              <w:t>300</w:t>
            </w:r>
          </w:p>
        </w:tc>
        <w:tc>
          <w:tcPr>
            <w:tcW w:w="943" w:type="pct"/>
            <w:vMerge/>
            <w:shd w:val="clear" w:color="auto" w:fill="auto"/>
            <w:vAlign w:val="center"/>
          </w:tcPr>
          <w:p w:rsidR="000C2455" w:rsidRPr="00687B52" w:rsidRDefault="000C2455" w:rsidP="003E1D2A">
            <w:pPr>
              <w:pStyle w:val="a7"/>
              <w:spacing w:line="300" w:lineRule="exact"/>
              <w:rPr>
                <w:color w:val="000000" w:themeColor="text1"/>
              </w:rPr>
            </w:pPr>
          </w:p>
        </w:tc>
        <w:tc>
          <w:tcPr>
            <w:tcW w:w="1159" w:type="pct"/>
            <w:vMerge/>
            <w:shd w:val="clear" w:color="auto" w:fill="auto"/>
            <w:vAlign w:val="center"/>
          </w:tcPr>
          <w:p w:rsidR="000C2455" w:rsidRPr="00687B52" w:rsidRDefault="000C2455" w:rsidP="003E1D2A">
            <w:pPr>
              <w:pStyle w:val="a7"/>
              <w:spacing w:line="300" w:lineRule="exact"/>
              <w:rPr>
                <w:color w:val="000000" w:themeColor="text1"/>
              </w:rPr>
            </w:pPr>
          </w:p>
        </w:tc>
      </w:tr>
      <w:tr w:rsidR="000C2455" w:rsidRPr="00687B52" w:rsidTr="00406A19">
        <w:tc>
          <w:tcPr>
            <w:tcW w:w="365" w:type="pct"/>
            <w:vMerge/>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p>
        </w:tc>
        <w:tc>
          <w:tcPr>
            <w:tcW w:w="529" w:type="pct"/>
            <w:vMerge/>
            <w:shd w:val="clear" w:color="auto" w:fill="auto"/>
            <w:vAlign w:val="center"/>
          </w:tcPr>
          <w:p w:rsidR="000C2455" w:rsidRPr="00687B52" w:rsidRDefault="000C2455" w:rsidP="003E1D2A">
            <w:pPr>
              <w:pStyle w:val="a7"/>
              <w:spacing w:line="300" w:lineRule="exact"/>
              <w:rPr>
                <w:color w:val="000000" w:themeColor="text1"/>
                <w:sz w:val="21"/>
              </w:rPr>
            </w:pPr>
          </w:p>
        </w:tc>
        <w:tc>
          <w:tcPr>
            <w:tcW w:w="1285" w:type="pct"/>
            <w:gridSpan w:val="5"/>
            <w:shd w:val="clear" w:color="auto" w:fill="auto"/>
            <w:vAlign w:val="center"/>
          </w:tcPr>
          <w:p w:rsidR="000C2455" w:rsidRPr="00687B52" w:rsidRDefault="000C2455" w:rsidP="003E1D2A">
            <w:pPr>
              <w:pStyle w:val="a7"/>
              <w:spacing w:line="300" w:lineRule="exact"/>
              <w:rPr>
                <w:color w:val="000000" w:themeColor="text1"/>
                <w:sz w:val="21"/>
              </w:rPr>
            </w:pPr>
            <w:r w:rsidRPr="00687B52">
              <w:rPr>
                <w:rFonts w:hint="eastAsia"/>
                <w:color w:val="000000" w:themeColor="text1"/>
                <w:sz w:val="21"/>
              </w:rPr>
              <w:t>＞</w:t>
            </w:r>
            <w:r w:rsidRPr="00687B52">
              <w:rPr>
                <w:rFonts w:hint="eastAsia"/>
                <w:color w:val="000000" w:themeColor="text1"/>
                <w:sz w:val="21"/>
              </w:rPr>
              <w:t>4</w:t>
            </w:r>
          </w:p>
        </w:tc>
        <w:tc>
          <w:tcPr>
            <w:tcW w:w="719" w:type="pct"/>
            <w:shd w:val="clear" w:color="auto" w:fill="auto"/>
            <w:vAlign w:val="center"/>
          </w:tcPr>
          <w:p w:rsidR="000C2455" w:rsidRPr="00687B52" w:rsidRDefault="000C2455" w:rsidP="003E1D2A">
            <w:pPr>
              <w:pStyle w:val="a7"/>
              <w:spacing w:line="300" w:lineRule="exact"/>
              <w:rPr>
                <w:color w:val="000000" w:themeColor="text1"/>
                <w:sz w:val="21"/>
              </w:rPr>
            </w:pPr>
            <w:r w:rsidRPr="00687B52">
              <w:rPr>
                <w:rFonts w:hint="eastAsia"/>
                <w:color w:val="000000" w:themeColor="text1"/>
                <w:sz w:val="21"/>
              </w:rPr>
              <w:t>200</w:t>
            </w:r>
          </w:p>
        </w:tc>
        <w:tc>
          <w:tcPr>
            <w:tcW w:w="943" w:type="pct"/>
            <w:vMerge/>
            <w:shd w:val="clear" w:color="auto" w:fill="auto"/>
            <w:vAlign w:val="center"/>
          </w:tcPr>
          <w:p w:rsidR="000C2455" w:rsidRPr="00687B52" w:rsidRDefault="000C2455" w:rsidP="003E1D2A">
            <w:pPr>
              <w:pStyle w:val="a7"/>
              <w:spacing w:line="300" w:lineRule="exact"/>
              <w:rPr>
                <w:color w:val="000000" w:themeColor="text1"/>
              </w:rPr>
            </w:pPr>
          </w:p>
        </w:tc>
        <w:tc>
          <w:tcPr>
            <w:tcW w:w="1159" w:type="pct"/>
            <w:vMerge/>
            <w:shd w:val="clear" w:color="auto" w:fill="auto"/>
            <w:vAlign w:val="center"/>
          </w:tcPr>
          <w:p w:rsidR="000C2455" w:rsidRPr="00687B52" w:rsidRDefault="000C2455" w:rsidP="003E1D2A">
            <w:pPr>
              <w:pStyle w:val="a7"/>
              <w:spacing w:line="300" w:lineRule="exact"/>
              <w:rPr>
                <w:color w:val="000000" w:themeColor="text1"/>
              </w:rPr>
            </w:pPr>
          </w:p>
        </w:tc>
      </w:tr>
      <w:tr w:rsidR="000C2455" w:rsidRPr="00687B52" w:rsidTr="00406A19">
        <w:tc>
          <w:tcPr>
            <w:tcW w:w="365" w:type="pct"/>
            <w:vMerge/>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p>
        </w:tc>
        <w:tc>
          <w:tcPr>
            <w:tcW w:w="529" w:type="pct"/>
            <w:vMerge w:val="restart"/>
            <w:shd w:val="clear" w:color="auto" w:fill="auto"/>
            <w:vAlign w:val="center"/>
          </w:tcPr>
          <w:p w:rsidR="000C2455" w:rsidRPr="00687B52" w:rsidRDefault="000C2455" w:rsidP="003E1D2A">
            <w:pPr>
              <w:pStyle w:val="a7"/>
              <w:spacing w:line="300" w:lineRule="exact"/>
              <w:rPr>
                <w:color w:val="000000" w:themeColor="text1"/>
                <w:sz w:val="21"/>
              </w:rPr>
            </w:pPr>
            <w:r w:rsidRPr="00687B52">
              <w:rPr>
                <w:rFonts w:hint="eastAsia"/>
                <w:color w:val="000000" w:themeColor="text1"/>
                <w:sz w:val="21"/>
              </w:rPr>
              <w:t>≥</w:t>
            </w:r>
            <w:r w:rsidRPr="00687B52">
              <w:rPr>
                <w:rFonts w:hint="eastAsia"/>
                <w:color w:val="000000" w:themeColor="text1"/>
                <w:sz w:val="21"/>
              </w:rPr>
              <w:t>500</w:t>
            </w:r>
          </w:p>
        </w:tc>
        <w:tc>
          <w:tcPr>
            <w:tcW w:w="1285" w:type="pct"/>
            <w:gridSpan w:val="5"/>
            <w:shd w:val="clear" w:color="auto" w:fill="auto"/>
            <w:vAlign w:val="center"/>
          </w:tcPr>
          <w:p w:rsidR="000C2455" w:rsidRPr="00687B52" w:rsidRDefault="000C2455" w:rsidP="003E1D2A">
            <w:pPr>
              <w:pStyle w:val="a7"/>
              <w:spacing w:line="300" w:lineRule="exact"/>
              <w:rPr>
                <w:color w:val="000000" w:themeColor="text1"/>
                <w:sz w:val="21"/>
              </w:rPr>
            </w:pPr>
            <w:r w:rsidRPr="00687B52">
              <w:rPr>
                <w:rFonts w:hint="eastAsia"/>
                <w:color w:val="000000" w:themeColor="text1"/>
                <w:sz w:val="21"/>
              </w:rPr>
              <w:t>＜</w:t>
            </w:r>
            <w:r w:rsidRPr="00687B52">
              <w:rPr>
                <w:rFonts w:hint="eastAsia"/>
                <w:color w:val="000000" w:themeColor="text1"/>
                <w:sz w:val="21"/>
              </w:rPr>
              <w:t>2</w:t>
            </w:r>
          </w:p>
        </w:tc>
        <w:tc>
          <w:tcPr>
            <w:tcW w:w="719" w:type="pct"/>
            <w:shd w:val="clear" w:color="auto" w:fill="auto"/>
            <w:vAlign w:val="center"/>
          </w:tcPr>
          <w:p w:rsidR="000C2455" w:rsidRPr="00687B52" w:rsidRDefault="000C2455" w:rsidP="003E1D2A">
            <w:pPr>
              <w:pStyle w:val="a7"/>
              <w:spacing w:line="300" w:lineRule="exact"/>
              <w:rPr>
                <w:color w:val="000000" w:themeColor="text1"/>
                <w:sz w:val="21"/>
              </w:rPr>
            </w:pPr>
            <w:r w:rsidRPr="00687B52">
              <w:rPr>
                <w:rFonts w:hint="eastAsia"/>
                <w:color w:val="000000" w:themeColor="text1"/>
                <w:sz w:val="21"/>
              </w:rPr>
              <w:t>500</w:t>
            </w:r>
          </w:p>
        </w:tc>
        <w:tc>
          <w:tcPr>
            <w:tcW w:w="943" w:type="pct"/>
            <w:vMerge/>
            <w:shd w:val="clear" w:color="auto" w:fill="auto"/>
            <w:vAlign w:val="center"/>
          </w:tcPr>
          <w:p w:rsidR="000C2455" w:rsidRPr="00687B52" w:rsidRDefault="000C2455" w:rsidP="003E1D2A">
            <w:pPr>
              <w:pStyle w:val="a7"/>
              <w:spacing w:line="300" w:lineRule="exact"/>
              <w:rPr>
                <w:color w:val="000000" w:themeColor="text1"/>
              </w:rPr>
            </w:pPr>
          </w:p>
        </w:tc>
        <w:tc>
          <w:tcPr>
            <w:tcW w:w="1159" w:type="pct"/>
            <w:vMerge/>
            <w:shd w:val="clear" w:color="auto" w:fill="auto"/>
            <w:vAlign w:val="center"/>
          </w:tcPr>
          <w:p w:rsidR="000C2455" w:rsidRPr="00687B52" w:rsidRDefault="000C2455" w:rsidP="003E1D2A">
            <w:pPr>
              <w:pStyle w:val="a7"/>
              <w:spacing w:line="300" w:lineRule="exact"/>
              <w:rPr>
                <w:color w:val="000000" w:themeColor="text1"/>
              </w:rPr>
            </w:pPr>
          </w:p>
        </w:tc>
      </w:tr>
      <w:tr w:rsidR="000C2455" w:rsidRPr="00687B52" w:rsidTr="00406A19">
        <w:tc>
          <w:tcPr>
            <w:tcW w:w="365" w:type="pct"/>
            <w:vMerge/>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p>
        </w:tc>
        <w:tc>
          <w:tcPr>
            <w:tcW w:w="529" w:type="pct"/>
            <w:vMerge/>
            <w:shd w:val="clear" w:color="auto" w:fill="auto"/>
            <w:vAlign w:val="center"/>
          </w:tcPr>
          <w:p w:rsidR="000C2455" w:rsidRPr="00687B52" w:rsidRDefault="000C2455" w:rsidP="003E1D2A">
            <w:pPr>
              <w:pStyle w:val="a7"/>
              <w:spacing w:line="300" w:lineRule="exact"/>
              <w:rPr>
                <w:color w:val="000000" w:themeColor="text1"/>
                <w:sz w:val="21"/>
              </w:rPr>
            </w:pPr>
          </w:p>
        </w:tc>
        <w:tc>
          <w:tcPr>
            <w:tcW w:w="1285" w:type="pct"/>
            <w:gridSpan w:val="5"/>
            <w:shd w:val="clear" w:color="auto" w:fill="auto"/>
            <w:vAlign w:val="center"/>
          </w:tcPr>
          <w:p w:rsidR="000C2455" w:rsidRPr="00687B52" w:rsidRDefault="000C2455" w:rsidP="003E1D2A">
            <w:pPr>
              <w:pStyle w:val="a7"/>
              <w:spacing w:line="300" w:lineRule="exact"/>
              <w:rPr>
                <w:color w:val="000000" w:themeColor="text1"/>
                <w:sz w:val="21"/>
              </w:rPr>
            </w:pPr>
            <w:r w:rsidRPr="00687B52">
              <w:rPr>
                <w:rFonts w:hint="eastAsia"/>
                <w:color w:val="000000" w:themeColor="text1"/>
                <w:sz w:val="21"/>
              </w:rPr>
              <w:t>2~4</w:t>
            </w:r>
          </w:p>
        </w:tc>
        <w:tc>
          <w:tcPr>
            <w:tcW w:w="719" w:type="pct"/>
            <w:shd w:val="clear" w:color="auto" w:fill="auto"/>
            <w:vAlign w:val="center"/>
          </w:tcPr>
          <w:p w:rsidR="000C2455" w:rsidRPr="00687B52" w:rsidRDefault="000C2455" w:rsidP="003E1D2A">
            <w:pPr>
              <w:pStyle w:val="a7"/>
              <w:spacing w:line="300" w:lineRule="exact"/>
              <w:rPr>
                <w:color w:val="000000" w:themeColor="text1"/>
                <w:sz w:val="21"/>
              </w:rPr>
            </w:pPr>
            <w:r w:rsidRPr="00687B52">
              <w:rPr>
                <w:rFonts w:hint="eastAsia"/>
                <w:color w:val="000000" w:themeColor="text1"/>
                <w:sz w:val="21"/>
              </w:rPr>
              <w:t>400</w:t>
            </w:r>
          </w:p>
        </w:tc>
        <w:tc>
          <w:tcPr>
            <w:tcW w:w="943" w:type="pct"/>
            <w:vMerge/>
            <w:shd w:val="clear" w:color="auto" w:fill="auto"/>
            <w:vAlign w:val="center"/>
          </w:tcPr>
          <w:p w:rsidR="000C2455" w:rsidRPr="00687B52" w:rsidRDefault="000C2455" w:rsidP="003E1D2A">
            <w:pPr>
              <w:pStyle w:val="a7"/>
              <w:spacing w:line="300" w:lineRule="exact"/>
              <w:rPr>
                <w:color w:val="000000" w:themeColor="text1"/>
              </w:rPr>
            </w:pPr>
          </w:p>
        </w:tc>
        <w:tc>
          <w:tcPr>
            <w:tcW w:w="1159" w:type="pct"/>
            <w:vMerge/>
            <w:shd w:val="clear" w:color="auto" w:fill="auto"/>
            <w:vAlign w:val="center"/>
          </w:tcPr>
          <w:p w:rsidR="000C2455" w:rsidRPr="00687B52" w:rsidRDefault="000C2455" w:rsidP="003E1D2A">
            <w:pPr>
              <w:pStyle w:val="a7"/>
              <w:spacing w:line="300" w:lineRule="exact"/>
              <w:rPr>
                <w:color w:val="000000" w:themeColor="text1"/>
              </w:rPr>
            </w:pPr>
          </w:p>
        </w:tc>
      </w:tr>
      <w:tr w:rsidR="000C2455" w:rsidRPr="00687B52" w:rsidTr="00406A19">
        <w:tc>
          <w:tcPr>
            <w:tcW w:w="365" w:type="pct"/>
            <w:vMerge/>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p>
        </w:tc>
        <w:tc>
          <w:tcPr>
            <w:tcW w:w="529" w:type="pct"/>
            <w:vMerge/>
            <w:shd w:val="clear" w:color="auto" w:fill="auto"/>
            <w:vAlign w:val="center"/>
          </w:tcPr>
          <w:p w:rsidR="000C2455" w:rsidRPr="00687B52" w:rsidRDefault="000C2455" w:rsidP="003E1D2A">
            <w:pPr>
              <w:pStyle w:val="a7"/>
              <w:spacing w:line="300" w:lineRule="exact"/>
              <w:rPr>
                <w:color w:val="000000" w:themeColor="text1"/>
                <w:sz w:val="21"/>
              </w:rPr>
            </w:pPr>
          </w:p>
        </w:tc>
        <w:tc>
          <w:tcPr>
            <w:tcW w:w="1285" w:type="pct"/>
            <w:gridSpan w:val="5"/>
            <w:shd w:val="clear" w:color="auto" w:fill="auto"/>
            <w:vAlign w:val="center"/>
          </w:tcPr>
          <w:p w:rsidR="000C2455" w:rsidRPr="00687B52" w:rsidRDefault="000C2455" w:rsidP="003E1D2A">
            <w:pPr>
              <w:pStyle w:val="a7"/>
              <w:spacing w:line="300" w:lineRule="exact"/>
              <w:rPr>
                <w:color w:val="000000" w:themeColor="text1"/>
                <w:sz w:val="21"/>
              </w:rPr>
            </w:pPr>
            <w:r w:rsidRPr="00687B52">
              <w:rPr>
                <w:rFonts w:hint="eastAsia"/>
                <w:color w:val="000000" w:themeColor="text1"/>
                <w:sz w:val="21"/>
              </w:rPr>
              <w:t>＞</w:t>
            </w:r>
            <w:r w:rsidRPr="00687B52">
              <w:rPr>
                <w:rFonts w:hint="eastAsia"/>
                <w:color w:val="000000" w:themeColor="text1"/>
                <w:sz w:val="21"/>
              </w:rPr>
              <w:t>4</w:t>
            </w:r>
          </w:p>
        </w:tc>
        <w:tc>
          <w:tcPr>
            <w:tcW w:w="719" w:type="pct"/>
            <w:shd w:val="clear" w:color="auto" w:fill="auto"/>
            <w:vAlign w:val="center"/>
          </w:tcPr>
          <w:p w:rsidR="000C2455" w:rsidRPr="00687B52" w:rsidRDefault="000C2455" w:rsidP="003E1D2A">
            <w:pPr>
              <w:pStyle w:val="a7"/>
              <w:spacing w:line="300" w:lineRule="exact"/>
              <w:rPr>
                <w:color w:val="000000" w:themeColor="text1"/>
                <w:sz w:val="21"/>
              </w:rPr>
            </w:pPr>
            <w:r w:rsidRPr="00687B52">
              <w:rPr>
                <w:rFonts w:hint="eastAsia"/>
                <w:color w:val="000000" w:themeColor="text1"/>
                <w:sz w:val="21"/>
              </w:rPr>
              <w:t>300</w:t>
            </w:r>
          </w:p>
        </w:tc>
        <w:tc>
          <w:tcPr>
            <w:tcW w:w="943" w:type="pct"/>
            <w:vMerge/>
            <w:shd w:val="clear" w:color="auto" w:fill="auto"/>
            <w:vAlign w:val="center"/>
          </w:tcPr>
          <w:p w:rsidR="000C2455" w:rsidRPr="00687B52" w:rsidRDefault="000C2455" w:rsidP="003E1D2A">
            <w:pPr>
              <w:pStyle w:val="a7"/>
              <w:spacing w:line="300" w:lineRule="exact"/>
              <w:rPr>
                <w:color w:val="000000" w:themeColor="text1"/>
              </w:rPr>
            </w:pPr>
          </w:p>
        </w:tc>
        <w:tc>
          <w:tcPr>
            <w:tcW w:w="1159" w:type="pct"/>
            <w:vMerge/>
            <w:shd w:val="clear" w:color="auto" w:fill="auto"/>
            <w:vAlign w:val="center"/>
          </w:tcPr>
          <w:p w:rsidR="000C2455" w:rsidRPr="00687B52" w:rsidRDefault="000C2455" w:rsidP="003E1D2A">
            <w:pPr>
              <w:pStyle w:val="a7"/>
              <w:spacing w:line="300" w:lineRule="exact"/>
              <w:rPr>
                <w:color w:val="000000" w:themeColor="text1"/>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1.1.5</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构成重大危险源的</w:t>
            </w:r>
            <w:r w:rsidRPr="00687B52">
              <w:rPr>
                <w:rFonts w:asciiTheme="minorEastAsia" w:eastAsiaTheme="minorEastAsia" w:hAnsiTheme="minorEastAsia" w:hint="eastAsia"/>
                <w:color w:val="000000" w:themeColor="text1"/>
                <w:szCs w:val="24"/>
              </w:rPr>
              <w:t>场所是否按《危险化学品重大危险源监督管理暂行规定》（安监总局令第40号令发布，第79号修订)）确定外部安全防护距离，并计算风险；下列敏感目标是否在安全防护距离之外，个人风险和社会风险是否可接受：</w:t>
            </w:r>
          </w:p>
          <w:p w:rsidR="000C2455" w:rsidRPr="00687B52" w:rsidRDefault="000C2455" w:rsidP="00D9787F">
            <w:pPr>
              <w:pStyle w:val="a7"/>
              <w:numPr>
                <w:ilvl w:val="0"/>
                <w:numId w:val="70"/>
              </w:numPr>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居民区、商业中心、公园等人口密集区域；</w:t>
            </w:r>
          </w:p>
          <w:p w:rsidR="000C2455" w:rsidRPr="00687B52" w:rsidRDefault="000C2455" w:rsidP="00D9787F">
            <w:pPr>
              <w:pStyle w:val="a7"/>
              <w:numPr>
                <w:ilvl w:val="0"/>
                <w:numId w:val="70"/>
              </w:numPr>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学校、医院、影剧院、体育场（馆）等公共设施；</w:t>
            </w:r>
          </w:p>
          <w:p w:rsidR="000C2455" w:rsidRPr="00687B52" w:rsidRDefault="000C2455" w:rsidP="00D9787F">
            <w:pPr>
              <w:pStyle w:val="a7"/>
              <w:numPr>
                <w:ilvl w:val="0"/>
                <w:numId w:val="70"/>
              </w:numPr>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供水水源、水厂及水源保护区；</w:t>
            </w:r>
          </w:p>
          <w:p w:rsidR="000C2455" w:rsidRPr="00687B52" w:rsidRDefault="000C2455" w:rsidP="00D9787F">
            <w:pPr>
              <w:pStyle w:val="a7"/>
              <w:numPr>
                <w:ilvl w:val="0"/>
                <w:numId w:val="70"/>
              </w:numPr>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车站、码头（按照国家规定，经批准专门从事危险化学品装卸作业的除外）、机场以及公路、铁路、水路交通干线、地铁风亭及出入口；</w:t>
            </w:r>
          </w:p>
          <w:p w:rsidR="000C2455" w:rsidRPr="00687B52" w:rsidRDefault="000C2455" w:rsidP="00D9787F">
            <w:pPr>
              <w:pStyle w:val="a7"/>
              <w:numPr>
                <w:ilvl w:val="0"/>
                <w:numId w:val="70"/>
              </w:numPr>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基本农田保护区、畜牧区、渔业水域和种子、种畜、水产苗种生产基；</w:t>
            </w:r>
          </w:p>
          <w:p w:rsidR="000C2455" w:rsidRPr="00687B52" w:rsidRDefault="000C2455" w:rsidP="00D9787F">
            <w:pPr>
              <w:pStyle w:val="a7"/>
              <w:numPr>
                <w:ilvl w:val="0"/>
                <w:numId w:val="70"/>
              </w:numPr>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河流、湖泊、风景名胜区和自然保护区；</w:t>
            </w:r>
          </w:p>
          <w:p w:rsidR="000C2455" w:rsidRPr="00687B52" w:rsidRDefault="000C2455" w:rsidP="00D9787F">
            <w:pPr>
              <w:pStyle w:val="a7"/>
              <w:numPr>
                <w:ilvl w:val="0"/>
                <w:numId w:val="70"/>
              </w:numPr>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军事禁区、军事管理区；</w:t>
            </w:r>
          </w:p>
          <w:p w:rsidR="000C2455" w:rsidRPr="00687B52" w:rsidRDefault="000C2455" w:rsidP="00D9787F">
            <w:pPr>
              <w:pStyle w:val="a7"/>
              <w:numPr>
                <w:ilvl w:val="0"/>
                <w:numId w:val="70"/>
              </w:numPr>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法律、行政法规规定予以保护的其他区域。</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《危险化学品安全管理条例》第十九条</w:t>
            </w:r>
          </w:p>
        </w:tc>
        <w:tc>
          <w:tcPr>
            <w:tcW w:w="1159" w:type="pct"/>
            <w:shd w:val="clear" w:color="auto" w:fill="auto"/>
            <w:vAlign w:val="center"/>
          </w:tcPr>
          <w:p w:rsidR="000C2455" w:rsidRPr="00687B52" w:rsidRDefault="000C2455" w:rsidP="003E1D2A">
            <w:pPr>
              <w:spacing w:line="300" w:lineRule="exact"/>
              <w:rPr>
                <w:color w:val="000000" w:themeColor="text1"/>
                <w:sz w:val="24"/>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1.1.6</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厂区总平面应按功能分区布置，可分为生产装置区、辅助生产区、公用工程设施区、仓储区和行政办公及生活服务区。辅助生产和公用工程设施也可布置在生产装置区内。</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化工企业总图运输设计规范</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GB50489-2009</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5.1.4</w:t>
            </w:r>
            <w:r w:rsidRPr="00687B52">
              <w:rPr>
                <w:rFonts w:asciiTheme="minorEastAsia" w:eastAsiaTheme="minorEastAsia" w:hAnsiTheme="minorEastAsia"/>
                <w:color w:val="000000" w:themeColor="text1"/>
                <w:szCs w:val="24"/>
              </w:rPr>
              <w:t>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1.1.7</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总平面布置应防止或减少有害气体、烟雾、粉尘、振动、噪声对周围环境的污染。</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化工企业总图运输设计规范</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GB50489-2009</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5.1.10</w:t>
            </w:r>
            <w:r w:rsidRPr="00687B52">
              <w:rPr>
                <w:rFonts w:asciiTheme="minorEastAsia" w:eastAsiaTheme="minorEastAsia" w:hAnsiTheme="minorEastAsia"/>
                <w:color w:val="000000" w:themeColor="text1"/>
                <w:szCs w:val="24"/>
              </w:rPr>
              <w:t>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1.1.8</w:t>
            </w:r>
          </w:p>
        </w:tc>
        <w:tc>
          <w:tcPr>
            <w:tcW w:w="2533" w:type="pct"/>
            <w:gridSpan w:val="7"/>
            <w:shd w:val="clear" w:color="auto" w:fill="auto"/>
            <w:vAlign w:val="center"/>
          </w:tcPr>
          <w:p w:rsidR="000C2455" w:rsidRPr="00687B52" w:rsidRDefault="000C2455" w:rsidP="003E1D2A">
            <w:pPr>
              <w:pStyle w:val="a7"/>
              <w:spacing w:line="300" w:lineRule="exact"/>
              <w:jc w:val="left"/>
              <w:rPr>
                <w:rFonts w:hAnsi="宋体"/>
                <w:color w:val="000000" w:themeColor="text1"/>
              </w:rPr>
            </w:pPr>
            <w:r w:rsidRPr="00687B52">
              <w:rPr>
                <w:rFonts w:asciiTheme="minorEastAsia" w:eastAsiaTheme="minorEastAsia" w:hAnsiTheme="minorEastAsia" w:hint="eastAsia"/>
                <w:color w:val="000000" w:themeColor="text1"/>
                <w:szCs w:val="24"/>
              </w:rPr>
              <w:t>厂房与周边建筑物的防火间距</w:t>
            </w:r>
            <w:r w:rsidRPr="00687B52">
              <w:rPr>
                <w:rFonts w:hAnsi="宋体" w:hint="eastAsia"/>
                <w:color w:val="000000" w:themeColor="text1"/>
              </w:rPr>
              <w:t>不应小于</w:t>
            </w:r>
            <w:r w:rsidRPr="00687B52">
              <w:rPr>
                <w:color w:val="000000" w:themeColor="text1"/>
              </w:rPr>
              <w:t>GB50016-20</w:t>
            </w:r>
            <w:r w:rsidRPr="00687B52">
              <w:rPr>
                <w:rFonts w:hint="eastAsia"/>
                <w:color w:val="000000" w:themeColor="text1"/>
              </w:rPr>
              <w:t>14</w:t>
            </w:r>
            <w:r w:rsidRPr="00687B52">
              <w:rPr>
                <w:rFonts w:hint="eastAsia"/>
                <w:color w:val="000000" w:themeColor="text1"/>
              </w:rPr>
              <w:t>第</w:t>
            </w:r>
            <w:r w:rsidRPr="00687B52">
              <w:rPr>
                <w:rFonts w:hint="eastAsia"/>
                <w:color w:val="000000" w:themeColor="text1"/>
              </w:rPr>
              <w:t>3.4.1</w:t>
            </w:r>
            <w:r w:rsidRPr="00687B52">
              <w:rPr>
                <w:rFonts w:hAnsi="宋体"/>
                <w:color w:val="000000" w:themeColor="text1"/>
              </w:rPr>
              <w:t>的规定</w:t>
            </w:r>
            <w:r w:rsidRPr="00687B52">
              <w:rPr>
                <w:rFonts w:hAnsi="宋体" w:hint="eastAsia"/>
                <w:color w:val="000000" w:themeColor="text1"/>
              </w:rPr>
              <w:t>。</w:t>
            </w:r>
          </w:p>
          <w:p w:rsidR="000C2455" w:rsidRPr="00687B52" w:rsidRDefault="000C2455" w:rsidP="003E1D2A">
            <w:pPr>
              <w:pStyle w:val="a7"/>
              <w:spacing w:line="300" w:lineRule="exact"/>
              <w:jc w:val="left"/>
              <w:rPr>
                <w:rFonts w:hAnsi="宋体"/>
                <w:color w:val="000000" w:themeColor="text1"/>
              </w:rPr>
            </w:pPr>
            <w:r w:rsidRPr="00687B52">
              <w:rPr>
                <w:rFonts w:hAnsi="宋体" w:hint="eastAsia"/>
                <w:color w:val="000000" w:themeColor="text1"/>
              </w:rPr>
              <w:t>乙、丙、丁、戊类仓库之间及与民用建筑的防火间距，不应小于表</w:t>
            </w:r>
            <w:r w:rsidRPr="00687B52">
              <w:rPr>
                <w:rFonts w:hAnsi="宋体" w:hint="eastAsia"/>
                <w:color w:val="000000" w:themeColor="text1"/>
              </w:rPr>
              <w:t>3.5.2</w:t>
            </w:r>
            <w:r w:rsidRPr="00687B52">
              <w:rPr>
                <w:rFonts w:hAnsi="宋体" w:hint="eastAsia"/>
                <w:color w:val="000000" w:themeColor="text1"/>
              </w:rPr>
              <w:t>的规定。</w:t>
            </w:r>
          </w:p>
          <w:p w:rsidR="000C2455" w:rsidRPr="00687B52" w:rsidRDefault="000C2455" w:rsidP="003E1D2A">
            <w:pPr>
              <w:pStyle w:val="a7"/>
              <w:spacing w:line="300" w:lineRule="exact"/>
              <w:jc w:val="left"/>
              <w:rPr>
                <w:rFonts w:hAnsi="宋体"/>
                <w:color w:val="000000" w:themeColor="text1"/>
              </w:rPr>
            </w:pPr>
            <w:r w:rsidRPr="00687B52">
              <w:rPr>
                <w:rFonts w:hAnsi="宋体" w:hint="eastAsia"/>
                <w:color w:val="000000" w:themeColor="text1"/>
              </w:rPr>
              <w:t>甲、乙、丙类液体储罐（区）和乙、丙类液体桶装堆场与其他建筑的防火间距不应小于</w:t>
            </w:r>
            <w:r w:rsidRPr="00687B52">
              <w:rPr>
                <w:rFonts w:hAnsi="宋体"/>
                <w:color w:val="000000" w:themeColor="text1"/>
              </w:rPr>
              <w:t>GB50016-20</w:t>
            </w:r>
            <w:r w:rsidRPr="00687B52">
              <w:rPr>
                <w:rFonts w:hAnsi="宋体" w:hint="eastAsia"/>
                <w:color w:val="000000" w:themeColor="text1"/>
              </w:rPr>
              <w:t>14</w:t>
            </w:r>
            <w:r w:rsidRPr="00687B52">
              <w:rPr>
                <w:rFonts w:hAnsi="宋体" w:hint="eastAsia"/>
                <w:color w:val="000000" w:themeColor="text1"/>
              </w:rPr>
              <w:t>第</w:t>
            </w:r>
            <w:r w:rsidRPr="00687B52">
              <w:rPr>
                <w:rFonts w:hAnsi="宋体" w:hint="eastAsia"/>
                <w:color w:val="000000" w:themeColor="text1"/>
              </w:rPr>
              <w:t>4.2.1</w:t>
            </w:r>
            <w:r w:rsidRPr="00687B52">
              <w:rPr>
                <w:rFonts w:hAnsi="宋体"/>
                <w:color w:val="000000" w:themeColor="text1"/>
              </w:rPr>
              <w:t>的规定</w:t>
            </w:r>
            <w:r w:rsidRPr="00687B52">
              <w:rPr>
                <w:rFonts w:hAnsi="宋体" w:hint="eastAsia"/>
                <w:color w:val="000000" w:themeColor="text1"/>
              </w:rPr>
              <w:t>。</w:t>
            </w:r>
          </w:p>
          <w:p w:rsidR="000C2455" w:rsidRPr="00687B52" w:rsidRDefault="000C2455" w:rsidP="003E1D2A">
            <w:pPr>
              <w:pStyle w:val="a7"/>
              <w:spacing w:line="300" w:lineRule="exact"/>
              <w:jc w:val="left"/>
              <w:rPr>
                <w:rFonts w:hAnsi="宋体"/>
                <w:color w:val="000000" w:themeColor="text1"/>
              </w:rPr>
            </w:pPr>
            <w:r w:rsidRPr="00687B52">
              <w:rPr>
                <w:rFonts w:hAnsi="宋体" w:hint="eastAsia"/>
                <w:color w:val="000000" w:themeColor="text1"/>
              </w:rPr>
              <w:t>甲、乙、丙类液体储罐之间的防火间距不应小于</w:t>
            </w:r>
            <w:r w:rsidRPr="00687B52">
              <w:rPr>
                <w:rFonts w:hAnsi="宋体"/>
                <w:color w:val="000000" w:themeColor="text1"/>
              </w:rPr>
              <w:t>GB50016-20</w:t>
            </w:r>
            <w:r w:rsidRPr="00687B52">
              <w:rPr>
                <w:rFonts w:hAnsi="宋体" w:hint="eastAsia"/>
                <w:color w:val="000000" w:themeColor="text1"/>
              </w:rPr>
              <w:t>14</w:t>
            </w:r>
            <w:r w:rsidRPr="00687B52">
              <w:rPr>
                <w:rFonts w:hAnsi="宋体" w:hint="eastAsia"/>
                <w:color w:val="000000" w:themeColor="text1"/>
              </w:rPr>
              <w:t>第</w:t>
            </w:r>
            <w:r w:rsidRPr="00687B52">
              <w:rPr>
                <w:rFonts w:hAnsi="宋体" w:hint="eastAsia"/>
                <w:color w:val="000000" w:themeColor="text1"/>
              </w:rPr>
              <w:t>4.2.2</w:t>
            </w:r>
            <w:r w:rsidRPr="00687B52">
              <w:rPr>
                <w:rFonts w:hAnsi="宋体"/>
                <w:color w:val="000000" w:themeColor="text1"/>
              </w:rPr>
              <w:t>的规定</w:t>
            </w:r>
            <w:r w:rsidRPr="00687B52">
              <w:rPr>
                <w:rFonts w:hAnsi="宋体" w:hint="eastAsia"/>
                <w:color w:val="000000" w:themeColor="text1"/>
              </w:rPr>
              <w:t>。</w:t>
            </w:r>
          </w:p>
          <w:p w:rsidR="000C2455" w:rsidRPr="00687B52" w:rsidRDefault="000C2455" w:rsidP="003E1D2A">
            <w:pPr>
              <w:pStyle w:val="a7"/>
              <w:spacing w:line="300" w:lineRule="exact"/>
              <w:jc w:val="left"/>
              <w:rPr>
                <w:rFonts w:hAnsi="宋体"/>
                <w:color w:val="000000" w:themeColor="text1"/>
              </w:rPr>
            </w:pPr>
            <w:r w:rsidRPr="00687B52">
              <w:rPr>
                <w:rFonts w:hAnsi="宋体" w:hint="eastAsia"/>
                <w:color w:val="000000" w:themeColor="text1"/>
              </w:rPr>
              <w:t>甲、乙、丙类液体储罐</w:t>
            </w:r>
            <w:r w:rsidRPr="00687B52">
              <w:rPr>
                <w:rFonts w:hAnsi="宋体"/>
                <w:color w:val="000000" w:themeColor="text1"/>
              </w:rPr>
              <w:t>与铁路、道路等的防火间距</w:t>
            </w:r>
            <w:r w:rsidRPr="00687B52">
              <w:rPr>
                <w:rFonts w:hAnsi="宋体" w:hint="eastAsia"/>
                <w:color w:val="000000" w:themeColor="text1"/>
              </w:rPr>
              <w:t>不应小于</w:t>
            </w:r>
            <w:r w:rsidRPr="00687B52">
              <w:rPr>
                <w:rFonts w:hAnsi="宋体"/>
                <w:color w:val="000000" w:themeColor="text1"/>
              </w:rPr>
              <w:t>GB50016-20</w:t>
            </w:r>
            <w:r w:rsidRPr="00687B52">
              <w:rPr>
                <w:rFonts w:hAnsi="宋体" w:hint="eastAsia"/>
                <w:color w:val="000000" w:themeColor="text1"/>
              </w:rPr>
              <w:t>14</w:t>
            </w:r>
            <w:r w:rsidRPr="00687B52">
              <w:rPr>
                <w:rFonts w:hAnsi="宋体" w:hint="eastAsia"/>
                <w:color w:val="000000" w:themeColor="text1"/>
              </w:rPr>
              <w:t>第</w:t>
            </w:r>
            <w:r w:rsidRPr="00687B52">
              <w:rPr>
                <w:rFonts w:hAnsi="宋体" w:hint="eastAsia"/>
                <w:color w:val="000000" w:themeColor="text1"/>
              </w:rPr>
              <w:t>4.2.9</w:t>
            </w:r>
            <w:r w:rsidRPr="00687B52">
              <w:rPr>
                <w:rFonts w:hAnsi="宋体"/>
                <w:color w:val="000000" w:themeColor="text1"/>
              </w:rPr>
              <w:t>的规定</w:t>
            </w:r>
            <w:r w:rsidRPr="00687B52">
              <w:rPr>
                <w:rFonts w:hAnsi="宋体" w:hint="eastAsia"/>
                <w:color w:val="000000" w:themeColor="text1"/>
              </w:rPr>
              <w:t>。</w:t>
            </w:r>
          </w:p>
          <w:p w:rsidR="000C2455" w:rsidRPr="00687B52" w:rsidRDefault="000C2455" w:rsidP="003E1D2A">
            <w:pPr>
              <w:pStyle w:val="a7"/>
              <w:spacing w:line="300" w:lineRule="exact"/>
              <w:jc w:val="left"/>
              <w:rPr>
                <w:rFonts w:hAnsi="宋体"/>
                <w:color w:val="000000" w:themeColor="text1"/>
              </w:rPr>
            </w:pPr>
            <w:r w:rsidRPr="00687B52">
              <w:rPr>
                <w:rFonts w:hAnsi="宋体" w:hint="eastAsia"/>
                <w:color w:val="000000" w:themeColor="text1"/>
              </w:rPr>
              <w:t>架空电力线与甲、乙类厂房（仓库）、可燃材料堆垛等的最近水平距离不应小于</w:t>
            </w:r>
            <w:r w:rsidRPr="00687B52">
              <w:rPr>
                <w:rFonts w:hAnsi="宋体"/>
                <w:color w:val="000000" w:themeColor="text1"/>
              </w:rPr>
              <w:t>GB50016-20</w:t>
            </w:r>
            <w:r w:rsidRPr="00687B52">
              <w:rPr>
                <w:rFonts w:hAnsi="宋体" w:hint="eastAsia"/>
                <w:color w:val="000000" w:themeColor="text1"/>
              </w:rPr>
              <w:t>14</w:t>
            </w:r>
            <w:r w:rsidRPr="00687B52">
              <w:rPr>
                <w:rFonts w:hAnsi="宋体" w:hint="eastAsia"/>
                <w:color w:val="000000" w:themeColor="text1"/>
              </w:rPr>
              <w:t>第</w:t>
            </w:r>
            <w:r w:rsidRPr="00687B52">
              <w:rPr>
                <w:rFonts w:hAnsi="宋体" w:hint="eastAsia"/>
                <w:color w:val="000000" w:themeColor="text1"/>
              </w:rPr>
              <w:t>10.2.1</w:t>
            </w:r>
            <w:r w:rsidRPr="00687B52">
              <w:rPr>
                <w:rFonts w:hAnsi="宋体" w:hint="eastAsia"/>
                <w:color w:val="000000" w:themeColor="text1"/>
              </w:rPr>
              <w:t>的规定。</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第3.4.1条</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第3.5.2条</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第4.2.1条</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第4.2.2条</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第4.2.9条</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第10.2.1条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1.1.9</w:t>
            </w:r>
          </w:p>
        </w:tc>
        <w:tc>
          <w:tcPr>
            <w:tcW w:w="2533" w:type="pct"/>
            <w:gridSpan w:val="7"/>
            <w:shd w:val="clear" w:color="auto" w:fill="auto"/>
            <w:vAlign w:val="center"/>
          </w:tcPr>
          <w:p w:rsidR="000C2455" w:rsidRPr="00687B52" w:rsidRDefault="000C2455" w:rsidP="003E1D2A">
            <w:pPr>
              <w:pStyle w:val="a7"/>
              <w:spacing w:line="300" w:lineRule="exact"/>
              <w:jc w:val="left"/>
              <w:rPr>
                <w:rFonts w:hAnsi="宋体"/>
                <w:color w:val="000000" w:themeColor="text1"/>
                <w:kern w:val="0"/>
              </w:rPr>
            </w:pPr>
            <w:r w:rsidRPr="00687B52">
              <w:rPr>
                <w:rFonts w:hAnsi="宋体" w:hint="eastAsia"/>
                <w:color w:val="000000" w:themeColor="text1"/>
                <w:kern w:val="0"/>
              </w:rPr>
              <w:t>厂区围墙与厂内建筑的间距不宜小于</w:t>
            </w:r>
            <w:r w:rsidRPr="00687B52">
              <w:rPr>
                <w:rFonts w:hAnsi="宋体" w:hint="eastAsia"/>
                <w:color w:val="000000" w:themeColor="text1"/>
                <w:kern w:val="0"/>
              </w:rPr>
              <w:t>5m</w:t>
            </w:r>
            <w:r w:rsidRPr="00687B52">
              <w:rPr>
                <w:rFonts w:hAnsi="宋体" w:hint="eastAsia"/>
                <w:color w:val="000000" w:themeColor="text1"/>
                <w:kern w:val="0"/>
              </w:rPr>
              <w:t>，围墙两侧建筑的间距应满足相应建筑的防火间距要求。</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第3.4.12条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r w:rsidRPr="00687B52">
              <w:rPr>
                <w:rFonts w:hAnsi="宋体" w:hint="eastAsia"/>
                <w:color w:val="000000" w:themeColor="text1"/>
                <w:kern w:val="0"/>
                <w:sz w:val="24"/>
                <w:szCs w:val="24"/>
              </w:rPr>
              <w:t>厂区围墙与厂内建筑之间的最近</w:t>
            </w:r>
            <w:r w:rsidRPr="00687B52">
              <w:rPr>
                <w:rFonts w:asciiTheme="minorEastAsia" w:hAnsiTheme="minorEastAsia" w:hint="eastAsia"/>
                <w:color w:val="000000" w:themeColor="text1"/>
                <w:sz w:val="24"/>
                <w:szCs w:val="24"/>
              </w:rPr>
              <w:t>间距</w:t>
            </w:r>
            <w:r w:rsidRPr="00687B52">
              <w:rPr>
                <w:rFonts w:hAnsi="宋体" w:hint="eastAsia"/>
                <w:color w:val="000000" w:themeColor="text1"/>
                <w:kern w:val="0"/>
                <w:sz w:val="24"/>
                <w:szCs w:val="24"/>
              </w:rPr>
              <w:t>为</w:t>
            </w:r>
            <w:r w:rsidRPr="00687B52">
              <w:rPr>
                <w:rFonts w:hAnsi="宋体" w:hint="eastAsia"/>
                <w:color w:val="000000" w:themeColor="text1"/>
                <w:kern w:val="0"/>
                <w:sz w:val="24"/>
                <w:szCs w:val="24"/>
              </w:rPr>
              <w:t>m</w:t>
            </w:r>
            <w:r w:rsidRPr="00687B52">
              <w:rPr>
                <w:rFonts w:hAnsi="宋体" w:hint="eastAsia"/>
                <w:color w:val="000000" w:themeColor="text1"/>
                <w:kern w:val="0"/>
                <w:sz w:val="24"/>
                <w:szCs w:val="24"/>
              </w:rPr>
              <w:t>。</w:t>
            </w: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1.1.10</w:t>
            </w:r>
          </w:p>
        </w:tc>
        <w:tc>
          <w:tcPr>
            <w:tcW w:w="2533" w:type="pct"/>
            <w:gridSpan w:val="7"/>
            <w:shd w:val="clear" w:color="auto" w:fill="auto"/>
            <w:vAlign w:val="center"/>
          </w:tcPr>
          <w:p w:rsidR="000C2455" w:rsidRPr="00687B52" w:rsidRDefault="000C2455" w:rsidP="003E1D2A">
            <w:pPr>
              <w:pStyle w:val="a7"/>
              <w:spacing w:line="300" w:lineRule="exact"/>
              <w:jc w:val="both"/>
              <w:rPr>
                <w:color w:val="000000" w:themeColor="text1"/>
              </w:rPr>
            </w:pPr>
            <w:r w:rsidRPr="00687B52">
              <w:rPr>
                <w:rFonts w:hAnsi="宋体"/>
                <w:color w:val="000000" w:themeColor="text1"/>
              </w:rPr>
              <w:t>火灾危险性属于甲、乙、丙类液体罐区的布置应符合下列要求：</w:t>
            </w:r>
          </w:p>
          <w:p w:rsidR="000C2455" w:rsidRPr="00687B52" w:rsidRDefault="000C2455" w:rsidP="003E1D2A">
            <w:pPr>
              <w:pStyle w:val="a7"/>
              <w:spacing w:line="300" w:lineRule="exact"/>
              <w:jc w:val="both"/>
              <w:rPr>
                <w:color w:val="000000" w:themeColor="text1"/>
              </w:rPr>
            </w:pPr>
            <w:r w:rsidRPr="00687B52">
              <w:rPr>
                <w:color w:val="000000" w:themeColor="text1"/>
              </w:rPr>
              <w:t xml:space="preserve">1 </w:t>
            </w:r>
            <w:r w:rsidRPr="00687B52">
              <w:rPr>
                <w:rFonts w:hAnsi="宋体"/>
                <w:color w:val="000000" w:themeColor="text1"/>
              </w:rPr>
              <w:t>宜位于企业边缘的安全地带，且地势较低而不窝风的独立地段；</w:t>
            </w:r>
          </w:p>
          <w:p w:rsidR="000C2455" w:rsidRPr="00687B52" w:rsidRDefault="000C2455" w:rsidP="003E1D2A">
            <w:pPr>
              <w:pStyle w:val="a7"/>
              <w:spacing w:line="300" w:lineRule="exact"/>
              <w:jc w:val="both"/>
              <w:rPr>
                <w:color w:val="000000" w:themeColor="text1"/>
              </w:rPr>
            </w:pPr>
            <w:r w:rsidRPr="00687B52">
              <w:rPr>
                <w:color w:val="000000" w:themeColor="text1"/>
              </w:rPr>
              <w:t xml:space="preserve">2 </w:t>
            </w:r>
            <w:r w:rsidRPr="00687B52">
              <w:rPr>
                <w:rFonts w:hAnsi="宋体"/>
                <w:color w:val="000000" w:themeColor="text1"/>
              </w:rPr>
              <w:t>应远离明火或散发火花的地点；</w:t>
            </w:r>
          </w:p>
          <w:p w:rsidR="000C2455" w:rsidRPr="00687B52" w:rsidRDefault="000C2455" w:rsidP="003E1D2A">
            <w:pPr>
              <w:pStyle w:val="a7"/>
              <w:spacing w:line="300" w:lineRule="exact"/>
              <w:jc w:val="both"/>
              <w:rPr>
                <w:color w:val="000000" w:themeColor="text1"/>
              </w:rPr>
            </w:pPr>
            <w:r w:rsidRPr="00687B52">
              <w:rPr>
                <w:color w:val="000000" w:themeColor="text1"/>
              </w:rPr>
              <w:t xml:space="preserve">3 </w:t>
            </w:r>
            <w:r w:rsidRPr="00687B52">
              <w:rPr>
                <w:rFonts w:hAnsi="宋体"/>
                <w:color w:val="000000" w:themeColor="text1"/>
              </w:rPr>
              <w:t>架空供电线严禁跨越罐区；</w:t>
            </w:r>
          </w:p>
          <w:p w:rsidR="000C2455" w:rsidRPr="00687B52" w:rsidRDefault="000C2455" w:rsidP="003E1D2A">
            <w:pPr>
              <w:pStyle w:val="a7"/>
              <w:spacing w:line="300" w:lineRule="exact"/>
              <w:jc w:val="both"/>
              <w:rPr>
                <w:color w:val="000000" w:themeColor="text1"/>
              </w:rPr>
            </w:pPr>
            <w:r w:rsidRPr="00687B52">
              <w:rPr>
                <w:color w:val="000000" w:themeColor="text1"/>
              </w:rPr>
              <w:t xml:space="preserve">4 </w:t>
            </w:r>
            <w:r w:rsidRPr="00687B52">
              <w:rPr>
                <w:rFonts w:hAnsi="宋体"/>
                <w:color w:val="000000" w:themeColor="text1"/>
              </w:rPr>
              <w:t>当靠近江、河、海岸边时，应布置在临江、河、海的城镇、企业、居住区、码头、桥梁的下游和有防泄漏堤的地段，并应采取防止液体流入江、河、海的措施；海的措施；</w:t>
            </w:r>
          </w:p>
          <w:p w:rsidR="000C2455" w:rsidRPr="00687B52" w:rsidRDefault="000C2455" w:rsidP="003E1D2A">
            <w:pPr>
              <w:pStyle w:val="a7"/>
              <w:spacing w:line="300" w:lineRule="exact"/>
              <w:jc w:val="both"/>
              <w:rPr>
                <w:color w:val="000000" w:themeColor="text1"/>
              </w:rPr>
            </w:pPr>
            <w:r w:rsidRPr="00687B52">
              <w:rPr>
                <w:color w:val="000000" w:themeColor="text1"/>
              </w:rPr>
              <w:t xml:space="preserve">5 </w:t>
            </w:r>
            <w:r w:rsidRPr="00687B52">
              <w:rPr>
                <w:rFonts w:hAnsi="宋体"/>
                <w:color w:val="000000" w:themeColor="text1"/>
              </w:rPr>
              <w:t>不应布置在高于相邻装置、车间、全厂性重要设施及人员集中场所的场地，无法避免时，应采取防止液体漫流的安全措施</w:t>
            </w:r>
            <w:r w:rsidRPr="00687B52">
              <w:rPr>
                <w:rFonts w:hAnsi="宋体" w:hint="eastAsia"/>
                <w:color w:val="000000" w:themeColor="text1"/>
              </w:rPr>
              <w:t>。</w:t>
            </w:r>
          </w:p>
        </w:tc>
        <w:tc>
          <w:tcPr>
            <w:tcW w:w="943" w:type="pct"/>
            <w:shd w:val="clear" w:color="auto" w:fill="auto"/>
            <w:vAlign w:val="center"/>
          </w:tcPr>
          <w:p w:rsidR="000C2455" w:rsidRPr="00687B52" w:rsidRDefault="000C2455" w:rsidP="003E1D2A">
            <w:pPr>
              <w:pStyle w:val="a7"/>
              <w:spacing w:line="300" w:lineRule="exact"/>
              <w:rPr>
                <w:rFonts w:ascii="宋体" w:hAnsi="宋体"/>
                <w:color w:val="000000" w:themeColor="text1"/>
              </w:rPr>
            </w:pPr>
            <w:r w:rsidRPr="00687B52">
              <w:rPr>
                <w:rFonts w:ascii="宋体" w:hAnsi="宋体" w:hint="eastAsia"/>
                <w:color w:val="000000" w:themeColor="text1"/>
              </w:rPr>
              <w:t>《工业企业总平面设计规范》</w:t>
            </w:r>
            <w:r w:rsidRPr="00687B52">
              <w:rPr>
                <w:rFonts w:ascii="宋体" w:hAnsi="宋体"/>
                <w:color w:val="000000" w:themeColor="text1"/>
              </w:rPr>
              <w:t>GB50187-2012</w:t>
            </w:r>
          </w:p>
          <w:p w:rsidR="000C2455" w:rsidRPr="00687B52" w:rsidRDefault="000C2455" w:rsidP="003E1D2A">
            <w:pPr>
              <w:pStyle w:val="a7"/>
              <w:spacing w:line="300" w:lineRule="exact"/>
              <w:rPr>
                <w:rFonts w:ascii="宋体" w:hAnsi="宋体"/>
                <w:color w:val="000000" w:themeColor="text1"/>
              </w:rPr>
            </w:pPr>
            <w:r w:rsidRPr="00687B52">
              <w:rPr>
                <w:rFonts w:ascii="宋体" w:hAnsi="宋体"/>
                <w:color w:val="000000" w:themeColor="text1"/>
              </w:rPr>
              <w:t>第</w:t>
            </w:r>
            <w:r w:rsidRPr="00687B52">
              <w:rPr>
                <w:rFonts w:ascii="宋体" w:hAnsi="宋体" w:hint="eastAsia"/>
                <w:color w:val="000000" w:themeColor="text1"/>
              </w:rPr>
              <w:t>5.6.5</w:t>
            </w:r>
            <w:r w:rsidRPr="00687B52">
              <w:rPr>
                <w:rFonts w:ascii="宋体" w:hAnsi="宋体"/>
                <w:color w:val="000000" w:themeColor="text1"/>
              </w:rPr>
              <w:t>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1.1.11</w:t>
            </w:r>
          </w:p>
        </w:tc>
        <w:tc>
          <w:tcPr>
            <w:tcW w:w="2533" w:type="pct"/>
            <w:gridSpan w:val="7"/>
            <w:shd w:val="clear" w:color="auto" w:fill="auto"/>
            <w:vAlign w:val="center"/>
          </w:tcPr>
          <w:p w:rsidR="000C2455" w:rsidRPr="00687B52" w:rsidRDefault="000C2455" w:rsidP="003E1D2A">
            <w:pPr>
              <w:pStyle w:val="a7"/>
              <w:spacing w:line="300" w:lineRule="exact"/>
              <w:jc w:val="left"/>
              <w:rPr>
                <w:rFonts w:hAnsi="宋体"/>
                <w:color w:val="000000" w:themeColor="text1"/>
                <w:kern w:val="0"/>
              </w:rPr>
            </w:pPr>
            <w:r w:rsidRPr="00687B52">
              <w:rPr>
                <w:rFonts w:hAnsi="宋体" w:hint="eastAsia"/>
                <w:color w:val="000000" w:themeColor="text1"/>
                <w:kern w:val="0"/>
              </w:rPr>
              <w:t>甲、乙类液体储罐成组布置时，组内储罐储罐的单罐最大</w:t>
            </w:r>
            <w:r w:rsidRPr="00687B52">
              <w:rPr>
                <w:rFonts w:hAnsi="宋体" w:hint="eastAsia"/>
                <w:color w:val="000000" w:themeColor="text1"/>
                <w:kern w:val="0"/>
              </w:rPr>
              <w:t>200m</w:t>
            </w:r>
            <w:r w:rsidRPr="00687B52">
              <w:rPr>
                <w:rFonts w:hAnsi="宋体" w:hint="eastAsia"/>
                <w:color w:val="000000" w:themeColor="text1"/>
                <w:kern w:val="0"/>
              </w:rPr>
              <w:t>³，一组罐最大容量为</w:t>
            </w:r>
            <w:r w:rsidRPr="00687B52">
              <w:rPr>
                <w:rFonts w:hAnsi="宋体" w:hint="eastAsia"/>
                <w:color w:val="000000" w:themeColor="text1"/>
                <w:kern w:val="0"/>
              </w:rPr>
              <w:t>1000m</w:t>
            </w:r>
            <w:r w:rsidRPr="00687B52">
              <w:rPr>
                <w:rFonts w:hAnsi="宋体" w:hint="eastAsia"/>
                <w:color w:val="000000" w:themeColor="text1"/>
                <w:kern w:val="0"/>
              </w:rPr>
              <w:t>³；丙类液体储罐成组布置时，组内储罐储罐的单罐最大</w:t>
            </w:r>
            <w:r w:rsidRPr="00687B52">
              <w:rPr>
                <w:rFonts w:hAnsi="宋体" w:hint="eastAsia"/>
                <w:color w:val="000000" w:themeColor="text1"/>
                <w:kern w:val="0"/>
              </w:rPr>
              <w:t>500m</w:t>
            </w:r>
            <w:r w:rsidRPr="00687B52">
              <w:rPr>
                <w:rFonts w:hAnsi="宋体" w:hint="eastAsia"/>
                <w:color w:val="000000" w:themeColor="text1"/>
                <w:kern w:val="0"/>
              </w:rPr>
              <w:t>³，一组罐最大容量为</w:t>
            </w:r>
            <w:r w:rsidRPr="00687B52">
              <w:rPr>
                <w:rFonts w:hAnsi="宋体" w:hint="eastAsia"/>
                <w:color w:val="000000" w:themeColor="text1"/>
                <w:kern w:val="0"/>
              </w:rPr>
              <w:t>3000m</w:t>
            </w:r>
            <w:r w:rsidRPr="00687B52">
              <w:rPr>
                <w:rFonts w:hAnsi="宋体" w:hint="eastAsia"/>
                <w:color w:val="000000" w:themeColor="text1"/>
                <w:kern w:val="0"/>
              </w:rPr>
              <w:t>³。</w:t>
            </w:r>
          </w:p>
          <w:p w:rsidR="000C2455" w:rsidRPr="00687B52" w:rsidRDefault="000C2455" w:rsidP="003E1D2A">
            <w:pPr>
              <w:pStyle w:val="a7"/>
              <w:spacing w:line="300" w:lineRule="exact"/>
              <w:jc w:val="left"/>
              <w:rPr>
                <w:rFonts w:hAnsi="宋体"/>
                <w:color w:val="000000" w:themeColor="text1"/>
                <w:kern w:val="0"/>
              </w:rPr>
            </w:pPr>
            <w:r w:rsidRPr="00687B52">
              <w:rPr>
                <w:rFonts w:hAnsi="宋体" w:hint="eastAsia"/>
                <w:color w:val="000000" w:themeColor="text1"/>
                <w:kern w:val="0"/>
              </w:rPr>
              <w:t>组内储罐的布置不应超过两排。甲、乙类液体立式储罐之间的防火间距不应小于</w:t>
            </w:r>
            <w:r w:rsidRPr="00687B52">
              <w:rPr>
                <w:rFonts w:hAnsi="宋体" w:hint="eastAsia"/>
                <w:color w:val="000000" w:themeColor="text1"/>
                <w:kern w:val="0"/>
              </w:rPr>
              <w:t>2m</w:t>
            </w:r>
            <w:r w:rsidRPr="00687B52">
              <w:rPr>
                <w:rFonts w:hAnsi="宋体" w:hint="eastAsia"/>
                <w:color w:val="000000" w:themeColor="text1"/>
                <w:kern w:val="0"/>
              </w:rPr>
              <w:t>，卧式储罐之间的防火间距不应小于</w:t>
            </w:r>
            <w:r w:rsidRPr="00687B52">
              <w:rPr>
                <w:rFonts w:hAnsi="宋体" w:hint="eastAsia"/>
                <w:color w:val="000000" w:themeColor="text1"/>
                <w:kern w:val="0"/>
              </w:rPr>
              <w:t>0.8m</w:t>
            </w:r>
            <w:r w:rsidRPr="00687B52">
              <w:rPr>
                <w:rFonts w:hAnsi="宋体" w:hint="eastAsia"/>
                <w:color w:val="000000" w:themeColor="text1"/>
                <w:kern w:val="0"/>
              </w:rPr>
              <w:t>；丙类液体储罐之间的防火间距不限。</w:t>
            </w:r>
          </w:p>
        </w:tc>
        <w:tc>
          <w:tcPr>
            <w:tcW w:w="943" w:type="pct"/>
            <w:shd w:val="clear" w:color="auto" w:fill="auto"/>
            <w:vAlign w:val="center"/>
          </w:tcPr>
          <w:p w:rsidR="000C2455" w:rsidRPr="00687B52" w:rsidRDefault="000C2455" w:rsidP="003E1D2A">
            <w:pPr>
              <w:pStyle w:val="a7"/>
              <w:spacing w:line="300" w:lineRule="exact"/>
              <w:rPr>
                <w:rFonts w:hAnsi="宋体"/>
                <w:color w:val="000000" w:themeColor="text1"/>
                <w:kern w:val="0"/>
              </w:rPr>
            </w:pPr>
            <w:r w:rsidRPr="00687B52">
              <w:rPr>
                <w:rFonts w:hAnsi="宋体" w:hint="eastAsia"/>
                <w:color w:val="000000" w:themeColor="text1"/>
                <w:kern w:val="0"/>
              </w:rPr>
              <w:t>《建筑设计防火规范》</w:t>
            </w:r>
            <w:r w:rsidRPr="00687B52">
              <w:rPr>
                <w:rFonts w:hAnsi="宋体" w:hint="eastAsia"/>
                <w:color w:val="000000" w:themeColor="text1"/>
                <w:kern w:val="0"/>
              </w:rPr>
              <w:t>GB50016-2014</w:t>
            </w:r>
          </w:p>
          <w:p w:rsidR="000C2455" w:rsidRPr="00687B52" w:rsidRDefault="000C2455" w:rsidP="003E1D2A">
            <w:pPr>
              <w:pStyle w:val="a7"/>
              <w:spacing w:line="300" w:lineRule="exact"/>
              <w:rPr>
                <w:rFonts w:hAnsi="宋体"/>
                <w:color w:val="000000" w:themeColor="text1"/>
                <w:kern w:val="0"/>
              </w:rPr>
            </w:pPr>
            <w:r w:rsidRPr="00687B52">
              <w:rPr>
                <w:rFonts w:hAnsi="宋体" w:hint="eastAsia"/>
                <w:color w:val="000000" w:themeColor="text1"/>
                <w:kern w:val="0"/>
              </w:rPr>
              <w:t>第</w:t>
            </w:r>
            <w:r w:rsidRPr="00687B52">
              <w:rPr>
                <w:rFonts w:hAnsi="宋体" w:hint="eastAsia"/>
                <w:color w:val="000000" w:themeColor="text1"/>
                <w:kern w:val="0"/>
              </w:rPr>
              <w:t>4.2.3</w:t>
            </w:r>
            <w:r w:rsidRPr="00687B52">
              <w:rPr>
                <w:rFonts w:hAnsi="宋体" w:hint="eastAsia"/>
                <w:color w:val="000000" w:themeColor="text1"/>
                <w:kern w:val="0"/>
              </w:rPr>
              <w:t>条</w:t>
            </w:r>
          </w:p>
        </w:tc>
        <w:tc>
          <w:tcPr>
            <w:tcW w:w="1159" w:type="pct"/>
            <w:shd w:val="clear" w:color="auto" w:fill="auto"/>
            <w:vAlign w:val="center"/>
          </w:tcPr>
          <w:p w:rsidR="000C2455" w:rsidRPr="00687B52" w:rsidRDefault="000C2455" w:rsidP="003E1D2A">
            <w:pPr>
              <w:spacing w:line="300" w:lineRule="exact"/>
              <w:rPr>
                <w:rFonts w:hAnsi="宋体"/>
                <w:color w:val="000000" w:themeColor="text1"/>
                <w:kern w:val="0"/>
                <w:sz w:val="24"/>
                <w:szCs w:val="24"/>
              </w:rPr>
            </w:pPr>
            <w:r w:rsidRPr="00687B52">
              <w:rPr>
                <w:rFonts w:hAnsi="宋体" w:hint="eastAsia"/>
                <w:color w:val="000000" w:themeColor="text1"/>
                <w:kern w:val="0"/>
                <w:sz w:val="24"/>
                <w:szCs w:val="24"/>
              </w:rPr>
              <w:t>说明乙、丙类储罐单罐容量和组内容量，说明储罐之间的最近间距。</w:t>
            </w: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1.1.12</w:t>
            </w:r>
          </w:p>
        </w:tc>
        <w:tc>
          <w:tcPr>
            <w:tcW w:w="2533" w:type="pct"/>
            <w:gridSpan w:val="7"/>
            <w:shd w:val="clear" w:color="auto" w:fill="auto"/>
            <w:vAlign w:val="center"/>
          </w:tcPr>
          <w:p w:rsidR="000C2455" w:rsidRPr="00687B52" w:rsidRDefault="000C2455" w:rsidP="003E1D2A">
            <w:pPr>
              <w:pStyle w:val="a7"/>
              <w:spacing w:line="300" w:lineRule="exact"/>
              <w:jc w:val="left"/>
              <w:rPr>
                <w:rFonts w:hAnsi="宋体"/>
                <w:color w:val="000000" w:themeColor="text1"/>
                <w:kern w:val="0"/>
              </w:rPr>
            </w:pPr>
            <w:r w:rsidRPr="00687B52">
              <w:rPr>
                <w:rFonts w:hAnsi="宋体" w:hint="eastAsia"/>
                <w:color w:val="000000" w:themeColor="text1"/>
                <w:kern w:val="0"/>
              </w:rPr>
              <w:t>甲、乙、丙类液体的地上式、半地下式储罐或储罐组，其四周应设置不燃性防火堤。防火堤内侧基脚线至卧式储罐的水平距离不应小于</w:t>
            </w:r>
            <w:r w:rsidRPr="00687B52">
              <w:rPr>
                <w:rFonts w:hAnsi="宋体" w:hint="eastAsia"/>
                <w:color w:val="000000" w:themeColor="text1"/>
                <w:kern w:val="0"/>
              </w:rPr>
              <w:t>3m</w:t>
            </w:r>
            <w:r w:rsidRPr="00687B52">
              <w:rPr>
                <w:rFonts w:hAnsi="宋体" w:hint="eastAsia"/>
                <w:color w:val="000000" w:themeColor="text1"/>
                <w:kern w:val="0"/>
              </w:rPr>
              <w:t>。</w:t>
            </w:r>
          </w:p>
        </w:tc>
        <w:tc>
          <w:tcPr>
            <w:tcW w:w="943" w:type="pct"/>
            <w:shd w:val="clear" w:color="auto" w:fill="auto"/>
            <w:vAlign w:val="center"/>
          </w:tcPr>
          <w:p w:rsidR="000C2455" w:rsidRPr="00687B52" w:rsidRDefault="000C2455" w:rsidP="003E1D2A">
            <w:pPr>
              <w:pStyle w:val="a7"/>
              <w:spacing w:line="300" w:lineRule="exact"/>
              <w:rPr>
                <w:rFonts w:hAnsi="宋体"/>
                <w:color w:val="000000" w:themeColor="text1"/>
                <w:kern w:val="0"/>
              </w:rPr>
            </w:pPr>
            <w:r w:rsidRPr="00687B52">
              <w:rPr>
                <w:rFonts w:hAnsi="宋体" w:hint="eastAsia"/>
                <w:color w:val="000000" w:themeColor="text1"/>
                <w:kern w:val="0"/>
              </w:rPr>
              <w:t>《建筑设计防火规范》</w:t>
            </w:r>
            <w:r w:rsidRPr="00687B52">
              <w:rPr>
                <w:rFonts w:hAnsi="宋体" w:hint="eastAsia"/>
                <w:color w:val="000000" w:themeColor="text1"/>
                <w:kern w:val="0"/>
              </w:rPr>
              <w:t>GB50016-2014</w:t>
            </w:r>
          </w:p>
          <w:p w:rsidR="000C2455" w:rsidRPr="00687B52" w:rsidRDefault="000C2455" w:rsidP="003E1D2A">
            <w:pPr>
              <w:pStyle w:val="a7"/>
              <w:spacing w:line="300" w:lineRule="exact"/>
              <w:rPr>
                <w:rFonts w:hAnsi="宋体"/>
                <w:color w:val="000000" w:themeColor="text1"/>
                <w:kern w:val="0"/>
              </w:rPr>
            </w:pPr>
            <w:r w:rsidRPr="00687B52">
              <w:rPr>
                <w:rFonts w:hAnsi="宋体" w:hint="eastAsia"/>
                <w:color w:val="000000" w:themeColor="text1"/>
                <w:kern w:val="0"/>
              </w:rPr>
              <w:t>第</w:t>
            </w:r>
            <w:r w:rsidRPr="00687B52">
              <w:rPr>
                <w:rFonts w:hAnsi="宋体" w:hint="eastAsia"/>
                <w:color w:val="000000" w:themeColor="text1"/>
                <w:kern w:val="0"/>
              </w:rPr>
              <w:t>4.2.5</w:t>
            </w:r>
            <w:r w:rsidRPr="00687B52">
              <w:rPr>
                <w:rFonts w:hAnsi="宋体" w:hint="eastAsia"/>
                <w:color w:val="000000" w:themeColor="text1"/>
                <w:kern w:val="0"/>
              </w:rPr>
              <w:t>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r w:rsidRPr="00687B52">
              <w:rPr>
                <w:rFonts w:hAnsi="宋体" w:hint="eastAsia"/>
                <w:color w:val="000000" w:themeColor="text1"/>
                <w:kern w:val="0"/>
                <w:sz w:val="24"/>
                <w:szCs w:val="24"/>
              </w:rPr>
              <w:t>防火堤内侧基脚线至卧式储罐的水平距离为</w:t>
            </w:r>
            <w:r w:rsidRPr="00687B52">
              <w:rPr>
                <w:rFonts w:hAnsi="宋体" w:hint="eastAsia"/>
                <w:color w:val="000000" w:themeColor="text1"/>
                <w:kern w:val="0"/>
                <w:sz w:val="24"/>
                <w:szCs w:val="24"/>
              </w:rPr>
              <w:t>m</w:t>
            </w:r>
            <w:r w:rsidRPr="00687B52">
              <w:rPr>
                <w:rFonts w:hAnsi="宋体" w:hint="eastAsia"/>
                <w:color w:val="000000" w:themeColor="text1"/>
                <w:kern w:val="0"/>
                <w:sz w:val="24"/>
                <w:szCs w:val="24"/>
              </w:rPr>
              <w:t>。</w:t>
            </w:r>
          </w:p>
        </w:tc>
      </w:tr>
      <w:tr w:rsidR="000C2455" w:rsidRPr="00687B52" w:rsidTr="00406A19">
        <w:tc>
          <w:tcPr>
            <w:tcW w:w="365" w:type="pct"/>
            <w:vMerge w:val="restar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1.1.13</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甲、乙、丙类液体储罐与其泵房、装卸鹤管的防火间距不应小于</w:t>
            </w:r>
            <w:r w:rsidRPr="00687B52">
              <w:rPr>
                <w:color w:val="000000" w:themeColor="text1"/>
              </w:rPr>
              <w:t>GB50016-20</w:t>
            </w:r>
            <w:r w:rsidRPr="00687B52">
              <w:rPr>
                <w:rFonts w:hint="eastAsia"/>
                <w:color w:val="000000" w:themeColor="text1"/>
              </w:rPr>
              <w:t>14</w:t>
            </w:r>
            <w:r w:rsidRPr="00687B52">
              <w:rPr>
                <w:rFonts w:hint="eastAsia"/>
                <w:color w:val="000000" w:themeColor="text1"/>
              </w:rPr>
              <w:t>第</w:t>
            </w:r>
            <w:r w:rsidRPr="00687B52">
              <w:rPr>
                <w:rFonts w:hint="eastAsia"/>
                <w:color w:val="000000" w:themeColor="text1"/>
              </w:rPr>
              <w:t>4.2.7</w:t>
            </w:r>
            <w:r w:rsidRPr="00687B52">
              <w:rPr>
                <w:rFonts w:hAnsi="宋体"/>
                <w:color w:val="000000" w:themeColor="text1"/>
              </w:rPr>
              <w:t>的规定</w:t>
            </w:r>
            <w:r w:rsidRPr="00687B52">
              <w:rPr>
                <w:rFonts w:hAnsi="宋体" w:hint="eastAsia"/>
                <w:color w:val="000000" w:themeColor="text1"/>
              </w:rPr>
              <w:t>：</w:t>
            </w:r>
          </w:p>
        </w:tc>
        <w:tc>
          <w:tcPr>
            <w:tcW w:w="943" w:type="pct"/>
            <w:vMerge w:val="restar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 GB50016-2014</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第4.2.7条</w:t>
            </w:r>
          </w:p>
        </w:tc>
        <w:tc>
          <w:tcPr>
            <w:tcW w:w="1159" w:type="pct"/>
            <w:vMerge w:val="restart"/>
            <w:shd w:val="clear" w:color="auto" w:fill="auto"/>
            <w:vAlign w:val="center"/>
          </w:tcPr>
          <w:p w:rsidR="000C2455" w:rsidRPr="00687B52" w:rsidRDefault="000C2455" w:rsidP="003E1D2A">
            <w:pPr>
              <w:pStyle w:val="a7"/>
              <w:spacing w:line="300" w:lineRule="exact"/>
              <w:jc w:val="both"/>
              <w:rPr>
                <w:rFonts w:hAnsi="宋体"/>
                <w:color w:val="000000" w:themeColor="text1"/>
                <w:kern w:val="0"/>
                <w:szCs w:val="24"/>
              </w:rPr>
            </w:pPr>
            <w:r w:rsidRPr="00687B52">
              <w:rPr>
                <w:rFonts w:asciiTheme="minorEastAsia" w:eastAsiaTheme="minorEastAsia" w:hAnsiTheme="minorEastAsia" w:hint="eastAsia"/>
                <w:color w:val="000000" w:themeColor="text1"/>
                <w:szCs w:val="24"/>
              </w:rPr>
              <w:t>乙、丙类液体储罐与其泵房、装卸鹤管</w:t>
            </w:r>
            <w:r w:rsidRPr="00687B52">
              <w:rPr>
                <w:rFonts w:hAnsi="宋体" w:hint="eastAsia"/>
                <w:color w:val="000000" w:themeColor="text1"/>
                <w:kern w:val="0"/>
                <w:szCs w:val="24"/>
              </w:rPr>
              <w:t>之间的最近间距为</w:t>
            </w:r>
            <w:r w:rsidRPr="00687B52">
              <w:rPr>
                <w:rFonts w:hAnsi="宋体" w:hint="eastAsia"/>
                <w:color w:val="000000" w:themeColor="text1"/>
                <w:kern w:val="0"/>
                <w:szCs w:val="24"/>
              </w:rPr>
              <w:t>m</w:t>
            </w:r>
            <w:r w:rsidRPr="00687B52">
              <w:rPr>
                <w:rFonts w:hAnsi="宋体" w:hint="eastAsia"/>
                <w:color w:val="000000" w:themeColor="text1"/>
                <w:kern w:val="0"/>
                <w:szCs w:val="24"/>
              </w:rPr>
              <w:t>。</w:t>
            </w:r>
          </w:p>
        </w:tc>
      </w:tr>
      <w:tr w:rsidR="000C2455" w:rsidRPr="00687B52" w:rsidTr="00406A19">
        <w:tc>
          <w:tcPr>
            <w:tcW w:w="365" w:type="pct"/>
            <w:vMerge/>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p>
        </w:tc>
        <w:tc>
          <w:tcPr>
            <w:tcW w:w="1046" w:type="pct"/>
            <w:gridSpan w:val="3"/>
            <w:shd w:val="clear" w:color="auto" w:fill="auto"/>
            <w:vAlign w:val="center"/>
          </w:tcPr>
          <w:p w:rsidR="000C2455" w:rsidRPr="00687B52" w:rsidRDefault="000C2455" w:rsidP="003E1D2A">
            <w:pPr>
              <w:pStyle w:val="a7"/>
              <w:spacing w:line="300" w:lineRule="exact"/>
              <w:rPr>
                <w:rFonts w:hAnsi="宋体"/>
                <w:color w:val="000000" w:themeColor="text1"/>
                <w:sz w:val="18"/>
              </w:rPr>
            </w:pPr>
            <w:r w:rsidRPr="00687B52">
              <w:rPr>
                <w:rFonts w:hAnsi="宋体" w:hint="eastAsia"/>
                <w:color w:val="000000" w:themeColor="text1"/>
                <w:sz w:val="18"/>
              </w:rPr>
              <w:t>液体类别和储罐形式</w:t>
            </w:r>
          </w:p>
        </w:tc>
        <w:tc>
          <w:tcPr>
            <w:tcW w:w="646" w:type="pct"/>
            <w:gridSpan w:val="2"/>
            <w:shd w:val="clear" w:color="auto" w:fill="auto"/>
            <w:vAlign w:val="center"/>
          </w:tcPr>
          <w:p w:rsidR="000C2455" w:rsidRPr="00687B52" w:rsidRDefault="000C2455" w:rsidP="003E1D2A">
            <w:pPr>
              <w:pStyle w:val="a7"/>
              <w:spacing w:line="300" w:lineRule="exact"/>
              <w:rPr>
                <w:rFonts w:hAnsi="宋体"/>
                <w:color w:val="000000" w:themeColor="text1"/>
                <w:sz w:val="18"/>
              </w:rPr>
            </w:pPr>
            <w:r w:rsidRPr="00687B52">
              <w:rPr>
                <w:rFonts w:hAnsi="宋体" w:hint="eastAsia"/>
                <w:color w:val="000000" w:themeColor="text1"/>
                <w:sz w:val="18"/>
              </w:rPr>
              <w:t>泵房</w:t>
            </w:r>
          </w:p>
        </w:tc>
        <w:tc>
          <w:tcPr>
            <w:tcW w:w="841" w:type="pct"/>
            <w:gridSpan w:val="2"/>
            <w:shd w:val="clear" w:color="auto" w:fill="auto"/>
            <w:vAlign w:val="center"/>
          </w:tcPr>
          <w:p w:rsidR="000C2455" w:rsidRPr="00687B52" w:rsidRDefault="000C2455" w:rsidP="003E1D2A">
            <w:pPr>
              <w:pStyle w:val="a7"/>
              <w:spacing w:line="300" w:lineRule="exact"/>
              <w:rPr>
                <w:rFonts w:hAnsi="宋体"/>
                <w:color w:val="000000" w:themeColor="text1"/>
                <w:sz w:val="18"/>
              </w:rPr>
            </w:pPr>
            <w:r w:rsidRPr="00687B52">
              <w:rPr>
                <w:rFonts w:hAnsi="宋体" w:hint="eastAsia"/>
                <w:color w:val="000000" w:themeColor="text1"/>
                <w:sz w:val="18"/>
              </w:rPr>
              <w:t>铁路或汽车装卸鹤管</w:t>
            </w:r>
          </w:p>
        </w:tc>
        <w:tc>
          <w:tcPr>
            <w:tcW w:w="943" w:type="pct"/>
            <w:vMerge/>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p>
        </w:tc>
        <w:tc>
          <w:tcPr>
            <w:tcW w:w="1159" w:type="pct"/>
            <w:vMerge/>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vMerge/>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p>
        </w:tc>
        <w:tc>
          <w:tcPr>
            <w:tcW w:w="598" w:type="pct"/>
            <w:gridSpan w:val="2"/>
            <w:vMerge w:val="restart"/>
            <w:shd w:val="clear" w:color="auto" w:fill="auto"/>
            <w:vAlign w:val="center"/>
          </w:tcPr>
          <w:p w:rsidR="000C2455" w:rsidRPr="00687B52" w:rsidRDefault="000C2455" w:rsidP="003E1D2A">
            <w:pPr>
              <w:pStyle w:val="a7"/>
              <w:spacing w:line="300" w:lineRule="exact"/>
              <w:rPr>
                <w:rFonts w:hAnsi="宋体"/>
                <w:color w:val="000000" w:themeColor="text1"/>
                <w:sz w:val="18"/>
              </w:rPr>
            </w:pPr>
            <w:r w:rsidRPr="00687B52">
              <w:rPr>
                <w:rFonts w:hAnsi="宋体" w:hint="eastAsia"/>
                <w:color w:val="000000" w:themeColor="text1"/>
                <w:sz w:val="18"/>
              </w:rPr>
              <w:t>甲、乙类液体储罐</w:t>
            </w:r>
          </w:p>
        </w:tc>
        <w:tc>
          <w:tcPr>
            <w:tcW w:w="448" w:type="pct"/>
            <w:shd w:val="clear" w:color="auto" w:fill="auto"/>
            <w:vAlign w:val="center"/>
          </w:tcPr>
          <w:p w:rsidR="000C2455" w:rsidRPr="00687B52" w:rsidRDefault="000C2455" w:rsidP="003E1D2A">
            <w:pPr>
              <w:pStyle w:val="a7"/>
              <w:spacing w:line="300" w:lineRule="exact"/>
              <w:rPr>
                <w:rFonts w:hAnsi="宋体"/>
                <w:color w:val="000000" w:themeColor="text1"/>
                <w:sz w:val="18"/>
              </w:rPr>
            </w:pPr>
            <w:r w:rsidRPr="00687B52">
              <w:rPr>
                <w:rFonts w:hAnsi="宋体" w:hint="eastAsia"/>
                <w:color w:val="000000" w:themeColor="text1"/>
                <w:sz w:val="18"/>
              </w:rPr>
              <w:t>拱顶罐</w:t>
            </w:r>
          </w:p>
        </w:tc>
        <w:tc>
          <w:tcPr>
            <w:tcW w:w="646" w:type="pct"/>
            <w:gridSpan w:val="2"/>
            <w:shd w:val="clear" w:color="auto" w:fill="auto"/>
            <w:vAlign w:val="center"/>
          </w:tcPr>
          <w:p w:rsidR="000C2455" w:rsidRPr="00687B52" w:rsidRDefault="000C2455" w:rsidP="003E1D2A">
            <w:pPr>
              <w:pStyle w:val="a7"/>
              <w:spacing w:line="300" w:lineRule="exact"/>
              <w:rPr>
                <w:rFonts w:hAnsi="宋体"/>
                <w:color w:val="000000" w:themeColor="text1"/>
                <w:sz w:val="18"/>
              </w:rPr>
            </w:pPr>
            <w:r w:rsidRPr="00687B52">
              <w:rPr>
                <w:rFonts w:hAnsi="宋体" w:hint="eastAsia"/>
                <w:color w:val="000000" w:themeColor="text1"/>
                <w:sz w:val="18"/>
              </w:rPr>
              <w:t>15</w:t>
            </w:r>
          </w:p>
        </w:tc>
        <w:tc>
          <w:tcPr>
            <w:tcW w:w="841" w:type="pct"/>
            <w:gridSpan w:val="2"/>
            <w:shd w:val="clear" w:color="auto" w:fill="auto"/>
            <w:vAlign w:val="center"/>
          </w:tcPr>
          <w:p w:rsidR="000C2455" w:rsidRPr="00687B52" w:rsidRDefault="000C2455" w:rsidP="003E1D2A">
            <w:pPr>
              <w:pStyle w:val="a7"/>
              <w:spacing w:line="300" w:lineRule="exact"/>
              <w:rPr>
                <w:rFonts w:hAnsi="宋体"/>
                <w:color w:val="000000" w:themeColor="text1"/>
                <w:sz w:val="18"/>
              </w:rPr>
            </w:pPr>
            <w:r w:rsidRPr="00687B52">
              <w:rPr>
                <w:rFonts w:hAnsi="宋体" w:hint="eastAsia"/>
                <w:color w:val="000000" w:themeColor="text1"/>
                <w:sz w:val="18"/>
              </w:rPr>
              <w:t>20</w:t>
            </w:r>
          </w:p>
        </w:tc>
        <w:tc>
          <w:tcPr>
            <w:tcW w:w="943" w:type="pct"/>
            <w:vMerge/>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p>
        </w:tc>
        <w:tc>
          <w:tcPr>
            <w:tcW w:w="1159" w:type="pct"/>
            <w:vMerge/>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vMerge/>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p>
        </w:tc>
        <w:tc>
          <w:tcPr>
            <w:tcW w:w="598" w:type="pct"/>
            <w:gridSpan w:val="2"/>
            <w:vMerge/>
            <w:shd w:val="clear" w:color="auto" w:fill="auto"/>
            <w:vAlign w:val="center"/>
          </w:tcPr>
          <w:p w:rsidR="000C2455" w:rsidRPr="00687B52" w:rsidRDefault="000C2455" w:rsidP="003E1D2A">
            <w:pPr>
              <w:pStyle w:val="a7"/>
              <w:spacing w:line="300" w:lineRule="exact"/>
              <w:rPr>
                <w:rFonts w:hAnsi="宋体"/>
                <w:color w:val="000000" w:themeColor="text1"/>
                <w:sz w:val="18"/>
              </w:rPr>
            </w:pPr>
          </w:p>
        </w:tc>
        <w:tc>
          <w:tcPr>
            <w:tcW w:w="448" w:type="pct"/>
            <w:shd w:val="clear" w:color="auto" w:fill="auto"/>
            <w:vAlign w:val="center"/>
          </w:tcPr>
          <w:p w:rsidR="000C2455" w:rsidRPr="00687B52" w:rsidRDefault="000C2455" w:rsidP="003E1D2A">
            <w:pPr>
              <w:pStyle w:val="a7"/>
              <w:spacing w:line="300" w:lineRule="exact"/>
              <w:rPr>
                <w:rFonts w:hAnsi="宋体"/>
                <w:color w:val="000000" w:themeColor="text1"/>
                <w:sz w:val="18"/>
              </w:rPr>
            </w:pPr>
            <w:r w:rsidRPr="00687B52">
              <w:rPr>
                <w:rFonts w:hAnsi="宋体" w:hint="eastAsia"/>
                <w:color w:val="000000" w:themeColor="text1"/>
                <w:sz w:val="18"/>
              </w:rPr>
              <w:t>浮顶罐</w:t>
            </w:r>
          </w:p>
        </w:tc>
        <w:tc>
          <w:tcPr>
            <w:tcW w:w="646" w:type="pct"/>
            <w:gridSpan w:val="2"/>
            <w:shd w:val="clear" w:color="auto" w:fill="auto"/>
            <w:vAlign w:val="center"/>
          </w:tcPr>
          <w:p w:rsidR="000C2455" w:rsidRPr="00687B52" w:rsidRDefault="000C2455" w:rsidP="003E1D2A">
            <w:pPr>
              <w:pStyle w:val="a7"/>
              <w:spacing w:line="300" w:lineRule="exact"/>
              <w:rPr>
                <w:rFonts w:hAnsi="宋体"/>
                <w:color w:val="000000" w:themeColor="text1"/>
                <w:sz w:val="18"/>
              </w:rPr>
            </w:pPr>
            <w:r w:rsidRPr="00687B52">
              <w:rPr>
                <w:rFonts w:hAnsi="宋体" w:hint="eastAsia"/>
                <w:color w:val="000000" w:themeColor="text1"/>
                <w:sz w:val="18"/>
              </w:rPr>
              <w:t>12</w:t>
            </w:r>
          </w:p>
        </w:tc>
        <w:tc>
          <w:tcPr>
            <w:tcW w:w="841" w:type="pct"/>
            <w:gridSpan w:val="2"/>
            <w:shd w:val="clear" w:color="auto" w:fill="auto"/>
            <w:vAlign w:val="center"/>
          </w:tcPr>
          <w:p w:rsidR="000C2455" w:rsidRPr="00687B52" w:rsidRDefault="000C2455" w:rsidP="003E1D2A">
            <w:pPr>
              <w:pStyle w:val="a7"/>
              <w:spacing w:line="300" w:lineRule="exact"/>
              <w:rPr>
                <w:rFonts w:hAnsi="宋体"/>
                <w:color w:val="000000" w:themeColor="text1"/>
                <w:sz w:val="18"/>
              </w:rPr>
            </w:pPr>
            <w:r w:rsidRPr="00687B52">
              <w:rPr>
                <w:rFonts w:hAnsi="宋体" w:hint="eastAsia"/>
                <w:color w:val="000000" w:themeColor="text1"/>
                <w:sz w:val="18"/>
              </w:rPr>
              <w:t>15</w:t>
            </w:r>
          </w:p>
        </w:tc>
        <w:tc>
          <w:tcPr>
            <w:tcW w:w="943" w:type="pct"/>
            <w:vMerge/>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p>
        </w:tc>
        <w:tc>
          <w:tcPr>
            <w:tcW w:w="1159" w:type="pct"/>
            <w:vMerge/>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vMerge/>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p>
        </w:tc>
        <w:tc>
          <w:tcPr>
            <w:tcW w:w="1046" w:type="pct"/>
            <w:gridSpan w:val="3"/>
            <w:shd w:val="clear" w:color="auto" w:fill="auto"/>
            <w:vAlign w:val="center"/>
          </w:tcPr>
          <w:p w:rsidR="000C2455" w:rsidRPr="00687B52" w:rsidRDefault="000C2455" w:rsidP="003E1D2A">
            <w:pPr>
              <w:pStyle w:val="a7"/>
              <w:spacing w:line="300" w:lineRule="exact"/>
              <w:rPr>
                <w:rFonts w:hAnsi="宋体"/>
                <w:color w:val="000000" w:themeColor="text1"/>
                <w:sz w:val="18"/>
              </w:rPr>
            </w:pPr>
            <w:r w:rsidRPr="00687B52">
              <w:rPr>
                <w:rFonts w:hAnsi="宋体" w:hint="eastAsia"/>
                <w:color w:val="000000" w:themeColor="text1"/>
                <w:sz w:val="18"/>
              </w:rPr>
              <w:t>丙类液体储罐</w:t>
            </w:r>
          </w:p>
        </w:tc>
        <w:tc>
          <w:tcPr>
            <w:tcW w:w="646" w:type="pct"/>
            <w:gridSpan w:val="2"/>
            <w:shd w:val="clear" w:color="auto" w:fill="auto"/>
            <w:vAlign w:val="center"/>
          </w:tcPr>
          <w:p w:rsidR="000C2455" w:rsidRPr="00687B52" w:rsidRDefault="000C2455" w:rsidP="003E1D2A">
            <w:pPr>
              <w:pStyle w:val="a7"/>
              <w:spacing w:line="300" w:lineRule="exact"/>
              <w:rPr>
                <w:rFonts w:hAnsi="宋体"/>
                <w:color w:val="000000" w:themeColor="text1"/>
                <w:sz w:val="18"/>
              </w:rPr>
            </w:pPr>
            <w:r w:rsidRPr="00687B52">
              <w:rPr>
                <w:rFonts w:hAnsi="宋体" w:hint="eastAsia"/>
                <w:color w:val="000000" w:themeColor="text1"/>
                <w:sz w:val="18"/>
              </w:rPr>
              <w:t>10</w:t>
            </w:r>
          </w:p>
        </w:tc>
        <w:tc>
          <w:tcPr>
            <w:tcW w:w="841" w:type="pct"/>
            <w:gridSpan w:val="2"/>
            <w:shd w:val="clear" w:color="auto" w:fill="auto"/>
            <w:vAlign w:val="center"/>
          </w:tcPr>
          <w:p w:rsidR="000C2455" w:rsidRPr="00687B52" w:rsidRDefault="000C2455" w:rsidP="003E1D2A">
            <w:pPr>
              <w:pStyle w:val="a7"/>
              <w:spacing w:line="300" w:lineRule="exact"/>
              <w:rPr>
                <w:rFonts w:hAnsi="宋体"/>
                <w:color w:val="000000" w:themeColor="text1"/>
                <w:sz w:val="18"/>
              </w:rPr>
            </w:pPr>
            <w:r w:rsidRPr="00687B52">
              <w:rPr>
                <w:rFonts w:hAnsi="宋体" w:hint="eastAsia"/>
                <w:color w:val="000000" w:themeColor="text1"/>
                <w:sz w:val="18"/>
              </w:rPr>
              <w:t>12</w:t>
            </w:r>
          </w:p>
        </w:tc>
        <w:tc>
          <w:tcPr>
            <w:tcW w:w="943" w:type="pct"/>
            <w:vMerge/>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p>
        </w:tc>
        <w:tc>
          <w:tcPr>
            <w:tcW w:w="1159" w:type="pct"/>
            <w:vMerge/>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w:t>
            </w:r>
          </w:p>
        </w:tc>
        <w:tc>
          <w:tcPr>
            <w:tcW w:w="2533" w:type="pct"/>
            <w:gridSpan w:val="7"/>
            <w:shd w:val="clear" w:color="auto" w:fill="auto"/>
            <w:vAlign w:val="center"/>
          </w:tcPr>
          <w:p w:rsidR="000C2455" w:rsidRPr="00687B52" w:rsidRDefault="000C2455" w:rsidP="003E1D2A">
            <w:pPr>
              <w:pStyle w:val="a7"/>
              <w:spacing w:line="300" w:lineRule="exact"/>
              <w:jc w:val="left"/>
              <w:rPr>
                <w:rFonts w:hAnsi="宋体"/>
                <w:b/>
                <w:color w:val="000000" w:themeColor="text1"/>
                <w:kern w:val="0"/>
              </w:rPr>
            </w:pPr>
            <w:r w:rsidRPr="00687B52">
              <w:rPr>
                <w:rFonts w:hAnsi="宋体" w:hint="eastAsia"/>
                <w:b/>
                <w:color w:val="000000" w:themeColor="text1"/>
                <w:kern w:val="0"/>
              </w:rPr>
              <w:t>厂内建筑</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p>
        </w:tc>
        <w:tc>
          <w:tcPr>
            <w:tcW w:w="1159" w:type="pct"/>
            <w:shd w:val="clear" w:color="auto" w:fill="auto"/>
            <w:vAlign w:val="center"/>
          </w:tcPr>
          <w:p w:rsidR="000C2455" w:rsidRPr="00687B52" w:rsidRDefault="000C2455" w:rsidP="003E1D2A">
            <w:pPr>
              <w:spacing w:line="300" w:lineRule="exact"/>
              <w:rPr>
                <w:rFonts w:hAnsi="宋体"/>
                <w:color w:val="000000" w:themeColor="text1"/>
                <w:kern w:val="0"/>
                <w:sz w:val="24"/>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1.2.1</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硫酸生产装置主厂房，其耐火等级均不应低于二级，建筑面积不大于1000㎡时，可采用三级耐火等级的建筑。</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w:t>
            </w:r>
            <w:r w:rsidRPr="00687B52">
              <w:rPr>
                <w:rFonts w:asciiTheme="minorEastAsia" w:eastAsiaTheme="minorEastAsia" w:hAnsiTheme="minorEastAsia"/>
                <w:color w:val="000000" w:themeColor="text1"/>
                <w:szCs w:val="24"/>
              </w:rPr>
              <w:t>GB50016-20</w:t>
            </w:r>
            <w:r w:rsidRPr="00687B52">
              <w:rPr>
                <w:rFonts w:asciiTheme="minorEastAsia" w:eastAsiaTheme="minorEastAsia" w:hAnsiTheme="minorEastAsia" w:hint="eastAsia"/>
                <w:color w:val="000000" w:themeColor="text1"/>
                <w:szCs w:val="24"/>
              </w:rPr>
              <w:t>14</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3.2.3</w:t>
            </w:r>
            <w:r w:rsidRPr="00687B52">
              <w:rPr>
                <w:rFonts w:asciiTheme="minorEastAsia" w:eastAsiaTheme="minorEastAsia" w:hAnsiTheme="minorEastAsia"/>
                <w:color w:val="000000" w:themeColor="text1"/>
                <w:szCs w:val="24"/>
              </w:rPr>
              <w:t>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说明厂房的耐火等级。</w:t>
            </w: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1.2.2</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硫磺库（乙类）耐火等级不应低于二级，仓库最大允许建筑面积为2000㎡，每个防火分区的最大允许建筑面积分别为500㎡。</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3.2.7、3.3.2</w:t>
            </w:r>
            <w:r w:rsidRPr="00687B52">
              <w:rPr>
                <w:rFonts w:asciiTheme="minorEastAsia" w:eastAsiaTheme="minorEastAsia" w:hAnsiTheme="minorEastAsia"/>
                <w:color w:val="000000" w:themeColor="text1"/>
                <w:szCs w:val="24"/>
              </w:rPr>
              <w:t>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1.2.3</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厂房内设置中间仓库时</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应符合下列规定</w:t>
            </w:r>
            <w:r w:rsidRPr="00687B52">
              <w:rPr>
                <w:rFonts w:asciiTheme="minorEastAsia" w:eastAsiaTheme="minorEastAsia" w:hAnsiTheme="minorEastAsia" w:hint="eastAsia"/>
                <w:color w:val="000000" w:themeColor="text1"/>
                <w:szCs w:val="24"/>
              </w:rPr>
              <w:t>：1.</w:t>
            </w:r>
            <w:r w:rsidRPr="00687B52">
              <w:rPr>
                <w:rFonts w:asciiTheme="minorEastAsia" w:eastAsiaTheme="minorEastAsia" w:hAnsiTheme="minorEastAsia"/>
                <w:color w:val="000000" w:themeColor="text1"/>
                <w:szCs w:val="24"/>
              </w:rPr>
              <w:t>甲</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乙类中间仓库应靠外墙布置</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其储量不宜超过</w:t>
            </w:r>
            <w:r w:rsidRPr="00687B52">
              <w:rPr>
                <w:rFonts w:asciiTheme="minorEastAsia" w:eastAsiaTheme="minorEastAsia" w:hAnsiTheme="minorEastAsia" w:hint="eastAsia"/>
                <w:color w:val="000000" w:themeColor="text1"/>
                <w:szCs w:val="24"/>
              </w:rPr>
              <w:t>1昼夜的需要量；2.甲乙丙类中间仓库防火墙和耐火极限不低于1.5h的不燃性楼板与其他部位分隔。</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GB50016- 2014</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3.3.6</w:t>
            </w:r>
            <w:r w:rsidRPr="00687B52">
              <w:rPr>
                <w:rFonts w:asciiTheme="minorEastAsia" w:eastAsiaTheme="minorEastAsia" w:hAnsiTheme="minorEastAsia"/>
                <w:color w:val="000000" w:themeColor="text1"/>
                <w:szCs w:val="24"/>
              </w:rPr>
              <w:t>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1.2.4</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有爆炸危险的厂房或厂房内有爆炸危险的部位应设置泄压设施。</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w:t>
            </w:r>
            <w:r w:rsidRPr="00687B52">
              <w:rPr>
                <w:rFonts w:asciiTheme="minorEastAsia" w:eastAsiaTheme="minorEastAsia" w:hAnsiTheme="minorEastAsia"/>
                <w:color w:val="000000" w:themeColor="text1"/>
                <w:szCs w:val="24"/>
              </w:rPr>
              <w:t>3.6.</w:t>
            </w:r>
            <w:r w:rsidRPr="00687B52">
              <w:rPr>
                <w:rFonts w:asciiTheme="minorEastAsia" w:eastAsiaTheme="minorEastAsia" w:hAnsiTheme="minorEastAsia" w:hint="eastAsia"/>
                <w:color w:val="000000" w:themeColor="text1"/>
                <w:szCs w:val="24"/>
              </w:rPr>
              <w:t>2、3.6.3条</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说明有爆炸危险的厂房的泄压设施。</w:t>
            </w: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1.2.5</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硫磺库等有粉尘、纤维爆炸危险的乙类厂房，应符合下列规定：</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应采用不发火的地面。采用绝缘材料作整体面层时，应采取防静电措施。</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《建筑设计防火规范》GB50016-2014 </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第3.6.6条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说明是否采用不发火、防静电的地面。</w:t>
            </w: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1.2.6</w:t>
            </w:r>
          </w:p>
        </w:tc>
        <w:tc>
          <w:tcPr>
            <w:tcW w:w="2533" w:type="pct"/>
            <w:gridSpan w:val="7"/>
            <w:shd w:val="clear" w:color="auto" w:fill="auto"/>
            <w:vAlign w:val="center"/>
          </w:tcPr>
          <w:p w:rsidR="000C2455" w:rsidRPr="00687B52" w:rsidRDefault="000C2455" w:rsidP="003E1D2A">
            <w:pPr>
              <w:pStyle w:val="a7"/>
              <w:spacing w:line="300" w:lineRule="exact"/>
              <w:jc w:val="both"/>
              <w:rPr>
                <w:rFonts w:ascii="宋体" w:hAnsi="宋体"/>
                <w:color w:val="000000" w:themeColor="text1"/>
              </w:rPr>
            </w:pPr>
            <w:r w:rsidRPr="00687B52">
              <w:rPr>
                <w:rFonts w:ascii="宋体" w:hAnsi="宋体" w:hint="eastAsia"/>
                <w:color w:val="000000" w:themeColor="text1"/>
              </w:rPr>
              <w:t>企业不得在二氧化硫主风机房等可能有二氧化硫泄漏的建筑物内设置操作室、办公室、休息室或会议室等。</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宋体" w:hAnsi="宋体"/>
                <w:color w:val="000000" w:themeColor="text1"/>
              </w:rPr>
            </w:pPr>
            <w:r w:rsidRPr="00687B52">
              <w:rPr>
                <w:rFonts w:asciiTheme="minorEastAsia" w:eastAsiaTheme="minorEastAsia" w:hAnsiTheme="minorEastAsia" w:hint="eastAsia"/>
                <w:color w:val="000000" w:themeColor="text1"/>
                <w:szCs w:val="24"/>
              </w:rPr>
              <w:t>第5.7.2.7条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1.2.7</w:t>
            </w:r>
          </w:p>
        </w:tc>
        <w:tc>
          <w:tcPr>
            <w:tcW w:w="2533" w:type="pct"/>
            <w:gridSpan w:val="7"/>
            <w:shd w:val="clear" w:color="auto" w:fill="auto"/>
            <w:vAlign w:val="center"/>
          </w:tcPr>
          <w:p w:rsidR="000C2455" w:rsidRPr="00687B52" w:rsidRDefault="000C2455" w:rsidP="003E1D2A">
            <w:pPr>
              <w:pStyle w:val="a7"/>
              <w:spacing w:line="300" w:lineRule="exact"/>
              <w:jc w:val="both"/>
              <w:rPr>
                <w:rFonts w:ascii="宋体" w:hAnsi="宋体"/>
                <w:color w:val="000000" w:themeColor="text1"/>
              </w:rPr>
            </w:pPr>
            <w:r w:rsidRPr="00687B52">
              <w:rPr>
                <w:rFonts w:ascii="宋体" w:hAnsi="宋体" w:hint="eastAsia"/>
                <w:color w:val="000000" w:themeColor="text1"/>
              </w:rPr>
              <w:t>硫磺库不应设置在地下或半地下。</w:t>
            </w:r>
          </w:p>
        </w:tc>
        <w:tc>
          <w:tcPr>
            <w:tcW w:w="943" w:type="pct"/>
            <w:shd w:val="clear" w:color="auto" w:fill="auto"/>
            <w:vAlign w:val="center"/>
          </w:tcPr>
          <w:p w:rsidR="000C2455" w:rsidRPr="00687B52" w:rsidRDefault="000C2455" w:rsidP="003E1D2A">
            <w:pPr>
              <w:pStyle w:val="a7"/>
              <w:spacing w:line="300" w:lineRule="exact"/>
              <w:rPr>
                <w:rFonts w:ascii="宋体" w:hAnsi="宋体"/>
                <w:color w:val="000000" w:themeColor="text1"/>
              </w:rPr>
            </w:pPr>
            <w:r w:rsidRPr="00687B52">
              <w:rPr>
                <w:rFonts w:ascii="宋体" w:hAnsi="宋体" w:hint="eastAsia"/>
                <w:color w:val="000000" w:themeColor="text1"/>
              </w:rPr>
              <w:t>《建筑设计防火规范》</w:t>
            </w:r>
            <w:r w:rsidRPr="00687B52">
              <w:rPr>
                <w:rFonts w:ascii="宋体" w:hAnsi="宋体"/>
                <w:color w:val="000000" w:themeColor="text1"/>
              </w:rPr>
              <w:t>GB50016-20</w:t>
            </w:r>
            <w:r w:rsidRPr="00687B52">
              <w:rPr>
                <w:rFonts w:ascii="宋体" w:hAnsi="宋体" w:hint="eastAsia"/>
                <w:color w:val="000000" w:themeColor="text1"/>
              </w:rPr>
              <w:t>14</w:t>
            </w:r>
          </w:p>
          <w:p w:rsidR="000C2455" w:rsidRPr="00687B52" w:rsidRDefault="000C2455" w:rsidP="003E1D2A">
            <w:pPr>
              <w:pStyle w:val="a7"/>
              <w:spacing w:line="300" w:lineRule="exact"/>
              <w:rPr>
                <w:rFonts w:ascii="宋体" w:hAnsi="宋体"/>
                <w:color w:val="000000" w:themeColor="text1"/>
              </w:rPr>
            </w:pPr>
            <w:r w:rsidRPr="00687B52">
              <w:rPr>
                <w:rFonts w:ascii="宋体" w:hAnsi="宋体"/>
                <w:color w:val="000000" w:themeColor="text1"/>
              </w:rPr>
              <w:t>第</w:t>
            </w:r>
            <w:r w:rsidRPr="00687B52">
              <w:rPr>
                <w:rFonts w:ascii="宋体" w:hAnsi="宋体" w:hint="eastAsia"/>
                <w:color w:val="000000" w:themeColor="text1"/>
              </w:rPr>
              <w:t>3.3.4</w:t>
            </w:r>
            <w:r w:rsidRPr="00687B52">
              <w:rPr>
                <w:rFonts w:ascii="宋体" w:hAnsi="宋体"/>
                <w:color w:val="000000" w:themeColor="text1"/>
              </w:rPr>
              <w:t>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1.2.8</w:t>
            </w:r>
          </w:p>
        </w:tc>
        <w:tc>
          <w:tcPr>
            <w:tcW w:w="2533" w:type="pct"/>
            <w:gridSpan w:val="7"/>
            <w:shd w:val="clear" w:color="auto" w:fill="auto"/>
            <w:vAlign w:val="center"/>
          </w:tcPr>
          <w:p w:rsidR="000C2455" w:rsidRPr="00687B52" w:rsidRDefault="000C2455" w:rsidP="003E1D2A">
            <w:pPr>
              <w:pStyle w:val="a7"/>
              <w:spacing w:line="300" w:lineRule="exact"/>
              <w:jc w:val="both"/>
              <w:rPr>
                <w:rFonts w:ascii="宋体" w:hAnsi="宋体"/>
                <w:color w:val="000000" w:themeColor="text1"/>
              </w:rPr>
            </w:pPr>
            <w:r w:rsidRPr="00687B52">
              <w:rPr>
                <w:rFonts w:ascii="宋体" w:hAnsi="宋体" w:hint="eastAsia"/>
                <w:color w:val="000000" w:themeColor="text1"/>
              </w:rPr>
              <w:t>员工宿舍严禁设置在厂房内及仓库内。</w:t>
            </w:r>
          </w:p>
          <w:p w:rsidR="000C2455" w:rsidRPr="00687B52" w:rsidRDefault="000C2455" w:rsidP="003E1D2A">
            <w:pPr>
              <w:pStyle w:val="a7"/>
              <w:spacing w:line="300" w:lineRule="exact"/>
              <w:jc w:val="both"/>
              <w:rPr>
                <w:rFonts w:ascii="宋体" w:hAnsi="宋体"/>
                <w:color w:val="000000" w:themeColor="text1"/>
              </w:rPr>
            </w:pPr>
            <w:r w:rsidRPr="00687B52">
              <w:rPr>
                <w:rFonts w:asciiTheme="minorEastAsia" w:eastAsiaTheme="minorEastAsia" w:hAnsiTheme="minorEastAsia" w:hint="eastAsia"/>
                <w:color w:val="000000" w:themeColor="text1"/>
                <w:szCs w:val="24"/>
              </w:rPr>
              <w:t>办公室、休息室等设置在厂房内，应采用耐火极限不低于2.50h的防火隔墙和1.00h的楼板与其他部位分隔，并应至少设置1个独立的安全出口。如隔墙上需开设相互连通的门时，应采用乙级防火门。</w:t>
            </w:r>
          </w:p>
        </w:tc>
        <w:tc>
          <w:tcPr>
            <w:tcW w:w="943" w:type="pct"/>
            <w:shd w:val="clear" w:color="auto" w:fill="auto"/>
            <w:vAlign w:val="center"/>
          </w:tcPr>
          <w:p w:rsidR="000C2455" w:rsidRPr="00687B52" w:rsidRDefault="000C2455" w:rsidP="003E1D2A">
            <w:pPr>
              <w:pStyle w:val="a7"/>
              <w:spacing w:line="300" w:lineRule="exact"/>
              <w:rPr>
                <w:rFonts w:ascii="宋体" w:hAnsi="宋体"/>
                <w:color w:val="000000" w:themeColor="text1"/>
              </w:rPr>
            </w:pPr>
            <w:r w:rsidRPr="00687B52">
              <w:rPr>
                <w:rFonts w:ascii="宋体" w:hAnsi="宋体" w:hint="eastAsia"/>
                <w:color w:val="000000" w:themeColor="text1"/>
              </w:rPr>
              <w:t>《建筑设计防火规范》</w:t>
            </w:r>
            <w:r w:rsidRPr="00687B52">
              <w:rPr>
                <w:rFonts w:ascii="宋体" w:hAnsi="宋体"/>
                <w:color w:val="000000" w:themeColor="text1"/>
              </w:rPr>
              <w:t>GB50016-20</w:t>
            </w:r>
            <w:r w:rsidRPr="00687B52">
              <w:rPr>
                <w:rFonts w:ascii="宋体" w:hAnsi="宋体" w:hint="eastAsia"/>
                <w:color w:val="000000" w:themeColor="text1"/>
              </w:rPr>
              <w:t>14</w:t>
            </w:r>
          </w:p>
          <w:p w:rsidR="000C2455" w:rsidRPr="00687B52" w:rsidRDefault="000C2455" w:rsidP="003E1D2A">
            <w:pPr>
              <w:pStyle w:val="a7"/>
              <w:spacing w:line="300" w:lineRule="exact"/>
              <w:rPr>
                <w:rFonts w:ascii="宋体" w:hAnsi="宋体"/>
                <w:color w:val="000000" w:themeColor="text1"/>
              </w:rPr>
            </w:pPr>
            <w:r w:rsidRPr="00687B52">
              <w:rPr>
                <w:rFonts w:ascii="宋体" w:hAnsi="宋体"/>
                <w:color w:val="000000" w:themeColor="text1"/>
              </w:rPr>
              <w:t>第</w:t>
            </w:r>
            <w:r w:rsidRPr="00687B52">
              <w:rPr>
                <w:rFonts w:ascii="宋体" w:hAnsi="宋体" w:hint="eastAsia"/>
                <w:color w:val="000000" w:themeColor="text1"/>
              </w:rPr>
              <w:t>3.3.5</w:t>
            </w:r>
            <w:r w:rsidRPr="00687B52">
              <w:rPr>
                <w:rFonts w:ascii="宋体" w:hAnsi="宋体"/>
                <w:color w:val="000000" w:themeColor="text1"/>
              </w:rPr>
              <w:t>条</w:t>
            </w:r>
            <w:r w:rsidRPr="00687B52">
              <w:rPr>
                <w:rFonts w:ascii="宋体" w:hAnsi="宋体" w:hint="eastAsia"/>
                <w:color w:val="000000" w:themeColor="text1"/>
              </w:rPr>
              <w:t>、</w:t>
            </w:r>
            <w:r w:rsidRPr="00687B52">
              <w:rPr>
                <w:rFonts w:ascii="宋体" w:hAnsi="宋体"/>
                <w:color w:val="000000" w:themeColor="text1"/>
              </w:rPr>
              <w:t>第</w:t>
            </w:r>
            <w:r w:rsidRPr="00687B52">
              <w:rPr>
                <w:rFonts w:ascii="宋体" w:hAnsi="宋体" w:hint="eastAsia"/>
                <w:color w:val="000000" w:themeColor="text1"/>
              </w:rPr>
              <w:t>3.3.9</w:t>
            </w:r>
            <w:r w:rsidRPr="00687B52">
              <w:rPr>
                <w:rFonts w:ascii="宋体" w:hAnsi="宋体"/>
                <w:color w:val="000000" w:themeColor="text1"/>
              </w:rPr>
              <w:t>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p>
        </w:tc>
      </w:tr>
      <w:tr w:rsidR="000C2455" w:rsidRPr="00687B52" w:rsidTr="00406A19">
        <w:tc>
          <w:tcPr>
            <w:tcW w:w="365" w:type="pct"/>
            <w:vMerge w:val="restar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1.2.9</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厂房的安全出口应分散布置。每个防火分区或一个防火分区的每个楼层，其相邻2个安全出口最近边缘之间的水平距离不应小于5m。</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第3.7.1条</w:t>
            </w:r>
          </w:p>
        </w:tc>
        <w:tc>
          <w:tcPr>
            <w:tcW w:w="1159" w:type="pct"/>
            <w:vMerge w:val="restar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p>
        </w:tc>
      </w:tr>
      <w:tr w:rsidR="000C2455" w:rsidRPr="00687B52" w:rsidTr="00406A19">
        <w:tc>
          <w:tcPr>
            <w:tcW w:w="365" w:type="pct"/>
            <w:vMerge/>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厂房的安全出口应分散布置。每个防火分区或一个防火分区的每个楼层，其安全出口的数量应经计算确定，且不应少于2个；当符合下列条件时，可设置1个安全出口：</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甲类厂房，每层建筑面积不大于100㎡，且同一时间的作业人员不超过5人；</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乙类厂房，每层建筑面积不大于150㎡，且同一时间的作业人员不超过10人；</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丙类厂房，每层建筑面积不大于250㎡，且同一时间的作业人员不超过20人；</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丁、戊类厂房，每层建筑面积不大于400㎡，且同一时间的作业人员不超过30人；</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地下或半地下厂房（包括地下或半地下室），每层建筑面积不大于50㎡，且同一时间的作业人数不超过15人。</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第3.7.2条</w:t>
            </w:r>
          </w:p>
        </w:tc>
        <w:tc>
          <w:tcPr>
            <w:tcW w:w="1159" w:type="pct"/>
            <w:vMerge/>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1.2.10</w:t>
            </w:r>
          </w:p>
        </w:tc>
        <w:tc>
          <w:tcPr>
            <w:tcW w:w="2533" w:type="pct"/>
            <w:gridSpan w:val="7"/>
            <w:shd w:val="clear" w:color="auto" w:fill="auto"/>
            <w:vAlign w:val="center"/>
          </w:tcPr>
          <w:p w:rsidR="000C2455" w:rsidRPr="00687B52" w:rsidRDefault="000C2455" w:rsidP="003E1D2A">
            <w:pPr>
              <w:pStyle w:val="a7"/>
              <w:spacing w:line="300" w:lineRule="exact"/>
              <w:jc w:val="both"/>
              <w:rPr>
                <w:rFonts w:ascii="宋体" w:hAnsi="宋体"/>
                <w:color w:val="000000" w:themeColor="text1"/>
              </w:rPr>
            </w:pPr>
            <w:r w:rsidRPr="00687B52">
              <w:rPr>
                <w:rFonts w:ascii="宋体" w:hAnsi="宋体"/>
                <w:color w:val="000000" w:themeColor="text1"/>
              </w:rPr>
              <w:t>生产、经营、储存、使用危险物品的车间、商店、仓库不得与员工宿舍在同一座建筑物内，并应当与员工宿舍保持安全距离。</w:t>
            </w:r>
          </w:p>
        </w:tc>
        <w:tc>
          <w:tcPr>
            <w:tcW w:w="943" w:type="pct"/>
            <w:shd w:val="clear" w:color="auto" w:fill="auto"/>
            <w:vAlign w:val="center"/>
          </w:tcPr>
          <w:p w:rsidR="000C2455" w:rsidRPr="00687B52" w:rsidRDefault="000C2455" w:rsidP="003E1D2A">
            <w:pPr>
              <w:pStyle w:val="a7"/>
              <w:spacing w:line="300" w:lineRule="exact"/>
              <w:rPr>
                <w:rFonts w:ascii="宋体" w:hAnsi="宋体"/>
                <w:color w:val="000000" w:themeColor="text1"/>
              </w:rPr>
            </w:pPr>
            <w:r w:rsidRPr="00687B52">
              <w:rPr>
                <w:rFonts w:ascii="宋体" w:hAnsi="宋体"/>
                <w:color w:val="000000" w:themeColor="text1"/>
              </w:rPr>
              <w:t>《安全生产法》</w:t>
            </w:r>
          </w:p>
          <w:p w:rsidR="000C2455" w:rsidRPr="00687B52" w:rsidRDefault="000C2455" w:rsidP="003E1D2A">
            <w:pPr>
              <w:pStyle w:val="a7"/>
              <w:spacing w:line="300" w:lineRule="exact"/>
              <w:rPr>
                <w:rFonts w:ascii="宋体" w:hAnsi="宋体"/>
                <w:color w:val="000000" w:themeColor="text1"/>
              </w:rPr>
            </w:pPr>
            <w:r w:rsidRPr="00687B52">
              <w:rPr>
                <w:rFonts w:ascii="宋体" w:hAnsi="宋体"/>
                <w:color w:val="000000" w:themeColor="text1"/>
              </w:rPr>
              <w:t>第三十九条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说明变、配电所的设置情况。</w:t>
            </w: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1.2.11</w:t>
            </w:r>
          </w:p>
        </w:tc>
        <w:tc>
          <w:tcPr>
            <w:tcW w:w="2533" w:type="pct"/>
            <w:gridSpan w:val="7"/>
            <w:shd w:val="clear" w:color="auto" w:fill="auto"/>
            <w:vAlign w:val="center"/>
          </w:tcPr>
          <w:p w:rsidR="000C2455" w:rsidRPr="00687B52" w:rsidRDefault="000C2455" w:rsidP="003E1D2A">
            <w:pPr>
              <w:pStyle w:val="a7"/>
              <w:spacing w:line="300" w:lineRule="exact"/>
              <w:jc w:val="both"/>
              <w:rPr>
                <w:rFonts w:ascii="宋体" w:hAnsi="宋体"/>
                <w:color w:val="000000" w:themeColor="text1"/>
              </w:rPr>
            </w:pPr>
            <w:r w:rsidRPr="00687B52">
              <w:rPr>
                <w:rFonts w:ascii="宋体" w:hAnsi="宋体" w:hint="eastAsia"/>
                <w:color w:val="000000" w:themeColor="text1"/>
              </w:rPr>
              <w:t>生产或储存腐蚀性溶液的大型设备，宜布置在室外，并不宜邻近厂房基础。</w:t>
            </w:r>
          </w:p>
        </w:tc>
        <w:tc>
          <w:tcPr>
            <w:tcW w:w="943" w:type="pct"/>
            <w:shd w:val="clear" w:color="auto" w:fill="auto"/>
            <w:vAlign w:val="center"/>
          </w:tcPr>
          <w:p w:rsidR="000C2455" w:rsidRPr="00687B52" w:rsidRDefault="000C2455" w:rsidP="003E1D2A">
            <w:pPr>
              <w:pStyle w:val="a7"/>
              <w:spacing w:line="300" w:lineRule="exact"/>
              <w:rPr>
                <w:rFonts w:ascii="宋体" w:hAnsi="宋体"/>
                <w:color w:val="000000" w:themeColor="text1"/>
              </w:rPr>
            </w:pPr>
            <w:r w:rsidRPr="00687B52">
              <w:rPr>
                <w:rFonts w:ascii="宋体" w:hAnsi="宋体" w:hint="eastAsia"/>
                <w:color w:val="000000" w:themeColor="text1"/>
              </w:rPr>
              <w:t>《工业建筑防腐蚀设计规范》GB50046-2008</w:t>
            </w:r>
          </w:p>
          <w:p w:rsidR="000C2455" w:rsidRPr="00687B52" w:rsidRDefault="000C2455" w:rsidP="003E1D2A">
            <w:pPr>
              <w:pStyle w:val="a7"/>
              <w:spacing w:line="300" w:lineRule="exact"/>
              <w:rPr>
                <w:rFonts w:ascii="宋体" w:hAnsi="宋体"/>
                <w:color w:val="000000" w:themeColor="text1"/>
              </w:rPr>
            </w:pPr>
            <w:r w:rsidRPr="00687B52">
              <w:rPr>
                <w:rFonts w:ascii="宋体" w:hAnsi="宋体" w:hint="eastAsia"/>
                <w:color w:val="000000" w:themeColor="text1"/>
              </w:rPr>
              <w:t>第3.2.2条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1.2.12</w:t>
            </w:r>
          </w:p>
        </w:tc>
        <w:tc>
          <w:tcPr>
            <w:tcW w:w="2533" w:type="pct"/>
            <w:gridSpan w:val="7"/>
            <w:shd w:val="clear" w:color="auto" w:fill="auto"/>
            <w:vAlign w:val="center"/>
          </w:tcPr>
          <w:p w:rsidR="000C2455" w:rsidRPr="00687B52" w:rsidRDefault="000C2455" w:rsidP="003E1D2A">
            <w:pPr>
              <w:pStyle w:val="a7"/>
              <w:spacing w:line="300" w:lineRule="exact"/>
              <w:jc w:val="both"/>
              <w:rPr>
                <w:rFonts w:ascii="宋体" w:hAnsi="宋体"/>
                <w:color w:val="000000" w:themeColor="text1"/>
              </w:rPr>
            </w:pPr>
            <w:r w:rsidRPr="00687B52">
              <w:rPr>
                <w:rFonts w:ascii="宋体" w:hAnsi="宋体" w:hint="eastAsia"/>
                <w:color w:val="000000" w:themeColor="text1"/>
              </w:rPr>
              <w:t xml:space="preserve">建筑物或构筑物局部受腐蚀性介质作用时，应采取局部防腐蚀措施。    </w:t>
            </w:r>
          </w:p>
        </w:tc>
        <w:tc>
          <w:tcPr>
            <w:tcW w:w="943" w:type="pct"/>
            <w:shd w:val="clear" w:color="auto" w:fill="auto"/>
            <w:vAlign w:val="center"/>
          </w:tcPr>
          <w:p w:rsidR="000C2455" w:rsidRPr="00687B52" w:rsidRDefault="000C2455" w:rsidP="003E1D2A">
            <w:pPr>
              <w:pStyle w:val="a7"/>
              <w:spacing w:line="300" w:lineRule="exact"/>
              <w:rPr>
                <w:rFonts w:ascii="宋体" w:hAnsi="宋体"/>
                <w:color w:val="000000" w:themeColor="text1"/>
              </w:rPr>
            </w:pPr>
            <w:r w:rsidRPr="00687B52">
              <w:rPr>
                <w:rFonts w:ascii="宋体" w:hAnsi="宋体" w:hint="eastAsia"/>
                <w:color w:val="000000" w:themeColor="text1"/>
              </w:rPr>
              <w:t>《工业建筑防腐蚀设计规范》GB50046-2008</w:t>
            </w:r>
          </w:p>
          <w:p w:rsidR="000C2455" w:rsidRPr="00687B52" w:rsidRDefault="000C2455" w:rsidP="003E1D2A">
            <w:pPr>
              <w:pStyle w:val="a7"/>
              <w:spacing w:line="300" w:lineRule="exact"/>
              <w:rPr>
                <w:rFonts w:ascii="宋体" w:hAnsi="宋体"/>
                <w:color w:val="000000" w:themeColor="text1"/>
              </w:rPr>
            </w:pPr>
            <w:r w:rsidRPr="00687B52">
              <w:rPr>
                <w:rFonts w:ascii="宋体" w:hAnsi="宋体" w:hint="eastAsia"/>
                <w:color w:val="000000" w:themeColor="text1"/>
              </w:rPr>
              <w:t>第3.2.7条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1.3</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厂内道路与安全疏散</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1.3.1</w:t>
            </w:r>
          </w:p>
        </w:tc>
        <w:tc>
          <w:tcPr>
            <w:tcW w:w="2533" w:type="pct"/>
            <w:gridSpan w:val="7"/>
            <w:shd w:val="clear" w:color="auto" w:fill="auto"/>
            <w:vAlign w:val="center"/>
          </w:tcPr>
          <w:p w:rsidR="000C2455" w:rsidRPr="00687B52" w:rsidRDefault="000C2455" w:rsidP="003E1D2A">
            <w:pPr>
              <w:pStyle w:val="a7"/>
              <w:spacing w:line="300" w:lineRule="exact"/>
              <w:jc w:val="both"/>
              <w:rPr>
                <w:rFonts w:ascii="宋体" w:hAnsi="宋体"/>
                <w:color w:val="000000" w:themeColor="text1"/>
              </w:rPr>
            </w:pPr>
            <w:r w:rsidRPr="00687B52">
              <w:rPr>
                <w:rFonts w:ascii="宋体" w:hAnsi="宋体"/>
                <w:color w:val="000000" w:themeColor="text1"/>
              </w:rPr>
              <w:t>厂区道路应根据交通、消防和分区的要求合理布置，办求顺畅。危险场所应为环行，路面宽度按交通密度及安全因素确定，保证消防、急救车辆畅行无阻。</w:t>
            </w:r>
          </w:p>
        </w:tc>
        <w:tc>
          <w:tcPr>
            <w:tcW w:w="943" w:type="pct"/>
            <w:shd w:val="clear" w:color="auto" w:fill="auto"/>
            <w:vAlign w:val="center"/>
          </w:tcPr>
          <w:p w:rsidR="000C2455" w:rsidRPr="00687B52" w:rsidRDefault="000C2455" w:rsidP="003E1D2A">
            <w:pPr>
              <w:pStyle w:val="a7"/>
              <w:spacing w:line="300" w:lineRule="exact"/>
              <w:rPr>
                <w:rFonts w:ascii="宋体" w:hAnsi="宋体"/>
                <w:color w:val="000000" w:themeColor="text1"/>
              </w:rPr>
            </w:pPr>
            <w:r w:rsidRPr="00687B52">
              <w:rPr>
                <w:rFonts w:ascii="宋体" w:hAnsi="宋体" w:hint="eastAsia"/>
                <w:color w:val="000000" w:themeColor="text1"/>
              </w:rPr>
              <w:t>《化工企业安全卫生设计规范》</w:t>
            </w:r>
            <w:r w:rsidRPr="00687B52">
              <w:rPr>
                <w:rFonts w:ascii="宋体" w:hAnsi="宋体"/>
                <w:color w:val="000000" w:themeColor="text1"/>
              </w:rPr>
              <w:t>HG20571-</w:t>
            </w:r>
            <w:r w:rsidRPr="00687B52">
              <w:rPr>
                <w:rFonts w:ascii="宋体" w:hAnsi="宋体" w:hint="eastAsia"/>
                <w:color w:val="000000" w:themeColor="text1"/>
              </w:rPr>
              <w:t>2014</w:t>
            </w:r>
            <w:r w:rsidRPr="00687B52">
              <w:rPr>
                <w:rFonts w:ascii="宋体" w:hAnsi="宋体"/>
                <w:color w:val="000000" w:themeColor="text1"/>
              </w:rPr>
              <w:t>第2.2.2条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1.3.2</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厂内道路路面宽度应根据车辆、行人通行和消防需要确定，并宜按现行国家标准《厂矿道路设计规范》GBJ 22的有关规定执行。</w:t>
            </w:r>
          </w:p>
          <w:p w:rsidR="000C2455" w:rsidRPr="00687B52" w:rsidRDefault="000C2455" w:rsidP="003E1D2A">
            <w:pPr>
              <w:pStyle w:val="a7"/>
              <w:tabs>
                <w:tab w:val="left" w:pos="4411"/>
              </w:tabs>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厂内道路最小圆曲线半径，当行驶单辆汽车时，不宜小于15m；当行驶拖挂车时，不宜小于20m。厂内道路交叉口路面内缘转弯半径应根据其行驶的车辆的类别确定，也可按表6.4.6的规定选用。</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《工业企业总平面设计规范》</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GB50187-2012</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第6.4.5、6.4.6条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说明厂区通道宽度和转弯半径是否符合要求。</w:t>
            </w: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1.3.3</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易燃、易爆物品的生产区域或贮存仓库区，应根据安全生产的需要，将道路划分为限制车辆通行或禁止车辆通行的路段，并设置标志。</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《工业企业厂内铁路、道路运输安全规程》</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GB4387-2008</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第6.1.4条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w:t>
            </w:r>
            <w:r w:rsidRPr="00687B52">
              <w:rPr>
                <w:rFonts w:asciiTheme="minorEastAsia" w:hAnsiTheme="minorEastAsia"/>
                <w:color w:val="000000" w:themeColor="text1"/>
                <w:sz w:val="24"/>
                <w:szCs w:val="24"/>
              </w:rPr>
              <w:t>限制车辆通行或禁止车辆通行的路段</w:t>
            </w:r>
            <w:r w:rsidRPr="00687B52">
              <w:rPr>
                <w:rFonts w:asciiTheme="minorEastAsia" w:hAnsiTheme="minorEastAsia" w:hint="eastAsia"/>
                <w:color w:val="000000" w:themeColor="text1"/>
                <w:sz w:val="24"/>
                <w:szCs w:val="24"/>
              </w:rPr>
              <w:t>警示</w:t>
            </w:r>
            <w:r w:rsidRPr="00687B52">
              <w:rPr>
                <w:rFonts w:asciiTheme="minorEastAsia" w:hAnsiTheme="minorEastAsia"/>
                <w:color w:val="000000" w:themeColor="text1"/>
                <w:sz w:val="24"/>
                <w:szCs w:val="24"/>
              </w:rPr>
              <w:t>标志</w:t>
            </w:r>
            <w:r w:rsidRPr="00687B52">
              <w:rPr>
                <w:rFonts w:asciiTheme="minorEastAsia" w:hAnsiTheme="minorEastAsia" w:hint="eastAsia"/>
                <w:color w:val="000000" w:themeColor="text1"/>
                <w:sz w:val="24"/>
                <w:szCs w:val="24"/>
              </w:rPr>
              <w:t>设置情况</w:t>
            </w:r>
            <w:r w:rsidRPr="00687B52">
              <w:rPr>
                <w:rFonts w:asciiTheme="minorEastAsia" w:hAnsiTheme="minorEastAsia"/>
                <w:color w:val="000000" w:themeColor="text1"/>
                <w:sz w:val="24"/>
                <w:szCs w:val="24"/>
              </w:rPr>
              <w:t>。</w:t>
            </w: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1.3.4</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厂区出入口的位置和数量，应根据企业的生产规模、总体规划、厂区用地面积及总平面布置等因素综合确定，并符合下列要求：</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出入口数量不宜少于2个；</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主要人流出入口宜与主要货流出入口分开设置，并位于厂区主干道通往居住区或城镇的一侧；主要货流出入口应位于主要货流方向，应靠近运输频繁的仓库、堆场，并应于外部运输线路连接方便。</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《工业企业总平面设计规范》</w:t>
            </w:r>
            <w:r w:rsidRPr="00687B52">
              <w:rPr>
                <w:rFonts w:asciiTheme="minorEastAsia" w:eastAsiaTheme="minorEastAsia" w:hAnsiTheme="minorEastAsia"/>
                <w:color w:val="000000" w:themeColor="text1"/>
                <w:szCs w:val="24"/>
              </w:rPr>
              <w:t>GB50187-2012</w:t>
            </w:r>
          </w:p>
          <w:p w:rsidR="000C2455" w:rsidRPr="00687B52" w:rsidRDefault="000C2455" w:rsidP="003E1D2A">
            <w:pPr>
              <w:pStyle w:val="a7"/>
              <w:spacing w:line="300" w:lineRule="exact"/>
              <w:rPr>
                <w:rFonts w:ascii="宋体" w:hAnsi="宋体"/>
                <w:color w:val="000000" w:themeColor="text1"/>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5.7.4</w:t>
            </w:r>
            <w:r w:rsidRPr="00687B52">
              <w:rPr>
                <w:rFonts w:asciiTheme="minorEastAsia" w:eastAsiaTheme="minorEastAsia" w:hAnsiTheme="minorEastAsia"/>
                <w:color w:val="000000" w:themeColor="text1"/>
                <w:szCs w:val="24"/>
              </w:rPr>
              <w:t>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p>
        </w:tc>
      </w:tr>
      <w:tr w:rsidR="000C2455" w:rsidRPr="00687B52" w:rsidTr="00406A19">
        <w:tc>
          <w:tcPr>
            <w:tcW w:w="365" w:type="pct"/>
            <w:shd w:val="clear" w:color="auto" w:fill="auto"/>
            <w:vAlign w:val="center"/>
          </w:tcPr>
          <w:p w:rsidR="000C2455" w:rsidRPr="00687B52" w:rsidRDefault="004A5011" w:rsidP="00F7630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1.3.</w:t>
            </w:r>
            <w:r w:rsidR="00F76305" w:rsidRPr="00687B52">
              <w:rPr>
                <w:rFonts w:asciiTheme="minorEastAsia" w:eastAsiaTheme="minorEastAsia" w:hAnsiTheme="minorEastAsia" w:hint="eastAsia"/>
                <w:color w:val="000000" w:themeColor="text1"/>
                <w:szCs w:val="24"/>
              </w:rPr>
              <w:t>5</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可燃材料露天堆场，液化石油气储罐区，甲、乙、丙类液体储罐区和可燃气体储罐区，应设置消防车道。</w:t>
            </w:r>
            <w:r w:rsidRPr="00687B52">
              <w:rPr>
                <w:rFonts w:asciiTheme="minorEastAsia" w:eastAsiaTheme="minorEastAsia" w:hAnsiTheme="minorEastAsia" w:hint="eastAsia"/>
                <w:color w:val="000000" w:themeColor="text1"/>
                <w:szCs w:val="24"/>
              </w:rPr>
              <w:tab/>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第7.1.6条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p>
        </w:tc>
      </w:tr>
      <w:tr w:rsidR="000C2455" w:rsidRPr="00687B52" w:rsidTr="00406A19">
        <w:tc>
          <w:tcPr>
            <w:tcW w:w="365" w:type="pct"/>
            <w:vMerge w:val="restart"/>
            <w:shd w:val="clear" w:color="auto" w:fill="auto"/>
            <w:vAlign w:val="center"/>
          </w:tcPr>
          <w:p w:rsidR="000C2455" w:rsidRPr="00687B52" w:rsidRDefault="004A5011" w:rsidP="00F7630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1.3.</w:t>
            </w:r>
            <w:r w:rsidR="00F76305" w:rsidRPr="00687B52">
              <w:rPr>
                <w:rFonts w:asciiTheme="minorEastAsia" w:eastAsiaTheme="minorEastAsia" w:hAnsiTheme="minorEastAsia" w:hint="eastAsia"/>
                <w:color w:val="000000" w:themeColor="text1"/>
                <w:szCs w:val="24"/>
              </w:rPr>
              <w:t>6</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消防车道应符合下列要求：</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车道的净宽度和净高度均不应小于4.0m；</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转弯半径应满足消防车转弯的要求；</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消防车道与建筑之间不应设置妨碍消防车操作的树木、架空管线等障碍物；</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消防车道靠建筑外墙一侧的边缘距离建筑外墙不宜小于5m；</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消防车道的坡度不宜大于8%。</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第7.1.8条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p>
        </w:tc>
      </w:tr>
      <w:tr w:rsidR="000C2455" w:rsidRPr="00687B52" w:rsidTr="00406A19">
        <w:tc>
          <w:tcPr>
            <w:tcW w:w="365" w:type="pct"/>
            <w:vMerge/>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消防车道的布置，应符合下列要求：1 道路宜呈环状布置；2 车道宽度不应小于4m；3 应避免与铁路平交。</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《工业企业总平面设计规范》</w:t>
            </w:r>
            <w:r w:rsidRPr="00687B52">
              <w:rPr>
                <w:rFonts w:asciiTheme="minorEastAsia" w:eastAsiaTheme="minorEastAsia" w:hAnsiTheme="minorEastAsia"/>
                <w:color w:val="000000" w:themeColor="text1"/>
                <w:szCs w:val="24"/>
              </w:rPr>
              <w:t>GB50187-2012</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第6.4.11条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p>
        </w:tc>
      </w:tr>
      <w:tr w:rsidR="000C2455" w:rsidRPr="00687B52" w:rsidTr="00406A19">
        <w:tc>
          <w:tcPr>
            <w:tcW w:w="365" w:type="pct"/>
            <w:shd w:val="clear" w:color="auto" w:fill="auto"/>
            <w:vAlign w:val="center"/>
          </w:tcPr>
          <w:p w:rsidR="000C2455" w:rsidRPr="00687B52" w:rsidRDefault="004A5011" w:rsidP="00F7630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1.3.</w:t>
            </w:r>
            <w:r w:rsidR="00F76305" w:rsidRPr="00687B52">
              <w:rPr>
                <w:rFonts w:asciiTheme="minorEastAsia" w:eastAsiaTheme="minorEastAsia" w:hAnsiTheme="minorEastAsia" w:hint="eastAsia"/>
                <w:color w:val="000000" w:themeColor="text1"/>
                <w:szCs w:val="24"/>
              </w:rPr>
              <w:t>7</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环形消防车道至少应有两处与其他车道连通。尽头式消防车道应设置回车道或回车场，回车场的面积不应小于12m×12m；对于高层建筑，不宜小于15m×15m；供重型消防车使用时，不宜小于18m×18m。</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第7.1.9条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p>
        </w:tc>
      </w:tr>
      <w:tr w:rsidR="000C2455" w:rsidRPr="00687B52" w:rsidTr="00406A19">
        <w:tc>
          <w:tcPr>
            <w:tcW w:w="365" w:type="pct"/>
            <w:shd w:val="clear" w:color="auto" w:fill="auto"/>
            <w:vAlign w:val="center"/>
          </w:tcPr>
          <w:p w:rsidR="000C2455" w:rsidRPr="00687B52" w:rsidRDefault="004A5011" w:rsidP="00F7630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1.3.</w:t>
            </w:r>
            <w:r w:rsidR="00F76305" w:rsidRPr="00687B52">
              <w:rPr>
                <w:rFonts w:asciiTheme="minorEastAsia" w:eastAsiaTheme="minorEastAsia" w:hAnsiTheme="minorEastAsia" w:hint="eastAsia"/>
                <w:color w:val="000000" w:themeColor="text1"/>
                <w:szCs w:val="24"/>
              </w:rPr>
              <w:t>8</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厂房内的疏散楼梯、走道、门的各自净宽度规定：①疏散楼梯的最小净宽度不宜小于1.1m；②疏散走道的最小净宽度不宜小于1.4m；③门的最小净宽度不宜小于0.9m</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第3.7.5条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疏散楼梯的净宽度为m；</w:t>
            </w:r>
          </w:p>
          <w:p w:rsidR="000C2455" w:rsidRPr="00687B52" w:rsidRDefault="000C2455"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疏散走道的净宽度为m；</w:t>
            </w:r>
          </w:p>
          <w:p w:rsidR="000C2455" w:rsidRPr="00687B52" w:rsidRDefault="000C2455"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 xml:space="preserve">门的净宽度为m（填写数字）。  </w:t>
            </w:r>
          </w:p>
        </w:tc>
      </w:tr>
      <w:tr w:rsidR="000C2455" w:rsidRPr="00687B52" w:rsidTr="00406A19">
        <w:tc>
          <w:tcPr>
            <w:tcW w:w="365" w:type="pct"/>
            <w:shd w:val="clear" w:color="auto" w:fill="auto"/>
            <w:vAlign w:val="center"/>
          </w:tcPr>
          <w:p w:rsidR="000C2455" w:rsidRPr="00687B52" w:rsidRDefault="004A5011" w:rsidP="00F7630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1.3.</w:t>
            </w:r>
            <w:r w:rsidR="00F76305" w:rsidRPr="00687B52">
              <w:rPr>
                <w:rFonts w:asciiTheme="minorEastAsia" w:eastAsiaTheme="minorEastAsia" w:hAnsiTheme="minorEastAsia" w:hint="eastAsia"/>
                <w:color w:val="000000" w:themeColor="text1"/>
                <w:szCs w:val="24"/>
              </w:rPr>
              <w:t>9</w:t>
            </w:r>
          </w:p>
        </w:tc>
        <w:tc>
          <w:tcPr>
            <w:tcW w:w="2533" w:type="pct"/>
            <w:gridSpan w:val="7"/>
            <w:shd w:val="clear" w:color="auto" w:fill="auto"/>
            <w:vAlign w:val="center"/>
          </w:tcPr>
          <w:p w:rsidR="000C2455" w:rsidRPr="00687B52" w:rsidRDefault="000C2455" w:rsidP="003E1D2A">
            <w:pPr>
              <w:pStyle w:val="a7"/>
              <w:spacing w:line="300" w:lineRule="exact"/>
              <w:jc w:val="left"/>
              <w:rPr>
                <w:rFonts w:ascii="宋体" w:hAnsi="宋体"/>
                <w:color w:val="000000" w:themeColor="text1"/>
              </w:rPr>
            </w:pPr>
            <w:r w:rsidRPr="00687B52">
              <w:rPr>
                <w:rFonts w:asciiTheme="minorEastAsia" w:eastAsiaTheme="minorEastAsia" w:hAnsiTheme="minorEastAsia"/>
                <w:color w:val="000000" w:themeColor="text1"/>
                <w:szCs w:val="24"/>
              </w:rPr>
              <w:t>生产经营场所和员工宿舍应当设有符合紧急疏散要求、标志明显、保持畅通的出口。禁止锁闭、封堵生产经营场所或者员工宿舍的出口。</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《安全生产法》</w:t>
            </w:r>
          </w:p>
          <w:p w:rsidR="000C2455" w:rsidRPr="00687B52" w:rsidRDefault="000C2455" w:rsidP="003E1D2A">
            <w:pPr>
              <w:pStyle w:val="a7"/>
              <w:spacing w:line="300" w:lineRule="exact"/>
              <w:rPr>
                <w:rFonts w:ascii="宋体" w:hAnsi="宋体"/>
                <w:color w:val="000000" w:themeColor="text1"/>
              </w:rPr>
            </w:pPr>
            <w:r w:rsidRPr="00687B52">
              <w:rPr>
                <w:rFonts w:asciiTheme="minorEastAsia" w:eastAsiaTheme="minorEastAsia" w:hAnsiTheme="minorEastAsia"/>
                <w:color w:val="000000" w:themeColor="text1"/>
                <w:szCs w:val="24"/>
              </w:rPr>
              <w:t>第三十九条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p>
        </w:tc>
      </w:tr>
      <w:tr w:rsidR="000C2455" w:rsidRPr="00687B52" w:rsidTr="00406A19">
        <w:tc>
          <w:tcPr>
            <w:tcW w:w="365" w:type="pct"/>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工艺系统与装置设施</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在役化工装置应经过正规设计或经过安全设计诊断。</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《化工（危险化学品）企业安全检查重点指导目录》安监总管三[2015]113号</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说明在役化工装置是否经过正规设计或经过安全设计诊断。</w:t>
            </w: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严禁使用国家明令淘汰的危及生产安全的工艺、设备的。</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《化工（危险化学品）企业安全检查重点指导目录》安监总管三[2015]113号</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说明是否使用了国家明令淘汰的危及生产安全的工艺、设备的。</w:t>
            </w: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2.3</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任何单位不得生产或使用国家明令禁止的危险化学品</w:t>
            </w:r>
            <w:r w:rsidRPr="00687B52">
              <w:rPr>
                <w:rFonts w:asciiTheme="minorEastAsia" w:eastAsiaTheme="minorEastAsia" w:hAnsiTheme="minorEastAsia" w:hint="eastAsia"/>
                <w:color w:val="000000" w:themeColor="text1"/>
                <w:szCs w:val="24"/>
              </w:rPr>
              <w:t>。</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《危险化学品管理条例》第十三条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说明是否</w:t>
            </w:r>
            <w:r w:rsidRPr="00687B52">
              <w:rPr>
                <w:rFonts w:asciiTheme="minorEastAsia" w:eastAsiaTheme="minorEastAsia" w:hAnsiTheme="minorEastAsia"/>
                <w:color w:val="000000" w:themeColor="text1"/>
                <w:szCs w:val="24"/>
              </w:rPr>
              <w:t>生产或使用</w:t>
            </w:r>
            <w:r w:rsidRPr="00687B52">
              <w:rPr>
                <w:rFonts w:asciiTheme="minorEastAsia" w:eastAsiaTheme="minorEastAsia" w:hAnsiTheme="minorEastAsia" w:hint="eastAsia"/>
                <w:color w:val="000000" w:themeColor="text1"/>
                <w:szCs w:val="24"/>
              </w:rPr>
              <w:t>了</w:t>
            </w:r>
            <w:r w:rsidRPr="00687B52">
              <w:rPr>
                <w:rFonts w:asciiTheme="minorEastAsia" w:eastAsiaTheme="minorEastAsia" w:hAnsiTheme="minorEastAsia"/>
                <w:color w:val="000000" w:themeColor="text1"/>
                <w:szCs w:val="24"/>
              </w:rPr>
              <w:t>国家明令禁止的危险化学品</w:t>
            </w:r>
            <w:r w:rsidRPr="00687B52">
              <w:rPr>
                <w:rFonts w:asciiTheme="minorEastAsia" w:eastAsiaTheme="minorEastAsia" w:hAnsiTheme="minorEastAsia" w:hint="eastAsia"/>
                <w:color w:val="000000" w:themeColor="text1"/>
                <w:szCs w:val="24"/>
              </w:rPr>
              <w:t>。</w:t>
            </w: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2.4</w:t>
            </w:r>
          </w:p>
        </w:tc>
        <w:tc>
          <w:tcPr>
            <w:tcW w:w="2533" w:type="pct"/>
            <w:gridSpan w:val="7"/>
            <w:shd w:val="clear" w:color="auto" w:fill="auto"/>
            <w:vAlign w:val="center"/>
          </w:tcPr>
          <w:p w:rsidR="000C2455" w:rsidRPr="00687B52" w:rsidRDefault="000C2455" w:rsidP="003E1D2A">
            <w:pPr>
              <w:spacing w:line="300" w:lineRule="exact"/>
              <w:rPr>
                <w:rFonts w:ascii="宋体" w:hAnsi="宋体"/>
                <w:color w:val="000000" w:themeColor="text1"/>
                <w:szCs w:val="21"/>
              </w:rPr>
            </w:pPr>
            <w:r w:rsidRPr="00687B52">
              <w:rPr>
                <w:rFonts w:ascii="宋体" w:hAnsi="宋体" w:hint="eastAsia"/>
                <w:color w:val="000000" w:themeColor="text1"/>
                <w:sz w:val="24"/>
                <w:szCs w:val="21"/>
              </w:rPr>
              <w:t>国家对严重危及生产安全的工艺、设备实行淘汰制度，具体目录由国务院安全生产监督管理部门会同国务院有关部门制定并公布。</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《安全生产法》</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第三十五条</w:t>
            </w:r>
          </w:p>
        </w:tc>
        <w:tc>
          <w:tcPr>
            <w:tcW w:w="1159" w:type="pct"/>
            <w:shd w:val="clear" w:color="auto" w:fill="auto"/>
            <w:vAlign w:val="center"/>
          </w:tcPr>
          <w:p w:rsidR="000C2455" w:rsidRPr="00687B52" w:rsidRDefault="000C2455" w:rsidP="003E1D2A">
            <w:pPr>
              <w:pStyle w:val="a7"/>
              <w:spacing w:line="300" w:lineRule="exact"/>
              <w:jc w:val="both"/>
              <w:rPr>
                <w:rFonts w:ascii="宋体" w:hAnsi="宋体"/>
                <w:color w:val="000000" w:themeColor="text1"/>
                <w:szCs w:val="32"/>
              </w:rPr>
            </w:pPr>
          </w:p>
        </w:tc>
      </w:tr>
      <w:tr w:rsidR="000C2455" w:rsidRPr="00687B52" w:rsidTr="00406A19">
        <w:tc>
          <w:tcPr>
            <w:tcW w:w="365" w:type="pct"/>
            <w:vMerge w:val="restar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2.5</w:t>
            </w:r>
          </w:p>
        </w:tc>
        <w:tc>
          <w:tcPr>
            <w:tcW w:w="1228" w:type="pct"/>
            <w:gridSpan w:val="4"/>
            <w:shd w:val="clear" w:color="auto" w:fill="auto"/>
            <w:vAlign w:val="center"/>
          </w:tcPr>
          <w:p w:rsidR="000C2455" w:rsidRPr="00687B52" w:rsidRDefault="000C2455" w:rsidP="003E1D2A">
            <w:pPr>
              <w:spacing w:line="300" w:lineRule="exact"/>
              <w:jc w:val="center"/>
              <w:rPr>
                <w:rFonts w:ascii="宋体" w:hAnsi="宋体"/>
                <w:color w:val="000000" w:themeColor="text1"/>
                <w:sz w:val="24"/>
                <w:szCs w:val="21"/>
              </w:rPr>
            </w:pPr>
            <w:r w:rsidRPr="00687B52">
              <w:rPr>
                <w:rFonts w:ascii="宋体" w:hAnsi="宋体" w:hint="eastAsia"/>
                <w:color w:val="000000" w:themeColor="text1"/>
                <w:sz w:val="24"/>
                <w:szCs w:val="21"/>
              </w:rPr>
              <w:t>淘汰的落后</w:t>
            </w:r>
          </w:p>
          <w:p w:rsidR="000C2455" w:rsidRPr="00687B52" w:rsidRDefault="000C2455" w:rsidP="003E1D2A">
            <w:pPr>
              <w:spacing w:line="300" w:lineRule="exact"/>
              <w:jc w:val="center"/>
              <w:rPr>
                <w:rFonts w:ascii="宋体" w:hAnsi="宋体"/>
                <w:color w:val="000000" w:themeColor="text1"/>
                <w:sz w:val="24"/>
                <w:szCs w:val="21"/>
              </w:rPr>
            </w:pPr>
            <w:r w:rsidRPr="00687B52">
              <w:rPr>
                <w:rFonts w:ascii="宋体" w:hAnsi="宋体" w:hint="eastAsia"/>
                <w:color w:val="000000" w:themeColor="text1"/>
                <w:sz w:val="24"/>
                <w:szCs w:val="21"/>
              </w:rPr>
              <w:t>技术装备名称</w:t>
            </w:r>
          </w:p>
        </w:tc>
        <w:tc>
          <w:tcPr>
            <w:tcW w:w="1305" w:type="pct"/>
            <w:gridSpan w:val="3"/>
            <w:shd w:val="clear" w:color="auto" w:fill="auto"/>
            <w:vAlign w:val="center"/>
          </w:tcPr>
          <w:p w:rsidR="000C2455" w:rsidRPr="00687B52" w:rsidRDefault="000C2455" w:rsidP="003E1D2A">
            <w:pPr>
              <w:spacing w:line="300" w:lineRule="exact"/>
              <w:jc w:val="center"/>
              <w:rPr>
                <w:rFonts w:ascii="宋体" w:hAnsi="宋体"/>
                <w:color w:val="000000" w:themeColor="text1"/>
                <w:sz w:val="24"/>
                <w:szCs w:val="21"/>
              </w:rPr>
            </w:pPr>
            <w:r w:rsidRPr="00687B52">
              <w:rPr>
                <w:rFonts w:ascii="宋体" w:hAnsi="宋体" w:hint="eastAsia"/>
                <w:color w:val="000000" w:themeColor="text1"/>
                <w:sz w:val="24"/>
                <w:szCs w:val="21"/>
              </w:rPr>
              <w:t>代替的技术</w:t>
            </w:r>
          </w:p>
          <w:p w:rsidR="000C2455" w:rsidRPr="00687B52" w:rsidRDefault="000C2455" w:rsidP="003E1D2A">
            <w:pPr>
              <w:spacing w:line="300" w:lineRule="exact"/>
              <w:jc w:val="center"/>
              <w:rPr>
                <w:rFonts w:ascii="宋体" w:hAnsi="宋体"/>
                <w:color w:val="000000" w:themeColor="text1"/>
                <w:sz w:val="24"/>
                <w:szCs w:val="21"/>
              </w:rPr>
            </w:pPr>
            <w:r w:rsidRPr="00687B52">
              <w:rPr>
                <w:rFonts w:ascii="宋体" w:hAnsi="宋体" w:hint="eastAsia"/>
                <w:color w:val="000000" w:themeColor="text1"/>
                <w:sz w:val="24"/>
                <w:szCs w:val="21"/>
              </w:rPr>
              <w:t>装备名称</w:t>
            </w:r>
          </w:p>
        </w:tc>
        <w:tc>
          <w:tcPr>
            <w:tcW w:w="943" w:type="pct"/>
            <w:vMerge w:val="restar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《国家安全监管总局关于印发淘汰落后安全技术装备目录（</w:t>
            </w:r>
            <w:r w:rsidRPr="00687B52">
              <w:rPr>
                <w:rFonts w:asciiTheme="minorEastAsia" w:eastAsiaTheme="minorEastAsia" w:hAnsiTheme="minorEastAsia"/>
                <w:color w:val="000000" w:themeColor="text1"/>
                <w:szCs w:val="24"/>
              </w:rPr>
              <w:t>2015</w:t>
            </w:r>
            <w:r w:rsidRPr="00687B52">
              <w:rPr>
                <w:rFonts w:asciiTheme="minorEastAsia" w:eastAsiaTheme="minorEastAsia" w:hAnsiTheme="minorEastAsia" w:hint="eastAsia"/>
                <w:color w:val="000000" w:themeColor="text1"/>
                <w:szCs w:val="24"/>
              </w:rPr>
              <w:t>年第一批）的通知》安监总科技〔2015〕75号</w:t>
            </w:r>
          </w:p>
        </w:tc>
        <w:tc>
          <w:tcPr>
            <w:tcW w:w="1159" w:type="pct"/>
            <w:vMerge w:val="restart"/>
            <w:shd w:val="clear" w:color="auto" w:fill="auto"/>
            <w:vAlign w:val="center"/>
          </w:tcPr>
          <w:p w:rsidR="000C2455" w:rsidRPr="00687B52" w:rsidRDefault="000C2455" w:rsidP="003E1D2A">
            <w:pPr>
              <w:pStyle w:val="a7"/>
              <w:spacing w:line="300" w:lineRule="exact"/>
              <w:jc w:val="both"/>
              <w:rPr>
                <w:rFonts w:ascii="宋体" w:hAnsi="宋体"/>
                <w:color w:val="000000" w:themeColor="text1"/>
                <w:szCs w:val="32"/>
              </w:rPr>
            </w:pPr>
          </w:p>
        </w:tc>
      </w:tr>
      <w:tr w:rsidR="000C2455" w:rsidRPr="00687B52" w:rsidTr="00406A19">
        <w:tc>
          <w:tcPr>
            <w:tcW w:w="365" w:type="pct"/>
            <w:vMerge/>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p>
        </w:tc>
        <w:tc>
          <w:tcPr>
            <w:tcW w:w="1228" w:type="pct"/>
            <w:gridSpan w:val="4"/>
            <w:shd w:val="clear" w:color="auto" w:fill="auto"/>
            <w:vAlign w:val="center"/>
          </w:tcPr>
          <w:p w:rsidR="000C2455" w:rsidRPr="00687B52" w:rsidRDefault="000C2455" w:rsidP="003E1D2A">
            <w:pPr>
              <w:spacing w:line="300" w:lineRule="exact"/>
              <w:jc w:val="center"/>
              <w:rPr>
                <w:rFonts w:ascii="宋体" w:hAnsi="宋体"/>
                <w:color w:val="000000" w:themeColor="text1"/>
                <w:sz w:val="24"/>
                <w:szCs w:val="21"/>
              </w:rPr>
            </w:pPr>
            <w:r w:rsidRPr="00687B52">
              <w:rPr>
                <w:rFonts w:ascii="宋体" w:hAnsi="宋体" w:hint="eastAsia"/>
                <w:color w:val="000000" w:themeColor="text1"/>
                <w:sz w:val="24"/>
                <w:szCs w:val="21"/>
              </w:rPr>
              <w:t>三足式离心机</w:t>
            </w:r>
          </w:p>
        </w:tc>
        <w:tc>
          <w:tcPr>
            <w:tcW w:w="1305" w:type="pct"/>
            <w:gridSpan w:val="3"/>
            <w:shd w:val="clear" w:color="auto" w:fill="auto"/>
            <w:vAlign w:val="center"/>
          </w:tcPr>
          <w:p w:rsidR="000C2455" w:rsidRPr="00687B52" w:rsidRDefault="000C2455" w:rsidP="003E1D2A">
            <w:pPr>
              <w:spacing w:line="300" w:lineRule="exact"/>
              <w:jc w:val="center"/>
              <w:rPr>
                <w:rFonts w:ascii="宋体" w:hAnsi="宋体"/>
                <w:color w:val="000000" w:themeColor="text1"/>
                <w:sz w:val="24"/>
                <w:szCs w:val="21"/>
              </w:rPr>
            </w:pPr>
            <w:r w:rsidRPr="00687B52">
              <w:rPr>
                <w:rFonts w:ascii="宋体" w:hAnsi="宋体" w:hint="eastAsia"/>
                <w:color w:val="000000" w:themeColor="text1"/>
                <w:sz w:val="24"/>
                <w:szCs w:val="21"/>
              </w:rPr>
              <w:t>压滤机或全自动离心机</w:t>
            </w:r>
          </w:p>
        </w:tc>
        <w:tc>
          <w:tcPr>
            <w:tcW w:w="943" w:type="pct"/>
            <w:vMerge/>
            <w:shd w:val="clear" w:color="auto" w:fill="auto"/>
            <w:vAlign w:val="center"/>
          </w:tcPr>
          <w:p w:rsidR="000C2455" w:rsidRPr="00687B52" w:rsidRDefault="000C2455" w:rsidP="003E1D2A">
            <w:pPr>
              <w:spacing w:line="300" w:lineRule="exact"/>
              <w:rPr>
                <w:rFonts w:ascii="宋体" w:hAnsi="宋体"/>
                <w:color w:val="000000" w:themeColor="text1"/>
                <w:szCs w:val="21"/>
              </w:rPr>
            </w:pPr>
          </w:p>
        </w:tc>
        <w:tc>
          <w:tcPr>
            <w:tcW w:w="1159" w:type="pct"/>
            <w:vMerge/>
            <w:shd w:val="clear" w:color="auto" w:fill="auto"/>
            <w:vAlign w:val="center"/>
          </w:tcPr>
          <w:p w:rsidR="000C2455" w:rsidRPr="00687B52" w:rsidRDefault="000C2455" w:rsidP="003E1D2A">
            <w:pPr>
              <w:pStyle w:val="a7"/>
              <w:spacing w:line="300" w:lineRule="exact"/>
              <w:jc w:val="both"/>
              <w:rPr>
                <w:rFonts w:ascii="宋体" w:hAnsi="宋体"/>
                <w:color w:val="000000" w:themeColor="text1"/>
                <w:szCs w:val="32"/>
              </w:rPr>
            </w:pPr>
          </w:p>
        </w:tc>
      </w:tr>
      <w:tr w:rsidR="000C2455" w:rsidRPr="00687B52" w:rsidTr="00406A19">
        <w:tc>
          <w:tcPr>
            <w:tcW w:w="365" w:type="pct"/>
            <w:vMerge/>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p>
        </w:tc>
        <w:tc>
          <w:tcPr>
            <w:tcW w:w="1228" w:type="pct"/>
            <w:gridSpan w:val="4"/>
            <w:shd w:val="clear" w:color="auto" w:fill="auto"/>
            <w:vAlign w:val="center"/>
          </w:tcPr>
          <w:p w:rsidR="000C2455" w:rsidRPr="00687B52" w:rsidRDefault="000C2455" w:rsidP="003E1D2A">
            <w:pPr>
              <w:spacing w:line="300" w:lineRule="exact"/>
              <w:jc w:val="center"/>
              <w:rPr>
                <w:rFonts w:ascii="宋体" w:hAnsi="宋体"/>
                <w:color w:val="000000" w:themeColor="text1"/>
                <w:sz w:val="24"/>
                <w:szCs w:val="21"/>
              </w:rPr>
            </w:pPr>
            <w:r w:rsidRPr="00687B52">
              <w:rPr>
                <w:rFonts w:ascii="宋体" w:hAnsi="宋体" w:hint="eastAsia"/>
                <w:color w:val="000000" w:themeColor="text1"/>
                <w:sz w:val="24"/>
                <w:szCs w:val="21"/>
              </w:rPr>
              <w:t>不带除尘的砂轮机</w:t>
            </w:r>
          </w:p>
        </w:tc>
        <w:tc>
          <w:tcPr>
            <w:tcW w:w="1305" w:type="pct"/>
            <w:gridSpan w:val="3"/>
            <w:shd w:val="clear" w:color="auto" w:fill="auto"/>
            <w:vAlign w:val="center"/>
          </w:tcPr>
          <w:p w:rsidR="000C2455" w:rsidRPr="00687B52" w:rsidRDefault="000C2455" w:rsidP="003E1D2A">
            <w:pPr>
              <w:spacing w:line="300" w:lineRule="exact"/>
              <w:jc w:val="center"/>
              <w:rPr>
                <w:rFonts w:ascii="宋体" w:hAnsi="宋体"/>
                <w:color w:val="000000" w:themeColor="text1"/>
                <w:sz w:val="24"/>
                <w:szCs w:val="21"/>
              </w:rPr>
            </w:pPr>
            <w:r w:rsidRPr="00687B52">
              <w:rPr>
                <w:rFonts w:ascii="宋体" w:hAnsi="宋体" w:hint="eastAsia"/>
                <w:color w:val="000000" w:themeColor="text1"/>
                <w:sz w:val="24"/>
                <w:szCs w:val="21"/>
              </w:rPr>
              <w:t>带除尘功能的砂轮机</w:t>
            </w:r>
          </w:p>
        </w:tc>
        <w:tc>
          <w:tcPr>
            <w:tcW w:w="943" w:type="pct"/>
            <w:vMerge/>
            <w:shd w:val="clear" w:color="auto" w:fill="auto"/>
            <w:vAlign w:val="center"/>
          </w:tcPr>
          <w:p w:rsidR="000C2455" w:rsidRPr="00687B52" w:rsidRDefault="000C2455" w:rsidP="003E1D2A">
            <w:pPr>
              <w:widowControl/>
              <w:spacing w:line="300" w:lineRule="exact"/>
              <w:jc w:val="left"/>
              <w:rPr>
                <w:rFonts w:ascii="宋体" w:hAnsi="宋体" w:cs="宋体"/>
                <w:color w:val="000000" w:themeColor="text1"/>
                <w:kern w:val="0"/>
                <w:sz w:val="24"/>
                <w:szCs w:val="24"/>
              </w:rPr>
            </w:pPr>
          </w:p>
        </w:tc>
        <w:tc>
          <w:tcPr>
            <w:tcW w:w="1159" w:type="pct"/>
            <w:vMerge/>
            <w:shd w:val="clear" w:color="auto" w:fill="auto"/>
            <w:vAlign w:val="center"/>
          </w:tcPr>
          <w:p w:rsidR="000C2455" w:rsidRPr="00687B52" w:rsidRDefault="000C2455" w:rsidP="003E1D2A">
            <w:pPr>
              <w:pStyle w:val="a7"/>
              <w:spacing w:line="300" w:lineRule="exact"/>
              <w:jc w:val="both"/>
              <w:rPr>
                <w:rFonts w:ascii="宋体" w:hAnsi="宋体"/>
                <w:color w:val="000000" w:themeColor="text1"/>
                <w:szCs w:val="32"/>
              </w:rPr>
            </w:pPr>
          </w:p>
        </w:tc>
      </w:tr>
      <w:tr w:rsidR="000C2455" w:rsidRPr="00687B52" w:rsidTr="00406A19">
        <w:tc>
          <w:tcPr>
            <w:tcW w:w="365" w:type="pct"/>
            <w:vMerge/>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p>
        </w:tc>
        <w:tc>
          <w:tcPr>
            <w:tcW w:w="1228" w:type="pct"/>
            <w:gridSpan w:val="4"/>
            <w:shd w:val="clear" w:color="auto" w:fill="auto"/>
            <w:vAlign w:val="center"/>
          </w:tcPr>
          <w:p w:rsidR="000C2455" w:rsidRPr="00687B52" w:rsidRDefault="000C2455" w:rsidP="003E1D2A">
            <w:pPr>
              <w:spacing w:line="300" w:lineRule="exact"/>
              <w:jc w:val="center"/>
              <w:rPr>
                <w:rFonts w:ascii="宋体" w:hAnsi="宋体"/>
                <w:color w:val="000000" w:themeColor="text1"/>
                <w:sz w:val="24"/>
                <w:szCs w:val="21"/>
              </w:rPr>
            </w:pPr>
            <w:r w:rsidRPr="00687B52">
              <w:rPr>
                <w:rFonts w:ascii="宋体" w:hAnsi="宋体" w:hint="eastAsia"/>
                <w:color w:val="000000" w:themeColor="text1"/>
                <w:sz w:val="24"/>
                <w:szCs w:val="21"/>
              </w:rPr>
              <w:t>负压氧气呼吸器</w:t>
            </w:r>
          </w:p>
        </w:tc>
        <w:tc>
          <w:tcPr>
            <w:tcW w:w="1305" w:type="pct"/>
            <w:gridSpan w:val="3"/>
            <w:shd w:val="clear" w:color="auto" w:fill="auto"/>
            <w:vAlign w:val="center"/>
          </w:tcPr>
          <w:p w:rsidR="000C2455" w:rsidRPr="00687B52" w:rsidRDefault="000C2455" w:rsidP="003E1D2A">
            <w:pPr>
              <w:spacing w:line="300" w:lineRule="exact"/>
              <w:jc w:val="center"/>
              <w:rPr>
                <w:rFonts w:ascii="宋体" w:hAnsi="宋体"/>
                <w:color w:val="000000" w:themeColor="text1"/>
                <w:sz w:val="24"/>
                <w:szCs w:val="21"/>
              </w:rPr>
            </w:pPr>
            <w:r w:rsidRPr="00687B52">
              <w:rPr>
                <w:rFonts w:ascii="宋体" w:hAnsi="宋体" w:cs="宋体" w:hint="eastAsia"/>
                <w:color w:val="000000" w:themeColor="text1"/>
                <w:kern w:val="0"/>
                <w:sz w:val="22"/>
              </w:rPr>
              <w:t>正压氧气呼吸器</w:t>
            </w:r>
          </w:p>
        </w:tc>
        <w:tc>
          <w:tcPr>
            <w:tcW w:w="943" w:type="pct"/>
            <w:vMerge/>
            <w:shd w:val="clear" w:color="auto" w:fill="auto"/>
            <w:vAlign w:val="center"/>
          </w:tcPr>
          <w:p w:rsidR="000C2455" w:rsidRPr="00687B52" w:rsidRDefault="000C2455" w:rsidP="003E1D2A">
            <w:pPr>
              <w:widowControl/>
              <w:spacing w:line="300" w:lineRule="exact"/>
              <w:jc w:val="left"/>
              <w:rPr>
                <w:rFonts w:ascii="宋体" w:hAnsi="宋体" w:cs="宋体"/>
                <w:color w:val="000000" w:themeColor="text1"/>
                <w:kern w:val="0"/>
                <w:sz w:val="24"/>
                <w:szCs w:val="24"/>
              </w:rPr>
            </w:pPr>
          </w:p>
        </w:tc>
        <w:tc>
          <w:tcPr>
            <w:tcW w:w="1159" w:type="pct"/>
            <w:vMerge/>
            <w:shd w:val="clear" w:color="auto" w:fill="auto"/>
            <w:vAlign w:val="center"/>
          </w:tcPr>
          <w:p w:rsidR="000C2455" w:rsidRPr="00687B52" w:rsidRDefault="000C2455" w:rsidP="003E1D2A">
            <w:pPr>
              <w:pStyle w:val="a7"/>
              <w:spacing w:line="300" w:lineRule="exact"/>
              <w:jc w:val="both"/>
              <w:rPr>
                <w:rFonts w:ascii="宋体" w:hAnsi="宋体"/>
                <w:color w:val="000000" w:themeColor="text1"/>
                <w:szCs w:val="32"/>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2.6</w:t>
            </w:r>
          </w:p>
        </w:tc>
        <w:tc>
          <w:tcPr>
            <w:tcW w:w="2533" w:type="pct"/>
            <w:gridSpan w:val="7"/>
            <w:shd w:val="clear" w:color="auto" w:fill="auto"/>
            <w:vAlign w:val="center"/>
          </w:tcPr>
          <w:p w:rsidR="000C2455" w:rsidRPr="00687B52" w:rsidRDefault="000C2455"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对于在用的危险化学品生产及储存设备，设备完好率应达到100%，使用危险化学品的设备及管路应无泄漏。达不到此要求每年要定期检修、大修或更新。</w:t>
            </w:r>
          </w:p>
        </w:tc>
        <w:tc>
          <w:tcPr>
            <w:tcW w:w="943" w:type="pct"/>
            <w:shd w:val="clear" w:color="auto" w:fill="auto"/>
            <w:vAlign w:val="center"/>
          </w:tcPr>
          <w:p w:rsidR="000C2455" w:rsidRPr="00687B52" w:rsidRDefault="000C2455" w:rsidP="003E1D2A">
            <w:pPr>
              <w:pStyle w:val="a7"/>
              <w:spacing w:line="300" w:lineRule="exact"/>
              <w:rPr>
                <w:rFonts w:ascii="宋体" w:hAnsi="宋体"/>
                <w:color w:val="000000" w:themeColor="text1"/>
                <w:szCs w:val="24"/>
              </w:rPr>
            </w:pPr>
            <w:r w:rsidRPr="00687B52">
              <w:rPr>
                <w:rFonts w:ascii="宋体" w:hAnsi="宋体" w:hint="eastAsia"/>
                <w:color w:val="000000" w:themeColor="text1"/>
                <w:szCs w:val="24"/>
              </w:rPr>
              <w:t>《生产设备安全卫生设计总则》</w:t>
            </w:r>
          </w:p>
          <w:p w:rsidR="000C2455" w:rsidRPr="00687B52" w:rsidRDefault="000C2455" w:rsidP="003E1D2A">
            <w:pPr>
              <w:pStyle w:val="a7"/>
              <w:spacing w:line="300" w:lineRule="exact"/>
              <w:rPr>
                <w:rFonts w:ascii="宋体" w:hAnsi="宋体"/>
                <w:color w:val="000000" w:themeColor="text1"/>
                <w:szCs w:val="24"/>
              </w:rPr>
            </w:pPr>
            <w:r w:rsidRPr="00687B52">
              <w:rPr>
                <w:rFonts w:ascii="宋体" w:hAnsi="宋体" w:hint="eastAsia"/>
                <w:color w:val="000000" w:themeColor="text1"/>
                <w:szCs w:val="24"/>
              </w:rPr>
              <w:t>GB5083-1999</w:t>
            </w:r>
          </w:p>
          <w:p w:rsidR="000C2455" w:rsidRPr="00687B52" w:rsidRDefault="000C2455" w:rsidP="003E1D2A">
            <w:pPr>
              <w:widowControl/>
              <w:spacing w:line="300" w:lineRule="exact"/>
              <w:jc w:val="center"/>
              <w:rPr>
                <w:rFonts w:ascii="宋体" w:hAnsi="宋体" w:cs="宋体"/>
                <w:color w:val="000000" w:themeColor="text1"/>
                <w:kern w:val="0"/>
                <w:sz w:val="24"/>
                <w:szCs w:val="24"/>
              </w:rPr>
            </w:pPr>
            <w:r w:rsidRPr="00687B52">
              <w:rPr>
                <w:rFonts w:ascii="宋体" w:hAnsi="宋体"/>
                <w:color w:val="000000" w:themeColor="text1"/>
                <w:szCs w:val="24"/>
              </w:rPr>
              <w:t>第6.4.1条</w:t>
            </w:r>
          </w:p>
        </w:tc>
        <w:tc>
          <w:tcPr>
            <w:tcW w:w="1159" w:type="pct"/>
            <w:shd w:val="clear" w:color="auto" w:fill="auto"/>
            <w:vAlign w:val="center"/>
          </w:tcPr>
          <w:p w:rsidR="000C2455" w:rsidRPr="00687B52" w:rsidRDefault="000C2455" w:rsidP="003E1D2A">
            <w:pPr>
              <w:pStyle w:val="a7"/>
              <w:spacing w:line="300" w:lineRule="exact"/>
              <w:jc w:val="both"/>
              <w:rPr>
                <w:rFonts w:ascii="宋体" w:hAnsi="宋体"/>
                <w:color w:val="000000" w:themeColor="text1"/>
                <w:szCs w:val="24"/>
              </w:rPr>
            </w:pPr>
            <w:r w:rsidRPr="00687B52">
              <w:rPr>
                <w:rFonts w:ascii="宋体" w:hAnsi="宋体" w:hint="eastAsia"/>
                <w:color w:val="000000" w:themeColor="text1"/>
                <w:szCs w:val="32"/>
              </w:rPr>
              <w:t>生产、使用、储存和运输易燃易爆物质和可燃物质的生产设备，是否存在跑、冒、滴、漏的现象。</w:t>
            </w: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2.7</w:t>
            </w:r>
          </w:p>
        </w:tc>
        <w:tc>
          <w:tcPr>
            <w:tcW w:w="2533" w:type="pct"/>
            <w:gridSpan w:val="7"/>
            <w:shd w:val="clear" w:color="auto" w:fill="auto"/>
            <w:vAlign w:val="center"/>
          </w:tcPr>
          <w:p w:rsidR="000C2455" w:rsidRPr="00687B52" w:rsidRDefault="000C2455"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硫酸的储罐、计量槽、物料输送管道等设备应使用不锈钢或其他防腐蚀和空蚀的材质制造。</w:t>
            </w:r>
          </w:p>
        </w:tc>
        <w:tc>
          <w:tcPr>
            <w:tcW w:w="943" w:type="pct"/>
            <w:shd w:val="clear" w:color="auto" w:fill="auto"/>
            <w:vAlign w:val="center"/>
          </w:tcPr>
          <w:p w:rsidR="000C2455" w:rsidRPr="00687B52" w:rsidRDefault="000C2455" w:rsidP="003E1D2A">
            <w:pPr>
              <w:pStyle w:val="a7"/>
              <w:spacing w:line="300" w:lineRule="exact"/>
              <w:rPr>
                <w:rFonts w:ascii="宋体" w:hAnsi="宋体"/>
                <w:color w:val="000000" w:themeColor="text1"/>
                <w:szCs w:val="24"/>
              </w:rPr>
            </w:pPr>
            <w:r w:rsidRPr="00687B52">
              <w:rPr>
                <w:rFonts w:ascii="宋体" w:hAnsi="宋体" w:hint="eastAsia"/>
                <w:color w:val="000000" w:themeColor="text1"/>
                <w:szCs w:val="24"/>
              </w:rPr>
              <w:t>《生产设备安全卫生设计总则》</w:t>
            </w:r>
          </w:p>
          <w:p w:rsidR="000C2455" w:rsidRPr="00687B52" w:rsidRDefault="000C2455" w:rsidP="003E1D2A">
            <w:pPr>
              <w:pStyle w:val="a7"/>
              <w:spacing w:line="300" w:lineRule="exact"/>
              <w:rPr>
                <w:rFonts w:ascii="宋体" w:hAnsi="宋体"/>
                <w:color w:val="000000" w:themeColor="text1"/>
                <w:szCs w:val="24"/>
              </w:rPr>
            </w:pPr>
            <w:r w:rsidRPr="00687B52">
              <w:rPr>
                <w:rFonts w:ascii="宋体" w:hAnsi="宋体" w:hint="eastAsia"/>
                <w:color w:val="000000" w:themeColor="text1"/>
                <w:szCs w:val="24"/>
              </w:rPr>
              <w:t>GB5083-1999</w:t>
            </w:r>
          </w:p>
          <w:p w:rsidR="000C2455" w:rsidRPr="00687B52" w:rsidRDefault="000C2455"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第5.2.4条</w:t>
            </w:r>
          </w:p>
        </w:tc>
        <w:tc>
          <w:tcPr>
            <w:tcW w:w="1159" w:type="pct"/>
            <w:shd w:val="clear" w:color="auto" w:fill="auto"/>
            <w:vAlign w:val="center"/>
          </w:tcPr>
          <w:p w:rsidR="000C2455" w:rsidRPr="00687B52" w:rsidRDefault="000C2455" w:rsidP="003E1D2A">
            <w:pPr>
              <w:pStyle w:val="a7"/>
              <w:spacing w:line="300" w:lineRule="exact"/>
              <w:jc w:val="both"/>
              <w:rPr>
                <w:rFonts w:ascii="宋体" w:hAnsi="宋体"/>
                <w:color w:val="000000" w:themeColor="text1"/>
                <w:szCs w:val="32"/>
              </w:rPr>
            </w:pPr>
            <w:r w:rsidRPr="00687B52">
              <w:rPr>
                <w:rFonts w:ascii="宋体" w:hAnsi="宋体" w:hint="eastAsia"/>
                <w:color w:val="000000" w:themeColor="text1"/>
                <w:szCs w:val="32"/>
              </w:rPr>
              <w:t>是否使用防腐设备。</w:t>
            </w: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2.8</w:t>
            </w:r>
          </w:p>
        </w:tc>
        <w:tc>
          <w:tcPr>
            <w:tcW w:w="2533" w:type="pct"/>
            <w:gridSpan w:val="7"/>
            <w:shd w:val="clear" w:color="auto" w:fill="auto"/>
            <w:vAlign w:val="center"/>
          </w:tcPr>
          <w:p w:rsidR="000C2455" w:rsidRPr="00687B52" w:rsidRDefault="000C2455" w:rsidP="003E1D2A">
            <w:pPr>
              <w:pStyle w:val="a7"/>
              <w:spacing w:line="300" w:lineRule="exact"/>
              <w:jc w:val="left"/>
              <w:rPr>
                <w:rFonts w:ascii="宋体" w:hAnsi="宋体"/>
                <w:b/>
                <w:color w:val="000000" w:themeColor="text1"/>
                <w:szCs w:val="24"/>
              </w:rPr>
            </w:pPr>
            <w:r w:rsidRPr="00687B52">
              <w:rPr>
                <w:rFonts w:ascii="宋体" w:hAnsi="宋体" w:hint="eastAsia"/>
                <w:b/>
                <w:color w:val="000000" w:themeColor="text1"/>
                <w:szCs w:val="24"/>
              </w:rPr>
              <w:t>安全设施（含仪表自控）</w:t>
            </w:r>
          </w:p>
        </w:tc>
        <w:tc>
          <w:tcPr>
            <w:tcW w:w="943" w:type="pct"/>
            <w:shd w:val="clear" w:color="auto" w:fill="auto"/>
            <w:vAlign w:val="center"/>
          </w:tcPr>
          <w:p w:rsidR="000C2455" w:rsidRPr="00687B52" w:rsidRDefault="000C2455" w:rsidP="003E1D2A">
            <w:pPr>
              <w:pStyle w:val="a7"/>
              <w:spacing w:line="300" w:lineRule="exact"/>
              <w:rPr>
                <w:rFonts w:ascii="宋体" w:hAnsi="宋体"/>
                <w:color w:val="000000" w:themeColor="text1"/>
                <w:szCs w:val="24"/>
              </w:rPr>
            </w:pPr>
          </w:p>
        </w:tc>
        <w:tc>
          <w:tcPr>
            <w:tcW w:w="1159" w:type="pct"/>
            <w:shd w:val="clear" w:color="auto" w:fill="auto"/>
            <w:vAlign w:val="center"/>
          </w:tcPr>
          <w:p w:rsidR="000C2455" w:rsidRPr="00687B52" w:rsidRDefault="000C2455" w:rsidP="003E1D2A">
            <w:pPr>
              <w:pStyle w:val="a7"/>
              <w:spacing w:line="300" w:lineRule="exact"/>
              <w:jc w:val="both"/>
              <w:rPr>
                <w:rFonts w:ascii="宋体" w:hAnsi="宋体"/>
                <w:color w:val="000000" w:themeColor="text1"/>
                <w:szCs w:val="32"/>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2.8.1</w:t>
            </w:r>
          </w:p>
        </w:tc>
        <w:tc>
          <w:tcPr>
            <w:tcW w:w="2533" w:type="pct"/>
            <w:gridSpan w:val="7"/>
            <w:shd w:val="clear" w:color="auto" w:fill="auto"/>
            <w:vAlign w:val="center"/>
          </w:tcPr>
          <w:p w:rsidR="000C2455" w:rsidRPr="00687B52" w:rsidRDefault="000C2455" w:rsidP="003E1D2A">
            <w:pPr>
              <w:spacing w:line="300" w:lineRule="exact"/>
              <w:jc w:val="left"/>
              <w:rPr>
                <w:rFonts w:ascii="宋体" w:hAnsi="宋体"/>
                <w:color w:val="000000" w:themeColor="text1"/>
                <w:sz w:val="24"/>
                <w:szCs w:val="21"/>
              </w:rPr>
            </w:pPr>
            <w:r w:rsidRPr="00687B52">
              <w:rPr>
                <w:rFonts w:ascii="宋体" w:hAnsi="宋体" w:hint="eastAsia"/>
                <w:color w:val="000000" w:themeColor="text1"/>
                <w:sz w:val="24"/>
                <w:szCs w:val="21"/>
              </w:rPr>
              <w:t>硫磺库区域应配置静电导除设施；通风较差的硫磺储存区域应设置完善的通风装置，并安装粉尘自动检测报警装置；硫磺库内电气设施应使用粉尘防爆型。</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宋体" w:hAnsi="宋体"/>
                <w:color w:val="000000" w:themeColor="text1"/>
                <w:szCs w:val="24"/>
              </w:rPr>
            </w:pPr>
            <w:r w:rsidRPr="00687B52">
              <w:rPr>
                <w:rFonts w:asciiTheme="minorEastAsia" w:eastAsiaTheme="minorEastAsia" w:hAnsiTheme="minorEastAsia" w:hint="eastAsia"/>
                <w:color w:val="000000" w:themeColor="text1"/>
                <w:szCs w:val="24"/>
              </w:rPr>
              <w:t>第5.6.4.1条</w:t>
            </w:r>
          </w:p>
        </w:tc>
        <w:tc>
          <w:tcPr>
            <w:tcW w:w="1159" w:type="pct"/>
            <w:shd w:val="clear" w:color="auto" w:fill="auto"/>
            <w:vAlign w:val="center"/>
          </w:tcPr>
          <w:p w:rsidR="000C2455" w:rsidRPr="00687B52" w:rsidRDefault="000C2455" w:rsidP="003E1D2A">
            <w:pPr>
              <w:pStyle w:val="a7"/>
              <w:spacing w:line="300" w:lineRule="exact"/>
              <w:jc w:val="both"/>
              <w:rPr>
                <w:rFonts w:ascii="宋体" w:hAnsi="宋体"/>
                <w:color w:val="000000" w:themeColor="text1"/>
                <w:szCs w:val="32"/>
              </w:rPr>
            </w:pPr>
          </w:p>
        </w:tc>
      </w:tr>
      <w:tr w:rsidR="000C2455" w:rsidRPr="00687B52" w:rsidTr="004A5011">
        <w:trPr>
          <w:trHeight w:val="1266"/>
        </w:trPr>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2.8.2</w:t>
            </w:r>
          </w:p>
        </w:tc>
        <w:tc>
          <w:tcPr>
            <w:tcW w:w="2533" w:type="pct"/>
            <w:gridSpan w:val="7"/>
            <w:shd w:val="clear" w:color="auto" w:fill="auto"/>
            <w:vAlign w:val="center"/>
          </w:tcPr>
          <w:p w:rsidR="000C2455" w:rsidRPr="00687B52" w:rsidRDefault="000C2455" w:rsidP="003E1D2A">
            <w:pPr>
              <w:spacing w:line="300" w:lineRule="exact"/>
              <w:jc w:val="left"/>
              <w:rPr>
                <w:rFonts w:ascii="宋体" w:hAnsi="宋体"/>
                <w:color w:val="000000" w:themeColor="text1"/>
                <w:sz w:val="24"/>
                <w:szCs w:val="21"/>
              </w:rPr>
            </w:pPr>
            <w:r w:rsidRPr="00687B52">
              <w:rPr>
                <w:rFonts w:ascii="宋体" w:hAnsi="宋体" w:hint="eastAsia"/>
                <w:color w:val="000000" w:themeColor="text1"/>
                <w:sz w:val="24"/>
                <w:szCs w:val="21"/>
              </w:rPr>
              <w:t>焚烧炉应设置排渣埋刮板输送机与上料胶带输送机连锁报警装置。</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第5.6.4.1条</w:t>
            </w:r>
          </w:p>
        </w:tc>
        <w:tc>
          <w:tcPr>
            <w:tcW w:w="1159" w:type="pct"/>
            <w:shd w:val="clear" w:color="auto" w:fill="auto"/>
            <w:vAlign w:val="center"/>
          </w:tcPr>
          <w:p w:rsidR="000C2455" w:rsidRPr="00687B52" w:rsidRDefault="000C2455" w:rsidP="003E1D2A">
            <w:pPr>
              <w:pStyle w:val="a7"/>
              <w:spacing w:line="300" w:lineRule="exact"/>
              <w:jc w:val="both"/>
              <w:rPr>
                <w:rFonts w:ascii="宋体" w:hAnsi="宋体"/>
                <w:color w:val="000000" w:themeColor="text1"/>
                <w:szCs w:val="32"/>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2.8.3</w:t>
            </w:r>
          </w:p>
        </w:tc>
        <w:tc>
          <w:tcPr>
            <w:tcW w:w="2533" w:type="pct"/>
            <w:gridSpan w:val="7"/>
            <w:shd w:val="clear" w:color="auto" w:fill="auto"/>
            <w:vAlign w:val="center"/>
          </w:tcPr>
          <w:p w:rsidR="000C2455" w:rsidRPr="00687B52" w:rsidRDefault="000C2455" w:rsidP="003E1D2A">
            <w:pPr>
              <w:spacing w:line="300" w:lineRule="exact"/>
              <w:jc w:val="left"/>
              <w:rPr>
                <w:rFonts w:ascii="宋体" w:hAnsi="宋体"/>
                <w:color w:val="000000" w:themeColor="text1"/>
                <w:sz w:val="24"/>
                <w:szCs w:val="21"/>
              </w:rPr>
            </w:pPr>
            <w:r w:rsidRPr="00687B52">
              <w:rPr>
                <w:rFonts w:ascii="宋体" w:hAnsi="宋体" w:hint="eastAsia"/>
                <w:color w:val="000000" w:themeColor="text1"/>
                <w:sz w:val="24"/>
                <w:szCs w:val="21"/>
              </w:rPr>
              <w:t>焚烧炉鼓风机设冷却水流量、风机电流、风压等监视测量仪表。</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第5.6.4.1条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2.8.4</w:t>
            </w:r>
          </w:p>
        </w:tc>
        <w:tc>
          <w:tcPr>
            <w:tcW w:w="2533" w:type="pct"/>
            <w:gridSpan w:val="7"/>
            <w:shd w:val="clear" w:color="auto" w:fill="auto"/>
            <w:vAlign w:val="center"/>
          </w:tcPr>
          <w:p w:rsidR="000C2455" w:rsidRPr="00687B52" w:rsidRDefault="000C2455" w:rsidP="003E1D2A">
            <w:pPr>
              <w:spacing w:line="300" w:lineRule="exact"/>
              <w:rPr>
                <w:rFonts w:ascii="宋体" w:hAnsi="宋体"/>
                <w:color w:val="000000" w:themeColor="text1"/>
                <w:sz w:val="24"/>
                <w:szCs w:val="21"/>
              </w:rPr>
            </w:pPr>
            <w:r w:rsidRPr="00687B52">
              <w:rPr>
                <w:rFonts w:ascii="宋体" w:hAnsi="宋体" w:hint="eastAsia"/>
                <w:color w:val="000000" w:themeColor="text1"/>
                <w:sz w:val="24"/>
                <w:szCs w:val="21"/>
              </w:rPr>
              <w:t>焚烧炉或沸腾炉应设置温度计。</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第5.7.2.2条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rPr>
          <w:trHeight w:val="626"/>
        </w:trPr>
        <w:tc>
          <w:tcPr>
            <w:tcW w:w="365" w:type="pct"/>
            <w:vMerge w:val="restar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2.8.5</w:t>
            </w:r>
          </w:p>
        </w:tc>
        <w:tc>
          <w:tcPr>
            <w:tcW w:w="2533" w:type="pct"/>
            <w:gridSpan w:val="7"/>
            <w:shd w:val="clear" w:color="auto" w:fill="auto"/>
            <w:vAlign w:val="center"/>
          </w:tcPr>
          <w:p w:rsidR="000C2455" w:rsidRPr="00687B52" w:rsidRDefault="000C2455" w:rsidP="003E1D2A">
            <w:pPr>
              <w:spacing w:line="300" w:lineRule="exact"/>
              <w:rPr>
                <w:rFonts w:ascii="宋体" w:hAnsi="宋体"/>
                <w:color w:val="000000" w:themeColor="text1"/>
                <w:sz w:val="24"/>
                <w:szCs w:val="21"/>
              </w:rPr>
            </w:pPr>
            <w:r w:rsidRPr="00687B52">
              <w:rPr>
                <w:rFonts w:ascii="宋体" w:hAnsi="宋体" w:hint="eastAsia"/>
                <w:color w:val="000000" w:themeColor="text1"/>
                <w:sz w:val="24"/>
                <w:szCs w:val="21"/>
              </w:rPr>
              <w:t>余热锅炉汽包应设置压力表、液位计、温度计、安全阀，并设置液位、温度和压力自动调节系统；设余热锅炉汽包液位自动报警连锁装置；余热锅炉的供水系统应设置备用泵，现场液位计应设置夜间照明装置。</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第5.6.4.1条</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第5.7.2.2条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rPr>
          <w:trHeight w:val="626"/>
        </w:trPr>
        <w:tc>
          <w:tcPr>
            <w:tcW w:w="365" w:type="pct"/>
            <w:vMerge/>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p>
        </w:tc>
        <w:tc>
          <w:tcPr>
            <w:tcW w:w="2533" w:type="pct"/>
            <w:gridSpan w:val="7"/>
            <w:shd w:val="clear" w:color="auto" w:fill="auto"/>
            <w:vAlign w:val="center"/>
          </w:tcPr>
          <w:p w:rsidR="000C2455" w:rsidRPr="00687B52" w:rsidRDefault="000C2455" w:rsidP="003E1D2A">
            <w:pPr>
              <w:pStyle w:val="a7"/>
              <w:spacing w:line="300" w:lineRule="exact"/>
              <w:jc w:val="both"/>
              <w:rPr>
                <w:rFonts w:hAnsi="宋体"/>
                <w:color w:val="000000" w:themeColor="text1"/>
              </w:rPr>
            </w:pPr>
            <w:r w:rsidRPr="00687B52">
              <w:rPr>
                <w:rFonts w:hAnsi="宋体" w:hint="eastAsia"/>
                <w:color w:val="000000" w:themeColor="text1"/>
              </w:rPr>
              <w:t>余热锅炉蒸汽包、蒸汽管道等压力容器、压力管道应安装安全阀</w:t>
            </w:r>
            <w:r w:rsidRPr="00687B52">
              <w:rPr>
                <w:rFonts w:hAnsi="宋体"/>
                <w:color w:val="000000" w:themeColor="text1"/>
              </w:rPr>
              <w:t>。</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《安全阀的设置和选用</w:t>
            </w:r>
            <w:r w:rsidRPr="00687B52">
              <w:rPr>
                <w:rFonts w:asciiTheme="minorEastAsia" w:eastAsiaTheme="minorEastAsia" w:hAnsiTheme="minorEastAsia"/>
                <w:color w:val="000000" w:themeColor="text1"/>
                <w:szCs w:val="24"/>
              </w:rPr>
              <w:t>HG/T20570</w:t>
            </w:r>
            <w:r w:rsidRPr="00687B52">
              <w:rPr>
                <w:rFonts w:asciiTheme="minorEastAsia" w:eastAsiaTheme="minorEastAsia" w:hAnsiTheme="minorEastAsia" w:hint="eastAsia"/>
                <w:color w:val="000000" w:themeColor="text1"/>
                <w:szCs w:val="24"/>
              </w:rPr>
              <w:t>.2</w:t>
            </w:r>
            <w:r w:rsidRPr="00687B52">
              <w:rPr>
                <w:rFonts w:asciiTheme="minorEastAsia" w:eastAsiaTheme="minorEastAsia" w:hAnsiTheme="minorEastAsia"/>
                <w:color w:val="000000" w:themeColor="text1"/>
                <w:szCs w:val="24"/>
              </w:rPr>
              <w:t>-</w:t>
            </w:r>
            <w:r w:rsidRPr="00687B52">
              <w:rPr>
                <w:rFonts w:asciiTheme="minorEastAsia" w:eastAsiaTheme="minorEastAsia" w:hAnsiTheme="minorEastAsia" w:hint="eastAsia"/>
                <w:color w:val="000000" w:themeColor="text1"/>
                <w:szCs w:val="24"/>
              </w:rPr>
              <w:t>19</w:t>
            </w:r>
            <w:r w:rsidRPr="00687B52">
              <w:rPr>
                <w:rFonts w:asciiTheme="minorEastAsia" w:eastAsiaTheme="minorEastAsia" w:hAnsiTheme="minorEastAsia"/>
                <w:color w:val="000000" w:themeColor="text1"/>
                <w:szCs w:val="24"/>
              </w:rPr>
              <w:t>95</w:t>
            </w:r>
          </w:p>
          <w:p w:rsidR="000C2455" w:rsidRPr="00687B52" w:rsidRDefault="000C2455" w:rsidP="003E1D2A">
            <w:pPr>
              <w:pStyle w:val="a7"/>
              <w:spacing w:line="300" w:lineRule="exact"/>
              <w:rPr>
                <w:rFonts w:hAnsi="宋体"/>
                <w:color w:val="000000" w:themeColor="text1"/>
              </w:rPr>
            </w:pPr>
            <w:r w:rsidRPr="00687B52">
              <w:rPr>
                <w:rFonts w:asciiTheme="minorEastAsia" w:eastAsiaTheme="minorEastAsia" w:hAnsiTheme="minorEastAsia"/>
                <w:color w:val="000000" w:themeColor="text1"/>
                <w:szCs w:val="24"/>
              </w:rPr>
              <w:t>第4.4.1条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是否安装安全阀。</w:t>
            </w:r>
          </w:p>
        </w:tc>
      </w:tr>
      <w:tr w:rsidR="000C2455" w:rsidRPr="00687B52" w:rsidTr="00406A19">
        <w:trPr>
          <w:trHeight w:val="626"/>
        </w:trPr>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2.8.6</w:t>
            </w:r>
          </w:p>
        </w:tc>
        <w:tc>
          <w:tcPr>
            <w:tcW w:w="2533" w:type="pct"/>
            <w:gridSpan w:val="7"/>
            <w:shd w:val="clear" w:color="auto" w:fill="auto"/>
            <w:vAlign w:val="center"/>
          </w:tcPr>
          <w:p w:rsidR="000C2455" w:rsidRPr="00687B52" w:rsidRDefault="000C2455"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涉及易燃易爆及有毒介质的安全阀及其他泄放设施，严禁直排大气。</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《化工（危险化学品）企业安全检查重点指导目录》安监总管三[2015]113号</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2.8.7</w:t>
            </w:r>
          </w:p>
        </w:tc>
        <w:tc>
          <w:tcPr>
            <w:tcW w:w="2533" w:type="pct"/>
            <w:gridSpan w:val="7"/>
            <w:shd w:val="clear" w:color="auto" w:fill="auto"/>
            <w:vAlign w:val="center"/>
          </w:tcPr>
          <w:p w:rsidR="000C2455" w:rsidRPr="00687B52" w:rsidRDefault="000C2455" w:rsidP="003E1D2A">
            <w:pPr>
              <w:spacing w:line="300" w:lineRule="exact"/>
              <w:jc w:val="left"/>
              <w:rPr>
                <w:rFonts w:ascii="宋体" w:hAnsi="宋体"/>
                <w:color w:val="000000" w:themeColor="text1"/>
                <w:sz w:val="24"/>
                <w:szCs w:val="21"/>
              </w:rPr>
            </w:pPr>
            <w:r w:rsidRPr="00687B52">
              <w:rPr>
                <w:rFonts w:ascii="宋体" w:hAnsi="宋体" w:hint="eastAsia"/>
                <w:color w:val="000000" w:themeColor="text1"/>
                <w:sz w:val="24"/>
                <w:szCs w:val="21"/>
              </w:rPr>
              <w:t>除氧器应设置液位计，并设置液位自动调节系统。</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第5.6.4.1条</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第5.7.2.2条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vMerge w:val="restar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2.8.8</w:t>
            </w:r>
          </w:p>
        </w:tc>
        <w:tc>
          <w:tcPr>
            <w:tcW w:w="2533" w:type="pct"/>
            <w:gridSpan w:val="7"/>
            <w:shd w:val="clear" w:color="auto" w:fill="auto"/>
            <w:vAlign w:val="center"/>
          </w:tcPr>
          <w:p w:rsidR="000C2455" w:rsidRPr="00687B52" w:rsidRDefault="000C2455" w:rsidP="003E1D2A">
            <w:pPr>
              <w:spacing w:line="300" w:lineRule="exact"/>
              <w:jc w:val="left"/>
              <w:rPr>
                <w:rFonts w:ascii="宋体" w:hAnsi="宋体"/>
                <w:color w:val="000000" w:themeColor="text1"/>
                <w:sz w:val="24"/>
                <w:szCs w:val="21"/>
              </w:rPr>
            </w:pPr>
            <w:r w:rsidRPr="00687B52">
              <w:rPr>
                <w:rFonts w:ascii="宋体" w:hAnsi="宋体" w:hint="eastAsia"/>
                <w:color w:val="000000" w:themeColor="text1"/>
                <w:sz w:val="24"/>
                <w:szCs w:val="21"/>
              </w:rPr>
              <w:t>沸腾炉、转化器、二氧化硫风机房、二氧化硫充装场所等涉及二氧化硫的区域，应设置设置泄漏监测报警装置，设置机械通风及事故排风装置。</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第5.6.4.1条</w:t>
            </w:r>
          </w:p>
        </w:tc>
        <w:tc>
          <w:tcPr>
            <w:tcW w:w="1159" w:type="pct"/>
            <w:vMerge w:val="restar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vMerge/>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p>
        </w:tc>
        <w:tc>
          <w:tcPr>
            <w:tcW w:w="2533" w:type="pct"/>
            <w:gridSpan w:val="7"/>
            <w:shd w:val="clear" w:color="auto" w:fill="auto"/>
            <w:vAlign w:val="center"/>
          </w:tcPr>
          <w:p w:rsidR="000C2455" w:rsidRPr="00687B52" w:rsidRDefault="000C2455" w:rsidP="003E1D2A">
            <w:pPr>
              <w:spacing w:line="300" w:lineRule="exact"/>
              <w:jc w:val="left"/>
              <w:rPr>
                <w:rFonts w:ascii="宋体" w:hAnsi="宋体"/>
                <w:color w:val="000000" w:themeColor="text1"/>
                <w:sz w:val="24"/>
                <w:szCs w:val="21"/>
              </w:rPr>
            </w:pPr>
            <w:r w:rsidRPr="00687B52">
              <w:rPr>
                <w:rFonts w:ascii="宋体" w:hAnsi="宋体"/>
                <w:color w:val="000000" w:themeColor="text1"/>
                <w:sz w:val="24"/>
                <w:szCs w:val="21"/>
              </w:rPr>
              <w:t>有毒气体检测器距释放源不宜大于1m。</w:t>
            </w:r>
          </w:p>
        </w:tc>
        <w:tc>
          <w:tcPr>
            <w:tcW w:w="943" w:type="pct"/>
            <w:shd w:val="clear" w:color="auto" w:fill="auto"/>
            <w:vAlign w:val="center"/>
          </w:tcPr>
          <w:p w:rsidR="000C2455" w:rsidRPr="00687B52" w:rsidRDefault="000C2455" w:rsidP="003E1D2A">
            <w:pPr>
              <w:pStyle w:val="a7"/>
              <w:spacing w:line="300" w:lineRule="exact"/>
              <w:rPr>
                <w:rFonts w:hAnsi="宋体"/>
                <w:color w:val="000000" w:themeColor="text1"/>
              </w:rPr>
            </w:pPr>
            <w:r w:rsidRPr="00687B52">
              <w:rPr>
                <w:rFonts w:hAnsi="宋体" w:hint="eastAsia"/>
                <w:color w:val="000000" w:themeColor="text1"/>
              </w:rPr>
              <w:t>《石油化工可燃气体和有毒气体检测报警设计规范》</w:t>
            </w:r>
            <w:r w:rsidRPr="00687B52">
              <w:rPr>
                <w:rFonts w:hAnsi="宋体" w:hint="eastAsia"/>
                <w:color w:val="000000" w:themeColor="text1"/>
              </w:rPr>
              <w:t>GB50493-2009</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hAnsi="宋体" w:hint="eastAsia"/>
                <w:color w:val="000000" w:themeColor="text1"/>
              </w:rPr>
              <w:t>第</w:t>
            </w:r>
            <w:r w:rsidRPr="00687B52">
              <w:rPr>
                <w:rFonts w:hAnsi="宋体" w:hint="eastAsia"/>
                <w:color w:val="000000" w:themeColor="text1"/>
              </w:rPr>
              <w:t>4.2.2</w:t>
            </w:r>
            <w:r w:rsidRPr="00687B52">
              <w:rPr>
                <w:rFonts w:hAnsi="宋体" w:hint="eastAsia"/>
                <w:color w:val="000000" w:themeColor="text1"/>
              </w:rPr>
              <w:t>条</w:t>
            </w:r>
          </w:p>
        </w:tc>
        <w:tc>
          <w:tcPr>
            <w:tcW w:w="1159" w:type="pct"/>
            <w:vMerge/>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vMerge/>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p>
        </w:tc>
        <w:tc>
          <w:tcPr>
            <w:tcW w:w="2533" w:type="pct"/>
            <w:gridSpan w:val="7"/>
            <w:shd w:val="clear" w:color="auto" w:fill="auto"/>
            <w:vAlign w:val="center"/>
          </w:tcPr>
          <w:p w:rsidR="000C2455" w:rsidRPr="00687B52" w:rsidRDefault="000C2455" w:rsidP="003E1D2A">
            <w:pPr>
              <w:pStyle w:val="a7"/>
              <w:spacing w:line="300" w:lineRule="exact"/>
              <w:jc w:val="both"/>
              <w:rPr>
                <w:rFonts w:hAnsi="宋体"/>
                <w:color w:val="000000" w:themeColor="text1"/>
              </w:rPr>
            </w:pPr>
            <w:r w:rsidRPr="00687B52">
              <w:rPr>
                <w:rFonts w:hAnsi="宋体" w:hint="eastAsia"/>
                <w:color w:val="000000" w:themeColor="text1"/>
              </w:rPr>
              <w:t>检测比重大于空气的有毒气体的检（探）测器，应靠近泄漏点，其安装高度应距地坪（或楼地板）</w:t>
            </w:r>
            <w:r w:rsidRPr="00687B52">
              <w:rPr>
                <w:rFonts w:hAnsi="宋体" w:hint="eastAsia"/>
                <w:color w:val="000000" w:themeColor="text1"/>
              </w:rPr>
              <w:t>0.3-0.6m</w:t>
            </w:r>
            <w:r w:rsidRPr="00687B52">
              <w:rPr>
                <w:rFonts w:hAnsi="宋体" w:hint="eastAsia"/>
                <w:color w:val="000000" w:themeColor="text1"/>
              </w:rPr>
              <w:t>。</w:t>
            </w:r>
          </w:p>
        </w:tc>
        <w:tc>
          <w:tcPr>
            <w:tcW w:w="943" w:type="pct"/>
            <w:shd w:val="clear" w:color="auto" w:fill="auto"/>
            <w:vAlign w:val="center"/>
          </w:tcPr>
          <w:p w:rsidR="000C2455" w:rsidRPr="00687B52" w:rsidRDefault="000C2455" w:rsidP="003E1D2A">
            <w:pPr>
              <w:pStyle w:val="a7"/>
              <w:spacing w:line="300" w:lineRule="exact"/>
              <w:rPr>
                <w:rFonts w:hAnsi="宋体"/>
                <w:color w:val="000000" w:themeColor="text1"/>
              </w:rPr>
            </w:pPr>
            <w:r w:rsidRPr="00687B52">
              <w:rPr>
                <w:rFonts w:hAnsi="宋体" w:hint="eastAsia"/>
                <w:color w:val="000000" w:themeColor="text1"/>
              </w:rPr>
              <w:t>《石油化工可燃气体和有毒气体检测报警设计规范》</w:t>
            </w:r>
            <w:r w:rsidRPr="00687B52">
              <w:rPr>
                <w:rFonts w:hAnsi="宋体" w:hint="eastAsia"/>
                <w:color w:val="000000" w:themeColor="text1"/>
              </w:rPr>
              <w:t>GB50493-2009</w:t>
            </w:r>
          </w:p>
          <w:p w:rsidR="000C2455" w:rsidRPr="00687B52" w:rsidRDefault="000C2455" w:rsidP="003E1D2A">
            <w:pPr>
              <w:pStyle w:val="a7"/>
              <w:spacing w:line="300" w:lineRule="exact"/>
              <w:rPr>
                <w:rFonts w:hAnsi="宋体"/>
                <w:color w:val="000000" w:themeColor="text1"/>
              </w:rPr>
            </w:pPr>
            <w:r w:rsidRPr="00687B52">
              <w:rPr>
                <w:rFonts w:hAnsi="宋体" w:hint="eastAsia"/>
                <w:color w:val="000000" w:themeColor="text1"/>
              </w:rPr>
              <w:t>第</w:t>
            </w:r>
            <w:r w:rsidRPr="00687B52">
              <w:rPr>
                <w:rFonts w:hAnsi="宋体" w:hint="eastAsia"/>
                <w:color w:val="000000" w:themeColor="text1"/>
              </w:rPr>
              <w:t>6.1.1</w:t>
            </w:r>
            <w:r w:rsidRPr="00687B52">
              <w:rPr>
                <w:rFonts w:hAnsi="宋体" w:hint="eastAsia"/>
                <w:color w:val="000000" w:themeColor="text1"/>
              </w:rPr>
              <w:t>条</w:t>
            </w:r>
          </w:p>
        </w:tc>
        <w:tc>
          <w:tcPr>
            <w:tcW w:w="1159" w:type="pct"/>
            <w:vMerge/>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vMerge/>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p>
        </w:tc>
        <w:tc>
          <w:tcPr>
            <w:tcW w:w="2533" w:type="pct"/>
            <w:gridSpan w:val="7"/>
            <w:shd w:val="clear" w:color="auto" w:fill="auto"/>
            <w:vAlign w:val="center"/>
          </w:tcPr>
          <w:p w:rsidR="000C2455" w:rsidRPr="00687B52" w:rsidRDefault="000C2455" w:rsidP="003E1D2A">
            <w:pPr>
              <w:pStyle w:val="a7"/>
              <w:spacing w:line="300" w:lineRule="exact"/>
              <w:jc w:val="both"/>
              <w:rPr>
                <w:rFonts w:hAnsi="宋体"/>
                <w:color w:val="000000" w:themeColor="text1"/>
              </w:rPr>
            </w:pPr>
            <w:r w:rsidRPr="00687B52">
              <w:rPr>
                <w:rFonts w:hAnsi="宋体" w:hint="eastAsia"/>
                <w:color w:val="000000" w:themeColor="text1"/>
              </w:rPr>
              <w:t>有毒气体的报警设定值宜小于或等于</w:t>
            </w:r>
            <w:r w:rsidRPr="00687B52">
              <w:rPr>
                <w:rFonts w:hAnsi="宋体" w:hint="eastAsia"/>
                <w:color w:val="000000" w:themeColor="text1"/>
              </w:rPr>
              <w:t>100%</w:t>
            </w:r>
            <w:r w:rsidRPr="00687B52">
              <w:rPr>
                <w:rFonts w:hAnsi="宋体" w:hint="eastAsia"/>
                <w:color w:val="000000" w:themeColor="text1"/>
              </w:rPr>
              <w:t>最高容许浓度</w:t>
            </w:r>
            <w:r w:rsidRPr="00687B52">
              <w:rPr>
                <w:rFonts w:hAnsi="宋体" w:hint="eastAsia"/>
                <w:color w:val="000000" w:themeColor="text1"/>
              </w:rPr>
              <w:t>/</w:t>
            </w:r>
            <w:r w:rsidRPr="00687B52">
              <w:rPr>
                <w:rFonts w:hAnsi="宋体" w:hint="eastAsia"/>
                <w:color w:val="000000" w:themeColor="text1"/>
              </w:rPr>
              <w:t>短时间接触容许浓度。当现有检（探）测器的测量范围不能满足测量要求时，有毒气体的测量范围可为</w:t>
            </w:r>
            <w:r w:rsidRPr="00687B52">
              <w:rPr>
                <w:rFonts w:hAnsi="宋体" w:hint="eastAsia"/>
                <w:color w:val="000000" w:themeColor="text1"/>
              </w:rPr>
              <w:t>0</w:t>
            </w:r>
            <w:r w:rsidRPr="00687B52">
              <w:rPr>
                <w:rFonts w:hAnsi="宋体" w:hint="eastAsia"/>
                <w:color w:val="000000" w:themeColor="text1"/>
              </w:rPr>
              <w:t>～</w:t>
            </w:r>
            <w:r w:rsidRPr="00687B52">
              <w:rPr>
                <w:rFonts w:hAnsi="宋体" w:hint="eastAsia"/>
                <w:color w:val="000000" w:themeColor="text1"/>
              </w:rPr>
              <w:t>30%</w:t>
            </w:r>
            <w:r w:rsidRPr="00687B52">
              <w:rPr>
                <w:rFonts w:hAnsi="宋体" w:hint="eastAsia"/>
                <w:color w:val="000000" w:themeColor="text1"/>
              </w:rPr>
              <w:t>直接致害浓度；有毒气体的二级报警设定值不得超过</w:t>
            </w:r>
            <w:r w:rsidRPr="00687B52">
              <w:rPr>
                <w:rFonts w:hAnsi="宋体" w:hint="eastAsia"/>
                <w:color w:val="000000" w:themeColor="text1"/>
              </w:rPr>
              <w:t>10%</w:t>
            </w:r>
            <w:r w:rsidRPr="00687B52">
              <w:rPr>
                <w:rFonts w:hAnsi="宋体" w:hint="eastAsia"/>
                <w:color w:val="000000" w:themeColor="text1"/>
              </w:rPr>
              <w:t>直接致害浓度值。</w:t>
            </w:r>
          </w:p>
        </w:tc>
        <w:tc>
          <w:tcPr>
            <w:tcW w:w="943" w:type="pct"/>
            <w:shd w:val="clear" w:color="auto" w:fill="auto"/>
            <w:vAlign w:val="center"/>
          </w:tcPr>
          <w:p w:rsidR="000C2455" w:rsidRPr="00687B52" w:rsidRDefault="000C2455" w:rsidP="003E1D2A">
            <w:pPr>
              <w:pStyle w:val="a7"/>
              <w:spacing w:line="300" w:lineRule="exact"/>
              <w:rPr>
                <w:rFonts w:hAnsi="宋体"/>
                <w:color w:val="000000" w:themeColor="text1"/>
              </w:rPr>
            </w:pPr>
            <w:r w:rsidRPr="00687B52">
              <w:rPr>
                <w:rFonts w:hAnsi="宋体" w:hint="eastAsia"/>
                <w:color w:val="000000" w:themeColor="text1"/>
              </w:rPr>
              <w:t>《石油化工可燃气体和有毒气体检测报警设计规范》</w:t>
            </w:r>
            <w:r w:rsidRPr="00687B52">
              <w:rPr>
                <w:rFonts w:hAnsi="宋体" w:hint="eastAsia"/>
                <w:color w:val="000000" w:themeColor="text1"/>
              </w:rPr>
              <w:t>GB50493-2009</w:t>
            </w:r>
          </w:p>
          <w:p w:rsidR="000C2455" w:rsidRPr="00687B52" w:rsidRDefault="000C2455" w:rsidP="003E1D2A">
            <w:pPr>
              <w:pStyle w:val="a7"/>
              <w:spacing w:line="300" w:lineRule="exact"/>
              <w:rPr>
                <w:rFonts w:hAnsi="宋体"/>
                <w:color w:val="000000" w:themeColor="text1"/>
              </w:rPr>
            </w:pPr>
            <w:r w:rsidRPr="00687B52">
              <w:rPr>
                <w:rFonts w:hAnsi="宋体" w:hint="eastAsia"/>
                <w:color w:val="000000" w:themeColor="text1"/>
              </w:rPr>
              <w:t>第</w:t>
            </w:r>
            <w:r w:rsidRPr="00687B52">
              <w:rPr>
                <w:rFonts w:hAnsi="宋体" w:hint="eastAsia"/>
                <w:color w:val="000000" w:themeColor="text1"/>
              </w:rPr>
              <w:t>5.3.3</w:t>
            </w:r>
            <w:r w:rsidRPr="00687B52">
              <w:rPr>
                <w:rFonts w:hAnsi="宋体" w:hint="eastAsia"/>
                <w:color w:val="000000" w:themeColor="text1"/>
              </w:rPr>
              <w:t>条</w:t>
            </w:r>
          </w:p>
        </w:tc>
        <w:tc>
          <w:tcPr>
            <w:tcW w:w="1159" w:type="pct"/>
            <w:vMerge/>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2.8.9</w:t>
            </w:r>
          </w:p>
        </w:tc>
        <w:tc>
          <w:tcPr>
            <w:tcW w:w="2533" w:type="pct"/>
            <w:gridSpan w:val="7"/>
            <w:shd w:val="clear" w:color="auto" w:fill="auto"/>
            <w:vAlign w:val="center"/>
          </w:tcPr>
          <w:p w:rsidR="000C2455" w:rsidRPr="00687B52" w:rsidRDefault="000C2455" w:rsidP="003E1D2A">
            <w:pPr>
              <w:pStyle w:val="a7"/>
              <w:spacing w:line="300" w:lineRule="exact"/>
              <w:jc w:val="both"/>
              <w:rPr>
                <w:rFonts w:hAnsi="宋体"/>
                <w:color w:val="000000" w:themeColor="text1"/>
              </w:rPr>
            </w:pPr>
            <w:r w:rsidRPr="00687B52">
              <w:rPr>
                <w:rFonts w:hAnsi="宋体" w:hint="eastAsia"/>
                <w:color w:val="000000" w:themeColor="text1"/>
              </w:rPr>
              <w:t>二氧化硫充装区设置二氧化硫超装报警连锁装置。</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第5.6.4.1条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2.8.10</w:t>
            </w:r>
          </w:p>
        </w:tc>
        <w:tc>
          <w:tcPr>
            <w:tcW w:w="2533" w:type="pct"/>
            <w:gridSpan w:val="7"/>
            <w:shd w:val="clear" w:color="auto" w:fill="auto"/>
            <w:vAlign w:val="center"/>
          </w:tcPr>
          <w:p w:rsidR="000C2455" w:rsidRPr="00687B52" w:rsidRDefault="000C2455" w:rsidP="003E1D2A">
            <w:pPr>
              <w:pStyle w:val="a7"/>
              <w:spacing w:line="300" w:lineRule="exact"/>
              <w:jc w:val="both"/>
              <w:rPr>
                <w:rFonts w:hAnsi="宋体"/>
                <w:color w:val="000000" w:themeColor="text1"/>
              </w:rPr>
            </w:pPr>
            <w:r w:rsidRPr="00687B52">
              <w:rPr>
                <w:rFonts w:hAnsi="宋体" w:hint="eastAsia"/>
                <w:color w:val="000000" w:themeColor="text1"/>
              </w:rPr>
              <w:t>吊装二氧化硫钢瓶的起重机械应配置双制动系统。</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第5.6.4.1条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2.8.11</w:t>
            </w:r>
          </w:p>
        </w:tc>
        <w:tc>
          <w:tcPr>
            <w:tcW w:w="2533" w:type="pct"/>
            <w:gridSpan w:val="7"/>
            <w:shd w:val="clear" w:color="auto" w:fill="auto"/>
            <w:vAlign w:val="center"/>
          </w:tcPr>
          <w:p w:rsidR="000C2455" w:rsidRPr="00687B52" w:rsidRDefault="000C2455" w:rsidP="003E1D2A">
            <w:pPr>
              <w:spacing w:line="300" w:lineRule="exact"/>
              <w:rPr>
                <w:rFonts w:ascii="宋体" w:hAnsi="宋体"/>
                <w:color w:val="000000" w:themeColor="text1"/>
                <w:sz w:val="24"/>
                <w:szCs w:val="21"/>
              </w:rPr>
            </w:pPr>
            <w:r w:rsidRPr="00687B52">
              <w:rPr>
                <w:rFonts w:ascii="宋体" w:hAnsi="宋体" w:hint="eastAsia"/>
                <w:color w:val="000000" w:themeColor="text1"/>
                <w:sz w:val="24"/>
                <w:szCs w:val="21"/>
              </w:rPr>
              <w:t>设置二氧化硫风机、空气风机、干吸循环酸泵连锁系统。</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第5.6.4.1条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2.8.12</w:t>
            </w:r>
          </w:p>
        </w:tc>
        <w:tc>
          <w:tcPr>
            <w:tcW w:w="2533" w:type="pct"/>
            <w:gridSpan w:val="7"/>
            <w:shd w:val="clear" w:color="auto" w:fill="auto"/>
            <w:vAlign w:val="center"/>
          </w:tcPr>
          <w:p w:rsidR="000C2455" w:rsidRPr="00687B52" w:rsidRDefault="000C2455" w:rsidP="003E1D2A">
            <w:pPr>
              <w:spacing w:line="300" w:lineRule="exact"/>
              <w:rPr>
                <w:rFonts w:ascii="宋体" w:hAnsi="宋体"/>
                <w:color w:val="000000" w:themeColor="text1"/>
                <w:sz w:val="24"/>
                <w:szCs w:val="21"/>
              </w:rPr>
            </w:pPr>
            <w:r w:rsidRPr="00687B52">
              <w:rPr>
                <w:rFonts w:ascii="宋体" w:hAnsi="宋体" w:hint="eastAsia"/>
                <w:color w:val="000000" w:themeColor="text1"/>
                <w:sz w:val="24"/>
                <w:szCs w:val="21"/>
              </w:rPr>
              <w:t>洗涤塔应设置温度计。</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第5.7.2.2条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2.8.13</w:t>
            </w:r>
          </w:p>
        </w:tc>
        <w:tc>
          <w:tcPr>
            <w:tcW w:w="2533" w:type="pct"/>
            <w:gridSpan w:val="7"/>
            <w:shd w:val="clear" w:color="auto" w:fill="auto"/>
            <w:vAlign w:val="center"/>
          </w:tcPr>
          <w:p w:rsidR="000C2455" w:rsidRPr="00687B52" w:rsidRDefault="000C2455" w:rsidP="003E1D2A">
            <w:pPr>
              <w:spacing w:line="300" w:lineRule="exact"/>
              <w:rPr>
                <w:rFonts w:ascii="宋体" w:hAnsi="宋体"/>
                <w:color w:val="000000" w:themeColor="text1"/>
                <w:sz w:val="24"/>
                <w:szCs w:val="21"/>
              </w:rPr>
            </w:pPr>
            <w:r w:rsidRPr="00687B52">
              <w:rPr>
                <w:rFonts w:ascii="宋体" w:hAnsi="宋体" w:hint="eastAsia"/>
                <w:color w:val="000000" w:themeColor="text1"/>
                <w:sz w:val="24"/>
                <w:szCs w:val="21"/>
              </w:rPr>
              <w:t>电除雾器出口应设置压力计。</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第5.7.2.2条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2.8.14</w:t>
            </w:r>
          </w:p>
        </w:tc>
        <w:tc>
          <w:tcPr>
            <w:tcW w:w="2533" w:type="pct"/>
            <w:gridSpan w:val="7"/>
            <w:shd w:val="clear" w:color="auto" w:fill="auto"/>
            <w:vAlign w:val="center"/>
          </w:tcPr>
          <w:p w:rsidR="000C2455" w:rsidRPr="00687B52" w:rsidRDefault="000C2455" w:rsidP="003E1D2A">
            <w:pPr>
              <w:spacing w:line="300" w:lineRule="exact"/>
              <w:rPr>
                <w:rFonts w:ascii="宋体" w:hAnsi="宋体"/>
                <w:color w:val="000000" w:themeColor="text1"/>
                <w:sz w:val="24"/>
                <w:szCs w:val="21"/>
              </w:rPr>
            </w:pPr>
            <w:r w:rsidRPr="00687B52">
              <w:rPr>
                <w:rFonts w:ascii="宋体" w:hAnsi="宋体" w:hint="eastAsia"/>
                <w:color w:val="000000" w:themeColor="text1"/>
                <w:sz w:val="24"/>
                <w:szCs w:val="21"/>
              </w:rPr>
              <w:t>干燥塔或吸收塔应设置温度计。</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第5.7.2.2条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2.8.15</w:t>
            </w:r>
          </w:p>
        </w:tc>
        <w:tc>
          <w:tcPr>
            <w:tcW w:w="2533" w:type="pct"/>
            <w:gridSpan w:val="7"/>
            <w:shd w:val="clear" w:color="auto" w:fill="auto"/>
            <w:vAlign w:val="center"/>
          </w:tcPr>
          <w:p w:rsidR="000C2455" w:rsidRPr="00687B52" w:rsidRDefault="000C2455" w:rsidP="003E1D2A">
            <w:pPr>
              <w:spacing w:line="300" w:lineRule="exact"/>
              <w:rPr>
                <w:rFonts w:ascii="宋体" w:hAnsi="宋体"/>
                <w:color w:val="000000" w:themeColor="text1"/>
                <w:sz w:val="24"/>
                <w:szCs w:val="21"/>
              </w:rPr>
            </w:pPr>
            <w:r w:rsidRPr="00687B52">
              <w:rPr>
                <w:rFonts w:ascii="宋体" w:hAnsi="宋体" w:hint="eastAsia"/>
                <w:color w:val="000000" w:themeColor="text1"/>
                <w:sz w:val="24"/>
                <w:szCs w:val="21"/>
              </w:rPr>
              <w:t>转化器各级段应设置进出口温度计。</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第5.7.2.2条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2.8.16</w:t>
            </w:r>
          </w:p>
        </w:tc>
        <w:tc>
          <w:tcPr>
            <w:tcW w:w="2533" w:type="pct"/>
            <w:gridSpan w:val="7"/>
            <w:shd w:val="clear" w:color="auto" w:fill="auto"/>
            <w:vAlign w:val="center"/>
          </w:tcPr>
          <w:p w:rsidR="000C2455" w:rsidRPr="00687B52" w:rsidRDefault="000C2455" w:rsidP="003E1D2A">
            <w:pPr>
              <w:spacing w:line="300" w:lineRule="exact"/>
              <w:rPr>
                <w:rFonts w:ascii="宋体" w:hAnsi="宋体"/>
                <w:color w:val="000000" w:themeColor="text1"/>
                <w:sz w:val="24"/>
                <w:szCs w:val="21"/>
              </w:rPr>
            </w:pPr>
            <w:r w:rsidRPr="00687B52">
              <w:rPr>
                <w:rFonts w:ascii="宋体" w:hAnsi="宋体" w:hint="eastAsia"/>
                <w:color w:val="000000" w:themeColor="text1"/>
                <w:sz w:val="24"/>
                <w:szCs w:val="21"/>
              </w:rPr>
              <w:t>省煤器进出管应设置氢气浓度报警仪。</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第5.7.2.2条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2.8.17</w:t>
            </w:r>
          </w:p>
        </w:tc>
        <w:tc>
          <w:tcPr>
            <w:tcW w:w="2533" w:type="pct"/>
            <w:gridSpan w:val="7"/>
            <w:shd w:val="clear" w:color="auto" w:fill="auto"/>
            <w:vAlign w:val="center"/>
          </w:tcPr>
          <w:p w:rsidR="000C2455" w:rsidRPr="00687B52" w:rsidRDefault="000C2455" w:rsidP="003E1D2A">
            <w:pPr>
              <w:spacing w:line="300" w:lineRule="exact"/>
              <w:rPr>
                <w:rFonts w:ascii="宋体" w:hAnsi="宋体"/>
                <w:color w:val="000000" w:themeColor="text1"/>
                <w:sz w:val="24"/>
                <w:szCs w:val="21"/>
              </w:rPr>
            </w:pPr>
            <w:r w:rsidRPr="00687B52">
              <w:rPr>
                <w:rFonts w:ascii="宋体" w:hAnsi="宋体" w:hint="eastAsia"/>
                <w:color w:val="000000" w:themeColor="text1"/>
                <w:sz w:val="24"/>
                <w:szCs w:val="21"/>
              </w:rPr>
              <w:t>可能危及行人安全的带压硫酸管道及法兰处应设防泄漏保护装置。</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第5.6.4.1条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2.8.18</w:t>
            </w:r>
          </w:p>
        </w:tc>
        <w:tc>
          <w:tcPr>
            <w:tcW w:w="2533" w:type="pct"/>
            <w:gridSpan w:val="7"/>
            <w:shd w:val="clear" w:color="auto" w:fill="auto"/>
            <w:vAlign w:val="center"/>
          </w:tcPr>
          <w:p w:rsidR="000C2455" w:rsidRPr="00687B52" w:rsidRDefault="000C2455" w:rsidP="003E1D2A">
            <w:pPr>
              <w:spacing w:line="300" w:lineRule="exact"/>
              <w:rPr>
                <w:rFonts w:ascii="宋体" w:hAnsi="宋体"/>
                <w:color w:val="000000" w:themeColor="text1"/>
                <w:sz w:val="24"/>
                <w:szCs w:val="21"/>
              </w:rPr>
            </w:pPr>
            <w:r w:rsidRPr="00687B52">
              <w:rPr>
                <w:rFonts w:ascii="宋体" w:hAnsi="宋体" w:hint="eastAsia"/>
                <w:color w:val="000000" w:themeColor="text1"/>
                <w:sz w:val="24"/>
                <w:szCs w:val="21"/>
              </w:rPr>
              <w:t>使用煤气、天然气升温的装置应设置电子打火自动切断装置。</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第5.6.4.1条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2.8.19</w:t>
            </w:r>
          </w:p>
        </w:tc>
        <w:tc>
          <w:tcPr>
            <w:tcW w:w="2533" w:type="pct"/>
            <w:gridSpan w:val="7"/>
            <w:shd w:val="clear" w:color="auto" w:fill="auto"/>
            <w:vAlign w:val="center"/>
          </w:tcPr>
          <w:p w:rsidR="000C2455" w:rsidRPr="00687B52" w:rsidRDefault="000C2455" w:rsidP="003E1D2A">
            <w:pPr>
              <w:spacing w:line="300" w:lineRule="exact"/>
              <w:rPr>
                <w:rFonts w:ascii="宋体" w:hAnsi="宋体"/>
                <w:color w:val="000000" w:themeColor="text1"/>
                <w:sz w:val="24"/>
                <w:szCs w:val="21"/>
              </w:rPr>
            </w:pPr>
            <w:r w:rsidRPr="00687B52">
              <w:rPr>
                <w:rFonts w:ascii="宋体" w:hAnsi="宋体" w:hint="eastAsia"/>
                <w:color w:val="000000" w:themeColor="text1"/>
                <w:sz w:val="24"/>
                <w:szCs w:val="21"/>
              </w:rPr>
              <w:t>企业生产装置正常运行时：</w:t>
            </w:r>
          </w:p>
          <w:p w:rsidR="000C2455" w:rsidRPr="00687B52" w:rsidRDefault="000C2455" w:rsidP="00D9787F">
            <w:pPr>
              <w:numPr>
                <w:ilvl w:val="0"/>
                <w:numId w:val="79"/>
              </w:numPr>
              <w:spacing w:line="300" w:lineRule="exact"/>
              <w:rPr>
                <w:rFonts w:ascii="宋体" w:hAnsi="宋体"/>
                <w:color w:val="000000" w:themeColor="text1"/>
                <w:sz w:val="24"/>
                <w:szCs w:val="21"/>
              </w:rPr>
            </w:pPr>
            <w:r w:rsidRPr="00687B52">
              <w:rPr>
                <w:rFonts w:ascii="宋体" w:hAnsi="宋体" w:hint="eastAsia"/>
                <w:color w:val="000000" w:themeColor="text1"/>
                <w:sz w:val="24"/>
                <w:szCs w:val="21"/>
              </w:rPr>
              <w:t>操作人员严格执行操作规程；</w:t>
            </w:r>
          </w:p>
          <w:p w:rsidR="000C2455" w:rsidRPr="00687B52" w:rsidRDefault="000C2455" w:rsidP="00D9787F">
            <w:pPr>
              <w:numPr>
                <w:ilvl w:val="0"/>
                <w:numId w:val="79"/>
              </w:numPr>
              <w:spacing w:line="300" w:lineRule="exact"/>
              <w:rPr>
                <w:rFonts w:ascii="宋体" w:hAnsi="宋体"/>
                <w:color w:val="000000" w:themeColor="text1"/>
                <w:sz w:val="24"/>
                <w:szCs w:val="21"/>
              </w:rPr>
            </w:pPr>
            <w:r w:rsidRPr="00687B52">
              <w:rPr>
                <w:rFonts w:ascii="宋体" w:hAnsi="宋体" w:hint="eastAsia"/>
                <w:color w:val="000000" w:themeColor="text1"/>
                <w:sz w:val="24"/>
                <w:szCs w:val="21"/>
              </w:rPr>
              <w:t>操作人员进入生产现场应穿戴好相应的劳动保护用品；</w:t>
            </w:r>
          </w:p>
          <w:p w:rsidR="000C2455" w:rsidRPr="00687B52" w:rsidRDefault="000C2455" w:rsidP="00D9787F">
            <w:pPr>
              <w:numPr>
                <w:ilvl w:val="0"/>
                <w:numId w:val="79"/>
              </w:numPr>
              <w:spacing w:line="300" w:lineRule="exact"/>
              <w:rPr>
                <w:rFonts w:ascii="宋体" w:hAnsi="宋体"/>
                <w:color w:val="000000" w:themeColor="text1"/>
                <w:sz w:val="24"/>
                <w:szCs w:val="21"/>
              </w:rPr>
            </w:pPr>
            <w:r w:rsidRPr="00687B52">
              <w:rPr>
                <w:rFonts w:ascii="宋体" w:hAnsi="宋体" w:hint="eastAsia"/>
                <w:color w:val="000000" w:themeColor="text1"/>
                <w:sz w:val="24"/>
                <w:szCs w:val="21"/>
              </w:rPr>
              <w:t>保证所有投用的安全阀的根部切断阀处在全开位置，严禁随意将安全阀根部切断阀关闭，并做好状态标识；安全阀带压工作时，严禁进行任何修理和紧固；严禁操作人员擅自开拆铅封或调整安全阀的整定螺钉。</w:t>
            </w:r>
          </w:p>
          <w:p w:rsidR="000C2455" w:rsidRPr="00687B52" w:rsidRDefault="000C2455" w:rsidP="00D9787F">
            <w:pPr>
              <w:numPr>
                <w:ilvl w:val="0"/>
                <w:numId w:val="79"/>
              </w:numPr>
              <w:spacing w:line="300" w:lineRule="exact"/>
              <w:rPr>
                <w:rFonts w:ascii="宋体" w:hAnsi="宋体"/>
                <w:color w:val="000000" w:themeColor="text1"/>
                <w:sz w:val="24"/>
                <w:szCs w:val="21"/>
              </w:rPr>
            </w:pPr>
            <w:r w:rsidRPr="00687B52">
              <w:rPr>
                <w:rFonts w:ascii="宋体" w:hAnsi="宋体" w:hint="eastAsia"/>
                <w:color w:val="000000" w:themeColor="text1"/>
                <w:sz w:val="24"/>
                <w:szCs w:val="21"/>
              </w:rPr>
              <w:t>工艺参数运行指标应控制在安全上下限值范围内。应对生产过程中出现的工艺参数偏离情况及时分析原因，使运行偏差及时得到有效纠正。</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第5.7.2.5条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公用工程和辅助设施</w:t>
            </w:r>
          </w:p>
        </w:tc>
        <w:tc>
          <w:tcPr>
            <w:tcW w:w="943" w:type="pct"/>
            <w:shd w:val="clear" w:color="auto" w:fill="auto"/>
            <w:vAlign w:val="center"/>
          </w:tcPr>
          <w:p w:rsidR="000C2455" w:rsidRPr="00687B52" w:rsidRDefault="000C2455" w:rsidP="003E1D2A">
            <w:pPr>
              <w:pStyle w:val="a7"/>
              <w:spacing w:line="300" w:lineRule="exact"/>
              <w:rPr>
                <w:rFonts w:hAnsi="宋体"/>
                <w:color w:val="000000" w:themeColor="text1"/>
              </w:rPr>
            </w:pP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储运系统</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储罐区</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3.1.1</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甲、乙、丙类液体的地上式、半地下式储罐或储罐组，其四周应设置不燃性防火堤。防火堤的设置应符合下列规定：</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1）防火堤内的储罐布置不宜超过2排，单罐容量不大于1000m³且闪点不大于120℃的液体储罐不宜超过4排。</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2）防火堤的有效容量不应小于其中最大储罐的容量。对于浮顶罐，防火堤的有效容量可为其中最大储罐容量的一半。</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3）防火堤内侧基脚线至立式储罐外壁的水平距离不应小于罐壁高度的一般。防火堤内侧基脚线至卧式储罐的水平距离不应小于3m。</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4）防火堤的设计高度应比计算高度高出0.2m，且应为1.0-2.2m，在防火堤的适当位置应设置便于灭火救援人员进出防火堤的踏步。</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 GB50016-2014</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第4.2.5条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3.1.2</w:t>
            </w:r>
          </w:p>
        </w:tc>
        <w:tc>
          <w:tcPr>
            <w:tcW w:w="2533" w:type="pct"/>
            <w:gridSpan w:val="7"/>
            <w:shd w:val="clear" w:color="auto" w:fill="auto"/>
            <w:vAlign w:val="center"/>
          </w:tcPr>
          <w:p w:rsidR="000C2455" w:rsidRPr="00687B52" w:rsidRDefault="000C2455" w:rsidP="003E1D2A">
            <w:pPr>
              <w:spacing w:line="300" w:lineRule="exact"/>
              <w:rPr>
                <w:rFonts w:ascii="宋体" w:hAnsi="宋体"/>
                <w:color w:val="000000" w:themeColor="text1"/>
                <w:sz w:val="24"/>
                <w:szCs w:val="21"/>
              </w:rPr>
            </w:pPr>
            <w:r w:rsidRPr="00687B52">
              <w:rPr>
                <w:rFonts w:ascii="宋体" w:hAnsi="宋体" w:hint="eastAsia"/>
                <w:color w:val="000000" w:themeColor="text1"/>
                <w:sz w:val="24"/>
                <w:szCs w:val="21"/>
              </w:rPr>
              <w:t>二氧化硫、硫酸储罐、发烟硫酸储罐上应设置温度计（测定硫酸储罐上方空间温度）、液位计，同时将液位信号传至控制室；硫酸储罐呼吸口应设呼吸阀；二氧化硫罐区、发烟硫酸罐区应设置有毒气体浓度报警仪。</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第5.7.2.2条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3.1.3</w:t>
            </w:r>
          </w:p>
        </w:tc>
        <w:tc>
          <w:tcPr>
            <w:tcW w:w="2533" w:type="pct"/>
            <w:gridSpan w:val="7"/>
            <w:shd w:val="clear" w:color="auto" w:fill="auto"/>
            <w:vAlign w:val="center"/>
          </w:tcPr>
          <w:p w:rsidR="000C2455" w:rsidRPr="00687B52" w:rsidRDefault="000C2455" w:rsidP="003E1D2A">
            <w:pPr>
              <w:spacing w:line="300" w:lineRule="exact"/>
              <w:jc w:val="left"/>
              <w:rPr>
                <w:rFonts w:ascii="宋体" w:hAnsi="宋体"/>
                <w:color w:val="000000" w:themeColor="text1"/>
                <w:sz w:val="24"/>
                <w:szCs w:val="21"/>
              </w:rPr>
            </w:pPr>
            <w:r w:rsidRPr="00687B52">
              <w:rPr>
                <w:rFonts w:ascii="宋体" w:hAnsi="宋体" w:hint="eastAsia"/>
                <w:color w:val="000000" w:themeColor="text1"/>
                <w:sz w:val="24"/>
                <w:szCs w:val="21"/>
              </w:rPr>
              <w:t>液硫储槽区、柴油储罐区应配置静电导除设施。</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宋体" w:hAnsi="宋体"/>
                <w:color w:val="000000" w:themeColor="text1"/>
                <w:szCs w:val="24"/>
              </w:rPr>
            </w:pPr>
            <w:r w:rsidRPr="00687B52">
              <w:rPr>
                <w:rFonts w:asciiTheme="minorEastAsia" w:eastAsiaTheme="minorEastAsia" w:hAnsiTheme="minorEastAsia" w:hint="eastAsia"/>
                <w:color w:val="000000" w:themeColor="text1"/>
                <w:szCs w:val="24"/>
              </w:rPr>
              <w:t>第5.6.4.1条</w:t>
            </w:r>
          </w:p>
        </w:tc>
        <w:tc>
          <w:tcPr>
            <w:tcW w:w="1159" w:type="pct"/>
            <w:shd w:val="clear" w:color="auto" w:fill="auto"/>
            <w:vAlign w:val="center"/>
          </w:tcPr>
          <w:p w:rsidR="000C2455" w:rsidRPr="00687B52" w:rsidRDefault="000C2455" w:rsidP="003E1D2A">
            <w:pPr>
              <w:pStyle w:val="a7"/>
              <w:spacing w:line="300" w:lineRule="exact"/>
              <w:jc w:val="both"/>
              <w:rPr>
                <w:rFonts w:ascii="宋体" w:hAnsi="宋体"/>
                <w:color w:val="000000" w:themeColor="text1"/>
                <w:szCs w:val="32"/>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3.1.4</w:t>
            </w:r>
          </w:p>
        </w:tc>
        <w:tc>
          <w:tcPr>
            <w:tcW w:w="2533" w:type="pct"/>
            <w:gridSpan w:val="7"/>
            <w:shd w:val="clear" w:color="auto" w:fill="auto"/>
            <w:vAlign w:val="center"/>
          </w:tcPr>
          <w:p w:rsidR="000C2455" w:rsidRPr="00687B52" w:rsidRDefault="000C2455" w:rsidP="003E1D2A">
            <w:pPr>
              <w:spacing w:line="300" w:lineRule="exact"/>
              <w:jc w:val="left"/>
              <w:rPr>
                <w:rFonts w:ascii="宋体" w:hAnsi="宋体"/>
                <w:color w:val="000000" w:themeColor="text1"/>
                <w:sz w:val="18"/>
                <w:szCs w:val="21"/>
              </w:rPr>
            </w:pPr>
            <w:r w:rsidRPr="00687B52">
              <w:rPr>
                <w:rFonts w:ascii="宋体" w:hAnsi="宋体" w:hint="eastAsia"/>
                <w:color w:val="000000" w:themeColor="text1"/>
                <w:sz w:val="24"/>
                <w:szCs w:val="21"/>
              </w:rPr>
              <w:t>二氧化硫储罐区应根据实际情况合理安装与吸收装置相连接的设施，保证相应区域内泄漏的二氧化硫及时被导入吸收装置。</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第5.6.4.1条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3.1.5</w:t>
            </w:r>
          </w:p>
        </w:tc>
        <w:tc>
          <w:tcPr>
            <w:tcW w:w="2533" w:type="pct"/>
            <w:gridSpan w:val="7"/>
            <w:shd w:val="clear" w:color="auto" w:fill="auto"/>
            <w:vAlign w:val="center"/>
          </w:tcPr>
          <w:p w:rsidR="000C2455" w:rsidRPr="00687B52" w:rsidRDefault="000C2455" w:rsidP="003E1D2A">
            <w:pPr>
              <w:spacing w:line="300" w:lineRule="exact"/>
              <w:jc w:val="left"/>
              <w:rPr>
                <w:rFonts w:ascii="宋体" w:hAnsi="宋体"/>
                <w:color w:val="000000" w:themeColor="text1"/>
                <w:sz w:val="18"/>
                <w:szCs w:val="21"/>
              </w:rPr>
            </w:pPr>
            <w:r w:rsidRPr="00687B52">
              <w:rPr>
                <w:rFonts w:ascii="宋体" w:hAnsi="宋体" w:hint="eastAsia"/>
                <w:color w:val="000000" w:themeColor="text1"/>
                <w:sz w:val="24"/>
                <w:szCs w:val="21"/>
              </w:rPr>
              <w:t>储罐区应设置符合围堰，并进行防腐处理。</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第5.6.4.1条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3.1.6</w:t>
            </w:r>
          </w:p>
        </w:tc>
        <w:tc>
          <w:tcPr>
            <w:tcW w:w="2533" w:type="pct"/>
            <w:gridSpan w:val="7"/>
            <w:shd w:val="clear" w:color="auto" w:fill="auto"/>
            <w:vAlign w:val="center"/>
          </w:tcPr>
          <w:p w:rsidR="000C2455" w:rsidRPr="00687B52" w:rsidRDefault="000C2455" w:rsidP="003E1D2A">
            <w:pPr>
              <w:pStyle w:val="a7"/>
              <w:spacing w:line="300" w:lineRule="exact"/>
              <w:jc w:val="both"/>
              <w:rPr>
                <w:rFonts w:hAnsi="宋体"/>
                <w:color w:val="000000" w:themeColor="text1"/>
              </w:rPr>
            </w:pPr>
            <w:r w:rsidRPr="00687B52">
              <w:rPr>
                <w:rFonts w:hAnsi="宋体"/>
                <w:color w:val="000000" w:themeColor="text1"/>
              </w:rPr>
              <w:t>每一储罐组的防火堤、防护墙应设置不少于</w:t>
            </w:r>
            <w:r w:rsidRPr="00687B52">
              <w:rPr>
                <w:rFonts w:hAnsi="宋体"/>
                <w:color w:val="000000" w:themeColor="text1"/>
              </w:rPr>
              <w:t xml:space="preserve">2 </w:t>
            </w:r>
            <w:r w:rsidRPr="00687B52">
              <w:rPr>
                <w:rFonts w:hAnsi="宋体"/>
                <w:color w:val="000000" w:themeColor="text1"/>
              </w:rPr>
              <w:t>处越堤人行踏步或坡道，并应设置在不同方位上。隔堤、隔墙应设置人行踏步或坡道。</w:t>
            </w:r>
          </w:p>
        </w:tc>
        <w:tc>
          <w:tcPr>
            <w:tcW w:w="943" w:type="pct"/>
            <w:shd w:val="clear" w:color="auto" w:fill="auto"/>
            <w:vAlign w:val="center"/>
          </w:tcPr>
          <w:p w:rsidR="000C2455" w:rsidRPr="00687B52" w:rsidRDefault="000C2455" w:rsidP="003E1D2A">
            <w:pPr>
              <w:pStyle w:val="a7"/>
              <w:spacing w:line="300" w:lineRule="exact"/>
              <w:rPr>
                <w:rFonts w:ascii="宋体" w:hAnsi="宋体"/>
                <w:color w:val="000000" w:themeColor="text1"/>
              </w:rPr>
            </w:pPr>
            <w:r w:rsidRPr="00687B52">
              <w:rPr>
                <w:rFonts w:asciiTheme="minorEastAsia" w:eastAsiaTheme="minorEastAsia" w:hAnsiTheme="minorEastAsia" w:hint="eastAsia"/>
                <w:color w:val="000000" w:themeColor="text1"/>
                <w:szCs w:val="24"/>
              </w:rPr>
              <w:t>《储罐区防火堤设计规范》</w:t>
            </w:r>
            <w:r w:rsidRPr="00687B52">
              <w:rPr>
                <w:rFonts w:ascii="宋体" w:hAnsi="宋体"/>
                <w:color w:val="000000" w:themeColor="text1"/>
              </w:rPr>
              <w:t>GB50351-2014</w:t>
            </w:r>
          </w:p>
          <w:p w:rsidR="000C2455" w:rsidRPr="00687B52" w:rsidRDefault="000C2455" w:rsidP="003E1D2A">
            <w:pPr>
              <w:pStyle w:val="a7"/>
              <w:spacing w:line="300" w:lineRule="exact"/>
              <w:rPr>
                <w:rFonts w:ascii="宋体" w:hAnsi="宋体"/>
                <w:color w:val="000000" w:themeColor="text1"/>
              </w:rPr>
            </w:pPr>
            <w:r w:rsidRPr="00687B52">
              <w:rPr>
                <w:rFonts w:ascii="宋体" w:hAnsi="宋体"/>
                <w:color w:val="000000" w:themeColor="text1"/>
              </w:rPr>
              <w:t>第3.1.7条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3.1.7</w:t>
            </w:r>
          </w:p>
        </w:tc>
        <w:tc>
          <w:tcPr>
            <w:tcW w:w="2533" w:type="pct"/>
            <w:gridSpan w:val="7"/>
            <w:shd w:val="clear" w:color="auto" w:fill="auto"/>
            <w:vAlign w:val="center"/>
          </w:tcPr>
          <w:p w:rsidR="000C2455" w:rsidRPr="00687B52" w:rsidRDefault="000C2455" w:rsidP="003E1D2A">
            <w:pPr>
              <w:pStyle w:val="a7"/>
              <w:spacing w:line="300" w:lineRule="exact"/>
              <w:jc w:val="both"/>
              <w:rPr>
                <w:rFonts w:hAnsi="宋体"/>
                <w:color w:val="000000" w:themeColor="text1"/>
              </w:rPr>
            </w:pPr>
            <w:r w:rsidRPr="00687B52">
              <w:rPr>
                <w:rFonts w:hAnsi="宋体" w:hint="eastAsia"/>
                <w:color w:val="000000" w:themeColor="text1"/>
              </w:rPr>
              <w:t>防火堤、防护墙内场地设置排水明沟时应符合下列要求：</w:t>
            </w:r>
          </w:p>
          <w:p w:rsidR="000C2455" w:rsidRPr="00687B52" w:rsidRDefault="000C2455" w:rsidP="003E1D2A">
            <w:pPr>
              <w:pStyle w:val="a7"/>
              <w:spacing w:line="300" w:lineRule="exact"/>
              <w:jc w:val="both"/>
              <w:rPr>
                <w:rFonts w:hAnsi="宋体"/>
                <w:color w:val="000000" w:themeColor="text1"/>
              </w:rPr>
            </w:pPr>
            <w:r w:rsidRPr="00687B52">
              <w:rPr>
                <w:rFonts w:hAnsi="宋体" w:hint="eastAsia"/>
                <w:color w:val="000000" w:themeColor="text1"/>
              </w:rPr>
              <w:t xml:space="preserve">1 </w:t>
            </w:r>
            <w:r w:rsidRPr="00687B52">
              <w:rPr>
                <w:rFonts w:hAnsi="宋体" w:hint="eastAsia"/>
                <w:color w:val="000000" w:themeColor="text1"/>
              </w:rPr>
              <w:t>沿无培土的防火堤内侧修建排水沟时，沟壁的外侧与防火</w:t>
            </w:r>
          </w:p>
          <w:p w:rsidR="000C2455" w:rsidRPr="00687B52" w:rsidRDefault="000C2455" w:rsidP="003E1D2A">
            <w:pPr>
              <w:pStyle w:val="a7"/>
              <w:spacing w:line="300" w:lineRule="exact"/>
              <w:jc w:val="both"/>
              <w:rPr>
                <w:rFonts w:hAnsi="宋体"/>
                <w:color w:val="000000" w:themeColor="text1"/>
              </w:rPr>
            </w:pPr>
            <w:r w:rsidRPr="00687B52">
              <w:rPr>
                <w:rFonts w:hAnsi="宋体" w:hint="eastAsia"/>
                <w:color w:val="000000" w:themeColor="text1"/>
              </w:rPr>
              <w:t>堤内堤脚线的距离不应小于</w:t>
            </w:r>
            <w:r w:rsidRPr="00687B52">
              <w:rPr>
                <w:rFonts w:hAnsi="宋体" w:hint="eastAsia"/>
                <w:color w:val="000000" w:themeColor="text1"/>
              </w:rPr>
              <w:t>0. 5 m</w:t>
            </w:r>
            <w:r w:rsidRPr="00687B52">
              <w:rPr>
                <w:rFonts w:hAnsi="宋体" w:hint="eastAsia"/>
                <w:color w:val="000000" w:themeColor="text1"/>
              </w:rPr>
              <w:t>；</w:t>
            </w:r>
          </w:p>
          <w:p w:rsidR="000C2455" w:rsidRPr="00687B52" w:rsidRDefault="000C2455" w:rsidP="003E1D2A">
            <w:pPr>
              <w:pStyle w:val="a7"/>
              <w:spacing w:line="300" w:lineRule="exact"/>
              <w:jc w:val="both"/>
              <w:rPr>
                <w:rFonts w:hAnsi="宋体"/>
                <w:color w:val="000000" w:themeColor="text1"/>
              </w:rPr>
            </w:pPr>
            <w:r w:rsidRPr="00687B52">
              <w:rPr>
                <w:rFonts w:hAnsi="宋体" w:hint="eastAsia"/>
                <w:color w:val="000000" w:themeColor="text1"/>
              </w:rPr>
              <w:t xml:space="preserve">2 </w:t>
            </w:r>
            <w:r w:rsidRPr="00687B52">
              <w:rPr>
                <w:rFonts w:hAnsi="宋体" w:hint="eastAsia"/>
                <w:color w:val="000000" w:themeColor="text1"/>
              </w:rPr>
              <w:t>沿土堤或内培土的防火堤内侧修建排水沟时，沟壁的外侧</w:t>
            </w:r>
          </w:p>
          <w:p w:rsidR="000C2455" w:rsidRPr="00687B52" w:rsidRDefault="000C2455" w:rsidP="003E1D2A">
            <w:pPr>
              <w:pStyle w:val="a7"/>
              <w:spacing w:line="300" w:lineRule="exact"/>
              <w:jc w:val="both"/>
              <w:rPr>
                <w:rFonts w:hAnsi="宋体"/>
                <w:color w:val="000000" w:themeColor="text1"/>
              </w:rPr>
            </w:pPr>
            <w:r w:rsidRPr="00687B52">
              <w:rPr>
                <w:rFonts w:hAnsi="宋体" w:hint="eastAsia"/>
                <w:color w:val="000000" w:themeColor="text1"/>
              </w:rPr>
              <w:t>与土堤内侧堤脚线或培土堤脚线的距离不应小于</w:t>
            </w:r>
            <w:r w:rsidRPr="00687B52">
              <w:rPr>
                <w:rFonts w:hAnsi="宋体" w:hint="eastAsia"/>
                <w:color w:val="000000" w:themeColor="text1"/>
              </w:rPr>
              <w:t xml:space="preserve">0. 8 m </w:t>
            </w:r>
            <w:r w:rsidRPr="00687B52">
              <w:rPr>
                <w:rFonts w:hAnsi="宋体" w:hint="eastAsia"/>
                <w:color w:val="000000" w:themeColor="text1"/>
              </w:rPr>
              <w:t>；</w:t>
            </w:r>
          </w:p>
          <w:p w:rsidR="000C2455" w:rsidRPr="00687B52" w:rsidRDefault="000C2455" w:rsidP="003E1D2A">
            <w:pPr>
              <w:pStyle w:val="a7"/>
              <w:spacing w:line="300" w:lineRule="exact"/>
              <w:jc w:val="both"/>
              <w:rPr>
                <w:rFonts w:hAnsi="宋体"/>
                <w:color w:val="000000" w:themeColor="text1"/>
              </w:rPr>
            </w:pPr>
            <w:r w:rsidRPr="00687B52">
              <w:rPr>
                <w:rFonts w:hAnsi="宋体" w:hint="eastAsia"/>
                <w:color w:val="000000" w:themeColor="text1"/>
              </w:rPr>
              <w:t xml:space="preserve">3 </w:t>
            </w:r>
            <w:r w:rsidRPr="00687B52">
              <w:rPr>
                <w:rFonts w:hAnsi="宋体" w:hint="eastAsia"/>
                <w:color w:val="000000" w:themeColor="text1"/>
              </w:rPr>
              <w:t>沿防护墙修建排水沟时，沟壁的外侧与防护墙内堤脚线的</w:t>
            </w:r>
          </w:p>
          <w:p w:rsidR="000C2455" w:rsidRPr="00687B52" w:rsidRDefault="000C2455" w:rsidP="003E1D2A">
            <w:pPr>
              <w:pStyle w:val="a7"/>
              <w:spacing w:line="300" w:lineRule="exact"/>
              <w:jc w:val="both"/>
              <w:rPr>
                <w:rFonts w:hAnsi="宋体"/>
                <w:color w:val="000000" w:themeColor="text1"/>
              </w:rPr>
            </w:pPr>
            <w:r w:rsidRPr="00687B52">
              <w:rPr>
                <w:rFonts w:hAnsi="宋体" w:hint="eastAsia"/>
                <w:color w:val="000000" w:themeColor="text1"/>
              </w:rPr>
              <w:t>距离不应小于</w:t>
            </w:r>
            <w:r w:rsidRPr="00687B52">
              <w:rPr>
                <w:rFonts w:hAnsi="宋体" w:hint="eastAsia"/>
                <w:color w:val="000000" w:themeColor="text1"/>
              </w:rPr>
              <w:t>0. 5 m</w:t>
            </w:r>
            <w:r w:rsidRPr="00687B52">
              <w:rPr>
                <w:rFonts w:hAnsi="宋体" w:hint="eastAsia"/>
                <w:color w:val="000000" w:themeColor="text1"/>
              </w:rPr>
              <w:t>；</w:t>
            </w:r>
          </w:p>
          <w:p w:rsidR="000C2455" w:rsidRPr="00687B52" w:rsidRDefault="000C2455" w:rsidP="003E1D2A">
            <w:pPr>
              <w:pStyle w:val="a7"/>
              <w:spacing w:line="300" w:lineRule="exact"/>
              <w:jc w:val="both"/>
              <w:rPr>
                <w:rFonts w:hAnsi="宋体"/>
                <w:color w:val="000000" w:themeColor="text1"/>
              </w:rPr>
            </w:pPr>
            <w:r w:rsidRPr="00687B52">
              <w:rPr>
                <w:rFonts w:hAnsi="宋体" w:hint="eastAsia"/>
                <w:color w:val="000000" w:themeColor="text1"/>
              </w:rPr>
              <w:t xml:space="preserve">4 </w:t>
            </w:r>
            <w:r w:rsidRPr="00687B52">
              <w:rPr>
                <w:rFonts w:hAnsi="宋体" w:hint="eastAsia"/>
                <w:color w:val="000000" w:themeColor="text1"/>
              </w:rPr>
              <w:t>排水沟应采用防渗漏措施；</w:t>
            </w:r>
          </w:p>
          <w:p w:rsidR="000C2455" w:rsidRPr="00687B52" w:rsidRDefault="000C2455" w:rsidP="003E1D2A">
            <w:pPr>
              <w:pStyle w:val="a7"/>
              <w:spacing w:line="300" w:lineRule="exact"/>
              <w:jc w:val="both"/>
              <w:rPr>
                <w:rFonts w:hAnsi="宋体"/>
                <w:color w:val="000000" w:themeColor="text1"/>
              </w:rPr>
            </w:pPr>
            <w:r w:rsidRPr="00687B52">
              <w:rPr>
                <w:rFonts w:hAnsi="宋体" w:hint="eastAsia"/>
                <w:color w:val="000000" w:themeColor="text1"/>
              </w:rPr>
              <w:t xml:space="preserve">5 </w:t>
            </w:r>
            <w:r w:rsidRPr="00687B52">
              <w:rPr>
                <w:rFonts w:hAnsi="宋体" w:hint="eastAsia"/>
                <w:color w:val="000000" w:themeColor="text1"/>
              </w:rPr>
              <w:t>排水明沟宜设置格栅盖板，格栅盖板的材质应具有防火、防腐性能。</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《储罐区防火堤设计规范》GB30501-2014</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第3.1.6条</w:t>
            </w:r>
          </w:p>
        </w:tc>
        <w:tc>
          <w:tcPr>
            <w:tcW w:w="1159" w:type="pct"/>
            <w:shd w:val="clear" w:color="auto" w:fill="auto"/>
            <w:vAlign w:val="center"/>
          </w:tcPr>
          <w:p w:rsidR="000C2455" w:rsidRPr="00687B52" w:rsidRDefault="000C2455" w:rsidP="003E1D2A">
            <w:pPr>
              <w:spacing w:line="300" w:lineRule="exact"/>
              <w:rPr>
                <w:rFonts w:asciiTheme="minorEastAsia" w:hAnsiTheme="minorEastAsia"/>
                <w:color w:val="000000" w:themeColor="text1"/>
                <w:sz w:val="24"/>
                <w:szCs w:val="24"/>
              </w:rPr>
            </w:pPr>
          </w:p>
        </w:tc>
      </w:tr>
      <w:tr w:rsidR="000C2455" w:rsidRPr="00687B52" w:rsidTr="00406A19">
        <w:tc>
          <w:tcPr>
            <w:tcW w:w="365" w:type="pct"/>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仓库区</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3.1.8</w:t>
            </w:r>
          </w:p>
        </w:tc>
        <w:tc>
          <w:tcPr>
            <w:tcW w:w="2533" w:type="pct"/>
            <w:gridSpan w:val="7"/>
            <w:shd w:val="clear" w:color="auto" w:fill="auto"/>
            <w:vAlign w:val="center"/>
          </w:tcPr>
          <w:p w:rsidR="000C2455" w:rsidRPr="00687B52" w:rsidRDefault="000C2455" w:rsidP="003E1D2A">
            <w:pPr>
              <w:spacing w:line="300" w:lineRule="exact"/>
              <w:jc w:val="left"/>
              <w:rPr>
                <w:rFonts w:ascii="宋体" w:hAnsi="宋体"/>
                <w:color w:val="000000" w:themeColor="text1"/>
                <w:sz w:val="18"/>
                <w:szCs w:val="21"/>
              </w:rPr>
            </w:pPr>
            <w:r w:rsidRPr="00687B52">
              <w:rPr>
                <w:rFonts w:ascii="宋体" w:hAnsi="宋体" w:hint="eastAsia"/>
                <w:color w:val="000000" w:themeColor="text1"/>
                <w:sz w:val="24"/>
                <w:szCs w:val="21"/>
              </w:rPr>
              <w:t>二氧化硫重瓶仓库应根据实际情况合理安装与吸收装置相连接的设施，保证相应区域内泄漏的二氧化硫及时被导入吸收装置。</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第5.6.4.1条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3.1.9</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甲、乙、丙液体仓库应设置防止液体流散的设施。遇湿会发生燃烧爆炸的物品仓库应采取防止水浸渍的措施。</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 GB50016-2014</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第3.6.12条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3.1.10</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库房应干燥、易于通风、密闭和避光，并应安装避雷装置；库房内可能散发（或泄漏）可燃气体、可燃蒸汽的场所应安装可燃气体检测报警装置。</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《易燃易爆性商品储藏养护技术条件》GB17914-2013</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第3.2条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3.1.11</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商品应避免阳光直射、远离火源、热源、电源及产生火花的环境。</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《易燃易爆性商品储藏养护技术条件》GB17914-2013</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第4.3.1条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3.1.12</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除按附录A规定分类储存外，以下品种应专库储存：</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爆炸品：黑色火药类、爆炸性化合物应专库储存；</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压缩气体和液化气体：易燃气体、助燃气体和有毒气体应专库储存；</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易燃液体可同库储存；但灭火方法不同的商品应分库储存；</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易燃固体可同库储存；但乳发剂H与酸或酸性商品应分库储存；</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硝酸纤维素酯、安全火柴、红磷及硫化磷、铝粉等金属分类应分裤储存；</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自然商品：黄磷、烃基金属化合物，浸动、植物油的制品应分库储存；</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遇湿易燃商品应专库储存；</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氧化剂和有机过氧化物，一、二级无机氧化剂与一、二级有机氧化剂应分库储存； </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《易燃易爆性商品储藏养护技术条件》GB17914-2013</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第4.3.2条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3.1.13</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各种商品（气瓶装除外）不应直接落地存放，一般应垫15cm以上。遇湿易燃物品、易吸潮溶化和吸潮分解的商品应适当增加下垫高度。</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《易燃易爆性商品储藏养护技术条件》GB17914-2013</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第6.1.2条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3.1.14</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各种商品应玛行列式压缝货垛，做到牢固、整齐、美观，出入库方便，一般垛高不应超过3m。</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《易燃易爆性商品储藏养护技术条件》GB17914-2013</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第6.1.3条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3.1.15</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堆垛间距：</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主通道大于等于180cm；</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支通道大于等于80cm；</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墙距大于等于30cm；</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柱距大于等于10cm；</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垛距大于等于10cm；</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顶距大于等于50cm。</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《易燃易爆性商品储藏养护技术条件》GB17914-2013</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第6.2条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3.1.16</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各项操作不应使用能产生火花的工具，不应使用叉车搬运、装卸压缩和液化的气体钢瓶，热源与火源应远离作业现场。</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《易燃易爆性商品储藏养护技术条件》GB17914-2013</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第8.4条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3.1.17</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库房内不应进行分装、改装，开箱、开桶、验收等，以上活动应在库房外进行。</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《易燃易爆性商品储藏养护技术条件》GB17914-2013</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第7.5条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3.1.18</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作业人员应穿戴防护服、护目镜、橡胶浸塑手套等防护用具，应做到：</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操作时应轻搬轻放，防止摩擦振动和撞击；</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不应使用沾染异物和能产生火花的机具，作业现场远离热源和火源；</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分装、改装、开箱检查等应在库房外进行；</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有氧化性强酸不应采用木制品或易燃材质的货架或衬垫。</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《腐蚀性商品储存养护技术条件》GB17915-2013</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第7.2条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3.1.19</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贮存化学危险品的仓库必须配备有专业知识的技术人员，其库房及场所应设专人管理，管理人员必须配备可靠的个人安全防护用品。</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常用化学危险品贮存通则</w:t>
            </w:r>
            <w:r w:rsidRPr="00687B52">
              <w:rPr>
                <w:rFonts w:asciiTheme="minorEastAsia" w:eastAsiaTheme="minorEastAsia" w:hAnsiTheme="minorEastAsia" w:hint="eastAsia"/>
                <w:color w:val="000000" w:themeColor="text1"/>
                <w:szCs w:val="24"/>
              </w:rPr>
              <w:t>》</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第4.4条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3.1.20</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根据危险品性能分区、分类、分库贮存。各类危险品不得与禁忌物料混合贮存。</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常用化学危险品贮存通则</w:t>
            </w:r>
            <w:r w:rsidRPr="00687B52">
              <w:rPr>
                <w:rFonts w:asciiTheme="minorEastAsia" w:eastAsiaTheme="minorEastAsia" w:hAnsiTheme="minorEastAsia" w:hint="eastAsia"/>
                <w:color w:val="000000" w:themeColor="text1"/>
                <w:szCs w:val="24"/>
              </w:rPr>
              <w:t>》</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第4.8条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3.1.21</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贮存化学危险品的建筑物、区域内严禁吸烟和使用明火。</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常用化学危险品贮存通则</w:t>
            </w:r>
            <w:r w:rsidRPr="00687B52">
              <w:rPr>
                <w:rFonts w:asciiTheme="minorEastAsia" w:eastAsiaTheme="minorEastAsia" w:hAnsiTheme="minorEastAsia" w:hint="eastAsia"/>
                <w:color w:val="000000" w:themeColor="text1"/>
                <w:szCs w:val="24"/>
              </w:rPr>
              <w:t>》</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第4.9条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3.1.22</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化学危险品贮存区域或建筑物内输配电线路、灯具、火灾事故照明和疏散指示标志，都应符合安全要求。</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常用化学危险品贮存通则</w:t>
            </w:r>
            <w:r w:rsidRPr="00687B52">
              <w:rPr>
                <w:rFonts w:asciiTheme="minorEastAsia" w:eastAsiaTheme="minorEastAsia" w:hAnsiTheme="minorEastAsia" w:hint="eastAsia"/>
                <w:color w:val="000000" w:themeColor="text1"/>
                <w:szCs w:val="24"/>
              </w:rPr>
              <w:t>》</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第5.3.2条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3.1.23</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贮存易燃、易爆化学品的建筑，必须安装避雷设备。</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常用化学危险品贮存通则</w:t>
            </w:r>
            <w:r w:rsidRPr="00687B52">
              <w:rPr>
                <w:rFonts w:asciiTheme="minorEastAsia" w:eastAsiaTheme="minorEastAsia" w:hAnsiTheme="minorEastAsia" w:hint="eastAsia"/>
                <w:color w:val="000000" w:themeColor="text1"/>
                <w:szCs w:val="24"/>
              </w:rPr>
              <w:t>》</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第5.3.3条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3.1.24</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易燃液体、遇湿易燃物品、易燃固体不得与氧化剂混合贮存，具有还原性的氧化剂应单独存放。</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常用化学危险品贮存通则</w:t>
            </w:r>
            <w:r w:rsidRPr="00687B52">
              <w:rPr>
                <w:rFonts w:asciiTheme="minorEastAsia" w:eastAsiaTheme="minorEastAsia" w:hAnsiTheme="minorEastAsia" w:hint="eastAsia"/>
                <w:color w:val="000000" w:themeColor="text1"/>
                <w:szCs w:val="24"/>
              </w:rPr>
              <w:t>》</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第6.7条</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3.1.25</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腐蚀性物品，包装必须严密，不允许泄漏，严禁与液化气体和其他物品共存。</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常用化学危险品贮存通则</w:t>
            </w:r>
            <w:r w:rsidRPr="00687B52">
              <w:rPr>
                <w:rFonts w:asciiTheme="minorEastAsia" w:eastAsiaTheme="minorEastAsia" w:hAnsiTheme="minorEastAsia" w:hint="eastAsia"/>
                <w:color w:val="000000" w:themeColor="text1"/>
                <w:szCs w:val="24"/>
              </w:rPr>
              <w:t>》</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第6.9条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装卸与运输</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3.2.1</w:t>
            </w:r>
          </w:p>
        </w:tc>
        <w:tc>
          <w:tcPr>
            <w:tcW w:w="2533" w:type="pct"/>
            <w:gridSpan w:val="7"/>
            <w:shd w:val="clear" w:color="auto" w:fill="auto"/>
            <w:vAlign w:val="center"/>
          </w:tcPr>
          <w:p w:rsidR="000C2455" w:rsidRPr="00687B52" w:rsidRDefault="000C2455" w:rsidP="003E1D2A">
            <w:pPr>
              <w:spacing w:line="300" w:lineRule="exact"/>
              <w:rPr>
                <w:rFonts w:ascii="宋体" w:hAnsi="宋体"/>
                <w:color w:val="000000" w:themeColor="text1"/>
                <w:sz w:val="24"/>
                <w:szCs w:val="21"/>
              </w:rPr>
            </w:pPr>
            <w:r w:rsidRPr="00687B52">
              <w:rPr>
                <w:rFonts w:ascii="宋体" w:hAnsi="宋体" w:hint="eastAsia"/>
                <w:color w:val="000000" w:themeColor="text1"/>
                <w:sz w:val="24"/>
                <w:szCs w:val="21"/>
              </w:rPr>
              <w:t>二氧化硫钢瓶充装：</w:t>
            </w:r>
          </w:p>
          <w:p w:rsidR="000C2455" w:rsidRPr="00687B52" w:rsidRDefault="000C2455" w:rsidP="00D9787F">
            <w:pPr>
              <w:pStyle w:val="ab"/>
              <w:numPr>
                <w:ilvl w:val="0"/>
                <w:numId w:val="80"/>
              </w:numPr>
              <w:spacing w:line="300" w:lineRule="exact"/>
              <w:ind w:firstLineChars="0"/>
              <w:rPr>
                <w:rFonts w:ascii="宋体" w:hAnsi="宋体"/>
                <w:color w:val="000000" w:themeColor="text1"/>
                <w:sz w:val="24"/>
                <w:szCs w:val="21"/>
              </w:rPr>
            </w:pPr>
            <w:r w:rsidRPr="00687B52">
              <w:rPr>
                <w:rFonts w:ascii="宋体" w:hAnsi="宋体" w:hint="eastAsia"/>
                <w:color w:val="000000" w:themeColor="text1"/>
                <w:sz w:val="24"/>
                <w:szCs w:val="21"/>
              </w:rPr>
              <w:t>二氧化硫重装前，每班应对计量器具检查校零；</w:t>
            </w:r>
          </w:p>
          <w:p w:rsidR="000C2455" w:rsidRPr="00687B52" w:rsidRDefault="000C2455" w:rsidP="00D9787F">
            <w:pPr>
              <w:pStyle w:val="ab"/>
              <w:numPr>
                <w:ilvl w:val="0"/>
                <w:numId w:val="80"/>
              </w:numPr>
              <w:spacing w:line="300" w:lineRule="exact"/>
              <w:ind w:firstLineChars="0"/>
              <w:rPr>
                <w:rFonts w:ascii="宋体" w:hAnsi="宋体"/>
                <w:color w:val="000000" w:themeColor="text1"/>
                <w:sz w:val="24"/>
                <w:szCs w:val="21"/>
              </w:rPr>
            </w:pPr>
            <w:r w:rsidRPr="00687B52">
              <w:rPr>
                <w:rFonts w:ascii="宋体" w:hAnsi="宋体" w:hint="eastAsia"/>
                <w:color w:val="000000" w:themeColor="text1"/>
                <w:sz w:val="24"/>
                <w:szCs w:val="21"/>
              </w:rPr>
              <w:t>二氧化硫充装前，应有专人对钢瓶进行全面检查，分析钢瓶内剩余二氧化硫的含量，确认有无缺陷和异常情况，符合要求后方可充装；</w:t>
            </w:r>
          </w:p>
          <w:p w:rsidR="000C2455" w:rsidRPr="00687B52" w:rsidRDefault="000C2455" w:rsidP="00D9787F">
            <w:pPr>
              <w:pStyle w:val="ab"/>
              <w:numPr>
                <w:ilvl w:val="0"/>
                <w:numId w:val="80"/>
              </w:numPr>
              <w:spacing w:line="300" w:lineRule="exact"/>
              <w:ind w:firstLineChars="0"/>
              <w:rPr>
                <w:rFonts w:ascii="宋体" w:hAnsi="宋体"/>
                <w:color w:val="000000" w:themeColor="text1"/>
                <w:sz w:val="24"/>
                <w:szCs w:val="21"/>
              </w:rPr>
            </w:pPr>
            <w:r w:rsidRPr="00687B52">
              <w:rPr>
                <w:rFonts w:ascii="宋体" w:hAnsi="宋体" w:hint="eastAsia"/>
                <w:color w:val="000000" w:themeColor="text1"/>
                <w:sz w:val="24"/>
                <w:szCs w:val="21"/>
              </w:rPr>
              <w:t>充装后的二氧化硫重瓶应复验充装量，严禁超装。复磅时应换人换衡器；</w:t>
            </w:r>
          </w:p>
          <w:p w:rsidR="000C2455" w:rsidRPr="00687B52" w:rsidRDefault="000C2455" w:rsidP="00D9787F">
            <w:pPr>
              <w:pStyle w:val="ab"/>
              <w:numPr>
                <w:ilvl w:val="0"/>
                <w:numId w:val="80"/>
              </w:numPr>
              <w:spacing w:line="300" w:lineRule="exact"/>
              <w:ind w:firstLineChars="0"/>
              <w:rPr>
                <w:rFonts w:ascii="宋体" w:hAnsi="宋体"/>
                <w:color w:val="000000" w:themeColor="text1"/>
                <w:sz w:val="24"/>
                <w:szCs w:val="21"/>
              </w:rPr>
            </w:pPr>
            <w:r w:rsidRPr="00687B52">
              <w:rPr>
                <w:rFonts w:ascii="宋体" w:hAnsi="宋体" w:hint="eastAsia"/>
                <w:color w:val="000000" w:themeColor="text1"/>
                <w:sz w:val="24"/>
                <w:szCs w:val="21"/>
              </w:rPr>
              <w:t>充装前的检查记录、充装操作记录、充装后复验和检查记录应完整保存；</w:t>
            </w:r>
          </w:p>
          <w:p w:rsidR="000C2455" w:rsidRPr="00687B52" w:rsidRDefault="000C2455" w:rsidP="00D9787F">
            <w:pPr>
              <w:pStyle w:val="ab"/>
              <w:numPr>
                <w:ilvl w:val="0"/>
                <w:numId w:val="80"/>
              </w:numPr>
              <w:spacing w:line="300" w:lineRule="exact"/>
              <w:ind w:firstLineChars="0"/>
              <w:rPr>
                <w:rFonts w:ascii="宋体" w:hAnsi="宋体"/>
                <w:color w:val="000000" w:themeColor="text1"/>
                <w:sz w:val="24"/>
                <w:szCs w:val="21"/>
              </w:rPr>
            </w:pPr>
            <w:r w:rsidRPr="00687B52">
              <w:rPr>
                <w:rFonts w:ascii="宋体" w:hAnsi="宋体" w:hint="eastAsia"/>
                <w:color w:val="000000" w:themeColor="text1"/>
                <w:sz w:val="24"/>
                <w:szCs w:val="21"/>
              </w:rPr>
              <w:t>二氧化硫空瓶和充装后的重瓶应分开放置，设置明显标志，禁止混放；</w:t>
            </w:r>
          </w:p>
          <w:p w:rsidR="000C2455" w:rsidRPr="00687B52" w:rsidRDefault="000C2455" w:rsidP="00D9787F">
            <w:pPr>
              <w:pStyle w:val="ab"/>
              <w:numPr>
                <w:ilvl w:val="0"/>
                <w:numId w:val="80"/>
              </w:numPr>
              <w:spacing w:line="300" w:lineRule="exact"/>
              <w:ind w:firstLineChars="0"/>
              <w:rPr>
                <w:rFonts w:ascii="宋体" w:hAnsi="宋体"/>
                <w:color w:val="000000" w:themeColor="text1"/>
                <w:sz w:val="24"/>
                <w:szCs w:val="21"/>
              </w:rPr>
            </w:pPr>
            <w:r w:rsidRPr="00687B52">
              <w:rPr>
                <w:rFonts w:ascii="宋体" w:hAnsi="宋体" w:hint="eastAsia"/>
                <w:color w:val="000000" w:themeColor="text1"/>
                <w:sz w:val="24"/>
                <w:szCs w:val="21"/>
              </w:rPr>
              <w:t>充装后的钢瓶入库前应有产品合格证。合格证注明瓶号、容量、重量、充装日期等内容；</w:t>
            </w:r>
          </w:p>
          <w:p w:rsidR="000C2455" w:rsidRPr="00687B52" w:rsidRDefault="000C2455" w:rsidP="00D9787F">
            <w:pPr>
              <w:pStyle w:val="ab"/>
              <w:numPr>
                <w:ilvl w:val="0"/>
                <w:numId w:val="80"/>
              </w:numPr>
              <w:spacing w:line="300" w:lineRule="exact"/>
              <w:ind w:firstLineChars="0"/>
              <w:rPr>
                <w:rFonts w:ascii="宋体" w:hAnsi="宋体"/>
                <w:color w:val="000000" w:themeColor="text1"/>
                <w:sz w:val="24"/>
                <w:szCs w:val="21"/>
              </w:rPr>
            </w:pPr>
            <w:r w:rsidRPr="00687B52">
              <w:rPr>
                <w:rFonts w:ascii="宋体" w:hAnsi="宋体" w:hint="eastAsia"/>
                <w:color w:val="000000" w:themeColor="text1"/>
                <w:sz w:val="24"/>
                <w:szCs w:val="21"/>
              </w:rPr>
              <w:t>二氧化硫钢瓶起重机械使用前应进行检查；</w:t>
            </w:r>
          </w:p>
          <w:p w:rsidR="000C2455" w:rsidRPr="00687B52" w:rsidRDefault="000C2455" w:rsidP="00D9787F">
            <w:pPr>
              <w:pStyle w:val="ab"/>
              <w:numPr>
                <w:ilvl w:val="0"/>
                <w:numId w:val="80"/>
              </w:numPr>
              <w:spacing w:line="300" w:lineRule="exact"/>
              <w:ind w:firstLineChars="0"/>
              <w:rPr>
                <w:rFonts w:ascii="宋体" w:hAnsi="宋体"/>
                <w:color w:val="000000" w:themeColor="text1"/>
                <w:sz w:val="24"/>
                <w:szCs w:val="21"/>
              </w:rPr>
            </w:pPr>
            <w:r w:rsidRPr="00687B52">
              <w:rPr>
                <w:rFonts w:ascii="宋体" w:hAnsi="宋体" w:hint="eastAsia"/>
                <w:color w:val="000000" w:themeColor="text1"/>
                <w:sz w:val="24"/>
                <w:szCs w:val="21"/>
              </w:rPr>
              <w:t>应设置二氧化硫超装自动回流装置。</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第5.7.2.6条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3.2.2</w:t>
            </w:r>
          </w:p>
        </w:tc>
        <w:tc>
          <w:tcPr>
            <w:tcW w:w="2533" w:type="pct"/>
            <w:gridSpan w:val="7"/>
            <w:shd w:val="clear" w:color="auto" w:fill="auto"/>
            <w:vAlign w:val="center"/>
          </w:tcPr>
          <w:p w:rsidR="000C2455" w:rsidRPr="00687B52" w:rsidRDefault="000C2455" w:rsidP="003E1D2A">
            <w:pPr>
              <w:spacing w:line="300" w:lineRule="exact"/>
              <w:rPr>
                <w:rFonts w:ascii="宋体" w:hAnsi="宋体"/>
                <w:color w:val="000000" w:themeColor="text1"/>
                <w:sz w:val="24"/>
                <w:szCs w:val="21"/>
              </w:rPr>
            </w:pPr>
            <w:r w:rsidRPr="00687B52">
              <w:rPr>
                <w:rFonts w:ascii="宋体" w:hAnsi="宋体" w:hint="eastAsia"/>
                <w:color w:val="000000" w:themeColor="text1"/>
                <w:sz w:val="24"/>
                <w:szCs w:val="21"/>
              </w:rPr>
              <w:t>二氧化硫汽车灌装充装：</w:t>
            </w:r>
          </w:p>
          <w:p w:rsidR="000C2455" w:rsidRPr="00687B52" w:rsidRDefault="000C2455" w:rsidP="00D9787F">
            <w:pPr>
              <w:pStyle w:val="ab"/>
              <w:numPr>
                <w:ilvl w:val="0"/>
                <w:numId w:val="81"/>
              </w:numPr>
              <w:spacing w:line="300" w:lineRule="exact"/>
              <w:ind w:firstLineChars="0"/>
              <w:rPr>
                <w:rFonts w:ascii="宋体" w:hAnsi="宋体"/>
                <w:color w:val="000000" w:themeColor="text1"/>
                <w:sz w:val="24"/>
                <w:szCs w:val="21"/>
              </w:rPr>
            </w:pPr>
            <w:r w:rsidRPr="00687B52">
              <w:rPr>
                <w:rFonts w:ascii="宋体" w:hAnsi="宋体" w:hint="eastAsia"/>
                <w:color w:val="000000" w:themeColor="text1"/>
                <w:sz w:val="24"/>
                <w:szCs w:val="21"/>
              </w:rPr>
              <w:t>液态二氧化硫罐车充装前应有专业人员对汽车罐车进行全面检查，确认安全附件是否齐全，防止汽车罐车充装过程中发生移动的措施是否有效，检查合格后方可充装。充装记录应完整保存；</w:t>
            </w:r>
          </w:p>
          <w:p w:rsidR="000C2455" w:rsidRPr="00687B52" w:rsidRDefault="000C2455" w:rsidP="00D9787F">
            <w:pPr>
              <w:pStyle w:val="ab"/>
              <w:numPr>
                <w:ilvl w:val="0"/>
                <w:numId w:val="81"/>
              </w:numPr>
              <w:spacing w:line="300" w:lineRule="exact"/>
              <w:ind w:firstLineChars="0"/>
              <w:rPr>
                <w:rFonts w:ascii="宋体" w:hAnsi="宋体"/>
                <w:color w:val="000000" w:themeColor="text1"/>
                <w:sz w:val="24"/>
                <w:szCs w:val="21"/>
              </w:rPr>
            </w:pPr>
            <w:r w:rsidRPr="00687B52">
              <w:rPr>
                <w:rFonts w:ascii="宋体" w:hAnsi="宋体" w:hint="eastAsia"/>
                <w:color w:val="000000" w:themeColor="text1"/>
                <w:sz w:val="24"/>
                <w:szCs w:val="21"/>
              </w:rPr>
              <w:t>槽车充装应设置紧急切断装置；</w:t>
            </w:r>
          </w:p>
          <w:p w:rsidR="000C2455" w:rsidRPr="00687B52" w:rsidRDefault="000C2455" w:rsidP="00D9787F">
            <w:pPr>
              <w:pStyle w:val="ab"/>
              <w:numPr>
                <w:ilvl w:val="0"/>
                <w:numId w:val="81"/>
              </w:numPr>
              <w:spacing w:line="300" w:lineRule="exact"/>
              <w:ind w:firstLineChars="0"/>
              <w:rPr>
                <w:rFonts w:ascii="宋体" w:hAnsi="宋体"/>
                <w:color w:val="000000" w:themeColor="text1"/>
                <w:sz w:val="24"/>
                <w:szCs w:val="21"/>
              </w:rPr>
            </w:pPr>
            <w:r w:rsidRPr="00687B52">
              <w:rPr>
                <w:rFonts w:ascii="宋体" w:hAnsi="宋体" w:hint="eastAsia"/>
                <w:color w:val="000000" w:themeColor="text1"/>
                <w:sz w:val="24"/>
                <w:szCs w:val="21"/>
              </w:rPr>
              <w:t>槽车出厂前应对其充装量进行复核。</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第5.7.2.6条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3.2.3</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危险货物的装卸应在装卸管理人员的现场指挥下进行。</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汽车运输装卸危险货物作业规程</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JT618</w:t>
            </w:r>
            <w:r w:rsidRPr="00687B52">
              <w:rPr>
                <w:rFonts w:asciiTheme="minorEastAsia" w:eastAsiaTheme="minorEastAsia" w:hAnsiTheme="minorEastAsia" w:hint="eastAsia"/>
                <w:color w:val="000000" w:themeColor="text1"/>
                <w:szCs w:val="24"/>
              </w:rPr>
              <w:t>-2004</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第4.1.2条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3.2.4</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进入易燃、易爆危险货物装卸作业区应：</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a)禁止随身携带火种；</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b)关闭随身携带的手机等通讯工具和电子设备；</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c)严禁吸烟；</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d)穿着不产生静电的工作服和不带铁钉的工作鞋。</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汽车运输装卸危险货物作业规程</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JT618</w:t>
            </w:r>
            <w:r w:rsidRPr="00687B52">
              <w:rPr>
                <w:rFonts w:asciiTheme="minorEastAsia" w:eastAsiaTheme="minorEastAsia" w:hAnsiTheme="minorEastAsia" w:hint="eastAsia"/>
                <w:color w:val="000000" w:themeColor="text1"/>
                <w:szCs w:val="24"/>
              </w:rPr>
              <w:t>-2004</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第4.1.4条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3.2.5</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采取有效防火、防潮、防禁忌混存的措施，按操作规程装装卸。</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汽车运输装卸危险货物作业规程</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JT618</w:t>
            </w:r>
            <w:r w:rsidRPr="00687B52">
              <w:rPr>
                <w:rFonts w:asciiTheme="minorEastAsia" w:eastAsiaTheme="minorEastAsia" w:hAnsiTheme="minorEastAsia" w:hint="eastAsia"/>
                <w:color w:val="000000" w:themeColor="text1"/>
                <w:szCs w:val="24"/>
              </w:rPr>
              <w:t>-2004</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第4.1.5、4.1.10、5.4.1、5.4.1.2、5.4.4.2条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3.2.6</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配装时还应做到：</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a)易燃固体不得与明火、水接触，不得与酸类和氧化剂配装；</w:t>
            </w:r>
          </w:p>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b)遇湿易燃物品不得与酸类、氧化剂及含水的液体货物配装。</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汽车运输装卸危险货物作业规程</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JT618</w:t>
            </w:r>
            <w:r w:rsidRPr="00687B52">
              <w:rPr>
                <w:rFonts w:asciiTheme="minorEastAsia" w:eastAsiaTheme="minorEastAsia" w:hAnsiTheme="minorEastAsia" w:hint="eastAsia"/>
                <w:color w:val="000000" w:themeColor="text1"/>
                <w:szCs w:val="24"/>
              </w:rPr>
              <w:t>-2004</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第5.4.3.8条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3.2.7</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车辆必须经过车辆管理机关检验合格，领取号牌和行驶证，方准行驶。限于厂内行驶的车辆，应由企业交通安全主管部门核发号牌和行驶证，号牌和行驶证不准转借、涂改或伪造、车辆必须按车辆管理机关规定的期限接受检验。未按规定检验或检验不合格的，不准行驶。</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《工业企业厂内铁路、道路运输安全规程》GB 4387-2008</w:t>
            </w:r>
          </w:p>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w:t>
            </w:r>
            <w:r w:rsidRPr="00687B52">
              <w:rPr>
                <w:rFonts w:asciiTheme="minorEastAsia" w:eastAsiaTheme="minorEastAsia" w:hAnsiTheme="minorEastAsia"/>
                <w:color w:val="000000" w:themeColor="text1"/>
                <w:szCs w:val="24"/>
              </w:rPr>
              <w:t>6. 2.1</w:t>
            </w:r>
            <w:r w:rsidRPr="00687B52">
              <w:rPr>
                <w:rFonts w:asciiTheme="minorEastAsia" w:eastAsiaTheme="minorEastAsia" w:hAnsiTheme="minorEastAsia" w:hint="eastAsia"/>
                <w:color w:val="000000" w:themeColor="text1"/>
                <w:szCs w:val="24"/>
              </w:rPr>
              <w:t>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3.2.8</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通过道路运输危险化学品的，托运人应当委托依法取得危险货物道路运输许可的企业承运。</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《危险化学品管理条例》第四十六条　</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w:t>
            </w: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消防系统与应急设施</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消防系统</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3.3.1</w:t>
            </w:r>
          </w:p>
        </w:tc>
        <w:tc>
          <w:tcPr>
            <w:tcW w:w="2533" w:type="pct"/>
            <w:gridSpan w:val="7"/>
            <w:shd w:val="clear" w:color="auto" w:fill="auto"/>
            <w:vAlign w:val="center"/>
          </w:tcPr>
          <w:p w:rsidR="000C2455" w:rsidRPr="00687B52" w:rsidRDefault="000C2455" w:rsidP="003E1D2A">
            <w:pPr>
              <w:spacing w:line="300" w:lineRule="exact"/>
              <w:jc w:val="left"/>
              <w:rPr>
                <w:rFonts w:ascii="宋体" w:hAnsi="宋体"/>
                <w:color w:val="000000" w:themeColor="text1"/>
                <w:sz w:val="24"/>
                <w:szCs w:val="21"/>
              </w:rPr>
            </w:pPr>
            <w:r w:rsidRPr="00687B52">
              <w:rPr>
                <w:rFonts w:ascii="宋体" w:hAnsi="宋体" w:hint="eastAsia"/>
                <w:color w:val="000000" w:themeColor="text1"/>
                <w:sz w:val="24"/>
                <w:szCs w:val="21"/>
              </w:rPr>
              <w:t>硫磺库、液硫储槽区、柴油储罐区等区域应消防栓、蒸汽灭火设施等消防设施。</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spacing w:line="300" w:lineRule="exact"/>
              <w:rPr>
                <w:rFonts w:ascii="宋体" w:hAnsi="宋体"/>
                <w:color w:val="000000" w:themeColor="text1"/>
                <w:szCs w:val="24"/>
              </w:rPr>
            </w:pPr>
            <w:r w:rsidRPr="00687B52">
              <w:rPr>
                <w:rFonts w:asciiTheme="minorEastAsia" w:eastAsiaTheme="minorEastAsia" w:hAnsiTheme="minorEastAsia" w:hint="eastAsia"/>
                <w:color w:val="000000" w:themeColor="text1"/>
                <w:szCs w:val="24"/>
              </w:rPr>
              <w:t>第5.6.4.1条</w:t>
            </w:r>
          </w:p>
        </w:tc>
        <w:tc>
          <w:tcPr>
            <w:tcW w:w="1159" w:type="pct"/>
            <w:shd w:val="clear" w:color="auto" w:fill="auto"/>
            <w:vAlign w:val="center"/>
          </w:tcPr>
          <w:p w:rsidR="000C2455" w:rsidRPr="00687B52" w:rsidRDefault="000C2455" w:rsidP="003E1D2A">
            <w:pPr>
              <w:pStyle w:val="a7"/>
              <w:spacing w:line="300" w:lineRule="exact"/>
              <w:jc w:val="both"/>
              <w:rPr>
                <w:rFonts w:ascii="宋体" w:hAnsi="宋体"/>
                <w:color w:val="000000" w:themeColor="text1"/>
                <w:szCs w:val="32"/>
              </w:rPr>
            </w:pPr>
          </w:p>
        </w:tc>
      </w:tr>
      <w:tr w:rsidR="000C2455" w:rsidRPr="00687B52" w:rsidTr="00406A19">
        <w:tc>
          <w:tcPr>
            <w:tcW w:w="365" w:type="pct"/>
            <w:shd w:val="clear" w:color="auto" w:fill="auto"/>
            <w:vAlign w:val="center"/>
          </w:tcPr>
          <w:p w:rsidR="000C2455" w:rsidRPr="00687B52" w:rsidRDefault="000C2455" w:rsidP="004A5011">
            <w:pPr>
              <w:pStyle w:val="a7"/>
              <w:spacing w:line="300" w:lineRule="exact"/>
              <w:rPr>
                <w:rFonts w:asciiTheme="minorEastAsia" w:eastAsiaTheme="minorEastAsia" w:hAnsiTheme="minorEastAsia"/>
                <w:color w:val="000000" w:themeColor="text1"/>
                <w:szCs w:val="24"/>
              </w:rPr>
            </w:pPr>
          </w:p>
        </w:tc>
        <w:tc>
          <w:tcPr>
            <w:tcW w:w="2533" w:type="pct"/>
            <w:gridSpan w:val="7"/>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应急设施</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3.3.2</w:t>
            </w:r>
          </w:p>
        </w:tc>
        <w:tc>
          <w:tcPr>
            <w:tcW w:w="2533" w:type="pct"/>
            <w:gridSpan w:val="7"/>
            <w:shd w:val="clear" w:color="auto" w:fill="auto"/>
            <w:vAlign w:val="center"/>
          </w:tcPr>
          <w:p w:rsidR="000C2455" w:rsidRPr="00687B52" w:rsidRDefault="000C2455"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在二氧化硫、硫酸的生产、储存区域，在泵及取样点等位置应设置冲洗和洗眼设施，冲洗和洗眼设施及其服务半径不应大于</w:t>
            </w:r>
            <w:r w:rsidRPr="00687B52">
              <w:rPr>
                <w:rFonts w:asciiTheme="minorEastAsia" w:hAnsiTheme="minorEastAsia" w:cs="Arial"/>
                <w:color w:val="000000" w:themeColor="text1"/>
                <w:sz w:val="24"/>
                <w:szCs w:val="24"/>
              </w:rPr>
              <w:t>15m。</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第5.6.4.1条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3.3.3</w:t>
            </w:r>
          </w:p>
        </w:tc>
        <w:tc>
          <w:tcPr>
            <w:tcW w:w="2533" w:type="pct"/>
            <w:gridSpan w:val="7"/>
            <w:shd w:val="clear" w:color="auto" w:fill="auto"/>
            <w:vAlign w:val="center"/>
          </w:tcPr>
          <w:p w:rsidR="000C2455" w:rsidRPr="00687B52" w:rsidRDefault="000C2455"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厂区应设置在任何区域可视的风向标。</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《硫酸生产企业安全生产标准化实施指南》AQ 3037-2010</w:t>
            </w:r>
          </w:p>
          <w:p w:rsidR="000C2455" w:rsidRPr="00687B52" w:rsidRDefault="000C2455"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第5.6.4.1条</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r w:rsidR="000C2455" w:rsidRPr="00687B52" w:rsidTr="00406A19">
        <w:tc>
          <w:tcPr>
            <w:tcW w:w="365" w:type="pct"/>
            <w:shd w:val="clear" w:color="auto" w:fill="auto"/>
            <w:vAlign w:val="center"/>
          </w:tcPr>
          <w:p w:rsidR="000C2455" w:rsidRPr="00687B52" w:rsidRDefault="004A5011" w:rsidP="004A5011">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3.3.4</w:t>
            </w:r>
          </w:p>
        </w:tc>
        <w:tc>
          <w:tcPr>
            <w:tcW w:w="2533" w:type="pct"/>
            <w:gridSpan w:val="7"/>
            <w:shd w:val="clear" w:color="auto" w:fill="auto"/>
            <w:vAlign w:val="center"/>
          </w:tcPr>
          <w:p w:rsidR="000C2455" w:rsidRPr="00687B52" w:rsidRDefault="000C2455"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在存在有毒气体的区域配备便携式检测仪、空气呼吸器等器材和设备，作业人员能正确佩戴、使用个体防护用品和应急救援器材。</w:t>
            </w:r>
          </w:p>
        </w:tc>
        <w:tc>
          <w:tcPr>
            <w:tcW w:w="943" w:type="pct"/>
            <w:shd w:val="clear" w:color="auto" w:fill="auto"/>
            <w:vAlign w:val="center"/>
          </w:tcPr>
          <w:p w:rsidR="000C2455" w:rsidRPr="00687B52" w:rsidRDefault="000C2455"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《化工（危险化学品）企业安全检查重点指导目录》安监总管三[2015]113号</w:t>
            </w:r>
          </w:p>
        </w:tc>
        <w:tc>
          <w:tcPr>
            <w:tcW w:w="1159" w:type="pct"/>
            <w:shd w:val="clear" w:color="auto" w:fill="auto"/>
            <w:vAlign w:val="center"/>
          </w:tcPr>
          <w:p w:rsidR="000C2455" w:rsidRPr="00687B52" w:rsidRDefault="000C2455" w:rsidP="003E1D2A">
            <w:pPr>
              <w:pStyle w:val="a7"/>
              <w:spacing w:line="300" w:lineRule="exact"/>
              <w:jc w:val="both"/>
              <w:rPr>
                <w:rFonts w:asciiTheme="minorEastAsia" w:eastAsiaTheme="minorEastAsia" w:hAnsiTheme="minorEastAsia"/>
                <w:color w:val="000000" w:themeColor="text1"/>
                <w:szCs w:val="24"/>
              </w:rPr>
            </w:pPr>
          </w:p>
        </w:tc>
      </w:tr>
    </w:tbl>
    <w:p w:rsidR="000C2455" w:rsidRPr="00687B52" w:rsidRDefault="000C2455" w:rsidP="00F25ED0">
      <w:pPr>
        <w:pStyle w:val="ab"/>
        <w:adjustRightInd w:val="0"/>
        <w:snapToGrid w:val="0"/>
        <w:spacing w:afterLines="50" w:after="156"/>
        <w:ind w:left="360" w:firstLineChars="0" w:firstLine="0"/>
        <w:jc w:val="left"/>
        <w:rPr>
          <w:rFonts w:asciiTheme="minorEastAsia" w:hAnsiTheme="minorEastAsia"/>
          <w:color w:val="000000" w:themeColor="text1"/>
          <w:szCs w:val="21"/>
        </w:rPr>
      </w:pPr>
      <w:r w:rsidRPr="00687B52">
        <w:rPr>
          <w:rFonts w:asciiTheme="minorEastAsia" w:hAnsiTheme="minorEastAsia" w:hint="eastAsia"/>
          <w:color w:val="000000" w:themeColor="text1"/>
          <w:szCs w:val="21"/>
        </w:rPr>
        <w:t>说明：</w:t>
      </w:r>
    </w:p>
    <w:p w:rsidR="000C2455" w:rsidRPr="00687B52" w:rsidRDefault="000C2455" w:rsidP="00D9787F">
      <w:pPr>
        <w:pStyle w:val="ab"/>
        <w:numPr>
          <w:ilvl w:val="0"/>
          <w:numId w:val="6"/>
        </w:numPr>
        <w:adjustRightInd w:val="0"/>
        <w:snapToGrid w:val="0"/>
        <w:ind w:firstLineChars="0"/>
        <w:jc w:val="left"/>
        <w:rPr>
          <w:rFonts w:asciiTheme="minorEastAsia" w:hAnsiTheme="minorEastAsia"/>
          <w:color w:val="000000" w:themeColor="text1"/>
          <w:szCs w:val="21"/>
        </w:rPr>
      </w:pPr>
      <w:r w:rsidRPr="00687B52">
        <w:rPr>
          <w:rFonts w:asciiTheme="minorEastAsia" w:hAnsiTheme="minorEastAsia" w:hint="eastAsia"/>
          <w:color w:val="000000" w:themeColor="text1"/>
          <w:szCs w:val="21"/>
        </w:rPr>
        <w:t>本表依据《建筑设计防火规范》 、《硫酸生产企业安全生产标准化实施指南》等法律、法规、标准编制。</w:t>
      </w:r>
    </w:p>
    <w:p w:rsidR="000C2455" w:rsidRPr="00687B52" w:rsidRDefault="000C2455" w:rsidP="00D9787F">
      <w:pPr>
        <w:pStyle w:val="ab"/>
        <w:numPr>
          <w:ilvl w:val="0"/>
          <w:numId w:val="6"/>
        </w:numPr>
        <w:adjustRightInd w:val="0"/>
        <w:snapToGrid w:val="0"/>
        <w:ind w:firstLineChars="0"/>
        <w:jc w:val="left"/>
        <w:rPr>
          <w:rFonts w:asciiTheme="minorEastAsia" w:hAnsiTheme="minorEastAsia"/>
          <w:color w:val="000000" w:themeColor="text1"/>
          <w:szCs w:val="21"/>
        </w:rPr>
      </w:pPr>
      <w:r w:rsidRPr="00687B52">
        <w:rPr>
          <w:rFonts w:asciiTheme="minorEastAsia" w:hAnsiTheme="minorEastAsia"/>
          <w:color w:val="000000" w:themeColor="text1"/>
          <w:szCs w:val="21"/>
        </w:rPr>
        <w:t>发烟硫酸，也就是</w:t>
      </w:r>
      <w:hyperlink r:id="rId29" w:tgtFrame="_blank" w:history="1">
        <w:r w:rsidRPr="00687B52">
          <w:rPr>
            <w:rFonts w:asciiTheme="minorEastAsia" w:hAnsiTheme="minorEastAsia"/>
            <w:color w:val="000000" w:themeColor="text1"/>
          </w:rPr>
          <w:t>三氧化硫</w:t>
        </w:r>
      </w:hyperlink>
      <w:r w:rsidRPr="00687B52">
        <w:rPr>
          <w:rFonts w:asciiTheme="minorEastAsia" w:hAnsiTheme="minorEastAsia"/>
          <w:color w:val="000000" w:themeColor="text1"/>
          <w:szCs w:val="21"/>
        </w:rPr>
        <w:t>的硫酸溶液。无色至浅棕色粘稠发烟液体，其密度、熔点、沸点因SO</w:t>
      </w:r>
      <w:r w:rsidRPr="00687B52">
        <w:rPr>
          <w:rFonts w:asciiTheme="minorEastAsia" w:hAnsiTheme="minorEastAsia"/>
          <w:color w:val="000000" w:themeColor="text1"/>
          <w:szCs w:val="21"/>
          <w:vertAlign w:val="subscript"/>
        </w:rPr>
        <w:t>3</w:t>
      </w:r>
      <w:r w:rsidRPr="00687B52">
        <w:rPr>
          <w:rFonts w:asciiTheme="minorEastAsia" w:hAnsiTheme="minorEastAsia"/>
          <w:color w:val="000000" w:themeColor="text1"/>
          <w:szCs w:val="21"/>
        </w:rPr>
        <w:t>含量不同而异。当它暴露于空气中时，挥发出来的SO</w:t>
      </w:r>
      <w:r w:rsidRPr="00687B52">
        <w:rPr>
          <w:rFonts w:asciiTheme="minorEastAsia" w:hAnsiTheme="minorEastAsia"/>
          <w:color w:val="000000" w:themeColor="text1"/>
          <w:szCs w:val="21"/>
          <w:vertAlign w:val="subscript"/>
        </w:rPr>
        <w:t>3</w:t>
      </w:r>
      <w:r w:rsidRPr="00687B52">
        <w:rPr>
          <w:rFonts w:asciiTheme="minorEastAsia" w:hAnsiTheme="minorEastAsia"/>
          <w:color w:val="000000" w:themeColor="text1"/>
          <w:szCs w:val="21"/>
        </w:rPr>
        <w:t>和空气中的</w:t>
      </w:r>
      <w:hyperlink r:id="rId30" w:tgtFrame="_blank" w:history="1">
        <w:r w:rsidRPr="00687B52">
          <w:rPr>
            <w:rFonts w:asciiTheme="minorEastAsia" w:hAnsiTheme="minorEastAsia"/>
            <w:color w:val="000000" w:themeColor="text1"/>
          </w:rPr>
          <w:t>水蒸气</w:t>
        </w:r>
      </w:hyperlink>
      <w:r w:rsidRPr="00687B52">
        <w:rPr>
          <w:rFonts w:asciiTheme="minorEastAsia" w:hAnsiTheme="minorEastAsia"/>
          <w:color w:val="000000" w:themeColor="text1"/>
          <w:szCs w:val="21"/>
        </w:rPr>
        <w:t>形成硫酸的细小露滴而冒烟，所以称之为发烟硫酸。</w:t>
      </w:r>
    </w:p>
    <w:p w:rsidR="000C2455" w:rsidRPr="00687B52" w:rsidRDefault="000C2455" w:rsidP="003B028C">
      <w:pPr>
        <w:adjustRightInd w:val="0"/>
        <w:snapToGrid w:val="0"/>
        <w:jc w:val="left"/>
        <w:rPr>
          <w:rFonts w:asciiTheme="minorEastAsia" w:hAnsiTheme="minorEastAsia"/>
          <w:color w:val="000000" w:themeColor="text1"/>
          <w:szCs w:val="21"/>
        </w:rPr>
      </w:pPr>
      <w:r w:rsidRPr="00687B52">
        <w:rPr>
          <w:rFonts w:asciiTheme="minorEastAsia" w:hAnsiTheme="minorEastAsia" w:hint="eastAsia"/>
          <w:color w:val="000000" w:themeColor="text1"/>
          <w:szCs w:val="24"/>
        </w:rPr>
        <w:t>3、硫酸厂内各场所火灾危险类别举例如下：</w:t>
      </w:r>
    </w:p>
    <w:tbl>
      <w:tblPr>
        <w:tblW w:w="3644" w:type="pct"/>
        <w:tblInd w:w="2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5"/>
        <w:gridCol w:w="8025"/>
      </w:tblGrid>
      <w:tr w:rsidR="000C2455" w:rsidRPr="00687B52" w:rsidTr="00406A19">
        <w:trPr>
          <w:cantSplit/>
        </w:trPr>
        <w:tc>
          <w:tcPr>
            <w:tcW w:w="910" w:type="pct"/>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 w:val="21"/>
              </w:rPr>
            </w:pPr>
            <w:r w:rsidRPr="00687B52">
              <w:rPr>
                <w:rFonts w:asciiTheme="minorEastAsia" w:eastAsiaTheme="minorEastAsia" w:hAnsiTheme="minorEastAsia" w:hint="eastAsia"/>
                <w:color w:val="000000" w:themeColor="text1"/>
                <w:sz w:val="21"/>
              </w:rPr>
              <w:t>乙类</w:t>
            </w:r>
          </w:p>
        </w:tc>
        <w:tc>
          <w:tcPr>
            <w:tcW w:w="4090" w:type="pct"/>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 w:val="21"/>
              </w:rPr>
            </w:pPr>
            <w:r w:rsidRPr="00687B52">
              <w:rPr>
                <w:rFonts w:asciiTheme="minorEastAsia" w:eastAsiaTheme="minorEastAsia" w:hAnsiTheme="minorEastAsia" w:hint="eastAsia"/>
                <w:color w:val="000000" w:themeColor="text1"/>
                <w:sz w:val="21"/>
              </w:rPr>
              <w:t>发烟硫酸罐区、粒径小于2mm的硫黄库</w:t>
            </w:r>
          </w:p>
        </w:tc>
      </w:tr>
      <w:tr w:rsidR="000C2455" w:rsidRPr="00687B52" w:rsidTr="00406A19">
        <w:trPr>
          <w:cantSplit/>
        </w:trPr>
        <w:tc>
          <w:tcPr>
            <w:tcW w:w="910" w:type="pct"/>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 w:val="21"/>
              </w:rPr>
            </w:pPr>
            <w:r w:rsidRPr="00687B52">
              <w:rPr>
                <w:rFonts w:asciiTheme="minorEastAsia" w:eastAsiaTheme="minorEastAsia" w:hAnsiTheme="minorEastAsia" w:hint="eastAsia"/>
                <w:color w:val="000000" w:themeColor="text1"/>
                <w:sz w:val="21"/>
              </w:rPr>
              <w:t>丙类</w:t>
            </w:r>
          </w:p>
        </w:tc>
        <w:tc>
          <w:tcPr>
            <w:tcW w:w="4090" w:type="pct"/>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 w:val="21"/>
              </w:rPr>
            </w:pPr>
            <w:r w:rsidRPr="00687B52">
              <w:rPr>
                <w:rFonts w:asciiTheme="minorEastAsia" w:eastAsiaTheme="minorEastAsia" w:hAnsiTheme="minorEastAsia" w:hint="eastAsia"/>
                <w:color w:val="000000" w:themeColor="text1"/>
                <w:sz w:val="21"/>
              </w:rPr>
              <w:t>粒径大于或等于2mm的硫黄库、柴油储罐区</w:t>
            </w:r>
          </w:p>
        </w:tc>
      </w:tr>
      <w:tr w:rsidR="000C2455" w:rsidRPr="00687B52" w:rsidTr="00406A19">
        <w:trPr>
          <w:cantSplit/>
        </w:trPr>
        <w:tc>
          <w:tcPr>
            <w:tcW w:w="910" w:type="pct"/>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 w:val="21"/>
              </w:rPr>
            </w:pPr>
            <w:r w:rsidRPr="00687B52">
              <w:rPr>
                <w:rFonts w:asciiTheme="minorEastAsia" w:eastAsiaTheme="minorEastAsia" w:hAnsiTheme="minorEastAsia" w:hint="eastAsia"/>
                <w:color w:val="000000" w:themeColor="text1"/>
                <w:sz w:val="21"/>
              </w:rPr>
              <w:t>丁、戌类</w:t>
            </w:r>
          </w:p>
        </w:tc>
        <w:tc>
          <w:tcPr>
            <w:tcW w:w="4090" w:type="pct"/>
            <w:shd w:val="clear" w:color="auto" w:fill="auto"/>
            <w:vAlign w:val="center"/>
          </w:tcPr>
          <w:p w:rsidR="000C2455" w:rsidRPr="00687B52" w:rsidRDefault="000C2455" w:rsidP="003E1D2A">
            <w:pPr>
              <w:pStyle w:val="a7"/>
              <w:spacing w:line="300" w:lineRule="exact"/>
              <w:jc w:val="left"/>
              <w:rPr>
                <w:rFonts w:asciiTheme="minorEastAsia" w:eastAsiaTheme="minorEastAsia" w:hAnsiTheme="minorEastAsia"/>
                <w:color w:val="000000" w:themeColor="text1"/>
                <w:sz w:val="21"/>
              </w:rPr>
            </w:pPr>
            <w:r w:rsidRPr="00687B52">
              <w:rPr>
                <w:rFonts w:asciiTheme="minorEastAsia" w:eastAsiaTheme="minorEastAsia" w:hAnsiTheme="minorEastAsia" w:hint="eastAsia"/>
                <w:color w:val="000000" w:themeColor="text1"/>
                <w:sz w:val="21"/>
              </w:rPr>
              <w:t>硫酸生产主厂房、硫酸罐区</w:t>
            </w:r>
          </w:p>
        </w:tc>
      </w:tr>
    </w:tbl>
    <w:p w:rsidR="000C2455" w:rsidRPr="00687B52" w:rsidRDefault="000C2455" w:rsidP="00F25ED0">
      <w:pPr>
        <w:adjustRightInd w:val="0"/>
        <w:snapToGrid w:val="0"/>
        <w:spacing w:afterLines="50" w:after="156"/>
        <w:jc w:val="left"/>
        <w:rPr>
          <w:rFonts w:asciiTheme="minorEastAsia" w:hAnsiTheme="minorEastAsia"/>
          <w:color w:val="000000" w:themeColor="text1"/>
          <w:szCs w:val="24"/>
        </w:rPr>
      </w:pPr>
    </w:p>
    <w:p w:rsidR="003E1D2A" w:rsidRPr="00687B52" w:rsidRDefault="003E1D2A" w:rsidP="000C2455">
      <w:pPr>
        <w:pStyle w:val="af4"/>
        <w:jc w:val="left"/>
        <w:rPr>
          <w:rFonts w:asciiTheme="minorEastAsia" w:hAnsiTheme="minorEastAsia"/>
          <w:color w:val="000000" w:themeColor="text1"/>
          <w:szCs w:val="21"/>
        </w:rPr>
        <w:sectPr w:rsidR="003E1D2A" w:rsidRPr="00687B52" w:rsidSect="00D22E6D">
          <w:pgSz w:w="16838" w:h="11906" w:orient="landscape"/>
          <w:pgMar w:top="1457" w:right="1797" w:bottom="1457" w:left="1797" w:header="851" w:footer="907" w:gutter="0"/>
          <w:cols w:space="425"/>
          <w:docGrid w:type="lines" w:linePitch="312"/>
        </w:sectPr>
      </w:pPr>
    </w:p>
    <w:p w:rsidR="003E1D2A" w:rsidRPr="00687B52" w:rsidRDefault="00406A19" w:rsidP="00406A19">
      <w:pPr>
        <w:pStyle w:val="aff3"/>
        <w:numPr>
          <w:ilvl w:val="0"/>
          <w:numId w:val="0"/>
        </w:numPr>
        <w:rPr>
          <w:color w:val="000000" w:themeColor="text1"/>
          <w:szCs w:val="28"/>
        </w:rPr>
      </w:pPr>
      <w:bookmarkStart w:id="34" w:name="_Toc492634897"/>
      <w:r w:rsidRPr="00687B52">
        <w:rPr>
          <w:rFonts w:hint="eastAsia"/>
          <w:color w:val="000000" w:themeColor="text1"/>
        </w:rPr>
        <w:t>表</w:t>
      </w:r>
      <w:r w:rsidRPr="00687B52">
        <w:rPr>
          <w:rFonts w:hint="eastAsia"/>
          <w:color w:val="000000" w:themeColor="text1"/>
        </w:rPr>
        <w:t xml:space="preserve">2-6 </w:t>
      </w:r>
      <w:r w:rsidRPr="00687B52">
        <w:rPr>
          <w:rFonts w:hint="eastAsia"/>
          <w:color w:val="000000" w:themeColor="text1"/>
        </w:rPr>
        <w:t>危险化学品生产企业专业检查表（</w:t>
      </w:r>
      <w:r w:rsidR="003E1D2A" w:rsidRPr="00687B52">
        <w:rPr>
          <w:rFonts w:hint="eastAsia"/>
          <w:color w:val="000000" w:themeColor="text1"/>
          <w:szCs w:val="28"/>
        </w:rPr>
        <w:t>油漆涂料</w:t>
      </w:r>
      <w:r w:rsidRPr="00687B52">
        <w:rPr>
          <w:rFonts w:hint="eastAsia"/>
          <w:color w:val="000000" w:themeColor="text1"/>
        </w:rPr>
        <w:t>）</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1098"/>
        <w:gridCol w:w="78"/>
        <w:gridCol w:w="867"/>
        <w:gridCol w:w="148"/>
        <w:gridCol w:w="576"/>
        <w:gridCol w:w="315"/>
        <w:gridCol w:w="40"/>
        <w:gridCol w:w="315"/>
        <w:gridCol w:w="635"/>
        <w:gridCol w:w="113"/>
        <w:gridCol w:w="487"/>
        <w:gridCol w:w="468"/>
        <w:gridCol w:w="748"/>
        <w:gridCol w:w="202"/>
        <w:gridCol w:w="571"/>
        <w:gridCol w:w="2617"/>
        <w:gridCol w:w="3080"/>
      </w:tblGrid>
      <w:tr w:rsidR="003E1D2A" w:rsidRPr="00687B52" w:rsidTr="00E640A6">
        <w:trPr>
          <w:tblHeader/>
        </w:trPr>
        <w:tc>
          <w:tcPr>
            <w:tcW w:w="409" w:type="pct"/>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序号</w:t>
            </w:r>
          </w:p>
        </w:tc>
        <w:tc>
          <w:tcPr>
            <w:tcW w:w="2474" w:type="pct"/>
            <w:gridSpan w:val="15"/>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检查内容</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检查依据</w:t>
            </w:r>
          </w:p>
        </w:tc>
        <w:tc>
          <w:tcPr>
            <w:tcW w:w="1144"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检查情况</w:t>
            </w:r>
          </w:p>
        </w:tc>
      </w:tr>
      <w:tr w:rsidR="003E1D2A" w:rsidRPr="00687B52" w:rsidTr="00E640A6">
        <w:tc>
          <w:tcPr>
            <w:tcW w:w="409" w:type="pct"/>
            <w:shd w:val="clear" w:color="auto" w:fill="auto"/>
            <w:vAlign w:val="center"/>
          </w:tcPr>
          <w:p w:rsidR="003E1D2A" w:rsidRPr="00687B52" w:rsidRDefault="003E1D2A" w:rsidP="00525E55">
            <w:pPr>
              <w:pStyle w:val="a7"/>
              <w:spacing w:line="300" w:lineRule="exac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1</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b/>
                <w:color w:val="000000" w:themeColor="text1"/>
                <w:szCs w:val="24"/>
              </w:rPr>
            </w:pPr>
            <w:r w:rsidRPr="00687B52">
              <w:rPr>
                <w:rFonts w:asciiTheme="minorEastAsia" w:hAnsiTheme="minorEastAsia" w:cs="Times New Roman" w:hint="eastAsia"/>
                <w:b/>
                <w:color w:val="000000" w:themeColor="text1"/>
                <w:szCs w:val="24"/>
              </w:rPr>
              <w:t>区域位置、总平面布置和建筑</w:t>
            </w:r>
          </w:p>
        </w:tc>
        <w:tc>
          <w:tcPr>
            <w:tcW w:w="972" w:type="pct"/>
            <w:shd w:val="clear" w:color="auto" w:fill="auto"/>
          </w:tcPr>
          <w:p w:rsidR="003E1D2A" w:rsidRPr="00687B52" w:rsidRDefault="003E1D2A" w:rsidP="00F25ED0">
            <w:pPr>
              <w:adjustRightInd w:val="0"/>
              <w:snapToGrid w:val="0"/>
              <w:spacing w:afterLines="50" w:after="156" w:line="300" w:lineRule="exact"/>
              <w:jc w:val="center"/>
              <w:rPr>
                <w:rFonts w:ascii="黑体" w:eastAsia="黑体" w:hAnsi="黑体"/>
                <w:color w:val="000000" w:themeColor="text1"/>
                <w:sz w:val="28"/>
                <w:szCs w:val="28"/>
              </w:rPr>
            </w:pPr>
          </w:p>
        </w:tc>
        <w:tc>
          <w:tcPr>
            <w:tcW w:w="1144" w:type="pct"/>
            <w:shd w:val="clear" w:color="auto" w:fill="auto"/>
            <w:vAlign w:val="center"/>
          </w:tcPr>
          <w:p w:rsidR="003E1D2A" w:rsidRPr="00687B52" w:rsidRDefault="003E1D2A" w:rsidP="00F25ED0">
            <w:pPr>
              <w:adjustRightInd w:val="0"/>
              <w:snapToGrid w:val="0"/>
              <w:spacing w:afterLines="50" w:after="156" w:line="300" w:lineRule="exact"/>
              <w:rPr>
                <w:rFonts w:ascii="黑体" w:eastAsia="黑体" w:hAnsi="黑体"/>
                <w:color w:val="000000" w:themeColor="text1"/>
                <w:sz w:val="28"/>
                <w:szCs w:val="28"/>
              </w:rPr>
            </w:pPr>
          </w:p>
        </w:tc>
      </w:tr>
      <w:tr w:rsidR="003E1D2A" w:rsidRPr="00687B52" w:rsidTr="00E640A6">
        <w:tc>
          <w:tcPr>
            <w:tcW w:w="409" w:type="pct"/>
            <w:shd w:val="clear" w:color="auto" w:fill="auto"/>
            <w:vAlign w:val="center"/>
          </w:tcPr>
          <w:p w:rsidR="003E1D2A" w:rsidRPr="00687B52" w:rsidRDefault="00525E55" w:rsidP="00525E55">
            <w:pPr>
              <w:pStyle w:val="a7"/>
              <w:spacing w:line="300" w:lineRule="exac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1.1</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区域位置与总图布置</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shd w:val="clear" w:color="auto" w:fill="auto"/>
            <w:vAlign w:val="center"/>
          </w:tcPr>
          <w:p w:rsidR="003E1D2A" w:rsidRPr="00687B52" w:rsidRDefault="00525E55"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1.1.1</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油漆厂的卫生防护距离，按其所在地区近5年平均风速确定：风速＜2m/s，则按700米；2m/s＜风速＜4m/s，则按600米；风速</w:t>
            </w:r>
            <w:r w:rsidR="00F6557C"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hint="eastAsia"/>
                <w:color w:val="000000" w:themeColor="text1"/>
                <w:szCs w:val="24"/>
              </w:rPr>
              <w:t>4m/s，则按500米。</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湖南省内油漆厂卫生防护距离按600m，凡是油漆生产车间的边界至居住区的边界小于等于600米，且有树脂生产的油漆厂，限期向化工园区、工业园区搬迁或停产。</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《油漆厂卫生防护距离标准》GB18070-2000</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第3.1条</w:t>
            </w:r>
          </w:p>
        </w:tc>
        <w:tc>
          <w:tcPr>
            <w:tcW w:w="1144" w:type="pct"/>
            <w:shd w:val="clear" w:color="auto" w:fill="auto"/>
            <w:vAlign w:val="center"/>
          </w:tcPr>
          <w:p w:rsidR="003E1D2A" w:rsidRPr="00687B52" w:rsidRDefault="003E1D2A" w:rsidP="00EA53E4">
            <w:pPr>
              <w:spacing w:line="300" w:lineRule="exact"/>
              <w:rPr>
                <w:rFonts w:asciiTheme="minorEastAsia" w:hAnsiTheme="minorEastAsia"/>
                <w:color w:val="000000" w:themeColor="text1"/>
                <w:sz w:val="24"/>
                <w:szCs w:val="24"/>
              </w:rPr>
            </w:pPr>
          </w:p>
        </w:tc>
      </w:tr>
      <w:tr w:rsidR="003E1D2A" w:rsidRPr="00687B52" w:rsidTr="00E640A6">
        <w:tc>
          <w:tcPr>
            <w:tcW w:w="409" w:type="pct"/>
            <w:shd w:val="clear" w:color="auto" w:fill="auto"/>
            <w:vAlign w:val="center"/>
          </w:tcPr>
          <w:p w:rsidR="003E1D2A" w:rsidRPr="00687B52" w:rsidRDefault="00525E55"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1.1.2</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构成重大危险源的</w:t>
            </w:r>
            <w:r w:rsidRPr="00687B52">
              <w:rPr>
                <w:rFonts w:asciiTheme="minorEastAsia" w:eastAsiaTheme="minorEastAsia" w:hAnsiTheme="minorEastAsia" w:hint="eastAsia"/>
                <w:color w:val="000000" w:themeColor="text1"/>
                <w:szCs w:val="24"/>
              </w:rPr>
              <w:t>场所是否按《危险化学品重大危险源监督管理暂行规定》（安监总局令第40号令发布，第79号修订)）确定外部安全防护距离，并计算风险；下列敏感目标是否在安全防护距离之外，个人风险和社会风险是否可接受：</w:t>
            </w:r>
          </w:p>
          <w:p w:rsidR="003E1D2A" w:rsidRPr="00687B52" w:rsidRDefault="003E1D2A" w:rsidP="00D9787F">
            <w:pPr>
              <w:pStyle w:val="a7"/>
              <w:numPr>
                <w:ilvl w:val="0"/>
                <w:numId w:val="70"/>
              </w:numPr>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居民区、商业中心、公园等人口密集区域；</w:t>
            </w:r>
          </w:p>
          <w:p w:rsidR="003E1D2A" w:rsidRPr="00687B52" w:rsidRDefault="003E1D2A" w:rsidP="00D9787F">
            <w:pPr>
              <w:pStyle w:val="a7"/>
              <w:numPr>
                <w:ilvl w:val="0"/>
                <w:numId w:val="70"/>
              </w:numPr>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学校、医院、影剧院、体育场（馆）等公共设施；</w:t>
            </w:r>
          </w:p>
          <w:p w:rsidR="003E1D2A" w:rsidRPr="00687B52" w:rsidRDefault="003E1D2A" w:rsidP="00D9787F">
            <w:pPr>
              <w:pStyle w:val="a7"/>
              <w:numPr>
                <w:ilvl w:val="0"/>
                <w:numId w:val="70"/>
              </w:numPr>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供水水源、水厂及水源保护区；</w:t>
            </w:r>
          </w:p>
          <w:p w:rsidR="003E1D2A" w:rsidRPr="00687B52" w:rsidRDefault="003E1D2A" w:rsidP="00D9787F">
            <w:pPr>
              <w:pStyle w:val="a7"/>
              <w:numPr>
                <w:ilvl w:val="0"/>
                <w:numId w:val="70"/>
              </w:numPr>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车站、码头（按照国家规定，经批准专门从事危险化学品装卸作业的除外）、机场以及公路、铁路、水路交通干线、地铁风亭及出入口；</w:t>
            </w:r>
          </w:p>
          <w:p w:rsidR="003E1D2A" w:rsidRPr="00687B52" w:rsidRDefault="003E1D2A" w:rsidP="00D9787F">
            <w:pPr>
              <w:pStyle w:val="a7"/>
              <w:numPr>
                <w:ilvl w:val="0"/>
                <w:numId w:val="70"/>
              </w:numPr>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基本农田保护区、畜牧区、渔业水域和种子、种畜、水产苗种生产基；</w:t>
            </w:r>
          </w:p>
          <w:p w:rsidR="003E1D2A" w:rsidRPr="00687B52" w:rsidRDefault="003E1D2A" w:rsidP="00D9787F">
            <w:pPr>
              <w:pStyle w:val="a7"/>
              <w:numPr>
                <w:ilvl w:val="0"/>
                <w:numId w:val="70"/>
              </w:numPr>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河流、湖泊、风景名胜区和自然保护区；</w:t>
            </w:r>
          </w:p>
          <w:p w:rsidR="003E1D2A" w:rsidRPr="00687B52" w:rsidRDefault="003E1D2A" w:rsidP="00D9787F">
            <w:pPr>
              <w:pStyle w:val="a7"/>
              <w:numPr>
                <w:ilvl w:val="0"/>
                <w:numId w:val="70"/>
              </w:numPr>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军事禁区、军事管理区；</w:t>
            </w:r>
          </w:p>
          <w:p w:rsidR="003E1D2A" w:rsidRPr="00687B52" w:rsidRDefault="003E1D2A" w:rsidP="00D9787F">
            <w:pPr>
              <w:pStyle w:val="a7"/>
              <w:numPr>
                <w:ilvl w:val="0"/>
                <w:numId w:val="70"/>
              </w:numPr>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法律、行政法规规定予以保护的其他区域。</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《危险化学品安全管理条例》第十九条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是否按40号令的要求确定安全防护距离，并计算风险，</w:t>
            </w:r>
            <w:r w:rsidRPr="00687B52">
              <w:rPr>
                <w:rFonts w:asciiTheme="minorEastAsia" w:hAnsiTheme="minorEastAsia"/>
                <w:color w:val="000000" w:themeColor="text1"/>
                <w:sz w:val="24"/>
                <w:szCs w:val="24"/>
              </w:rPr>
              <w:t>下列</w:t>
            </w:r>
            <w:r w:rsidRPr="00687B52">
              <w:rPr>
                <w:rFonts w:asciiTheme="minorEastAsia" w:hAnsiTheme="minorEastAsia" w:hint="eastAsia"/>
                <w:color w:val="000000" w:themeColor="text1"/>
                <w:sz w:val="24"/>
                <w:szCs w:val="24"/>
              </w:rPr>
              <w:t>敏感目标是否在安全防护距离之外，个人风险、社会风险是否可接受。</w:t>
            </w:r>
          </w:p>
        </w:tc>
      </w:tr>
      <w:tr w:rsidR="003E1D2A" w:rsidRPr="00687B52" w:rsidTr="00E640A6">
        <w:tc>
          <w:tcPr>
            <w:tcW w:w="409" w:type="pct"/>
            <w:shd w:val="clear" w:color="auto" w:fill="auto"/>
            <w:vAlign w:val="center"/>
          </w:tcPr>
          <w:p w:rsidR="003E1D2A" w:rsidRPr="00687B52" w:rsidRDefault="00525E55" w:rsidP="00563F92">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w:t>
            </w:r>
            <w:r w:rsidR="00563F92" w:rsidRPr="00687B52">
              <w:rPr>
                <w:rFonts w:asciiTheme="minorEastAsia" w:eastAsiaTheme="minorEastAsia" w:hAnsiTheme="minorEastAsia" w:hint="eastAsia"/>
                <w:color w:val="000000" w:themeColor="text1"/>
                <w:szCs w:val="24"/>
              </w:rPr>
              <w:t>1</w:t>
            </w:r>
            <w:r w:rsidRPr="00687B52">
              <w:rPr>
                <w:rFonts w:asciiTheme="minorEastAsia" w:eastAsiaTheme="minorEastAsia" w:hAnsiTheme="minorEastAsia" w:hint="eastAsia"/>
                <w:color w:val="000000" w:themeColor="text1"/>
                <w:szCs w:val="24"/>
              </w:rPr>
              <w:t>.3</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厂区内行政辅助区与生产区之间应有明显隔离带，生产区不应设置员工宿舍。厂区所有的单体功能分区应明确，应按有害与无害分开的原则分区设置。化工厂厂区一般分为生产区、辅助生产区、公用工程、仓储区和厂前区。辅助生产区和公用工程设施可布置在生产区内，仓储区应布置在厂区边缘。</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《涂料生产企业安全技术规程》 </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AQ5204-2008</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第4.2.3条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行政辅助区与生产区之</w:t>
            </w:r>
          </w:p>
          <w:p w:rsidR="003E1D2A" w:rsidRPr="00687B52" w:rsidRDefault="003E1D2A"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间隔离带（填有或无）；</w:t>
            </w:r>
          </w:p>
          <w:p w:rsidR="003E1D2A" w:rsidRPr="00687B52" w:rsidRDefault="003E1D2A"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生产区员工宿舍（填有或无）。</w:t>
            </w:r>
          </w:p>
        </w:tc>
      </w:tr>
      <w:tr w:rsidR="003E1D2A" w:rsidRPr="00687B52" w:rsidTr="00E640A6">
        <w:tc>
          <w:tcPr>
            <w:tcW w:w="409" w:type="pct"/>
            <w:shd w:val="clear" w:color="auto" w:fill="auto"/>
            <w:vAlign w:val="center"/>
          </w:tcPr>
          <w:p w:rsidR="003E1D2A" w:rsidRPr="00687B52" w:rsidRDefault="00525E55"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1.1.4</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甲、乙类厂房（仓库）与周边建筑物的防火间距：</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生产危险化学品的涂料产品、树脂、粉末涂料等有爆炸危险的甲类厂房（仓库）与周围民用建筑物（包括厂区内具有民用特征的建筑物，如办公楼、总控制室、研究所、浴室等）之间的防火间距不应小于25米，距重要公用建筑物不应小于50米；甲类厂房（仓库）距明火或散发火花地点不应小于30米，与架空电力线的最近水平距离不应小于电杆（塔）高度的1.5倍。</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乙类厂房（仓库）距明火或散发火花的地点不应小于25米。</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 5204-2008第4.3.3条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shd w:val="clear" w:color="auto" w:fill="auto"/>
            <w:vAlign w:val="center"/>
          </w:tcPr>
          <w:p w:rsidR="003E1D2A" w:rsidRPr="00687B52" w:rsidRDefault="00525E55"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1.1.5</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甲类仓库之间及与其他建筑、明火厂房与甲类仓库的防火间距不应小于</w:t>
            </w:r>
            <w:r w:rsidRPr="00687B52">
              <w:rPr>
                <w:color w:val="000000" w:themeColor="text1"/>
              </w:rPr>
              <w:t>GB50016-20</w:t>
            </w:r>
            <w:r w:rsidRPr="00687B52">
              <w:rPr>
                <w:rFonts w:hint="eastAsia"/>
                <w:color w:val="000000" w:themeColor="text1"/>
              </w:rPr>
              <w:t>14</w:t>
            </w:r>
            <w:r w:rsidRPr="00687B52">
              <w:rPr>
                <w:rFonts w:hint="eastAsia"/>
                <w:color w:val="000000" w:themeColor="text1"/>
              </w:rPr>
              <w:t>第</w:t>
            </w:r>
            <w:r w:rsidRPr="00687B52">
              <w:rPr>
                <w:rFonts w:hint="eastAsia"/>
                <w:color w:val="000000" w:themeColor="text1"/>
              </w:rPr>
              <w:t>3.5.1</w:t>
            </w:r>
            <w:r w:rsidRPr="00687B52">
              <w:rPr>
                <w:rFonts w:hAnsi="宋体"/>
                <w:color w:val="000000" w:themeColor="text1"/>
              </w:rPr>
              <w:t>的规定</w:t>
            </w:r>
            <w:r w:rsidRPr="00687B52">
              <w:rPr>
                <w:rFonts w:hAnsi="宋体" w:hint="eastAsia"/>
                <w:color w:val="000000" w:themeColor="text1"/>
              </w:rPr>
              <w:t>：</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甲类仓库与甲类仓库之间的防火间距不小于20米；甲类仓库与高层民用建筑、重要公共建筑之间不少于 50米；甲类仓库与裙房、其他民用建筑、明火或散发火花地点之间的防火间距不小于25-30米；甲类仓库与厂房和乙、丙、丁、戊类仓库之间不小于12-30米；</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甲类仓库与电力系统电压为35kV~500kV且每台变压器容量不小于10MV.A的室外变、配电站，工业企业的变压器总油量大于5t的室外降压变电站之间不小于30m（若甲类仓库储存量≤10t，则可为25m）</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甲类仓库与厂外铁路线中心线之间间距不小于40米，与厂内铁路线中心线之间间距不小于30m；甲类仓库与厂外道路路边之间不小于20米；甲类仓库与厂内主要道路路边之间不小于10米；甲类仓库与厂内次要道路路边之间不小于5米。</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w:t>
            </w:r>
            <w:r w:rsidRPr="00687B52">
              <w:rPr>
                <w:rFonts w:asciiTheme="minorEastAsia" w:eastAsiaTheme="minorEastAsia" w:hAnsiTheme="minorEastAsia"/>
                <w:color w:val="000000" w:themeColor="text1"/>
                <w:szCs w:val="24"/>
              </w:rPr>
              <w:t>3.5.1</w:t>
            </w:r>
            <w:r w:rsidRPr="00687B52">
              <w:rPr>
                <w:rFonts w:asciiTheme="minorEastAsia" w:eastAsiaTheme="minorEastAsia" w:hAnsiTheme="minorEastAsia" w:hint="eastAsia"/>
                <w:color w:val="000000" w:themeColor="text1"/>
                <w:szCs w:val="24"/>
              </w:rPr>
              <w:t>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shd w:val="clear" w:color="auto" w:fill="auto"/>
            <w:vAlign w:val="center"/>
          </w:tcPr>
          <w:p w:rsidR="003E1D2A" w:rsidRPr="00687B52" w:rsidRDefault="00525E55"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1.1.6</w:t>
            </w:r>
          </w:p>
        </w:tc>
        <w:tc>
          <w:tcPr>
            <w:tcW w:w="2474" w:type="pct"/>
            <w:gridSpan w:val="15"/>
            <w:shd w:val="clear" w:color="auto" w:fill="auto"/>
            <w:vAlign w:val="center"/>
          </w:tcPr>
          <w:p w:rsidR="003E1D2A" w:rsidRPr="00687B52" w:rsidRDefault="003E1D2A" w:rsidP="003E1D2A">
            <w:pPr>
              <w:pStyle w:val="a7"/>
              <w:spacing w:line="300" w:lineRule="exact"/>
              <w:jc w:val="left"/>
              <w:rPr>
                <w:rFonts w:hAnsi="宋体"/>
                <w:color w:val="000000" w:themeColor="text1"/>
                <w:kern w:val="0"/>
              </w:rPr>
            </w:pPr>
            <w:r w:rsidRPr="00687B52">
              <w:rPr>
                <w:rFonts w:hAnsi="宋体" w:hint="eastAsia"/>
                <w:color w:val="000000" w:themeColor="text1"/>
                <w:kern w:val="0"/>
              </w:rPr>
              <w:t>散发可燃气体、可燃蒸汽的甲类厂房与厂外铁路中心线的防火间距不应小于</w:t>
            </w:r>
            <w:r w:rsidRPr="00687B52">
              <w:rPr>
                <w:rFonts w:hAnsi="宋体" w:hint="eastAsia"/>
                <w:color w:val="000000" w:themeColor="text1"/>
                <w:kern w:val="0"/>
              </w:rPr>
              <w:t>30m</w:t>
            </w:r>
            <w:r w:rsidRPr="00687B52">
              <w:rPr>
                <w:rFonts w:hAnsi="宋体" w:hint="eastAsia"/>
                <w:color w:val="000000" w:themeColor="text1"/>
                <w:kern w:val="0"/>
              </w:rPr>
              <w:t>，与厂内铁路中心线的防火间距不应小于</w:t>
            </w:r>
            <w:r w:rsidRPr="00687B52">
              <w:rPr>
                <w:rFonts w:hAnsi="宋体" w:hint="eastAsia"/>
                <w:color w:val="000000" w:themeColor="text1"/>
                <w:kern w:val="0"/>
              </w:rPr>
              <w:t>20m</w:t>
            </w:r>
            <w:r w:rsidRPr="00687B52">
              <w:rPr>
                <w:rFonts w:hAnsi="宋体" w:hint="eastAsia"/>
                <w:color w:val="000000" w:themeColor="text1"/>
                <w:kern w:val="0"/>
              </w:rPr>
              <w:t>；与厂外道路路边的防火间距不应小于</w:t>
            </w:r>
            <w:r w:rsidRPr="00687B52">
              <w:rPr>
                <w:rFonts w:hAnsi="宋体" w:hint="eastAsia"/>
                <w:color w:val="000000" w:themeColor="text1"/>
                <w:kern w:val="0"/>
              </w:rPr>
              <w:t>15m</w:t>
            </w:r>
            <w:r w:rsidRPr="00687B52">
              <w:rPr>
                <w:rFonts w:hAnsi="宋体" w:hint="eastAsia"/>
                <w:color w:val="000000" w:themeColor="text1"/>
                <w:kern w:val="0"/>
              </w:rPr>
              <w:t>，与厂内主要道路路边的防火间距不应小于</w:t>
            </w:r>
            <w:r w:rsidRPr="00687B52">
              <w:rPr>
                <w:rFonts w:hAnsi="宋体" w:hint="eastAsia"/>
                <w:color w:val="000000" w:themeColor="text1"/>
                <w:kern w:val="0"/>
              </w:rPr>
              <w:t>10m</w:t>
            </w:r>
            <w:r w:rsidRPr="00687B52">
              <w:rPr>
                <w:rFonts w:hAnsi="宋体" w:hint="eastAsia"/>
                <w:color w:val="000000" w:themeColor="text1"/>
                <w:kern w:val="0"/>
              </w:rPr>
              <w:t>，与厂内次要道路路边的防火间距不应小于</w:t>
            </w:r>
            <w:r w:rsidRPr="00687B52">
              <w:rPr>
                <w:rFonts w:hAnsi="宋体" w:hint="eastAsia"/>
                <w:color w:val="000000" w:themeColor="text1"/>
                <w:kern w:val="0"/>
              </w:rPr>
              <w:t>5m</w:t>
            </w:r>
            <w:r w:rsidRPr="00687B52">
              <w:rPr>
                <w:rFonts w:hAnsi="宋体" w:hint="eastAsia"/>
                <w:color w:val="000000" w:themeColor="text1"/>
                <w:kern w:val="0"/>
              </w:rPr>
              <w:t>。但甲类厂房所属厂内铁路装卸线当有安全措施时，防火间距不受此限制。</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第3.4.3条</w:t>
            </w:r>
          </w:p>
        </w:tc>
        <w:tc>
          <w:tcPr>
            <w:tcW w:w="1144" w:type="pct"/>
            <w:shd w:val="clear" w:color="auto" w:fill="auto"/>
            <w:vAlign w:val="center"/>
          </w:tcPr>
          <w:p w:rsidR="003E1D2A" w:rsidRPr="00687B52" w:rsidRDefault="003E1D2A" w:rsidP="003E1D2A">
            <w:pPr>
              <w:spacing w:line="300" w:lineRule="exact"/>
              <w:rPr>
                <w:rFonts w:hAnsi="宋体"/>
                <w:color w:val="000000" w:themeColor="text1"/>
                <w:kern w:val="0"/>
                <w:sz w:val="24"/>
                <w:szCs w:val="24"/>
              </w:rPr>
            </w:pPr>
          </w:p>
        </w:tc>
      </w:tr>
      <w:tr w:rsidR="003E1D2A" w:rsidRPr="00687B52" w:rsidTr="00E640A6">
        <w:tc>
          <w:tcPr>
            <w:tcW w:w="409" w:type="pct"/>
            <w:shd w:val="clear" w:color="auto" w:fill="auto"/>
            <w:vAlign w:val="center"/>
          </w:tcPr>
          <w:p w:rsidR="003E1D2A" w:rsidRPr="00687B52" w:rsidRDefault="00525E55"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1.1.7</w:t>
            </w:r>
          </w:p>
        </w:tc>
        <w:tc>
          <w:tcPr>
            <w:tcW w:w="2474" w:type="pct"/>
            <w:gridSpan w:val="15"/>
            <w:shd w:val="clear" w:color="auto" w:fill="auto"/>
            <w:vAlign w:val="center"/>
          </w:tcPr>
          <w:p w:rsidR="003E1D2A" w:rsidRPr="00687B52" w:rsidRDefault="003E1D2A" w:rsidP="003E1D2A">
            <w:pPr>
              <w:pStyle w:val="a7"/>
              <w:spacing w:line="300" w:lineRule="exact"/>
              <w:jc w:val="left"/>
              <w:rPr>
                <w:rFonts w:hAnsi="宋体"/>
                <w:color w:val="000000" w:themeColor="text1"/>
                <w:kern w:val="0"/>
              </w:rPr>
            </w:pPr>
            <w:r w:rsidRPr="00687B52">
              <w:rPr>
                <w:rFonts w:hAnsi="宋体" w:hint="eastAsia"/>
                <w:color w:val="000000" w:themeColor="text1"/>
                <w:kern w:val="0"/>
              </w:rPr>
              <w:t>厂区围墙与厂内建筑的间距不宜小于</w:t>
            </w:r>
            <w:r w:rsidRPr="00687B52">
              <w:rPr>
                <w:rFonts w:hAnsi="宋体" w:hint="eastAsia"/>
                <w:color w:val="000000" w:themeColor="text1"/>
                <w:kern w:val="0"/>
              </w:rPr>
              <w:t>5m</w:t>
            </w:r>
            <w:r w:rsidRPr="00687B52">
              <w:rPr>
                <w:rFonts w:hAnsi="宋体" w:hint="eastAsia"/>
                <w:color w:val="000000" w:themeColor="text1"/>
                <w:kern w:val="0"/>
              </w:rPr>
              <w:t>，围墙两侧建筑的间距应满足相应建筑的防火间距要求。</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第3.4.12条</w:t>
            </w:r>
          </w:p>
        </w:tc>
        <w:tc>
          <w:tcPr>
            <w:tcW w:w="1144" w:type="pct"/>
            <w:shd w:val="clear" w:color="auto" w:fill="auto"/>
            <w:vAlign w:val="center"/>
          </w:tcPr>
          <w:p w:rsidR="003E1D2A" w:rsidRPr="00687B52" w:rsidRDefault="003E1D2A" w:rsidP="003E1D2A">
            <w:pPr>
              <w:spacing w:line="300" w:lineRule="exact"/>
              <w:rPr>
                <w:rFonts w:hAnsi="宋体"/>
                <w:color w:val="000000" w:themeColor="text1"/>
                <w:kern w:val="0"/>
                <w:sz w:val="24"/>
                <w:szCs w:val="24"/>
              </w:rPr>
            </w:pPr>
          </w:p>
        </w:tc>
      </w:tr>
      <w:tr w:rsidR="003E1D2A" w:rsidRPr="00687B52" w:rsidTr="00E640A6">
        <w:tc>
          <w:tcPr>
            <w:tcW w:w="409" w:type="pct"/>
            <w:vMerge w:val="restart"/>
            <w:shd w:val="clear" w:color="auto" w:fill="auto"/>
            <w:vAlign w:val="center"/>
          </w:tcPr>
          <w:p w:rsidR="003E1D2A" w:rsidRPr="00687B52" w:rsidRDefault="00525E55"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1.1.8</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甲、乙、丙类液体储罐（区）和乙、丙类液体桶装堆场与其他建筑的防火间距不应小于</w:t>
            </w:r>
            <w:r w:rsidRPr="00687B52">
              <w:rPr>
                <w:color w:val="000000" w:themeColor="text1"/>
              </w:rPr>
              <w:t>GB50016-20</w:t>
            </w:r>
            <w:r w:rsidRPr="00687B52">
              <w:rPr>
                <w:rFonts w:hint="eastAsia"/>
                <w:color w:val="000000" w:themeColor="text1"/>
              </w:rPr>
              <w:t>14</w:t>
            </w:r>
            <w:r w:rsidRPr="00687B52">
              <w:rPr>
                <w:rFonts w:hint="eastAsia"/>
                <w:color w:val="000000" w:themeColor="text1"/>
              </w:rPr>
              <w:t>第</w:t>
            </w:r>
            <w:r w:rsidRPr="00687B52">
              <w:rPr>
                <w:rFonts w:hint="eastAsia"/>
                <w:color w:val="000000" w:themeColor="text1"/>
              </w:rPr>
              <w:t>4.2.1</w:t>
            </w:r>
            <w:r w:rsidRPr="00687B52">
              <w:rPr>
                <w:rFonts w:hAnsi="宋体"/>
                <w:color w:val="000000" w:themeColor="text1"/>
              </w:rPr>
              <w:t>的规定</w:t>
            </w:r>
            <w:r w:rsidRPr="00687B52">
              <w:rPr>
                <w:rFonts w:hAnsi="宋体" w:hint="eastAsia"/>
                <w:color w:val="000000" w:themeColor="text1"/>
              </w:rPr>
              <w:t>：</w:t>
            </w:r>
          </w:p>
        </w:tc>
        <w:tc>
          <w:tcPr>
            <w:tcW w:w="972" w:type="pct"/>
            <w:vMerge w:val="restar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第4.2.1条</w:t>
            </w:r>
          </w:p>
        </w:tc>
        <w:tc>
          <w:tcPr>
            <w:tcW w:w="1144" w:type="pct"/>
            <w:vMerge w:val="restart"/>
            <w:shd w:val="clear" w:color="auto" w:fill="auto"/>
            <w:vAlign w:val="center"/>
          </w:tcPr>
          <w:p w:rsidR="003E1D2A" w:rsidRPr="00687B52" w:rsidRDefault="003E1D2A" w:rsidP="003E1D2A">
            <w:pPr>
              <w:spacing w:line="300" w:lineRule="exact"/>
              <w:rPr>
                <w:rFonts w:hAnsi="宋体"/>
                <w:color w:val="000000" w:themeColor="text1"/>
                <w:kern w:val="0"/>
                <w:sz w:val="24"/>
                <w:szCs w:val="24"/>
              </w:rPr>
            </w:pPr>
            <w:r w:rsidRPr="00687B52">
              <w:rPr>
                <w:rFonts w:hAnsi="宋体" w:hint="eastAsia"/>
                <w:color w:val="000000" w:themeColor="text1"/>
                <w:kern w:val="0"/>
                <w:sz w:val="24"/>
                <w:szCs w:val="24"/>
              </w:rPr>
              <w:t>说明甲、乙、丙类液体储罐（区）和乙、丙类液体桶装堆场与其他建筑之间的最近间距。</w:t>
            </w:r>
          </w:p>
        </w:tc>
      </w:tr>
      <w:tr w:rsidR="003E1D2A" w:rsidRPr="00687B52" w:rsidTr="00E640A6">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437" w:type="pct"/>
            <w:gridSpan w:val="2"/>
            <w:vMerge w:val="restar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类别</w:t>
            </w:r>
          </w:p>
        </w:tc>
        <w:tc>
          <w:tcPr>
            <w:tcW w:w="377" w:type="pct"/>
            <w:gridSpan w:val="2"/>
            <w:vMerge w:val="restar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一个罐区或堆场的总容量</w:t>
            </w:r>
            <w:r w:rsidRPr="00687B52">
              <w:rPr>
                <w:rFonts w:hAnsi="宋体" w:hint="eastAsia"/>
                <w:color w:val="000000" w:themeColor="text1"/>
                <w:sz w:val="18"/>
              </w:rPr>
              <w:t>V(m</w:t>
            </w:r>
            <w:r w:rsidRPr="00687B52">
              <w:rPr>
                <w:rFonts w:hAnsi="宋体" w:hint="eastAsia"/>
                <w:color w:val="000000" w:themeColor="text1"/>
                <w:sz w:val="18"/>
              </w:rPr>
              <w:t>³</w:t>
            </w:r>
            <w:r w:rsidRPr="00687B52">
              <w:rPr>
                <w:rFonts w:hAnsi="宋体" w:hint="eastAsia"/>
                <w:color w:val="000000" w:themeColor="text1"/>
                <w:sz w:val="18"/>
              </w:rPr>
              <w:t>)</w:t>
            </w:r>
          </w:p>
        </w:tc>
        <w:tc>
          <w:tcPr>
            <w:tcW w:w="1373" w:type="pct"/>
            <w:gridSpan w:val="9"/>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建筑物</w:t>
            </w:r>
          </w:p>
        </w:tc>
        <w:tc>
          <w:tcPr>
            <w:tcW w:w="287" w:type="pct"/>
            <w:gridSpan w:val="2"/>
            <w:vMerge w:val="restar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室外变、配电站</w:t>
            </w:r>
          </w:p>
        </w:tc>
        <w:tc>
          <w:tcPr>
            <w:tcW w:w="972" w:type="pct"/>
            <w:vMerge/>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vMerge/>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437" w:type="pct"/>
            <w:gridSpan w:val="2"/>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377" w:type="pct"/>
            <w:gridSpan w:val="2"/>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741" w:type="pct"/>
            <w:gridSpan w:val="6"/>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一、二级</w:t>
            </w:r>
          </w:p>
        </w:tc>
        <w:tc>
          <w:tcPr>
            <w:tcW w:w="355" w:type="pct"/>
            <w:gridSpan w:val="2"/>
            <w:vMerge w:val="restart"/>
            <w:shd w:val="clear" w:color="auto" w:fill="auto"/>
            <w:vAlign w:val="center"/>
          </w:tcPr>
          <w:p w:rsidR="003E1D2A" w:rsidRPr="00687B52" w:rsidRDefault="003E1D2A" w:rsidP="003E1D2A">
            <w:pPr>
              <w:pStyle w:val="a7"/>
              <w:spacing w:line="300" w:lineRule="exact"/>
              <w:jc w:val="both"/>
              <w:rPr>
                <w:rFonts w:hAnsi="宋体"/>
                <w:color w:val="000000" w:themeColor="text1"/>
                <w:sz w:val="18"/>
              </w:rPr>
            </w:pPr>
            <w:r w:rsidRPr="00687B52">
              <w:rPr>
                <w:rFonts w:hAnsi="宋体" w:hint="eastAsia"/>
                <w:color w:val="000000" w:themeColor="text1"/>
                <w:sz w:val="18"/>
              </w:rPr>
              <w:t>三级</w:t>
            </w:r>
          </w:p>
        </w:tc>
        <w:tc>
          <w:tcPr>
            <w:tcW w:w="278" w:type="pct"/>
            <w:vMerge w:val="restar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四级</w:t>
            </w:r>
          </w:p>
        </w:tc>
        <w:tc>
          <w:tcPr>
            <w:tcW w:w="287" w:type="pct"/>
            <w:gridSpan w:val="2"/>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972" w:type="pct"/>
            <w:vMerge/>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vMerge/>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437" w:type="pct"/>
            <w:gridSpan w:val="2"/>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377" w:type="pct"/>
            <w:gridSpan w:val="2"/>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331"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高层民</w:t>
            </w:r>
          </w:p>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用建筑</w:t>
            </w:r>
          </w:p>
        </w:tc>
        <w:tc>
          <w:tcPr>
            <w:tcW w:w="410" w:type="pct"/>
            <w:gridSpan w:val="4"/>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裙房</w:t>
            </w:r>
          </w:p>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其他建筑</w:t>
            </w:r>
          </w:p>
        </w:tc>
        <w:tc>
          <w:tcPr>
            <w:tcW w:w="355" w:type="pct"/>
            <w:gridSpan w:val="2"/>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278" w:type="pct"/>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287" w:type="pct"/>
            <w:gridSpan w:val="2"/>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972" w:type="pct"/>
            <w:vMerge/>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vMerge/>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rPr>
          <w:trHeight w:val="564"/>
        </w:trPr>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437" w:type="pct"/>
            <w:gridSpan w:val="2"/>
            <w:vMerge w:val="restar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甲、乙类</w:t>
            </w:r>
          </w:p>
          <w:p w:rsidR="003E1D2A" w:rsidRPr="00687B52" w:rsidRDefault="003E1D2A" w:rsidP="003E1D2A">
            <w:pPr>
              <w:pStyle w:val="a7"/>
              <w:spacing w:line="300" w:lineRule="exact"/>
              <w:jc w:val="both"/>
              <w:rPr>
                <w:rFonts w:hAnsi="宋体"/>
                <w:color w:val="000000" w:themeColor="text1"/>
                <w:sz w:val="18"/>
              </w:rPr>
            </w:pPr>
            <w:r w:rsidRPr="00687B52">
              <w:rPr>
                <w:rFonts w:hAnsi="宋体" w:hint="eastAsia"/>
                <w:color w:val="000000" w:themeColor="text1"/>
                <w:sz w:val="18"/>
              </w:rPr>
              <w:t>液体储罐（区）</w:t>
            </w:r>
          </w:p>
        </w:tc>
        <w:tc>
          <w:tcPr>
            <w:tcW w:w="377"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1</w:t>
            </w:r>
            <w:r w:rsidRPr="00687B52">
              <w:rPr>
                <w:rFonts w:hAnsi="宋体" w:hint="eastAsia"/>
                <w:color w:val="000000" w:themeColor="text1"/>
                <w:sz w:val="18"/>
              </w:rPr>
              <w:t>≤</w:t>
            </w:r>
            <w:r w:rsidRPr="00687B52">
              <w:rPr>
                <w:rFonts w:hAnsi="宋体" w:hint="eastAsia"/>
                <w:color w:val="000000" w:themeColor="text1"/>
                <w:sz w:val="18"/>
              </w:rPr>
              <w:t>V</w:t>
            </w:r>
            <w:r w:rsidRPr="00687B52">
              <w:rPr>
                <w:rFonts w:hAnsi="宋体" w:hint="eastAsia"/>
                <w:color w:val="000000" w:themeColor="text1"/>
                <w:sz w:val="18"/>
              </w:rPr>
              <w:t>＜</w:t>
            </w:r>
            <w:r w:rsidRPr="00687B52">
              <w:rPr>
                <w:rFonts w:hAnsi="宋体" w:hint="eastAsia"/>
                <w:color w:val="000000" w:themeColor="text1"/>
                <w:sz w:val="18"/>
              </w:rPr>
              <w:t>50</w:t>
            </w:r>
          </w:p>
        </w:tc>
        <w:tc>
          <w:tcPr>
            <w:tcW w:w="331"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40</w:t>
            </w:r>
          </w:p>
        </w:tc>
        <w:tc>
          <w:tcPr>
            <w:tcW w:w="410" w:type="pct"/>
            <w:gridSpan w:val="4"/>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12</w:t>
            </w:r>
          </w:p>
        </w:tc>
        <w:tc>
          <w:tcPr>
            <w:tcW w:w="355"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15</w:t>
            </w:r>
          </w:p>
        </w:tc>
        <w:tc>
          <w:tcPr>
            <w:tcW w:w="278" w:type="pc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20</w:t>
            </w:r>
          </w:p>
        </w:tc>
        <w:tc>
          <w:tcPr>
            <w:tcW w:w="287"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30</w:t>
            </w:r>
          </w:p>
        </w:tc>
        <w:tc>
          <w:tcPr>
            <w:tcW w:w="972" w:type="pct"/>
            <w:vMerge/>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vMerge/>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437" w:type="pct"/>
            <w:gridSpan w:val="2"/>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377"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50</w:t>
            </w:r>
            <w:r w:rsidRPr="00687B52">
              <w:rPr>
                <w:rFonts w:hAnsi="宋体" w:hint="eastAsia"/>
                <w:color w:val="000000" w:themeColor="text1"/>
                <w:sz w:val="18"/>
              </w:rPr>
              <w:t>≤</w:t>
            </w:r>
            <w:r w:rsidRPr="00687B52">
              <w:rPr>
                <w:rFonts w:hAnsi="宋体" w:hint="eastAsia"/>
                <w:color w:val="000000" w:themeColor="text1"/>
                <w:sz w:val="18"/>
              </w:rPr>
              <w:t>V</w:t>
            </w:r>
            <w:r w:rsidRPr="00687B52">
              <w:rPr>
                <w:rFonts w:hAnsi="宋体" w:hint="eastAsia"/>
                <w:color w:val="000000" w:themeColor="text1"/>
                <w:sz w:val="18"/>
              </w:rPr>
              <w:t>＜</w:t>
            </w:r>
            <w:r w:rsidRPr="00687B52">
              <w:rPr>
                <w:rFonts w:hAnsi="宋体" w:hint="eastAsia"/>
                <w:color w:val="000000" w:themeColor="text1"/>
                <w:sz w:val="18"/>
              </w:rPr>
              <w:t>200</w:t>
            </w:r>
          </w:p>
        </w:tc>
        <w:tc>
          <w:tcPr>
            <w:tcW w:w="331"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50</w:t>
            </w:r>
          </w:p>
        </w:tc>
        <w:tc>
          <w:tcPr>
            <w:tcW w:w="410" w:type="pct"/>
            <w:gridSpan w:val="4"/>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15</w:t>
            </w:r>
          </w:p>
        </w:tc>
        <w:tc>
          <w:tcPr>
            <w:tcW w:w="355"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20</w:t>
            </w:r>
          </w:p>
        </w:tc>
        <w:tc>
          <w:tcPr>
            <w:tcW w:w="278" w:type="pc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25</w:t>
            </w:r>
          </w:p>
        </w:tc>
        <w:tc>
          <w:tcPr>
            <w:tcW w:w="287"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35</w:t>
            </w:r>
          </w:p>
        </w:tc>
        <w:tc>
          <w:tcPr>
            <w:tcW w:w="972" w:type="pct"/>
            <w:vMerge/>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vMerge/>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437" w:type="pct"/>
            <w:gridSpan w:val="2"/>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377"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200</w:t>
            </w:r>
            <w:r w:rsidRPr="00687B52">
              <w:rPr>
                <w:rFonts w:hAnsi="宋体" w:hint="eastAsia"/>
                <w:color w:val="000000" w:themeColor="text1"/>
                <w:sz w:val="18"/>
              </w:rPr>
              <w:t>≤</w:t>
            </w:r>
            <w:r w:rsidRPr="00687B52">
              <w:rPr>
                <w:rFonts w:hAnsi="宋体" w:hint="eastAsia"/>
                <w:color w:val="000000" w:themeColor="text1"/>
                <w:sz w:val="18"/>
              </w:rPr>
              <w:t>V</w:t>
            </w:r>
            <w:r w:rsidRPr="00687B52">
              <w:rPr>
                <w:rFonts w:hAnsi="宋体" w:hint="eastAsia"/>
                <w:color w:val="000000" w:themeColor="text1"/>
                <w:sz w:val="18"/>
              </w:rPr>
              <w:t>＜</w:t>
            </w:r>
            <w:r w:rsidRPr="00687B52">
              <w:rPr>
                <w:rFonts w:hAnsi="宋体" w:hint="eastAsia"/>
                <w:color w:val="000000" w:themeColor="text1"/>
                <w:sz w:val="18"/>
              </w:rPr>
              <w:t>1000</w:t>
            </w:r>
          </w:p>
        </w:tc>
        <w:tc>
          <w:tcPr>
            <w:tcW w:w="331"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60</w:t>
            </w:r>
          </w:p>
        </w:tc>
        <w:tc>
          <w:tcPr>
            <w:tcW w:w="410" w:type="pct"/>
            <w:gridSpan w:val="4"/>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20</w:t>
            </w:r>
          </w:p>
        </w:tc>
        <w:tc>
          <w:tcPr>
            <w:tcW w:w="355"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25</w:t>
            </w:r>
          </w:p>
        </w:tc>
        <w:tc>
          <w:tcPr>
            <w:tcW w:w="278" w:type="pc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30</w:t>
            </w:r>
          </w:p>
        </w:tc>
        <w:tc>
          <w:tcPr>
            <w:tcW w:w="287"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40</w:t>
            </w:r>
          </w:p>
        </w:tc>
        <w:tc>
          <w:tcPr>
            <w:tcW w:w="972" w:type="pct"/>
            <w:vMerge/>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vMerge/>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437" w:type="pct"/>
            <w:gridSpan w:val="2"/>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377"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1000</w:t>
            </w:r>
            <w:r w:rsidRPr="00687B52">
              <w:rPr>
                <w:rFonts w:hAnsi="宋体" w:hint="eastAsia"/>
                <w:color w:val="000000" w:themeColor="text1"/>
                <w:sz w:val="18"/>
              </w:rPr>
              <w:t>≤</w:t>
            </w:r>
            <w:r w:rsidRPr="00687B52">
              <w:rPr>
                <w:rFonts w:hAnsi="宋体" w:hint="eastAsia"/>
                <w:color w:val="000000" w:themeColor="text1"/>
                <w:sz w:val="18"/>
              </w:rPr>
              <w:t>V</w:t>
            </w:r>
            <w:r w:rsidRPr="00687B52">
              <w:rPr>
                <w:rFonts w:hAnsi="宋体" w:hint="eastAsia"/>
                <w:color w:val="000000" w:themeColor="text1"/>
                <w:sz w:val="18"/>
              </w:rPr>
              <w:t>＜</w:t>
            </w:r>
            <w:r w:rsidRPr="00687B52">
              <w:rPr>
                <w:rFonts w:hAnsi="宋体" w:hint="eastAsia"/>
                <w:color w:val="000000" w:themeColor="text1"/>
                <w:sz w:val="18"/>
              </w:rPr>
              <w:t>5000</w:t>
            </w:r>
          </w:p>
        </w:tc>
        <w:tc>
          <w:tcPr>
            <w:tcW w:w="331"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70</w:t>
            </w:r>
          </w:p>
        </w:tc>
        <w:tc>
          <w:tcPr>
            <w:tcW w:w="410" w:type="pct"/>
            <w:gridSpan w:val="4"/>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25</w:t>
            </w:r>
          </w:p>
        </w:tc>
        <w:tc>
          <w:tcPr>
            <w:tcW w:w="355"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30</w:t>
            </w:r>
          </w:p>
        </w:tc>
        <w:tc>
          <w:tcPr>
            <w:tcW w:w="278" w:type="pc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40</w:t>
            </w:r>
          </w:p>
        </w:tc>
        <w:tc>
          <w:tcPr>
            <w:tcW w:w="287"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50</w:t>
            </w:r>
          </w:p>
        </w:tc>
        <w:tc>
          <w:tcPr>
            <w:tcW w:w="972" w:type="pct"/>
            <w:vMerge/>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vMerge/>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437" w:type="pct"/>
            <w:gridSpan w:val="2"/>
            <w:vMerge w:val="restar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丙类</w:t>
            </w:r>
          </w:p>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液体储罐（区）</w:t>
            </w:r>
          </w:p>
        </w:tc>
        <w:tc>
          <w:tcPr>
            <w:tcW w:w="377"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5</w:t>
            </w:r>
            <w:r w:rsidRPr="00687B52">
              <w:rPr>
                <w:rFonts w:hAnsi="宋体" w:hint="eastAsia"/>
                <w:color w:val="000000" w:themeColor="text1"/>
                <w:sz w:val="18"/>
              </w:rPr>
              <w:t>≤</w:t>
            </w:r>
            <w:r w:rsidRPr="00687B52">
              <w:rPr>
                <w:rFonts w:hAnsi="宋体" w:hint="eastAsia"/>
                <w:color w:val="000000" w:themeColor="text1"/>
                <w:sz w:val="18"/>
              </w:rPr>
              <w:t>V</w:t>
            </w:r>
            <w:r w:rsidRPr="00687B52">
              <w:rPr>
                <w:rFonts w:hAnsi="宋体" w:hint="eastAsia"/>
                <w:color w:val="000000" w:themeColor="text1"/>
                <w:sz w:val="18"/>
              </w:rPr>
              <w:t>＜</w:t>
            </w:r>
            <w:r w:rsidRPr="00687B52">
              <w:rPr>
                <w:rFonts w:hAnsi="宋体" w:hint="eastAsia"/>
                <w:color w:val="000000" w:themeColor="text1"/>
                <w:sz w:val="18"/>
              </w:rPr>
              <w:t>250</w:t>
            </w:r>
          </w:p>
        </w:tc>
        <w:tc>
          <w:tcPr>
            <w:tcW w:w="331"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40</w:t>
            </w:r>
          </w:p>
        </w:tc>
        <w:tc>
          <w:tcPr>
            <w:tcW w:w="410" w:type="pct"/>
            <w:gridSpan w:val="4"/>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12</w:t>
            </w:r>
          </w:p>
        </w:tc>
        <w:tc>
          <w:tcPr>
            <w:tcW w:w="355"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15</w:t>
            </w:r>
          </w:p>
        </w:tc>
        <w:tc>
          <w:tcPr>
            <w:tcW w:w="278" w:type="pc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20</w:t>
            </w:r>
          </w:p>
        </w:tc>
        <w:tc>
          <w:tcPr>
            <w:tcW w:w="287"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24</w:t>
            </w:r>
          </w:p>
        </w:tc>
        <w:tc>
          <w:tcPr>
            <w:tcW w:w="972" w:type="pct"/>
            <w:vMerge/>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vMerge/>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437" w:type="pct"/>
            <w:gridSpan w:val="2"/>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377"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250</w:t>
            </w:r>
            <w:r w:rsidRPr="00687B52">
              <w:rPr>
                <w:rFonts w:hAnsi="宋体" w:hint="eastAsia"/>
                <w:color w:val="000000" w:themeColor="text1"/>
                <w:sz w:val="18"/>
              </w:rPr>
              <w:t>≤</w:t>
            </w:r>
            <w:r w:rsidRPr="00687B52">
              <w:rPr>
                <w:rFonts w:hAnsi="宋体" w:hint="eastAsia"/>
                <w:color w:val="000000" w:themeColor="text1"/>
                <w:sz w:val="18"/>
              </w:rPr>
              <w:t>V</w:t>
            </w:r>
            <w:r w:rsidRPr="00687B52">
              <w:rPr>
                <w:rFonts w:hAnsi="宋体" w:hint="eastAsia"/>
                <w:color w:val="000000" w:themeColor="text1"/>
                <w:sz w:val="18"/>
              </w:rPr>
              <w:t>＜</w:t>
            </w:r>
            <w:r w:rsidRPr="00687B52">
              <w:rPr>
                <w:rFonts w:hAnsi="宋体" w:hint="eastAsia"/>
                <w:color w:val="000000" w:themeColor="text1"/>
                <w:sz w:val="18"/>
              </w:rPr>
              <w:t>1000</w:t>
            </w:r>
          </w:p>
        </w:tc>
        <w:tc>
          <w:tcPr>
            <w:tcW w:w="331"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50</w:t>
            </w:r>
          </w:p>
        </w:tc>
        <w:tc>
          <w:tcPr>
            <w:tcW w:w="410" w:type="pct"/>
            <w:gridSpan w:val="4"/>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15</w:t>
            </w:r>
          </w:p>
        </w:tc>
        <w:tc>
          <w:tcPr>
            <w:tcW w:w="355"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20</w:t>
            </w:r>
          </w:p>
        </w:tc>
        <w:tc>
          <w:tcPr>
            <w:tcW w:w="278" w:type="pc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25</w:t>
            </w:r>
          </w:p>
        </w:tc>
        <w:tc>
          <w:tcPr>
            <w:tcW w:w="287"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28</w:t>
            </w:r>
          </w:p>
        </w:tc>
        <w:tc>
          <w:tcPr>
            <w:tcW w:w="972" w:type="pct"/>
            <w:vMerge/>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vMerge/>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437" w:type="pct"/>
            <w:gridSpan w:val="2"/>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377"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1000</w:t>
            </w:r>
            <w:r w:rsidRPr="00687B52">
              <w:rPr>
                <w:rFonts w:hAnsi="宋体" w:hint="eastAsia"/>
                <w:color w:val="000000" w:themeColor="text1"/>
                <w:sz w:val="18"/>
              </w:rPr>
              <w:t>≤</w:t>
            </w:r>
            <w:r w:rsidRPr="00687B52">
              <w:rPr>
                <w:rFonts w:hAnsi="宋体" w:hint="eastAsia"/>
                <w:color w:val="000000" w:themeColor="text1"/>
                <w:sz w:val="18"/>
              </w:rPr>
              <w:t>V</w:t>
            </w:r>
            <w:r w:rsidRPr="00687B52">
              <w:rPr>
                <w:rFonts w:hAnsi="宋体" w:hint="eastAsia"/>
                <w:color w:val="000000" w:themeColor="text1"/>
                <w:sz w:val="18"/>
              </w:rPr>
              <w:t>＜</w:t>
            </w:r>
            <w:r w:rsidRPr="00687B52">
              <w:rPr>
                <w:rFonts w:hAnsi="宋体" w:hint="eastAsia"/>
                <w:color w:val="000000" w:themeColor="text1"/>
                <w:sz w:val="18"/>
              </w:rPr>
              <w:t>5000</w:t>
            </w:r>
          </w:p>
        </w:tc>
        <w:tc>
          <w:tcPr>
            <w:tcW w:w="331"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60</w:t>
            </w:r>
          </w:p>
        </w:tc>
        <w:tc>
          <w:tcPr>
            <w:tcW w:w="410" w:type="pct"/>
            <w:gridSpan w:val="4"/>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20</w:t>
            </w:r>
          </w:p>
        </w:tc>
        <w:tc>
          <w:tcPr>
            <w:tcW w:w="355"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25</w:t>
            </w:r>
          </w:p>
        </w:tc>
        <w:tc>
          <w:tcPr>
            <w:tcW w:w="278" w:type="pc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30</w:t>
            </w:r>
          </w:p>
        </w:tc>
        <w:tc>
          <w:tcPr>
            <w:tcW w:w="287"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32</w:t>
            </w:r>
          </w:p>
        </w:tc>
        <w:tc>
          <w:tcPr>
            <w:tcW w:w="972" w:type="pct"/>
            <w:vMerge/>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vMerge/>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437" w:type="pct"/>
            <w:gridSpan w:val="2"/>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377"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5000</w:t>
            </w:r>
            <w:r w:rsidRPr="00687B52">
              <w:rPr>
                <w:rFonts w:hAnsi="宋体" w:hint="eastAsia"/>
                <w:color w:val="000000" w:themeColor="text1"/>
                <w:sz w:val="18"/>
              </w:rPr>
              <w:t>≤</w:t>
            </w:r>
            <w:r w:rsidRPr="00687B52">
              <w:rPr>
                <w:rFonts w:hAnsi="宋体" w:hint="eastAsia"/>
                <w:color w:val="000000" w:themeColor="text1"/>
                <w:sz w:val="18"/>
              </w:rPr>
              <w:t>V</w:t>
            </w:r>
            <w:r w:rsidRPr="00687B52">
              <w:rPr>
                <w:rFonts w:hAnsi="宋体" w:hint="eastAsia"/>
                <w:color w:val="000000" w:themeColor="text1"/>
                <w:sz w:val="18"/>
              </w:rPr>
              <w:t>＜</w:t>
            </w:r>
            <w:r w:rsidRPr="00687B52">
              <w:rPr>
                <w:rFonts w:hAnsi="宋体" w:hint="eastAsia"/>
                <w:color w:val="000000" w:themeColor="text1"/>
                <w:sz w:val="18"/>
              </w:rPr>
              <w:t>25000</w:t>
            </w:r>
          </w:p>
        </w:tc>
        <w:tc>
          <w:tcPr>
            <w:tcW w:w="331"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70</w:t>
            </w:r>
          </w:p>
        </w:tc>
        <w:tc>
          <w:tcPr>
            <w:tcW w:w="410" w:type="pct"/>
            <w:gridSpan w:val="4"/>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25</w:t>
            </w:r>
          </w:p>
        </w:tc>
        <w:tc>
          <w:tcPr>
            <w:tcW w:w="355"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30</w:t>
            </w:r>
          </w:p>
        </w:tc>
        <w:tc>
          <w:tcPr>
            <w:tcW w:w="278" w:type="pc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40</w:t>
            </w:r>
          </w:p>
        </w:tc>
        <w:tc>
          <w:tcPr>
            <w:tcW w:w="287"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40</w:t>
            </w:r>
          </w:p>
        </w:tc>
        <w:tc>
          <w:tcPr>
            <w:tcW w:w="972" w:type="pct"/>
            <w:vMerge/>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vMerge/>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vMerge w:val="restart"/>
            <w:shd w:val="clear" w:color="auto" w:fill="auto"/>
            <w:vAlign w:val="center"/>
          </w:tcPr>
          <w:p w:rsidR="003E1D2A" w:rsidRPr="00687B52" w:rsidRDefault="00525E55"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1.1.9</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甲、乙、丙类液体储罐之间的防火间距不应小于</w:t>
            </w:r>
            <w:r w:rsidRPr="00687B52">
              <w:rPr>
                <w:color w:val="000000" w:themeColor="text1"/>
              </w:rPr>
              <w:t>GB50016-20</w:t>
            </w:r>
            <w:r w:rsidRPr="00687B52">
              <w:rPr>
                <w:rFonts w:hint="eastAsia"/>
                <w:color w:val="000000" w:themeColor="text1"/>
              </w:rPr>
              <w:t>14</w:t>
            </w:r>
            <w:r w:rsidRPr="00687B52">
              <w:rPr>
                <w:rFonts w:hint="eastAsia"/>
                <w:color w:val="000000" w:themeColor="text1"/>
              </w:rPr>
              <w:t>第</w:t>
            </w:r>
            <w:r w:rsidRPr="00687B52">
              <w:rPr>
                <w:rFonts w:hint="eastAsia"/>
                <w:color w:val="000000" w:themeColor="text1"/>
              </w:rPr>
              <w:t>4.2.2</w:t>
            </w:r>
            <w:r w:rsidRPr="00687B52">
              <w:rPr>
                <w:rFonts w:hAnsi="宋体"/>
                <w:color w:val="000000" w:themeColor="text1"/>
              </w:rPr>
              <w:t>的规定</w:t>
            </w:r>
            <w:r w:rsidRPr="00687B52">
              <w:rPr>
                <w:rFonts w:hAnsi="宋体" w:hint="eastAsia"/>
                <w:color w:val="000000" w:themeColor="text1"/>
              </w:rPr>
              <w:t>：</w:t>
            </w:r>
          </w:p>
        </w:tc>
        <w:tc>
          <w:tcPr>
            <w:tcW w:w="972" w:type="pct"/>
            <w:vMerge w:val="restar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第4.2.2条</w:t>
            </w:r>
          </w:p>
        </w:tc>
        <w:tc>
          <w:tcPr>
            <w:tcW w:w="1144" w:type="pct"/>
            <w:vMerge w:val="restart"/>
            <w:shd w:val="clear" w:color="auto" w:fill="auto"/>
            <w:vAlign w:val="center"/>
          </w:tcPr>
          <w:p w:rsidR="003E1D2A" w:rsidRPr="00687B52" w:rsidRDefault="003E1D2A" w:rsidP="003E1D2A">
            <w:pPr>
              <w:spacing w:line="300" w:lineRule="exact"/>
              <w:rPr>
                <w:rFonts w:hAnsi="宋体"/>
                <w:color w:val="000000" w:themeColor="text1"/>
                <w:kern w:val="0"/>
                <w:sz w:val="24"/>
                <w:szCs w:val="24"/>
              </w:rPr>
            </w:pPr>
            <w:r w:rsidRPr="00687B52">
              <w:rPr>
                <w:rFonts w:hAnsi="宋体" w:hint="eastAsia"/>
                <w:color w:val="000000" w:themeColor="text1"/>
                <w:kern w:val="0"/>
                <w:sz w:val="24"/>
                <w:szCs w:val="24"/>
              </w:rPr>
              <w:t>说明甲、乙、丙类液体储罐之间的最近间距。</w:t>
            </w:r>
          </w:p>
        </w:tc>
      </w:tr>
      <w:tr w:rsidR="003E1D2A" w:rsidRPr="00687B52" w:rsidTr="00E640A6">
        <w:trPr>
          <w:trHeight w:val="349"/>
        </w:trPr>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1028" w:type="pct"/>
            <w:gridSpan w:val="5"/>
            <w:vMerge w:val="restar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类别</w:t>
            </w:r>
          </w:p>
        </w:tc>
        <w:tc>
          <w:tcPr>
            <w:tcW w:w="708" w:type="pct"/>
            <w:gridSpan w:val="6"/>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固定顶储罐</w:t>
            </w:r>
          </w:p>
        </w:tc>
        <w:tc>
          <w:tcPr>
            <w:tcW w:w="527" w:type="pct"/>
            <w:gridSpan w:val="3"/>
            <w:vMerge w:val="restar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浮顶储罐或设置充氮保护设备的储罐</w:t>
            </w:r>
          </w:p>
        </w:tc>
        <w:tc>
          <w:tcPr>
            <w:tcW w:w="212" w:type="pct"/>
            <w:vMerge w:val="restar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卧式储罐</w:t>
            </w:r>
          </w:p>
        </w:tc>
        <w:tc>
          <w:tcPr>
            <w:tcW w:w="972" w:type="pct"/>
            <w:vMerge/>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vMerge/>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1028" w:type="pct"/>
            <w:gridSpan w:val="5"/>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249" w:type="pct"/>
            <w:gridSpan w:val="3"/>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地上式</w:t>
            </w:r>
          </w:p>
        </w:tc>
        <w:tc>
          <w:tcPr>
            <w:tcW w:w="236" w:type="pc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半地下式</w:t>
            </w:r>
          </w:p>
        </w:tc>
        <w:tc>
          <w:tcPr>
            <w:tcW w:w="223"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地下式</w:t>
            </w:r>
          </w:p>
        </w:tc>
        <w:tc>
          <w:tcPr>
            <w:tcW w:w="527" w:type="pct"/>
            <w:gridSpan w:val="3"/>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212" w:type="pct"/>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972" w:type="pct"/>
            <w:vMerge/>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vMerge/>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408" w:type="pct"/>
            <w:vMerge w:val="restar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甲、乙类液体储罐</w:t>
            </w:r>
          </w:p>
        </w:tc>
        <w:tc>
          <w:tcPr>
            <w:tcW w:w="351" w:type="pct"/>
            <w:gridSpan w:val="2"/>
            <w:vMerge w:val="restar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单罐容量</w:t>
            </w:r>
            <w:r w:rsidRPr="00687B52">
              <w:rPr>
                <w:rFonts w:hAnsi="宋体" w:hint="eastAsia"/>
                <w:color w:val="000000" w:themeColor="text1"/>
                <w:sz w:val="18"/>
              </w:rPr>
              <w:t>V</w:t>
            </w:r>
          </w:p>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w:t>
            </w:r>
            <w:r w:rsidRPr="00687B52">
              <w:rPr>
                <w:rFonts w:hAnsi="宋体" w:hint="eastAsia"/>
                <w:color w:val="000000" w:themeColor="text1"/>
                <w:sz w:val="18"/>
              </w:rPr>
              <w:t>m</w:t>
            </w:r>
            <w:r w:rsidRPr="00687B52">
              <w:rPr>
                <w:rFonts w:hAnsi="宋体" w:hint="eastAsia"/>
                <w:color w:val="000000" w:themeColor="text1"/>
                <w:sz w:val="18"/>
              </w:rPr>
              <w:t>³）</w:t>
            </w:r>
          </w:p>
        </w:tc>
        <w:tc>
          <w:tcPr>
            <w:tcW w:w="269"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V</w:t>
            </w:r>
            <w:r w:rsidRPr="00687B52">
              <w:rPr>
                <w:rFonts w:hAnsi="宋体" w:hint="eastAsia"/>
                <w:color w:val="000000" w:themeColor="text1"/>
                <w:sz w:val="18"/>
              </w:rPr>
              <w:t>≤</w:t>
            </w:r>
            <w:r w:rsidRPr="00687B52">
              <w:rPr>
                <w:rFonts w:hAnsi="宋体" w:hint="eastAsia"/>
                <w:color w:val="000000" w:themeColor="text1"/>
                <w:sz w:val="18"/>
              </w:rPr>
              <w:t>1000</w:t>
            </w:r>
          </w:p>
        </w:tc>
        <w:tc>
          <w:tcPr>
            <w:tcW w:w="249" w:type="pct"/>
            <w:gridSpan w:val="3"/>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0.75D</w:t>
            </w:r>
          </w:p>
        </w:tc>
        <w:tc>
          <w:tcPr>
            <w:tcW w:w="236" w:type="pct"/>
            <w:vMerge w:val="restar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0.5D</w:t>
            </w:r>
          </w:p>
        </w:tc>
        <w:tc>
          <w:tcPr>
            <w:tcW w:w="223" w:type="pct"/>
            <w:gridSpan w:val="2"/>
            <w:vMerge w:val="restar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0.4D</w:t>
            </w:r>
          </w:p>
        </w:tc>
        <w:tc>
          <w:tcPr>
            <w:tcW w:w="527" w:type="pct"/>
            <w:gridSpan w:val="3"/>
            <w:vMerge w:val="restar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0.4D</w:t>
            </w:r>
          </w:p>
        </w:tc>
        <w:tc>
          <w:tcPr>
            <w:tcW w:w="212" w:type="pct"/>
            <w:vMerge w:val="restar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w:t>
            </w:r>
            <w:r w:rsidRPr="00687B52">
              <w:rPr>
                <w:rFonts w:hAnsi="宋体" w:hint="eastAsia"/>
                <w:color w:val="000000" w:themeColor="text1"/>
                <w:sz w:val="18"/>
              </w:rPr>
              <w:t>0.8D</w:t>
            </w:r>
          </w:p>
        </w:tc>
        <w:tc>
          <w:tcPr>
            <w:tcW w:w="972" w:type="pct"/>
            <w:vMerge/>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vMerge/>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408" w:type="pct"/>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351" w:type="pct"/>
            <w:gridSpan w:val="2"/>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269"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V</w:t>
            </w:r>
            <w:r w:rsidRPr="00687B52">
              <w:rPr>
                <w:rFonts w:hAnsi="宋体" w:hint="eastAsia"/>
                <w:color w:val="000000" w:themeColor="text1"/>
                <w:sz w:val="18"/>
              </w:rPr>
              <w:t>＞</w:t>
            </w:r>
            <w:r w:rsidRPr="00687B52">
              <w:rPr>
                <w:rFonts w:hAnsi="宋体" w:hint="eastAsia"/>
                <w:color w:val="000000" w:themeColor="text1"/>
                <w:sz w:val="18"/>
              </w:rPr>
              <w:t>1000</w:t>
            </w:r>
          </w:p>
        </w:tc>
        <w:tc>
          <w:tcPr>
            <w:tcW w:w="249" w:type="pct"/>
            <w:gridSpan w:val="3"/>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0.6D</w:t>
            </w:r>
          </w:p>
        </w:tc>
        <w:tc>
          <w:tcPr>
            <w:tcW w:w="236" w:type="pct"/>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223" w:type="pct"/>
            <w:gridSpan w:val="2"/>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527" w:type="pct"/>
            <w:gridSpan w:val="3"/>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212" w:type="pct"/>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972" w:type="pct"/>
            <w:vMerge/>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vMerge/>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408" w:type="pc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丙类液体储罐</w:t>
            </w:r>
          </w:p>
        </w:tc>
        <w:tc>
          <w:tcPr>
            <w:tcW w:w="351" w:type="pct"/>
            <w:gridSpan w:val="2"/>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269"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不限</w:t>
            </w:r>
          </w:p>
        </w:tc>
        <w:tc>
          <w:tcPr>
            <w:tcW w:w="249" w:type="pct"/>
            <w:gridSpan w:val="3"/>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0.4D</w:t>
            </w:r>
          </w:p>
        </w:tc>
        <w:tc>
          <w:tcPr>
            <w:tcW w:w="236" w:type="pc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不限</w:t>
            </w:r>
          </w:p>
        </w:tc>
        <w:tc>
          <w:tcPr>
            <w:tcW w:w="223" w:type="pct"/>
            <w:gridSpan w:val="2"/>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不限</w:t>
            </w:r>
          </w:p>
        </w:tc>
        <w:tc>
          <w:tcPr>
            <w:tcW w:w="527" w:type="pct"/>
            <w:gridSpan w:val="3"/>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w:t>
            </w:r>
          </w:p>
        </w:tc>
        <w:tc>
          <w:tcPr>
            <w:tcW w:w="212" w:type="pct"/>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972" w:type="pct"/>
            <w:vMerge/>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vMerge/>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shd w:val="clear" w:color="auto" w:fill="auto"/>
            <w:vAlign w:val="center"/>
          </w:tcPr>
          <w:p w:rsidR="003E1D2A" w:rsidRPr="00687B52" w:rsidRDefault="00525E55"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1.1.10</w:t>
            </w:r>
          </w:p>
        </w:tc>
        <w:tc>
          <w:tcPr>
            <w:tcW w:w="2474" w:type="pct"/>
            <w:gridSpan w:val="15"/>
            <w:shd w:val="clear" w:color="auto" w:fill="auto"/>
            <w:vAlign w:val="center"/>
          </w:tcPr>
          <w:p w:rsidR="003E1D2A" w:rsidRPr="00687B52" w:rsidRDefault="003E1D2A" w:rsidP="003E1D2A">
            <w:pPr>
              <w:pStyle w:val="a7"/>
              <w:spacing w:line="300" w:lineRule="exact"/>
              <w:jc w:val="left"/>
              <w:rPr>
                <w:rFonts w:hAnsi="宋体"/>
                <w:color w:val="000000" w:themeColor="text1"/>
                <w:kern w:val="0"/>
              </w:rPr>
            </w:pPr>
            <w:r w:rsidRPr="00687B52">
              <w:rPr>
                <w:rFonts w:hAnsi="宋体" w:hint="eastAsia"/>
                <w:color w:val="000000" w:themeColor="text1"/>
                <w:kern w:val="0"/>
              </w:rPr>
              <w:t>甲、乙类液体储罐成组布置时，组内储罐储罐的单罐最大</w:t>
            </w:r>
            <w:r w:rsidRPr="00687B52">
              <w:rPr>
                <w:rFonts w:hAnsi="宋体" w:hint="eastAsia"/>
                <w:color w:val="000000" w:themeColor="text1"/>
                <w:kern w:val="0"/>
              </w:rPr>
              <w:t>200m</w:t>
            </w:r>
            <w:r w:rsidRPr="00687B52">
              <w:rPr>
                <w:rFonts w:hAnsi="宋体" w:hint="eastAsia"/>
                <w:color w:val="000000" w:themeColor="text1"/>
                <w:kern w:val="0"/>
              </w:rPr>
              <w:t>³，一组罐最大容量为</w:t>
            </w:r>
            <w:r w:rsidRPr="00687B52">
              <w:rPr>
                <w:rFonts w:hAnsi="宋体" w:hint="eastAsia"/>
                <w:color w:val="000000" w:themeColor="text1"/>
                <w:kern w:val="0"/>
              </w:rPr>
              <w:t>1000m</w:t>
            </w:r>
            <w:r w:rsidRPr="00687B52">
              <w:rPr>
                <w:rFonts w:hAnsi="宋体" w:hint="eastAsia"/>
                <w:color w:val="000000" w:themeColor="text1"/>
                <w:kern w:val="0"/>
              </w:rPr>
              <w:t>³；丙类液体储罐成组布置时，组内储罐储罐的单罐最大</w:t>
            </w:r>
            <w:r w:rsidRPr="00687B52">
              <w:rPr>
                <w:rFonts w:hAnsi="宋体" w:hint="eastAsia"/>
                <w:color w:val="000000" w:themeColor="text1"/>
                <w:kern w:val="0"/>
              </w:rPr>
              <w:t>500m</w:t>
            </w:r>
            <w:r w:rsidRPr="00687B52">
              <w:rPr>
                <w:rFonts w:hAnsi="宋体" w:hint="eastAsia"/>
                <w:color w:val="000000" w:themeColor="text1"/>
                <w:kern w:val="0"/>
              </w:rPr>
              <w:t>³，一组罐最大容量为</w:t>
            </w:r>
            <w:r w:rsidRPr="00687B52">
              <w:rPr>
                <w:rFonts w:hAnsi="宋体" w:hint="eastAsia"/>
                <w:color w:val="000000" w:themeColor="text1"/>
                <w:kern w:val="0"/>
              </w:rPr>
              <w:t>3000m</w:t>
            </w:r>
            <w:r w:rsidRPr="00687B52">
              <w:rPr>
                <w:rFonts w:hAnsi="宋体" w:hint="eastAsia"/>
                <w:color w:val="000000" w:themeColor="text1"/>
                <w:kern w:val="0"/>
              </w:rPr>
              <w:t>³。</w:t>
            </w:r>
          </w:p>
          <w:p w:rsidR="003E1D2A" w:rsidRPr="00687B52" w:rsidRDefault="003E1D2A" w:rsidP="003E1D2A">
            <w:pPr>
              <w:pStyle w:val="a7"/>
              <w:spacing w:line="300" w:lineRule="exact"/>
              <w:jc w:val="left"/>
              <w:rPr>
                <w:rFonts w:hAnsi="宋体"/>
                <w:color w:val="000000" w:themeColor="text1"/>
                <w:kern w:val="0"/>
              </w:rPr>
            </w:pPr>
            <w:r w:rsidRPr="00687B52">
              <w:rPr>
                <w:rFonts w:hAnsi="宋体" w:hint="eastAsia"/>
                <w:color w:val="000000" w:themeColor="text1"/>
                <w:kern w:val="0"/>
              </w:rPr>
              <w:t>组内储罐的布置不应超过两排。甲、乙类液体立式储罐之间的防火间距不应小于</w:t>
            </w:r>
            <w:r w:rsidRPr="00687B52">
              <w:rPr>
                <w:rFonts w:hAnsi="宋体" w:hint="eastAsia"/>
                <w:color w:val="000000" w:themeColor="text1"/>
                <w:kern w:val="0"/>
              </w:rPr>
              <w:t>2m</w:t>
            </w:r>
            <w:r w:rsidRPr="00687B52">
              <w:rPr>
                <w:rFonts w:hAnsi="宋体" w:hint="eastAsia"/>
                <w:color w:val="000000" w:themeColor="text1"/>
                <w:kern w:val="0"/>
              </w:rPr>
              <w:t>，卧式储罐之间的防火间距不应小于</w:t>
            </w:r>
            <w:r w:rsidRPr="00687B52">
              <w:rPr>
                <w:rFonts w:hAnsi="宋体" w:hint="eastAsia"/>
                <w:color w:val="000000" w:themeColor="text1"/>
                <w:kern w:val="0"/>
              </w:rPr>
              <w:t>0.8m</w:t>
            </w:r>
            <w:r w:rsidRPr="00687B52">
              <w:rPr>
                <w:rFonts w:hAnsi="宋体" w:hint="eastAsia"/>
                <w:color w:val="000000" w:themeColor="text1"/>
                <w:kern w:val="0"/>
              </w:rPr>
              <w:t>；丙类液体储罐之间的防火间距不限。</w:t>
            </w:r>
          </w:p>
        </w:tc>
        <w:tc>
          <w:tcPr>
            <w:tcW w:w="972" w:type="pct"/>
            <w:shd w:val="clear" w:color="auto" w:fill="auto"/>
            <w:vAlign w:val="center"/>
          </w:tcPr>
          <w:p w:rsidR="003E1D2A" w:rsidRPr="00687B52" w:rsidRDefault="003E1D2A" w:rsidP="003E1D2A">
            <w:pPr>
              <w:pStyle w:val="a7"/>
              <w:spacing w:line="300" w:lineRule="exact"/>
              <w:rPr>
                <w:rFonts w:hAnsi="宋体"/>
                <w:color w:val="000000" w:themeColor="text1"/>
                <w:kern w:val="0"/>
              </w:rPr>
            </w:pPr>
            <w:r w:rsidRPr="00687B52">
              <w:rPr>
                <w:rFonts w:hAnsi="宋体" w:hint="eastAsia"/>
                <w:color w:val="000000" w:themeColor="text1"/>
                <w:kern w:val="0"/>
              </w:rPr>
              <w:t>《建筑设计防火规范》</w:t>
            </w:r>
            <w:r w:rsidRPr="00687B52">
              <w:rPr>
                <w:rFonts w:hAnsi="宋体" w:hint="eastAsia"/>
                <w:color w:val="000000" w:themeColor="text1"/>
                <w:kern w:val="0"/>
              </w:rPr>
              <w:t>GB50016-2014</w:t>
            </w:r>
          </w:p>
          <w:p w:rsidR="003E1D2A" w:rsidRPr="00687B52" w:rsidRDefault="003E1D2A" w:rsidP="003E1D2A">
            <w:pPr>
              <w:pStyle w:val="a7"/>
              <w:spacing w:line="300" w:lineRule="exact"/>
              <w:rPr>
                <w:rFonts w:hAnsi="宋体"/>
                <w:color w:val="000000" w:themeColor="text1"/>
                <w:kern w:val="0"/>
              </w:rPr>
            </w:pPr>
            <w:r w:rsidRPr="00687B52">
              <w:rPr>
                <w:rFonts w:hAnsi="宋体" w:hint="eastAsia"/>
                <w:color w:val="000000" w:themeColor="text1"/>
                <w:kern w:val="0"/>
              </w:rPr>
              <w:t>第</w:t>
            </w:r>
            <w:r w:rsidRPr="00687B52">
              <w:rPr>
                <w:rFonts w:hAnsi="宋体" w:hint="eastAsia"/>
                <w:color w:val="000000" w:themeColor="text1"/>
                <w:kern w:val="0"/>
              </w:rPr>
              <w:t>4.2.3</w:t>
            </w:r>
            <w:r w:rsidRPr="00687B52">
              <w:rPr>
                <w:rFonts w:hAnsi="宋体" w:hint="eastAsia"/>
                <w:color w:val="000000" w:themeColor="text1"/>
                <w:kern w:val="0"/>
              </w:rPr>
              <w:t>条</w:t>
            </w:r>
          </w:p>
        </w:tc>
        <w:tc>
          <w:tcPr>
            <w:tcW w:w="1144" w:type="pct"/>
            <w:shd w:val="clear" w:color="auto" w:fill="auto"/>
            <w:vAlign w:val="center"/>
          </w:tcPr>
          <w:p w:rsidR="003E1D2A" w:rsidRPr="00687B52" w:rsidRDefault="003E1D2A" w:rsidP="003E1D2A">
            <w:pPr>
              <w:spacing w:line="300" w:lineRule="exact"/>
              <w:rPr>
                <w:rFonts w:hAnsi="宋体"/>
                <w:color w:val="000000" w:themeColor="text1"/>
                <w:kern w:val="0"/>
                <w:sz w:val="24"/>
                <w:szCs w:val="24"/>
              </w:rPr>
            </w:pPr>
            <w:r w:rsidRPr="00687B52">
              <w:rPr>
                <w:rFonts w:hAnsi="宋体" w:hint="eastAsia"/>
                <w:color w:val="000000" w:themeColor="text1"/>
                <w:kern w:val="0"/>
                <w:sz w:val="24"/>
                <w:szCs w:val="24"/>
              </w:rPr>
              <w:t>说明甲、乙、丙类储罐单罐容量和组内容量，说明储罐之间的最近间距。</w:t>
            </w:r>
          </w:p>
        </w:tc>
      </w:tr>
      <w:tr w:rsidR="003E1D2A" w:rsidRPr="00687B52" w:rsidTr="00E640A6">
        <w:tc>
          <w:tcPr>
            <w:tcW w:w="409" w:type="pct"/>
            <w:shd w:val="clear" w:color="auto" w:fill="auto"/>
            <w:vAlign w:val="center"/>
          </w:tcPr>
          <w:p w:rsidR="003E1D2A" w:rsidRPr="00687B52" w:rsidRDefault="00525E55"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1.1.11</w:t>
            </w:r>
          </w:p>
        </w:tc>
        <w:tc>
          <w:tcPr>
            <w:tcW w:w="2474" w:type="pct"/>
            <w:gridSpan w:val="15"/>
            <w:shd w:val="clear" w:color="auto" w:fill="auto"/>
            <w:vAlign w:val="center"/>
          </w:tcPr>
          <w:p w:rsidR="003E1D2A" w:rsidRPr="00687B52" w:rsidRDefault="003E1D2A" w:rsidP="003E1D2A">
            <w:pPr>
              <w:pStyle w:val="a7"/>
              <w:spacing w:line="300" w:lineRule="exact"/>
              <w:jc w:val="left"/>
              <w:rPr>
                <w:rFonts w:hAnsi="宋体"/>
                <w:color w:val="000000" w:themeColor="text1"/>
                <w:kern w:val="0"/>
              </w:rPr>
            </w:pPr>
            <w:r w:rsidRPr="00687B52">
              <w:rPr>
                <w:rFonts w:hAnsi="宋体" w:hint="eastAsia"/>
                <w:color w:val="000000" w:themeColor="text1"/>
                <w:kern w:val="0"/>
              </w:rPr>
              <w:t>甲、乙、丙类液体的地上式、半地下式储罐或储罐组，其四周应设置不燃性防火堤。防火堤内侧基脚线至卧式储罐的水平距离不应小于</w:t>
            </w:r>
            <w:r w:rsidRPr="00687B52">
              <w:rPr>
                <w:rFonts w:hAnsi="宋体" w:hint="eastAsia"/>
                <w:color w:val="000000" w:themeColor="text1"/>
                <w:kern w:val="0"/>
              </w:rPr>
              <w:t>3m</w:t>
            </w:r>
            <w:r w:rsidRPr="00687B52">
              <w:rPr>
                <w:rFonts w:hAnsi="宋体" w:hint="eastAsia"/>
                <w:color w:val="000000" w:themeColor="text1"/>
                <w:kern w:val="0"/>
              </w:rPr>
              <w:t>。</w:t>
            </w:r>
          </w:p>
        </w:tc>
        <w:tc>
          <w:tcPr>
            <w:tcW w:w="972" w:type="pct"/>
            <w:shd w:val="clear" w:color="auto" w:fill="auto"/>
            <w:vAlign w:val="center"/>
          </w:tcPr>
          <w:p w:rsidR="003E1D2A" w:rsidRPr="00687B52" w:rsidRDefault="003E1D2A" w:rsidP="003E1D2A">
            <w:pPr>
              <w:pStyle w:val="a7"/>
              <w:spacing w:line="300" w:lineRule="exact"/>
              <w:rPr>
                <w:rFonts w:hAnsi="宋体"/>
                <w:color w:val="000000" w:themeColor="text1"/>
                <w:kern w:val="0"/>
              </w:rPr>
            </w:pPr>
            <w:r w:rsidRPr="00687B52">
              <w:rPr>
                <w:rFonts w:hAnsi="宋体" w:hint="eastAsia"/>
                <w:color w:val="000000" w:themeColor="text1"/>
                <w:kern w:val="0"/>
              </w:rPr>
              <w:t>《建筑设计防火规范》</w:t>
            </w:r>
            <w:r w:rsidRPr="00687B52">
              <w:rPr>
                <w:rFonts w:hAnsi="宋体" w:hint="eastAsia"/>
                <w:color w:val="000000" w:themeColor="text1"/>
                <w:kern w:val="0"/>
              </w:rPr>
              <w:t>GB50016-2014</w:t>
            </w:r>
          </w:p>
          <w:p w:rsidR="003E1D2A" w:rsidRPr="00687B52" w:rsidRDefault="003E1D2A" w:rsidP="003E1D2A">
            <w:pPr>
              <w:pStyle w:val="a7"/>
              <w:spacing w:line="300" w:lineRule="exact"/>
              <w:rPr>
                <w:rFonts w:hAnsi="宋体"/>
                <w:color w:val="000000" w:themeColor="text1"/>
                <w:kern w:val="0"/>
              </w:rPr>
            </w:pPr>
            <w:r w:rsidRPr="00687B52">
              <w:rPr>
                <w:rFonts w:hAnsi="宋体" w:hint="eastAsia"/>
                <w:color w:val="000000" w:themeColor="text1"/>
                <w:kern w:val="0"/>
              </w:rPr>
              <w:t>第</w:t>
            </w:r>
            <w:r w:rsidRPr="00687B52">
              <w:rPr>
                <w:rFonts w:hAnsi="宋体" w:hint="eastAsia"/>
                <w:color w:val="000000" w:themeColor="text1"/>
                <w:kern w:val="0"/>
              </w:rPr>
              <w:t>4.2.5</w:t>
            </w:r>
            <w:r w:rsidRPr="00687B52">
              <w:rPr>
                <w:rFonts w:hAnsi="宋体" w:hint="eastAsia"/>
                <w:color w:val="000000" w:themeColor="text1"/>
                <w:kern w:val="0"/>
              </w:rPr>
              <w:t>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vMerge w:val="restart"/>
            <w:shd w:val="clear" w:color="auto" w:fill="auto"/>
            <w:vAlign w:val="center"/>
          </w:tcPr>
          <w:p w:rsidR="003E1D2A" w:rsidRPr="00687B52" w:rsidRDefault="00525E55"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1.1.12</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甲、乙、丙类液体储罐与其泵房、装卸鹤管的防火间距不应小于</w:t>
            </w:r>
            <w:r w:rsidRPr="00687B52">
              <w:rPr>
                <w:color w:val="000000" w:themeColor="text1"/>
              </w:rPr>
              <w:t>GB50016-20</w:t>
            </w:r>
            <w:r w:rsidRPr="00687B52">
              <w:rPr>
                <w:rFonts w:hint="eastAsia"/>
                <w:color w:val="000000" w:themeColor="text1"/>
              </w:rPr>
              <w:t>14</w:t>
            </w:r>
            <w:r w:rsidRPr="00687B52">
              <w:rPr>
                <w:rFonts w:hint="eastAsia"/>
                <w:color w:val="000000" w:themeColor="text1"/>
              </w:rPr>
              <w:t>第</w:t>
            </w:r>
            <w:r w:rsidRPr="00687B52">
              <w:rPr>
                <w:rFonts w:hint="eastAsia"/>
                <w:color w:val="000000" w:themeColor="text1"/>
              </w:rPr>
              <w:t>4.2.7</w:t>
            </w:r>
            <w:r w:rsidRPr="00687B52">
              <w:rPr>
                <w:rFonts w:hAnsi="宋体"/>
                <w:color w:val="000000" w:themeColor="text1"/>
              </w:rPr>
              <w:t>的规定</w:t>
            </w:r>
            <w:r w:rsidRPr="00687B52">
              <w:rPr>
                <w:rFonts w:hAnsi="宋体" w:hint="eastAsia"/>
                <w:color w:val="000000" w:themeColor="text1"/>
              </w:rPr>
              <w:t>：</w:t>
            </w:r>
          </w:p>
        </w:tc>
        <w:tc>
          <w:tcPr>
            <w:tcW w:w="972" w:type="pct"/>
            <w:vMerge w:val="restar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 GB50016-2014</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第4.2.7条</w:t>
            </w:r>
          </w:p>
        </w:tc>
        <w:tc>
          <w:tcPr>
            <w:tcW w:w="1144" w:type="pct"/>
            <w:vMerge w:val="restart"/>
            <w:shd w:val="clear" w:color="auto" w:fill="auto"/>
            <w:vAlign w:val="center"/>
          </w:tcPr>
          <w:p w:rsidR="003E1D2A" w:rsidRPr="00687B52" w:rsidRDefault="003E1D2A" w:rsidP="003E1D2A">
            <w:pPr>
              <w:pStyle w:val="a7"/>
              <w:spacing w:line="300" w:lineRule="exact"/>
              <w:jc w:val="both"/>
              <w:rPr>
                <w:rFonts w:hAnsi="宋体"/>
                <w:color w:val="000000" w:themeColor="text1"/>
                <w:kern w:val="0"/>
                <w:szCs w:val="24"/>
              </w:rPr>
            </w:pPr>
          </w:p>
        </w:tc>
      </w:tr>
      <w:tr w:rsidR="003E1D2A" w:rsidRPr="00687B52" w:rsidTr="00EA53E4">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1160" w:type="pct"/>
            <w:gridSpan w:val="7"/>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液体类别和储罐形式</w:t>
            </w:r>
          </w:p>
        </w:tc>
        <w:tc>
          <w:tcPr>
            <w:tcW w:w="576" w:type="pct"/>
            <w:gridSpan w:val="4"/>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泵房</w:t>
            </w:r>
          </w:p>
        </w:tc>
        <w:tc>
          <w:tcPr>
            <w:tcW w:w="739" w:type="pct"/>
            <w:gridSpan w:val="4"/>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铁路或汽车装卸鹤管</w:t>
            </w:r>
          </w:p>
        </w:tc>
        <w:tc>
          <w:tcPr>
            <w:tcW w:w="972" w:type="pct"/>
            <w:vMerge/>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vMerge/>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A53E4">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759" w:type="pct"/>
            <w:gridSpan w:val="3"/>
            <w:vMerge w:val="restart"/>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甲、乙类液体储罐</w:t>
            </w:r>
          </w:p>
        </w:tc>
        <w:tc>
          <w:tcPr>
            <w:tcW w:w="401" w:type="pct"/>
            <w:gridSpan w:val="4"/>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拱顶罐</w:t>
            </w:r>
          </w:p>
        </w:tc>
        <w:tc>
          <w:tcPr>
            <w:tcW w:w="576" w:type="pct"/>
            <w:gridSpan w:val="4"/>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15</w:t>
            </w:r>
          </w:p>
        </w:tc>
        <w:tc>
          <w:tcPr>
            <w:tcW w:w="739" w:type="pct"/>
            <w:gridSpan w:val="4"/>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20</w:t>
            </w:r>
          </w:p>
        </w:tc>
        <w:tc>
          <w:tcPr>
            <w:tcW w:w="972" w:type="pct"/>
            <w:vMerge/>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vMerge/>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A53E4">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759" w:type="pct"/>
            <w:gridSpan w:val="3"/>
            <w:vMerge/>
            <w:shd w:val="clear" w:color="auto" w:fill="auto"/>
            <w:vAlign w:val="center"/>
          </w:tcPr>
          <w:p w:rsidR="003E1D2A" w:rsidRPr="00687B52" w:rsidRDefault="003E1D2A" w:rsidP="003E1D2A">
            <w:pPr>
              <w:pStyle w:val="a7"/>
              <w:spacing w:line="300" w:lineRule="exact"/>
              <w:rPr>
                <w:rFonts w:hAnsi="宋体"/>
                <w:color w:val="000000" w:themeColor="text1"/>
                <w:sz w:val="18"/>
              </w:rPr>
            </w:pPr>
          </w:p>
        </w:tc>
        <w:tc>
          <w:tcPr>
            <w:tcW w:w="401" w:type="pct"/>
            <w:gridSpan w:val="4"/>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浮顶罐</w:t>
            </w:r>
          </w:p>
        </w:tc>
        <w:tc>
          <w:tcPr>
            <w:tcW w:w="576" w:type="pct"/>
            <w:gridSpan w:val="4"/>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12</w:t>
            </w:r>
          </w:p>
        </w:tc>
        <w:tc>
          <w:tcPr>
            <w:tcW w:w="739" w:type="pct"/>
            <w:gridSpan w:val="4"/>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15</w:t>
            </w:r>
          </w:p>
        </w:tc>
        <w:tc>
          <w:tcPr>
            <w:tcW w:w="972" w:type="pct"/>
            <w:vMerge/>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vMerge/>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A53E4">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1160" w:type="pct"/>
            <w:gridSpan w:val="7"/>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丙类液体储罐</w:t>
            </w:r>
          </w:p>
        </w:tc>
        <w:tc>
          <w:tcPr>
            <w:tcW w:w="576" w:type="pct"/>
            <w:gridSpan w:val="4"/>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10</w:t>
            </w:r>
          </w:p>
        </w:tc>
        <w:tc>
          <w:tcPr>
            <w:tcW w:w="739" w:type="pct"/>
            <w:gridSpan w:val="4"/>
            <w:shd w:val="clear" w:color="auto" w:fill="auto"/>
            <w:vAlign w:val="center"/>
          </w:tcPr>
          <w:p w:rsidR="003E1D2A" w:rsidRPr="00687B52" w:rsidRDefault="003E1D2A" w:rsidP="003E1D2A">
            <w:pPr>
              <w:pStyle w:val="a7"/>
              <w:spacing w:line="300" w:lineRule="exact"/>
              <w:rPr>
                <w:rFonts w:hAnsi="宋体"/>
                <w:color w:val="000000" w:themeColor="text1"/>
                <w:sz w:val="18"/>
              </w:rPr>
            </w:pPr>
            <w:r w:rsidRPr="00687B52">
              <w:rPr>
                <w:rFonts w:hAnsi="宋体" w:hint="eastAsia"/>
                <w:color w:val="000000" w:themeColor="text1"/>
                <w:sz w:val="18"/>
              </w:rPr>
              <w:t>12</w:t>
            </w:r>
          </w:p>
        </w:tc>
        <w:tc>
          <w:tcPr>
            <w:tcW w:w="972" w:type="pct"/>
            <w:vMerge/>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vMerge/>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525E55"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1.1.13</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当甲、乙生产装置的明火加热炉与该生产装置组成同开同停的联合装置时，该甲、乙类生产装置的厂房面向明火加热炉一面为封闭的非燃烧材料实体墙时，加热炉与厂房的防火间距不应小于15m。</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 5204-2008第4.3.5条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shd w:val="clear" w:color="auto" w:fill="auto"/>
            <w:vAlign w:val="center"/>
          </w:tcPr>
          <w:p w:rsidR="003E1D2A" w:rsidRPr="00687B52" w:rsidRDefault="00525E55"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1.1.14</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电热媒炉（包括电锅炉房）可布置在装置边缘的同一建筑物内，应用非燃烧材料的实体防护墙隔离。</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 5204-2008第4.3.6条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说明电热媒炉（包括电锅炉房）是否采用非燃烧材料的实体防护墙隔离。</w:t>
            </w:r>
          </w:p>
        </w:tc>
      </w:tr>
      <w:tr w:rsidR="003E1D2A" w:rsidRPr="00687B52" w:rsidTr="00E640A6">
        <w:tc>
          <w:tcPr>
            <w:tcW w:w="409" w:type="pct"/>
            <w:shd w:val="clear" w:color="auto" w:fill="auto"/>
            <w:vAlign w:val="center"/>
          </w:tcPr>
          <w:p w:rsidR="003E1D2A" w:rsidRPr="00687B52" w:rsidRDefault="00525E55"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1.1.15</w:t>
            </w:r>
          </w:p>
        </w:tc>
        <w:tc>
          <w:tcPr>
            <w:tcW w:w="2474" w:type="pct"/>
            <w:gridSpan w:val="15"/>
            <w:shd w:val="clear" w:color="auto" w:fill="auto"/>
            <w:vAlign w:val="center"/>
          </w:tcPr>
          <w:p w:rsidR="003E1D2A" w:rsidRPr="00687B52" w:rsidRDefault="003E1D2A" w:rsidP="003E1D2A">
            <w:pPr>
              <w:spacing w:line="30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污水处理场宜位于厂区边缘或厂区外的单独地段，且地势及地下水位较低处，并宜布置在全年最小频率风向的上风侧，同时应避免其对周围环境的影响。</w:t>
            </w:r>
          </w:p>
        </w:tc>
        <w:tc>
          <w:tcPr>
            <w:tcW w:w="972" w:type="pct"/>
            <w:shd w:val="clear" w:color="auto" w:fill="auto"/>
            <w:vAlign w:val="center"/>
          </w:tcPr>
          <w:p w:rsidR="003E1D2A" w:rsidRPr="00687B52" w:rsidRDefault="003E1D2A" w:rsidP="003E1D2A">
            <w:pPr>
              <w:spacing w:line="300" w:lineRule="exact"/>
              <w:jc w:val="center"/>
              <w:rPr>
                <w:rFonts w:asciiTheme="minorEastAsia" w:hAnsiTheme="minorEastAsia" w:cs="Arial"/>
                <w:color w:val="000000" w:themeColor="text1"/>
                <w:sz w:val="24"/>
                <w:szCs w:val="24"/>
              </w:rPr>
            </w:pPr>
            <w:r w:rsidRPr="00687B52">
              <w:rPr>
                <w:rFonts w:asciiTheme="minorEastAsia" w:hAnsiTheme="minorEastAsia" w:cs="Arial"/>
                <w:color w:val="000000" w:themeColor="text1"/>
                <w:sz w:val="24"/>
                <w:szCs w:val="24"/>
              </w:rPr>
              <w:t>《</w:t>
            </w:r>
            <w:r w:rsidRPr="00687B52">
              <w:rPr>
                <w:rFonts w:asciiTheme="minorEastAsia" w:hAnsiTheme="minorEastAsia" w:cs="Arial" w:hint="eastAsia"/>
                <w:color w:val="000000" w:themeColor="text1"/>
                <w:sz w:val="24"/>
                <w:szCs w:val="24"/>
              </w:rPr>
              <w:t>化工企业总图运输设计规范</w:t>
            </w:r>
            <w:r w:rsidRPr="00687B52">
              <w:rPr>
                <w:rFonts w:asciiTheme="minorEastAsia" w:hAnsiTheme="minorEastAsia" w:cs="Arial"/>
                <w:color w:val="000000" w:themeColor="text1"/>
                <w:sz w:val="24"/>
                <w:szCs w:val="24"/>
              </w:rPr>
              <w:t>》GB50</w:t>
            </w:r>
            <w:r w:rsidRPr="00687B52">
              <w:rPr>
                <w:rFonts w:asciiTheme="minorEastAsia" w:hAnsiTheme="minorEastAsia" w:cs="Arial" w:hint="eastAsia"/>
                <w:color w:val="000000" w:themeColor="text1"/>
                <w:sz w:val="24"/>
                <w:szCs w:val="24"/>
              </w:rPr>
              <w:t>489</w:t>
            </w:r>
            <w:r w:rsidRPr="00687B52">
              <w:rPr>
                <w:rFonts w:asciiTheme="minorEastAsia" w:hAnsiTheme="minorEastAsia" w:cs="Arial"/>
                <w:color w:val="000000" w:themeColor="text1"/>
                <w:sz w:val="24"/>
                <w:szCs w:val="24"/>
              </w:rPr>
              <w:t>-200</w:t>
            </w:r>
            <w:r w:rsidRPr="00687B52">
              <w:rPr>
                <w:rFonts w:asciiTheme="minorEastAsia" w:hAnsiTheme="minorEastAsia" w:cs="Arial" w:hint="eastAsia"/>
                <w:color w:val="000000" w:themeColor="text1"/>
                <w:sz w:val="24"/>
                <w:szCs w:val="24"/>
              </w:rPr>
              <w:t>9</w:t>
            </w:r>
          </w:p>
          <w:p w:rsidR="003E1D2A" w:rsidRPr="00687B52" w:rsidRDefault="003E1D2A" w:rsidP="003E1D2A">
            <w:pPr>
              <w:spacing w:line="300" w:lineRule="exact"/>
              <w:jc w:val="center"/>
              <w:rPr>
                <w:rFonts w:asciiTheme="minorEastAsia" w:hAnsiTheme="minorEastAsia" w:cs="Arial"/>
                <w:color w:val="000000" w:themeColor="text1"/>
                <w:sz w:val="24"/>
                <w:szCs w:val="24"/>
              </w:rPr>
            </w:pPr>
            <w:r w:rsidRPr="00687B52">
              <w:rPr>
                <w:rFonts w:asciiTheme="minorEastAsia" w:hAnsiTheme="minorEastAsia" w:cs="Arial"/>
                <w:color w:val="000000" w:themeColor="text1"/>
                <w:sz w:val="24"/>
                <w:szCs w:val="24"/>
              </w:rPr>
              <w:t>第</w:t>
            </w:r>
            <w:r w:rsidRPr="00687B52">
              <w:rPr>
                <w:rFonts w:asciiTheme="minorEastAsia" w:hAnsiTheme="minorEastAsia" w:cs="Arial" w:hint="eastAsia"/>
                <w:color w:val="000000" w:themeColor="text1"/>
                <w:sz w:val="24"/>
                <w:szCs w:val="24"/>
              </w:rPr>
              <w:t>5</w:t>
            </w:r>
            <w:r w:rsidRPr="00687B52">
              <w:rPr>
                <w:rFonts w:asciiTheme="minorEastAsia" w:hAnsiTheme="minorEastAsia" w:cs="Arial"/>
                <w:color w:val="000000" w:themeColor="text1"/>
                <w:sz w:val="24"/>
                <w:szCs w:val="24"/>
              </w:rPr>
              <w:t>.</w:t>
            </w:r>
            <w:r w:rsidRPr="00687B52">
              <w:rPr>
                <w:rFonts w:asciiTheme="minorEastAsia" w:hAnsiTheme="minorEastAsia" w:cs="Arial" w:hint="eastAsia"/>
                <w:color w:val="000000" w:themeColor="text1"/>
                <w:sz w:val="24"/>
                <w:szCs w:val="24"/>
              </w:rPr>
              <w:t>3</w:t>
            </w:r>
            <w:r w:rsidRPr="00687B52">
              <w:rPr>
                <w:rFonts w:asciiTheme="minorEastAsia" w:hAnsiTheme="minorEastAsia" w:cs="Arial"/>
                <w:color w:val="000000" w:themeColor="text1"/>
                <w:sz w:val="24"/>
                <w:szCs w:val="24"/>
              </w:rPr>
              <w:t>.</w:t>
            </w:r>
            <w:r w:rsidRPr="00687B52">
              <w:rPr>
                <w:rFonts w:asciiTheme="minorEastAsia" w:hAnsiTheme="minorEastAsia" w:cs="Arial" w:hint="eastAsia"/>
                <w:color w:val="000000" w:themeColor="text1"/>
                <w:sz w:val="24"/>
                <w:szCs w:val="24"/>
              </w:rPr>
              <w:t>16</w:t>
            </w:r>
            <w:r w:rsidRPr="00687B52">
              <w:rPr>
                <w:rFonts w:asciiTheme="minorEastAsia" w:hAnsiTheme="minorEastAsia" w:cs="Arial"/>
                <w:color w:val="000000" w:themeColor="text1"/>
                <w:sz w:val="24"/>
                <w:szCs w:val="24"/>
              </w:rPr>
              <w:t>条</w:t>
            </w:r>
          </w:p>
        </w:tc>
        <w:tc>
          <w:tcPr>
            <w:tcW w:w="1144" w:type="pct"/>
            <w:shd w:val="clear" w:color="auto" w:fill="auto"/>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525E55"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w:t>
            </w:r>
          </w:p>
        </w:tc>
        <w:tc>
          <w:tcPr>
            <w:tcW w:w="2474" w:type="pct"/>
            <w:gridSpan w:val="15"/>
            <w:shd w:val="clear" w:color="auto" w:fill="auto"/>
            <w:vAlign w:val="center"/>
          </w:tcPr>
          <w:p w:rsidR="003E1D2A" w:rsidRPr="00687B52" w:rsidRDefault="003E1D2A" w:rsidP="003E1D2A">
            <w:pPr>
              <w:pStyle w:val="a7"/>
              <w:spacing w:line="300" w:lineRule="exact"/>
              <w:jc w:val="left"/>
              <w:rPr>
                <w:rFonts w:hAnsi="宋体"/>
                <w:b/>
                <w:color w:val="000000" w:themeColor="text1"/>
                <w:kern w:val="0"/>
              </w:rPr>
            </w:pPr>
            <w:r w:rsidRPr="00687B52">
              <w:rPr>
                <w:rFonts w:hAnsi="宋体" w:hint="eastAsia"/>
                <w:b/>
                <w:color w:val="000000" w:themeColor="text1"/>
                <w:kern w:val="0"/>
              </w:rPr>
              <w:t>厂内建筑</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shd w:val="clear" w:color="auto" w:fill="auto"/>
            <w:vAlign w:val="center"/>
          </w:tcPr>
          <w:p w:rsidR="003E1D2A" w:rsidRPr="00687B52" w:rsidRDefault="003E1D2A" w:rsidP="003E1D2A">
            <w:pPr>
              <w:spacing w:line="300" w:lineRule="exact"/>
              <w:rPr>
                <w:rFonts w:hAnsi="宋体"/>
                <w:color w:val="000000" w:themeColor="text1"/>
                <w:kern w:val="0"/>
                <w:sz w:val="24"/>
                <w:szCs w:val="24"/>
              </w:rPr>
            </w:pPr>
          </w:p>
        </w:tc>
      </w:tr>
      <w:tr w:rsidR="003E1D2A" w:rsidRPr="00687B52" w:rsidTr="00E640A6">
        <w:tc>
          <w:tcPr>
            <w:tcW w:w="409" w:type="pct"/>
            <w:vMerge w:val="restar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1.2.1</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厂房的耐火等级</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生产类别                       厂房的耐火等级</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甲类                           一、二级</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乙类                           一、二级</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丙类                           一、二、三级</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《建筑设计防火规范》GB50016-2014第3.2.1条、第3.3.1条   </w:t>
            </w:r>
          </w:p>
        </w:tc>
        <w:tc>
          <w:tcPr>
            <w:tcW w:w="1144" w:type="pct"/>
            <w:vMerge w:val="restar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说明厂房的耐火等级。</w:t>
            </w:r>
          </w:p>
        </w:tc>
      </w:tr>
      <w:tr w:rsidR="003E1D2A" w:rsidRPr="00687B52" w:rsidTr="00E640A6">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高层厂房，甲、乙类厂房的耐火等级不应低于二级，建筑面积不大于300㎡的独立甲、乙类单层厂房可采用三级耐火等级。</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w:t>
            </w:r>
            <w:r w:rsidRPr="00687B52">
              <w:rPr>
                <w:rFonts w:asciiTheme="minorEastAsia" w:eastAsiaTheme="minorEastAsia" w:hAnsiTheme="minorEastAsia"/>
                <w:color w:val="000000" w:themeColor="text1"/>
                <w:szCs w:val="24"/>
              </w:rPr>
              <w:t>GB50016-20</w:t>
            </w:r>
            <w:r w:rsidRPr="00687B52">
              <w:rPr>
                <w:rFonts w:asciiTheme="minorEastAsia" w:eastAsiaTheme="minorEastAsia" w:hAnsiTheme="minorEastAsia" w:hint="eastAsia"/>
                <w:color w:val="000000" w:themeColor="text1"/>
                <w:szCs w:val="24"/>
              </w:rPr>
              <w:t>14</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3.2.2</w:t>
            </w:r>
            <w:r w:rsidRPr="00687B52">
              <w:rPr>
                <w:rFonts w:asciiTheme="minorEastAsia" w:eastAsiaTheme="minorEastAsia" w:hAnsiTheme="minorEastAsia"/>
                <w:color w:val="000000" w:themeColor="text1"/>
                <w:szCs w:val="24"/>
              </w:rPr>
              <w:t>条</w:t>
            </w:r>
          </w:p>
        </w:tc>
        <w:tc>
          <w:tcPr>
            <w:tcW w:w="1144" w:type="pct"/>
            <w:vMerge/>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单、多层丙类厂房和多层丁、戊类厂房的耐火等级不应低于三级。</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使用或产生丙类液体的厂房和有火花、赤热表面、明火的丁类厂房，其耐火等级均不应低于二级，当为建筑面积不大于500㎡的单层丙类厂房或建筑面积不大于1000㎡的单层丁类厂房时，可采用三级耐火等级的建筑。</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w:t>
            </w:r>
            <w:r w:rsidRPr="00687B52">
              <w:rPr>
                <w:rFonts w:asciiTheme="minorEastAsia" w:eastAsiaTheme="minorEastAsia" w:hAnsiTheme="minorEastAsia"/>
                <w:color w:val="000000" w:themeColor="text1"/>
                <w:szCs w:val="24"/>
              </w:rPr>
              <w:t>GB50016-20</w:t>
            </w:r>
            <w:r w:rsidRPr="00687B52">
              <w:rPr>
                <w:rFonts w:asciiTheme="minorEastAsia" w:eastAsiaTheme="minorEastAsia" w:hAnsiTheme="minorEastAsia" w:hint="eastAsia"/>
                <w:color w:val="000000" w:themeColor="text1"/>
                <w:szCs w:val="24"/>
              </w:rPr>
              <w:t>14</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3.2.3</w:t>
            </w:r>
            <w:r w:rsidRPr="00687B52">
              <w:rPr>
                <w:rFonts w:asciiTheme="minorEastAsia" w:eastAsiaTheme="minorEastAsia" w:hAnsiTheme="minorEastAsia"/>
                <w:color w:val="000000" w:themeColor="text1"/>
                <w:szCs w:val="24"/>
              </w:rPr>
              <w:t>条</w:t>
            </w:r>
          </w:p>
        </w:tc>
        <w:tc>
          <w:tcPr>
            <w:tcW w:w="1144" w:type="pct"/>
            <w:vMerge/>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1.2.2</w:t>
            </w:r>
          </w:p>
        </w:tc>
        <w:tc>
          <w:tcPr>
            <w:tcW w:w="2474" w:type="pct"/>
            <w:gridSpan w:val="15"/>
            <w:shd w:val="clear" w:color="auto" w:fill="auto"/>
            <w:vAlign w:val="center"/>
          </w:tcPr>
          <w:p w:rsidR="003E1D2A" w:rsidRPr="00687B52" w:rsidRDefault="00EA53E4"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高层厂房，甲、乙类厂房的耐火等级不应低于二级，建筑面积不大于300m</w:t>
            </w:r>
            <w:r w:rsidRPr="00687B52">
              <w:rPr>
                <w:rFonts w:asciiTheme="minorEastAsia" w:eastAsiaTheme="minorEastAsia" w:hAnsiTheme="minorEastAsia" w:hint="eastAsia"/>
                <w:color w:val="000000" w:themeColor="text1"/>
                <w:szCs w:val="24"/>
                <w:vertAlign w:val="superscript"/>
              </w:rPr>
              <w:t>2</w:t>
            </w:r>
            <w:r w:rsidRPr="00687B52">
              <w:rPr>
                <w:rFonts w:asciiTheme="minorEastAsia" w:eastAsiaTheme="minorEastAsia" w:hAnsiTheme="minorEastAsia" w:hint="eastAsia"/>
                <w:color w:val="000000" w:themeColor="text1"/>
                <w:szCs w:val="24"/>
              </w:rPr>
              <w:t>的独立甲、乙类单层厂房可采用三级耐火等级的建筑。</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3E1D2A" w:rsidRPr="00687B52" w:rsidRDefault="003E1D2A" w:rsidP="00EA53E4">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第3.2.2条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1.2.3</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高架仓库、高层仓库、甲类仓库、多层乙类仓库和储存可燃液体的多层丙类仓库，其耐火等级不应低于二级。</w:t>
            </w:r>
          </w:p>
          <w:p w:rsidR="003E1D2A" w:rsidRPr="00687B52" w:rsidRDefault="003E1D2A" w:rsidP="00EA53E4">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甲</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3E1D2A" w:rsidRPr="00687B52" w:rsidRDefault="003E1D2A" w:rsidP="00EA53E4">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3.2.7</w:t>
            </w:r>
            <w:r w:rsidRPr="00687B52">
              <w:rPr>
                <w:rFonts w:asciiTheme="minorEastAsia" w:eastAsiaTheme="minorEastAsia" w:hAnsiTheme="minorEastAsia"/>
                <w:color w:val="000000" w:themeColor="text1"/>
                <w:szCs w:val="24"/>
              </w:rPr>
              <w:t>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1.2.4</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厂房内设置中间仓库时</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应符合下列规定</w:t>
            </w:r>
            <w:r w:rsidRPr="00687B52">
              <w:rPr>
                <w:rFonts w:asciiTheme="minorEastAsia" w:eastAsiaTheme="minorEastAsia" w:hAnsiTheme="minorEastAsia" w:hint="eastAsia"/>
                <w:color w:val="000000" w:themeColor="text1"/>
                <w:szCs w:val="24"/>
              </w:rPr>
              <w:t>：1.</w:t>
            </w:r>
            <w:r w:rsidRPr="00687B52">
              <w:rPr>
                <w:rFonts w:asciiTheme="minorEastAsia" w:eastAsiaTheme="minorEastAsia" w:hAnsiTheme="minorEastAsia"/>
                <w:color w:val="000000" w:themeColor="text1"/>
                <w:szCs w:val="24"/>
              </w:rPr>
              <w:t>甲</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乙类中间仓库应靠外墙布置</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其储量不宜超过</w:t>
            </w:r>
            <w:r w:rsidRPr="00687B52">
              <w:rPr>
                <w:rFonts w:asciiTheme="minorEastAsia" w:eastAsiaTheme="minorEastAsia" w:hAnsiTheme="minorEastAsia" w:hint="eastAsia"/>
                <w:color w:val="000000" w:themeColor="text1"/>
                <w:szCs w:val="24"/>
              </w:rPr>
              <w:t>1昼夜的需要量；2.甲乙丙类中间仓库防火墙和耐火极限不低于1.5h的不燃性楼板与其他部位分隔。</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《建筑设计防火规范》GB50016- 2014</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3.3.6</w:t>
            </w:r>
            <w:r w:rsidRPr="00687B52">
              <w:rPr>
                <w:rFonts w:asciiTheme="minorEastAsia" w:eastAsiaTheme="minorEastAsia" w:hAnsiTheme="minorEastAsia"/>
                <w:color w:val="000000" w:themeColor="text1"/>
                <w:szCs w:val="24"/>
              </w:rPr>
              <w:t>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1.2.5</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有爆炸危险的厂房或厂房内有爆炸危险的部位应设置泄压设施。</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3E1D2A" w:rsidRPr="00687B52" w:rsidRDefault="003E1D2A" w:rsidP="00EA53E4">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w:t>
            </w:r>
            <w:r w:rsidRPr="00687B52">
              <w:rPr>
                <w:rFonts w:asciiTheme="minorEastAsia" w:eastAsiaTheme="minorEastAsia" w:hAnsiTheme="minorEastAsia"/>
                <w:color w:val="000000" w:themeColor="text1"/>
                <w:szCs w:val="24"/>
              </w:rPr>
              <w:t>3.6.</w:t>
            </w:r>
            <w:r w:rsidRPr="00687B52">
              <w:rPr>
                <w:rFonts w:asciiTheme="minorEastAsia" w:eastAsiaTheme="minorEastAsia" w:hAnsiTheme="minorEastAsia" w:hint="eastAsia"/>
                <w:color w:val="000000" w:themeColor="text1"/>
                <w:szCs w:val="24"/>
              </w:rPr>
              <w:t>2条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说明有爆炸危险的厂房的泄压设施。</w:t>
            </w: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1.2.6</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散发比空气重的可燃气体、可燃蒸气的甲类厂房以及有粉尘、纤维爆炸危险的乙类厂房，应符合下列规定：</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应采用不发火的地面。采用绝缘材料作整体面层时，应采取防静电措施。</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散发可燃粉尘、纤维的厂房，其内表面应平整、光滑，并易于清扫。</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厂房内不宜设置地沟，确需设置时，其盖板应严密。地沟应采取防止可燃气体、可燃蒸气和粉尘、纤维在地沟积聚的有效措施，且应再与相邻厂房相连通处采用防火材料密封。</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使用和生产甲、乙、丙类液体的厂房内的管、沟不应于相邻厂房的管、沟相通，该厂房的下水道应设置隔油设施。</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《建筑设计防火规范》GB50016-2014 </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第3.6.6条</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 5204-2008第4.3.8条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说明是否采用不发火、防静电的地面。</w:t>
            </w:r>
          </w:p>
          <w:p w:rsidR="003E1D2A" w:rsidRPr="00687B52" w:rsidRDefault="003E1D2A"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说明厂房下水道是否设置隔油设施。</w:t>
            </w: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1.2.7</w:t>
            </w:r>
          </w:p>
        </w:tc>
        <w:tc>
          <w:tcPr>
            <w:tcW w:w="2474" w:type="pct"/>
            <w:gridSpan w:val="15"/>
            <w:shd w:val="clear" w:color="auto" w:fill="auto"/>
            <w:vAlign w:val="center"/>
          </w:tcPr>
          <w:p w:rsidR="003E1D2A" w:rsidRPr="00687B52" w:rsidRDefault="003E1D2A" w:rsidP="00D9787F">
            <w:pPr>
              <w:pStyle w:val="a7"/>
              <w:numPr>
                <w:ilvl w:val="0"/>
                <w:numId w:val="78"/>
              </w:numPr>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乙类厂房内不应设置办公室、休息室的规定：</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有爆炸危险的甲、乙类厂房宜独立设置。厂房内部应设置员工宿舍。办公室、休息室等不应设置在甲、乙类厂房内。当必须与本厂房贴邻设置时，其耐火等级不应低于二级，并应采用耐火极限不低于3.00h的非燃烧体防爆墙与厂房分隔，且应设置独立的安全出口。</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 5204-2008第4.3.4条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说明甲、乙类厂房内员工宿舍、办公室、休息室等设置情况。</w:t>
            </w: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1.2.8</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当专用控制室、中控化验室必须与设有合成树脂（或涂料研磨或调漆等）甲、乙类生产设备的房间布置在同一建筑物内时，应用防火墙隔开，设置独立的安全出口，防火墙的耐火等级应为一级。</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 5204-2008第4.3.7条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说明专用控制室、中控化验室的设置情况。</w:t>
            </w: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1.2.9</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预分散（拌合）岗位应临近分散（研磨）、调漆等岗位独立布置，且宜在厂房一端，靠近厂内道路布置。</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《涂料生产企业职业健康技术规范》AQ4254-2015</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第4.2.3.7条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说明预分散（拌合）岗位在厂房内的布置情况。</w:t>
            </w: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1.2.10</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变、配电所不应设在有爆炸危险的甲、乙类厂房内或贴邻建造，且不应设置在爆炸性气体、粉尘环境的危险区域内。</w:t>
            </w:r>
            <w:r w:rsidRPr="00687B52">
              <w:rPr>
                <w:rFonts w:asciiTheme="minorEastAsia" w:eastAsiaTheme="minorEastAsia" w:hAnsiTheme="minorEastAsia"/>
                <w:color w:val="000000" w:themeColor="text1"/>
                <w:szCs w:val="24"/>
              </w:rPr>
              <w:t>供甲、乙类厂房专用的10kV 及以下的变、配电所，当采用无门窗洞口的防火墙隔开时，可一面贴邻建造，并应符合现行国家标准《爆炸和火灾危险环境电力装置设计规范》GB 50058 等规范的有关规定。</w:t>
            </w:r>
          </w:p>
          <w:p w:rsidR="003E1D2A" w:rsidRPr="00687B52" w:rsidRDefault="003E1D2A" w:rsidP="003E1D2A">
            <w:pPr>
              <w:pStyle w:val="a7"/>
              <w:spacing w:line="300" w:lineRule="exact"/>
              <w:jc w:val="left"/>
              <w:rPr>
                <w:rFonts w:ascii="宋体" w:hAnsi="宋体"/>
                <w:color w:val="000000" w:themeColor="text1"/>
              </w:rPr>
            </w:pPr>
            <w:r w:rsidRPr="00687B52">
              <w:rPr>
                <w:rFonts w:asciiTheme="minorEastAsia" w:eastAsiaTheme="minorEastAsia" w:hAnsiTheme="minorEastAsia"/>
                <w:color w:val="000000" w:themeColor="text1"/>
                <w:szCs w:val="24"/>
              </w:rPr>
              <w:t>乙类厂房的配电所必须在防火墙上开窗时，应设置密封固定的甲级防火窗。</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3E1D2A" w:rsidRPr="00687B52" w:rsidRDefault="003E1D2A" w:rsidP="003E1D2A">
            <w:pPr>
              <w:pStyle w:val="a7"/>
              <w:spacing w:line="300" w:lineRule="exact"/>
              <w:rPr>
                <w:rFonts w:ascii="宋体" w:hAnsi="宋体"/>
                <w:color w:val="000000" w:themeColor="text1"/>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3.3.8</w:t>
            </w:r>
            <w:r w:rsidRPr="00687B52">
              <w:rPr>
                <w:rFonts w:asciiTheme="minorEastAsia" w:eastAsiaTheme="minorEastAsia" w:hAnsiTheme="minorEastAsia"/>
                <w:color w:val="000000" w:themeColor="text1"/>
                <w:szCs w:val="24"/>
              </w:rPr>
              <w:t>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说明变、配电所的设置情况。</w:t>
            </w: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1.2.11</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有爆炸危险的甲</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乙类厂房的总控制室应独立设置</w:t>
            </w:r>
            <w:r w:rsidRPr="00687B52">
              <w:rPr>
                <w:rFonts w:asciiTheme="minorEastAsia" w:eastAsiaTheme="minorEastAsia" w:hAnsiTheme="minorEastAsia" w:hint="eastAsia"/>
                <w:color w:val="000000" w:themeColor="text1"/>
                <w:szCs w:val="24"/>
              </w:rPr>
              <w:t>。</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第3.6.8条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1.2.12</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有爆炸危险的甲</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乙类厂房的</w:t>
            </w:r>
            <w:r w:rsidRPr="00687B52">
              <w:rPr>
                <w:rFonts w:asciiTheme="minorEastAsia" w:eastAsiaTheme="minorEastAsia" w:hAnsiTheme="minorEastAsia" w:hint="eastAsia"/>
                <w:color w:val="000000" w:themeColor="text1"/>
                <w:szCs w:val="24"/>
              </w:rPr>
              <w:t>分</w:t>
            </w:r>
            <w:r w:rsidRPr="00687B52">
              <w:rPr>
                <w:rFonts w:asciiTheme="minorEastAsia" w:eastAsiaTheme="minorEastAsia" w:hAnsiTheme="minorEastAsia"/>
                <w:color w:val="000000" w:themeColor="text1"/>
                <w:szCs w:val="24"/>
              </w:rPr>
              <w:t>控制室</w:t>
            </w:r>
            <w:r w:rsidRPr="00687B52">
              <w:rPr>
                <w:rFonts w:asciiTheme="minorEastAsia" w:eastAsiaTheme="minorEastAsia" w:hAnsiTheme="minorEastAsia" w:hint="eastAsia"/>
                <w:color w:val="000000" w:themeColor="text1"/>
                <w:szCs w:val="24"/>
              </w:rPr>
              <w:t>宜</w:t>
            </w:r>
            <w:r w:rsidRPr="00687B52">
              <w:rPr>
                <w:rFonts w:asciiTheme="minorEastAsia" w:eastAsiaTheme="minorEastAsia" w:hAnsiTheme="minorEastAsia"/>
                <w:color w:val="000000" w:themeColor="text1"/>
                <w:szCs w:val="24"/>
              </w:rPr>
              <w:t>独立设置</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当贴邻外墙设置时</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应采用耐火极限不低于</w:t>
            </w:r>
            <w:r w:rsidRPr="00687B52">
              <w:rPr>
                <w:rFonts w:asciiTheme="minorEastAsia" w:eastAsiaTheme="minorEastAsia" w:hAnsiTheme="minorEastAsia" w:hint="eastAsia"/>
                <w:color w:val="000000" w:themeColor="text1"/>
                <w:szCs w:val="24"/>
              </w:rPr>
              <w:t>3h的防火隔墙与与其他部位分隔。</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第3.6.9 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1.3</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厂内道路与安全疏散</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1.3.1</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厂区通道宽度应根据下列因素经计算确定：</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1）应符合防火、安全、卫生间距的要求。</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2）应符合各种管线、管廊、运输线路及设施、竖向设计、绿化等的布置要求。</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3）应符合施工、安装及检修的要求。</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4）厂区通道的预留宽度应为该通道计算宽度的10％～20％。</w:t>
            </w:r>
          </w:p>
        </w:tc>
        <w:tc>
          <w:tcPr>
            <w:tcW w:w="972" w:type="pct"/>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化工企业总图运输设计规范</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GB50489-2009</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5.1.6</w:t>
            </w:r>
            <w:r w:rsidRPr="00687B52">
              <w:rPr>
                <w:rFonts w:asciiTheme="minorEastAsia" w:eastAsiaTheme="minorEastAsia" w:hAnsiTheme="minorEastAsia"/>
                <w:color w:val="000000" w:themeColor="text1"/>
                <w:szCs w:val="24"/>
              </w:rPr>
              <w:t>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说明厂区通道宽度和转弯半径是否符合要求。</w:t>
            </w: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1.3.2</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易燃、易爆物品的生产区域或贮存仓库区，应根据安全生产的需要，将道路划分为限制车辆通行或禁止车辆通行的路段，并设置标志。</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《工业企业厂内铁路、道路运输安全规程》GB4387-2008</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第6.1.4条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w:t>
            </w:r>
            <w:r w:rsidRPr="00687B52">
              <w:rPr>
                <w:rFonts w:asciiTheme="minorEastAsia" w:hAnsiTheme="minorEastAsia"/>
                <w:color w:val="000000" w:themeColor="text1"/>
                <w:sz w:val="24"/>
                <w:szCs w:val="24"/>
              </w:rPr>
              <w:t>限制车辆通行或禁止车辆通行的路段</w:t>
            </w:r>
            <w:r w:rsidRPr="00687B52">
              <w:rPr>
                <w:rFonts w:asciiTheme="minorEastAsia" w:hAnsiTheme="minorEastAsia" w:hint="eastAsia"/>
                <w:color w:val="000000" w:themeColor="text1"/>
                <w:sz w:val="24"/>
                <w:szCs w:val="24"/>
              </w:rPr>
              <w:t>警示</w:t>
            </w:r>
            <w:r w:rsidRPr="00687B52">
              <w:rPr>
                <w:rFonts w:asciiTheme="minorEastAsia" w:hAnsiTheme="minorEastAsia"/>
                <w:color w:val="000000" w:themeColor="text1"/>
                <w:sz w:val="24"/>
                <w:szCs w:val="24"/>
              </w:rPr>
              <w:t>标志</w:t>
            </w:r>
            <w:r w:rsidRPr="00687B52">
              <w:rPr>
                <w:rFonts w:asciiTheme="minorEastAsia" w:hAnsiTheme="minorEastAsia" w:hint="eastAsia"/>
                <w:color w:val="000000" w:themeColor="text1"/>
                <w:sz w:val="24"/>
                <w:szCs w:val="24"/>
              </w:rPr>
              <w:t>设置情况</w:t>
            </w:r>
            <w:r w:rsidRPr="00687B52">
              <w:rPr>
                <w:rFonts w:asciiTheme="minorEastAsia" w:hAnsiTheme="minorEastAsia"/>
                <w:color w:val="000000" w:themeColor="text1"/>
                <w:sz w:val="24"/>
                <w:szCs w:val="24"/>
              </w:rPr>
              <w:t>。</w:t>
            </w: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1.3.3</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厂区、仓库区应设置消防车通道。占地面积大于3000㎡的甲、乙、丙类厂房，易燃液体的储罐区、装卸区以及危险化学品库区或占地面积大于1500㎡的乙、丙类仓库，应设置环形消防通道，当地形条件受限制时，也可设置尽头式消防车道。尽头式消防车道应设置回车道或有回车场，供一般消防车使用回车场的面积不应小于12m×12m。</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 AQ5204-2008第4.2.7条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说明消防车通道设置情况。</w:t>
            </w: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1.3.4</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消防车道的净宽度和净高度均不应小于4.0m。供消防车停留的空地，其坡度不宜大于3%。消防车道与厂房、仓库、民用建筑之间不应设置妨碍消防车作业的障碍物。</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 AQ5204-2008第4.2.8条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说明消防车通道设置情况。</w:t>
            </w:r>
          </w:p>
        </w:tc>
      </w:tr>
      <w:tr w:rsidR="003E1D2A" w:rsidRPr="00687B52" w:rsidTr="00E640A6">
        <w:tc>
          <w:tcPr>
            <w:tcW w:w="409" w:type="pct"/>
            <w:vMerge w:val="restar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1.3.5</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厂区出入口不宜少于2个，主要人流入口宜与主要货流入口分开设置。生产危险化学品的涂料产品和树脂的涂料生产企业，其工厂主要出入口不应少于两个，宜位于不同方位。</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甲、乙、丙类厂房和仓库的安全疏散门不应少于2个，生产区建筑物的安全疏散门应采用向疏散方向开启的平开门，不应采用推拉门、卷帘门，通道出入口应保持畅通。甲、乙、丙类的安全疏散门应为防火门。</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《涂料生产企业安全技术规程》AQ5204-08  </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w:t>
            </w:r>
            <w:r w:rsidRPr="00687B52">
              <w:rPr>
                <w:rFonts w:asciiTheme="minorEastAsia" w:eastAsiaTheme="minorEastAsia" w:hAnsiTheme="minorEastAsia"/>
                <w:color w:val="000000" w:themeColor="text1"/>
                <w:szCs w:val="24"/>
              </w:rPr>
              <w:t>4.2.5</w:t>
            </w:r>
            <w:r w:rsidRPr="00687B52">
              <w:rPr>
                <w:rFonts w:asciiTheme="minorEastAsia" w:eastAsiaTheme="minorEastAsia" w:hAnsiTheme="minorEastAsia" w:hint="eastAsia"/>
                <w:color w:val="000000" w:themeColor="text1"/>
                <w:szCs w:val="24"/>
              </w:rPr>
              <w:t>条</w:t>
            </w:r>
          </w:p>
        </w:tc>
        <w:tc>
          <w:tcPr>
            <w:tcW w:w="1144" w:type="pct"/>
            <w:vMerge w:val="restar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工厂主要出入口有个，分别位于</w:t>
            </w:r>
            <w:r w:rsidRPr="00687B52">
              <w:rPr>
                <w:rFonts w:asciiTheme="minorEastAsia" w:hAnsiTheme="minorEastAsia" w:hint="eastAsia"/>
                <w:color w:val="000000" w:themeColor="text1"/>
                <w:sz w:val="24"/>
                <w:szCs w:val="24"/>
                <w:u w:val="single"/>
              </w:rPr>
              <w:t xml:space="preserve">           (</w:t>
            </w:r>
            <w:r w:rsidRPr="00687B52">
              <w:rPr>
                <w:rFonts w:asciiTheme="minorEastAsia" w:hAnsiTheme="minorEastAsia" w:hint="eastAsia"/>
                <w:color w:val="000000" w:themeColor="text1"/>
                <w:sz w:val="24"/>
                <w:szCs w:val="24"/>
              </w:rPr>
              <w:t>填方位)；说明厂房和仓库的安全疏散门有个，说明是否采用向疏散方向开启的平开门, 是否采用防火门。</w:t>
            </w:r>
          </w:p>
        </w:tc>
      </w:tr>
      <w:tr w:rsidR="003E1D2A" w:rsidRPr="00687B52" w:rsidTr="00E640A6">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甲、乙、丙类厂房的安全疏散门应为铁门或木质外包铁皮，不应使用卷闸门及平移门，通道和出入口应保持通畅。在保障事故人员疏散和消防救援无阻前提下，严寒地区制漆车间的大门宜设门斗或外室。</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《涂料生产企业职业健康技术规范》AQ4254-2015</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第4.2.3.4条</w:t>
            </w:r>
          </w:p>
        </w:tc>
        <w:tc>
          <w:tcPr>
            <w:tcW w:w="1144" w:type="pct"/>
            <w:vMerge/>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厂房的安全出口应分散布置。每个防火分区或一个防火分区的每个楼层，其相邻2个安全出口最近边缘之间的水平距离不应小于5m。</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第3.7.1条</w:t>
            </w:r>
          </w:p>
        </w:tc>
        <w:tc>
          <w:tcPr>
            <w:tcW w:w="1144" w:type="pct"/>
            <w:vMerge/>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厂房的安全出口应分散布置。每个防火分区或一个防火分区的每个楼层，其安全出口的数量应经计算确定，且不应少于2个；当符合下列条件时，可设置1个安全出口：</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甲类厂房，每层建筑面积不大于100㎡，且同一时间的作业人员不超过5人；</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乙类厂房，每层建筑面积不大于150㎡，且同一时间的作业人员不超过10人；</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丙类厂房，每层建筑面积不大于250㎡，且同一时间的作业人员不超过20人；</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丁、戊类厂房，每层建筑面积不大于400㎡，且同一时间的作业人员不超过30人；</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地下或半地下厂房（包括地下或半地下室），每层建筑面积不大于50㎡，且同一时间的作业人数不超过15人。</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第3.7.2条</w:t>
            </w:r>
          </w:p>
        </w:tc>
        <w:tc>
          <w:tcPr>
            <w:tcW w:w="1144" w:type="pct"/>
            <w:vMerge/>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1.3.6</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长度不大于50m的可燃液体设备的平台或其他设备的框架平台应设置不少于两个通往地面的非燃烧材料扶梯，作为疏散通道。但长度不大于8m的甲类气体或甲、乙A（闪点大于等于28℃至闪点小于等于45℃）液体设备的平台或长度不大于15m的乙B类（闪点大于等于45℃至小于60℃）、丙类液体设备的平台，可只设一个扶梯。</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《涂料生产企业安全技术规程》AQ5204-2008  </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w:t>
            </w:r>
            <w:r w:rsidRPr="00687B52">
              <w:rPr>
                <w:rFonts w:asciiTheme="minorEastAsia" w:eastAsiaTheme="minorEastAsia" w:hAnsiTheme="minorEastAsia"/>
                <w:color w:val="000000" w:themeColor="text1"/>
                <w:szCs w:val="24"/>
              </w:rPr>
              <w:t>4.2.</w:t>
            </w:r>
            <w:r w:rsidRPr="00687B52">
              <w:rPr>
                <w:rFonts w:asciiTheme="minorEastAsia" w:eastAsiaTheme="minorEastAsia" w:hAnsiTheme="minorEastAsia" w:hint="eastAsia"/>
                <w:color w:val="000000" w:themeColor="text1"/>
                <w:szCs w:val="24"/>
              </w:rPr>
              <w:t>6条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说明可燃液体设备平台或其他设备的框架平台的扶梯设置数量。</w:t>
            </w: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1.3.7</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厂房内的疏散楼梯、走道、门的各自净宽度规定：①疏散楼梯的最小净宽度不宜小于1.1m；②疏散走道的最小净宽度不宜小于1.4m；③门的最小净宽度不宜小于0.9m</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第3.7.5条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疏散楼梯的净宽度</w:t>
            </w:r>
          </w:p>
          <w:p w:rsidR="003E1D2A" w:rsidRPr="00687B52" w:rsidRDefault="003E1D2A"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为m；疏散走道的净宽度为m；</w:t>
            </w:r>
          </w:p>
          <w:p w:rsidR="003E1D2A" w:rsidRPr="00687B52" w:rsidRDefault="003E1D2A"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 xml:space="preserve">门的净宽度为m（填写数字）。  </w:t>
            </w:r>
          </w:p>
        </w:tc>
      </w:tr>
      <w:tr w:rsidR="003E1D2A" w:rsidRPr="00687B52" w:rsidTr="00E640A6">
        <w:tc>
          <w:tcPr>
            <w:tcW w:w="409" w:type="pct"/>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工艺系统与装置设施</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工艺安全</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2.1.1</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在役化工装置应经过正规设计或经过安全设计诊断。</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《化工（危险化学品）企业安全检查重点指导目录》安监总管三[2015]113号</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说明在役化工装置是否经过正规设计或经过安全设计诊断。</w:t>
            </w: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2.1.2</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严禁使用国家明令淘汰的危及生产安全的工艺、设备的。用直接火加热涂料用树脂生产工艺，应立即淘汰。</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《化工（危险化学品）企业安全检查重点指导目录》安监总管三[2015]113号</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说明是否使用了国家明令淘汰的危及生产安全的工艺、设备的。</w:t>
            </w: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2.1.3</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在厂房、围堤、窨井等场所内设置有毒有害气体排放口时，应采取有效防范措施，严禁直接对大气排放。</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Theme="minorEastAsia" w:eastAsiaTheme="minorEastAsia" w:hAnsiTheme="minorEastAsia" w:hint="eastAsia"/>
                <w:color w:val="000000" w:themeColor="text1"/>
                <w:szCs w:val="24"/>
              </w:rPr>
              <w:t>《化工（危险化学品）企业安全检查重点指导目录》安监总管三[2015]113号</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2.1.4</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易燃易爆、有毒有害液化气体的充装应使用万向节管道充装系统。</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《化工（危险化学品）企业安全检查重点指导目录》安监总管三[2015]113号</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2.1.5</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涉及危险化工工艺、重点监管危险化学品的装置应设置自动化控制系统；或者涉及危险化工工艺的大型化工装置应设置紧急停车系统。</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《化工（危险化学品）企业安全检查重点指导目录》安监总管三[2015]113号</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2.1.6</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安全联锁应正常投用或经审批摘除以及经审批后临时摘除的应在一个月内恢复。</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《化工（危险化学品）企业安全检查重点指导目录》安监总管三[2015]113号</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2.1.7</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在用装置（设施）安全阀或泄压排放系统应正常投用。</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《化工（危险化学品）企业安全检查重点指导目录》安监总管三[2015]113号</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2.1.8</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易燃易爆区域严禁使用非防爆工具或电器。</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《化工（危险化学品）企业安全检查重点指导目录》安监总管三[2015]113号</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vMerge w:val="restar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2.1.9</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涂料生产过程和设备，应尽量考虑机械化和自动化，加强密闭避免直接操作，并结合生产工艺采用通风措施，使生产场所有害物质及粉尘的浓度符合国家规定。</w:t>
            </w:r>
          </w:p>
        </w:tc>
        <w:tc>
          <w:tcPr>
            <w:tcW w:w="972" w:type="pct"/>
            <w:vMerge w:val="restar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hint="eastAsia"/>
                <w:color w:val="000000" w:themeColor="text1"/>
                <w:szCs w:val="24"/>
              </w:rPr>
              <w:t>《涂料生产企业安全技术规程》AQ5204-2008第4.12.1.1条</w:t>
            </w:r>
          </w:p>
        </w:tc>
        <w:tc>
          <w:tcPr>
            <w:tcW w:w="1144" w:type="pct"/>
            <w:vMerge w:val="restar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b/>
                <w:color w:val="000000" w:themeColor="text1"/>
                <w:szCs w:val="24"/>
              </w:rPr>
            </w:pPr>
            <w:r w:rsidRPr="00687B52">
              <w:rPr>
                <w:rFonts w:asciiTheme="minorEastAsia" w:eastAsiaTheme="minorEastAsia" w:hAnsiTheme="minorEastAsia" w:hint="eastAsia"/>
                <w:color w:val="000000" w:themeColor="text1"/>
                <w:szCs w:val="24"/>
              </w:rPr>
              <w:t>说明对具有或能产生危险和有害因素的工艺、作业过程，是否采用综合机械化、自动化或其他措施，实现遥控或隔离操作，工艺方法是否防止作业人员直接接触具有或能产生危险和有害因素的设备、设施、生产物料、产品和剩余物料，</w:t>
            </w:r>
          </w:p>
        </w:tc>
      </w:tr>
      <w:tr w:rsidR="003E1D2A" w:rsidRPr="00687B52" w:rsidTr="00E640A6">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苯酐等粉状物料投料应实行密闭投料或负压投料，且反应釜投料口处应设引风设施，使空气中物料允许浓度不可超过如下值：苯酐的最高允许浓度为：1mg/M3,尿素的平均允许浓度为5mg/M3，苯或丙烯酸的平均允许浓度均为6mg/M3，二甲苯的平均允许浓度为50mg/M3，200#溶剂油的平均允许浓度为300mg/m3。甲醛平均允许浓度为3 mg/M3；酚平均允许浓度为5 mg/M3；苯乙烯平均允许浓度为40 mg/M3。</w:t>
            </w:r>
          </w:p>
        </w:tc>
        <w:tc>
          <w:tcPr>
            <w:tcW w:w="972" w:type="pct"/>
            <w:vMerge/>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p>
        </w:tc>
        <w:tc>
          <w:tcPr>
            <w:tcW w:w="1144" w:type="pct"/>
            <w:vMerge/>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对具有或能产生危险和有害因素的工艺、作业过程，采用综合机械化、自动化或其他措施，实现遥控或隔离操作。工艺方法是否防止作业人员直接接触具有或能产生危险和有害因素的设备、设施、生产物料、产品和剩余物料。</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生产过程安全卫生要求总则</w:t>
            </w:r>
            <w:r w:rsidRPr="00687B52">
              <w:rPr>
                <w:rFonts w:asciiTheme="minorEastAsia" w:eastAsiaTheme="minorEastAsia" w:hAnsiTheme="minorEastAsia" w:hint="eastAsia"/>
                <w:color w:val="000000" w:themeColor="text1"/>
                <w:szCs w:val="24"/>
              </w:rPr>
              <w:t>》GB/T12801-2008</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第5.3.1条</w:t>
            </w:r>
          </w:p>
        </w:tc>
        <w:tc>
          <w:tcPr>
            <w:tcW w:w="1144" w:type="pct"/>
            <w:vMerge/>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2.1.10</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对产生危险和有害因素的工艺过程，应配置监控检测仪器、仪表，必要时配置自动联锁、自动报警装置。</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生产过程安全卫生要求总则</w:t>
            </w:r>
            <w:r w:rsidRPr="00687B52">
              <w:rPr>
                <w:rFonts w:asciiTheme="minorEastAsia" w:eastAsiaTheme="minorEastAsia" w:hAnsiTheme="minorEastAsia" w:hint="eastAsia"/>
                <w:color w:val="000000" w:themeColor="text1"/>
                <w:szCs w:val="24"/>
              </w:rPr>
              <w:t>》GB/T12801-2008</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第5.3.1条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说明对产生危险和有害因素的工艺过程，是否配置监控检测仪器、仪表，是否配置自动联锁、自动报警装置。</w:t>
            </w:r>
          </w:p>
        </w:tc>
      </w:tr>
      <w:tr w:rsidR="003E1D2A" w:rsidRPr="00687B52" w:rsidTr="00E640A6">
        <w:tc>
          <w:tcPr>
            <w:tcW w:w="409" w:type="pct"/>
            <w:shd w:val="clear" w:color="auto" w:fill="auto"/>
            <w:vAlign w:val="center"/>
          </w:tcPr>
          <w:p w:rsidR="003E1D2A" w:rsidRPr="00687B52" w:rsidRDefault="004C3E6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2.1.11</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具有火灾爆炸危险的工艺、储槽和管道，根据介质特点，选用氮气、二氧化碳、蒸汽、水等介质置换及保护系统。</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《化工企业安全卫生设计规定》</w:t>
            </w:r>
            <w:r w:rsidRPr="00687B52">
              <w:rPr>
                <w:rFonts w:asciiTheme="minorEastAsia" w:eastAsiaTheme="minorEastAsia" w:hAnsiTheme="minorEastAsia" w:hint="eastAsia"/>
                <w:color w:val="000000" w:themeColor="text1"/>
                <w:szCs w:val="24"/>
              </w:rPr>
              <w:t>HG20571-2014</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第3.1.7条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具有火灾爆炸危险的工艺、储槽和管道，根据介质特点，是否选用氮气、二氧化碳、蒸汽、水等介质置换及保护系统。</w:t>
            </w:r>
          </w:p>
        </w:tc>
      </w:tr>
      <w:tr w:rsidR="003E1D2A" w:rsidRPr="00687B52" w:rsidTr="00E640A6">
        <w:tc>
          <w:tcPr>
            <w:tcW w:w="409" w:type="pct"/>
            <w:shd w:val="clear" w:color="auto" w:fill="auto"/>
            <w:vAlign w:val="center"/>
          </w:tcPr>
          <w:p w:rsidR="003E1D2A" w:rsidRPr="00687B52" w:rsidRDefault="004A501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2.1.12</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使用单位选用涂料与辅助材料应符合GB 7691和 《产业结构调整指导目录（2011年本）》的有关规定，应选用合适的涂装工艺有利于职业健康安全和环境保护。</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宋体" w:hAnsi="宋体" w:hint="eastAsia"/>
                <w:color w:val="000000" w:themeColor="text1"/>
                <w:szCs w:val="24"/>
              </w:rPr>
              <w:t>《涂料与辅助材料使用安全通则》</w:t>
            </w:r>
            <w:r w:rsidRPr="00687B52">
              <w:rPr>
                <w:rFonts w:asciiTheme="minorEastAsia" w:eastAsiaTheme="minorEastAsia" w:hAnsiTheme="minorEastAsia"/>
                <w:color w:val="000000" w:themeColor="text1"/>
                <w:szCs w:val="24"/>
              </w:rPr>
              <w:t>AQ 5216-2013</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第4.1条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选用</w:t>
            </w:r>
            <w:r w:rsidRPr="00687B52">
              <w:rPr>
                <w:rFonts w:asciiTheme="minorEastAsia" w:eastAsiaTheme="minorEastAsia" w:hAnsiTheme="minorEastAsia" w:hint="eastAsia"/>
                <w:color w:val="000000" w:themeColor="text1"/>
                <w:szCs w:val="24"/>
              </w:rPr>
              <w:t>的</w:t>
            </w:r>
            <w:r w:rsidRPr="00687B52">
              <w:rPr>
                <w:rFonts w:asciiTheme="minorEastAsia" w:eastAsiaTheme="minorEastAsia" w:hAnsiTheme="minorEastAsia"/>
                <w:color w:val="000000" w:themeColor="text1"/>
                <w:szCs w:val="24"/>
              </w:rPr>
              <w:t>涂料与辅助材料</w:t>
            </w:r>
            <w:r w:rsidRPr="00687B52">
              <w:rPr>
                <w:rFonts w:asciiTheme="minorEastAsia" w:eastAsiaTheme="minorEastAsia" w:hAnsiTheme="minorEastAsia" w:hint="eastAsia"/>
                <w:color w:val="000000" w:themeColor="text1"/>
                <w:szCs w:val="24"/>
              </w:rPr>
              <w:t>、工艺是否有利于职业健康安全和环境保护。</w:t>
            </w:r>
          </w:p>
        </w:tc>
      </w:tr>
      <w:tr w:rsidR="003E1D2A" w:rsidRPr="00687B52" w:rsidTr="00E640A6">
        <w:tc>
          <w:tcPr>
            <w:tcW w:w="409" w:type="pct"/>
            <w:shd w:val="clear" w:color="auto" w:fill="auto"/>
            <w:vAlign w:val="center"/>
          </w:tcPr>
          <w:p w:rsidR="003E1D2A" w:rsidRPr="00687B52" w:rsidRDefault="004A501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2.1.13</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生产车间应根据生产需要规定原料的存放时间、地点和最高允许存放量。相禁忌的原料不应存放在同一区域，应划定区域分类隔开或分离贮存。生产车间的生产物料、产品、半成品的堆放，应用黄色或白色标记在地面上标出存放地点，堆放整齐，保证通道畅通。</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《涂料生产企业安全技术规程》AQ5204-2008  </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第5.1.2条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相禁忌的原料是否划定区域分类隔开或分离贮存。</w:t>
            </w:r>
          </w:p>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生产车间的生产物料、产品、半成品的堆放，是否用黄色或白色标记在地面上标出存放地点，堆放整齐，保证通道畅通。</w:t>
            </w:r>
          </w:p>
        </w:tc>
      </w:tr>
      <w:tr w:rsidR="003E1D2A" w:rsidRPr="00687B52" w:rsidTr="00E640A6">
        <w:tc>
          <w:tcPr>
            <w:tcW w:w="409" w:type="pct"/>
            <w:shd w:val="clear" w:color="auto" w:fill="auto"/>
            <w:vAlign w:val="center"/>
          </w:tcPr>
          <w:p w:rsidR="003E1D2A" w:rsidRPr="00687B52" w:rsidRDefault="004A501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2.1.14</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有毒作业应采用无毒、低毒原料代替有毒、高毒原料的原则。不应使用纯苯，限制使用铅白、红丹作为涂料、稀释剂产品的原料。调整涂料产品结构和涂料配方，发展环保型涂料和高固体份涂料，限制挥发性漆的生产。设计涂料新品种，应向无毒、低毒、水性涂料方向发展。</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宋体" w:hAnsi="宋体"/>
                <w:color w:val="000000" w:themeColor="text1"/>
                <w:szCs w:val="24"/>
              </w:rPr>
              <w:t>《涂料生产企业职业健康技术规范》</w:t>
            </w:r>
            <w:r w:rsidRPr="00687B52">
              <w:rPr>
                <w:rFonts w:asciiTheme="minorEastAsia" w:eastAsiaTheme="minorEastAsia" w:hAnsiTheme="minorEastAsia"/>
                <w:color w:val="000000" w:themeColor="text1"/>
                <w:szCs w:val="24"/>
              </w:rPr>
              <w:t>AQ4254-2015</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第5.3.2条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有毒作业</w:t>
            </w:r>
            <w:r w:rsidRPr="00687B52">
              <w:rPr>
                <w:rFonts w:asciiTheme="minorEastAsia" w:eastAsiaTheme="minorEastAsia" w:hAnsiTheme="minorEastAsia" w:hint="eastAsia"/>
                <w:color w:val="000000" w:themeColor="text1"/>
                <w:szCs w:val="24"/>
              </w:rPr>
              <w:t>是否</w:t>
            </w:r>
            <w:r w:rsidRPr="00687B52">
              <w:rPr>
                <w:rFonts w:asciiTheme="minorEastAsia" w:eastAsiaTheme="minorEastAsia" w:hAnsiTheme="minorEastAsia"/>
                <w:color w:val="000000" w:themeColor="text1"/>
                <w:szCs w:val="24"/>
              </w:rPr>
              <w:t>采用无毒、低毒原料代替有毒、高毒原料。</w:t>
            </w:r>
          </w:p>
        </w:tc>
      </w:tr>
      <w:tr w:rsidR="003E1D2A" w:rsidRPr="00687B52" w:rsidTr="00E640A6">
        <w:tc>
          <w:tcPr>
            <w:tcW w:w="409" w:type="pct"/>
            <w:shd w:val="clear" w:color="auto" w:fill="auto"/>
            <w:vAlign w:val="center"/>
          </w:tcPr>
          <w:p w:rsidR="003E1D2A" w:rsidRPr="00687B52" w:rsidRDefault="004A501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2.1.15</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color w:val="000000" w:themeColor="text1"/>
                <w:szCs w:val="24"/>
              </w:rPr>
              <w:t>产生职业危害的生产工艺与设备宜采取密闭（整体密闭、局部密闭或小室密闭）装置。</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宋体" w:hAnsi="宋体"/>
                <w:color w:val="000000" w:themeColor="text1"/>
                <w:szCs w:val="24"/>
              </w:rPr>
              <w:t>涂料生产企业职业健康技术规范》AQ4254-2015</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第5.2.4条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宋体" w:hAnsi="宋体"/>
                <w:color w:val="000000" w:themeColor="text1"/>
                <w:szCs w:val="24"/>
              </w:rPr>
              <w:t>产生职业危害的生产工艺与设备</w:t>
            </w:r>
            <w:r w:rsidRPr="00687B52">
              <w:rPr>
                <w:rFonts w:ascii="宋体" w:hAnsi="宋体" w:hint="eastAsia"/>
                <w:color w:val="000000" w:themeColor="text1"/>
                <w:szCs w:val="24"/>
              </w:rPr>
              <w:t>是否</w:t>
            </w:r>
            <w:r w:rsidRPr="00687B52">
              <w:rPr>
                <w:rFonts w:ascii="宋体" w:hAnsi="宋体"/>
                <w:color w:val="000000" w:themeColor="text1"/>
                <w:szCs w:val="24"/>
              </w:rPr>
              <w:t>采取密闭（整体密闭、局部密闭或小室密闭）装置。</w:t>
            </w:r>
          </w:p>
        </w:tc>
      </w:tr>
      <w:tr w:rsidR="003E1D2A" w:rsidRPr="00687B52" w:rsidTr="00E640A6">
        <w:tc>
          <w:tcPr>
            <w:tcW w:w="409" w:type="pct"/>
            <w:shd w:val="clear" w:color="auto" w:fill="auto"/>
            <w:vAlign w:val="center"/>
          </w:tcPr>
          <w:p w:rsidR="003E1D2A" w:rsidRPr="00687B52" w:rsidRDefault="004A501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2.1.16</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color w:val="000000" w:themeColor="text1"/>
                <w:szCs w:val="24"/>
              </w:rPr>
              <w:t>涂料生产投料应设密封投料装置。以剧毒物品为生产介质的设备，生产母液、污水的收集槽，不得使用敞口设备；确因排渣、清渣需要，该设备应设密闭排渣装置。</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《涂料生产企业职业健康技术规范》AQ4254-2015</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第5.3.9条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宋体" w:hAnsi="宋体"/>
                <w:color w:val="000000" w:themeColor="text1"/>
                <w:szCs w:val="24"/>
              </w:rPr>
              <w:t>涂料生产投料</w:t>
            </w:r>
            <w:r w:rsidRPr="00687B52">
              <w:rPr>
                <w:rFonts w:ascii="宋体" w:hAnsi="宋体" w:hint="eastAsia"/>
                <w:color w:val="000000" w:themeColor="text1"/>
                <w:szCs w:val="24"/>
              </w:rPr>
              <w:t>是否</w:t>
            </w:r>
            <w:r w:rsidRPr="00687B52">
              <w:rPr>
                <w:rFonts w:ascii="宋体" w:hAnsi="宋体"/>
                <w:color w:val="000000" w:themeColor="text1"/>
                <w:szCs w:val="24"/>
              </w:rPr>
              <w:t>设密封投料装置。</w:t>
            </w:r>
          </w:p>
        </w:tc>
      </w:tr>
      <w:tr w:rsidR="003E1D2A" w:rsidRPr="00687B52" w:rsidTr="00E640A6">
        <w:tc>
          <w:tcPr>
            <w:tcW w:w="409" w:type="pct"/>
            <w:shd w:val="clear" w:color="auto" w:fill="auto"/>
            <w:vAlign w:val="center"/>
          </w:tcPr>
          <w:p w:rsidR="003E1D2A" w:rsidRPr="00687B52" w:rsidRDefault="004A501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2.1.17</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color w:val="000000" w:themeColor="text1"/>
                <w:szCs w:val="24"/>
              </w:rPr>
              <w:t>在生产设备合理密闭和通风的基础上宜采取隔离、遥控操作措施。</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《涂料生产企业职业健康技术规范》AQ4254-2015</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第5.2.5条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宋体" w:hAnsi="宋体" w:hint="eastAsia"/>
                <w:color w:val="000000" w:themeColor="text1"/>
                <w:szCs w:val="24"/>
              </w:rPr>
              <w:t>生产设备是否</w:t>
            </w:r>
            <w:r w:rsidRPr="00687B52">
              <w:rPr>
                <w:rFonts w:ascii="宋体" w:hAnsi="宋体"/>
                <w:color w:val="000000" w:themeColor="text1"/>
                <w:szCs w:val="24"/>
              </w:rPr>
              <w:t>采取隔离、遥控操作措施。</w:t>
            </w:r>
          </w:p>
        </w:tc>
      </w:tr>
      <w:tr w:rsidR="003E1D2A" w:rsidRPr="00687B52" w:rsidTr="00E640A6">
        <w:tc>
          <w:tcPr>
            <w:tcW w:w="409" w:type="pct"/>
            <w:shd w:val="clear" w:color="auto" w:fill="auto"/>
            <w:vAlign w:val="center"/>
          </w:tcPr>
          <w:p w:rsidR="003E1D2A" w:rsidRPr="00687B52" w:rsidRDefault="004A501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2.1.18</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color w:val="000000" w:themeColor="text1"/>
                <w:szCs w:val="24"/>
              </w:rPr>
              <w:t>产生粉尘、有毒液体或气体烟雾的作业场所，应设排毒或除尘净化的通风设施，先通风后作业，作业完成后通风一段时间再关闭通风系统。通风设施应有防爆措施。通风系统空气不应循环使用。</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《涂料生产企业职业健康技术规范》AQ4254-2015</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第5.3.6条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宋体" w:hAnsi="宋体"/>
                <w:color w:val="000000" w:themeColor="text1"/>
                <w:szCs w:val="24"/>
              </w:rPr>
              <w:t>产生粉尘、有毒液体或气体烟雾的作业场所，</w:t>
            </w:r>
            <w:r w:rsidRPr="00687B52">
              <w:rPr>
                <w:rFonts w:ascii="宋体" w:hAnsi="宋体" w:hint="eastAsia"/>
                <w:color w:val="000000" w:themeColor="text1"/>
                <w:szCs w:val="24"/>
              </w:rPr>
              <w:t>是否设置通风设施，</w:t>
            </w:r>
            <w:r w:rsidRPr="00687B52">
              <w:rPr>
                <w:rFonts w:ascii="宋体" w:hAnsi="宋体"/>
                <w:color w:val="000000" w:themeColor="text1"/>
                <w:szCs w:val="24"/>
              </w:rPr>
              <w:t>通风设施</w:t>
            </w:r>
            <w:r w:rsidRPr="00687B52">
              <w:rPr>
                <w:rFonts w:ascii="宋体" w:hAnsi="宋体" w:hint="eastAsia"/>
                <w:color w:val="000000" w:themeColor="text1"/>
                <w:szCs w:val="24"/>
              </w:rPr>
              <w:t>是否</w:t>
            </w:r>
            <w:r w:rsidRPr="00687B52">
              <w:rPr>
                <w:rFonts w:ascii="宋体" w:hAnsi="宋体"/>
                <w:color w:val="000000" w:themeColor="text1"/>
                <w:szCs w:val="24"/>
              </w:rPr>
              <w:t>有防爆措施。</w:t>
            </w:r>
          </w:p>
        </w:tc>
      </w:tr>
      <w:tr w:rsidR="003E1D2A" w:rsidRPr="00687B52" w:rsidTr="00E640A6">
        <w:tc>
          <w:tcPr>
            <w:tcW w:w="409" w:type="pct"/>
            <w:shd w:val="clear" w:color="auto" w:fill="auto"/>
            <w:vAlign w:val="center"/>
          </w:tcPr>
          <w:p w:rsidR="003E1D2A" w:rsidRPr="00687B52" w:rsidRDefault="004A501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2.1.19</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color w:val="000000" w:themeColor="text1"/>
                <w:szCs w:val="24"/>
              </w:rPr>
              <w:t>工艺设备的运行控制应与通风系统的运行实行联锁控制，确保通风设备先于工艺设备运行和滞后于工艺设备停止运行。</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《涂料生产企业职业健康技术规范》</w:t>
            </w:r>
            <w:r w:rsidRPr="00687B52">
              <w:rPr>
                <w:rFonts w:ascii="宋体" w:hAnsi="宋体" w:hint="eastAsia"/>
                <w:color w:val="000000" w:themeColor="text1"/>
                <w:szCs w:val="24"/>
              </w:rPr>
              <w:t>AQ4254-2015</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第</w:t>
            </w:r>
            <w:r w:rsidRPr="00687B52">
              <w:rPr>
                <w:rFonts w:ascii="宋体" w:hAnsi="宋体" w:hint="eastAsia"/>
                <w:color w:val="000000" w:themeColor="text1"/>
                <w:szCs w:val="24"/>
              </w:rPr>
              <w:t>6.1.2</w:t>
            </w:r>
            <w:r w:rsidRPr="00687B52">
              <w:rPr>
                <w:rFonts w:ascii="宋体" w:hAnsi="宋体"/>
                <w:color w:val="000000" w:themeColor="text1"/>
                <w:szCs w:val="24"/>
              </w:rPr>
              <w:t>条</w:t>
            </w:r>
          </w:p>
        </w:tc>
        <w:tc>
          <w:tcPr>
            <w:tcW w:w="1144" w:type="pct"/>
            <w:shd w:val="clear" w:color="auto" w:fill="auto"/>
            <w:vAlign w:val="center"/>
          </w:tcPr>
          <w:p w:rsidR="003E1D2A" w:rsidRPr="00687B52" w:rsidRDefault="003E1D2A" w:rsidP="003E1D2A">
            <w:pPr>
              <w:pStyle w:val="a7"/>
              <w:spacing w:line="300" w:lineRule="exact"/>
              <w:jc w:val="both"/>
              <w:rPr>
                <w:rFonts w:ascii="宋体" w:hAnsi="宋体"/>
                <w:color w:val="000000" w:themeColor="text1"/>
                <w:szCs w:val="24"/>
              </w:rPr>
            </w:pPr>
            <w:r w:rsidRPr="00687B52">
              <w:rPr>
                <w:rFonts w:ascii="宋体" w:hAnsi="宋体"/>
                <w:color w:val="000000" w:themeColor="text1"/>
                <w:szCs w:val="24"/>
              </w:rPr>
              <w:t>工艺设备的运行控制</w:t>
            </w:r>
            <w:r w:rsidRPr="00687B52">
              <w:rPr>
                <w:rFonts w:ascii="宋体" w:hAnsi="宋体" w:hint="eastAsia"/>
                <w:color w:val="000000" w:themeColor="text1"/>
                <w:szCs w:val="24"/>
              </w:rPr>
              <w:t>是否</w:t>
            </w:r>
            <w:r w:rsidRPr="00687B52">
              <w:rPr>
                <w:rFonts w:ascii="宋体" w:hAnsi="宋体"/>
                <w:color w:val="000000" w:themeColor="text1"/>
                <w:szCs w:val="24"/>
              </w:rPr>
              <w:t>与通风系统的运行实行联锁控制</w:t>
            </w:r>
            <w:r w:rsidRPr="00687B52">
              <w:rPr>
                <w:rFonts w:ascii="宋体" w:hAnsi="宋体" w:hint="eastAsia"/>
                <w:color w:val="000000" w:themeColor="text1"/>
                <w:szCs w:val="24"/>
              </w:rPr>
              <w:t>。</w:t>
            </w:r>
          </w:p>
        </w:tc>
      </w:tr>
      <w:tr w:rsidR="003E1D2A" w:rsidRPr="00687B52" w:rsidTr="00E640A6">
        <w:tc>
          <w:tcPr>
            <w:tcW w:w="409" w:type="pct"/>
            <w:shd w:val="clear" w:color="auto" w:fill="auto"/>
            <w:vAlign w:val="center"/>
          </w:tcPr>
          <w:p w:rsidR="003E1D2A" w:rsidRPr="00687B52" w:rsidRDefault="004A501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2.2</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b/>
                <w:color w:val="000000" w:themeColor="text1"/>
                <w:szCs w:val="24"/>
              </w:rPr>
            </w:pPr>
            <w:r w:rsidRPr="00687B52">
              <w:rPr>
                <w:rFonts w:ascii="宋体" w:hAnsi="宋体" w:hint="eastAsia"/>
                <w:b/>
                <w:color w:val="000000" w:themeColor="text1"/>
                <w:szCs w:val="24"/>
              </w:rPr>
              <w:t>生产安全——</w:t>
            </w:r>
            <w:r w:rsidRPr="00687B52">
              <w:rPr>
                <w:rFonts w:asciiTheme="minorEastAsia" w:eastAsiaTheme="minorEastAsia" w:hAnsiTheme="minorEastAsia" w:hint="eastAsia"/>
                <w:b/>
                <w:color w:val="000000" w:themeColor="text1"/>
                <w:szCs w:val="24"/>
              </w:rPr>
              <w:t>色漆生产</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4A501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2.2.1.</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当班配料应当班研磨，未经研磨的色浆不应在车间存放。当班配置的华兰、炭黑、甲苯胺红、铬黄（绿）等颜料的色浆不能进行研磨时，应在下班前对配好料的色浆采取防聚热措施，单独存放，以防自然引起火灾。</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《涂料生产企业安全技术规程》AQ5204-2008  </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第5.2.1.2条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未经研磨的色浆是否在车间存放；</w:t>
            </w:r>
          </w:p>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色浆不能进行研磨时，是否采取防聚热措施，单独存放。</w:t>
            </w:r>
          </w:p>
        </w:tc>
      </w:tr>
      <w:tr w:rsidR="003E1D2A" w:rsidRPr="00687B52" w:rsidTr="00E640A6">
        <w:tc>
          <w:tcPr>
            <w:tcW w:w="409" w:type="pct"/>
            <w:shd w:val="clear" w:color="auto" w:fill="auto"/>
            <w:vAlign w:val="center"/>
          </w:tcPr>
          <w:p w:rsidR="003E1D2A" w:rsidRPr="00687B52" w:rsidRDefault="004A501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2.2.2</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轧制消化纤维素（简称硝化棉）漆片时，应使用含水量不小于25%、不含乙醇的硝化棉，并应控制炼胶机滚筒冷却水出水温度，以防自然。</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《涂料生产企业安全技术规程》AQ5204-2008  </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第5.2.2.2条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宋体" w:hAnsi="宋体" w:hint="eastAsia"/>
                <w:color w:val="000000" w:themeColor="text1"/>
                <w:szCs w:val="24"/>
              </w:rPr>
              <w:t>是否使用含水量不小于25%、不含乙醇的硝化棉，并控制炼胶机滚筒冷却水出水温度。</w:t>
            </w:r>
          </w:p>
        </w:tc>
      </w:tr>
      <w:tr w:rsidR="003E1D2A" w:rsidRPr="00687B52" w:rsidTr="00E640A6">
        <w:tc>
          <w:tcPr>
            <w:tcW w:w="409" w:type="pct"/>
            <w:shd w:val="clear" w:color="auto" w:fill="auto"/>
            <w:vAlign w:val="center"/>
          </w:tcPr>
          <w:p w:rsidR="003E1D2A" w:rsidRPr="00687B52" w:rsidRDefault="004A501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2.3</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b/>
                <w:color w:val="000000" w:themeColor="text1"/>
                <w:szCs w:val="24"/>
              </w:rPr>
            </w:pPr>
            <w:r w:rsidRPr="00687B52">
              <w:rPr>
                <w:rFonts w:ascii="宋体" w:hAnsi="宋体" w:hint="eastAsia"/>
                <w:b/>
                <w:color w:val="000000" w:themeColor="text1"/>
                <w:szCs w:val="24"/>
              </w:rPr>
              <w:t>生产安全——硝化棉溶解</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4A501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2.3.1</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硝化棉溶解岗位生产作业不应使用铁器类撞击易产生火花的工具，应使用铜、铝或木质工器具等不易产生火花的工具，以防止铁器撞击产生火花引起火灾。溶解罐等设备应采取有效防静电接地，硝化棉溶剂槽周围的地面应采用不发火的地面（如敷设铝板等），以防止静电火花引发火灾爆炸。</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《涂料生产企业安全技术规程》AQ5204-2008  </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第5.3.1条</w:t>
            </w:r>
          </w:p>
        </w:tc>
        <w:tc>
          <w:tcPr>
            <w:tcW w:w="1144" w:type="pct"/>
            <w:shd w:val="clear" w:color="auto" w:fill="auto"/>
            <w:vAlign w:val="center"/>
          </w:tcPr>
          <w:p w:rsidR="003E1D2A" w:rsidRPr="00687B52" w:rsidRDefault="003E1D2A" w:rsidP="003E1D2A">
            <w:pPr>
              <w:pStyle w:val="a7"/>
              <w:spacing w:line="300" w:lineRule="exact"/>
              <w:jc w:val="both"/>
              <w:rPr>
                <w:rFonts w:ascii="宋体" w:hAnsi="宋体"/>
                <w:color w:val="000000" w:themeColor="text1"/>
                <w:szCs w:val="24"/>
              </w:rPr>
            </w:pPr>
            <w:r w:rsidRPr="00687B52">
              <w:rPr>
                <w:rFonts w:ascii="宋体" w:hAnsi="宋体" w:hint="eastAsia"/>
                <w:color w:val="000000" w:themeColor="text1"/>
                <w:szCs w:val="24"/>
              </w:rPr>
              <w:t>硝化棉溶解岗位生产作业是否使用铁器类撞击易产生火花的工具；</w:t>
            </w:r>
          </w:p>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宋体" w:hAnsi="宋体" w:hint="eastAsia"/>
                <w:color w:val="000000" w:themeColor="text1"/>
                <w:szCs w:val="24"/>
              </w:rPr>
              <w:t>溶解罐等设备是否采取有效防静电接地，硝化棉溶剂槽周围的地面是否采用不发火的地面（如敷设铝板等）。</w:t>
            </w:r>
          </w:p>
        </w:tc>
      </w:tr>
      <w:tr w:rsidR="003E1D2A" w:rsidRPr="00687B52" w:rsidTr="00E640A6">
        <w:tc>
          <w:tcPr>
            <w:tcW w:w="409" w:type="pct"/>
            <w:shd w:val="clear" w:color="auto" w:fill="auto"/>
            <w:vAlign w:val="center"/>
          </w:tcPr>
          <w:p w:rsidR="003E1D2A" w:rsidRPr="00687B52" w:rsidRDefault="004A501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2.3.2</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硝化棉溶解时，配料计量应准确，应控制好加料速度，应轻拿、轻放，做到边加料边溶解，投料不应过快，以防止投料过快，使未溶硝化棉与搅拌桨摩擦产生静电引起火灾爆炸。</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《涂料生产企业安全技术规程》AQ5204-2008  </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第5.3.2条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宋体" w:hAnsi="宋体" w:hint="eastAsia"/>
                <w:color w:val="000000" w:themeColor="text1"/>
                <w:szCs w:val="24"/>
              </w:rPr>
              <w:t>硝化棉溶解时，配料计量是否准确，是否控制好加料速度，是否轻拿、轻放。</w:t>
            </w:r>
          </w:p>
        </w:tc>
      </w:tr>
      <w:tr w:rsidR="003E1D2A" w:rsidRPr="00687B52" w:rsidTr="00E640A6">
        <w:tc>
          <w:tcPr>
            <w:tcW w:w="409" w:type="pct"/>
            <w:shd w:val="clear" w:color="auto" w:fill="auto"/>
            <w:vAlign w:val="center"/>
          </w:tcPr>
          <w:p w:rsidR="003E1D2A" w:rsidRPr="00687B52" w:rsidRDefault="004A501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2.3.3</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硝化棉要做到随用随领，剩余的生产用硝化棉应用包装盖密闭，不应再车间存放，应及时送回仓库。</w:t>
            </w:r>
          </w:p>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取消油漆厂生产过程中使用“固体”硝化棉，厂区更不允许储存“固体”硝化棉。</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《涂料生产企业安全技术规程》AQ5204-2008  </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第5.3.3条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宋体" w:hAnsi="宋体" w:hint="eastAsia"/>
                <w:color w:val="000000" w:themeColor="text1"/>
                <w:szCs w:val="24"/>
              </w:rPr>
              <w:t>硝化棉是否做到随用随领。</w:t>
            </w:r>
          </w:p>
        </w:tc>
      </w:tr>
      <w:tr w:rsidR="003E1D2A" w:rsidRPr="00687B52" w:rsidTr="00E640A6">
        <w:tc>
          <w:tcPr>
            <w:tcW w:w="409" w:type="pct"/>
            <w:shd w:val="clear" w:color="auto" w:fill="auto"/>
            <w:vAlign w:val="center"/>
          </w:tcPr>
          <w:p w:rsidR="003E1D2A" w:rsidRPr="00687B52" w:rsidRDefault="004A501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2.4</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b/>
                <w:color w:val="000000" w:themeColor="text1"/>
                <w:szCs w:val="24"/>
              </w:rPr>
            </w:pPr>
            <w:r w:rsidRPr="00687B52">
              <w:rPr>
                <w:rFonts w:ascii="宋体" w:hAnsi="宋体" w:hint="eastAsia"/>
                <w:b/>
                <w:color w:val="000000" w:themeColor="text1"/>
                <w:szCs w:val="24"/>
              </w:rPr>
              <w:t>生产安全——树脂生产</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4A501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2.4.1</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反应釜的装料量应根据所生产树脂品种的工艺技术要求和物料性质来确定装料量，但不应大于釜体容积的</w:t>
            </w:r>
            <w:r w:rsidRPr="00687B52">
              <w:rPr>
                <w:rFonts w:ascii="宋体" w:hAnsi="宋体"/>
                <w:color w:val="000000" w:themeColor="text1"/>
                <w:szCs w:val="24"/>
              </w:rPr>
              <w:t>70</w:t>
            </w:r>
            <w:r w:rsidRPr="00687B52">
              <w:rPr>
                <w:rFonts w:ascii="宋体" w:hAnsi="宋体" w:hint="eastAsia"/>
                <w:color w:val="000000" w:themeColor="text1"/>
                <w:szCs w:val="24"/>
              </w:rPr>
              <w:t>％，以防物料外溢出釜。反应釜最低液面应高于反应釜壁的加热面，搅拌时液面应有效淹没温度仪接触点。反应釜应导线接地，以防止加料时产生静电。</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Theme="minorEastAsia" w:eastAsiaTheme="minorEastAsia" w:hAnsiTheme="minorEastAsia" w:hint="eastAsia"/>
                <w:color w:val="000000" w:themeColor="text1"/>
                <w:szCs w:val="24"/>
              </w:rPr>
              <w:t>《涂料生产企业安全技术规程》</w:t>
            </w:r>
            <w:r w:rsidRPr="00687B52">
              <w:rPr>
                <w:rFonts w:ascii="宋体" w:hAnsi="宋体"/>
                <w:color w:val="000000" w:themeColor="text1"/>
                <w:szCs w:val="24"/>
              </w:rPr>
              <w:t>AQ5204-2008</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第5.</w:t>
            </w:r>
            <w:r w:rsidRPr="00687B52">
              <w:rPr>
                <w:rFonts w:ascii="宋体" w:hAnsi="宋体" w:hint="eastAsia"/>
                <w:color w:val="000000" w:themeColor="text1"/>
                <w:szCs w:val="24"/>
              </w:rPr>
              <w:t>4.1.2</w:t>
            </w:r>
            <w:r w:rsidRPr="00687B52">
              <w:rPr>
                <w:rFonts w:ascii="宋体" w:hAnsi="宋体"/>
                <w:color w:val="000000" w:themeColor="text1"/>
                <w:szCs w:val="24"/>
              </w:rPr>
              <w:t>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宋体" w:hAnsi="宋体" w:hint="eastAsia"/>
                <w:color w:val="000000" w:themeColor="text1"/>
                <w:szCs w:val="24"/>
              </w:rPr>
              <w:t>反应釜的装料量是否大于釜体容积的</w:t>
            </w:r>
            <w:r w:rsidRPr="00687B52">
              <w:rPr>
                <w:rFonts w:ascii="宋体" w:hAnsi="宋体"/>
                <w:color w:val="000000" w:themeColor="text1"/>
                <w:szCs w:val="24"/>
              </w:rPr>
              <w:t>70</w:t>
            </w:r>
            <w:r w:rsidRPr="00687B52">
              <w:rPr>
                <w:rFonts w:ascii="宋体" w:hAnsi="宋体" w:hint="eastAsia"/>
                <w:color w:val="000000" w:themeColor="text1"/>
                <w:szCs w:val="24"/>
              </w:rPr>
              <w:t>％，是否有导线接地。</w:t>
            </w:r>
          </w:p>
        </w:tc>
      </w:tr>
      <w:tr w:rsidR="003E1D2A" w:rsidRPr="00687B52" w:rsidTr="00E640A6">
        <w:tc>
          <w:tcPr>
            <w:tcW w:w="409" w:type="pct"/>
            <w:shd w:val="clear" w:color="auto" w:fill="auto"/>
            <w:vAlign w:val="center"/>
          </w:tcPr>
          <w:p w:rsidR="003E1D2A" w:rsidRPr="00687B52" w:rsidRDefault="004A5011"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2.4.2</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树脂生产过程的反应温度应按生产树脂的工艺技术要求控制，不应超过所用主要原料的自燃点温度。应定时采样测定树脂的酸值和黏度值等工艺控制指标，以防止胶化、自燃。</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Theme="minorEastAsia" w:eastAsiaTheme="minorEastAsia" w:hAnsiTheme="minorEastAsia" w:hint="eastAsia"/>
                <w:color w:val="000000" w:themeColor="text1"/>
                <w:szCs w:val="24"/>
              </w:rPr>
              <w:t>《涂料生产企业安全技术规程》</w:t>
            </w:r>
            <w:r w:rsidRPr="00687B52">
              <w:rPr>
                <w:rFonts w:ascii="宋体" w:hAnsi="宋体"/>
                <w:color w:val="000000" w:themeColor="text1"/>
                <w:szCs w:val="24"/>
              </w:rPr>
              <w:t>AQ5204-2008</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第5.</w:t>
            </w:r>
            <w:r w:rsidRPr="00687B52">
              <w:rPr>
                <w:rFonts w:ascii="宋体" w:hAnsi="宋体" w:hint="eastAsia"/>
                <w:color w:val="000000" w:themeColor="text1"/>
                <w:szCs w:val="24"/>
              </w:rPr>
              <w:t>4.2.1</w:t>
            </w:r>
            <w:r w:rsidRPr="00687B52">
              <w:rPr>
                <w:rFonts w:ascii="宋体" w:hAnsi="宋体"/>
                <w:color w:val="000000" w:themeColor="text1"/>
                <w:szCs w:val="24"/>
              </w:rPr>
              <w:t>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说明是否有温度监控措施，是否有工艺指标采集、分析措施。</w:t>
            </w:r>
          </w:p>
        </w:tc>
      </w:tr>
      <w:tr w:rsidR="003E1D2A" w:rsidRPr="00687B52" w:rsidTr="00E640A6">
        <w:tc>
          <w:tcPr>
            <w:tcW w:w="409" w:type="pct"/>
            <w:shd w:val="clear" w:color="auto" w:fill="auto"/>
            <w:vAlign w:val="center"/>
          </w:tcPr>
          <w:p w:rsidR="003E1D2A" w:rsidRPr="00687B52" w:rsidRDefault="003F6F0B"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2.4.3</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发生物料溢锅时，应立即进行处理。轻者可加适量硅油消泡剂等，降低其表面张力，使生产恢复正常。物料溢锅严重时，应立即停止加热，降温进行处理。</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Theme="minorEastAsia" w:eastAsiaTheme="minorEastAsia" w:hAnsiTheme="minorEastAsia" w:hint="eastAsia"/>
                <w:color w:val="000000" w:themeColor="text1"/>
                <w:szCs w:val="24"/>
              </w:rPr>
              <w:t>《涂料生产企业安全技术规程》</w:t>
            </w:r>
            <w:r w:rsidRPr="00687B52">
              <w:rPr>
                <w:rFonts w:ascii="宋体" w:hAnsi="宋体"/>
                <w:color w:val="000000" w:themeColor="text1"/>
                <w:szCs w:val="24"/>
              </w:rPr>
              <w:t>AQ5204-2008</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第5.</w:t>
            </w:r>
            <w:r w:rsidRPr="00687B52">
              <w:rPr>
                <w:rFonts w:ascii="宋体" w:hAnsi="宋体" w:hint="eastAsia"/>
                <w:color w:val="000000" w:themeColor="text1"/>
                <w:szCs w:val="24"/>
              </w:rPr>
              <w:t>4.2.2</w:t>
            </w:r>
            <w:r w:rsidRPr="00687B52">
              <w:rPr>
                <w:rFonts w:ascii="宋体" w:hAnsi="宋体"/>
                <w:color w:val="000000" w:themeColor="text1"/>
                <w:szCs w:val="24"/>
              </w:rPr>
              <w:t>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说明是否设置有硅油消泡剂设施。</w:t>
            </w:r>
          </w:p>
        </w:tc>
      </w:tr>
      <w:tr w:rsidR="003E1D2A" w:rsidRPr="00687B52" w:rsidTr="00E640A6">
        <w:tc>
          <w:tcPr>
            <w:tcW w:w="409" w:type="pct"/>
            <w:shd w:val="clear" w:color="auto" w:fill="auto"/>
            <w:vAlign w:val="center"/>
          </w:tcPr>
          <w:p w:rsidR="003E1D2A" w:rsidRPr="00687B52" w:rsidRDefault="003F6F0B" w:rsidP="003F6F0B">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2.4.4</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生产过程中发生物料胶化时，应立即采取降温处理措施。物料发生胶化时，可采取加解聚剂等措施中止胶化的续展，至生产情况恢复正常后才能继续生产。</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Theme="minorEastAsia" w:eastAsiaTheme="minorEastAsia" w:hAnsiTheme="minorEastAsia" w:hint="eastAsia"/>
                <w:color w:val="000000" w:themeColor="text1"/>
                <w:szCs w:val="24"/>
              </w:rPr>
              <w:t>《涂料生产企业安全技术规程》</w:t>
            </w:r>
            <w:r w:rsidRPr="00687B52">
              <w:rPr>
                <w:rFonts w:ascii="宋体" w:hAnsi="宋体"/>
                <w:color w:val="000000" w:themeColor="text1"/>
                <w:szCs w:val="24"/>
              </w:rPr>
              <w:t>AQ5204-2008</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第5.</w:t>
            </w:r>
            <w:r w:rsidRPr="00687B52">
              <w:rPr>
                <w:rFonts w:ascii="宋体" w:hAnsi="宋体" w:hint="eastAsia"/>
                <w:color w:val="000000" w:themeColor="text1"/>
                <w:szCs w:val="24"/>
              </w:rPr>
              <w:t>4.2.3</w:t>
            </w:r>
            <w:r w:rsidRPr="00687B52">
              <w:rPr>
                <w:rFonts w:ascii="宋体" w:hAnsi="宋体"/>
                <w:color w:val="000000" w:themeColor="text1"/>
                <w:szCs w:val="24"/>
              </w:rPr>
              <w:t>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说明是否有解聚剂设施。</w:t>
            </w:r>
          </w:p>
        </w:tc>
      </w:tr>
      <w:tr w:rsidR="003E1D2A" w:rsidRPr="00687B52" w:rsidTr="00E640A6">
        <w:tc>
          <w:tcPr>
            <w:tcW w:w="409" w:type="pct"/>
            <w:vMerge w:val="restart"/>
            <w:shd w:val="clear" w:color="auto" w:fill="auto"/>
            <w:vAlign w:val="center"/>
          </w:tcPr>
          <w:p w:rsidR="003E1D2A" w:rsidRPr="00687B52" w:rsidRDefault="003F6F0B"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2.4.5</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树脂反应过程中，如遇突然停电或停水时，应立即停止加热，通入二氧化碳（或氮气）等惰性气体代替机械搅拌，以防止胶化。并应视生产情况采取相应措施或紧急出料。</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Theme="minorEastAsia" w:eastAsiaTheme="minorEastAsia" w:hAnsiTheme="minorEastAsia" w:hint="eastAsia"/>
                <w:color w:val="000000" w:themeColor="text1"/>
                <w:szCs w:val="24"/>
              </w:rPr>
              <w:t>《涂料生产企业安全技术规程》</w:t>
            </w:r>
            <w:r w:rsidRPr="00687B52">
              <w:rPr>
                <w:rFonts w:ascii="宋体" w:hAnsi="宋体"/>
                <w:color w:val="000000" w:themeColor="text1"/>
                <w:szCs w:val="24"/>
              </w:rPr>
              <w:t>AQ5204-2008</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第5.</w:t>
            </w:r>
            <w:r w:rsidRPr="00687B52">
              <w:rPr>
                <w:rFonts w:ascii="宋体" w:hAnsi="宋体" w:hint="eastAsia"/>
                <w:color w:val="000000" w:themeColor="text1"/>
                <w:szCs w:val="24"/>
              </w:rPr>
              <w:t>4.2.4</w:t>
            </w:r>
            <w:r w:rsidRPr="00687B52">
              <w:rPr>
                <w:rFonts w:ascii="宋体" w:hAnsi="宋体"/>
                <w:color w:val="000000" w:themeColor="text1"/>
                <w:szCs w:val="24"/>
              </w:rPr>
              <w:t>条</w:t>
            </w:r>
          </w:p>
        </w:tc>
        <w:tc>
          <w:tcPr>
            <w:tcW w:w="1144" w:type="pct"/>
            <w:vMerge w:val="restar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说明是否有惰性气体保护装置。</w:t>
            </w:r>
          </w:p>
        </w:tc>
      </w:tr>
      <w:tr w:rsidR="003E1D2A" w:rsidRPr="00687B52" w:rsidTr="00E640A6">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树脂反应过程中，如遇反应釜内物料起火时，应立即停止加热，切断电源，通入二氧化碳（或氮气）等惰性气体，隔绝空气及时扑熄。</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Theme="minorEastAsia" w:eastAsiaTheme="minorEastAsia" w:hAnsiTheme="minorEastAsia" w:hint="eastAsia"/>
                <w:color w:val="000000" w:themeColor="text1"/>
                <w:szCs w:val="24"/>
              </w:rPr>
              <w:t>《涂料生产企业安全技术规程》</w:t>
            </w:r>
            <w:r w:rsidRPr="00687B52">
              <w:rPr>
                <w:rFonts w:ascii="宋体" w:hAnsi="宋体"/>
                <w:color w:val="000000" w:themeColor="text1"/>
                <w:szCs w:val="24"/>
              </w:rPr>
              <w:t>AQ5204-2008</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第5.</w:t>
            </w:r>
            <w:r w:rsidRPr="00687B52">
              <w:rPr>
                <w:rFonts w:ascii="宋体" w:hAnsi="宋体" w:hint="eastAsia"/>
                <w:color w:val="000000" w:themeColor="text1"/>
                <w:szCs w:val="24"/>
              </w:rPr>
              <w:t>4.2.5</w:t>
            </w:r>
            <w:r w:rsidRPr="00687B52">
              <w:rPr>
                <w:rFonts w:ascii="宋体" w:hAnsi="宋体"/>
                <w:color w:val="000000" w:themeColor="text1"/>
                <w:szCs w:val="24"/>
              </w:rPr>
              <w:t>条</w:t>
            </w:r>
          </w:p>
        </w:tc>
        <w:tc>
          <w:tcPr>
            <w:tcW w:w="1144" w:type="pct"/>
            <w:vMerge/>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3F6F0B"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2.4.6</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稀释罐（釜）的装料量应根据所生产树脂品种的工艺技术要求和物料的性质来确定装料量，但不应大于稀释罐（釜）容量的80%，以防止物料外溢。</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Theme="minorEastAsia" w:eastAsiaTheme="minorEastAsia" w:hAnsiTheme="minorEastAsia" w:hint="eastAsia"/>
                <w:color w:val="000000" w:themeColor="text1"/>
                <w:szCs w:val="24"/>
              </w:rPr>
              <w:t>《涂料生产企业安全技术规程》</w:t>
            </w:r>
            <w:r w:rsidRPr="00687B52">
              <w:rPr>
                <w:rFonts w:ascii="宋体" w:hAnsi="宋体"/>
                <w:color w:val="000000" w:themeColor="text1"/>
                <w:szCs w:val="24"/>
              </w:rPr>
              <w:t>AQ5204-2008</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第5.</w:t>
            </w:r>
            <w:r w:rsidRPr="00687B52">
              <w:rPr>
                <w:rFonts w:ascii="宋体" w:hAnsi="宋体" w:hint="eastAsia"/>
                <w:color w:val="000000" w:themeColor="text1"/>
                <w:szCs w:val="24"/>
              </w:rPr>
              <w:t>4.4.3</w:t>
            </w:r>
            <w:r w:rsidRPr="00687B52">
              <w:rPr>
                <w:rFonts w:ascii="宋体" w:hAnsi="宋体"/>
                <w:color w:val="000000" w:themeColor="text1"/>
                <w:szCs w:val="24"/>
              </w:rPr>
              <w:t>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说明稀释罐是否设置液位计。</w:t>
            </w: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2.5</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b/>
                <w:color w:val="000000" w:themeColor="text1"/>
                <w:szCs w:val="24"/>
              </w:rPr>
            </w:pPr>
            <w:r w:rsidRPr="00687B52">
              <w:rPr>
                <w:rFonts w:ascii="宋体" w:hAnsi="宋体" w:hint="eastAsia"/>
                <w:b/>
                <w:color w:val="000000" w:themeColor="text1"/>
                <w:szCs w:val="24"/>
              </w:rPr>
              <w:t>生产安全——粉末涂料</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2.5.1</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粉碎包装车间应设置除尘和粉尘回收装置，并应加强排风，控制粉尘浓度处于粉尘爆炸浓度范围以外。粉尘防爆应符合GB15577的规定。</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Theme="minorEastAsia" w:eastAsiaTheme="minorEastAsia" w:hAnsiTheme="minorEastAsia" w:hint="eastAsia"/>
                <w:color w:val="000000" w:themeColor="text1"/>
                <w:szCs w:val="24"/>
              </w:rPr>
              <w:t>《涂料生产企业安全技术规程》</w:t>
            </w:r>
            <w:r w:rsidRPr="00687B52">
              <w:rPr>
                <w:rFonts w:ascii="宋体" w:hAnsi="宋体"/>
                <w:color w:val="000000" w:themeColor="text1"/>
                <w:szCs w:val="24"/>
              </w:rPr>
              <w:t>AQ5204-2008</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宋体" w:hAnsi="宋体"/>
                <w:color w:val="000000" w:themeColor="text1"/>
                <w:szCs w:val="24"/>
              </w:rPr>
              <w:t>第5.</w:t>
            </w:r>
            <w:r w:rsidRPr="00687B52">
              <w:rPr>
                <w:rFonts w:ascii="宋体" w:hAnsi="宋体" w:hint="eastAsia"/>
                <w:color w:val="000000" w:themeColor="text1"/>
                <w:szCs w:val="24"/>
              </w:rPr>
              <w:t>5.1</w:t>
            </w:r>
            <w:r w:rsidRPr="00687B52">
              <w:rPr>
                <w:rFonts w:ascii="宋体" w:hAnsi="宋体"/>
                <w:color w:val="000000" w:themeColor="text1"/>
                <w:szCs w:val="24"/>
              </w:rPr>
              <w:t>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宋体" w:hAnsi="宋体" w:hint="eastAsia"/>
                <w:color w:val="000000" w:themeColor="text1"/>
                <w:szCs w:val="24"/>
              </w:rPr>
              <w:t>说明是否设置除尘和粉尘回收装置。</w:t>
            </w: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2.5.2</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粉尘爆炸危险场所应杜绝各种非生产性明火存在，所用电气设备必须是粉尘防爆型的。</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《粉尘防爆安全规程》GB15577-2007</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第4.6条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说明作业场所是否有非生产性明火，电气设备是否采用粉尘防爆型。</w:t>
            </w: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2.5.3</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车间地面应采用不发火花的地面，应经常检查设备的静电接地情况。</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Theme="minorEastAsia" w:eastAsiaTheme="minorEastAsia" w:hAnsiTheme="minorEastAsia" w:hint="eastAsia"/>
                <w:color w:val="000000" w:themeColor="text1"/>
                <w:szCs w:val="24"/>
              </w:rPr>
              <w:t>《涂料生产企业安全技术规程》</w:t>
            </w:r>
            <w:r w:rsidRPr="00687B52">
              <w:rPr>
                <w:rFonts w:ascii="宋体" w:hAnsi="宋体"/>
                <w:color w:val="000000" w:themeColor="text1"/>
                <w:szCs w:val="24"/>
              </w:rPr>
              <w:t>AQ5204-2008</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宋体" w:hAnsi="宋体"/>
                <w:color w:val="000000" w:themeColor="text1"/>
                <w:szCs w:val="24"/>
              </w:rPr>
              <w:t>第5.</w:t>
            </w:r>
            <w:r w:rsidRPr="00687B52">
              <w:rPr>
                <w:rFonts w:ascii="宋体" w:hAnsi="宋体" w:hint="eastAsia"/>
                <w:color w:val="000000" w:themeColor="text1"/>
                <w:szCs w:val="24"/>
              </w:rPr>
              <w:t>5.2</w:t>
            </w:r>
            <w:r w:rsidRPr="00687B52">
              <w:rPr>
                <w:rFonts w:ascii="宋体" w:hAnsi="宋体"/>
                <w:color w:val="000000" w:themeColor="text1"/>
                <w:szCs w:val="24"/>
              </w:rPr>
              <w:t>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说明是否采用不发火花的地面，设备静电接地是否良好。</w:t>
            </w: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2.5.4</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包装好的粉末涂料产品，应尽快送到单独的储存室，及时清除地面和回收装置内的堆积粉尘，以防止粉尘火灾引燃而发生爆炸。</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Theme="minorEastAsia" w:eastAsiaTheme="minorEastAsia" w:hAnsiTheme="minorEastAsia" w:hint="eastAsia"/>
                <w:color w:val="000000" w:themeColor="text1"/>
                <w:szCs w:val="24"/>
              </w:rPr>
              <w:t>《涂料生产企业安全技术规程》</w:t>
            </w:r>
            <w:r w:rsidRPr="00687B52">
              <w:rPr>
                <w:rFonts w:ascii="宋体" w:hAnsi="宋体"/>
                <w:color w:val="000000" w:themeColor="text1"/>
                <w:szCs w:val="24"/>
              </w:rPr>
              <w:t>AQ5204-2008</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第5.</w:t>
            </w:r>
            <w:r w:rsidRPr="00687B52">
              <w:rPr>
                <w:rFonts w:ascii="宋体" w:hAnsi="宋体" w:hint="eastAsia"/>
                <w:color w:val="000000" w:themeColor="text1"/>
                <w:szCs w:val="24"/>
              </w:rPr>
              <w:t>5.3</w:t>
            </w:r>
            <w:r w:rsidRPr="00687B52">
              <w:rPr>
                <w:rFonts w:ascii="宋体" w:hAnsi="宋体"/>
                <w:color w:val="000000" w:themeColor="text1"/>
                <w:szCs w:val="24"/>
              </w:rPr>
              <w:t>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说明是否有粉末储存仓库，地面是否清洁。</w:t>
            </w: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2.6</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设备设施</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2.6.1</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对于在用的危险化学品生产及储存设备，设备完好率应达到100%，使用危险化学品的设备及管路应无泄漏。达不到此要求每年要定期检修、大修或更新。</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hint="eastAsia"/>
                <w:color w:val="000000" w:themeColor="text1"/>
                <w:szCs w:val="24"/>
              </w:rPr>
              <w:t>《生产设备安全卫生设计总则》</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hint="eastAsia"/>
                <w:color w:val="000000" w:themeColor="text1"/>
                <w:szCs w:val="24"/>
              </w:rPr>
              <w:t>GB5083-1999</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第6.4.1条</w:t>
            </w:r>
          </w:p>
        </w:tc>
        <w:tc>
          <w:tcPr>
            <w:tcW w:w="1144" w:type="pct"/>
            <w:shd w:val="clear" w:color="auto" w:fill="auto"/>
            <w:vAlign w:val="center"/>
          </w:tcPr>
          <w:p w:rsidR="003E1D2A" w:rsidRPr="00687B52" w:rsidRDefault="003E1D2A" w:rsidP="003E1D2A">
            <w:pPr>
              <w:pStyle w:val="a7"/>
              <w:spacing w:line="300" w:lineRule="exact"/>
              <w:jc w:val="both"/>
              <w:rPr>
                <w:rFonts w:ascii="宋体" w:hAnsi="宋体"/>
                <w:color w:val="000000" w:themeColor="text1"/>
                <w:szCs w:val="24"/>
              </w:rPr>
            </w:pPr>
            <w:r w:rsidRPr="00687B52">
              <w:rPr>
                <w:rFonts w:ascii="宋体" w:hAnsi="宋体" w:hint="eastAsia"/>
                <w:color w:val="000000" w:themeColor="text1"/>
                <w:szCs w:val="32"/>
              </w:rPr>
              <w:t>生产、使用、储存和运输易燃易爆物质和可燃物质的生产设备，是否存在跑、冒、滴、漏的现象。</w:t>
            </w: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2.6.2</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color w:val="000000" w:themeColor="text1"/>
              </w:rPr>
              <w:t>凡属下列情况之一的容器必须安装安全阀：</w:t>
            </w:r>
            <w:r w:rsidRPr="00687B52">
              <w:rPr>
                <w:rFonts w:hAnsi="宋体"/>
                <w:color w:val="000000" w:themeColor="text1"/>
              </w:rPr>
              <w:t>1</w:t>
            </w:r>
            <w:r w:rsidRPr="00687B52">
              <w:rPr>
                <w:rFonts w:hAnsi="宋体"/>
                <w:color w:val="000000" w:themeColor="text1"/>
              </w:rPr>
              <w:t>）独立的压力系统（有切断阀与其它系统分开）。该系统指全气相、全液相或气相连通；</w:t>
            </w:r>
            <w:r w:rsidRPr="00687B52">
              <w:rPr>
                <w:rFonts w:hAnsi="宋体"/>
                <w:color w:val="000000" w:themeColor="text1"/>
              </w:rPr>
              <w:t>2</w:t>
            </w:r>
            <w:r w:rsidRPr="00687B52">
              <w:rPr>
                <w:rFonts w:hAnsi="宋体"/>
                <w:color w:val="000000" w:themeColor="text1"/>
              </w:rPr>
              <w:t>）容器的压力物料来源处没有安全阀的场合；</w:t>
            </w:r>
            <w:r w:rsidRPr="00687B52">
              <w:rPr>
                <w:rFonts w:hAnsi="宋体"/>
                <w:color w:val="000000" w:themeColor="text1"/>
              </w:rPr>
              <w:t>3</w:t>
            </w:r>
            <w:r w:rsidRPr="00687B52">
              <w:rPr>
                <w:rFonts w:hAnsi="宋体"/>
                <w:color w:val="000000" w:themeColor="text1"/>
              </w:rPr>
              <w:t>）设计压力小于压力来源处的压力的容器及管道；</w:t>
            </w:r>
            <w:r w:rsidRPr="00687B52">
              <w:rPr>
                <w:rFonts w:hAnsi="宋体"/>
                <w:color w:val="000000" w:themeColor="text1"/>
              </w:rPr>
              <w:t>4</w:t>
            </w:r>
            <w:r w:rsidRPr="00687B52">
              <w:rPr>
                <w:rFonts w:hAnsi="宋体"/>
                <w:color w:val="000000" w:themeColor="text1"/>
              </w:rPr>
              <w:t>）容积式泵和压缩机的出口管道；</w:t>
            </w:r>
            <w:r w:rsidRPr="00687B52">
              <w:rPr>
                <w:rFonts w:hAnsi="宋体"/>
                <w:color w:val="000000" w:themeColor="text1"/>
              </w:rPr>
              <w:t>5</w:t>
            </w:r>
            <w:r w:rsidRPr="00687B52">
              <w:rPr>
                <w:rFonts w:hAnsi="宋体"/>
                <w:color w:val="000000" w:themeColor="text1"/>
              </w:rPr>
              <w:t>）由于不凝气的累积产生超压的容器；</w:t>
            </w:r>
            <w:r w:rsidRPr="00687B52">
              <w:rPr>
                <w:rFonts w:hAnsi="宋体"/>
                <w:color w:val="000000" w:themeColor="text1"/>
              </w:rPr>
              <w:t>6</w:t>
            </w:r>
            <w:r w:rsidRPr="00687B52">
              <w:rPr>
                <w:rFonts w:hAnsi="宋体"/>
                <w:color w:val="000000" w:themeColor="text1"/>
              </w:rPr>
              <w:t>）由于工艺事故、自控事故、电力事故、火灾事故和公用工程事故引起的超压部位；</w:t>
            </w:r>
            <w:r w:rsidRPr="00687B52">
              <w:rPr>
                <w:rFonts w:hAnsi="宋体"/>
                <w:color w:val="000000" w:themeColor="text1"/>
              </w:rPr>
              <w:t>7</w:t>
            </w:r>
            <w:r w:rsidRPr="00687B52">
              <w:rPr>
                <w:rFonts w:hAnsi="宋体"/>
                <w:color w:val="000000" w:themeColor="text1"/>
              </w:rPr>
              <w:t>）液体因两端阀门关闭而产生热膨胀的部位；</w:t>
            </w:r>
            <w:r w:rsidRPr="00687B52">
              <w:rPr>
                <w:rFonts w:hAnsi="宋体"/>
                <w:color w:val="000000" w:themeColor="text1"/>
              </w:rPr>
              <w:t>8</w:t>
            </w:r>
            <w:r w:rsidRPr="00687B52">
              <w:rPr>
                <w:rFonts w:hAnsi="宋体"/>
                <w:color w:val="000000" w:themeColor="text1"/>
              </w:rPr>
              <w:t>）某些情况下，由于泵出口止回阀的泄漏，则在泵的入口管道上设置安全阀；</w:t>
            </w:r>
            <w:r w:rsidRPr="00687B52">
              <w:rPr>
                <w:rFonts w:hAnsi="宋体"/>
                <w:color w:val="000000" w:themeColor="text1"/>
              </w:rPr>
              <w:t>9</w:t>
            </w:r>
            <w:r w:rsidRPr="00687B52">
              <w:rPr>
                <w:rFonts w:hAnsi="宋体"/>
                <w:color w:val="000000" w:themeColor="text1"/>
              </w:rPr>
              <w:t>）其它应设置安全阀的地方。</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《安全阀的设置和选用</w:t>
            </w:r>
            <w:r w:rsidRPr="00687B52">
              <w:rPr>
                <w:rFonts w:asciiTheme="minorEastAsia" w:eastAsiaTheme="minorEastAsia" w:hAnsiTheme="minorEastAsia"/>
                <w:color w:val="000000" w:themeColor="text1"/>
                <w:szCs w:val="24"/>
              </w:rPr>
              <w:t>HG/T20570</w:t>
            </w:r>
            <w:r w:rsidRPr="00687B52">
              <w:rPr>
                <w:rFonts w:asciiTheme="minorEastAsia" w:eastAsiaTheme="minorEastAsia" w:hAnsiTheme="minorEastAsia" w:hint="eastAsia"/>
                <w:color w:val="000000" w:themeColor="text1"/>
                <w:szCs w:val="24"/>
              </w:rPr>
              <w:t>.2</w:t>
            </w:r>
            <w:r w:rsidRPr="00687B52">
              <w:rPr>
                <w:rFonts w:asciiTheme="minorEastAsia" w:eastAsiaTheme="minorEastAsia" w:hAnsiTheme="minorEastAsia"/>
                <w:color w:val="000000" w:themeColor="text1"/>
                <w:szCs w:val="24"/>
              </w:rPr>
              <w:t>-</w:t>
            </w:r>
            <w:r w:rsidRPr="00687B52">
              <w:rPr>
                <w:rFonts w:asciiTheme="minorEastAsia" w:eastAsiaTheme="minorEastAsia" w:hAnsiTheme="minorEastAsia" w:hint="eastAsia"/>
                <w:color w:val="000000" w:themeColor="text1"/>
                <w:szCs w:val="24"/>
              </w:rPr>
              <w:t>19</w:t>
            </w:r>
            <w:r w:rsidRPr="00687B52">
              <w:rPr>
                <w:rFonts w:asciiTheme="minorEastAsia" w:eastAsiaTheme="minorEastAsia" w:hAnsiTheme="minorEastAsia"/>
                <w:color w:val="000000" w:themeColor="text1"/>
                <w:szCs w:val="24"/>
              </w:rPr>
              <w:t>95</w:t>
            </w:r>
          </w:p>
          <w:p w:rsidR="003E1D2A" w:rsidRPr="00687B52" w:rsidRDefault="003E1D2A" w:rsidP="003E1D2A">
            <w:pPr>
              <w:pStyle w:val="a7"/>
              <w:spacing w:line="300" w:lineRule="exact"/>
              <w:rPr>
                <w:rFonts w:hAnsi="宋体"/>
                <w:color w:val="000000" w:themeColor="text1"/>
              </w:rPr>
            </w:pPr>
            <w:r w:rsidRPr="00687B52">
              <w:rPr>
                <w:rFonts w:asciiTheme="minorEastAsia" w:eastAsiaTheme="minorEastAsia" w:hAnsiTheme="minorEastAsia"/>
                <w:color w:val="000000" w:themeColor="text1"/>
                <w:szCs w:val="24"/>
              </w:rPr>
              <w:t>第4.4.1条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可能发生超压事故的场所是否安装安全阀。</w:t>
            </w: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2.6.3</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涉及易燃易爆及有毒介质的安全阀及其他泄放设施，严禁直排大气。</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《化工（危险化学品）企业安全检查重点指导目录》安监总管三[2015]113号</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安全阀及其他泄放设施，是否直排大气。</w:t>
            </w: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2.6.4</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凡工艺上有放空的设备均应设放空装置，并定期检查其有效性。用于间歇排放的可燃气体的放空口，应高出10米范围内平台或建筑物顶3.5米以上，并应有防静电接地措施，不应将导出管置于下水道等限制性空间内，以免引起爆炸。放空管应选用金属材料，不应使用塑料管或橡胶管。释放压力大于等于0.1MPa的放空管应采用不锈钢材料。放空管口应装阻火装置。</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hint="eastAsia"/>
                <w:color w:val="000000" w:themeColor="text1"/>
                <w:szCs w:val="24"/>
              </w:rPr>
              <w:t>《涂料生产企业安全技术规程》AQ5204-2008第4.10.1条</w:t>
            </w:r>
          </w:p>
        </w:tc>
        <w:tc>
          <w:tcPr>
            <w:tcW w:w="1144" w:type="pct"/>
            <w:shd w:val="clear" w:color="auto" w:fill="auto"/>
            <w:vAlign w:val="center"/>
          </w:tcPr>
          <w:p w:rsidR="003E1D2A" w:rsidRPr="00687B52" w:rsidRDefault="003E1D2A" w:rsidP="003E1D2A">
            <w:pPr>
              <w:pStyle w:val="a7"/>
              <w:spacing w:line="300" w:lineRule="exact"/>
              <w:jc w:val="both"/>
              <w:rPr>
                <w:rFonts w:ascii="宋体" w:hAnsi="宋体"/>
                <w:color w:val="000000" w:themeColor="text1"/>
                <w:szCs w:val="32"/>
              </w:rPr>
            </w:pPr>
            <w:r w:rsidRPr="00687B52">
              <w:rPr>
                <w:rFonts w:ascii="宋体" w:hAnsi="宋体" w:hint="eastAsia"/>
                <w:color w:val="000000" w:themeColor="text1"/>
                <w:szCs w:val="32"/>
              </w:rPr>
              <w:t>可燃气体的放空口距平台或建筑物顶米（填写数字）；</w:t>
            </w:r>
          </w:p>
          <w:p w:rsidR="003E1D2A" w:rsidRPr="00687B52" w:rsidRDefault="003E1D2A" w:rsidP="003E1D2A">
            <w:pPr>
              <w:pStyle w:val="a7"/>
              <w:spacing w:line="300" w:lineRule="exact"/>
              <w:jc w:val="both"/>
              <w:rPr>
                <w:rFonts w:ascii="宋体" w:hAnsi="宋体"/>
                <w:color w:val="000000" w:themeColor="text1"/>
                <w:szCs w:val="32"/>
              </w:rPr>
            </w:pPr>
            <w:r w:rsidRPr="00687B52">
              <w:rPr>
                <w:rFonts w:ascii="宋体" w:hAnsi="宋体" w:hint="eastAsia"/>
                <w:color w:val="000000" w:themeColor="text1"/>
                <w:szCs w:val="32"/>
              </w:rPr>
              <w:t>放空管是否采用金属管；</w:t>
            </w:r>
          </w:p>
          <w:p w:rsidR="003E1D2A" w:rsidRPr="00687B52" w:rsidRDefault="003E1D2A" w:rsidP="003E1D2A">
            <w:pPr>
              <w:pStyle w:val="a7"/>
              <w:spacing w:line="300" w:lineRule="exact"/>
              <w:jc w:val="both"/>
              <w:rPr>
                <w:rFonts w:ascii="宋体" w:hAnsi="宋体"/>
                <w:color w:val="000000" w:themeColor="text1"/>
                <w:szCs w:val="32"/>
              </w:rPr>
            </w:pPr>
            <w:r w:rsidRPr="00687B52">
              <w:rPr>
                <w:rFonts w:ascii="宋体" w:hAnsi="宋体" w:hint="eastAsia"/>
                <w:color w:val="000000" w:themeColor="text1"/>
                <w:szCs w:val="32"/>
              </w:rPr>
              <w:t>放空管口是否安装了阻火装置。</w:t>
            </w: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2.6.5</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易燃液体不宜使用玻璃管液位计。当使用玻璃管液位计时应加护套等保护措施。</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AQ2504-2008</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第4.10.2条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hAnsi="宋体" w:hint="eastAsia"/>
                <w:color w:val="000000" w:themeColor="text1"/>
              </w:rPr>
              <w:t>液位计是否符合设置要求。</w:t>
            </w: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2.6.6</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树脂反应釜温度控制装置应有冗余设计，宜使用两套控制仪器，并定期校验。树脂反应釜的安全附件、安全保护装置、测量调控装置及有关附属仪器应完整、齐全、有效。</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AQ2504-2008</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第4.10.3条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hAnsi="宋体" w:hint="eastAsia"/>
                <w:color w:val="000000" w:themeColor="text1"/>
              </w:rPr>
              <w:t>树脂反应釜温度控制装置是否有冗余设计。</w:t>
            </w: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2.6.7</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生产含油易燃液体色漆的研磨设备应使用封闭式砂磨机，使用的配料缸、调漆缸、拉缸等敞开式设备应加盖防止易燃液体挥发。</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油漆生产企业应逐步更新淘汰不封闭的研磨设备，且树脂合成釜的加料口、配料罐、调漆罐、高搅罐等应设置引风装置。</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《涂料生产企业安全技术规程》AQ5204-2008  </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第5.1.4条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生产含油易燃液体色漆的研磨设备是否使用封闭式砂磨机，使用的配料缸、调漆缸、拉缸等敞开式设备是否加盖防止易燃液体挥发；</w:t>
            </w:r>
          </w:p>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树脂合成釜的加料口、配料罐、调漆罐、高搅罐等是否有引风装置。</w:t>
            </w: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2.6.8</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color w:val="000000" w:themeColor="text1"/>
                <w:szCs w:val="24"/>
              </w:rPr>
              <w:t>设备本身应具备必要的防护。对有爆炸危险的设备，还应具备泄压、防爆等装置。各种外露的传动设备或危险部位，应有便于观察传动运行的安全防护装置，机械设备上安装的各种防护罩按照GB／T 8196。</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宋体" w:hAnsi="宋体"/>
                <w:color w:val="000000" w:themeColor="text1"/>
                <w:szCs w:val="24"/>
              </w:rPr>
              <w:t>涂料生产企业职业健康技术规范》AQ5204-2008</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第4.8.4条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2.6.9</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color w:val="000000" w:themeColor="text1"/>
                <w:szCs w:val="24"/>
              </w:rPr>
              <w:t>在设备、设施、管线上有发生坠落危险的部位，应配置便于人员操作、检查和维修的扶梯、平台、围栏和安全系挂装置等附属设施。扶梯、平台和栏杆的设置应符合GB 4053．1、GB 4053．2、GB 4053．3、GB 4053．4的规定。</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w:t>
            </w:r>
            <w:r w:rsidRPr="00687B52">
              <w:rPr>
                <w:rFonts w:asciiTheme="minorEastAsia" w:eastAsiaTheme="minorEastAsia" w:hAnsiTheme="minorEastAsia"/>
                <w:color w:val="000000" w:themeColor="text1"/>
                <w:szCs w:val="24"/>
              </w:rPr>
              <w:t>AQ5204-2008</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第4.8.5条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2.6.10</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易燃易爆甲、乙类场所建（构）筑物配置的钢质扶梯、平台等应覆盖耐火层。涂有耐火层的构建，其耐火极限时间不应低于</w:t>
            </w:r>
            <w:r w:rsidRPr="00687B52">
              <w:rPr>
                <w:rFonts w:hAnsi="宋体" w:hint="eastAsia"/>
                <w:color w:val="000000" w:themeColor="text1"/>
              </w:rPr>
              <w:t>1.5h</w:t>
            </w:r>
            <w:r w:rsidRPr="00687B52">
              <w:rPr>
                <w:rFonts w:hAnsi="宋体" w:hint="eastAsia"/>
                <w:color w:val="000000" w:themeColor="text1"/>
              </w:rPr>
              <w:t>。当耐火层选用防火涂料时，应采用有利于防烃类火灾的防火涂料。</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w:t>
            </w:r>
            <w:r w:rsidRPr="00687B52">
              <w:rPr>
                <w:rFonts w:asciiTheme="minorEastAsia" w:eastAsiaTheme="minorEastAsia" w:hAnsiTheme="minorEastAsia"/>
                <w:color w:val="000000" w:themeColor="text1"/>
                <w:szCs w:val="24"/>
              </w:rPr>
              <w:t>AQ5204-2008</w:t>
            </w:r>
          </w:p>
          <w:p w:rsidR="003E1D2A" w:rsidRPr="00687B52" w:rsidRDefault="003E1D2A" w:rsidP="003E1D2A">
            <w:pPr>
              <w:pStyle w:val="a7"/>
              <w:spacing w:line="300" w:lineRule="exact"/>
              <w:rPr>
                <w:rFonts w:hAnsi="宋体"/>
                <w:color w:val="000000" w:themeColor="text1"/>
              </w:rPr>
            </w:pPr>
            <w:r w:rsidRPr="00687B52">
              <w:rPr>
                <w:rFonts w:asciiTheme="minorEastAsia" w:eastAsiaTheme="minorEastAsia" w:hAnsiTheme="minorEastAsia"/>
                <w:color w:val="000000" w:themeColor="text1"/>
                <w:szCs w:val="24"/>
              </w:rPr>
              <w:t>第4.8.</w:t>
            </w:r>
            <w:r w:rsidRPr="00687B52">
              <w:rPr>
                <w:rFonts w:asciiTheme="minorEastAsia" w:eastAsiaTheme="minorEastAsia" w:hAnsiTheme="minorEastAsia" w:hint="eastAsia"/>
                <w:color w:val="000000" w:themeColor="text1"/>
                <w:szCs w:val="24"/>
              </w:rPr>
              <w:t>6</w:t>
            </w:r>
            <w:r w:rsidRPr="00687B52">
              <w:rPr>
                <w:rFonts w:asciiTheme="minorEastAsia" w:eastAsiaTheme="minorEastAsia" w:hAnsiTheme="minorEastAsia"/>
                <w:color w:val="000000" w:themeColor="text1"/>
                <w:szCs w:val="24"/>
              </w:rPr>
              <w:t>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2.6.11</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管道布置应满足便于操作、安装和维修的要求，采用架空敷设，规划有序、布局整齐。输送易燃流体的管道不应布置在室内的吊顶内机建（构）筑物封闭的夹层内。</w:t>
            </w:r>
          </w:p>
        </w:tc>
        <w:tc>
          <w:tcPr>
            <w:tcW w:w="972" w:type="pct"/>
            <w:shd w:val="clear" w:color="auto" w:fill="auto"/>
            <w:vAlign w:val="center"/>
          </w:tcPr>
          <w:p w:rsidR="003E1D2A" w:rsidRPr="00687B52" w:rsidRDefault="003E1D2A" w:rsidP="003E1D2A">
            <w:pPr>
              <w:pStyle w:val="a7"/>
              <w:spacing w:line="300" w:lineRule="exact"/>
              <w:rPr>
                <w:rFonts w:hAnsi="宋体"/>
                <w:color w:val="000000" w:themeColor="text1"/>
              </w:rPr>
            </w:pPr>
            <w:r w:rsidRPr="00687B52">
              <w:rPr>
                <w:rFonts w:hAnsi="宋体" w:hint="eastAsia"/>
                <w:color w:val="000000" w:themeColor="text1"/>
              </w:rPr>
              <w:t>《涂料生产企业安全技术规程》</w:t>
            </w:r>
          </w:p>
          <w:p w:rsidR="003E1D2A" w:rsidRPr="00687B52" w:rsidRDefault="003E1D2A" w:rsidP="003E1D2A">
            <w:pPr>
              <w:pStyle w:val="a7"/>
              <w:spacing w:line="300" w:lineRule="exact"/>
              <w:rPr>
                <w:rFonts w:hAnsi="宋体"/>
                <w:color w:val="000000" w:themeColor="text1"/>
              </w:rPr>
            </w:pPr>
            <w:r w:rsidRPr="00687B52">
              <w:rPr>
                <w:rFonts w:hAnsi="宋体"/>
                <w:color w:val="000000" w:themeColor="text1"/>
              </w:rPr>
              <w:t xml:space="preserve">AQ5204-2008 </w:t>
            </w:r>
            <w:r w:rsidRPr="00687B52">
              <w:rPr>
                <w:rFonts w:hAnsi="宋体"/>
                <w:color w:val="000000" w:themeColor="text1"/>
              </w:rPr>
              <w:br/>
            </w:r>
            <w:r w:rsidRPr="00687B52">
              <w:rPr>
                <w:rFonts w:hAnsi="宋体" w:hint="eastAsia"/>
                <w:color w:val="000000" w:themeColor="text1"/>
              </w:rPr>
              <w:t>第</w:t>
            </w:r>
            <w:r w:rsidRPr="00687B52">
              <w:rPr>
                <w:rFonts w:hAnsi="宋体"/>
                <w:color w:val="000000" w:themeColor="text1"/>
              </w:rPr>
              <w:t>4.9.</w:t>
            </w:r>
            <w:r w:rsidRPr="00687B52">
              <w:rPr>
                <w:rFonts w:hAnsi="宋体" w:hint="eastAsia"/>
                <w:color w:val="000000" w:themeColor="text1"/>
              </w:rPr>
              <w:t>1</w:t>
            </w:r>
            <w:r w:rsidRPr="00687B52">
              <w:rPr>
                <w:rFonts w:hAnsi="宋体" w:hint="eastAsia"/>
                <w:color w:val="000000" w:themeColor="text1"/>
              </w:rPr>
              <w:t>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2.6.12</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工业管道应涂识别色（如水管识别色为艳绿色、水蒸气管道识别色应为大红色、易燃液体管道识别色为棕色）。工业管道的识别色、识别符号、安全标识应符合</w:t>
            </w:r>
            <w:r w:rsidRPr="00687B52">
              <w:rPr>
                <w:rFonts w:hAnsi="宋体"/>
                <w:color w:val="000000" w:themeColor="text1"/>
              </w:rPr>
              <w:t>GB7231</w:t>
            </w:r>
            <w:r w:rsidRPr="00687B52">
              <w:rPr>
                <w:rFonts w:hAnsi="宋体" w:hint="eastAsia"/>
                <w:color w:val="000000" w:themeColor="text1"/>
              </w:rPr>
              <w:t>的规定。</w:t>
            </w:r>
          </w:p>
        </w:tc>
        <w:tc>
          <w:tcPr>
            <w:tcW w:w="972" w:type="pct"/>
            <w:shd w:val="clear" w:color="auto" w:fill="auto"/>
            <w:vAlign w:val="center"/>
          </w:tcPr>
          <w:p w:rsidR="003E1D2A" w:rsidRPr="00687B52" w:rsidRDefault="003E1D2A" w:rsidP="003E1D2A">
            <w:pPr>
              <w:pStyle w:val="a7"/>
              <w:spacing w:line="300" w:lineRule="exact"/>
              <w:rPr>
                <w:rFonts w:hAnsi="宋体"/>
                <w:color w:val="000000" w:themeColor="text1"/>
              </w:rPr>
            </w:pPr>
            <w:r w:rsidRPr="00687B52">
              <w:rPr>
                <w:rFonts w:hAnsi="宋体" w:hint="eastAsia"/>
                <w:color w:val="000000" w:themeColor="text1"/>
              </w:rPr>
              <w:t>《涂料生产企业安全技术规程》</w:t>
            </w:r>
          </w:p>
          <w:p w:rsidR="003E1D2A" w:rsidRPr="00687B52" w:rsidRDefault="003E1D2A" w:rsidP="003E1D2A">
            <w:pPr>
              <w:pStyle w:val="a7"/>
              <w:spacing w:line="300" w:lineRule="exact"/>
              <w:rPr>
                <w:rFonts w:hAnsi="宋体"/>
                <w:color w:val="000000" w:themeColor="text1"/>
              </w:rPr>
            </w:pPr>
            <w:r w:rsidRPr="00687B52">
              <w:rPr>
                <w:rFonts w:hAnsi="宋体"/>
                <w:color w:val="000000" w:themeColor="text1"/>
              </w:rPr>
              <w:t xml:space="preserve">AQ5204-2008 </w:t>
            </w:r>
            <w:r w:rsidRPr="00687B52">
              <w:rPr>
                <w:rFonts w:hAnsi="宋体"/>
                <w:color w:val="000000" w:themeColor="text1"/>
              </w:rPr>
              <w:br/>
            </w:r>
            <w:r w:rsidRPr="00687B52">
              <w:rPr>
                <w:rFonts w:hAnsi="宋体" w:hint="eastAsia"/>
                <w:color w:val="000000" w:themeColor="text1"/>
              </w:rPr>
              <w:t>第</w:t>
            </w:r>
            <w:r w:rsidRPr="00687B52">
              <w:rPr>
                <w:rFonts w:hAnsi="宋体"/>
                <w:color w:val="000000" w:themeColor="text1"/>
              </w:rPr>
              <w:t>4.9.2</w:t>
            </w:r>
            <w:r w:rsidRPr="00687B52">
              <w:rPr>
                <w:rFonts w:hAnsi="宋体" w:hint="eastAsia"/>
                <w:color w:val="000000" w:themeColor="text1"/>
              </w:rPr>
              <w:t>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2.6.13</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厂房（仓库）的紧急通道和出入口，应设置明显的醒目标志。生产区入口及其他产生火花的场所应有“禁止烟火”的安全标志。</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w:t>
            </w:r>
            <w:r w:rsidRPr="00687B52">
              <w:rPr>
                <w:rFonts w:asciiTheme="minorEastAsia" w:eastAsiaTheme="minorEastAsia" w:hAnsiTheme="minorEastAsia"/>
                <w:color w:val="000000" w:themeColor="text1"/>
                <w:szCs w:val="24"/>
              </w:rPr>
              <w:t>AQ5204-2008</w:t>
            </w:r>
          </w:p>
          <w:p w:rsidR="003E1D2A" w:rsidRPr="00687B52" w:rsidRDefault="003E1D2A" w:rsidP="003E1D2A">
            <w:pPr>
              <w:pStyle w:val="a7"/>
              <w:spacing w:line="300" w:lineRule="exact"/>
              <w:rPr>
                <w:rFonts w:hAnsi="宋体"/>
                <w:color w:val="000000" w:themeColor="text1"/>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4.11.2</w:t>
            </w:r>
            <w:r w:rsidRPr="00687B52">
              <w:rPr>
                <w:rFonts w:asciiTheme="minorEastAsia" w:eastAsiaTheme="minorEastAsia" w:hAnsiTheme="minorEastAsia"/>
                <w:color w:val="000000" w:themeColor="text1"/>
                <w:szCs w:val="24"/>
              </w:rPr>
              <w:t>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2.7</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b/>
                <w:color w:val="000000" w:themeColor="text1"/>
              </w:rPr>
            </w:pPr>
            <w:r w:rsidRPr="00687B52">
              <w:rPr>
                <w:rFonts w:hAnsi="宋体" w:hint="eastAsia"/>
                <w:b/>
                <w:color w:val="000000" w:themeColor="text1"/>
              </w:rPr>
              <w:t>自控仪表</w:t>
            </w:r>
          </w:p>
        </w:tc>
        <w:tc>
          <w:tcPr>
            <w:tcW w:w="972" w:type="pct"/>
            <w:shd w:val="clear" w:color="auto" w:fill="auto"/>
            <w:vAlign w:val="center"/>
          </w:tcPr>
          <w:p w:rsidR="003E1D2A" w:rsidRPr="00687B52" w:rsidRDefault="003E1D2A" w:rsidP="003E1D2A">
            <w:pPr>
              <w:pStyle w:val="a7"/>
              <w:spacing w:line="300" w:lineRule="exact"/>
              <w:rPr>
                <w:rFonts w:hAnsi="宋体"/>
                <w:color w:val="000000" w:themeColor="text1"/>
              </w:rPr>
            </w:pP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2.7.1</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color w:val="000000" w:themeColor="text1"/>
              </w:rPr>
              <w:t>有毒有害、可燃气体泄漏检测报警系统应按照标准设置、使用或定期检测校验；以及报警信号应发送至有操作人员常驻的控制室、现场操作室进行报警。</w:t>
            </w:r>
          </w:p>
        </w:tc>
        <w:tc>
          <w:tcPr>
            <w:tcW w:w="972" w:type="pct"/>
            <w:shd w:val="clear" w:color="auto" w:fill="auto"/>
            <w:vAlign w:val="center"/>
          </w:tcPr>
          <w:p w:rsidR="003E1D2A" w:rsidRPr="00687B52" w:rsidRDefault="003E1D2A" w:rsidP="003E1D2A">
            <w:pPr>
              <w:pStyle w:val="a7"/>
              <w:spacing w:line="300" w:lineRule="exact"/>
              <w:rPr>
                <w:rFonts w:hAnsi="宋体"/>
                <w:color w:val="000000" w:themeColor="text1"/>
              </w:rPr>
            </w:pPr>
            <w:r w:rsidRPr="00687B52">
              <w:rPr>
                <w:rFonts w:hAnsi="宋体"/>
                <w:color w:val="000000" w:themeColor="text1"/>
              </w:rPr>
              <w:t>《化工（危险化学品）企业安全检查重点指导目录》安监总管三</w:t>
            </w:r>
            <w:r w:rsidRPr="00687B52">
              <w:rPr>
                <w:rFonts w:hAnsi="宋体"/>
                <w:color w:val="000000" w:themeColor="text1"/>
              </w:rPr>
              <w:t>[2015]113</w:t>
            </w:r>
            <w:r w:rsidRPr="00687B52">
              <w:rPr>
                <w:rFonts w:hAnsi="宋体"/>
                <w:color w:val="000000" w:themeColor="text1"/>
              </w:rPr>
              <w:t>号</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F610D3">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2.7.2</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报警设定值应符合下列规定：①可燃气体的一级报警设定值小于或等于</w:t>
            </w:r>
            <w:r w:rsidRPr="00687B52">
              <w:rPr>
                <w:rFonts w:hAnsi="宋体" w:hint="eastAsia"/>
                <w:color w:val="000000" w:themeColor="text1"/>
              </w:rPr>
              <w:t>25%</w:t>
            </w:r>
            <w:r w:rsidRPr="00687B52">
              <w:rPr>
                <w:rFonts w:hAnsi="宋体" w:hint="eastAsia"/>
                <w:color w:val="000000" w:themeColor="text1"/>
              </w:rPr>
              <w:t>爆炸下限；②可燃气体的二级报警设定值小于或等于</w:t>
            </w:r>
            <w:r w:rsidRPr="00687B52">
              <w:rPr>
                <w:rFonts w:hAnsi="宋体" w:hint="eastAsia"/>
                <w:color w:val="000000" w:themeColor="text1"/>
              </w:rPr>
              <w:t>50%</w:t>
            </w:r>
            <w:r w:rsidRPr="00687B52">
              <w:rPr>
                <w:rFonts w:hAnsi="宋体" w:hint="eastAsia"/>
                <w:color w:val="000000" w:themeColor="text1"/>
              </w:rPr>
              <w:t>爆炸下限；③有毒气体的报警设定值宜小于或等于</w:t>
            </w:r>
            <w:r w:rsidRPr="00687B52">
              <w:rPr>
                <w:rFonts w:hAnsi="宋体" w:hint="eastAsia"/>
                <w:color w:val="000000" w:themeColor="text1"/>
              </w:rPr>
              <w:t>100%</w:t>
            </w:r>
            <w:r w:rsidRPr="00687B52">
              <w:rPr>
                <w:rFonts w:hAnsi="宋体" w:hint="eastAsia"/>
                <w:color w:val="000000" w:themeColor="text1"/>
              </w:rPr>
              <w:t>最高容许浓度</w:t>
            </w:r>
            <w:r w:rsidRPr="00687B52">
              <w:rPr>
                <w:rFonts w:hAnsi="宋体" w:hint="eastAsia"/>
                <w:color w:val="000000" w:themeColor="text1"/>
              </w:rPr>
              <w:t>/</w:t>
            </w:r>
            <w:r w:rsidRPr="00687B52">
              <w:rPr>
                <w:rFonts w:hAnsi="宋体" w:hint="eastAsia"/>
                <w:color w:val="000000" w:themeColor="text1"/>
              </w:rPr>
              <w:t>短时间接触容许浓度。当现有检（探）测器的测量范围不能满足测量要求时，有毒气体的测量范围可为</w:t>
            </w:r>
            <w:r w:rsidRPr="00687B52">
              <w:rPr>
                <w:rFonts w:hAnsi="宋体" w:hint="eastAsia"/>
                <w:color w:val="000000" w:themeColor="text1"/>
              </w:rPr>
              <w:t>0</w:t>
            </w:r>
            <w:r w:rsidRPr="00687B52">
              <w:rPr>
                <w:rFonts w:hAnsi="宋体" w:hint="eastAsia"/>
                <w:color w:val="000000" w:themeColor="text1"/>
              </w:rPr>
              <w:t>～</w:t>
            </w:r>
            <w:r w:rsidRPr="00687B52">
              <w:rPr>
                <w:rFonts w:hAnsi="宋体" w:hint="eastAsia"/>
                <w:color w:val="000000" w:themeColor="text1"/>
              </w:rPr>
              <w:t>30%</w:t>
            </w:r>
            <w:r w:rsidRPr="00687B52">
              <w:rPr>
                <w:rFonts w:hAnsi="宋体" w:hint="eastAsia"/>
                <w:color w:val="000000" w:themeColor="text1"/>
              </w:rPr>
              <w:t>直接致害浓度；有毒气体的二级报警设定值不得超过</w:t>
            </w:r>
            <w:r w:rsidRPr="00687B52">
              <w:rPr>
                <w:rFonts w:hAnsi="宋体" w:hint="eastAsia"/>
                <w:color w:val="000000" w:themeColor="text1"/>
              </w:rPr>
              <w:t>10%</w:t>
            </w:r>
            <w:r w:rsidRPr="00687B52">
              <w:rPr>
                <w:rFonts w:hAnsi="宋体" w:hint="eastAsia"/>
                <w:color w:val="000000" w:themeColor="text1"/>
              </w:rPr>
              <w:t>直接致害浓度值。</w:t>
            </w:r>
          </w:p>
        </w:tc>
        <w:tc>
          <w:tcPr>
            <w:tcW w:w="972" w:type="pct"/>
            <w:shd w:val="clear" w:color="auto" w:fill="auto"/>
            <w:vAlign w:val="center"/>
          </w:tcPr>
          <w:p w:rsidR="003E1D2A" w:rsidRPr="00687B52" w:rsidRDefault="003E1D2A" w:rsidP="003E1D2A">
            <w:pPr>
              <w:pStyle w:val="a7"/>
              <w:spacing w:line="300" w:lineRule="exact"/>
              <w:rPr>
                <w:rFonts w:hAnsi="宋体"/>
                <w:color w:val="000000" w:themeColor="text1"/>
              </w:rPr>
            </w:pPr>
            <w:r w:rsidRPr="00687B52">
              <w:rPr>
                <w:rFonts w:hAnsi="宋体" w:hint="eastAsia"/>
                <w:color w:val="000000" w:themeColor="text1"/>
              </w:rPr>
              <w:t>《石油化工可燃气体和有毒气体检测报警设计规范》</w:t>
            </w:r>
            <w:r w:rsidRPr="00687B52">
              <w:rPr>
                <w:rFonts w:hAnsi="宋体" w:hint="eastAsia"/>
                <w:color w:val="000000" w:themeColor="text1"/>
              </w:rPr>
              <w:t>GB50493-2009</w:t>
            </w:r>
          </w:p>
          <w:p w:rsidR="003E1D2A" w:rsidRPr="00687B52" w:rsidRDefault="003E1D2A" w:rsidP="003E1D2A">
            <w:pPr>
              <w:pStyle w:val="a7"/>
              <w:spacing w:line="300" w:lineRule="exact"/>
              <w:rPr>
                <w:rFonts w:hAnsi="宋体"/>
                <w:color w:val="000000" w:themeColor="text1"/>
              </w:rPr>
            </w:pPr>
            <w:r w:rsidRPr="00687B52">
              <w:rPr>
                <w:rFonts w:hAnsi="宋体" w:hint="eastAsia"/>
                <w:color w:val="000000" w:themeColor="text1"/>
              </w:rPr>
              <w:t>第</w:t>
            </w:r>
            <w:r w:rsidRPr="00687B52">
              <w:rPr>
                <w:rFonts w:hAnsi="宋体" w:hint="eastAsia"/>
                <w:color w:val="000000" w:themeColor="text1"/>
              </w:rPr>
              <w:t>5.3.3</w:t>
            </w:r>
            <w:r w:rsidRPr="00687B52">
              <w:rPr>
                <w:rFonts w:hAnsi="宋体" w:hint="eastAsia"/>
                <w:color w:val="000000" w:themeColor="text1"/>
              </w:rPr>
              <w:t>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2.7.3</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color w:val="000000" w:themeColor="text1"/>
                <w:szCs w:val="24"/>
              </w:rPr>
              <w:t>散发可燃气体、可燃蒸气的场所应设可燃气体检测报警仪；散发硫化氢、氰化氢、氯气、一氧化碳、丙烯腈、环氧乙烷、氯乙烯等有毒区域应设置有毒气体检测报警仪；检测所使用的方法和检测仪表的计量技术性能应满足GB 50493、GBZ/T 160的要求和实际使用需求。</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《涂料生产企业职业健康技术规范》AQ4254-2015</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第5.3.11条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vMerge w:val="restar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2.7.4</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color w:val="000000" w:themeColor="text1"/>
              </w:rPr>
              <w:t>可燃气体释放源处于封闭或</w:t>
            </w:r>
            <w:r w:rsidRPr="00687B52">
              <w:rPr>
                <w:rFonts w:hAnsi="宋体" w:hint="eastAsia"/>
                <w:color w:val="000000" w:themeColor="text1"/>
              </w:rPr>
              <w:t>局部通风不良的</w:t>
            </w:r>
            <w:r w:rsidRPr="00687B52">
              <w:rPr>
                <w:rFonts w:hAnsi="宋体"/>
                <w:color w:val="000000" w:themeColor="text1"/>
              </w:rPr>
              <w:t>半</w:t>
            </w:r>
            <w:r w:rsidRPr="00687B52">
              <w:rPr>
                <w:rFonts w:hAnsi="宋体" w:hint="eastAsia"/>
                <w:color w:val="000000" w:themeColor="text1"/>
              </w:rPr>
              <w:t>敞开</w:t>
            </w:r>
            <w:r w:rsidRPr="00687B52">
              <w:rPr>
                <w:rFonts w:hAnsi="宋体"/>
                <w:color w:val="000000" w:themeColor="text1"/>
              </w:rPr>
              <w:t>厂房内，每隔</w:t>
            </w:r>
            <w:r w:rsidRPr="00687B52">
              <w:rPr>
                <w:rFonts w:hAnsi="宋体"/>
                <w:color w:val="000000" w:themeColor="text1"/>
              </w:rPr>
              <w:t>15m</w:t>
            </w:r>
            <w:r w:rsidRPr="00687B52">
              <w:rPr>
                <w:rFonts w:hAnsi="宋体"/>
                <w:color w:val="000000" w:themeColor="text1"/>
              </w:rPr>
              <w:t>可设一台检</w:t>
            </w:r>
            <w:r w:rsidRPr="00687B52">
              <w:rPr>
                <w:rFonts w:hAnsi="宋体" w:hint="eastAsia"/>
                <w:color w:val="000000" w:themeColor="text1"/>
              </w:rPr>
              <w:t>（探）</w:t>
            </w:r>
            <w:r w:rsidRPr="00687B52">
              <w:rPr>
                <w:rFonts w:hAnsi="宋体"/>
                <w:color w:val="000000" w:themeColor="text1"/>
              </w:rPr>
              <w:t>测器，且检</w:t>
            </w:r>
            <w:r w:rsidRPr="00687B52">
              <w:rPr>
                <w:rFonts w:hAnsi="宋体" w:hint="eastAsia"/>
                <w:color w:val="000000" w:themeColor="text1"/>
              </w:rPr>
              <w:t>（探）</w:t>
            </w:r>
            <w:r w:rsidRPr="00687B52">
              <w:rPr>
                <w:rFonts w:hAnsi="宋体"/>
                <w:color w:val="000000" w:themeColor="text1"/>
              </w:rPr>
              <w:t>测器距</w:t>
            </w:r>
            <w:r w:rsidRPr="00687B52">
              <w:rPr>
                <w:rFonts w:hAnsi="宋体" w:hint="eastAsia"/>
                <w:color w:val="000000" w:themeColor="text1"/>
              </w:rPr>
              <w:t>其所覆盖范围内的</w:t>
            </w:r>
            <w:r w:rsidRPr="00687B52">
              <w:rPr>
                <w:rFonts w:hAnsi="宋体"/>
                <w:color w:val="000000" w:themeColor="text1"/>
              </w:rPr>
              <w:t>任一释放源不宜大于</w:t>
            </w:r>
            <w:r w:rsidRPr="00687B52">
              <w:rPr>
                <w:rFonts w:hAnsi="宋体"/>
                <w:color w:val="000000" w:themeColor="text1"/>
              </w:rPr>
              <w:t>7.5m</w:t>
            </w:r>
            <w:r w:rsidRPr="00687B52">
              <w:rPr>
                <w:rFonts w:hAnsi="宋体"/>
                <w:color w:val="000000" w:themeColor="text1"/>
              </w:rPr>
              <w:t>。有毒气体检测器距释放源不宜大于</w:t>
            </w:r>
            <w:r w:rsidRPr="00687B52">
              <w:rPr>
                <w:rFonts w:hAnsi="宋体"/>
                <w:color w:val="000000" w:themeColor="text1"/>
              </w:rPr>
              <w:t>1m</w:t>
            </w:r>
            <w:r w:rsidRPr="00687B52">
              <w:rPr>
                <w:rFonts w:hAnsi="宋体"/>
                <w:color w:val="000000" w:themeColor="text1"/>
              </w:rPr>
              <w:t>。</w:t>
            </w:r>
          </w:p>
        </w:tc>
        <w:tc>
          <w:tcPr>
            <w:tcW w:w="972" w:type="pct"/>
            <w:shd w:val="clear" w:color="auto" w:fill="auto"/>
            <w:vAlign w:val="center"/>
          </w:tcPr>
          <w:p w:rsidR="003E1D2A" w:rsidRPr="00687B52" w:rsidRDefault="003E1D2A" w:rsidP="003E1D2A">
            <w:pPr>
              <w:pStyle w:val="a7"/>
              <w:spacing w:line="300" w:lineRule="exact"/>
              <w:rPr>
                <w:rFonts w:hAnsi="宋体"/>
                <w:color w:val="000000" w:themeColor="text1"/>
              </w:rPr>
            </w:pPr>
            <w:r w:rsidRPr="00687B52">
              <w:rPr>
                <w:rFonts w:hAnsi="宋体" w:hint="eastAsia"/>
                <w:color w:val="000000" w:themeColor="text1"/>
              </w:rPr>
              <w:t>《石油化工可燃气体和有毒气体检测报警设计规范》</w:t>
            </w:r>
            <w:r w:rsidRPr="00687B52">
              <w:rPr>
                <w:rFonts w:hAnsi="宋体" w:hint="eastAsia"/>
                <w:color w:val="000000" w:themeColor="text1"/>
              </w:rPr>
              <w:t>GB50493-2009</w:t>
            </w:r>
          </w:p>
          <w:p w:rsidR="003E1D2A" w:rsidRPr="00687B52" w:rsidRDefault="003E1D2A" w:rsidP="003E1D2A">
            <w:pPr>
              <w:pStyle w:val="a7"/>
              <w:spacing w:line="300" w:lineRule="exact"/>
              <w:rPr>
                <w:rFonts w:hAnsi="宋体"/>
                <w:color w:val="000000" w:themeColor="text1"/>
              </w:rPr>
            </w:pPr>
            <w:r w:rsidRPr="00687B52">
              <w:rPr>
                <w:rFonts w:hAnsi="宋体" w:hint="eastAsia"/>
                <w:color w:val="000000" w:themeColor="text1"/>
              </w:rPr>
              <w:t>第</w:t>
            </w:r>
            <w:r w:rsidRPr="00687B52">
              <w:rPr>
                <w:rFonts w:hAnsi="宋体" w:hint="eastAsia"/>
                <w:color w:val="000000" w:themeColor="text1"/>
              </w:rPr>
              <w:t>4.2.2</w:t>
            </w:r>
            <w:r w:rsidRPr="00687B52">
              <w:rPr>
                <w:rFonts w:hAnsi="宋体" w:hint="eastAsia"/>
                <w:color w:val="000000" w:themeColor="text1"/>
              </w:rPr>
              <w:t>条</w:t>
            </w:r>
          </w:p>
        </w:tc>
        <w:tc>
          <w:tcPr>
            <w:tcW w:w="1144" w:type="pct"/>
            <w:vMerge w:val="restar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检测比重大于空气的可燃气体检（探）测器，其安装高度应距地坪（或楼地板）</w:t>
            </w:r>
            <w:r w:rsidRPr="00687B52">
              <w:rPr>
                <w:rFonts w:hAnsi="宋体" w:hint="eastAsia"/>
                <w:color w:val="000000" w:themeColor="text1"/>
              </w:rPr>
              <w:t>0.3-0.6m</w:t>
            </w:r>
            <w:r w:rsidRPr="00687B52">
              <w:rPr>
                <w:rFonts w:hAnsi="宋体" w:hint="eastAsia"/>
                <w:color w:val="000000" w:themeColor="text1"/>
              </w:rPr>
              <w:t>。检测比重大于空气的有毒气体的检（探）测器，应靠近泄漏点，其安装高度应距地坪（或楼地板）</w:t>
            </w:r>
            <w:r w:rsidRPr="00687B52">
              <w:rPr>
                <w:rFonts w:hAnsi="宋体" w:hint="eastAsia"/>
                <w:color w:val="000000" w:themeColor="text1"/>
              </w:rPr>
              <w:t>0.3-0.6m</w:t>
            </w:r>
            <w:r w:rsidRPr="00687B52">
              <w:rPr>
                <w:rFonts w:hAnsi="宋体" w:hint="eastAsia"/>
                <w:color w:val="000000" w:themeColor="text1"/>
              </w:rPr>
              <w:t>。</w:t>
            </w:r>
          </w:p>
        </w:tc>
        <w:tc>
          <w:tcPr>
            <w:tcW w:w="972" w:type="pct"/>
            <w:shd w:val="clear" w:color="auto" w:fill="auto"/>
            <w:vAlign w:val="center"/>
          </w:tcPr>
          <w:p w:rsidR="003E1D2A" w:rsidRPr="00687B52" w:rsidRDefault="003E1D2A" w:rsidP="003E1D2A">
            <w:pPr>
              <w:pStyle w:val="a7"/>
              <w:spacing w:line="300" w:lineRule="exact"/>
              <w:rPr>
                <w:rFonts w:hAnsi="宋体"/>
                <w:color w:val="000000" w:themeColor="text1"/>
              </w:rPr>
            </w:pPr>
            <w:r w:rsidRPr="00687B52">
              <w:rPr>
                <w:rFonts w:hAnsi="宋体" w:hint="eastAsia"/>
                <w:color w:val="000000" w:themeColor="text1"/>
              </w:rPr>
              <w:t>《石油化工可燃气体和有毒气体检测报警设计规范》</w:t>
            </w:r>
            <w:r w:rsidRPr="00687B52">
              <w:rPr>
                <w:rFonts w:hAnsi="宋体" w:hint="eastAsia"/>
                <w:color w:val="000000" w:themeColor="text1"/>
              </w:rPr>
              <w:t>GB50493-2009</w:t>
            </w:r>
          </w:p>
          <w:p w:rsidR="003E1D2A" w:rsidRPr="00687B52" w:rsidRDefault="003E1D2A" w:rsidP="003E1D2A">
            <w:pPr>
              <w:pStyle w:val="a7"/>
              <w:spacing w:line="300" w:lineRule="exact"/>
              <w:rPr>
                <w:rFonts w:hAnsi="宋体"/>
                <w:color w:val="000000" w:themeColor="text1"/>
              </w:rPr>
            </w:pPr>
            <w:r w:rsidRPr="00687B52">
              <w:rPr>
                <w:rFonts w:hAnsi="宋体" w:hint="eastAsia"/>
                <w:color w:val="000000" w:themeColor="text1"/>
              </w:rPr>
              <w:t>第</w:t>
            </w:r>
            <w:r w:rsidRPr="00687B52">
              <w:rPr>
                <w:rFonts w:hAnsi="宋体" w:hint="eastAsia"/>
                <w:color w:val="000000" w:themeColor="text1"/>
              </w:rPr>
              <w:t>6.1.1</w:t>
            </w:r>
            <w:r w:rsidRPr="00687B52">
              <w:rPr>
                <w:rFonts w:hAnsi="宋体" w:hint="eastAsia"/>
                <w:color w:val="000000" w:themeColor="text1"/>
              </w:rPr>
              <w:t>条</w:t>
            </w:r>
          </w:p>
        </w:tc>
        <w:tc>
          <w:tcPr>
            <w:tcW w:w="1144" w:type="pct"/>
            <w:vMerge/>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vMerge/>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散发可燃气体、可燃蒸气的场所</w:t>
            </w:r>
            <w:r w:rsidRPr="00687B52">
              <w:rPr>
                <w:rFonts w:ascii="宋体" w:hAnsi="宋体"/>
                <w:color w:val="000000" w:themeColor="text1"/>
                <w:szCs w:val="24"/>
              </w:rPr>
              <w:t>应设可燃气体</w:t>
            </w:r>
            <w:r w:rsidRPr="00687B52">
              <w:rPr>
                <w:rFonts w:ascii="宋体" w:hAnsi="宋体" w:hint="eastAsia"/>
                <w:color w:val="000000" w:themeColor="text1"/>
                <w:szCs w:val="24"/>
              </w:rPr>
              <w:t>检测</w:t>
            </w:r>
            <w:r w:rsidRPr="00687B52">
              <w:rPr>
                <w:rFonts w:ascii="宋体" w:hAnsi="宋体"/>
                <w:color w:val="000000" w:themeColor="text1"/>
                <w:szCs w:val="24"/>
              </w:rPr>
              <w:t>报警</w:t>
            </w:r>
            <w:r w:rsidRPr="00687B52">
              <w:rPr>
                <w:rFonts w:ascii="宋体" w:hAnsi="宋体" w:hint="eastAsia"/>
                <w:color w:val="000000" w:themeColor="text1"/>
                <w:szCs w:val="24"/>
              </w:rPr>
              <w:t>仪；散发</w:t>
            </w:r>
            <w:r w:rsidRPr="00687B52">
              <w:rPr>
                <w:rFonts w:ascii="宋体" w:hAnsi="宋体"/>
                <w:color w:val="000000" w:themeColor="text1"/>
                <w:szCs w:val="24"/>
              </w:rPr>
              <w:t>硫化氢、氰化氢、氯气、一氧化碳、丙烯腈、环氧乙烷、氯乙烯</w:t>
            </w:r>
            <w:r w:rsidRPr="00687B52">
              <w:rPr>
                <w:rFonts w:ascii="宋体" w:hAnsi="宋体" w:hint="eastAsia"/>
                <w:color w:val="000000" w:themeColor="text1"/>
                <w:szCs w:val="24"/>
              </w:rPr>
              <w:t>等</w:t>
            </w:r>
            <w:r w:rsidRPr="00687B52">
              <w:rPr>
                <w:rFonts w:ascii="宋体" w:hAnsi="宋体"/>
                <w:color w:val="000000" w:themeColor="text1"/>
                <w:szCs w:val="24"/>
              </w:rPr>
              <w:t>有毒区域应设置有毒气体检测报警仪</w:t>
            </w:r>
            <w:r w:rsidRPr="00687B52">
              <w:rPr>
                <w:rFonts w:ascii="宋体" w:hAnsi="宋体" w:hint="eastAsia"/>
                <w:color w:val="000000" w:themeColor="text1"/>
                <w:szCs w:val="24"/>
              </w:rPr>
              <w:t>：</w:t>
            </w:r>
          </w:p>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(1）可燃气体检测报警仪的有效覆盖水平平面半径，室内宜为</w:t>
            </w:r>
            <w:smartTag w:uri="urn:schemas-microsoft-com:office:smarttags" w:element="chmetcnv">
              <w:smartTagPr>
                <w:attr w:name="TCSC" w:val="0"/>
                <w:attr w:name="NumberType" w:val="1"/>
                <w:attr w:name="Negative" w:val="False"/>
                <w:attr w:name="HasSpace" w:val="True"/>
                <w:attr w:name="SourceValue" w:val="7.5"/>
                <w:attr w:name="UnitName" w:val="m"/>
              </w:smartTagPr>
              <w:r w:rsidRPr="00687B52">
                <w:rPr>
                  <w:rFonts w:ascii="宋体" w:hAnsi="宋体" w:hint="eastAsia"/>
                  <w:color w:val="000000" w:themeColor="text1"/>
                  <w:szCs w:val="24"/>
                </w:rPr>
                <w:t>7.5 m</w:t>
              </w:r>
            </w:smartTag>
            <w:r w:rsidRPr="00687B52">
              <w:rPr>
                <w:rFonts w:ascii="宋体" w:hAnsi="宋体" w:hint="eastAsia"/>
                <w:color w:val="000000" w:themeColor="text1"/>
                <w:szCs w:val="24"/>
              </w:rPr>
              <w:t>；室外宜为</w:t>
            </w:r>
            <w:smartTag w:uri="urn:schemas-microsoft-com:office:smarttags" w:element="chmetcnv">
              <w:smartTagPr>
                <w:attr w:name="TCSC" w:val="0"/>
                <w:attr w:name="NumberType" w:val="1"/>
                <w:attr w:name="Negative" w:val="False"/>
                <w:attr w:name="HasSpace" w:val="True"/>
                <w:attr w:name="SourceValue" w:val="15"/>
                <w:attr w:name="UnitName" w:val="m"/>
              </w:smartTagPr>
              <w:r w:rsidRPr="00687B52">
                <w:rPr>
                  <w:rFonts w:ascii="宋体" w:hAnsi="宋体" w:hint="eastAsia"/>
                  <w:color w:val="000000" w:themeColor="text1"/>
                  <w:szCs w:val="24"/>
                </w:rPr>
                <w:t>15 m</w:t>
              </w:r>
            </w:smartTag>
            <w:r w:rsidRPr="00687B52">
              <w:rPr>
                <w:rFonts w:ascii="宋体" w:hAnsi="宋体" w:hint="eastAsia"/>
                <w:color w:val="000000" w:themeColor="text1"/>
                <w:szCs w:val="24"/>
              </w:rPr>
              <w:t>。可燃气体检测报警仪的探头宜在可燃气体、可燃蒸气释放源处安装；</w:t>
            </w:r>
          </w:p>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(2）检测比空气重的可燃气体或有毒气体的检测报警仪，其安装高度应距地坪0.3 ～</w:t>
            </w:r>
            <w:smartTag w:uri="urn:schemas-microsoft-com:office:smarttags" w:element="chmetcnv">
              <w:smartTagPr>
                <w:attr w:name="TCSC" w:val="0"/>
                <w:attr w:name="NumberType" w:val="1"/>
                <w:attr w:name="Negative" w:val="False"/>
                <w:attr w:name="HasSpace" w:val="False"/>
                <w:attr w:name="SourceValue" w:val=".6"/>
                <w:attr w:name="UnitName" w:val="m"/>
              </w:smartTagPr>
              <w:r w:rsidRPr="00687B52">
                <w:rPr>
                  <w:rFonts w:ascii="宋体" w:hAnsi="宋体" w:hint="eastAsia"/>
                  <w:color w:val="000000" w:themeColor="text1"/>
                  <w:szCs w:val="24"/>
                </w:rPr>
                <w:t>0.6</w:t>
              </w:r>
              <w:r w:rsidRPr="00687B52">
                <w:rPr>
                  <w:rFonts w:ascii="宋体" w:hAnsi="宋体"/>
                  <w:color w:val="000000" w:themeColor="text1"/>
                  <w:szCs w:val="24"/>
                </w:rPr>
                <w:t>m</w:t>
              </w:r>
            </w:smartTag>
            <w:r w:rsidRPr="00687B52">
              <w:rPr>
                <w:rFonts w:ascii="宋体" w:hAnsi="宋体" w:hint="eastAsia"/>
                <w:color w:val="000000" w:themeColor="text1"/>
                <w:szCs w:val="24"/>
              </w:rPr>
              <w:t>；</w:t>
            </w:r>
          </w:p>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(3）检测比空气轻的可燃气体或有毒气体检测报警仪，其安装高度宜高出释放源0.5～</w:t>
            </w:r>
            <w:smartTag w:uri="urn:schemas-microsoft-com:office:smarttags" w:element="chmetcnv">
              <w:smartTagPr>
                <w:attr w:name="TCSC" w:val="0"/>
                <w:attr w:name="NumberType" w:val="1"/>
                <w:attr w:name="Negative" w:val="False"/>
                <w:attr w:name="HasSpace" w:val="True"/>
                <w:attr w:name="SourceValue" w:val="2"/>
                <w:attr w:name="UnitName" w:val="m"/>
              </w:smartTagPr>
              <w:r w:rsidRPr="00687B52">
                <w:rPr>
                  <w:rFonts w:ascii="宋体" w:hAnsi="宋体" w:hint="eastAsia"/>
                  <w:color w:val="000000" w:themeColor="text1"/>
                  <w:szCs w:val="24"/>
                </w:rPr>
                <w:t>2 m</w:t>
              </w:r>
            </w:smartTag>
            <w:r w:rsidRPr="00687B52">
              <w:rPr>
                <w:rFonts w:ascii="宋体" w:hAnsi="宋体" w:hint="eastAsia"/>
                <w:color w:val="000000" w:themeColor="text1"/>
                <w:szCs w:val="24"/>
              </w:rPr>
              <w:t>。</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宋体" w:hAnsi="宋体"/>
                <w:color w:val="000000" w:themeColor="text1"/>
                <w:szCs w:val="24"/>
              </w:rPr>
              <w:t>《涂料生产企业安全生产标准化实施指南》AQ 3040-2010</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hint="eastAsia"/>
                <w:color w:val="000000" w:themeColor="text1"/>
                <w:szCs w:val="24"/>
              </w:rPr>
              <w:t>第5.6.4.2 a）1）</w:t>
            </w:r>
          </w:p>
        </w:tc>
        <w:tc>
          <w:tcPr>
            <w:tcW w:w="1144" w:type="pct"/>
            <w:vMerge/>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vMerge w:val="restar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2.7.5</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color w:val="000000" w:themeColor="text1"/>
                <w:szCs w:val="24"/>
              </w:rPr>
              <w:t>输送泵</w:t>
            </w:r>
            <w:r w:rsidRPr="00687B52">
              <w:rPr>
                <w:rFonts w:ascii="宋体" w:hAnsi="宋体" w:hint="eastAsia"/>
                <w:color w:val="000000" w:themeColor="text1"/>
                <w:szCs w:val="24"/>
              </w:rPr>
              <w:t>宜配置</w:t>
            </w:r>
            <w:r w:rsidRPr="00687B52">
              <w:rPr>
                <w:rFonts w:ascii="宋体" w:hAnsi="宋体"/>
                <w:color w:val="000000" w:themeColor="text1"/>
                <w:szCs w:val="24"/>
              </w:rPr>
              <w:t>压力表</w:t>
            </w:r>
            <w:r w:rsidRPr="00687B52">
              <w:rPr>
                <w:rFonts w:ascii="宋体" w:hAnsi="宋体" w:hint="eastAsia"/>
                <w:color w:val="000000" w:themeColor="text1"/>
                <w:szCs w:val="24"/>
              </w:rPr>
              <w:t>。</w:t>
            </w:r>
          </w:p>
        </w:tc>
        <w:tc>
          <w:tcPr>
            <w:tcW w:w="972" w:type="pct"/>
            <w:vMerge w:val="restar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宋体" w:hAnsi="宋体"/>
                <w:color w:val="000000" w:themeColor="text1"/>
                <w:szCs w:val="24"/>
              </w:rPr>
              <w:t>《涂料生产企业安全生产标准化实施指南》AQ 3040-2010</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hint="eastAsia"/>
                <w:color w:val="000000" w:themeColor="text1"/>
                <w:szCs w:val="24"/>
              </w:rPr>
              <w:t>第5.6.4.2  a）2）</w:t>
            </w:r>
          </w:p>
        </w:tc>
        <w:tc>
          <w:tcPr>
            <w:tcW w:w="1144" w:type="pct"/>
            <w:vMerge w:val="restar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vMerge/>
            <w:shd w:val="clear" w:color="auto" w:fill="auto"/>
            <w:vAlign w:val="center"/>
          </w:tcPr>
          <w:p w:rsidR="003E1D2A" w:rsidRPr="00687B52" w:rsidRDefault="003E1D2A" w:rsidP="00D9787F">
            <w:pPr>
              <w:pStyle w:val="a7"/>
              <w:numPr>
                <w:ilvl w:val="0"/>
                <w:numId w:val="3"/>
              </w:numPr>
              <w:spacing w:line="300" w:lineRule="exact"/>
              <w:ind w:left="0" w:firstLine="0"/>
              <w:rPr>
                <w:rFonts w:asciiTheme="minorEastAsia" w:eastAsiaTheme="minorEastAsia" w:hAnsiTheme="minorEastAsia"/>
                <w:color w:val="000000" w:themeColor="text1"/>
                <w:szCs w:val="24"/>
              </w:rPr>
            </w:pP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color w:val="000000" w:themeColor="text1"/>
                <w:szCs w:val="24"/>
              </w:rPr>
              <w:t>蒸汽锅炉</w:t>
            </w:r>
            <w:r w:rsidRPr="00687B52">
              <w:rPr>
                <w:rFonts w:ascii="宋体" w:hAnsi="宋体" w:hint="eastAsia"/>
                <w:color w:val="000000" w:themeColor="text1"/>
                <w:szCs w:val="24"/>
              </w:rPr>
              <w:t>应配置</w:t>
            </w:r>
            <w:r w:rsidRPr="00687B52">
              <w:rPr>
                <w:rFonts w:ascii="宋体" w:hAnsi="宋体"/>
                <w:color w:val="000000" w:themeColor="text1"/>
                <w:szCs w:val="24"/>
              </w:rPr>
              <w:t>压力表、温度计及水位计</w:t>
            </w:r>
            <w:r w:rsidRPr="00687B52">
              <w:rPr>
                <w:rFonts w:ascii="宋体" w:hAnsi="宋体" w:hint="eastAsia"/>
                <w:color w:val="000000" w:themeColor="text1"/>
                <w:szCs w:val="24"/>
              </w:rPr>
              <w:t>。</w:t>
            </w:r>
          </w:p>
        </w:tc>
        <w:tc>
          <w:tcPr>
            <w:tcW w:w="972" w:type="pct"/>
            <w:vMerge/>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p>
        </w:tc>
        <w:tc>
          <w:tcPr>
            <w:tcW w:w="1144" w:type="pct"/>
            <w:vMerge/>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vMerge/>
            <w:shd w:val="clear" w:color="auto" w:fill="auto"/>
            <w:vAlign w:val="center"/>
          </w:tcPr>
          <w:p w:rsidR="003E1D2A" w:rsidRPr="00687B52" w:rsidRDefault="003E1D2A" w:rsidP="00D9787F">
            <w:pPr>
              <w:pStyle w:val="a7"/>
              <w:numPr>
                <w:ilvl w:val="0"/>
                <w:numId w:val="3"/>
              </w:numPr>
              <w:spacing w:line="300" w:lineRule="exact"/>
              <w:ind w:left="0" w:firstLine="0"/>
              <w:rPr>
                <w:rFonts w:asciiTheme="minorEastAsia" w:eastAsiaTheme="minorEastAsia" w:hAnsiTheme="minorEastAsia"/>
                <w:color w:val="000000" w:themeColor="text1"/>
                <w:szCs w:val="24"/>
              </w:rPr>
            </w:pP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color w:val="000000" w:themeColor="text1"/>
                <w:szCs w:val="24"/>
              </w:rPr>
              <w:t>树脂反应釜</w:t>
            </w:r>
            <w:r w:rsidRPr="00687B52">
              <w:rPr>
                <w:rFonts w:ascii="宋体" w:hAnsi="宋体" w:hint="eastAsia"/>
                <w:color w:val="000000" w:themeColor="text1"/>
                <w:szCs w:val="24"/>
              </w:rPr>
              <w:t>的</w:t>
            </w:r>
            <w:r w:rsidRPr="00687B52">
              <w:rPr>
                <w:rFonts w:ascii="宋体" w:hAnsi="宋体"/>
                <w:color w:val="000000" w:themeColor="text1"/>
                <w:szCs w:val="24"/>
              </w:rPr>
              <w:t>超温报警装置</w:t>
            </w:r>
            <w:r w:rsidRPr="00687B52">
              <w:rPr>
                <w:rFonts w:ascii="宋体" w:hAnsi="宋体" w:hint="eastAsia"/>
                <w:color w:val="000000" w:themeColor="text1"/>
                <w:szCs w:val="24"/>
              </w:rPr>
              <w:t>、测量调控装置及有关附属仪器，如</w:t>
            </w:r>
            <w:r w:rsidRPr="00687B52">
              <w:rPr>
                <w:rFonts w:ascii="宋体" w:hAnsi="宋体"/>
                <w:color w:val="000000" w:themeColor="text1"/>
                <w:szCs w:val="24"/>
              </w:rPr>
              <w:t>压力表、温度计、水位计</w:t>
            </w:r>
            <w:r w:rsidRPr="00687B52">
              <w:rPr>
                <w:rFonts w:ascii="宋体" w:hAnsi="宋体" w:hint="eastAsia"/>
                <w:color w:val="000000" w:themeColor="text1"/>
                <w:szCs w:val="24"/>
              </w:rPr>
              <w:t>等应完整、齐全、有效。</w:t>
            </w:r>
          </w:p>
        </w:tc>
        <w:tc>
          <w:tcPr>
            <w:tcW w:w="972" w:type="pct"/>
            <w:vMerge/>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p>
        </w:tc>
        <w:tc>
          <w:tcPr>
            <w:tcW w:w="1144" w:type="pct"/>
            <w:vMerge/>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vMerge/>
            <w:shd w:val="clear" w:color="auto" w:fill="auto"/>
            <w:vAlign w:val="center"/>
          </w:tcPr>
          <w:p w:rsidR="003E1D2A" w:rsidRPr="00687B52" w:rsidRDefault="003E1D2A" w:rsidP="00D9787F">
            <w:pPr>
              <w:pStyle w:val="a7"/>
              <w:numPr>
                <w:ilvl w:val="0"/>
                <w:numId w:val="3"/>
              </w:numPr>
              <w:spacing w:line="300" w:lineRule="exact"/>
              <w:ind w:left="0" w:firstLine="0"/>
              <w:rPr>
                <w:rFonts w:asciiTheme="minorEastAsia" w:eastAsiaTheme="minorEastAsia" w:hAnsiTheme="minorEastAsia"/>
                <w:color w:val="000000" w:themeColor="text1"/>
                <w:szCs w:val="24"/>
              </w:rPr>
            </w:pP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color w:val="000000" w:themeColor="text1"/>
                <w:szCs w:val="24"/>
              </w:rPr>
              <w:t>有机热载体炉</w:t>
            </w:r>
            <w:r w:rsidRPr="00687B52">
              <w:rPr>
                <w:rFonts w:ascii="宋体" w:hAnsi="宋体" w:hint="eastAsia"/>
                <w:color w:val="000000" w:themeColor="text1"/>
                <w:szCs w:val="24"/>
              </w:rPr>
              <w:t>应配置</w:t>
            </w:r>
            <w:r w:rsidRPr="00687B52">
              <w:rPr>
                <w:rFonts w:ascii="宋体" w:hAnsi="宋体"/>
                <w:color w:val="000000" w:themeColor="text1"/>
                <w:szCs w:val="24"/>
              </w:rPr>
              <w:t>液位计、温度计</w:t>
            </w:r>
            <w:r w:rsidRPr="00687B52">
              <w:rPr>
                <w:rFonts w:ascii="宋体" w:hAnsi="宋体" w:hint="eastAsia"/>
                <w:color w:val="000000" w:themeColor="text1"/>
                <w:szCs w:val="24"/>
              </w:rPr>
              <w:t>、</w:t>
            </w:r>
            <w:r w:rsidRPr="00687B52">
              <w:rPr>
                <w:rFonts w:ascii="宋体" w:hAnsi="宋体"/>
                <w:color w:val="000000" w:themeColor="text1"/>
                <w:szCs w:val="24"/>
              </w:rPr>
              <w:t>安全阀、膨胀器、自动调节保护装置</w:t>
            </w:r>
            <w:r w:rsidRPr="00687B52">
              <w:rPr>
                <w:rFonts w:ascii="宋体" w:hAnsi="宋体" w:hint="eastAsia"/>
                <w:color w:val="000000" w:themeColor="text1"/>
                <w:szCs w:val="24"/>
              </w:rPr>
              <w:t>。</w:t>
            </w:r>
          </w:p>
        </w:tc>
        <w:tc>
          <w:tcPr>
            <w:tcW w:w="972" w:type="pct"/>
            <w:vMerge/>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p>
        </w:tc>
        <w:tc>
          <w:tcPr>
            <w:tcW w:w="1144" w:type="pct"/>
            <w:vMerge/>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公用工程和辅助设施</w:t>
            </w:r>
          </w:p>
        </w:tc>
        <w:tc>
          <w:tcPr>
            <w:tcW w:w="972" w:type="pct"/>
            <w:shd w:val="clear" w:color="auto" w:fill="auto"/>
            <w:vAlign w:val="center"/>
          </w:tcPr>
          <w:p w:rsidR="003E1D2A" w:rsidRPr="00687B52" w:rsidRDefault="003E1D2A" w:rsidP="003E1D2A">
            <w:pPr>
              <w:pStyle w:val="a7"/>
              <w:spacing w:line="300" w:lineRule="exact"/>
              <w:rPr>
                <w:rFonts w:hAnsi="宋体"/>
                <w:color w:val="000000" w:themeColor="text1"/>
              </w:rPr>
            </w:pP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b/>
                <w:color w:val="000000" w:themeColor="text1"/>
              </w:rPr>
            </w:pPr>
            <w:r w:rsidRPr="00687B52">
              <w:rPr>
                <w:rFonts w:hAnsi="宋体" w:hint="eastAsia"/>
                <w:b/>
                <w:color w:val="000000" w:themeColor="text1"/>
              </w:rPr>
              <w:t>电气安全</w:t>
            </w:r>
          </w:p>
        </w:tc>
        <w:tc>
          <w:tcPr>
            <w:tcW w:w="972" w:type="pct"/>
            <w:shd w:val="clear" w:color="auto" w:fill="auto"/>
            <w:vAlign w:val="center"/>
          </w:tcPr>
          <w:p w:rsidR="003E1D2A" w:rsidRPr="00687B52" w:rsidRDefault="003E1D2A" w:rsidP="003E1D2A">
            <w:pPr>
              <w:pStyle w:val="a7"/>
              <w:spacing w:line="300" w:lineRule="exact"/>
              <w:rPr>
                <w:rFonts w:hAnsi="宋体"/>
                <w:color w:val="000000" w:themeColor="text1"/>
              </w:rPr>
            </w:pP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3.1.1</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树脂生产车间、危险化学品的涂料产品的生产及包装车间、危险化学品仓库等甲、乙类爆炸性气体环境的电气装置应采用气体防爆型；粉末涂料的粉碎、包装车间及仓库等爆炸性粉尘环境的电气装置应采用粉尘防爆型。</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《涂料生产企业安全技术规程》AQ5204-2008</w:t>
            </w:r>
          </w:p>
          <w:p w:rsidR="003E1D2A" w:rsidRPr="00687B52" w:rsidRDefault="003E1D2A" w:rsidP="003E1D2A">
            <w:pPr>
              <w:pStyle w:val="a7"/>
              <w:spacing w:line="300" w:lineRule="exact"/>
              <w:rPr>
                <w:rFonts w:hAnsi="宋体"/>
                <w:color w:val="000000" w:themeColor="text1"/>
              </w:rPr>
            </w:pPr>
            <w:r w:rsidRPr="00687B52">
              <w:rPr>
                <w:rFonts w:asciiTheme="minorEastAsia" w:eastAsiaTheme="minorEastAsia" w:hAnsiTheme="minorEastAsia" w:hint="eastAsia"/>
                <w:color w:val="000000" w:themeColor="text1"/>
                <w:szCs w:val="24"/>
              </w:rPr>
              <w:t>第4.7.1条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3.1.2</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树脂聚合反应系统的动力、仪表、照明和冷却系统等应有备用电源，并应具有防止停电的安全措施。</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《涂料生产企业安全技术规程》AQ5204-2008</w:t>
            </w:r>
          </w:p>
          <w:p w:rsidR="003E1D2A" w:rsidRPr="00687B52" w:rsidRDefault="003E1D2A" w:rsidP="003E1D2A">
            <w:pPr>
              <w:pStyle w:val="a7"/>
              <w:spacing w:line="300" w:lineRule="exact"/>
              <w:rPr>
                <w:rFonts w:hAnsi="宋体"/>
                <w:color w:val="000000" w:themeColor="text1"/>
              </w:rPr>
            </w:pPr>
            <w:r w:rsidRPr="00687B52">
              <w:rPr>
                <w:rFonts w:asciiTheme="minorEastAsia" w:eastAsiaTheme="minorEastAsia" w:hAnsiTheme="minorEastAsia" w:hint="eastAsia"/>
                <w:color w:val="000000" w:themeColor="text1"/>
                <w:szCs w:val="24"/>
              </w:rPr>
              <w:t>第4.7.3条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3.1.3</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生产工艺采用直接电加热方式的，其电气装置应符合</w:t>
            </w:r>
            <w:r w:rsidRPr="00687B52">
              <w:rPr>
                <w:rFonts w:hAnsi="宋体" w:hint="eastAsia"/>
                <w:color w:val="000000" w:themeColor="text1"/>
              </w:rPr>
              <w:t>GB50056</w:t>
            </w:r>
            <w:r w:rsidRPr="00687B52">
              <w:rPr>
                <w:rFonts w:hAnsi="宋体" w:hint="eastAsia"/>
                <w:color w:val="000000" w:themeColor="text1"/>
              </w:rPr>
              <w:t>和</w:t>
            </w:r>
            <w:r w:rsidRPr="00687B52">
              <w:rPr>
                <w:rFonts w:hAnsi="宋体" w:hint="eastAsia"/>
                <w:color w:val="000000" w:themeColor="text1"/>
              </w:rPr>
              <w:t>GB50058</w:t>
            </w:r>
            <w:r w:rsidRPr="00687B52">
              <w:rPr>
                <w:rFonts w:hAnsi="宋体" w:hint="eastAsia"/>
                <w:color w:val="000000" w:themeColor="text1"/>
              </w:rPr>
              <w:t>的规定。</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《涂料生产企业安全技术规程》AQ5204-2008</w:t>
            </w:r>
          </w:p>
          <w:p w:rsidR="003E1D2A" w:rsidRPr="00687B52" w:rsidRDefault="003E1D2A" w:rsidP="003E1D2A">
            <w:pPr>
              <w:pStyle w:val="a7"/>
              <w:spacing w:line="300" w:lineRule="exact"/>
              <w:rPr>
                <w:rFonts w:hAnsi="宋体"/>
                <w:color w:val="000000" w:themeColor="text1"/>
              </w:rPr>
            </w:pPr>
            <w:r w:rsidRPr="00687B52">
              <w:rPr>
                <w:rFonts w:asciiTheme="minorEastAsia" w:eastAsiaTheme="minorEastAsia" w:hAnsiTheme="minorEastAsia" w:hint="eastAsia"/>
                <w:color w:val="000000" w:themeColor="text1"/>
                <w:szCs w:val="24"/>
              </w:rPr>
              <w:t>第4.7.4条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3.1.4</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树脂生产车间、危险化学品的涂料产品生产及包装车间、粉末涂料的粉碎、包装车间及仓库、危险化学品仓库等易燃易爆甲、乙类作业场所使用的电动机、低压变压器、低压开关和控制器（开关、断路器，控制开关及按钮，配电盘，控制箱，操作箱等）、照明灯具、信号报警装置等应使用防爆型电气设备。电线套管应采用低压流体输送镀锌焊接钢管，不应采用绝缘导线或塑料管明敷。所有电器设备应进行有效接地。</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《涂料生产企业安全技术规程》AQ5204-2008</w:t>
            </w:r>
          </w:p>
          <w:p w:rsidR="003E1D2A" w:rsidRPr="00687B52" w:rsidRDefault="003E1D2A" w:rsidP="003E1D2A">
            <w:pPr>
              <w:pStyle w:val="a7"/>
              <w:spacing w:line="300" w:lineRule="exact"/>
              <w:rPr>
                <w:rFonts w:hAnsi="宋体"/>
                <w:color w:val="000000" w:themeColor="text1"/>
              </w:rPr>
            </w:pPr>
            <w:r w:rsidRPr="00687B52">
              <w:rPr>
                <w:rFonts w:asciiTheme="minorEastAsia" w:eastAsiaTheme="minorEastAsia" w:hAnsiTheme="minorEastAsia" w:hint="eastAsia"/>
                <w:color w:val="000000" w:themeColor="text1"/>
                <w:szCs w:val="24"/>
              </w:rPr>
              <w:t>第4.7.5条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3.1.5</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甲、乙类仓库内宜使用低温照明灯具，并应对灯具的发热部件采取隔热等防火保护措施；不应设置卤钨灯等高温照明灯具。配电箱及开关宜设置在仓库外。</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《涂料生产企业安全技术规程》AQ5204-2008</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第4.7.6条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3.1.6</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color w:val="000000" w:themeColor="text1"/>
              </w:rPr>
              <w:t>甲、乙类易燃易爆火灾危险性区域内厂房（仓库）、贮罐应设置防雷设施。防雷措施及防雷装置应符合</w:t>
            </w:r>
            <w:r w:rsidRPr="00687B52">
              <w:rPr>
                <w:rFonts w:hAnsi="宋体"/>
                <w:color w:val="000000" w:themeColor="text1"/>
              </w:rPr>
              <w:t>GB 50057</w:t>
            </w:r>
            <w:r w:rsidRPr="00687B52">
              <w:rPr>
                <w:rFonts w:hAnsi="宋体"/>
                <w:color w:val="000000" w:themeColor="text1"/>
              </w:rPr>
              <w:t>的规定。</w:t>
            </w:r>
          </w:p>
          <w:p w:rsidR="003E1D2A" w:rsidRPr="00687B52" w:rsidRDefault="003E1D2A" w:rsidP="003E1D2A">
            <w:pPr>
              <w:pStyle w:val="a7"/>
              <w:spacing w:line="300" w:lineRule="exact"/>
              <w:jc w:val="both"/>
              <w:rPr>
                <w:rFonts w:hAnsi="宋体"/>
                <w:color w:val="000000" w:themeColor="text1"/>
              </w:rPr>
            </w:pPr>
            <w:r w:rsidRPr="00687B52">
              <w:rPr>
                <w:rFonts w:hAnsi="宋体"/>
                <w:color w:val="000000" w:themeColor="text1"/>
              </w:rPr>
              <w:t>工作场所可能产生静电危害的物体应采取防静电措施，并应符合</w:t>
            </w:r>
            <w:r w:rsidRPr="00687B52">
              <w:rPr>
                <w:rFonts w:hAnsi="宋体"/>
                <w:color w:val="000000" w:themeColor="text1"/>
              </w:rPr>
              <w:t>GB 12158</w:t>
            </w:r>
            <w:r w:rsidRPr="00687B52">
              <w:rPr>
                <w:rFonts w:hAnsi="宋体"/>
                <w:color w:val="000000" w:themeColor="text1"/>
              </w:rPr>
              <w:t>和</w:t>
            </w:r>
            <w:r w:rsidRPr="00687B52">
              <w:rPr>
                <w:rFonts w:hAnsi="宋体"/>
                <w:color w:val="000000" w:themeColor="text1"/>
              </w:rPr>
              <w:t>GB 15577</w:t>
            </w:r>
            <w:r w:rsidRPr="00687B52">
              <w:rPr>
                <w:rFonts w:hAnsi="宋体"/>
                <w:color w:val="000000" w:themeColor="text1"/>
              </w:rPr>
              <w:t>的规定。</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《涂料与辅料材料使用安全通则》</w:t>
            </w:r>
            <w:r w:rsidRPr="00687B52">
              <w:rPr>
                <w:rFonts w:asciiTheme="minorEastAsia" w:eastAsiaTheme="minorEastAsia" w:hAnsiTheme="minorEastAsia"/>
                <w:color w:val="000000" w:themeColor="text1"/>
                <w:szCs w:val="24"/>
              </w:rPr>
              <w:t>AQ5216-2013</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第5.1.2.1、5.1.2.2条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3.1.7</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具有爆炸危险环境的第一类防雷建筑物应安装独立避雷针、架空避雷线（网），使被保护各建筑物及风帽、放散管等突出屋面的物体均处于接闪器的保护范围。独立避雷针、架空避雷线（网）应有独立的接地装置，每一引下线的冲击接地电阻值不大于</w:t>
            </w:r>
            <w:r w:rsidRPr="00687B52">
              <w:rPr>
                <w:rFonts w:hAnsi="宋体" w:hint="eastAsia"/>
                <w:color w:val="000000" w:themeColor="text1"/>
              </w:rPr>
              <w:t>10</w:t>
            </w:r>
            <w:r w:rsidRPr="00687B52">
              <w:rPr>
                <w:rFonts w:hAnsi="宋体" w:hint="eastAsia"/>
                <w:color w:val="000000" w:themeColor="text1"/>
              </w:rPr>
              <w:t>Ω。</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《涂料生产企业安全技术规程》AQ5204-2008</w:t>
            </w:r>
          </w:p>
          <w:p w:rsidR="003E1D2A" w:rsidRPr="00687B52" w:rsidRDefault="003E1D2A" w:rsidP="003E1D2A">
            <w:pPr>
              <w:pStyle w:val="a7"/>
              <w:spacing w:line="300" w:lineRule="exact"/>
              <w:rPr>
                <w:rFonts w:hAnsi="宋体"/>
                <w:color w:val="000000" w:themeColor="text1"/>
              </w:rPr>
            </w:pPr>
            <w:r w:rsidRPr="00687B52">
              <w:rPr>
                <w:rFonts w:asciiTheme="minorEastAsia" w:eastAsiaTheme="minorEastAsia" w:hAnsiTheme="minorEastAsia" w:hint="eastAsia"/>
                <w:color w:val="000000" w:themeColor="text1"/>
                <w:szCs w:val="24"/>
              </w:rPr>
              <w:t>第4.6.1.2条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3.1.8</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使用、贮存、输送、装卸、运输易燃溶剂、溶剂型涂料及树脂、产生可燃性粉料等易燃易爆物品的生产装置（反应釜、稀释罐或釜、分散机、研磨机、配料缸、调漆缸、拉缸、贮罐、输送泵、灌注设施和易燃液体管道及过滤器、流量计等管道附件等）、装卸场所以及产生静电集聚的生产设施都应有防静电接地措施。各专设的防静电接地电阻值不应大于</w:t>
            </w:r>
            <w:r w:rsidRPr="00687B52">
              <w:rPr>
                <w:rFonts w:hAnsi="宋体" w:hint="eastAsia"/>
                <w:color w:val="000000" w:themeColor="text1"/>
              </w:rPr>
              <w:t>100</w:t>
            </w:r>
            <w:r w:rsidRPr="00687B52">
              <w:rPr>
                <w:rFonts w:hAnsi="宋体" w:hint="eastAsia"/>
                <w:color w:val="000000" w:themeColor="text1"/>
              </w:rPr>
              <w:t>Ω。</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《涂料生产企业安全技术规程》AQ5204-2008</w:t>
            </w:r>
          </w:p>
          <w:p w:rsidR="003E1D2A" w:rsidRPr="00687B52" w:rsidRDefault="003E1D2A" w:rsidP="003E1D2A">
            <w:pPr>
              <w:pStyle w:val="a7"/>
              <w:spacing w:line="300" w:lineRule="exact"/>
              <w:rPr>
                <w:rFonts w:hAnsi="宋体"/>
                <w:color w:val="000000" w:themeColor="text1"/>
              </w:rPr>
            </w:pPr>
            <w:r w:rsidRPr="00687B52">
              <w:rPr>
                <w:rFonts w:asciiTheme="minorEastAsia" w:eastAsiaTheme="minorEastAsia" w:hAnsiTheme="minorEastAsia" w:hint="eastAsia"/>
                <w:color w:val="000000" w:themeColor="text1"/>
                <w:szCs w:val="24"/>
              </w:rPr>
              <w:t>第4.6.2.1条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3.1.9</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树脂生产设备（包括反应釜、稀释罐（釜）、过滤机、冷却（凝）器、放空管等）、加热设备、制漆分散设备、辅助设备（离心机、各类泵、空气压缩机、通风机、电动葫芦等）等生产设备及其所属管线及附件均应有防静电接地。对拉缸等移动式设备及工具的静电接地连接，应采用连接器与接地支线（接地干线）相连接。不应采用接地线与被接地体相缠绕等方法进行连接。</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《涂料生产企业安全技术规程》AQ5204-2008 </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w:t>
            </w:r>
            <w:r w:rsidRPr="00687B52">
              <w:rPr>
                <w:rFonts w:asciiTheme="minorEastAsia" w:eastAsiaTheme="minorEastAsia" w:hAnsiTheme="minorEastAsia"/>
                <w:color w:val="000000" w:themeColor="text1"/>
                <w:szCs w:val="24"/>
              </w:rPr>
              <w:t>5.1.</w:t>
            </w:r>
            <w:r w:rsidRPr="00687B52">
              <w:rPr>
                <w:rFonts w:asciiTheme="minorEastAsia" w:eastAsiaTheme="minorEastAsia" w:hAnsiTheme="minorEastAsia" w:hint="eastAsia"/>
                <w:color w:val="000000" w:themeColor="text1"/>
                <w:szCs w:val="24"/>
              </w:rPr>
              <w:t>6条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生产设备及其所属管线及附件均是否有防静电接地。</w:t>
            </w: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3.1.10</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控制易燃液体和有机粉料的投料速度。</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《涂料生产企业安全技术规程》AQ5204-2008</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第4.6.2.2条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3.1.11</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装、卸和输送易燃液体时，采取以下措施防止静电急剧产生：</w:t>
            </w:r>
          </w:p>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在输送和灌装易燃液体过程中，应防止液体的飞散喷溅。从底部或上部入灌的注入管末端应设计成不易使液体飞散的倒</w:t>
            </w:r>
            <w:r w:rsidRPr="00687B52">
              <w:rPr>
                <w:rFonts w:hAnsi="宋体" w:hint="eastAsia"/>
                <w:color w:val="000000" w:themeColor="text1"/>
              </w:rPr>
              <w:t>T</w:t>
            </w:r>
            <w:r w:rsidRPr="00687B52">
              <w:rPr>
                <w:rFonts w:hAnsi="宋体" w:hint="eastAsia"/>
                <w:color w:val="000000" w:themeColor="text1"/>
              </w:rPr>
              <w:t>形状或另加导流板，或在上部灌装时，使液体沿侧壁缓慢下流。</w:t>
            </w:r>
          </w:p>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对罐车等大型容器灌装易燃液体时，宜从底部进油。若不得已采用顶部进油时，则其注油管宜伸入罐内离罐底部大于</w:t>
            </w:r>
            <w:r w:rsidRPr="00687B52">
              <w:rPr>
                <w:rFonts w:hAnsi="宋体" w:hint="eastAsia"/>
                <w:color w:val="000000" w:themeColor="text1"/>
              </w:rPr>
              <w:t>200mm</w:t>
            </w:r>
            <w:r w:rsidRPr="00687B52">
              <w:rPr>
                <w:rFonts w:hAnsi="宋体" w:hint="eastAsia"/>
                <w:color w:val="000000" w:themeColor="text1"/>
              </w:rPr>
              <w:t>。在注油管未侵入液面前，其流速应限制在</w:t>
            </w:r>
            <w:r w:rsidRPr="00687B52">
              <w:rPr>
                <w:rFonts w:hAnsi="宋体" w:hint="eastAsia"/>
                <w:color w:val="000000" w:themeColor="text1"/>
              </w:rPr>
              <w:t>1m/s</w:t>
            </w:r>
            <w:r w:rsidRPr="00687B52">
              <w:rPr>
                <w:rFonts w:hAnsi="宋体" w:hint="eastAsia"/>
                <w:color w:val="000000" w:themeColor="text1"/>
              </w:rPr>
              <w:t>以内。</w:t>
            </w:r>
          </w:p>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油罐汽车在装卸过程中应采用专用的接地导线（可卷式），夹子或接地端子将罐车与装卸设备相互连接起来。接地线的连接应再油罐开盖以前进行。装卸工作完毕后，应静置</w:t>
            </w:r>
            <w:r w:rsidRPr="00687B52">
              <w:rPr>
                <w:rFonts w:hAnsi="宋体" w:hint="eastAsia"/>
                <w:color w:val="000000" w:themeColor="text1"/>
              </w:rPr>
              <w:t>2min</w:t>
            </w:r>
            <w:r w:rsidRPr="00687B52">
              <w:rPr>
                <w:rFonts w:hAnsi="宋体" w:hint="eastAsia"/>
                <w:color w:val="000000" w:themeColor="text1"/>
              </w:rPr>
              <w:t>以上，才能拆除接地线。</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《涂料生产企业安全技术规程》AQ5204-2008</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第4.6.2.3条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3.1.12</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在重点防火、防爆区的入口处，应设置人体静电消除装置（接地裸露金属体如栏杆、金属支架等）。</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《涂料生产企业安全技术规程》AQ5204-2008</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第4.6.2.4条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3.1.13</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易燃易爆甲、乙类厂房内转动设备的皮带应采用防静电皮带。当皮带具绝缘性时，皮带的接头不应使用金属材料。皮带罩应接地，且固定牢固，不应与皮带发生碰刮的状况。</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《涂料生产企业安全技术规程》AQ5204-2008</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第4.6.2.5条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3.1.14</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不宜采用非金属管道输送易燃液体。当用软管输送易燃液体时，应使用导电软管或内附金属丝、网的导电橡胶管，且在相接时注意静电的导通性。</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《涂料生产企业安全技术规程》AQ5204-2008</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第4.6.2.6条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储运系统</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b/>
                <w:color w:val="000000" w:themeColor="text1"/>
              </w:rPr>
            </w:pPr>
            <w:r w:rsidRPr="00687B52">
              <w:rPr>
                <w:rFonts w:hAnsi="宋体" w:hint="eastAsia"/>
                <w:b/>
                <w:color w:val="000000" w:themeColor="text1"/>
              </w:rPr>
              <w:t>储罐区——溶剂罐区（甲类）、树脂罐区（乙类）</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3.2.1</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color w:val="000000" w:themeColor="text1"/>
              </w:rPr>
              <w:t>储罐区的设立应符合</w:t>
            </w:r>
            <w:r w:rsidRPr="00687B52">
              <w:rPr>
                <w:rFonts w:hAnsi="宋体"/>
                <w:color w:val="000000" w:themeColor="text1"/>
              </w:rPr>
              <w:t>GB 50016</w:t>
            </w:r>
            <w:r w:rsidRPr="00687B52">
              <w:rPr>
                <w:rFonts w:hAnsi="宋体" w:hint="eastAsia"/>
                <w:color w:val="000000" w:themeColor="text1"/>
              </w:rPr>
              <w:t>-</w:t>
            </w:r>
            <w:r w:rsidRPr="00687B52">
              <w:rPr>
                <w:rFonts w:hAnsi="宋体"/>
                <w:color w:val="000000" w:themeColor="text1"/>
              </w:rPr>
              <w:t>2006</w:t>
            </w:r>
            <w:r w:rsidRPr="00687B52">
              <w:rPr>
                <w:rFonts w:hAnsi="宋体"/>
                <w:color w:val="000000" w:themeColor="text1"/>
              </w:rPr>
              <w:t>第</w:t>
            </w:r>
            <w:r w:rsidRPr="00687B52">
              <w:rPr>
                <w:rFonts w:hAnsi="宋体"/>
                <w:color w:val="000000" w:themeColor="text1"/>
              </w:rPr>
              <w:t>4</w:t>
            </w:r>
            <w:r w:rsidRPr="00687B52">
              <w:rPr>
                <w:rFonts w:hAnsi="宋体"/>
                <w:color w:val="000000" w:themeColor="text1"/>
              </w:rPr>
              <w:t>章的规定。</w:t>
            </w:r>
          </w:p>
          <w:p w:rsidR="003E1D2A" w:rsidRPr="00687B52" w:rsidRDefault="003E1D2A" w:rsidP="003E1D2A">
            <w:pPr>
              <w:pStyle w:val="a7"/>
              <w:spacing w:line="300" w:lineRule="exact"/>
              <w:jc w:val="both"/>
              <w:rPr>
                <w:rFonts w:hAnsi="宋体"/>
                <w:color w:val="000000" w:themeColor="text1"/>
              </w:rPr>
            </w:pPr>
            <w:r w:rsidRPr="00687B52">
              <w:rPr>
                <w:rFonts w:hAnsi="宋体"/>
                <w:color w:val="000000" w:themeColor="text1"/>
              </w:rPr>
              <w:t>储存甲</w:t>
            </w:r>
            <w:r w:rsidRPr="00687B52">
              <w:rPr>
                <w:rFonts w:hAnsi="宋体"/>
                <w:color w:val="000000" w:themeColor="text1"/>
              </w:rPr>
              <w:t>(</w:t>
            </w:r>
            <w:r w:rsidRPr="00687B52">
              <w:rPr>
                <w:rFonts w:hAnsi="宋体"/>
                <w:color w:val="000000" w:themeColor="text1"/>
              </w:rPr>
              <w:t>闪点小于</w:t>
            </w:r>
            <w:r w:rsidRPr="00687B52">
              <w:rPr>
                <w:rFonts w:hAnsi="宋体"/>
                <w:color w:val="000000" w:themeColor="text1"/>
              </w:rPr>
              <w:t>28</w:t>
            </w:r>
            <w:r w:rsidRPr="00687B52">
              <w:rPr>
                <w:rFonts w:hAnsi="宋体"/>
                <w:color w:val="000000" w:themeColor="text1"/>
              </w:rPr>
              <w:t>℃</w:t>
            </w:r>
            <w:r w:rsidRPr="00687B52">
              <w:rPr>
                <w:rFonts w:hAnsi="宋体"/>
                <w:color w:val="000000" w:themeColor="text1"/>
              </w:rPr>
              <w:t>)</w:t>
            </w:r>
            <w:r w:rsidRPr="00687B52">
              <w:rPr>
                <w:rFonts w:hAnsi="宋体"/>
                <w:color w:val="000000" w:themeColor="text1"/>
              </w:rPr>
              <w:t>和乙</w:t>
            </w:r>
            <w:r w:rsidRPr="00687B52">
              <w:rPr>
                <w:rFonts w:hAnsi="宋体"/>
                <w:color w:val="000000" w:themeColor="text1"/>
              </w:rPr>
              <w:t>(</w:t>
            </w:r>
            <w:r w:rsidRPr="00687B52">
              <w:rPr>
                <w:rFonts w:hAnsi="宋体"/>
                <w:color w:val="000000" w:themeColor="text1"/>
              </w:rPr>
              <w:t>闪点大于等于</w:t>
            </w:r>
            <w:r w:rsidRPr="00687B52">
              <w:rPr>
                <w:rFonts w:hAnsi="宋体"/>
                <w:color w:val="000000" w:themeColor="text1"/>
              </w:rPr>
              <w:t>28</w:t>
            </w:r>
            <w:r w:rsidRPr="00687B52">
              <w:rPr>
                <w:rFonts w:hAnsi="宋体"/>
                <w:color w:val="000000" w:themeColor="text1"/>
              </w:rPr>
              <w:t>℃至闪点小于等于</w:t>
            </w:r>
            <w:r w:rsidRPr="00687B52">
              <w:rPr>
                <w:rFonts w:hAnsi="宋体"/>
                <w:color w:val="000000" w:themeColor="text1"/>
              </w:rPr>
              <w:t>45</w:t>
            </w:r>
            <w:r w:rsidRPr="00687B52">
              <w:rPr>
                <w:rFonts w:hAnsi="宋体"/>
                <w:color w:val="000000" w:themeColor="text1"/>
              </w:rPr>
              <w:t>℃</w:t>
            </w:r>
            <w:r w:rsidRPr="00687B52">
              <w:rPr>
                <w:rFonts w:hAnsi="宋体"/>
                <w:color w:val="000000" w:themeColor="text1"/>
              </w:rPr>
              <w:t>)</w:t>
            </w:r>
            <w:r w:rsidRPr="00687B52">
              <w:rPr>
                <w:rFonts w:hAnsi="宋体"/>
                <w:color w:val="000000" w:themeColor="text1"/>
              </w:rPr>
              <w:t>类的液体，宜选用浮顶或浮舱式内浮顶罐，不应选用浅盘式内浮顶罐。储存沸点低于</w:t>
            </w:r>
            <w:r w:rsidRPr="00687B52">
              <w:rPr>
                <w:rFonts w:hAnsi="宋体"/>
                <w:color w:val="000000" w:themeColor="text1"/>
              </w:rPr>
              <w:t>45</w:t>
            </w:r>
            <w:r w:rsidRPr="00687B52">
              <w:rPr>
                <w:rFonts w:hAnsi="宋体"/>
                <w:color w:val="000000" w:themeColor="text1"/>
              </w:rPr>
              <w:t>℃的甲</w:t>
            </w:r>
            <w:r w:rsidRPr="00687B52">
              <w:rPr>
                <w:rFonts w:hAnsi="宋体"/>
                <w:color w:val="000000" w:themeColor="text1"/>
              </w:rPr>
              <w:t>(</w:t>
            </w:r>
            <w:r w:rsidRPr="00687B52">
              <w:rPr>
                <w:rFonts w:hAnsi="宋体"/>
                <w:color w:val="000000" w:themeColor="text1"/>
              </w:rPr>
              <w:t>闪点小于</w:t>
            </w:r>
            <w:r w:rsidRPr="00687B52">
              <w:rPr>
                <w:rFonts w:hAnsi="宋体"/>
                <w:color w:val="000000" w:themeColor="text1"/>
              </w:rPr>
              <w:t>28</w:t>
            </w:r>
            <w:r w:rsidRPr="00687B52">
              <w:rPr>
                <w:rFonts w:hAnsi="宋体"/>
                <w:color w:val="000000" w:themeColor="text1"/>
              </w:rPr>
              <w:t>℃</w:t>
            </w:r>
            <w:r w:rsidRPr="00687B52">
              <w:rPr>
                <w:rFonts w:hAnsi="宋体"/>
                <w:color w:val="000000" w:themeColor="text1"/>
              </w:rPr>
              <w:t>)</w:t>
            </w:r>
            <w:r w:rsidRPr="00687B52">
              <w:rPr>
                <w:rFonts w:hAnsi="宋体"/>
                <w:color w:val="000000" w:themeColor="text1"/>
              </w:rPr>
              <w:t>类液体，应选用压力储罐。</w:t>
            </w:r>
          </w:p>
          <w:p w:rsidR="003E1D2A" w:rsidRPr="00687B52" w:rsidRDefault="003E1D2A" w:rsidP="003E1D2A">
            <w:pPr>
              <w:pStyle w:val="a7"/>
              <w:spacing w:line="300" w:lineRule="exact"/>
              <w:jc w:val="both"/>
              <w:rPr>
                <w:rFonts w:hAnsi="宋体"/>
                <w:color w:val="000000" w:themeColor="text1"/>
              </w:rPr>
            </w:pPr>
            <w:r w:rsidRPr="00687B52">
              <w:rPr>
                <w:rFonts w:hAnsi="宋体"/>
                <w:color w:val="000000" w:themeColor="text1"/>
              </w:rPr>
              <w:t>储罐应成组布置并符合下列规定：在同一罐组内，宜布置火灾危险性类别相同或相近的储罐；沸溢性液体的储罐，不应与非沸溢性液体储罐同组布置；液化烃的储罐，不应与可燃液体储罐同组布置。可燃液体储罐不宜与化学药剂等储罐布置在同一罐组内；有毒物料应单独布置在一个罐区内。</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《涂料生产企业安全技术规程》AQ5204-2008 </w:t>
            </w:r>
          </w:p>
          <w:p w:rsidR="003E1D2A" w:rsidRPr="00687B52" w:rsidRDefault="003E1D2A" w:rsidP="003E1D2A">
            <w:pPr>
              <w:pStyle w:val="a7"/>
              <w:spacing w:line="300" w:lineRule="exact"/>
              <w:rPr>
                <w:rFonts w:ascii="宋体" w:hAnsi="宋体"/>
                <w:color w:val="000000" w:themeColor="text1"/>
              </w:rPr>
            </w:pPr>
            <w:r w:rsidRPr="00687B52">
              <w:rPr>
                <w:rFonts w:asciiTheme="minorEastAsia" w:eastAsiaTheme="minorEastAsia" w:hAnsiTheme="minorEastAsia" w:hint="eastAsia"/>
                <w:color w:val="000000" w:themeColor="text1"/>
                <w:szCs w:val="24"/>
              </w:rPr>
              <w:t>第4.4.1条</w:t>
            </w:r>
          </w:p>
          <w:p w:rsidR="003E1D2A" w:rsidRPr="00687B52" w:rsidRDefault="003E1D2A" w:rsidP="003E1D2A">
            <w:pPr>
              <w:pStyle w:val="a7"/>
              <w:spacing w:line="300" w:lineRule="exact"/>
              <w:rPr>
                <w:rFonts w:ascii="宋体" w:hAnsi="宋体"/>
                <w:color w:val="000000" w:themeColor="text1"/>
              </w:rPr>
            </w:pP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shd w:val="clear" w:color="auto" w:fill="auto"/>
            <w:vAlign w:val="center"/>
          </w:tcPr>
          <w:p w:rsidR="003E1D2A" w:rsidRPr="00687B52" w:rsidRDefault="00F610D3" w:rsidP="00F610D3">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3.2.2</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hint="eastAsia"/>
                <w:color w:val="000000" w:themeColor="text1"/>
              </w:rPr>
              <w:t>甲、乙类液体的轻便容器（如桶、瓶）存放在室外时，应设置防晒棚或水喷淋（雾）等防晒设施。甲类液体储罐应设防日晒的固定式冷却水喷淋系统或其他降温设施，甲、乙类液体储罐阀门冬季应有防冻措施。</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《涂料生产企业安全技术规程》AQ5204-2008 </w:t>
            </w:r>
          </w:p>
          <w:p w:rsidR="003E1D2A" w:rsidRPr="00687B52" w:rsidRDefault="003E1D2A" w:rsidP="003E1D2A">
            <w:pPr>
              <w:pStyle w:val="a7"/>
              <w:spacing w:line="300" w:lineRule="exact"/>
              <w:rPr>
                <w:rFonts w:ascii="宋体" w:hAnsi="宋体"/>
                <w:color w:val="000000" w:themeColor="text1"/>
              </w:rPr>
            </w:pPr>
            <w:r w:rsidRPr="00687B52">
              <w:rPr>
                <w:rFonts w:asciiTheme="minorEastAsia" w:eastAsiaTheme="minorEastAsia" w:hAnsiTheme="minorEastAsia" w:hint="eastAsia"/>
                <w:color w:val="000000" w:themeColor="text1"/>
                <w:szCs w:val="24"/>
              </w:rPr>
              <w:t>第4.4.2条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3.2.3</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ascii="宋体" w:hAnsi="宋体"/>
                <w:color w:val="000000" w:themeColor="text1"/>
                <w:szCs w:val="24"/>
              </w:rPr>
              <w:t>溶剂储罐</w:t>
            </w:r>
            <w:r w:rsidRPr="00687B52">
              <w:rPr>
                <w:rFonts w:ascii="宋体" w:hAnsi="宋体" w:hint="eastAsia"/>
                <w:color w:val="000000" w:themeColor="text1"/>
                <w:szCs w:val="24"/>
              </w:rPr>
              <w:t>应配置</w:t>
            </w:r>
            <w:r w:rsidRPr="00687B52">
              <w:rPr>
                <w:rFonts w:ascii="宋体" w:hAnsi="宋体"/>
                <w:color w:val="000000" w:themeColor="text1"/>
                <w:szCs w:val="24"/>
              </w:rPr>
              <w:t>压力表、呼吸阀</w:t>
            </w:r>
            <w:r w:rsidRPr="00687B52">
              <w:rPr>
                <w:rFonts w:ascii="宋体" w:hAnsi="宋体" w:hint="eastAsia"/>
                <w:color w:val="000000" w:themeColor="text1"/>
                <w:szCs w:val="24"/>
              </w:rPr>
              <w:t>、</w:t>
            </w:r>
            <w:r w:rsidRPr="00687B52">
              <w:rPr>
                <w:rFonts w:ascii="宋体" w:hAnsi="宋体"/>
                <w:color w:val="000000" w:themeColor="text1"/>
                <w:szCs w:val="24"/>
              </w:rPr>
              <w:t>液位计</w:t>
            </w:r>
            <w:r w:rsidRPr="00687B52">
              <w:rPr>
                <w:rFonts w:ascii="宋体" w:hAnsi="宋体" w:hint="eastAsia"/>
                <w:color w:val="000000" w:themeColor="text1"/>
                <w:szCs w:val="24"/>
              </w:rPr>
              <w:t>。玻璃管液位计应加护套保护措施，易燃易爆液体不宜使用玻璃管液位计，储罐液位计指示宜为电子液位显示并设置液位高低限报警，报警信号送至控制室。</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宋体" w:hAnsi="宋体"/>
                <w:color w:val="000000" w:themeColor="text1"/>
                <w:szCs w:val="24"/>
              </w:rPr>
              <w:t>《涂料生产企业安全生产标准化实施指南》AQ 3040-2010</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宋体" w:hAnsi="宋体" w:hint="eastAsia"/>
                <w:color w:val="000000" w:themeColor="text1"/>
                <w:szCs w:val="24"/>
              </w:rPr>
              <w:t>第5.6.4.2  a）2）</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3.2.4</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color w:val="000000" w:themeColor="text1"/>
              </w:rPr>
              <w:t>防火堤、防护墙应采用不燃烧材料建造，且必须密实、闭合、不泄漏。</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《储罐区防火堤设计规范》</w:t>
            </w:r>
            <w:r w:rsidRPr="00687B52">
              <w:rPr>
                <w:rFonts w:ascii="宋体" w:hAnsi="宋体"/>
                <w:color w:val="000000" w:themeColor="text1"/>
              </w:rPr>
              <w:t>GB50351-2014</w:t>
            </w:r>
          </w:p>
          <w:p w:rsidR="003E1D2A" w:rsidRPr="00687B52" w:rsidRDefault="003E1D2A" w:rsidP="003E1D2A">
            <w:pPr>
              <w:pStyle w:val="a7"/>
              <w:spacing w:line="300" w:lineRule="exact"/>
              <w:rPr>
                <w:rFonts w:ascii="宋体" w:hAnsi="宋体"/>
                <w:color w:val="000000" w:themeColor="text1"/>
              </w:rPr>
            </w:pPr>
            <w:r w:rsidRPr="00687B52">
              <w:rPr>
                <w:rFonts w:ascii="宋体" w:hAnsi="宋体"/>
                <w:color w:val="000000" w:themeColor="text1"/>
              </w:rPr>
              <w:t>第3.1.2条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3.2.5</w:t>
            </w:r>
          </w:p>
        </w:tc>
        <w:tc>
          <w:tcPr>
            <w:tcW w:w="2474" w:type="pct"/>
            <w:gridSpan w:val="15"/>
            <w:shd w:val="clear" w:color="auto" w:fill="auto"/>
            <w:vAlign w:val="center"/>
          </w:tcPr>
          <w:p w:rsidR="003E1D2A" w:rsidRPr="00687B52" w:rsidRDefault="003E1D2A" w:rsidP="003E1D2A">
            <w:pPr>
              <w:pStyle w:val="a7"/>
              <w:spacing w:line="300" w:lineRule="exact"/>
              <w:jc w:val="both"/>
              <w:rPr>
                <w:rFonts w:hAnsi="宋体"/>
                <w:color w:val="000000" w:themeColor="text1"/>
              </w:rPr>
            </w:pPr>
            <w:r w:rsidRPr="00687B52">
              <w:rPr>
                <w:rFonts w:hAnsi="宋体"/>
                <w:color w:val="000000" w:themeColor="text1"/>
              </w:rPr>
              <w:t>每一储罐组的防火堤、防护墙应设置不少于</w:t>
            </w:r>
            <w:r w:rsidRPr="00687B52">
              <w:rPr>
                <w:rFonts w:hAnsi="宋体"/>
                <w:color w:val="000000" w:themeColor="text1"/>
              </w:rPr>
              <w:t xml:space="preserve">2 </w:t>
            </w:r>
            <w:r w:rsidRPr="00687B52">
              <w:rPr>
                <w:rFonts w:hAnsi="宋体"/>
                <w:color w:val="000000" w:themeColor="text1"/>
              </w:rPr>
              <w:t>处越堤人行踏步或坡道，并应设置在不同方位上。隔堤、隔墙应设置人行踏步或坡道。</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rPr>
            </w:pPr>
            <w:r w:rsidRPr="00687B52">
              <w:rPr>
                <w:rFonts w:asciiTheme="minorEastAsia" w:eastAsiaTheme="minorEastAsia" w:hAnsiTheme="minorEastAsia" w:hint="eastAsia"/>
                <w:color w:val="000000" w:themeColor="text1"/>
                <w:szCs w:val="24"/>
              </w:rPr>
              <w:t>《储罐区防火堤设计规范》</w:t>
            </w:r>
            <w:r w:rsidRPr="00687B52">
              <w:rPr>
                <w:rFonts w:ascii="宋体" w:hAnsi="宋体"/>
                <w:color w:val="000000" w:themeColor="text1"/>
              </w:rPr>
              <w:t>GB50351-2014</w:t>
            </w:r>
          </w:p>
          <w:p w:rsidR="003E1D2A" w:rsidRPr="00687B52" w:rsidRDefault="003E1D2A" w:rsidP="003E1D2A">
            <w:pPr>
              <w:pStyle w:val="a7"/>
              <w:spacing w:line="300" w:lineRule="exact"/>
              <w:rPr>
                <w:rFonts w:ascii="宋体" w:hAnsi="宋体"/>
                <w:color w:val="000000" w:themeColor="text1"/>
              </w:rPr>
            </w:pPr>
            <w:r w:rsidRPr="00687B52">
              <w:rPr>
                <w:rFonts w:ascii="宋体" w:hAnsi="宋体"/>
                <w:color w:val="000000" w:themeColor="text1"/>
              </w:rPr>
              <w:t>第3.1.7条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p>
        </w:tc>
      </w:tr>
      <w:tr w:rsidR="003E1D2A" w:rsidRPr="00687B52" w:rsidTr="00E640A6">
        <w:tc>
          <w:tcPr>
            <w:tcW w:w="409" w:type="pct"/>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仓库区</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3.2.7</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产品贮存应按其性质分类，分批堆放，并应遵循先进先出的原则。应保持通风、干燥，防止日光直接照射。夏季温度过高应采取适当的降温措施。</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《涂料生产企业安全技术规程》AQ5204-2008 </w:t>
            </w:r>
          </w:p>
          <w:p w:rsidR="003E1D2A" w:rsidRPr="00687B52" w:rsidRDefault="003E1D2A" w:rsidP="003E1D2A">
            <w:pPr>
              <w:pStyle w:val="a7"/>
              <w:spacing w:line="300" w:lineRule="exact"/>
              <w:rPr>
                <w:rFonts w:ascii="宋体" w:hAnsi="宋体"/>
                <w:color w:val="000000" w:themeColor="text1"/>
              </w:rPr>
            </w:pPr>
            <w:r w:rsidRPr="00687B52">
              <w:rPr>
                <w:rFonts w:asciiTheme="minorEastAsia" w:eastAsiaTheme="minorEastAsia" w:hAnsiTheme="minorEastAsia" w:hint="eastAsia"/>
                <w:color w:val="000000" w:themeColor="text1"/>
                <w:szCs w:val="24"/>
              </w:rPr>
              <w:t>第5.8.4.1条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3.2.8</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甲类仓库应单层独立设置。甲、乙类仓库不应设置在地下或半地下。甲、乙类仓库部应设置办公室、休息室，并不应贴邻建造。</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 5204-2008第4.3.9条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说明甲、乙类仓库的设置情况。</w:t>
            </w: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3.2.9</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甲、乙、丙类液体仓库应设置防止液体流散的设施。</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 5204-2008第4.3.10条</w:t>
            </w:r>
          </w:p>
        </w:tc>
        <w:tc>
          <w:tcPr>
            <w:tcW w:w="1144" w:type="pct"/>
            <w:shd w:val="clear" w:color="auto" w:fill="auto"/>
            <w:vAlign w:val="center"/>
          </w:tcPr>
          <w:p w:rsidR="003E1D2A" w:rsidRPr="00687B52" w:rsidRDefault="003E1D2A" w:rsidP="003E1D2A">
            <w:pPr>
              <w:spacing w:line="300" w:lineRule="exac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说明甲、乙、丙类液体仓库是否设置了防止液体流散的设施。</w:t>
            </w: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3.2.10</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库房应干燥、易于通风、密闭和避光，并应安装避雷装置；库房内可能散发（或泄漏）可燃气体、可燃蒸汽的场所应安装可燃气体检测报警装置。</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《易燃易爆性商品储藏养护技术条件》GB17914-2013</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第3.2条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3.2.11</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商品应避免阳光直射、远离火源、热源、电源及产生火花的环境。</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《易燃易爆性商品储藏养护技术条件》GB17914-2013</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第4.3.1条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3.2.12</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除按附录A规定分类储存外，以下品种应专库储存：</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爆炸品：黑色火药类、爆炸性化合物应专库储存；</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压缩气体和液化气体：易燃气体、助燃气体和有毒气体应专库储存；</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易燃液体可同库储存；但灭火方法不同的商品应分库储存；</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易燃固体可同库储存；但乳发剂H与酸或酸性商品应分库储存；</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硝酸纤维素酯、安全火柴、红磷及硫化磷、铝粉等金属分类应分裤储存；</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自然商品：黄磷、烃基金属化合物，浸动、植物油的制品应分库储存；</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遇湿易燃商品应专库储存；</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氧化剂和有机过氧化物，一、二级无机氧化剂与一、二级有机氧化剂应分库储存； </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《易燃易爆性商品储藏养护技术条件》GB17914-2013</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第4.3.2条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3.2.13</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各种商品（气瓶装除外）不应直接落地存放，一般应垫15cm以上。遇湿易燃物品、易吸潮溶化和吸潮分解的商品应适当增加下垫高度。</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《易燃易爆性商品储藏养护技术条件》GB17914-2013</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第6.1.2条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F610D3">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3.2.14</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各种商品应玛行列式压缝货垛，做到牢固、整齐、美观，出入库方便，一般垛高不应超过3m。</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《易燃易爆性商品储藏养护技术条件》GB17914-2013</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第6.1.3条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F610D3">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3.2.15</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堆垛间距：</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主通道大于等于180cm；</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支通道大于等于80cm；</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墙距大于等于30cm；</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柱距大于等于10cm；</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垛距大于等于10cm；</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顶距大于等于50cm。</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《易燃易爆性商品储藏养护技术条件》GB17914-2013</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第6.2条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3.2.16</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各项操作不应使用能产生火花的工具，不应使用叉车搬运、装卸压缩和液化的气体钢瓶，热源与火源应远离作业现场。</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《易燃易爆性商品储藏养护技术条件》GB17914-2013</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第8.4条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610D3"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3.2.17</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库房内不应进行分装、改装，开箱、开桶、验收等，以上活动应在库房外进行。</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《易燃易爆性商品储藏养护技术条件》GB17914-2013</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第7.5条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DF4496"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3.2.18</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贮存化学危险品的仓库必须配备有专业知识的技术人员，其库房及场所应设专人管理，管理人员必须配备可靠的个人安全防护用品。</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常用化学危险品贮存通则</w:t>
            </w:r>
            <w:r w:rsidRPr="00687B52">
              <w:rPr>
                <w:rFonts w:asciiTheme="minorEastAsia" w:eastAsiaTheme="minorEastAsia" w:hAnsiTheme="minorEastAsia" w:hint="eastAsia"/>
                <w:color w:val="000000" w:themeColor="text1"/>
                <w:szCs w:val="24"/>
              </w:rPr>
              <w:t>》GB 15603-1995第4.4条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DF4496"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3.2.19</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根据危险品性能分区、分类、分库贮存。各类危险品不得与禁忌物料混合贮存。</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常用化学危险品贮存通则</w:t>
            </w:r>
            <w:r w:rsidRPr="00687B52">
              <w:rPr>
                <w:rFonts w:asciiTheme="minorEastAsia" w:eastAsiaTheme="minorEastAsia" w:hAnsiTheme="minorEastAsia" w:hint="eastAsia"/>
                <w:color w:val="000000" w:themeColor="text1"/>
                <w:szCs w:val="24"/>
              </w:rPr>
              <w:t>》GB 15603-1995第4.8条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DF4496"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3.2.20</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贮存化学危险品的建筑物、区域内严禁吸烟和使用明火。</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常用化学危险品贮存通则</w:t>
            </w:r>
            <w:r w:rsidRPr="00687B52">
              <w:rPr>
                <w:rFonts w:asciiTheme="minorEastAsia" w:eastAsiaTheme="minorEastAsia" w:hAnsiTheme="minorEastAsia" w:hint="eastAsia"/>
                <w:color w:val="000000" w:themeColor="text1"/>
                <w:szCs w:val="24"/>
              </w:rPr>
              <w:t>》GB 15603-1995第4.9条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DF4496"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3.2.21</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化学危险品贮存区域或建筑物内输配电线路、灯具、火灾事故照明和疏散指示标志，都应符合安全要求。</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常用化学危险品贮存通则</w:t>
            </w:r>
            <w:r w:rsidRPr="00687B52">
              <w:rPr>
                <w:rFonts w:asciiTheme="minorEastAsia" w:eastAsiaTheme="minorEastAsia" w:hAnsiTheme="minorEastAsia" w:hint="eastAsia"/>
                <w:color w:val="000000" w:themeColor="text1"/>
                <w:szCs w:val="24"/>
              </w:rPr>
              <w:t>》GB 15603-1995第5.3.2条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DF4496"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3.2.22</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贮存易燃、易爆化学品的建筑，必须安装避雷设备。</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常用化学危险品贮存通则</w:t>
            </w:r>
            <w:r w:rsidRPr="00687B52">
              <w:rPr>
                <w:rFonts w:asciiTheme="minorEastAsia" w:eastAsiaTheme="minorEastAsia" w:hAnsiTheme="minorEastAsia" w:hint="eastAsia"/>
                <w:color w:val="000000" w:themeColor="text1"/>
                <w:szCs w:val="24"/>
              </w:rPr>
              <w:t>》GB 15603-1995第5.3.3条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DF4496"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3.2.23</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易燃液体、遇湿易燃物品、易燃固体不得与氧化剂混合贮存，具有还原性的氧化剂应单独存放。</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常用化学危险品贮存通则</w:t>
            </w:r>
            <w:r w:rsidRPr="00687B52">
              <w:rPr>
                <w:rFonts w:asciiTheme="minorEastAsia" w:eastAsiaTheme="minorEastAsia" w:hAnsiTheme="minorEastAsia" w:hint="eastAsia"/>
                <w:color w:val="000000" w:themeColor="text1"/>
                <w:szCs w:val="24"/>
              </w:rPr>
              <w:t>》GB 15603-1995第6.7条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DF4496"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3.2.24</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有毒品应贮存在阴凉、通风、干燥的场所，不要露天存放，不要接近酸类物质。</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常用化学危险品贮存通则</w:t>
            </w:r>
            <w:r w:rsidRPr="00687B52">
              <w:rPr>
                <w:rFonts w:asciiTheme="minorEastAsia" w:eastAsiaTheme="minorEastAsia" w:hAnsiTheme="minorEastAsia" w:hint="eastAsia"/>
                <w:color w:val="000000" w:themeColor="text1"/>
                <w:szCs w:val="24"/>
              </w:rPr>
              <w:t>》GB 15603-1995第6.8条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DF4496"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3.2.25</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腐蚀性物品，包装必须严密，不允许泄漏，严禁与液化气体和其他物品共存。</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常用化学危险品贮存通则</w:t>
            </w:r>
            <w:r w:rsidRPr="00687B52">
              <w:rPr>
                <w:rFonts w:asciiTheme="minorEastAsia" w:eastAsiaTheme="minorEastAsia" w:hAnsiTheme="minorEastAsia" w:hint="eastAsia"/>
                <w:color w:val="000000" w:themeColor="text1"/>
                <w:szCs w:val="24"/>
              </w:rPr>
              <w:t>》GB 15603-1995第6.9条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包装与检验</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rPr>
          <w:trHeight w:val="331"/>
        </w:trPr>
        <w:tc>
          <w:tcPr>
            <w:tcW w:w="409" w:type="pct"/>
            <w:shd w:val="clear" w:color="auto" w:fill="auto"/>
            <w:vAlign w:val="center"/>
          </w:tcPr>
          <w:p w:rsidR="003E1D2A" w:rsidRPr="00687B52" w:rsidRDefault="00DF4496" w:rsidP="00DF4496">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3.2.26</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灌装包装场地应平整、无油迹、保持清洁、通风良好，易燃易爆物品包装场地不应设地坑，作业人员不应在地坑中进行灌装包装。</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《涂料生产企业安全技术规程》AQ5204-2008</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第5.8.1.2条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DF4496" w:rsidP="00DF4496">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3.2.27</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危险化学品的涂料产品所用的包装物应使用有资质企业生产的包装物和容器。</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《涂料生产企业安全技术规程》AQ5204-2008</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第5.8.1.3条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DF4496" w:rsidP="00DF4496">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3.2.28</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危险化学品的涂料产品应再包装上标注国家生产监督管理总局颁发的危险化学品安全生产许可证标记和编号；已列入危险化学品生产许可证发放目录的涂料产品，还应标注国家质量监督检验检疫总局颁发的危险化学品生产许可证标记和编号。</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《涂料生产企业安全技术规程》AQ5204-2008</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第5.8.2.2条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DF4496" w:rsidP="00DF4496">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3.2.29</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危险化学品的涂料产品应在包装（包括外包装件）上加贴或栓挂与包装内涂料产品完全一致的化学品安全标签。应再包装内附有与包装内涂料产品完全一致的化学品安全技术说明书。</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《涂料生产企业安全技术规程》AQ5204-2008</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第5.8.2.3条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DF4496" w:rsidP="00DF4496">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3.2.30</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企业应按照国家标准、行业标准（或企业标准）的要求进行检验，保证出厂的产品符合标准的技术要求。</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《涂料生产企业安全技术规程》AQ5204-2008</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第5.8.2.4条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装卸与运输</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DF4496" w:rsidP="00DF4496">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3.2.31</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危险货物的装卸应在装卸管理人员的现场指挥下进行。</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汽车运输装卸危险货物作业规程</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JT618</w:t>
            </w:r>
            <w:r w:rsidRPr="00687B52">
              <w:rPr>
                <w:rFonts w:asciiTheme="minorEastAsia" w:eastAsiaTheme="minorEastAsia" w:hAnsiTheme="minorEastAsia" w:hint="eastAsia"/>
                <w:color w:val="000000" w:themeColor="text1"/>
                <w:szCs w:val="24"/>
              </w:rPr>
              <w:t>-2004</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第4.1.2条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DF4496" w:rsidP="00DF4496">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3.2.32</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在危险货物装卸作业区应设置警告标志。无关人员不得进入装卸作业区。</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汽车运输装卸危险货物作业规程</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JT618</w:t>
            </w:r>
            <w:r w:rsidRPr="00687B52">
              <w:rPr>
                <w:rFonts w:asciiTheme="minorEastAsia" w:eastAsiaTheme="minorEastAsia" w:hAnsiTheme="minorEastAsia" w:hint="eastAsia"/>
                <w:color w:val="000000" w:themeColor="text1"/>
                <w:szCs w:val="24"/>
              </w:rPr>
              <w:t>-2004</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第4.1.3条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DF4496" w:rsidP="00DF4496">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3.2.33</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进入易燃、易爆危险货物装卸作业区应：</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a)禁止随身携带火种；</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b)关闭随身携带的手机等通讯工具和电子设备；</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c)严禁吸烟；</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d)穿着不产生静电的工作服和不带铁钉的工作鞋。</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汽车运输装卸危险货物作业规程</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JT618</w:t>
            </w:r>
            <w:r w:rsidRPr="00687B52">
              <w:rPr>
                <w:rFonts w:asciiTheme="minorEastAsia" w:eastAsiaTheme="minorEastAsia" w:hAnsiTheme="minorEastAsia" w:hint="eastAsia"/>
                <w:color w:val="000000" w:themeColor="text1"/>
                <w:szCs w:val="24"/>
              </w:rPr>
              <w:t>-2004</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第4.1.4条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DF4496" w:rsidP="00DF4496">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3.2.34</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采取有效防火、防潮、防禁忌混存的措施，按操作规程装装卸。</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汽车运输装卸危险货物作业规程</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JT618</w:t>
            </w:r>
            <w:r w:rsidRPr="00687B52">
              <w:rPr>
                <w:rFonts w:asciiTheme="minorEastAsia" w:eastAsiaTheme="minorEastAsia" w:hAnsiTheme="minorEastAsia" w:hint="eastAsia"/>
                <w:color w:val="000000" w:themeColor="text1"/>
                <w:szCs w:val="24"/>
              </w:rPr>
              <w:t>-2004</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第4.1.5、4.1.10、5.4.1、5.4.1.2、5.4.4.2条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DF4496" w:rsidP="00DF4496">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3.2.35</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配装时还应做到：</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a)易燃固体不得与明火、水接触，不得与酸类和氧化剂配装；</w:t>
            </w:r>
          </w:p>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b)遇湿易燃物品不得与酸类、氧化剂及含水的液体货物配装。</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汽车运输装卸危险货物作业规程</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JT618</w:t>
            </w:r>
            <w:r w:rsidRPr="00687B52">
              <w:rPr>
                <w:rFonts w:asciiTheme="minorEastAsia" w:eastAsiaTheme="minorEastAsia" w:hAnsiTheme="minorEastAsia" w:hint="eastAsia"/>
                <w:color w:val="000000" w:themeColor="text1"/>
                <w:szCs w:val="24"/>
              </w:rPr>
              <w:t>-2004</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第5.4.3.8条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DF4496" w:rsidP="00DF4496">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3.2.36</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车辆必须经过车辆管理机关检验合格，领取号牌和行驶证，方准行驶。限于厂内行驶的车辆，应由企业交通安全主管部门核发号牌和行驶证，号牌和行驶证不准转借、涂改或伪造、车辆必须按车辆管理机关规定的期限接受检验。未按规定检验或检验不合格的，不准行驶。</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《工业企业厂内铁路、道路运输安全规程》</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4387-2008</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w:t>
            </w:r>
            <w:r w:rsidRPr="00687B52">
              <w:rPr>
                <w:rFonts w:asciiTheme="minorEastAsia" w:eastAsiaTheme="minorEastAsia" w:hAnsiTheme="minorEastAsia"/>
                <w:color w:val="000000" w:themeColor="text1"/>
                <w:szCs w:val="24"/>
              </w:rPr>
              <w:t>6. 2.1</w:t>
            </w:r>
            <w:r w:rsidRPr="00687B52">
              <w:rPr>
                <w:rFonts w:asciiTheme="minorEastAsia" w:eastAsiaTheme="minorEastAsia" w:hAnsiTheme="minorEastAsia" w:hint="eastAsia"/>
                <w:color w:val="000000" w:themeColor="text1"/>
                <w:szCs w:val="24"/>
              </w:rPr>
              <w:t>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DF4496" w:rsidP="00DF4496">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3.2.37</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机动车在无限速标志的厂内主干道行驶时，不得超过</w:t>
            </w:r>
            <w:r w:rsidRPr="00687B52">
              <w:rPr>
                <w:rFonts w:asciiTheme="minorEastAsia" w:eastAsiaTheme="minorEastAsia" w:hAnsiTheme="minorEastAsia"/>
                <w:color w:val="000000" w:themeColor="text1"/>
                <w:szCs w:val="24"/>
              </w:rPr>
              <w:t>30km/h</w:t>
            </w:r>
            <w:r w:rsidRPr="00687B52">
              <w:rPr>
                <w:rFonts w:asciiTheme="minorEastAsia" w:eastAsiaTheme="minorEastAsia" w:hAnsiTheme="minorEastAsia" w:hint="eastAsia"/>
                <w:color w:val="000000" w:themeColor="text1"/>
                <w:szCs w:val="24"/>
              </w:rPr>
              <w:t>，其它道路不得超过</w:t>
            </w:r>
            <w:r w:rsidRPr="00687B52">
              <w:rPr>
                <w:rFonts w:asciiTheme="minorEastAsia" w:eastAsiaTheme="minorEastAsia" w:hAnsiTheme="minorEastAsia"/>
                <w:color w:val="000000" w:themeColor="text1"/>
                <w:szCs w:val="24"/>
              </w:rPr>
              <w:t>20km/h</w:t>
            </w:r>
            <w:r w:rsidRPr="00687B52">
              <w:rPr>
                <w:rFonts w:asciiTheme="minorEastAsia" w:eastAsiaTheme="minorEastAsia" w:hAnsiTheme="minorEastAsia" w:hint="eastAsia"/>
                <w:color w:val="000000" w:themeColor="text1"/>
                <w:szCs w:val="24"/>
              </w:rPr>
              <w:t>。</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《工业企业厂内铁路、道路运输安全规程》GB4387-2008</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w:t>
            </w:r>
            <w:r w:rsidRPr="00687B52">
              <w:rPr>
                <w:rFonts w:asciiTheme="minorEastAsia" w:eastAsiaTheme="minorEastAsia" w:hAnsiTheme="minorEastAsia"/>
                <w:color w:val="000000" w:themeColor="text1"/>
                <w:szCs w:val="24"/>
              </w:rPr>
              <w:t>6</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4</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1</w:t>
            </w:r>
            <w:r w:rsidRPr="00687B52">
              <w:rPr>
                <w:rFonts w:asciiTheme="minorEastAsia" w:eastAsiaTheme="minorEastAsia" w:hAnsiTheme="minorEastAsia" w:hint="eastAsia"/>
                <w:color w:val="000000" w:themeColor="text1"/>
                <w:szCs w:val="24"/>
              </w:rPr>
              <w:t>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DF4496" w:rsidP="00DF4496">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3.2.38</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通过道路运输危险化学品的，托运人应当委托依法取得危险货物道路运输许可的企业承运。</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《危险化学品管理条例》第四十六条　</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3E1D2A"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应急设施</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DF4496"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3.3.1</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企业应按照国家相关规定配备应急设施、装备，储备足够的应急物资，并保持完好，严禁挪用。</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《涂料生产企业安全生产标准化实施指南》AQ3040-2010</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第5.11.3.1条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E105D"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3.3.2</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企业应配备常用的医疗急救器材和急救药品。</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《涂料生产企业安全生产标准化实施指南》AQ3040-2010</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第5.11.3.2条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E105D"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3.3.3</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在有毒有害作业场所配备救援器材柜，放置必要的防护救护器材，进行经常性的维护保养并记录，保证其处于正常状态。</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《涂料生产企业安全生产标准化实施指南》AQ3040-2010</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第5.11.3.3条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E105D"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3.3.4</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接触职业危害的作业岗位应在显著位置设置说明有毒有害物质危害性、预防措施和应急处理措施的指示牌。</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hint="eastAsia"/>
                <w:color w:val="000000" w:themeColor="text1"/>
                <w:szCs w:val="24"/>
              </w:rPr>
              <w:t>《涂料生产企业职业健康技术规范》AQ4254-2015</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hint="eastAsia"/>
                <w:color w:val="000000" w:themeColor="text1"/>
                <w:szCs w:val="24"/>
              </w:rPr>
              <w:t>第8.1条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E105D"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3.3.5</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在生产过程中可能造成急性中毒的作业场所，应设置应急通风装置及与其连锁的自动报警装置，其通风换气次数应不小于12次/h。</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hint="eastAsia"/>
                <w:color w:val="000000" w:themeColor="text1"/>
                <w:szCs w:val="24"/>
              </w:rPr>
              <w:t>《涂料生产企业职业健康技术规范》AQ4254-2015</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hint="eastAsia"/>
                <w:color w:val="000000" w:themeColor="text1"/>
                <w:szCs w:val="24"/>
              </w:rPr>
              <w:t>第8.2条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E105D"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3.3.6</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应急排风的通风机应分别在室内、外便于操作的地点设置开关，其供电系统来源应可靠。</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hint="eastAsia"/>
                <w:color w:val="000000" w:themeColor="text1"/>
                <w:szCs w:val="24"/>
              </w:rPr>
              <w:t>《涂料生产企业职业健康技术规范》AQ4254-2015</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hint="eastAsia"/>
                <w:color w:val="000000" w:themeColor="text1"/>
                <w:szCs w:val="24"/>
              </w:rPr>
              <w:t>第8.3条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E105D"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3.3.7</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涂料生产企业应具备现场快速、简易的急救能力，按照相关规范在有毒有害物质作业区域就近设置淋浴器、洗眼器、急救药品和其他相关急救装备。</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hint="eastAsia"/>
                <w:color w:val="000000" w:themeColor="text1"/>
                <w:szCs w:val="24"/>
              </w:rPr>
              <w:t>《涂料生产企业职业健康技术规范》AQ4254-2015</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hint="eastAsia"/>
                <w:color w:val="000000" w:themeColor="text1"/>
                <w:szCs w:val="24"/>
              </w:rPr>
              <w:t>第8.4条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E105D"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3.3.8</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color w:val="000000" w:themeColor="text1"/>
                <w:szCs w:val="24"/>
              </w:rPr>
              <w:t>企业应根据实际情况配置应急救援设施：包括堵漏、工程抢险装备和现场受伤人员的急救箱、担架等医疗抢救装备。</w:t>
            </w:r>
          </w:p>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color w:val="000000" w:themeColor="text1"/>
                <w:szCs w:val="24"/>
              </w:rPr>
              <w:t>在有毒有害作业场所配备救援器材柜，放置必要的防护救护器材，进行经常性的维护保养并记录，保证其处于正常状态。</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宋体" w:hAnsi="宋体"/>
                <w:color w:val="000000" w:themeColor="text1"/>
                <w:szCs w:val="24"/>
              </w:rPr>
              <w:t>《涂料生产企业安全生产标准化实施指南》AQ 3040-2010</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第5.6.4.2条4）</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第5.11.3.3条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E105D"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3.3.9</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color w:val="000000" w:themeColor="text1"/>
                <w:szCs w:val="24"/>
              </w:rPr>
              <w:t>有毒性危害的生产环境，应设置淋洗器等卫生防护设施，其服务半径应小于15 m。应根据作业特点和防护要求，确定配置事故柜、急救箱或个体防护用品。</w:t>
            </w:r>
          </w:p>
        </w:tc>
        <w:tc>
          <w:tcPr>
            <w:tcW w:w="972" w:type="pct"/>
            <w:shd w:val="clear" w:color="auto" w:fill="auto"/>
            <w:vAlign w:val="center"/>
          </w:tcPr>
          <w:p w:rsidR="003E1D2A" w:rsidRPr="00687B52" w:rsidRDefault="003E1D2A" w:rsidP="003E1D2A">
            <w:pPr>
              <w:pStyle w:val="a7"/>
              <w:spacing w:line="300" w:lineRule="exact"/>
              <w:rPr>
                <w:rFonts w:ascii="宋体" w:hAnsi="宋体"/>
                <w:color w:val="000000" w:themeColor="text1"/>
                <w:szCs w:val="24"/>
              </w:rPr>
            </w:pPr>
            <w:r w:rsidRPr="00687B52">
              <w:rPr>
                <w:rFonts w:asciiTheme="minorEastAsia" w:eastAsiaTheme="minorEastAsia" w:hAnsiTheme="minorEastAsia" w:hint="eastAsia"/>
                <w:color w:val="000000" w:themeColor="text1"/>
                <w:szCs w:val="24"/>
              </w:rPr>
              <w:t>《涂料生产企业安全技术规程》</w:t>
            </w:r>
            <w:r w:rsidRPr="00687B52">
              <w:rPr>
                <w:rFonts w:ascii="宋体" w:hAnsi="宋体"/>
                <w:color w:val="000000" w:themeColor="text1"/>
                <w:szCs w:val="24"/>
              </w:rPr>
              <w:t>AQ5204-2008</w:t>
            </w:r>
          </w:p>
          <w:p w:rsidR="003E1D2A" w:rsidRPr="00687B52" w:rsidRDefault="003E1D2A" w:rsidP="003E1D2A">
            <w:pPr>
              <w:pStyle w:val="a7"/>
              <w:spacing w:line="300" w:lineRule="exact"/>
              <w:rPr>
                <w:rFonts w:ascii="宋体" w:hAnsi="宋体"/>
                <w:color w:val="000000" w:themeColor="text1"/>
                <w:szCs w:val="24"/>
              </w:rPr>
            </w:pPr>
            <w:r w:rsidRPr="00687B52">
              <w:rPr>
                <w:rFonts w:ascii="宋体" w:hAnsi="宋体"/>
                <w:color w:val="000000" w:themeColor="text1"/>
                <w:szCs w:val="24"/>
              </w:rPr>
              <w:t>第4.12.1.2条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E105D"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3.3.10</w:t>
            </w:r>
          </w:p>
        </w:tc>
        <w:tc>
          <w:tcPr>
            <w:tcW w:w="2474" w:type="pct"/>
            <w:gridSpan w:val="15"/>
            <w:shd w:val="clear" w:color="auto" w:fill="auto"/>
            <w:vAlign w:val="center"/>
          </w:tcPr>
          <w:p w:rsidR="003E1D2A" w:rsidRPr="00687B52" w:rsidRDefault="003E1D2A" w:rsidP="003E1D2A">
            <w:pPr>
              <w:pStyle w:val="a7"/>
              <w:spacing w:line="300" w:lineRule="exact"/>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企业应设置火灾报警系统。合成树脂车间、危险化学品的涂料产品和包装车间、危险化学品仓库等建筑物内可能散发可燃气体、可燃蒸气的场所，应设置可燃气体报警装置，并可根据单位生产规模和实际，选择移动式或固定式检漏报警仪</w:t>
            </w:r>
            <w:r w:rsidRPr="00687B52">
              <w:rPr>
                <w:rFonts w:asciiTheme="minorEastAsia" w:eastAsiaTheme="minorEastAsia" w:hAnsiTheme="minorEastAsia"/>
                <w:color w:val="000000" w:themeColor="text1"/>
                <w:szCs w:val="24"/>
              </w:rPr>
              <w:t>(</w:t>
            </w:r>
            <w:r w:rsidRPr="00687B52">
              <w:rPr>
                <w:rFonts w:asciiTheme="minorEastAsia" w:eastAsiaTheme="minorEastAsia" w:hAnsiTheme="minorEastAsia" w:hint="eastAsia"/>
                <w:color w:val="000000" w:themeColor="text1"/>
                <w:szCs w:val="24"/>
              </w:rPr>
              <w:t>设施</w:t>
            </w:r>
            <w:r w:rsidRPr="00687B52">
              <w:rPr>
                <w:rFonts w:asciiTheme="minorEastAsia" w:eastAsiaTheme="minorEastAsia" w:hAnsiTheme="minorEastAsia"/>
                <w:color w:val="000000" w:themeColor="text1"/>
                <w:szCs w:val="24"/>
              </w:rPr>
              <w:t>)</w:t>
            </w:r>
            <w:r w:rsidRPr="00687B52">
              <w:rPr>
                <w:rFonts w:asciiTheme="minorEastAsia" w:eastAsiaTheme="minorEastAsia" w:hAnsiTheme="minorEastAsia" w:hint="eastAsia"/>
                <w:color w:val="000000" w:themeColor="text1"/>
                <w:szCs w:val="24"/>
              </w:rPr>
              <w:t>。</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《涂料生产企业安全技术规程》AQ5204-2008</w:t>
            </w:r>
          </w:p>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第4.5.5条</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r w:rsidR="003E1D2A" w:rsidRPr="00687B52" w:rsidTr="00E640A6">
        <w:tc>
          <w:tcPr>
            <w:tcW w:w="409" w:type="pct"/>
            <w:shd w:val="clear" w:color="auto" w:fill="auto"/>
            <w:vAlign w:val="center"/>
          </w:tcPr>
          <w:p w:rsidR="003E1D2A" w:rsidRPr="00687B52" w:rsidRDefault="00FE105D" w:rsidP="00525E55">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3.3.11</w:t>
            </w:r>
          </w:p>
        </w:tc>
        <w:tc>
          <w:tcPr>
            <w:tcW w:w="2474" w:type="pct"/>
            <w:gridSpan w:val="15"/>
            <w:shd w:val="clear" w:color="auto" w:fill="auto"/>
            <w:vAlign w:val="center"/>
          </w:tcPr>
          <w:p w:rsidR="003E1D2A" w:rsidRPr="00687B52" w:rsidRDefault="003E1D2A" w:rsidP="003E1D2A">
            <w:pPr>
              <w:pStyle w:val="a7"/>
              <w:spacing w:line="300" w:lineRule="exact"/>
              <w:jc w:val="left"/>
              <w:rPr>
                <w:rFonts w:ascii="宋体" w:hAnsi="宋体"/>
                <w:color w:val="000000" w:themeColor="text1"/>
                <w:szCs w:val="24"/>
              </w:rPr>
            </w:pPr>
            <w:r w:rsidRPr="00687B52">
              <w:rPr>
                <w:rFonts w:ascii="宋体" w:hAnsi="宋体" w:hint="eastAsia"/>
                <w:color w:val="000000" w:themeColor="text1"/>
                <w:szCs w:val="24"/>
              </w:rPr>
              <w:t>在存在有毒气体的区域配备便携式检测仪、空气呼吸器等器材和设备，作业人员能正确佩戴、使用个体防护用品和应急救援器材。</w:t>
            </w:r>
          </w:p>
        </w:tc>
        <w:tc>
          <w:tcPr>
            <w:tcW w:w="972" w:type="pct"/>
            <w:shd w:val="clear" w:color="auto" w:fill="auto"/>
            <w:vAlign w:val="center"/>
          </w:tcPr>
          <w:p w:rsidR="003E1D2A" w:rsidRPr="00687B52" w:rsidRDefault="003E1D2A" w:rsidP="003E1D2A">
            <w:pPr>
              <w:pStyle w:val="a7"/>
              <w:spacing w:line="300" w:lineRule="exac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《化工（危险化学品）企业安全检查重点指导目录》安监总管三[2015]113号</w:t>
            </w:r>
          </w:p>
        </w:tc>
        <w:tc>
          <w:tcPr>
            <w:tcW w:w="1144" w:type="pct"/>
            <w:shd w:val="clear" w:color="auto" w:fill="auto"/>
            <w:vAlign w:val="center"/>
          </w:tcPr>
          <w:p w:rsidR="003E1D2A" w:rsidRPr="00687B52" w:rsidRDefault="003E1D2A" w:rsidP="003E1D2A">
            <w:pPr>
              <w:pStyle w:val="a7"/>
              <w:spacing w:line="300" w:lineRule="exact"/>
              <w:jc w:val="both"/>
              <w:rPr>
                <w:rFonts w:asciiTheme="minorEastAsia" w:eastAsiaTheme="minorEastAsia" w:hAnsiTheme="minorEastAsia"/>
                <w:color w:val="000000" w:themeColor="text1"/>
                <w:szCs w:val="24"/>
              </w:rPr>
            </w:pPr>
          </w:p>
        </w:tc>
      </w:tr>
    </w:tbl>
    <w:p w:rsidR="003E1D2A" w:rsidRPr="00687B52" w:rsidRDefault="003E1D2A" w:rsidP="003E1D2A">
      <w:pPr>
        <w:rPr>
          <w:rFonts w:asciiTheme="minorEastAsia" w:hAnsiTheme="minorEastAsia"/>
          <w:color w:val="000000" w:themeColor="text1"/>
          <w:szCs w:val="21"/>
        </w:rPr>
      </w:pPr>
      <w:r w:rsidRPr="00687B52">
        <w:rPr>
          <w:rFonts w:asciiTheme="minorEastAsia" w:hAnsiTheme="minorEastAsia" w:hint="eastAsia"/>
          <w:color w:val="000000" w:themeColor="text1"/>
          <w:szCs w:val="21"/>
        </w:rPr>
        <w:t>说明：</w:t>
      </w:r>
    </w:p>
    <w:p w:rsidR="003E1D2A" w:rsidRPr="00687B52" w:rsidRDefault="003E1D2A" w:rsidP="00D9787F">
      <w:pPr>
        <w:pStyle w:val="ab"/>
        <w:numPr>
          <w:ilvl w:val="0"/>
          <w:numId w:val="128"/>
        </w:numPr>
        <w:adjustRightInd w:val="0"/>
        <w:snapToGrid w:val="0"/>
        <w:ind w:left="357" w:firstLineChars="0" w:hanging="357"/>
        <w:jc w:val="left"/>
        <w:rPr>
          <w:rFonts w:asciiTheme="minorEastAsia" w:hAnsiTheme="minorEastAsia"/>
          <w:color w:val="000000" w:themeColor="text1"/>
          <w:szCs w:val="21"/>
        </w:rPr>
      </w:pPr>
      <w:r w:rsidRPr="00687B52">
        <w:rPr>
          <w:rFonts w:asciiTheme="minorEastAsia" w:hAnsiTheme="minorEastAsia" w:hint="eastAsia"/>
          <w:color w:val="000000" w:themeColor="text1"/>
          <w:szCs w:val="21"/>
        </w:rPr>
        <w:t>本表依据《建筑设计防火规范》 、《涂料生产企业安全技术规程》等法律、法规、标准编制。</w:t>
      </w:r>
    </w:p>
    <w:p w:rsidR="003E1D2A" w:rsidRPr="00687B52" w:rsidRDefault="003E1D2A" w:rsidP="00D9787F">
      <w:pPr>
        <w:pStyle w:val="ab"/>
        <w:numPr>
          <w:ilvl w:val="0"/>
          <w:numId w:val="128"/>
        </w:numPr>
        <w:adjustRightInd w:val="0"/>
        <w:snapToGrid w:val="0"/>
        <w:ind w:left="357" w:firstLineChars="0" w:hanging="357"/>
        <w:jc w:val="left"/>
        <w:rPr>
          <w:rFonts w:asciiTheme="minorEastAsia" w:hAnsiTheme="minorEastAsia"/>
          <w:color w:val="000000" w:themeColor="text1"/>
          <w:szCs w:val="21"/>
        </w:rPr>
      </w:pPr>
      <w:r w:rsidRPr="00687B52">
        <w:rPr>
          <w:rFonts w:asciiTheme="minorEastAsia" w:hAnsiTheme="minorEastAsia" w:hint="eastAsia"/>
          <w:color w:val="000000" w:themeColor="text1"/>
          <w:szCs w:val="21"/>
        </w:rPr>
        <w:t>涂料是指涂于物体表面能形成具有保护、装饰或特殊功能，如绝缘、防腐、标志等，并能形成固态涂膜的液体或固体材料之总称。</w:t>
      </w:r>
      <w:r w:rsidRPr="00687B52">
        <w:rPr>
          <w:rFonts w:asciiTheme="minorEastAsia" w:hAnsiTheme="minorEastAsia"/>
          <w:color w:val="000000" w:themeColor="text1"/>
          <w:szCs w:val="21"/>
        </w:rPr>
        <w:t>包括油(性)漆、水性漆、</w:t>
      </w:r>
      <w:hyperlink r:id="rId31" w:tgtFrame="_blank" w:history="1">
        <w:r w:rsidRPr="00687B52">
          <w:rPr>
            <w:rFonts w:asciiTheme="minorEastAsia" w:hAnsiTheme="minorEastAsia"/>
            <w:color w:val="000000" w:themeColor="text1"/>
            <w:szCs w:val="21"/>
          </w:rPr>
          <w:t>木器漆</w:t>
        </w:r>
      </w:hyperlink>
      <w:r w:rsidRPr="00687B52">
        <w:rPr>
          <w:rFonts w:asciiTheme="minorEastAsia" w:hAnsiTheme="minorEastAsia"/>
          <w:color w:val="000000" w:themeColor="text1"/>
          <w:szCs w:val="21"/>
        </w:rPr>
        <w:t>、</w:t>
      </w:r>
      <w:hyperlink r:id="rId32" w:tgtFrame="_blank" w:history="1">
        <w:r w:rsidRPr="00687B52">
          <w:rPr>
            <w:rFonts w:asciiTheme="minorEastAsia" w:hAnsiTheme="minorEastAsia"/>
            <w:color w:val="000000" w:themeColor="text1"/>
            <w:szCs w:val="21"/>
          </w:rPr>
          <w:t>粉末涂料</w:t>
        </w:r>
      </w:hyperlink>
      <w:r w:rsidRPr="00687B52">
        <w:rPr>
          <w:rFonts w:asciiTheme="minorEastAsia" w:hAnsiTheme="minorEastAsia"/>
          <w:color w:val="000000" w:themeColor="text1"/>
          <w:szCs w:val="21"/>
        </w:rPr>
        <w:t>、</w:t>
      </w:r>
      <w:hyperlink r:id="rId33" w:tgtFrame="_blank" w:history="1">
        <w:r w:rsidRPr="00687B52">
          <w:rPr>
            <w:rFonts w:asciiTheme="minorEastAsia" w:hAnsiTheme="minorEastAsia"/>
            <w:color w:val="000000" w:themeColor="text1"/>
            <w:szCs w:val="21"/>
          </w:rPr>
          <w:t>木蜡油</w:t>
        </w:r>
      </w:hyperlink>
      <w:r w:rsidRPr="00687B52">
        <w:rPr>
          <w:rFonts w:asciiTheme="minorEastAsia" w:hAnsiTheme="minorEastAsia"/>
          <w:color w:val="000000" w:themeColor="text1"/>
          <w:szCs w:val="21"/>
        </w:rPr>
        <w:t>。</w:t>
      </w:r>
    </w:p>
    <w:p w:rsidR="003E1D2A" w:rsidRPr="00687B52" w:rsidRDefault="003E1D2A" w:rsidP="00D9787F">
      <w:pPr>
        <w:pStyle w:val="ab"/>
        <w:numPr>
          <w:ilvl w:val="0"/>
          <w:numId w:val="128"/>
        </w:numPr>
        <w:adjustRightInd w:val="0"/>
        <w:snapToGrid w:val="0"/>
        <w:ind w:left="357" w:firstLineChars="0" w:hanging="357"/>
        <w:rPr>
          <w:rFonts w:asciiTheme="minorEastAsia" w:hAnsiTheme="minorEastAsia" w:cs="Arial"/>
          <w:color w:val="000000" w:themeColor="text1"/>
          <w:szCs w:val="24"/>
        </w:rPr>
      </w:pPr>
      <w:r w:rsidRPr="00687B52">
        <w:rPr>
          <w:rFonts w:asciiTheme="minorEastAsia" w:hAnsiTheme="minorEastAsia"/>
          <w:color w:val="000000" w:themeColor="text1"/>
          <w:szCs w:val="21"/>
        </w:rPr>
        <w:t>油漆是以有机溶剂为介质或高固体、无溶剂的油性漆。</w:t>
      </w:r>
    </w:p>
    <w:p w:rsidR="003E1D2A" w:rsidRPr="00687B52" w:rsidRDefault="003E1D2A" w:rsidP="000C2455">
      <w:pPr>
        <w:pStyle w:val="af4"/>
        <w:jc w:val="left"/>
        <w:rPr>
          <w:rFonts w:asciiTheme="minorEastAsia" w:hAnsiTheme="minorEastAsia"/>
          <w:color w:val="000000" w:themeColor="text1"/>
          <w:szCs w:val="21"/>
        </w:rPr>
        <w:sectPr w:rsidR="003E1D2A" w:rsidRPr="00687B52" w:rsidSect="00D22E6D">
          <w:pgSz w:w="16838" w:h="11906" w:orient="landscape"/>
          <w:pgMar w:top="1457" w:right="1797" w:bottom="1457" w:left="1797" w:header="851" w:footer="907" w:gutter="0"/>
          <w:cols w:space="425"/>
          <w:docGrid w:type="lines" w:linePitch="312"/>
        </w:sectPr>
      </w:pPr>
    </w:p>
    <w:p w:rsidR="003E1D2A" w:rsidRPr="00687B52" w:rsidRDefault="0007330F" w:rsidP="0007330F">
      <w:pPr>
        <w:pStyle w:val="aff3"/>
        <w:numPr>
          <w:ilvl w:val="0"/>
          <w:numId w:val="0"/>
        </w:numPr>
        <w:rPr>
          <w:rFonts w:ascii="黑体" w:eastAsia="黑体" w:hAnsi="黑体"/>
          <w:color w:val="000000" w:themeColor="text1"/>
          <w:sz w:val="28"/>
          <w:szCs w:val="28"/>
        </w:rPr>
      </w:pPr>
      <w:bookmarkStart w:id="35" w:name="_Toc492634898"/>
      <w:r w:rsidRPr="00687B52">
        <w:rPr>
          <w:rFonts w:hint="eastAsia"/>
          <w:color w:val="000000" w:themeColor="text1"/>
        </w:rPr>
        <w:t>表</w:t>
      </w:r>
      <w:r w:rsidRPr="00687B52">
        <w:rPr>
          <w:rFonts w:hint="eastAsia"/>
          <w:color w:val="000000" w:themeColor="text1"/>
        </w:rPr>
        <w:t xml:space="preserve">2-7 </w:t>
      </w:r>
      <w:r w:rsidRPr="00687B52">
        <w:rPr>
          <w:rFonts w:hint="eastAsia"/>
          <w:color w:val="000000" w:themeColor="text1"/>
        </w:rPr>
        <w:t>危险化学品生产企业专业检查表（</w:t>
      </w:r>
      <w:r w:rsidR="003E1D2A" w:rsidRPr="00687B52">
        <w:rPr>
          <w:rFonts w:hint="eastAsia"/>
          <w:color w:val="000000" w:themeColor="text1"/>
        </w:rPr>
        <w:t>氯酸盐</w:t>
      </w:r>
      <w:r w:rsidRPr="00687B52">
        <w:rPr>
          <w:rFonts w:hint="eastAsia"/>
          <w:color w:val="000000" w:themeColor="text1"/>
        </w:rPr>
        <w:t>）</w:t>
      </w:r>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6904"/>
        <w:gridCol w:w="2845"/>
        <w:gridCol w:w="2788"/>
      </w:tblGrid>
      <w:tr w:rsidR="003E1D2A" w:rsidRPr="00687B52" w:rsidTr="0007330F">
        <w:trPr>
          <w:tblHeader/>
          <w:jc w:val="center"/>
        </w:trPr>
        <w:tc>
          <w:tcPr>
            <w:tcW w:w="355" w:type="pct"/>
            <w:vAlign w:val="center"/>
          </w:tcPr>
          <w:p w:rsidR="003E1D2A" w:rsidRPr="00687B52" w:rsidRDefault="003E1D2A" w:rsidP="0007330F">
            <w:pPr>
              <w:jc w:val="center"/>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序号</w:t>
            </w:r>
          </w:p>
        </w:tc>
        <w:tc>
          <w:tcPr>
            <w:tcW w:w="2558" w:type="pct"/>
            <w:vAlign w:val="center"/>
          </w:tcPr>
          <w:p w:rsidR="003E1D2A" w:rsidRPr="00687B52" w:rsidRDefault="003E1D2A" w:rsidP="003E1D2A">
            <w:pPr>
              <w:jc w:val="cente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检查内容</w:t>
            </w:r>
          </w:p>
        </w:tc>
        <w:tc>
          <w:tcPr>
            <w:tcW w:w="1054" w:type="pct"/>
            <w:vAlign w:val="center"/>
          </w:tcPr>
          <w:p w:rsidR="003E1D2A" w:rsidRPr="00687B52" w:rsidRDefault="003E1D2A" w:rsidP="003E1D2A">
            <w:pPr>
              <w:jc w:val="center"/>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检查依据</w:t>
            </w:r>
          </w:p>
        </w:tc>
        <w:tc>
          <w:tcPr>
            <w:tcW w:w="1033" w:type="pct"/>
            <w:vAlign w:val="center"/>
          </w:tcPr>
          <w:p w:rsidR="003E1D2A" w:rsidRPr="00687B52" w:rsidRDefault="003E1D2A" w:rsidP="003E1D2A">
            <w:pPr>
              <w:jc w:val="cente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检查</w:t>
            </w:r>
            <w:r w:rsidRPr="00687B52">
              <w:rPr>
                <w:rFonts w:asciiTheme="minorEastAsia" w:hAnsiTheme="minorEastAsia" w:cs="Times New Roman"/>
                <w:color w:val="000000" w:themeColor="text1"/>
                <w:sz w:val="24"/>
                <w:szCs w:val="24"/>
              </w:rPr>
              <w:t>情况</w:t>
            </w:r>
          </w:p>
        </w:tc>
      </w:tr>
      <w:tr w:rsidR="003E1D2A" w:rsidRPr="00687B52" w:rsidTr="0007330F">
        <w:trPr>
          <w:jc w:val="center"/>
        </w:trPr>
        <w:tc>
          <w:tcPr>
            <w:tcW w:w="355" w:type="pct"/>
            <w:vAlign w:val="center"/>
          </w:tcPr>
          <w:p w:rsidR="003E1D2A" w:rsidRPr="00687B52" w:rsidRDefault="003E1D2A" w:rsidP="0007330F">
            <w:pPr>
              <w:pStyle w:val="a7"/>
              <w:rPr>
                <w:rFonts w:asciiTheme="minorEastAsia" w:eastAsiaTheme="minorEastAsia" w:hAnsiTheme="minorEastAsia" w:cs="Times New Roman"/>
                <w:b/>
                <w:color w:val="000000" w:themeColor="text1"/>
                <w:szCs w:val="24"/>
              </w:rPr>
            </w:pPr>
            <w:r w:rsidRPr="00687B52">
              <w:rPr>
                <w:rFonts w:asciiTheme="minorEastAsia" w:eastAsiaTheme="minorEastAsia" w:hAnsiTheme="minorEastAsia" w:cs="Times New Roman"/>
                <w:b/>
                <w:color w:val="000000" w:themeColor="text1"/>
                <w:szCs w:val="24"/>
              </w:rPr>
              <w:t>1</w:t>
            </w:r>
          </w:p>
        </w:tc>
        <w:tc>
          <w:tcPr>
            <w:tcW w:w="2558" w:type="pct"/>
            <w:vAlign w:val="center"/>
          </w:tcPr>
          <w:p w:rsidR="003E1D2A" w:rsidRPr="00687B52" w:rsidRDefault="003E1D2A" w:rsidP="003E1D2A">
            <w:pPr>
              <w:pStyle w:val="a7"/>
              <w:jc w:val="left"/>
              <w:rPr>
                <w:rFonts w:asciiTheme="minorEastAsia" w:eastAsiaTheme="minorEastAsia" w:hAnsiTheme="minorEastAsia" w:cs="Times New Roman"/>
                <w:b/>
                <w:color w:val="000000" w:themeColor="text1"/>
                <w:szCs w:val="24"/>
              </w:rPr>
            </w:pPr>
            <w:r w:rsidRPr="00687B52">
              <w:rPr>
                <w:rFonts w:asciiTheme="minorEastAsia" w:eastAsiaTheme="minorEastAsia" w:hAnsiTheme="minorEastAsia" w:cs="Times New Roman"/>
                <w:b/>
                <w:color w:val="000000" w:themeColor="text1"/>
                <w:szCs w:val="24"/>
              </w:rPr>
              <w:t>区域位置、总图布置与建筑</w:t>
            </w:r>
          </w:p>
        </w:tc>
        <w:tc>
          <w:tcPr>
            <w:tcW w:w="1054" w:type="pct"/>
            <w:vAlign w:val="center"/>
          </w:tcPr>
          <w:p w:rsidR="003E1D2A" w:rsidRPr="00687B52" w:rsidRDefault="003E1D2A" w:rsidP="003E1D2A">
            <w:pPr>
              <w:pStyle w:val="a7"/>
              <w:rPr>
                <w:rFonts w:asciiTheme="minorEastAsia" w:eastAsiaTheme="minorEastAsia" w:hAnsiTheme="minorEastAsia" w:cs="Times New Roman"/>
                <w:b/>
                <w:color w:val="000000" w:themeColor="text1"/>
                <w:szCs w:val="24"/>
              </w:rPr>
            </w:pPr>
          </w:p>
        </w:tc>
        <w:tc>
          <w:tcPr>
            <w:tcW w:w="1033" w:type="pct"/>
            <w:vAlign w:val="center"/>
          </w:tcPr>
          <w:p w:rsidR="003E1D2A" w:rsidRPr="00687B52" w:rsidRDefault="003E1D2A" w:rsidP="003E1D2A">
            <w:pPr>
              <w:pStyle w:val="a7"/>
              <w:rPr>
                <w:rFonts w:asciiTheme="minorEastAsia" w:eastAsiaTheme="minorEastAsia" w:hAnsiTheme="minorEastAsia" w:cs="Times New Roman"/>
                <w:b/>
                <w:color w:val="000000" w:themeColor="text1"/>
                <w:szCs w:val="24"/>
              </w:rPr>
            </w:pPr>
          </w:p>
        </w:tc>
      </w:tr>
      <w:tr w:rsidR="003E1D2A" w:rsidRPr="00687B52" w:rsidTr="0007330F">
        <w:trPr>
          <w:trHeight w:val="351"/>
          <w:jc w:val="center"/>
        </w:trPr>
        <w:tc>
          <w:tcPr>
            <w:tcW w:w="355" w:type="pct"/>
            <w:vAlign w:val="center"/>
          </w:tcPr>
          <w:p w:rsidR="003E1D2A" w:rsidRPr="00687B52" w:rsidRDefault="003E1D2A" w:rsidP="0007330F">
            <w:pPr>
              <w:pStyle w:val="a7"/>
              <w:rPr>
                <w:rFonts w:asciiTheme="minorEastAsia" w:eastAsiaTheme="minorEastAsia" w:hAnsiTheme="minorEastAsia" w:cs="Times New Roman"/>
                <w:b/>
                <w:color w:val="000000" w:themeColor="text1"/>
                <w:szCs w:val="24"/>
              </w:rPr>
            </w:pPr>
            <w:r w:rsidRPr="00687B52">
              <w:rPr>
                <w:rFonts w:asciiTheme="minorEastAsia" w:eastAsiaTheme="minorEastAsia" w:hAnsiTheme="minorEastAsia" w:cs="Times New Roman" w:hint="eastAsia"/>
                <w:b/>
                <w:color w:val="000000" w:themeColor="text1"/>
                <w:szCs w:val="24"/>
              </w:rPr>
              <w:t>1.1</w:t>
            </w:r>
          </w:p>
        </w:tc>
        <w:tc>
          <w:tcPr>
            <w:tcW w:w="2558" w:type="pct"/>
            <w:vAlign w:val="center"/>
          </w:tcPr>
          <w:p w:rsidR="003E1D2A" w:rsidRPr="00687B52" w:rsidRDefault="003E1D2A" w:rsidP="003E1D2A">
            <w:pPr>
              <w:spacing w:line="360" w:lineRule="exact"/>
              <w:rPr>
                <w:rFonts w:asciiTheme="minorEastAsia" w:hAnsiTheme="minorEastAsia" w:cs="Times New Roman"/>
                <w:b/>
                <w:color w:val="000000" w:themeColor="text1"/>
                <w:sz w:val="24"/>
                <w:szCs w:val="24"/>
              </w:rPr>
            </w:pPr>
            <w:r w:rsidRPr="00687B52">
              <w:rPr>
                <w:rFonts w:asciiTheme="minorEastAsia" w:hAnsiTheme="minorEastAsia" w:cs="Times New Roman"/>
                <w:b/>
                <w:color w:val="000000" w:themeColor="text1"/>
                <w:sz w:val="24"/>
                <w:szCs w:val="24"/>
              </w:rPr>
              <w:t>区域位置与总图布置</w:t>
            </w:r>
          </w:p>
        </w:tc>
        <w:tc>
          <w:tcPr>
            <w:tcW w:w="1054" w:type="pct"/>
            <w:vAlign w:val="center"/>
          </w:tcPr>
          <w:p w:rsidR="003E1D2A" w:rsidRPr="00687B52" w:rsidRDefault="003E1D2A" w:rsidP="003E1D2A">
            <w:pPr>
              <w:spacing w:line="360" w:lineRule="exact"/>
              <w:jc w:val="left"/>
              <w:rPr>
                <w:rFonts w:asciiTheme="minorEastAsia" w:hAnsiTheme="minorEastAsia" w:cs="Times New Roman"/>
                <w:color w:val="000000" w:themeColor="text1"/>
                <w:sz w:val="24"/>
                <w:szCs w:val="24"/>
              </w:rPr>
            </w:pPr>
          </w:p>
        </w:tc>
        <w:tc>
          <w:tcPr>
            <w:tcW w:w="1033" w:type="pct"/>
            <w:vAlign w:val="center"/>
          </w:tcPr>
          <w:p w:rsidR="003E1D2A" w:rsidRPr="00687B52" w:rsidRDefault="003E1D2A" w:rsidP="003E1D2A">
            <w:pPr>
              <w:pStyle w:val="a7"/>
              <w:ind w:firstLineChars="150" w:firstLine="360"/>
              <w:jc w:val="left"/>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129"/>
              </w:numPr>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pStyle w:val="a7"/>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构成重大危险源的</w:t>
            </w:r>
            <w:r w:rsidRPr="00687B52">
              <w:rPr>
                <w:rFonts w:asciiTheme="minorEastAsia" w:eastAsiaTheme="minorEastAsia" w:hAnsiTheme="minorEastAsia" w:cs="Times New Roman" w:hint="eastAsia"/>
                <w:color w:val="000000" w:themeColor="text1"/>
                <w:szCs w:val="24"/>
              </w:rPr>
              <w:t>氯酸盐企业</w:t>
            </w:r>
            <w:r w:rsidRPr="00687B52">
              <w:rPr>
                <w:rFonts w:asciiTheme="minorEastAsia" w:eastAsiaTheme="minorEastAsia" w:hAnsiTheme="minorEastAsia" w:cs="Times New Roman"/>
                <w:color w:val="000000" w:themeColor="text1"/>
                <w:szCs w:val="24"/>
              </w:rPr>
              <w:t>是否按《危险化学品重大危险源监督管理暂行规定》确定外部安全防护距离，并计算风险；下列敏感目标是否在安全防护距离之外，个人风险和社会风险是否可接受：</w:t>
            </w:r>
          </w:p>
          <w:p w:rsidR="003E1D2A" w:rsidRPr="00687B52" w:rsidRDefault="003E1D2A" w:rsidP="00D9787F">
            <w:pPr>
              <w:pStyle w:val="a7"/>
              <w:numPr>
                <w:ilvl w:val="0"/>
                <w:numId w:val="70"/>
              </w:numPr>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居民区、商业中心、公园等人口密集区域；</w:t>
            </w:r>
          </w:p>
          <w:p w:rsidR="003E1D2A" w:rsidRPr="00687B52" w:rsidRDefault="003E1D2A" w:rsidP="00D9787F">
            <w:pPr>
              <w:pStyle w:val="a7"/>
              <w:numPr>
                <w:ilvl w:val="0"/>
                <w:numId w:val="70"/>
              </w:numPr>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学校、医院、影剧院、体育场（馆）等公共设施；</w:t>
            </w:r>
          </w:p>
          <w:p w:rsidR="003E1D2A" w:rsidRPr="00687B52" w:rsidRDefault="003E1D2A" w:rsidP="00D9787F">
            <w:pPr>
              <w:pStyle w:val="a7"/>
              <w:numPr>
                <w:ilvl w:val="0"/>
                <w:numId w:val="70"/>
              </w:numPr>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供水水源、水厂及水源保护区；</w:t>
            </w:r>
          </w:p>
          <w:p w:rsidR="003E1D2A" w:rsidRPr="00687B52" w:rsidRDefault="003E1D2A" w:rsidP="00D9787F">
            <w:pPr>
              <w:pStyle w:val="a7"/>
              <w:numPr>
                <w:ilvl w:val="0"/>
                <w:numId w:val="70"/>
              </w:numPr>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车站、码头（按照国家规定，经批准专门从事危险化学品装卸作业的除外）、机场以及公路、铁路、水路交通干线、地铁风亭及出入口；</w:t>
            </w:r>
          </w:p>
          <w:p w:rsidR="003E1D2A" w:rsidRPr="00687B52" w:rsidRDefault="003E1D2A" w:rsidP="00D9787F">
            <w:pPr>
              <w:pStyle w:val="a7"/>
              <w:numPr>
                <w:ilvl w:val="0"/>
                <w:numId w:val="70"/>
              </w:numPr>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基本农田保护区、畜牧区、渔业水域和种子、种畜、水产苗种生产基；</w:t>
            </w:r>
          </w:p>
          <w:p w:rsidR="003E1D2A" w:rsidRPr="00687B52" w:rsidRDefault="003E1D2A" w:rsidP="00D9787F">
            <w:pPr>
              <w:pStyle w:val="a7"/>
              <w:numPr>
                <w:ilvl w:val="0"/>
                <w:numId w:val="70"/>
              </w:numPr>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河流、湖泊、风景名胜区和自然保护区；</w:t>
            </w:r>
          </w:p>
          <w:p w:rsidR="003E1D2A" w:rsidRPr="00687B52" w:rsidRDefault="003E1D2A" w:rsidP="00D9787F">
            <w:pPr>
              <w:pStyle w:val="a7"/>
              <w:numPr>
                <w:ilvl w:val="0"/>
                <w:numId w:val="70"/>
              </w:numPr>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军事禁区、军事管理区；</w:t>
            </w:r>
          </w:p>
          <w:p w:rsidR="003E1D2A" w:rsidRPr="00687B52" w:rsidRDefault="003E1D2A" w:rsidP="00D9787F">
            <w:pPr>
              <w:pStyle w:val="a7"/>
              <w:numPr>
                <w:ilvl w:val="0"/>
                <w:numId w:val="70"/>
              </w:numPr>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法律、行政法规规定予以保护的其他区域。</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《危险化学品安全管理条例》</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w:t>
            </w:r>
            <w:r w:rsidRPr="00687B52">
              <w:rPr>
                <w:rFonts w:asciiTheme="minorEastAsia" w:hAnsiTheme="minorEastAsia" w:cs="Times New Roman" w:hint="eastAsia"/>
                <w:color w:val="000000" w:themeColor="text1"/>
                <w:sz w:val="24"/>
                <w:szCs w:val="24"/>
              </w:rPr>
              <w:t>19</w:t>
            </w:r>
            <w:r w:rsidRPr="00687B52">
              <w:rPr>
                <w:rFonts w:asciiTheme="minorEastAsia" w:hAnsiTheme="minorEastAsia" w:cs="Times New Roman"/>
                <w:color w:val="000000" w:themeColor="text1"/>
                <w:sz w:val="24"/>
                <w:szCs w:val="24"/>
              </w:rPr>
              <w:t>条</w:t>
            </w:r>
          </w:p>
        </w:tc>
        <w:tc>
          <w:tcPr>
            <w:tcW w:w="1033" w:type="pct"/>
            <w:vAlign w:val="center"/>
          </w:tcPr>
          <w:p w:rsidR="003E1D2A" w:rsidRPr="00687B52" w:rsidRDefault="003E1D2A" w:rsidP="003E1D2A">
            <w:pPr>
              <w:pStyle w:val="a7"/>
              <w:ind w:firstLineChars="150" w:firstLine="360"/>
              <w:jc w:val="left"/>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129"/>
              </w:numPr>
              <w:ind w:left="113" w:hanging="113"/>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spacing w:line="360" w:lineRule="exac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氯酸盐</w:t>
            </w:r>
            <w:r w:rsidRPr="00687B52">
              <w:rPr>
                <w:rFonts w:asciiTheme="minorEastAsia" w:hAnsiTheme="minorEastAsia" w:cs="Times New Roman"/>
                <w:color w:val="000000" w:themeColor="text1"/>
                <w:sz w:val="24"/>
                <w:szCs w:val="24"/>
              </w:rPr>
              <w:t>企业不得</w:t>
            </w:r>
            <w:r w:rsidRPr="00687B52">
              <w:rPr>
                <w:rFonts w:asciiTheme="minorEastAsia" w:hAnsiTheme="minorEastAsia" w:cs="Times New Roman" w:hint="eastAsia"/>
                <w:color w:val="000000" w:themeColor="text1"/>
                <w:sz w:val="24"/>
                <w:szCs w:val="24"/>
              </w:rPr>
              <w:t>设置在下列</w:t>
            </w:r>
            <w:r w:rsidRPr="00687B52">
              <w:rPr>
                <w:rFonts w:asciiTheme="minorEastAsia" w:hAnsiTheme="minorEastAsia" w:cs="Times New Roman"/>
                <w:color w:val="000000" w:themeColor="text1"/>
                <w:sz w:val="24"/>
                <w:szCs w:val="24"/>
              </w:rPr>
              <w:t>场所：</w:t>
            </w:r>
          </w:p>
          <w:p w:rsidR="003E1D2A" w:rsidRPr="00687B52" w:rsidRDefault="003E1D2A" w:rsidP="003E1D2A">
            <w:pPr>
              <w:spacing w:line="36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（一）公路用地外缘起向外100米</w:t>
            </w:r>
            <w:r w:rsidRPr="00687B52">
              <w:rPr>
                <w:rFonts w:asciiTheme="minorEastAsia" w:hAnsiTheme="minorEastAsia" w:cs="Times New Roman" w:hint="eastAsia"/>
                <w:color w:val="000000" w:themeColor="text1"/>
                <w:sz w:val="24"/>
                <w:szCs w:val="24"/>
              </w:rPr>
              <w:t>内</w:t>
            </w:r>
            <w:r w:rsidRPr="00687B52">
              <w:rPr>
                <w:rFonts w:asciiTheme="minorEastAsia" w:hAnsiTheme="minorEastAsia" w:cs="Times New Roman"/>
                <w:color w:val="000000" w:themeColor="text1"/>
                <w:sz w:val="24"/>
                <w:szCs w:val="24"/>
              </w:rPr>
              <w:t>；</w:t>
            </w:r>
          </w:p>
          <w:p w:rsidR="003E1D2A" w:rsidRPr="00687B52" w:rsidRDefault="003E1D2A" w:rsidP="003E1D2A">
            <w:pPr>
              <w:spacing w:line="36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（二）公路渡口和中型以上公路桥梁周围200米</w:t>
            </w:r>
            <w:r w:rsidRPr="00687B52">
              <w:rPr>
                <w:rFonts w:asciiTheme="minorEastAsia" w:hAnsiTheme="minorEastAsia" w:cs="Times New Roman" w:hint="eastAsia"/>
                <w:color w:val="000000" w:themeColor="text1"/>
                <w:sz w:val="24"/>
                <w:szCs w:val="24"/>
              </w:rPr>
              <w:t>内</w:t>
            </w:r>
            <w:r w:rsidRPr="00687B52">
              <w:rPr>
                <w:rFonts w:asciiTheme="minorEastAsia" w:hAnsiTheme="minorEastAsia" w:cs="Times New Roman"/>
                <w:color w:val="000000" w:themeColor="text1"/>
                <w:sz w:val="24"/>
                <w:szCs w:val="24"/>
              </w:rPr>
              <w:t>；</w:t>
            </w:r>
          </w:p>
          <w:p w:rsidR="003E1D2A" w:rsidRPr="00687B52" w:rsidRDefault="003E1D2A" w:rsidP="003E1D2A">
            <w:pPr>
              <w:spacing w:line="36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（三）公路隧道上方和洞口外100米</w:t>
            </w:r>
            <w:r w:rsidRPr="00687B52">
              <w:rPr>
                <w:rFonts w:asciiTheme="minorEastAsia" w:hAnsiTheme="minorEastAsia" w:cs="Times New Roman" w:hint="eastAsia"/>
                <w:color w:val="000000" w:themeColor="text1"/>
                <w:sz w:val="24"/>
                <w:szCs w:val="24"/>
              </w:rPr>
              <w:t>内</w:t>
            </w:r>
            <w:r w:rsidRPr="00687B52">
              <w:rPr>
                <w:rFonts w:asciiTheme="minorEastAsia" w:hAnsiTheme="minorEastAsia" w:cs="Times New Roman"/>
                <w:color w:val="000000" w:themeColor="text1"/>
                <w:sz w:val="24"/>
                <w:szCs w:val="24"/>
              </w:rPr>
              <w:t>。</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《公路安全保护条例》</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w:t>
            </w:r>
            <w:r w:rsidRPr="00687B52">
              <w:rPr>
                <w:rFonts w:asciiTheme="minorEastAsia" w:hAnsiTheme="minorEastAsia" w:cs="Times New Roman" w:hint="eastAsia"/>
                <w:color w:val="000000" w:themeColor="text1"/>
                <w:sz w:val="24"/>
                <w:szCs w:val="24"/>
              </w:rPr>
              <w:t>18</w:t>
            </w:r>
            <w:r w:rsidRPr="00687B52">
              <w:rPr>
                <w:rFonts w:asciiTheme="minorEastAsia" w:hAnsiTheme="minorEastAsia" w:cs="Times New Roman"/>
                <w:color w:val="000000" w:themeColor="text1"/>
                <w:sz w:val="24"/>
                <w:szCs w:val="24"/>
              </w:rPr>
              <w:t>条</w:t>
            </w:r>
          </w:p>
        </w:tc>
        <w:tc>
          <w:tcPr>
            <w:tcW w:w="1033" w:type="pct"/>
            <w:vAlign w:val="center"/>
          </w:tcPr>
          <w:p w:rsidR="003E1D2A" w:rsidRPr="00687B52" w:rsidRDefault="003E1D2A" w:rsidP="003E1D2A">
            <w:pPr>
              <w:pStyle w:val="a7"/>
              <w:ind w:firstLineChars="150" w:firstLine="360"/>
              <w:jc w:val="left"/>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129"/>
              </w:numPr>
              <w:ind w:left="113" w:hanging="113"/>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pStyle w:val="a7"/>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厂址应位于城镇或居住区的全年最小频率风向的上风侧。</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《化工企业总图运输设计规范》GB50489-2009</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第3.1.8条</w:t>
            </w:r>
          </w:p>
        </w:tc>
        <w:tc>
          <w:tcPr>
            <w:tcW w:w="1033" w:type="pct"/>
            <w:vAlign w:val="center"/>
          </w:tcPr>
          <w:p w:rsidR="003E1D2A" w:rsidRPr="00687B52" w:rsidRDefault="003E1D2A" w:rsidP="003E1D2A">
            <w:pPr>
              <w:pStyle w:val="a7"/>
              <w:jc w:val="both"/>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129"/>
              </w:numPr>
              <w:ind w:left="113" w:hanging="113"/>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pStyle w:val="a7"/>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hint="eastAsia"/>
                <w:color w:val="000000" w:themeColor="text1"/>
                <w:szCs w:val="24"/>
              </w:rPr>
              <w:t>氯酸盐企业建构筑物间</w:t>
            </w:r>
            <w:r w:rsidRPr="00687B52">
              <w:rPr>
                <w:rFonts w:asciiTheme="minorEastAsia" w:eastAsiaTheme="minorEastAsia" w:hAnsiTheme="minorEastAsia" w:cs="Times New Roman"/>
                <w:color w:val="000000" w:themeColor="text1"/>
                <w:szCs w:val="24"/>
              </w:rPr>
              <w:t>防火安全间距是否符合规范要求：</w:t>
            </w:r>
          </w:p>
          <w:p w:rsidR="003E1D2A" w:rsidRPr="00687B52" w:rsidRDefault="003E1D2A" w:rsidP="00D9787F">
            <w:pPr>
              <w:pStyle w:val="a7"/>
              <w:numPr>
                <w:ilvl w:val="0"/>
                <w:numId w:val="82"/>
              </w:numPr>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控制室；</w:t>
            </w:r>
          </w:p>
          <w:p w:rsidR="003E1D2A" w:rsidRPr="00687B52" w:rsidRDefault="003E1D2A" w:rsidP="00D9787F">
            <w:pPr>
              <w:pStyle w:val="a7"/>
              <w:numPr>
                <w:ilvl w:val="0"/>
                <w:numId w:val="82"/>
              </w:numPr>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变配电室；</w:t>
            </w:r>
          </w:p>
          <w:p w:rsidR="003E1D2A" w:rsidRPr="00687B52" w:rsidRDefault="003E1D2A" w:rsidP="00D9787F">
            <w:pPr>
              <w:pStyle w:val="a7"/>
              <w:numPr>
                <w:ilvl w:val="0"/>
                <w:numId w:val="82"/>
              </w:numPr>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点火源（包括火炬、明火或散发火花地点）；</w:t>
            </w:r>
          </w:p>
          <w:p w:rsidR="003E1D2A" w:rsidRPr="00687B52" w:rsidRDefault="003E1D2A" w:rsidP="00D9787F">
            <w:pPr>
              <w:pStyle w:val="a7"/>
              <w:numPr>
                <w:ilvl w:val="0"/>
                <w:numId w:val="82"/>
              </w:numPr>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民用建筑，如办公楼、厂外民居等；</w:t>
            </w:r>
          </w:p>
          <w:p w:rsidR="003E1D2A" w:rsidRPr="00687B52" w:rsidRDefault="003E1D2A" w:rsidP="00D9787F">
            <w:pPr>
              <w:pStyle w:val="a7"/>
              <w:numPr>
                <w:ilvl w:val="0"/>
                <w:numId w:val="82"/>
              </w:numPr>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厂房；</w:t>
            </w:r>
          </w:p>
          <w:p w:rsidR="003E1D2A" w:rsidRPr="00687B52" w:rsidRDefault="003E1D2A" w:rsidP="00D9787F">
            <w:pPr>
              <w:pStyle w:val="a7"/>
              <w:numPr>
                <w:ilvl w:val="0"/>
                <w:numId w:val="82"/>
              </w:numPr>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仓库；</w:t>
            </w:r>
          </w:p>
          <w:p w:rsidR="003E1D2A" w:rsidRPr="00687B52" w:rsidRDefault="003E1D2A" w:rsidP="00D9787F">
            <w:pPr>
              <w:pStyle w:val="a7"/>
              <w:numPr>
                <w:ilvl w:val="0"/>
                <w:numId w:val="82"/>
              </w:numPr>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厂内、外道路；</w:t>
            </w:r>
          </w:p>
          <w:p w:rsidR="003E1D2A" w:rsidRPr="00687B52" w:rsidRDefault="003E1D2A" w:rsidP="00D9787F">
            <w:pPr>
              <w:pStyle w:val="a7"/>
              <w:numPr>
                <w:ilvl w:val="0"/>
                <w:numId w:val="82"/>
              </w:numPr>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厂区围墙；</w:t>
            </w:r>
          </w:p>
          <w:p w:rsidR="003E1D2A" w:rsidRPr="00687B52" w:rsidRDefault="003E1D2A" w:rsidP="00D9787F">
            <w:pPr>
              <w:pStyle w:val="a7"/>
              <w:numPr>
                <w:ilvl w:val="0"/>
                <w:numId w:val="82"/>
              </w:numPr>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架空电力线；</w:t>
            </w:r>
          </w:p>
          <w:p w:rsidR="003E1D2A" w:rsidRPr="00687B52" w:rsidRDefault="003E1D2A" w:rsidP="00D9787F">
            <w:pPr>
              <w:pStyle w:val="a7"/>
              <w:numPr>
                <w:ilvl w:val="0"/>
                <w:numId w:val="82"/>
              </w:numPr>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氢气柜；</w:t>
            </w:r>
          </w:p>
          <w:p w:rsidR="003E1D2A" w:rsidRPr="00687B52" w:rsidRDefault="003E1D2A" w:rsidP="00D9787F">
            <w:pPr>
              <w:pStyle w:val="a7"/>
              <w:numPr>
                <w:ilvl w:val="0"/>
                <w:numId w:val="82"/>
              </w:numPr>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厂内、外铁路</w:t>
            </w:r>
            <w:r w:rsidRPr="00687B52">
              <w:rPr>
                <w:rFonts w:asciiTheme="minorEastAsia" w:eastAsiaTheme="minorEastAsia" w:hAnsiTheme="minorEastAsia" w:cs="Times New Roman" w:hint="eastAsia"/>
                <w:color w:val="000000" w:themeColor="text1"/>
                <w:szCs w:val="24"/>
              </w:rPr>
              <w:t>；</w:t>
            </w:r>
          </w:p>
          <w:p w:rsidR="003E1D2A" w:rsidRPr="00687B52" w:rsidRDefault="003E1D2A" w:rsidP="00D9787F">
            <w:pPr>
              <w:pStyle w:val="a7"/>
              <w:numPr>
                <w:ilvl w:val="0"/>
                <w:numId w:val="82"/>
              </w:numPr>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其他重要设施及场所。</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《建筑设计防火规范》GB50016-2014</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第3.4.1、3.4.3、3.5.1、3.5.2、4.2.1、4.2.2、4.2.7~9、4.3.1、4.3.6条</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p>
        </w:tc>
        <w:tc>
          <w:tcPr>
            <w:tcW w:w="1033" w:type="pct"/>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129"/>
              </w:numPr>
              <w:ind w:left="113" w:hanging="113"/>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冷冻站的布置应符合下列要求：</w:t>
            </w:r>
          </w:p>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①靠近负荷中心；</w:t>
            </w:r>
          </w:p>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②宜布置在通风良好的地段，并应避免靠近热源和人员集中场所；</w:t>
            </w:r>
          </w:p>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③宜位于散发腐蚀性气体、粉尘设施的全年最小频率风向下风侧。</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《化工企业总图运输设计规范》</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GB50489-2009</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第5.3.8条</w:t>
            </w:r>
          </w:p>
        </w:tc>
        <w:tc>
          <w:tcPr>
            <w:tcW w:w="1033" w:type="pct"/>
          </w:tcPr>
          <w:p w:rsidR="003E1D2A" w:rsidRPr="00687B52" w:rsidRDefault="003E1D2A" w:rsidP="003E1D2A">
            <w:pPr>
              <w:pStyle w:val="a7"/>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129"/>
              </w:numPr>
              <w:ind w:left="113" w:hanging="113"/>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架空电力线路不应跨越用可燃性材料建造的屋顶和生产火灾危险性属于甲、乙类的建筑物、构筑物和生产装置，以及储存可燃性、爆炸性物料的罐区及仓库区。</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《化工企业总图运输设计规范》GB50489-2009</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第7.3.5条</w:t>
            </w:r>
          </w:p>
        </w:tc>
        <w:tc>
          <w:tcPr>
            <w:tcW w:w="1033" w:type="pct"/>
          </w:tcPr>
          <w:p w:rsidR="003E1D2A" w:rsidRPr="00687B52" w:rsidRDefault="003E1D2A" w:rsidP="003E1D2A">
            <w:pPr>
              <w:pStyle w:val="a7"/>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129"/>
              </w:numPr>
              <w:ind w:left="113" w:hanging="113"/>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边导线与建筑物之间的最小距离：标准电压ll0 kV，最小距离4.0m；标准电压220 kV，最小距离5.0m；标准电压330 kV，最小距离6.0m；标准电压500 kV，最小距离8.5m。</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《ll0～500kV 架空送电线路设计技术规程》DL/T 5092-1999</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第16.0.4条</w:t>
            </w:r>
          </w:p>
        </w:tc>
        <w:tc>
          <w:tcPr>
            <w:tcW w:w="1033" w:type="pct"/>
          </w:tcPr>
          <w:p w:rsidR="003E1D2A" w:rsidRPr="00687B52" w:rsidRDefault="003E1D2A" w:rsidP="003E1D2A">
            <w:pPr>
              <w:pStyle w:val="a7"/>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07330F">
            <w:pPr>
              <w:pStyle w:val="a7"/>
              <w:rPr>
                <w:rFonts w:asciiTheme="minorEastAsia" w:eastAsiaTheme="minorEastAsia" w:hAnsiTheme="minorEastAsia" w:cs="Times New Roman"/>
                <w:b/>
                <w:color w:val="000000" w:themeColor="text1"/>
                <w:szCs w:val="24"/>
              </w:rPr>
            </w:pPr>
            <w:r w:rsidRPr="00687B52">
              <w:rPr>
                <w:rFonts w:asciiTheme="minorEastAsia" w:eastAsiaTheme="minorEastAsia" w:hAnsiTheme="minorEastAsia" w:cs="Times New Roman" w:hint="eastAsia"/>
                <w:b/>
                <w:color w:val="000000" w:themeColor="text1"/>
                <w:szCs w:val="24"/>
              </w:rPr>
              <w:t>1.2</w:t>
            </w:r>
          </w:p>
        </w:tc>
        <w:tc>
          <w:tcPr>
            <w:tcW w:w="2558" w:type="pct"/>
            <w:vAlign w:val="center"/>
          </w:tcPr>
          <w:p w:rsidR="003E1D2A" w:rsidRPr="00687B52" w:rsidRDefault="003E1D2A" w:rsidP="003E1D2A">
            <w:pPr>
              <w:spacing w:line="320" w:lineRule="exact"/>
              <w:rPr>
                <w:rFonts w:asciiTheme="minorEastAsia" w:hAnsiTheme="minorEastAsia" w:cs="Times New Roman"/>
                <w:b/>
                <w:color w:val="000000" w:themeColor="text1"/>
                <w:sz w:val="24"/>
                <w:szCs w:val="24"/>
              </w:rPr>
            </w:pPr>
            <w:r w:rsidRPr="00687B52">
              <w:rPr>
                <w:rFonts w:asciiTheme="minorEastAsia" w:hAnsiTheme="minorEastAsia" w:cs="Times New Roman"/>
                <w:b/>
                <w:color w:val="000000" w:themeColor="text1"/>
                <w:sz w:val="24"/>
                <w:szCs w:val="24"/>
              </w:rPr>
              <w:t>厂内建筑</w:t>
            </w:r>
            <w:r w:rsidRPr="00687B52">
              <w:rPr>
                <w:rFonts w:asciiTheme="minorEastAsia" w:hAnsiTheme="minorEastAsia" w:cs="Times New Roman" w:hint="eastAsia"/>
                <w:b/>
                <w:color w:val="000000" w:themeColor="text1"/>
                <w:sz w:val="24"/>
                <w:szCs w:val="24"/>
              </w:rPr>
              <w:t>和道路</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p>
        </w:tc>
        <w:tc>
          <w:tcPr>
            <w:tcW w:w="1033" w:type="pct"/>
          </w:tcPr>
          <w:p w:rsidR="003E1D2A" w:rsidRPr="00687B52" w:rsidRDefault="003E1D2A" w:rsidP="003E1D2A">
            <w:pPr>
              <w:pStyle w:val="a7"/>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83"/>
              </w:numPr>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氯酸盐生产车间（</w:t>
            </w:r>
            <w:r w:rsidRPr="00687B52">
              <w:rPr>
                <w:rFonts w:asciiTheme="minorEastAsia" w:hAnsiTheme="minorEastAsia" w:cs="Times New Roman"/>
                <w:color w:val="000000" w:themeColor="text1"/>
                <w:sz w:val="24"/>
                <w:szCs w:val="24"/>
              </w:rPr>
              <w:t>电解</w:t>
            </w:r>
            <w:r w:rsidRPr="00687B52">
              <w:rPr>
                <w:rFonts w:asciiTheme="minorEastAsia" w:hAnsiTheme="minorEastAsia" w:cs="Times New Roman" w:hint="eastAsia"/>
                <w:color w:val="000000" w:themeColor="text1"/>
                <w:sz w:val="24"/>
                <w:szCs w:val="24"/>
              </w:rPr>
              <w:t>、吹脱、</w:t>
            </w:r>
            <w:r w:rsidRPr="00687B52">
              <w:rPr>
                <w:rFonts w:asciiTheme="minorEastAsia" w:hAnsiTheme="minorEastAsia" w:cs="Times New Roman"/>
                <w:color w:val="000000" w:themeColor="text1"/>
                <w:sz w:val="24"/>
                <w:szCs w:val="24"/>
              </w:rPr>
              <w:t>结晶</w:t>
            </w:r>
            <w:r w:rsidRPr="00687B52">
              <w:rPr>
                <w:rFonts w:asciiTheme="minorEastAsia" w:hAnsiTheme="minorEastAsia" w:cs="Times New Roman" w:hint="eastAsia"/>
                <w:color w:val="000000" w:themeColor="text1"/>
                <w:sz w:val="24"/>
                <w:szCs w:val="24"/>
              </w:rPr>
              <w:t>等工序）为甲类火灾危险厂房，其</w:t>
            </w:r>
            <w:r w:rsidRPr="00687B52">
              <w:rPr>
                <w:rFonts w:asciiTheme="minorEastAsia" w:hAnsiTheme="minorEastAsia" w:cs="Times New Roman"/>
                <w:color w:val="000000" w:themeColor="text1"/>
                <w:sz w:val="24"/>
                <w:szCs w:val="24"/>
              </w:rPr>
              <w:t>耐火等级不应低于二级。单层厂房每个防火分区的最大允许建筑面积分别为4000㎡（一级耐火）、3000㎡（二级耐火）</w:t>
            </w:r>
            <w:r w:rsidRPr="00687B52">
              <w:rPr>
                <w:rFonts w:asciiTheme="minorEastAsia" w:hAnsiTheme="minorEastAsia" w:cs="Times New Roman" w:hint="eastAsia"/>
                <w:color w:val="000000" w:themeColor="text1"/>
                <w:sz w:val="24"/>
                <w:szCs w:val="24"/>
              </w:rPr>
              <w:t>；</w:t>
            </w:r>
            <w:r w:rsidRPr="00687B52">
              <w:rPr>
                <w:rFonts w:asciiTheme="minorEastAsia" w:hAnsiTheme="minorEastAsia" w:cs="Times New Roman"/>
                <w:color w:val="000000" w:themeColor="text1"/>
                <w:sz w:val="24"/>
                <w:szCs w:val="24"/>
              </w:rPr>
              <w:t>多层厂房每个防火分区的最大允许建筑面积分别为3000㎡（一级耐火）、2000㎡（二级耐火）。</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《建筑设计防火规范》GB50016-2014</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第3.2.2、3.3.1条</w:t>
            </w:r>
          </w:p>
        </w:tc>
        <w:tc>
          <w:tcPr>
            <w:tcW w:w="1033" w:type="pct"/>
            <w:vAlign w:val="center"/>
          </w:tcPr>
          <w:p w:rsidR="003E1D2A" w:rsidRPr="00687B52" w:rsidRDefault="003E1D2A" w:rsidP="003E1D2A">
            <w:pPr>
              <w:pStyle w:val="a7"/>
              <w:jc w:val="both"/>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83"/>
              </w:numPr>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氯酸盐仓库</w:t>
            </w:r>
            <w:r w:rsidRPr="00687B52">
              <w:rPr>
                <w:rFonts w:asciiTheme="minorEastAsia" w:hAnsiTheme="minorEastAsia" w:cs="Times New Roman" w:hint="eastAsia"/>
                <w:color w:val="000000" w:themeColor="text1"/>
                <w:sz w:val="24"/>
                <w:szCs w:val="24"/>
              </w:rPr>
              <w:t>为甲类火灾危险仓库，其</w:t>
            </w:r>
            <w:r w:rsidRPr="00687B52">
              <w:rPr>
                <w:rFonts w:asciiTheme="minorEastAsia" w:hAnsiTheme="minorEastAsia" w:cs="Times New Roman"/>
                <w:color w:val="000000" w:themeColor="text1"/>
                <w:sz w:val="24"/>
                <w:szCs w:val="24"/>
              </w:rPr>
              <w:t>耐火等级不应低于二级，每座仓库最大允许建筑面积为750㎡，每个防火分区的最大允许建筑面积分别为250㎡；</w:t>
            </w:r>
            <w:r w:rsidRPr="00687B52">
              <w:rPr>
                <w:rFonts w:asciiTheme="minorEastAsia" w:hAnsiTheme="minorEastAsia" w:cs="Times New Roman" w:hint="eastAsia"/>
                <w:color w:val="000000" w:themeColor="text1"/>
                <w:sz w:val="24"/>
                <w:szCs w:val="24"/>
              </w:rPr>
              <w:t>仓库内</w:t>
            </w:r>
            <w:r w:rsidRPr="00687B52">
              <w:rPr>
                <w:rFonts w:asciiTheme="minorEastAsia" w:hAnsiTheme="minorEastAsia" w:cs="Times New Roman"/>
                <w:color w:val="000000" w:themeColor="text1"/>
                <w:sz w:val="24"/>
                <w:szCs w:val="24"/>
              </w:rPr>
              <w:t>严禁吸烟和使用明火</w:t>
            </w:r>
            <w:r w:rsidRPr="00687B52">
              <w:rPr>
                <w:rFonts w:asciiTheme="minorEastAsia" w:hAnsiTheme="minorEastAsia" w:cs="Times New Roman" w:hint="eastAsia"/>
                <w:color w:val="000000" w:themeColor="text1"/>
                <w:sz w:val="24"/>
                <w:szCs w:val="24"/>
              </w:rPr>
              <w:t>。</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《建筑设计防火规范》GB50016-2014</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第3.2.7、3.3.2条</w:t>
            </w:r>
          </w:p>
        </w:tc>
        <w:tc>
          <w:tcPr>
            <w:tcW w:w="1033" w:type="pct"/>
            <w:vAlign w:val="center"/>
          </w:tcPr>
          <w:p w:rsidR="003E1D2A" w:rsidRPr="00687B52" w:rsidRDefault="003E1D2A" w:rsidP="003E1D2A">
            <w:pPr>
              <w:pStyle w:val="a7"/>
              <w:jc w:val="both"/>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83"/>
              </w:numPr>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氯酸盐</w:t>
            </w:r>
            <w:r w:rsidRPr="00687B52">
              <w:rPr>
                <w:rFonts w:asciiTheme="minorEastAsia" w:hAnsiTheme="minorEastAsia" w:cs="Times New Roman"/>
                <w:color w:val="000000" w:themeColor="text1"/>
                <w:sz w:val="24"/>
                <w:szCs w:val="24"/>
              </w:rPr>
              <w:t>生产</w:t>
            </w:r>
            <w:r w:rsidRPr="00687B52">
              <w:rPr>
                <w:rFonts w:asciiTheme="minorEastAsia" w:hAnsiTheme="minorEastAsia" w:cs="Times New Roman" w:hint="eastAsia"/>
                <w:color w:val="000000" w:themeColor="text1"/>
                <w:sz w:val="24"/>
                <w:szCs w:val="24"/>
              </w:rPr>
              <w:t>厂房</w:t>
            </w:r>
            <w:r w:rsidRPr="00687B52">
              <w:rPr>
                <w:rFonts w:asciiTheme="minorEastAsia" w:hAnsiTheme="minorEastAsia" w:cs="Times New Roman"/>
                <w:color w:val="000000" w:themeColor="text1"/>
                <w:sz w:val="24"/>
                <w:szCs w:val="24"/>
              </w:rPr>
              <w:t>（仓库）不应设置在地下或半地下。</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《建筑设计防火规范》GB50016-2014</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第3.3.4条</w:t>
            </w:r>
          </w:p>
        </w:tc>
        <w:tc>
          <w:tcPr>
            <w:tcW w:w="1033" w:type="pct"/>
            <w:vAlign w:val="center"/>
          </w:tcPr>
          <w:p w:rsidR="003E1D2A" w:rsidRPr="00687B52" w:rsidRDefault="003E1D2A" w:rsidP="003E1D2A">
            <w:pPr>
              <w:pStyle w:val="a7"/>
              <w:jc w:val="both"/>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83"/>
              </w:numPr>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氯酸盐生产</w:t>
            </w:r>
            <w:r w:rsidRPr="00687B52">
              <w:rPr>
                <w:rFonts w:asciiTheme="minorEastAsia" w:hAnsiTheme="minorEastAsia" w:cs="Times New Roman"/>
                <w:color w:val="000000" w:themeColor="text1"/>
                <w:sz w:val="24"/>
                <w:szCs w:val="24"/>
              </w:rPr>
              <w:t>厂房内设置</w:t>
            </w:r>
            <w:r w:rsidRPr="00687B52">
              <w:rPr>
                <w:rFonts w:asciiTheme="minorEastAsia" w:hAnsiTheme="minorEastAsia" w:cs="Times New Roman" w:hint="eastAsia"/>
                <w:color w:val="000000" w:themeColor="text1"/>
                <w:sz w:val="24"/>
                <w:szCs w:val="24"/>
              </w:rPr>
              <w:t>氯酸盐</w:t>
            </w:r>
            <w:r w:rsidRPr="00687B52">
              <w:rPr>
                <w:rFonts w:asciiTheme="minorEastAsia" w:hAnsiTheme="minorEastAsia" w:cs="Times New Roman"/>
                <w:color w:val="000000" w:themeColor="text1"/>
                <w:sz w:val="24"/>
                <w:szCs w:val="24"/>
              </w:rPr>
              <w:t>中间仓库时，应符合下列规定：1.应靠外墙布置，其储量不宜超过1昼夜的量；2.中间仓库防火墙和耐火极限不低于1.5h的不燃性楼板与其他部位分隔。</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《建筑设计防火规范》</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GB50016- 2014</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第3.3.6条</w:t>
            </w:r>
          </w:p>
        </w:tc>
        <w:tc>
          <w:tcPr>
            <w:tcW w:w="1033" w:type="pct"/>
            <w:vAlign w:val="center"/>
          </w:tcPr>
          <w:p w:rsidR="003E1D2A" w:rsidRPr="00687B52" w:rsidRDefault="003E1D2A" w:rsidP="003E1D2A">
            <w:pPr>
              <w:pStyle w:val="a7"/>
              <w:jc w:val="both"/>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83"/>
              </w:numPr>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员工宿舍严禁设置在</w:t>
            </w:r>
            <w:r w:rsidRPr="00687B52">
              <w:rPr>
                <w:rFonts w:asciiTheme="minorEastAsia" w:hAnsiTheme="minorEastAsia" w:cs="Times New Roman" w:hint="eastAsia"/>
                <w:color w:val="000000" w:themeColor="text1"/>
                <w:sz w:val="24"/>
                <w:szCs w:val="24"/>
              </w:rPr>
              <w:t>氯酸盐</w:t>
            </w:r>
            <w:r w:rsidRPr="00687B52">
              <w:rPr>
                <w:rFonts w:asciiTheme="minorEastAsia" w:hAnsiTheme="minorEastAsia" w:cs="Times New Roman"/>
                <w:color w:val="000000" w:themeColor="text1"/>
                <w:sz w:val="24"/>
                <w:szCs w:val="24"/>
              </w:rPr>
              <w:t>厂房</w:t>
            </w:r>
            <w:r w:rsidRPr="00687B52">
              <w:rPr>
                <w:rFonts w:asciiTheme="minorEastAsia" w:hAnsiTheme="minorEastAsia" w:cs="Times New Roman" w:hint="eastAsia"/>
                <w:color w:val="000000" w:themeColor="text1"/>
                <w:sz w:val="24"/>
                <w:szCs w:val="24"/>
              </w:rPr>
              <w:t>和氯酸盐</w:t>
            </w:r>
            <w:r w:rsidRPr="00687B52">
              <w:rPr>
                <w:rFonts w:asciiTheme="minorEastAsia" w:hAnsiTheme="minorEastAsia" w:cs="Times New Roman"/>
                <w:color w:val="000000" w:themeColor="text1"/>
                <w:sz w:val="24"/>
                <w:szCs w:val="24"/>
              </w:rPr>
              <w:t>仓库内。</w:t>
            </w:r>
          </w:p>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办公室、休息室等严禁设置在</w:t>
            </w:r>
            <w:r w:rsidRPr="00687B52">
              <w:rPr>
                <w:rFonts w:asciiTheme="minorEastAsia" w:hAnsiTheme="minorEastAsia" w:cs="Times New Roman" w:hint="eastAsia"/>
                <w:color w:val="000000" w:themeColor="text1"/>
                <w:sz w:val="24"/>
                <w:szCs w:val="24"/>
              </w:rPr>
              <w:t>氯酸盐</w:t>
            </w:r>
            <w:r w:rsidRPr="00687B52">
              <w:rPr>
                <w:rFonts w:asciiTheme="minorEastAsia" w:hAnsiTheme="minorEastAsia" w:cs="Times New Roman"/>
                <w:color w:val="000000" w:themeColor="text1"/>
                <w:sz w:val="24"/>
                <w:szCs w:val="24"/>
              </w:rPr>
              <w:t>仓库内，也不应贴邻。</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《建筑设计防火规范》GB50016-2014</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第3.3.5、3.3.9条</w:t>
            </w:r>
          </w:p>
        </w:tc>
        <w:tc>
          <w:tcPr>
            <w:tcW w:w="1033" w:type="pct"/>
            <w:vAlign w:val="center"/>
          </w:tcPr>
          <w:p w:rsidR="003E1D2A" w:rsidRPr="00687B52" w:rsidRDefault="003E1D2A" w:rsidP="003E1D2A">
            <w:pPr>
              <w:pStyle w:val="a7"/>
              <w:jc w:val="both"/>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83"/>
              </w:numPr>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氯酸盐厂房（电解工序）</w:t>
            </w:r>
            <w:r w:rsidRPr="00687B52">
              <w:rPr>
                <w:rFonts w:asciiTheme="minorEastAsia" w:hAnsiTheme="minorEastAsia" w:cs="Times New Roman"/>
                <w:color w:val="000000" w:themeColor="text1"/>
                <w:sz w:val="24"/>
                <w:szCs w:val="24"/>
              </w:rPr>
              <w:t>有爆炸危险</w:t>
            </w:r>
            <w:r w:rsidRPr="00687B52">
              <w:rPr>
                <w:rFonts w:asciiTheme="minorEastAsia" w:hAnsiTheme="minorEastAsia" w:cs="Times New Roman" w:hint="eastAsia"/>
                <w:color w:val="000000" w:themeColor="text1"/>
                <w:sz w:val="24"/>
                <w:szCs w:val="24"/>
              </w:rPr>
              <w:t>，</w:t>
            </w:r>
            <w:r w:rsidRPr="00687B52">
              <w:rPr>
                <w:rFonts w:asciiTheme="minorEastAsia" w:hAnsiTheme="minorEastAsia" w:cs="Times New Roman"/>
                <w:color w:val="000000" w:themeColor="text1"/>
                <w:sz w:val="24"/>
                <w:szCs w:val="24"/>
              </w:rPr>
              <w:t>应设置泄压设施</w:t>
            </w:r>
            <w:r w:rsidRPr="00687B52">
              <w:rPr>
                <w:rFonts w:asciiTheme="minorEastAsia" w:hAnsiTheme="minorEastAsia" w:cs="Times New Roman" w:hint="eastAsia"/>
                <w:color w:val="000000" w:themeColor="text1"/>
                <w:sz w:val="24"/>
                <w:szCs w:val="24"/>
              </w:rPr>
              <w:t>。</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《建筑设计防火规范》GB50016-2014</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第3.6.2条</w:t>
            </w:r>
          </w:p>
        </w:tc>
        <w:tc>
          <w:tcPr>
            <w:tcW w:w="1033" w:type="pct"/>
            <w:vAlign w:val="center"/>
          </w:tcPr>
          <w:p w:rsidR="003E1D2A" w:rsidRPr="00687B52" w:rsidRDefault="003E1D2A" w:rsidP="003E1D2A">
            <w:pPr>
              <w:pStyle w:val="a7"/>
              <w:jc w:val="both"/>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83"/>
              </w:numPr>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氯酸盐企业</w:t>
            </w:r>
            <w:r w:rsidRPr="00687B52">
              <w:rPr>
                <w:rFonts w:asciiTheme="minorEastAsia" w:hAnsiTheme="minorEastAsia" w:cs="Times New Roman"/>
                <w:color w:val="000000" w:themeColor="text1"/>
                <w:sz w:val="24"/>
                <w:szCs w:val="24"/>
              </w:rPr>
              <w:t>总控制室应独立设置</w:t>
            </w:r>
            <w:r w:rsidRPr="00687B52">
              <w:rPr>
                <w:rFonts w:asciiTheme="minorEastAsia" w:hAnsiTheme="minorEastAsia" w:cs="Times New Roman" w:hint="eastAsia"/>
                <w:color w:val="000000" w:themeColor="text1"/>
                <w:sz w:val="24"/>
                <w:szCs w:val="24"/>
              </w:rPr>
              <w:t>；车间分</w:t>
            </w:r>
            <w:r w:rsidRPr="00687B52">
              <w:rPr>
                <w:rFonts w:asciiTheme="minorEastAsia" w:hAnsiTheme="minorEastAsia" w:cs="Times New Roman"/>
                <w:color w:val="000000" w:themeColor="text1"/>
                <w:sz w:val="24"/>
                <w:szCs w:val="24"/>
              </w:rPr>
              <w:t>控制室</w:t>
            </w:r>
            <w:r w:rsidRPr="00687B52">
              <w:rPr>
                <w:rFonts w:asciiTheme="minorEastAsia" w:hAnsiTheme="minorEastAsia" w:cs="Times New Roman" w:hint="eastAsia"/>
                <w:color w:val="000000" w:themeColor="text1"/>
                <w:sz w:val="24"/>
                <w:szCs w:val="24"/>
              </w:rPr>
              <w:t>宜</w:t>
            </w:r>
            <w:r w:rsidRPr="00687B52">
              <w:rPr>
                <w:rFonts w:asciiTheme="minorEastAsia" w:hAnsiTheme="minorEastAsia" w:cs="Times New Roman"/>
                <w:color w:val="000000" w:themeColor="text1"/>
                <w:sz w:val="24"/>
                <w:szCs w:val="24"/>
              </w:rPr>
              <w:t>独立设置</w:t>
            </w:r>
            <w:r w:rsidRPr="00687B52">
              <w:rPr>
                <w:rFonts w:asciiTheme="minorEastAsia" w:hAnsiTheme="minorEastAsia" w:cs="Times New Roman" w:hint="eastAsia"/>
                <w:color w:val="000000" w:themeColor="text1"/>
                <w:sz w:val="24"/>
                <w:szCs w:val="24"/>
              </w:rPr>
              <w:t>，</w:t>
            </w:r>
            <w:r w:rsidRPr="00687B52">
              <w:rPr>
                <w:rFonts w:asciiTheme="minorEastAsia" w:hAnsiTheme="minorEastAsia" w:cs="Times New Roman"/>
                <w:color w:val="000000" w:themeColor="text1"/>
                <w:sz w:val="24"/>
                <w:szCs w:val="24"/>
              </w:rPr>
              <w:t>当贴邻外墙设置时，应采用耐火极限不低于3h的防火隔墙与与其他部位分隔。</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《建筑设计防火规范》GB50016-2014</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第3.6.8条</w:t>
            </w:r>
          </w:p>
        </w:tc>
        <w:tc>
          <w:tcPr>
            <w:tcW w:w="1033" w:type="pct"/>
            <w:vAlign w:val="center"/>
          </w:tcPr>
          <w:p w:rsidR="003E1D2A" w:rsidRPr="00687B52" w:rsidRDefault="003E1D2A" w:rsidP="003E1D2A">
            <w:pPr>
              <w:pStyle w:val="a7"/>
              <w:jc w:val="both"/>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83"/>
              </w:numPr>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 xml:space="preserve">厂区出入口应符合下列要求： </w:t>
            </w:r>
          </w:p>
          <w:p w:rsidR="003E1D2A" w:rsidRPr="00687B52" w:rsidRDefault="003E1D2A" w:rsidP="00D9787F">
            <w:pPr>
              <w:pStyle w:val="ab"/>
              <w:numPr>
                <w:ilvl w:val="0"/>
                <w:numId w:val="84"/>
              </w:numPr>
              <w:spacing w:line="320" w:lineRule="exact"/>
              <w:ind w:left="0" w:firstLineChars="0" w:firstLine="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出入口的数量不宜少于 2 个；</w:t>
            </w:r>
          </w:p>
          <w:p w:rsidR="003E1D2A" w:rsidRPr="00687B52" w:rsidRDefault="003E1D2A" w:rsidP="00D9787F">
            <w:pPr>
              <w:pStyle w:val="ab"/>
              <w:numPr>
                <w:ilvl w:val="0"/>
                <w:numId w:val="84"/>
              </w:numPr>
              <w:spacing w:line="320" w:lineRule="exact"/>
              <w:ind w:left="0" w:firstLineChars="0" w:firstLine="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人流出入口宜与货流出入口分开设置。</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《工业企业总平面设计规范》GB50187-2012</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第5.7.4条</w:t>
            </w:r>
          </w:p>
        </w:tc>
        <w:tc>
          <w:tcPr>
            <w:tcW w:w="1033" w:type="pct"/>
            <w:vAlign w:val="center"/>
          </w:tcPr>
          <w:p w:rsidR="003E1D2A" w:rsidRPr="00687B52" w:rsidRDefault="003E1D2A" w:rsidP="003E1D2A">
            <w:pPr>
              <w:pStyle w:val="a7"/>
              <w:jc w:val="both"/>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83"/>
              </w:numPr>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跨越道路上空架设管线距路面的最小净高不得小于5m。</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《工业企业厂内铁路、道路运输安全规程》GB4387－2008</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第6.1.2条</w:t>
            </w:r>
          </w:p>
        </w:tc>
        <w:tc>
          <w:tcPr>
            <w:tcW w:w="1033" w:type="pct"/>
            <w:vAlign w:val="center"/>
          </w:tcPr>
          <w:p w:rsidR="003E1D2A" w:rsidRPr="00687B52" w:rsidRDefault="003E1D2A" w:rsidP="003E1D2A">
            <w:pPr>
              <w:pStyle w:val="a7"/>
              <w:jc w:val="both"/>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83"/>
              </w:numPr>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易燃、易爆物品的生产区域或贮存仓库区，应根据安全生产的需要，将道路划分为限制车辆通行或禁止车辆通行的路段，并设置标志。</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《工业企业厂内铁路、道路运输安全规程》GB4387-2008</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第6.1.4条</w:t>
            </w:r>
          </w:p>
        </w:tc>
        <w:tc>
          <w:tcPr>
            <w:tcW w:w="1033" w:type="pct"/>
            <w:vAlign w:val="center"/>
          </w:tcPr>
          <w:p w:rsidR="003E1D2A" w:rsidRPr="00687B52" w:rsidRDefault="003E1D2A" w:rsidP="003E1D2A">
            <w:pPr>
              <w:pStyle w:val="a7"/>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83"/>
              </w:numPr>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spacing w:line="36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工厂</w:t>
            </w:r>
            <w:r w:rsidRPr="00687B52">
              <w:rPr>
                <w:rFonts w:asciiTheme="minorEastAsia" w:hAnsiTheme="minorEastAsia" w:cs="Times New Roman" w:hint="eastAsia"/>
                <w:color w:val="000000" w:themeColor="text1"/>
                <w:sz w:val="24"/>
                <w:szCs w:val="24"/>
              </w:rPr>
              <w:t>应设置消防车道。以下场所应设置环形消防车道：</w:t>
            </w:r>
          </w:p>
          <w:p w:rsidR="003E1D2A" w:rsidRPr="00687B52" w:rsidRDefault="003E1D2A" w:rsidP="00D9787F">
            <w:pPr>
              <w:pStyle w:val="ab"/>
              <w:numPr>
                <w:ilvl w:val="0"/>
                <w:numId w:val="76"/>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占地面积大于3000m</w:t>
            </w:r>
            <w:r w:rsidRPr="00687B52">
              <w:rPr>
                <w:rFonts w:asciiTheme="minorEastAsia" w:hAnsiTheme="minorEastAsia" w:cs="Times New Roman"/>
                <w:color w:val="000000" w:themeColor="text1"/>
                <w:sz w:val="24"/>
                <w:szCs w:val="24"/>
                <w:vertAlign w:val="superscript"/>
              </w:rPr>
              <w:t>2</w:t>
            </w:r>
            <w:r w:rsidRPr="00687B52">
              <w:rPr>
                <w:rFonts w:asciiTheme="minorEastAsia" w:hAnsiTheme="minorEastAsia" w:cs="Times New Roman"/>
                <w:color w:val="000000" w:themeColor="text1"/>
                <w:sz w:val="24"/>
                <w:szCs w:val="24"/>
              </w:rPr>
              <w:t>的</w:t>
            </w:r>
            <w:r w:rsidRPr="00687B52">
              <w:rPr>
                <w:rFonts w:asciiTheme="minorEastAsia" w:hAnsiTheme="minorEastAsia" w:cs="Times New Roman" w:hint="eastAsia"/>
                <w:color w:val="000000" w:themeColor="text1"/>
                <w:sz w:val="24"/>
                <w:szCs w:val="24"/>
              </w:rPr>
              <w:t>甲乙丙类厂房；</w:t>
            </w:r>
          </w:p>
          <w:p w:rsidR="003E1D2A" w:rsidRPr="00687B52" w:rsidRDefault="003E1D2A" w:rsidP="00D9787F">
            <w:pPr>
              <w:pStyle w:val="ab"/>
              <w:numPr>
                <w:ilvl w:val="0"/>
                <w:numId w:val="76"/>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占地面积大于</w:t>
            </w:r>
            <w:r w:rsidRPr="00687B52">
              <w:rPr>
                <w:rFonts w:asciiTheme="minorEastAsia" w:hAnsiTheme="minorEastAsia" w:cs="Times New Roman" w:hint="eastAsia"/>
                <w:color w:val="000000" w:themeColor="text1"/>
                <w:sz w:val="24"/>
                <w:szCs w:val="24"/>
              </w:rPr>
              <w:t>15</w:t>
            </w:r>
            <w:r w:rsidRPr="00687B52">
              <w:rPr>
                <w:rFonts w:asciiTheme="minorEastAsia" w:hAnsiTheme="minorEastAsia" w:cs="Times New Roman"/>
                <w:color w:val="000000" w:themeColor="text1"/>
                <w:sz w:val="24"/>
                <w:szCs w:val="24"/>
              </w:rPr>
              <w:t>00m</w:t>
            </w:r>
            <w:r w:rsidRPr="00687B52">
              <w:rPr>
                <w:rFonts w:asciiTheme="minorEastAsia" w:hAnsiTheme="minorEastAsia" w:cs="Times New Roman"/>
                <w:color w:val="000000" w:themeColor="text1"/>
                <w:sz w:val="24"/>
                <w:szCs w:val="24"/>
                <w:vertAlign w:val="superscript"/>
              </w:rPr>
              <w:t>2</w:t>
            </w:r>
            <w:r w:rsidRPr="00687B52">
              <w:rPr>
                <w:rFonts w:asciiTheme="minorEastAsia" w:hAnsiTheme="minorEastAsia" w:cs="Times New Roman"/>
                <w:color w:val="000000" w:themeColor="text1"/>
                <w:sz w:val="24"/>
                <w:szCs w:val="24"/>
              </w:rPr>
              <w:t>的</w:t>
            </w:r>
            <w:r w:rsidRPr="00687B52">
              <w:rPr>
                <w:rFonts w:asciiTheme="minorEastAsia" w:hAnsiTheme="minorEastAsia" w:cs="Times New Roman" w:hint="eastAsia"/>
                <w:color w:val="000000" w:themeColor="text1"/>
                <w:sz w:val="24"/>
                <w:szCs w:val="24"/>
              </w:rPr>
              <w:t>乙丙类仓库；</w:t>
            </w:r>
          </w:p>
          <w:p w:rsidR="003E1D2A" w:rsidRPr="00687B52" w:rsidRDefault="003E1D2A" w:rsidP="00D9787F">
            <w:pPr>
              <w:pStyle w:val="ab"/>
              <w:numPr>
                <w:ilvl w:val="0"/>
                <w:numId w:val="76"/>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占地面积大于3000</w:t>
            </w:r>
            <w:r w:rsidRPr="00687B52">
              <w:rPr>
                <w:rFonts w:asciiTheme="minorEastAsia" w:hAnsiTheme="minorEastAsia" w:cs="Times New Roman" w:hint="eastAsia"/>
                <w:color w:val="000000" w:themeColor="text1"/>
                <w:sz w:val="24"/>
                <w:szCs w:val="24"/>
              </w:rPr>
              <w:t>0</w:t>
            </w:r>
            <w:r w:rsidRPr="00687B52">
              <w:rPr>
                <w:rFonts w:asciiTheme="minorEastAsia" w:hAnsiTheme="minorEastAsia" w:cs="Times New Roman"/>
                <w:color w:val="000000" w:themeColor="text1"/>
                <w:sz w:val="24"/>
                <w:szCs w:val="24"/>
              </w:rPr>
              <w:t>m</w:t>
            </w:r>
            <w:r w:rsidRPr="00687B52">
              <w:rPr>
                <w:rFonts w:asciiTheme="minorEastAsia" w:hAnsiTheme="minorEastAsia" w:cs="Times New Roman"/>
                <w:color w:val="000000" w:themeColor="text1"/>
                <w:sz w:val="24"/>
                <w:szCs w:val="24"/>
                <w:vertAlign w:val="superscript"/>
              </w:rPr>
              <w:t>2</w:t>
            </w:r>
            <w:r w:rsidRPr="00687B52">
              <w:rPr>
                <w:rFonts w:asciiTheme="minorEastAsia" w:hAnsiTheme="minorEastAsia" w:cs="Times New Roman"/>
                <w:color w:val="000000" w:themeColor="text1"/>
                <w:sz w:val="24"/>
                <w:szCs w:val="24"/>
              </w:rPr>
              <w:t>的可燃材料堆场</w:t>
            </w:r>
            <w:r w:rsidRPr="00687B52">
              <w:rPr>
                <w:rFonts w:asciiTheme="minorEastAsia" w:hAnsiTheme="minorEastAsia" w:cs="Times New Roman" w:hint="eastAsia"/>
                <w:color w:val="000000" w:themeColor="text1"/>
                <w:sz w:val="24"/>
                <w:szCs w:val="24"/>
              </w:rPr>
              <w:t>；</w:t>
            </w:r>
          </w:p>
          <w:p w:rsidR="003E1D2A" w:rsidRPr="00687B52" w:rsidRDefault="003E1D2A" w:rsidP="003E1D2A">
            <w:pPr>
              <w:spacing w:line="360" w:lineRule="exac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环形消防车道</w:t>
            </w:r>
            <w:r w:rsidRPr="00687B52">
              <w:rPr>
                <w:rFonts w:asciiTheme="minorEastAsia" w:hAnsiTheme="minorEastAsia" w:cs="Times New Roman"/>
                <w:color w:val="000000" w:themeColor="text1"/>
                <w:sz w:val="24"/>
                <w:szCs w:val="24"/>
              </w:rPr>
              <w:t>至少应有两处与其它车道连通。</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《建筑设计防火规范》GB50016-2014</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第7.1条</w:t>
            </w:r>
          </w:p>
        </w:tc>
        <w:tc>
          <w:tcPr>
            <w:tcW w:w="1033" w:type="pct"/>
            <w:vAlign w:val="center"/>
          </w:tcPr>
          <w:p w:rsidR="003E1D2A" w:rsidRPr="00687B52" w:rsidRDefault="003E1D2A" w:rsidP="003E1D2A">
            <w:pPr>
              <w:pStyle w:val="a7"/>
              <w:jc w:val="both"/>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83"/>
              </w:numPr>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spacing w:line="36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消防车道应符合下列要求：</w:t>
            </w:r>
          </w:p>
          <w:p w:rsidR="003E1D2A" w:rsidRPr="00687B52" w:rsidRDefault="003E1D2A" w:rsidP="00D9787F">
            <w:pPr>
              <w:pStyle w:val="ab"/>
              <w:numPr>
                <w:ilvl w:val="0"/>
                <w:numId w:val="77"/>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车道的净宽度和净空高度均不应小于4.0m；</w:t>
            </w:r>
          </w:p>
          <w:p w:rsidR="003E1D2A" w:rsidRPr="00687B52" w:rsidRDefault="003E1D2A" w:rsidP="00D9787F">
            <w:pPr>
              <w:pStyle w:val="ab"/>
              <w:numPr>
                <w:ilvl w:val="0"/>
                <w:numId w:val="77"/>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转弯半径应满足消防车转弯的要求；</w:t>
            </w:r>
          </w:p>
          <w:p w:rsidR="003E1D2A" w:rsidRPr="00687B52" w:rsidRDefault="003E1D2A" w:rsidP="00D9787F">
            <w:pPr>
              <w:pStyle w:val="ab"/>
              <w:numPr>
                <w:ilvl w:val="0"/>
                <w:numId w:val="77"/>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消防车道与建筑之间不应设置妨碍消防车操作的树木、架空管线等障碍物；</w:t>
            </w:r>
          </w:p>
          <w:p w:rsidR="003E1D2A" w:rsidRPr="00687B52" w:rsidRDefault="003E1D2A" w:rsidP="00D9787F">
            <w:pPr>
              <w:pStyle w:val="ab"/>
              <w:numPr>
                <w:ilvl w:val="0"/>
                <w:numId w:val="77"/>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消防车道靠建筑外墙一侧的边缘距离建筑外墙不宜小于5m；</w:t>
            </w:r>
          </w:p>
          <w:p w:rsidR="003E1D2A" w:rsidRPr="00687B52" w:rsidRDefault="003E1D2A" w:rsidP="00D9787F">
            <w:pPr>
              <w:pStyle w:val="ab"/>
              <w:numPr>
                <w:ilvl w:val="0"/>
                <w:numId w:val="77"/>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消防车道的坡度不宜大于8%。</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《建筑设计防火规范》GB50016-2014</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第7.1.8条</w:t>
            </w:r>
          </w:p>
        </w:tc>
        <w:tc>
          <w:tcPr>
            <w:tcW w:w="1033" w:type="pct"/>
            <w:vAlign w:val="center"/>
          </w:tcPr>
          <w:p w:rsidR="003E1D2A" w:rsidRPr="00687B52" w:rsidRDefault="003E1D2A" w:rsidP="003E1D2A">
            <w:pPr>
              <w:ind w:firstLineChars="150" w:firstLine="360"/>
              <w:rPr>
                <w:rFonts w:asciiTheme="minorEastAsia" w:hAnsiTheme="minorEastAsia" w:cs="Times New Roman"/>
                <w:color w:val="000000" w:themeColor="text1"/>
                <w:sz w:val="24"/>
                <w:szCs w:val="24"/>
              </w:rPr>
            </w:pPr>
          </w:p>
        </w:tc>
      </w:tr>
      <w:tr w:rsidR="003E1D2A" w:rsidRPr="00687B52" w:rsidTr="0007330F">
        <w:trPr>
          <w:jc w:val="center"/>
        </w:trPr>
        <w:tc>
          <w:tcPr>
            <w:tcW w:w="355" w:type="pct"/>
            <w:vAlign w:val="center"/>
          </w:tcPr>
          <w:p w:rsidR="003E1D2A" w:rsidRPr="00687B52" w:rsidRDefault="003E1D2A" w:rsidP="0007330F">
            <w:pPr>
              <w:jc w:val="center"/>
              <w:rPr>
                <w:rFonts w:asciiTheme="minorEastAsia" w:hAnsiTheme="minorEastAsia" w:cs="Times New Roman"/>
                <w:b/>
                <w:color w:val="000000" w:themeColor="text1"/>
                <w:sz w:val="24"/>
                <w:szCs w:val="24"/>
              </w:rPr>
            </w:pPr>
            <w:r w:rsidRPr="00687B52">
              <w:rPr>
                <w:rFonts w:asciiTheme="minorEastAsia" w:hAnsiTheme="minorEastAsia" w:cs="Times New Roman"/>
                <w:b/>
                <w:color w:val="000000" w:themeColor="text1"/>
                <w:sz w:val="24"/>
                <w:szCs w:val="24"/>
              </w:rPr>
              <w:t>2</w:t>
            </w:r>
          </w:p>
        </w:tc>
        <w:tc>
          <w:tcPr>
            <w:tcW w:w="2558" w:type="pct"/>
            <w:vAlign w:val="center"/>
          </w:tcPr>
          <w:p w:rsidR="003E1D2A" w:rsidRPr="00687B52" w:rsidRDefault="003E1D2A" w:rsidP="003E1D2A">
            <w:pPr>
              <w:jc w:val="left"/>
              <w:rPr>
                <w:rFonts w:asciiTheme="minorEastAsia" w:hAnsiTheme="minorEastAsia" w:cs="Times New Roman"/>
                <w:b/>
                <w:color w:val="000000" w:themeColor="text1"/>
                <w:sz w:val="24"/>
                <w:szCs w:val="24"/>
              </w:rPr>
            </w:pPr>
            <w:r w:rsidRPr="00687B52">
              <w:rPr>
                <w:rFonts w:asciiTheme="minorEastAsia" w:hAnsiTheme="minorEastAsia" w:cs="Times New Roman"/>
                <w:b/>
                <w:color w:val="000000" w:themeColor="text1"/>
                <w:sz w:val="24"/>
                <w:szCs w:val="24"/>
              </w:rPr>
              <w:t>工艺系统与装置设施</w:t>
            </w:r>
          </w:p>
        </w:tc>
        <w:tc>
          <w:tcPr>
            <w:tcW w:w="1054" w:type="pct"/>
            <w:vAlign w:val="center"/>
          </w:tcPr>
          <w:p w:rsidR="003E1D2A" w:rsidRPr="00687B52" w:rsidRDefault="003E1D2A" w:rsidP="003E1D2A">
            <w:pPr>
              <w:jc w:val="left"/>
              <w:rPr>
                <w:rFonts w:asciiTheme="minorEastAsia" w:hAnsiTheme="minorEastAsia" w:cs="Times New Roman"/>
                <w:color w:val="000000" w:themeColor="text1"/>
                <w:sz w:val="24"/>
                <w:szCs w:val="24"/>
              </w:rPr>
            </w:pPr>
          </w:p>
        </w:tc>
        <w:tc>
          <w:tcPr>
            <w:tcW w:w="1033" w:type="pct"/>
            <w:vAlign w:val="center"/>
          </w:tcPr>
          <w:p w:rsidR="003E1D2A" w:rsidRPr="00687B52" w:rsidRDefault="003E1D2A" w:rsidP="003E1D2A">
            <w:pPr>
              <w:ind w:firstLineChars="150" w:firstLine="360"/>
              <w:rPr>
                <w:rFonts w:asciiTheme="minorEastAsia" w:hAnsiTheme="minorEastAsia" w:cs="Times New Roman"/>
                <w:color w:val="000000" w:themeColor="text1"/>
                <w:sz w:val="24"/>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130"/>
              </w:numPr>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pStyle w:val="a7"/>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在役化工装置应经过正规设计或经过安全设计诊断。</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《化工（危险化学品）企业安全检查重点指导目录》安监总管三[2015]113号</w:t>
            </w:r>
          </w:p>
        </w:tc>
        <w:tc>
          <w:tcPr>
            <w:tcW w:w="1033" w:type="pct"/>
          </w:tcPr>
          <w:p w:rsidR="003E1D2A" w:rsidRPr="00687B52" w:rsidRDefault="003E1D2A" w:rsidP="003E1D2A">
            <w:pPr>
              <w:pStyle w:val="a7"/>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130"/>
              </w:numPr>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pStyle w:val="a7"/>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严禁使用国家明令淘汰的危及生产安全的工艺、设备。</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《化工（危险化学品）企业安全检查重点指导目录》安监总管三[2015]113号</w:t>
            </w:r>
          </w:p>
        </w:tc>
        <w:tc>
          <w:tcPr>
            <w:tcW w:w="1033" w:type="pct"/>
          </w:tcPr>
          <w:p w:rsidR="003E1D2A" w:rsidRPr="00687B52" w:rsidRDefault="003E1D2A" w:rsidP="003E1D2A">
            <w:pPr>
              <w:pStyle w:val="a7"/>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130"/>
              </w:numPr>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电解厂房内应设置氢气、氯气检测报警仪。</w:t>
            </w:r>
          </w:p>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氯比重大于空气，其检（探）测器应靠近泄漏点，安装高度应距地坪（或楼地板）0.3~0.6m。</w:t>
            </w:r>
          </w:p>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氢气比重小于空气，其检（探）测器安装高度应高出释放源0.5~2m。</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《石油化工可燃气体和有毒气体检测报警设计规范》GB50493-2009</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第3.0.1、6.1.1条</w:t>
            </w:r>
          </w:p>
        </w:tc>
        <w:tc>
          <w:tcPr>
            <w:tcW w:w="1033" w:type="pct"/>
          </w:tcPr>
          <w:p w:rsidR="003E1D2A" w:rsidRPr="00687B52" w:rsidRDefault="003E1D2A" w:rsidP="003E1D2A">
            <w:pPr>
              <w:pStyle w:val="a7"/>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130"/>
              </w:numPr>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pStyle w:val="a7"/>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hint="eastAsia"/>
                <w:color w:val="000000" w:themeColor="text1"/>
                <w:szCs w:val="24"/>
              </w:rPr>
              <w:t>氯酸盐企业</w:t>
            </w:r>
            <w:r w:rsidRPr="00687B52">
              <w:rPr>
                <w:rFonts w:asciiTheme="minorEastAsia" w:eastAsiaTheme="minorEastAsia" w:hAnsiTheme="minorEastAsia" w:cs="Times New Roman"/>
                <w:color w:val="000000" w:themeColor="text1"/>
                <w:szCs w:val="24"/>
              </w:rPr>
              <w:t>必须安装安全阀</w:t>
            </w:r>
            <w:r w:rsidRPr="00687B52">
              <w:rPr>
                <w:rFonts w:asciiTheme="minorEastAsia" w:eastAsiaTheme="minorEastAsia" w:hAnsiTheme="minorEastAsia" w:cs="Times New Roman" w:hint="eastAsia"/>
                <w:color w:val="000000" w:themeColor="text1"/>
                <w:szCs w:val="24"/>
              </w:rPr>
              <w:t>的设备有</w:t>
            </w:r>
            <w:r w:rsidRPr="00687B52">
              <w:rPr>
                <w:rFonts w:asciiTheme="minorEastAsia" w:eastAsiaTheme="minorEastAsia" w:hAnsiTheme="minorEastAsia" w:cs="Times New Roman"/>
                <w:color w:val="000000" w:themeColor="text1"/>
                <w:szCs w:val="24"/>
              </w:rPr>
              <w:t>：</w:t>
            </w:r>
          </w:p>
          <w:p w:rsidR="003E1D2A" w:rsidRPr="00687B52" w:rsidRDefault="003E1D2A" w:rsidP="00D9787F">
            <w:pPr>
              <w:pStyle w:val="a7"/>
              <w:numPr>
                <w:ilvl w:val="0"/>
                <w:numId w:val="85"/>
              </w:numPr>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hint="eastAsia"/>
                <w:color w:val="000000" w:themeColor="text1"/>
                <w:szCs w:val="24"/>
              </w:rPr>
              <w:t>氢气压缩机后的氢气缓冲罐或氢气充装线；</w:t>
            </w:r>
          </w:p>
          <w:p w:rsidR="003E1D2A" w:rsidRPr="00687B52" w:rsidRDefault="003E1D2A" w:rsidP="00D9787F">
            <w:pPr>
              <w:pStyle w:val="a7"/>
              <w:numPr>
                <w:ilvl w:val="0"/>
                <w:numId w:val="85"/>
              </w:numPr>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hint="eastAsia"/>
                <w:color w:val="000000" w:themeColor="text1"/>
                <w:szCs w:val="24"/>
              </w:rPr>
              <w:t>氨制冷区的液氨储罐</w:t>
            </w:r>
            <w:r w:rsidRPr="00687B52">
              <w:rPr>
                <w:rFonts w:asciiTheme="minorEastAsia" w:eastAsiaTheme="minorEastAsia" w:hAnsiTheme="minorEastAsia" w:cs="Times New Roman"/>
                <w:color w:val="000000" w:themeColor="text1"/>
                <w:szCs w:val="24"/>
              </w:rPr>
              <w:t>；</w:t>
            </w:r>
          </w:p>
          <w:p w:rsidR="003E1D2A" w:rsidRPr="00687B52" w:rsidRDefault="003E1D2A" w:rsidP="00D9787F">
            <w:pPr>
              <w:pStyle w:val="a7"/>
              <w:numPr>
                <w:ilvl w:val="0"/>
                <w:numId w:val="85"/>
              </w:numPr>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hint="eastAsia"/>
                <w:color w:val="000000" w:themeColor="text1"/>
                <w:szCs w:val="24"/>
              </w:rPr>
              <w:t>压缩空气缓冲罐。</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《安全阀的设置和选用》HG/T20570-95</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第4.4.1条</w:t>
            </w:r>
          </w:p>
        </w:tc>
        <w:tc>
          <w:tcPr>
            <w:tcW w:w="1033" w:type="pct"/>
          </w:tcPr>
          <w:p w:rsidR="003E1D2A" w:rsidRPr="00687B52" w:rsidRDefault="003E1D2A" w:rsidP="003E1D2A">
            <w:pPr>
              <w:pStyle w:val="a7"/>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130"/>
              </w:numPr>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酸碱储罐应设置的安全设施：</w:t>
            </w:r>
          </w:p>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①</w:t>
            </w:r>
            <w:r w:rsidRPr="00687B52">
              <w:rPr>
                <w:rFonts w:asciiTheme="minorEastAsia" w:hAnsiTheme="minorEastAsia" w:cs="Times New Roman" w:hint="eastAsia"/>
                <w:color w:val="000000" w:themeColor="text1"/>
                <w:sz w:val="24"/>
                <w:szCs w:val="24"/>
              </w:rPr>
              <w:t>酸碱</w:t>
            </w:r>
            <w:r w:rsidRPr="00687B52">
              <w:rPr>
                <w:rFonts w:asciiTheme="minorEastAsia" w:hAnsiTheme="minorEastAsia" w:cs="Times New Roman"/>
                <w:color w:val="000000" w:themeColor="text1"/>
                <w:sz w:val="24"/>
                <w:szCs w:val="24"/>
              </w:rPr>
              <w:t>储罐应安装液位计；</w:t>
            </w:r>
          </w:p>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②酸、碱储罐区独立建立，酸、碱储罐区设置围堰。</w:t>
            </w:r>
          </w:p>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③储存酸碱等腐蚀性介质的储罐组内的地面应做防腐蚀处理。</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《氯碱生产企业安全标准化实施指南》</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AQ/T3016-2008</w:t>
            </w:r>
          </w:p>
          <w:p w:rsidR="003E1D2A" w:rsidRPr="00687B52" w:rsidRDefault="003E1D2A" w:rsidP="003E1D2A">
            <w:pPr>
              <w:pStyle w:val="a7"/>
              <w:jc w:val="left"/>
              <w:rPr>
                <w:rFonts w:asciiTheme="minorEastAsia" w:eastAsiaTheme="minorEastAsia" w:hAnsiTheme="minorEastAsia" w:cs="Times New Roman"/>
                <w:color w:val="000000" w:themeColor="text1"/>
                <w:szCs w:val="24"/>
              </w:rPr>
            </w:pPr>
            <w:r w:rsidRPr="00687B52">
              <w:rPr>
                <w:rFonts w:asciiTheme="minorEastAsia" w:eastAsiaTheme="minorEastAsia" w:hAnsiTheme="minorEastAsia" w:cs="Times New Roman"/>
                <w:color w:val="000000" w:themeColor="text1"/>
                <w:szCs w:val="24"/>
              </w:rPr>
              <w:t>第5.5.2.1条</w:t>
            </w:r>
          </w:p>
        </w:tc>
        <w:tc>
          <w:tcPr>
            <w:tcW w:w="1033" w:type="pct"/>
          </w:tcPr>
          <w:p w:rsidR="003E1D2A" w:rsidRPr="00687B52" w:rsidRDefault="003E1D2A" w:rsidP="003E1D2A">
            <w:pPr>
              <w:pStyle w:val="a7"/>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130"/>
              </w:numPr>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生产、储存装置及设施严禁超温、超压、超液位运行。</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《化工（危险化学品）企业安全检查重点指导目录》安监总管三[2015]113号</w:t>
            </w:r>
          </w:p>
        </w:tc>
        <w:tc>
          <w:tcPr>
            <w:tcW w:w="1033" w:type="pct"/>
          </w:tcPr>
          <w:p w:rsidR="003E1D2A" w:rsidRPr="00687B52" w:rsidRDefault="003E1D2A" w:rsidP="003E1D2A">
            <w:pPr>
              <w:pStyle w:val="a7"/>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130"/>
              </w:numPr>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企业生产装置泄压系统或排空系统排放的危险化学品应引至安全地点并得到妥善处理。</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《危险化学品从业单位安全生产标准化评审标准》安监总管三〔2011〕93号</w:t>
            </w:r>
          </w:p>
        </w:tc>
        <w:tc>
          <w:tcPr>
            <w:tcW w:w="1033" w:type="pct"/>
          </w:tcPr>
          <w:p w:rsidR="003E1D2A" w:rsidRPr="00687B52" w:rsidRDefault="003E1D2A" w:rsidP="003E1D2A">
            <w:pPr>
              <w:pStyle w:val="a7"/>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130"/>
              </w:numPr>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氢气压缩机或鼓风机房等可能泄漏氢气的区域应设置固定式可燃气体检测报警仪。氢比重小于空气，其检（探）测器安装高度应高出释放源0.5-2m。</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《石油化工可燃气体和有毒气体检测报警设计规范》GB50493-2009</w:t>
            </w:r>
            <w:r w:rsidRPr="00687B52">
              <w:rPr>
                <w:rFonts w:asciiTheme="minorEastAsia" w:hAnsiTheme="minorEastAsia" w:cs="Times New Roman"/>
                <w:color w:val="000000" w:themeColor="text1"/>
                <w:sz w:val="24"/>
                <w:szCs w:val="24"/>
              </w:rPr>
              <w:br/>
              <w:t>第3.0.1、6.1.2条</w:t>
            </w:r>
          </w:p>
        </w:tc>
        <w:tc>
          <w:tcPr>
            <w:tcW w:w="1033" w:type="pct"/>
          </w:tcPr>
          <w:p w:rsidR="003E1D2A" w:rsidRPr="00687B52" w:rsidRDefault="003E1D2A" w:rsidP="003E1D2A">
            <w:pPr>
              <w:pStyle w:val="a7"/>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130"/>
              </w:numPr>
              <w:ind w:left="0" w:firstLine="0"/>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氢气管道应设放空管、取样口和吹扫口，其位置应能满足管道内气体吹扫、置换的要求。最高点应设置排放管，并在管口处设阻火器；湿氢管道上最低点应设置排水装置。</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《氢气使用安全技术规程》</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GB4962-2008</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第4.4.5条</w:t>
            </w:r>
          </w:p>
        </w:tc>
        <w:tc>
          <w:tcPr>
            <w:tcW w:w="1033" w:type="pct"/>
          </w:tcPr>
          <w:p w:rsidR="003E1D2A" w:rsidRPr="00687B52" w:rsidRDefault="003E1D2A" w:rsidP="003E1D2A">
            <w:pPr>
              <w:pStyle w:val="a7"/>
              <w:rPr>
                <w:rFonts w:asciiTheme="minorEastAsia" w:eastAsiaTheme="minorEastAsia" w:hAnsiTheme="minorEastAsia" w:cs="Times New Roman"/>
                <w:color w:val="000000" w:themeColor="text1"/>
                <w:szCs w:val="24"/>
              </w:rPr>
            </w:pPr>
          </w:p>
        </w:tc>
      </w:tr>
      <w:tr w:rsidR="003E1D2A" w:rsidRPr="00687B52" w:rsidTr="0007330F">
        <w:trPr>
          <w:jc w:val="center"/>
        </w:trPr>
        <w:tc>
          <w:tcPr>
            <w:tcW w:w="355" w:type="pct"/>
            <w:vAlign w:val="center"/>
          </w:tcPr>
          <w:p w:rsidR="003E1D2A" w:rsidRPr="00687B52" w:rsidRDefault="003E1D2A" w:rsidP="00D9787F">
            <w:pPr>
              <w:pStyle w:val="a7"/>
              <w:numPr>
                <w:ilvl w:val="0"/>
                <w:numId w:val="130"/>
              </w:numPr>
              <w:ind w:left="0" w:firstLine="0"/>
              <w:rPr>
                <w:rFonts w:asciiTheme="minorEastAsia" w:eastAsiaTheme="minorEastAsia" w:hAnsiTheme="minorEastAsia" w:cs="Times New Roman"/>
                <w:color w:val="000000" w:themeColor="text1"/>
                <w:szCs w:val="24"/>
              </w:rPr>
            </w:pPr>
          </w:p>
        </w:tc>
        <w:tc>
          <w:tcPr>
            <w:tcW w:w="2558" w:type="pct"/>
            <w:vAlign w:val="center"/>
          </w:tcPr>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进出氢气柜的氢气管道上应设置安全水封。水封应保证有足够的水位，防止氢气柜因缺水二逸出气体。寒冷地区应有防止水封结冰的措施。</w:t>
            </w:r>
          </w:p>
        </w:tc>
        <w:tc>
          <w:tcPr>
            <w:tcW w:w="1054" w:type="pct"/>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《氢气使用安全技术规程》</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GB4962-2008</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第6.5.9条</w:t>
            </w:r>
            <w:r w:rsidRPr="00687B52">
              <w:rPr>
                <w:rFonts w:asciiTheme="minorEastAsia" w:hAnsiTheme="minorEastAsia" w:cs="Times New Roman" w:hint="eastAsia"/>
                <w:color w:val="000000" w:themeColor="text1"/>
                <w:sz w:val="24"/>
                <w:szCs w:val="24"/>
              </w:rPr>
              <w:t>、</w:t>
            </w:r>
            <w:r w:rsidRPr="00687B52">
              <w:rPr>
                <w:rFonts w:asciiTheme="minorEastAsia" w:hAnsiTheme="minorEastAsia" w:cs="Times New Roman"/>
                <w:color w:val="000000" w:themeColor="text1"/>
                <w:sz w:val="24"/>
                <w:szCs w:val="24"/>
              </w:rPr>
              <w:t>6.5.6条</w:t>
            </w:r>
          </w:p>
        </w:tc>
        <w:tc>
          <w:tcPr>
            <w:tcW w:w="1033" w:type="pct"/>
          </w:tcPr>
          <w:p w:rsidR="003E1D2A" w:rsidRPr="00687B52" w:rsidRDefault="003E1D2A" w:rsidP="003E1D2A">
            <w:pPr>
              <w:pStyle w:val="a7"/>
              <w:rPr>
                <w:rFonts w:asciiTheme="minorEastAsia" w:eastAsiaTheme="minorEastAsia" w:hAnsiTheme="minorEastAsia" w:cs="Times New Roman"/>
                <w:color w:val="000000" w:themeColor="text1"/>
                <w:szCs w:val="24"/>
              </w:rPr>
            </w:pPr>
          </w:p>
        </w:tc>
      </w:tr>
    </w:tbl>
    <w:p w:rsidR="003E1D2A" w:rsidRPr="00687B52" w:rsidRDefault="003E1D2A" w:rsidP="003E1D2A">
      <w:pPr>
        <w:rPr>
          <w:rFonts w:asciiTheme="minorEastAsia" w:hAnsiTheme="minorEastAsia"/>
          <w:color w:val="000000" w:themeColor="text1"/>
          <w:szCs w:val="21"/>
        </w:rPr>
      </w:pPr>
    </w:p>
    <w:p w:rsidR="003E1D2A" w:rsidRPr="00687B52" w:rsidRDefault="003E1D2A" w:rsidP="003110C0">
      <w:pPr>
        <w:spacing w:line="480" w:lineRule="exact"/>
        <w:jc w:val="left"/>
        <w:rPr>
          <w:color w:val="000000" w:themeColor="text1"/>
          <w:sz w:val="28"/>
          <w:szCs w:val="28"/>
        </w:rPr>
        <w:sectPr w:rsidR="003E1D2A" w:rsidRPr="00687B52" w:rsidSect="00D22E6D">
          <w:footerReference w:type="default" r:id="rId34"/>
          <w:pgSz w:w="16838" w:h="11906" w:orient="landscape"/>
          <w:pgMar w:top="1457" w:right="1780" w:bottom="1457" w:left="1780" w:header="851" w:footer="907" w:gutter="0"/>
          <w:cols w:space="425"/>
          <w:docGrid w:type="lines" w:linePitch="312"/>
        </w:sectPr>
      </w:pPr>
    </w:p>
    <w:p w:rsidR="003E1D2A" w:rsidRPr="00687B52" w:rsidRDefault="0007330F" w:rsidP="0007330F">
      <w:pPr>
        <w:pStyle w:val="aff3"/>
        <w:numPr>
          <w:ilvl w:val="0"/>
          <w:numId w:val="0"/>
        </w:numPr>
        <w:rPr>
          <w:color w:val="000000" w:themeColor="text1"/>
        </w:rPr>
      </w:pPr>
      <w:bookmarkStart w:id="36" w:name="_Toc492634899"/>
      <w:r w:rsidRPr="00687B52">
        <w:rPr>
          <w:rFonts w:hint="eastAsia"/>
          <w:color w:val="000000" w:themeColor="text1"/>
        </w:rPr>
        <w:t>表</w:t>
      </w:r>
      <w:r w:rsidRPr="00687B52">
        <w:rPr>
          <w:rFonts w:hint="eastAsia"/>
          <w:color w:val="000000" w:themeColor="text1"/>
        </w:rPr>
        <w:t xml:space="preserve">2-8 </w:t>
      </w:r>
      <w:r w:rsidRPr="00687B52">
        <w:rPr>
          <w:rFonts w:hint="eastAsia"/>
          <w:color w:val="000000" w:themeColor="text1"/>
        </w:rPr>
        <w:t>危险化学品生产企业专业检查表（</w:t>
      </w:r>
      <w:r w:rsidR="003E1D2A" w:rsidRPr="00687B52">
        <w:rPr>
          <w:rFonts w:hint="eastAsia"/>
          <w:color w:val="000000" w:themeColor="text1"/>
        </w:rPr>
        <w:t>金属粉末</w:t>
      </w:r>
      <w:r w:rsidRPr="00687B52">
        <w:rPr>
          <w:rFonts w:hint="eastAsia"/>
          <w:color w:val="000000" w:themeColor="text1"/>
        </w:rPr>
        <w:t>）</w:t>
      </w:r>
      <w:bookmarkEnd w:id="36"/>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6235"/>
        <w:gridCol w:w="2204"/>
        <w:gridCol w:w="3789"/>
      </w:tblGrid>
      <w:tr w:rsidR="003E1D2A" w:rsidRPr="00687B52" w:rsidTr="00563F92">
        <w:trPr>
          <w:tblHeader/>
          <w:jc w:val="center"/>
        </w:trPr>
        <w:tc>
          <w:tcPr>
            <w:tcW w:w="356" w:type="pct"/>
            <w:vAlign w:val="center"/>
          </w:tcPr>
          <w:p w:rsidR="003E1D2A" w:rsidRPr="00687B52" w:rsidRDefault="003E1D2A" w:rsidP="0007330F">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序号</w:t>
            </w:r>
          </w:p>
        </w:tc>
        <w:tc>
          <w:tcPr>
            <w:tcW w:w="2368" w:type="pct"/>
            <w:vAlign w:val="center"/>
          </w:tcPr>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标准要求</w:t>
            </w:r>
          </w:p>
        </w:tc>
        <w:tc>
          <w:tcPr>
            <w:tcW w:w="837" w:type="pct"/>
            <w:vAlign w:val="center"/>
          </w:tcPr>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检查依据</w:t>
            </w:r>
          </w:p>
        </w:tc>
        <w:tc>
          <w:tcPr>
            <w:tcW w:w="1438" w:type="pct"/>
            <w:vAlign w:val="center"/>
          </w:tcPr>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实际情况</w:t>
            </w:r>
          </w:p>
        </w:tc>
      </w:tr>
      <w:tr w:rsidR="003E1D2A" w:rsidRPr="00687B52" w:rsidTr="00563F92">
        <w:trPr>
          <w:jc w:val="center"/>
        </w:trPr>
        <w:tc>
          <w:tcPr>
            <w:tcW w:w="356" w:type="pct"/>
            <w:vAlign w:val="center"/>
          </w:tcPr>
          <w:p w:rsidR="003E1D2A" w:rsidRPr="00687B52" w:rsidRDefault="003E1D2A" w:rsidP="0007330F">
            <w:pPr>
              <w:pStyle w:val="a7"/>
              <w:adjustRightInd/>
              <w:snapToGrid/>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1</w:t>
            </w:r>
          </w:p>
        </w:tc>
        <w:tc>
          <w:tcPr>
            <w:tcW w:w="4644" w:type="pct"/>
            <w:gridSpan w:val="3"/>
            <w:vAlign w:val="center"/>
          </w:tcPr>
          <w:p w:rsidR="003E1D2A" w:rsidRPr="00687B52" w:rsidRDefault="003E1D2A" w:rsidP="003E1D2A">
            <w:pPr>
              <w:pStyle w:val="a7"/>
              <w:adjustRightInd/>
              <w:snapToGrid/>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区域位置、总图布置与建筑</w:t>
            </w:r>
          </w:p>
        </w:tc>
      </w:tr>
      <w:tr w:rsidR="003E1D2A" w:rsidRPr="00687B52" w:rsidTr="00563F92">
        <w:trPr>
          <w:trHeight w:val="825"/>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color w:val="000000" w:themeColor="text1"/>
              </w:rPr>
            </w:pPr>
            <w:r w:rsidRPr="00687B52">
              <w:rPr>
                <w:color w:val="000000" w:themeColor="text1"/>
              </w:rPr>
              <w:t>厂址应位于不受洪水、潮水或内涝威胁的地带，并应符合下列规定：</w:t>
            </w:r>
          </w:p>
          <w:p w:rsidR="003E1D2A" w:rsidRPr="00687B52" w:rsidRDefault="003E1D2A" w:rsidP="003E1D2A">
            <w:pPr>
              <w:pStyle w:val="a7"/>
              <w:adjustRightInd/>
              <w:snapToGrid/>
              <w:jc w:val="left"/>
              <w:rPr>
                <w:color w:val="000000" w:themeColor="text1"/>
              </w:rPr>
            </w:pPr>
            <w:r w:rsidRPr="00687B52">
              <w:rPr>
                <w:color w:val="000000" w:themeColor="text1"/>
              </w:rPr>
              <w:t>1</w:t>
            </w:r>
            <w:r w:rsidRPr="00687B52">
              <w:rPr>
                <w:rFonts w:hint="eastAsia"/>
                <w:color w:val="000000" w:themeColor="text1"/>
              </w:rPr>
              <w:t>）当厂址不可避免不受洪水、潮水、或内涝威胁的地带时，必须采取防洪、排涝措施；</w:t>
            </w:r>
          </w:p>
          <w:p w:rsidR="003E1D2A" w:rsidRPr="00687B52" w:rsidRDefault="003E1D2A" w:rsidP="003E1D2A">
            <w:pPr>
              <w:pStyle w:val="a7"/>
              <w:adjustRightInd/>
              <w:snapToGrid/>
              <w:jc w:val="left"/>
              <w:rPr>
                <w:color w:val="000000" w:themeColor="text1"/>
              </w:rPr>
            </w:pPr>
            <w:r w:rsidRPr="00687B52">
              <w:rPr>
                <w:color w:val="000000" w:themeColor="text1"/>
              </w:rPr>
              <w:t>2</w:t>
            </w:r>
            <w:r w:rsidRPr="00687B52">
              <w:rPr>
                <w:rFonts w:hint="eastAsia"/>
                <w:color w:val="000000" w:themeColor="text1"/>
              </w:rPr>
              <w:t>）</w:t>
            </w:r>
            <w:r w:rsidRPr="00687B52">
              <w:rPr>
                <w:color w:val="000000" w:themeColor="text1"/>
              </w:rPr>
              <w:t>凡受江、河、潮、海洪水、潮水或山洪威胁的工业企业，防洪标准应符合现行国家标准《防洪标准》</w:t>
            </w:r>
            <w:r w:rsidRPr="00687B52">
              <w:rPr>
                <w:color w:val="000000" w:themeColor="text1"/>
              </w:rPr>
              <w:t>GB 50201</w:t>
            </w:r>
            <w:r w:rsidRPr="00687B52">
              <w:rPr>
                <w:color w:val="000000" w:themeColor="text1"/>
              </w:rPr>
              <w:t>的有关规定。</w:t>
            </w:r>
          </w:p>
        </w:tc>
        <w:tc>
          <w:tcPr>
            <w:tcW w:w="837" w:type="pct"/>
            <w:vAlign w:val="center"/>
          </w:tcPr>
          <w:p w:rsidR="003E1D2A" w:rsidRPr="00687B52" w:rsidRDefault="003E1D2A" w:rsidP="003E1D2A">
            <w:pPr>
              <w:pStyle w:val="a7"/>
              <w:adjustRightInd/>
              <w:snapToGrid/>
              <w:rPr>
                <w:color w:val="000000" w:themeColor="text1"/>
              </w:rPr>
            </w:pPr>
            <w:r w:rsidRPr="00687B52">
              <w:rPr>
                <w:rFonts w:hint="eastAsia"/>
                <w:color w:val="000000" w:themeColor="text1"/>
              </w:rPr>
              <w:t>《工业企业总平面设计规范》</w:t>
            </w:r>
            <w:r w:rsidRPr="00687B52">
              <w:rPr>
                <w:rFonts w:hint="eastAsia"/>
                <w:color w:val="000000" w:themeColor="text1"/>
              </w:rPr>
              <w:t>GB50187-2012</w:t>
            </w:r>
          </w:p>
          <w:p w:rsidR="003E1D2A" w:rsidRPr="00687B52" w:rsidRDefault="003E1D2A" w:rsidP="003E1D2A">
            <w:pPr>
              <w:pStyle w:val="a7"/>
              <w:adjustRightInd/>
              <w:snapToGrid/>
              <w:rPr>
                <w:color w:val="000000" w:themeColor="text1"/>
              </w:rPr>
            </w:pPr>
            <w:r w:rsidRPr="00687B52">
              <w:rPr>
                <w:rFonts w:hint="eastAsia"/>
                <w:color w:val="000000" w:themeColor="text1"/>
              </w:rPr>
              <w:t>第</w:t>
            </w:r>
            <w:r w:rsidRPr="00687B52">
              <w:rPr>
                <w:rFonts w:hint="eastAsia"/>
                <w:color w:val="000000" w:themeColor="text1"/>
              </w:rPr>
              <w:t>3.0.12</w:t>
            </w:r>
            <w:r w:rsidRPr="00687B52">
              <w:rPr>
                <w:rFonts w:hint="eastAsia"/>
                <w:color w:val="000000" w:themeColor="text1"/>
              </w:rPr>
              <w:t>条</w:t>
            </w:r>
          </w:p>
        </w:tc>
        <w:tc>
          <w:tcPr>
            <w:tcW w:w="1438" w:type="pct"/>
            <w:vAlign w:val="center"/>
          </w:tcPr>
          <w:p w:rsidR="003E1D2A" w:rsidRPr="00687B52" w:rsidRDefault="003E1D2A" w:rsidP="003E1D2A">
            <w:pPr>
              <w:pStyle w:val="a7"/>
              <w:adjustRightInd/>
              <w:snapToGrid/>
              <w:jc w:val="both"/>
              <w:rPr>
                <w:rFonts w:asciiTheme="minorEastAsia" w:eastAsiaTheme="minorEastAsia" w:hAnsiTheme="minorEastAsia"/>
                <w:color w:val="000000" w:themeColor="text1"/>
                <w:szCs w:val="24"/>
              </w:rPr>
            </w:pPr>
          </w:p>
        </w:tc>
      </w:tr>
      <w:tr w:rsidR="003E1D2A" w:rsidRPr="00687B52" w:rsidTr="00563F92">
        <w:trPr>
          <w:trHeight w:val="825"/>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color w:val="000000" w:themeColor="text1"/>
              </w:rPr>
            </w:pPr>
            <w:r w:rsidRPr="00687B52">
              <w:rPr>
                <w:rFonts w:hint="eastAsia"/>
                <w:color w:val="000000" w:themeColor="text1"/>
              </w:rPr>
              <w:t>山区建厂，当厂址位于山坡或山脚处时，应采取防止山洪、泥石流等自然灾害的危害的加固措施，应对山坡的稳定性等作出地质灾害的危险性评估报告。</w:t>
            </w:r>
          </w:p>
        </w:tc>
        <w:tc>
          <w:tcPr>
            <w:tcW w:w="837" w:type="pct"/>
            <w:vAlign w:val="center"/>
          </w:tcPr>
          <w:p w:rsidR="003E1D2A" w:rsidRPr="00687B52" w:rsidRDefault="003E1D2A" w:rsidP="003E1D2A">
            <w:pPr>
              <w:pStyle w:val="a7"/>
              <w:adjustRightInd/>
              <w:snapToGrid/>
              <w:rPr>
                <w:color w:val="000000" w:themeColor="text1"/>
              </w:rPr>
            </w:pPr>
            <w:r w:rsidRPr="00687B52">
              <w:rPr>
                <w:rFonts w:hint="eastAsia"/>
                <w:color w:val="000000" w:themeColor="text1"/>
              </w:rPr>
              <w:t>《工业企业总平面设计规范》</w:t>
            </w:r>
            <w:r w:rsidRPr="00687B52">
              <w:rPr>
                <w:rFonts w:hint="eastAsia"/>
                <w:color w:val="000000" w:themeColor="text1"/>
              </w:rPr>
              <w:t>GB50187-2012</w:t>
            </w:r>
          </w:p>
          <w:p w:rsidR="003E1D2A" w:rsidRPr="00687B52" w:rsidRDefault="003E1D2A" w:rsidP="003E1D2A">
            <w:pPr>
              <w:pStyle w:val="a7"/>
              <w:adjustRightInd/>
              <w:snapToGrid/>
              <w:rPr>
                <w:color w:val="000000" w:themeColor="text1"/>
              </w:rPr>
            </w:pPr>
            <w:r w:rsidRPr="00687B52">
              <w:rPr>
                <w:rFonts w:hint="eastAsia"/>
                <w:color w:val="000000" w:themeColor="text1"/>
              </w:rPr>
              <w:t>第</w:t>
            </w:r>
            <w:r w:rsidRPr="00687B52">
              <w:rPr>
                <w:rFonts w:hint="eastAsia"/>
                <w:color w:val="000000" w:themeColor="text1"/>
              </w:rPr>
              <w:t>3.0.13</w:t>
            </w:r>
            <w:r w:rsidRPr="00687B52">
              <w:rPr>
                <w:rFonts w:hint="eastAsia"/>
                <w:color w:val="000000" w:themeColor="text1"/>
              </w:rPr>
              <w:t>条</w:t>
            </w:r>
          </w:p>
        </w:tc>
        <w:tc>
          <w:tcPr>
            <w:tcW w:w="1438" w:type="pct"/>
            <w:vAlign w:val="center"/>
          </w:tcPr>
          <w:p w:rsidR="003E1D2A" w:rsidRPr="00687B52" w:rsidRDefault="003E1D2A" w:rsidP="003E1D2A">
            <w:pPr>
              <w:pStyle w:val="a7"/>
              <w:adjustRightInd/>
              <w:snapToGrid/>
              <w:jc w:val="both"/>
              <w:rPr>
                <w:rFonts w:asciiTheme="minorEastAsia" w:eastAsiaTheme="minorEastAsia" w:hAnsiTheme="minorEastAsia"/>
                <w:color w:val="000000" w:themeColor="text1"/>
                <w:szCs w:val="24"/>
              </w:rPr>
            </w:pPr>
          </w:p>
        </w:tc>
      </w:tr>
      <w:tr w:rsidR="003E1D2A" w:rsidRPr="00687B52" w:rsidTr="00563F92">
        <w:trPr>
          <w:trHeight w:val="825"/>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color w:val="000000" w:themeColor="text1"/>
              </w:rPr>
            </w:pPr>
            <w:r w:rsidRPr="00687B52">
              <w:rPr>
                <w:color w:val="000000" w:themeColor="text1"/>
              </w:rPr>
              <w:t>下列地段和地区不应选为厂址：</w:t>
            </w:r>
          </w:p>
          <w:p w:rsidR="003E1D2A" w:rsidRPr="00687B52" w:rsidRDefault="003E1D2A" w:rsidP="003E1D2A">
            <w:pPr>
              <w:pStyle w:val="a7"/>
              <w:adjustRightInd/>
              <w:snapToGrid/>
              <w:jc w:val="left"/>
              <w:rPr>
                <w:color w:val="000000" w:themeColor="text1"/>
              </w:rPr>
            </w:pPr>
            <w:r w:rsidRPr="00687B52">
              <w:rPr>
                <w:rFonts w:hint="eastAsia"/>
                <w:color w:val="000000" w:themeColor="text1"/>
              </w:rPr>
              <w:t>1</w:t>
            </w:r>
            <w:r w:rsidRPr="00687B52">
              <w:rPr>
                <w:rFonts w:hint="eastAsia"/>
                <w:color w:val="000000" w:themeColor="text1"/>
              </w:rPr>
              <w:t>）发震断层和抗震设防烈度为</w:t>
            </w:r>
            <w:r w:rsidRPr="00687B52">
              <w:rPr>
                <w:rFonts w:hint="eastAsia"/>
                <w:color w:val="000000" w:themeColor="text1"/>
              </w:rPr>
              <w:t>9</w:t>
            </w:r>
            <w:r w:rsidRPr="00687B52">
              <w:rPr>
                <w:rFonts w:hint="eastAsia"/>
                <w:color w:val="000000" w:themeColor="text1"/>
              </w:rPr>
              <w:t>度及高于</w:t>
            </w:r>
            <w:r w:rsidRPr="00687B52">
              <w:rPr>
                <w:rFonts w:hint="eastAsia"/>
                <w:color w:val="000000" w:themeColor="text1"/>
              </w:rPr>
              <w:t>9</w:t>
            </w:r>
            <w:r w:rsidRPr="00687B52">
              <w:rPr>
                <w:rFonts w:hint="eastAsia"/>
                <w:color w:val="000000" w:themeColor="text1"/>
              </w:rPr>
              <w:t>度的地震区；</w:t>
            </w:r>
          </w:p>
          <w:p w:rsidR="003E1D2A" w:rsidRPr="00687B52" w:rsidRDefault="003E1D2A" w:rsidP="003E1D2A">
            <w:pPr>
              <w:pStyle w:val="a7"/>
              <w:adjustRightInd/>
              <w:snapToGrid/>
              <w:jc w:val="left"/>
              <w:rPr>
                <w:color w:val="000000" w:themeColor="text1"/>
              </w:rPr>
            </w:pPr>
            <w:r w:rsidRPr="00687B52">
              <w:rPr>
                <w:rFonts w:hint="eastAsia"/>
                <w:color w:val="000000" w:themeColor="text1"/>
              </w:rPr>
              <w:t>2</w:t>
            </w:r>
            <w:r w:rsidRPr="00687B52">
              <w:rPr>
                <w:rFonts w:hint="eastAsia"/>
                <w:color w:val="000000" w:themeColor="text1"/>
              </w:rPr>
              <w:t>）有泥石流、滑坡、流沙、溶洞等直接危害的地段；</w:t>
            </w:r>
          </w:p>
          <w:p w:rsidR="003E1D2A" w:rsidRPr="00687B52" w:rsidRDefault="003E1D2A" w:rsidP="003E1D2A">
            <w:pPr>
              <w:pStyle w:val="a7"/>
              <w:adjustRightInd/>
              <w:snapToGrid/>
              <w:jc w:val="left"/>
              <w:rPr>
                <w:color w:val="000000" w:themeColor="text1"/>
              </w:rPr>
            </w:pPr>
            <w:r w:rsidRPr="00687B52">
              <w:rPr>
                <w:rFonts w:hint="eastAsia"/>
                <w:color w:val="000000" w:themeColor="text1"/>
              </w:rPr>
              <w:t>3</w:t>
            </w:r>
            <w:r w:rsidRPr="00687B52">
              <w:rPr>
                <w:rFonts w:hint="eastAsia"/>
                <w:color w:val="000000" w:themeColor="text1"/>
              </w:rPr>
              <w:t>）采矿陷落（错动）区地表界限内；</w:t>
            </w:r>
          </w:p>
          <w:p w:rsidR="003E1D2A" w:rsidRPr="00687B52" w:rsidRDefault="003E1D2A" w:rsidP="003E1D2A">
            <w:pPr>
              <w:pStyle w:val="a7"/>
              <w:adjustRightInd/>
              <w:snapToGrid/>
              <w:jc w:val="left"/>
              <w:rPr>
                <w:color w:val="000000" w:themeColor="text1"/>
              </w:rPr>
            </w:pPr>
            <w:r w:rsidRPr="00687B52">
              <w:rPr>
                <w:rFonts w:hint="eastAsia"/>
                <w:color w:val="000000" w:themeColor="text1"/>
              </w:rPr>
              <w:t>4</w:t>
            </w:r>
            <w:r w:rsidRPr="00687B52">
              <w:rPr>
                <w:rFonts w:hint="eastAsia"/>
                <w:color w:val="000000" w:themeColor="text1"/>
              </w:rPr>
              <w:t>）爆破危险界限内；</w:t>
            </w:r>
          </w:p>
          <w:p w:rsidR="003E1D2A" w:rsidRPr="00687B52" w:rsidRDefault="003E1D2A" w:rsidP="003E1D2A">
            <w:pPr>
              <w:pStyle w:val="a7"/>
              <w:adjustRightInd/>
              <w:snapToGrid/>
              <w:jc w:val="left"/>
              <w:rPr>
                <w:color w:val="000000" w:themeColor="text1"/>
              </w:rPr>
            </w:pPr>
            <w:r w:rsidRPr="00687B52">
              <w:rPr>
                <w:rFonts w:hint="eastAsia"/>
                <w:color w:val="000000" w:themeColor="text1"/>
              </w:rPr>
              <w:t>5</w:t>
            </w:r>
            <w:r w:rsidRPr="00687B52">
              <w:rPr>
                <w:rFonts w:hint="eastAsia"/>
                <w:color w:val="000000" w:themeColor="text1"/>
              </w:rPr>
              <w:t>）坝或堤决溃后可能淹没的地区；</w:t>
            </w:r>
          </w:p>
          <w:p w:rsidR="003E1D2A" w:rsidRPr="00687B52" w:rsidRDefault="003E1D2A" w:rsidP="003E1D2A">
            <w:pPr>
              <w:pStyle w:val="a7"/>
              <w:adjustRightInd/>
              <w:snapToGrid/>
              <w:jc w:val="left"/>
              <w:rPr>
                <w:color w:val="000000" w:themeColor="text1"/>
              </w:rPr>
            </w:pPr>
            <w:r w:rsidRPr="00687B52">
              <w:rPr>
                <w:rFonts w:hint="eastAsia"/>
                <w:color w:val="000000" w:themeColor="text1"/>
              </w:rPr>
              <w:t>6</w:t>
            </w:r>
            <w:r w:rsidRPr="00687B52">
              <w:rPr>
                <w:rFonts w:hint="eastAsia"/>
                <w:color w:val="000000" w:themeColor="text1"/>
              </w:rPr>
              <w:t>）有严重放射性物质污染影响区；</w:t>
            </w:r>
          </w:p>
          <w:p w:rsidR="003E1D2A" w:rsidRPr="00687B52" w:rsidRDefault="003E1D2A" w:rsidP="003E1D2A">
            <w:pPr>
              <w:pStyle w:val="a7"/>
              <w:adjustRightInd/>
              <w:snapToGrid/>
              <w:jc w:val="left"/>
              <w:rPr>
                <w:color w:val="000000" w:themeColor="text1"/>
              </w:rPr>
            </w:pPr>
            <w:r w:rsidRPr="00687B52">
              <w:rPr>
                <w:rFonts w:hint="eastAsia"/>
                <w:color w:val="000000" w:themeColor="text1"/>
              </w:rPr>
              <w:t>7</w:t>
            </w:r>
            <w:r w:rsidRPr="00687B52">
              <w:rPr>
                <w:rFonts w:hint="eastAsia"/>
                <w:color w:val="000000" w:themeColor="text1"/>
              </w:rPr>
              <w:t>）生活居住区、文教区、水源保护区、名胜古迹、风景游览区、温泉、疗养区、自然保护区和其它需要特别保护的区域；</w:t>
            </w:r>
          </w:p>
          <w:p w:rsidR="003E1D2A" w:rsidRPr="00687B52" w:rsidRDefault="003E1D2A" w:rsidP="003E1D2A">
            <w:pPr>
              <w:pStyle w:val="a7"/>
              <w:adjustRightInd/>
              <w:snapToGrid/>
              <w:jc w:val="left"/>
              <w:rPr>
                <w:color w:val="000000" w:themeColor="text1"/>
              </w:rPr>
            </w:pPr>
            <w:r w:rsidRPr="00687B52">
              <w:rPr>
                <w:rFonts w:hint="eastAsia"/>
                <w:color w:val="000000" w:themeColor="text1"/>
              </w:rPr>
              <w:t>8</w:t>
            </w:r>
            <w:r w:rsidRPr="00687B52">
              <w:rPr>
                <w:rFonts w:hint="eastAsia"/>
                <w:color w:val="000000" w:themeColor="text1"/>
              </w:rPr>
              <w:t>）对飞机起落、电台通讯、电视转播、雷达导航和重要的天文、气象、地震观察以及军事设施等规定有影响的范围内；</w:t>
            </w:r>
          </w:p>
          <w:p w:rsidR="003E1D2A" w:rsidRPr="00687B52" w:rsidRDefault="003E1D2A" w:rsidP="003E1D2A">
            <w:pPr>
              <w:pStyle w:val="a7"/>
              <w:adjustRightInd/>
              <w:snapToGrid/>
              <w:jc w:val="left"/>
              <w:rPr>
                <w:color w:val="000000" w:themeColor="text1"/>
              </w:rPr>
            </w:pPr>
            <w:r w:rsidRPr="00687B52">
              <w:rPr>
                <w:color w:val="000000" w:themeColor="text1"/>
              </w:rPr>
              <w:t>9</w:t>
            </w:r>
            <w:r w:rsidRPr="00687B52">
              <w:rPr>
                <w:rFonts w:hint="eastAsia"/>
                <w:color w:val="000000" w:themeColor="text1"/>
              </w:rPr>
              <w:t>）</w:t>
            </w:r>
            <w:r w:rsidRPr="00687B52">
              <w:rPr>
                <w:color w:val="000000" w:themeColor="text1"/>
              </w:rPr>
              <w:t>很严重的自重湿陷性黄土地段，厚度大的新近堆积黄土地段和高压缩性的饱和黄土地段等地质条件恶劣地段；</w:t>
            </w:r>
          </w:p>
          <w:p w:rsidR="003E1D2A" w:rsidRPr="00687B52" w:rsidRDefault="003E1D2A" w:rsidP="003E1D2A">
            <w:pPr>
              <w:pStyle w:val="a7"/>
              <w:adjustRightInd/>
              <w:snapToGrid/>
              <w:jc w:val="left"/>
              <w:rPr>
                <w:color w:val="000000" w:themeColor="text1"/>
              </w:rPr>
            </w:pPr>
            <w:r w:rsidRPr="00687B52">
              <w:rPr>
                <w:color w:val="000000" w:themeColor="text1"/>
              </w:rPr>
              <w:t>10</w:t>
            </w:r>
            <w:r w:rsidRPr="00687B52">
              <w:rPr>
                <w:rFonts w:hint="eastAsia"/>
                <w:color w:val="000000" w:themeColor="text1"/>
              </w:rPr>
              <w:t>）</w:t>
            </w:r>
            <w:r w:rsidRPr="00687B52">
              <w:rPr>
                <w:color w:val="000000" w:themeColor="text1"/>
              </w:rPr>
              <w:t>具有开采价值的矿藏区；</w:t>
            </w:r>
          </w:p>
          <w:p w:rsidR="003E1D2A" w:rsidRPr="00687B52" w:rsidRDefault="003E1D2A" w:rsidP="003E1D2A">
            <w:pPr>
              <w:pStyle w:val="a7"/>
              <w:adjustRightInd/>
              <w:snapToGrid/>
              <w:jc w:val="left"/>
              <w:rPr>
                <w:color w:val="000000" w:themeColor="text1"/>
              </w:rPr>
            </w:pPr>
            <w:r w:rsidRPr="00687B52">
              <w:rPr>
                <w:rFonts w:hint="eastAsia"/>
                <w:color w:val="000000" w:themeColor="text1"/>
              </w:rPr>
              <w:t>11</w:t>
            </w:r>
            <w:r w:rsidRPr="00687B52">
              <w:rPr>
                <w:rFonts w:hint="eastAsia"/>
                <w:color w:val="000000" w:themeColor="text1"/>
              </w:rPr>
              <w:t>）受海啸或湖涌危害的地区。</w:t>
            </w:r>
          </w:p>
        </w:tc>
        <w:tc>
          <w:tcPr>
            <w:tcW w:w="837" w:type="pct"/>
            <w:vAlign w:val="center"/>
          </w:tcPr>
          <w:p w:rsidR="003E1D2A" w:rsidRPr="00687B52" w:rsidRDefault="003E1D2A" w:rsidP="003E1D2A">
            <w:pPr>
              <w:pStyle w:val="a7"/>
              <w:adjustRightInd/>
              <w:snapToGrid/>
              <w:rPr>
                <w:color w:val="000000" w:themeColor="text1"/>
              </w:rPr>
            </w:pPr>
            <w:r w:rsidRPr="00687B52">
              <w:rPr>
                <w:rFonts w:hint="eastAsia"/>
                <w:color w:val="000000" w:themeColor="text1"/>
              </w:rPr>
              <w:t>《工业企业总平面设计规范》</w:t>
            </w:r>
            <w:r w:rsidRPr="00687B52">
              <w:rPr>
                <w:rFonts w:hint="eastAsia"/>
                <w:color w:val="000000" w:themeColor="text1"/>
              </w:rPr>
              <w:t>GB50187-2012</w:t>
            </w:r>
          </w:p>
          <w:p w:rsidR="003E1D2A" w:rsidRPr="00687B52" w:rsidRDefault="003E1D2A" w:rsidP="003E1D2A">
            <w:pPr>
              <w:pStyle w:val="a7"/>
              <w:adjustRightInd/>
              <w:snapToGrid/>
              <w:rPr>
                <w:color w:val="000000" w:themeColor="text1"/>
              </w:rPr>
            </w:pPr>
            <w:r w:rsidRPr="00687B52">
              <w:rPr>
                <w:rFonts w:hint="eastAsia"/>
                <w:color w:val="000000" w:themeColor="text1"/>
              </w:rPr>
              <w:t>第</w:t>
            </w:r>
            <w:r w:rsidRPr="00687B52">
              <w:rPr>
                <w:rFonts w:hint="eastAsia"/>
                <w:color w:val="000000" w:themeColor="text1"/>
              </w:rPr>
              <w:t>3.0.14</w:t>
            </w:r>
            <w:r w:rsidRPr="00687B52">
              <w:rPr>
                <w:rFonts w:hint="eastAsia"/>
                <w:color w:val="000000" w:themeColor="text1"/>
              </w:rPr>
              <w:t>条</w:t>
            </w:r>
          </w:p>
        </w:tc>
        <w:tc>
          <w:tcPr>
            <w:tcW w:w="1438" w:type="pct"/>
            <w:vAlign w:val="center"/>
          </w:tcPr>
          <w:p w:rsidR="003E1D2A" w:rsidRPr="00687B52" w:rsidRDefault="003E1D2A" w:rsidP="003E1D2A">
            <w:pPr>
              <w:pStyle w:val="a7"/>
              <w:adjustRightInd/>
              <w:snapToGrid/>
              <w:jc w:val="both"/>
              <w:rPr>
                <w:rFonts w:asciiTheme="minorEastAsia" w:eastAsiaTheme="minorEastAsia" w:hAnsiTheme="minorEastAsia"/>
                <w:color w:val="000000" w:themeColor="text1"/>
                <w:szCs w:val="24"/>
              </w:rPr>
            </w:pPr>
          </w:p>
        </w:tc>
      </w:tr>
      <w:tr w:rsidR="003E1D2A" w:rsidRPr="00687B52" w:rsidTr="00563F92">
        <w:trPr>
          <w:trHeight w:val="825"/>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构成重大危险源的</w:t>
            </w:r>
            <w:r w:rsidRPr="00687B52">
              <w:rPr>
                <w:rFonts w:asciiTheme="minorEastAsia" w:eastAsiaTheme="minorEastAsia" w:hAnsiTheme="minorEastAsia" w:hint="eastAsia"/>
                <w:color w:val="000000" w:themeColor="text1"/>
                <w:szCs w:val="24"/>
              </w:rPr>
              <w:t>场所是否按《危险化学品重大危险源监督管理暂行规定》（安监总局令第40号令发布，第79号修订)）确定外部安全防护距离，并计算风险；下列敏感目标是否在安全防护距离之外，个人风险和社会风险是否可接受：</w:t>
            </w:r>
          </w:p>
          <w:p w:rsidR="003E1D2A" w:rsidRPr="00687B52" w:rsidRDefault="003E1D2A" w:rsidP="00D9787F">
            <w:pPr>
              <w:pStyle w:val="a7"/>
              <w:numPr>
                <w:ilvl w:val="0"/>
                <w:numId w:val="70"/>
              </w:numPr>
              <w:adjustRightInd/>
              <w:snapToGrid/>
              <w:ind w:left="0" w:firstLine="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居民区、商业中心、公园等人口密集区域；</w:t>
            </w:r>
          </w:p>
          <w:p w:rsidR="003E1D2A" w:rsidRPr="00687B52" w:rsidRDefault="003E1D2A" w:rsidP="00D9787F">
            <w:pPr>
              <w:pStyle w:val="a7"/>
              <w:numPr>
                <w:ilvl w:val="0"/>
                <w:numId w:val="70"/>
              </w:numPr>
              <w:adjustRightInd/>
              <w:snapToGrid/>
              <w:ind w:left="0" w:firstLine="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学校、医院、影剧院、体育场（馆）等公共设施；</w:t>
            </w:r>
          </w:p>
          <w:p w:rsidR="003E1D2A" w:rsidRPr="00687B52" w:rsidRDefault="003E1D2A" w:rsidP="00D9787F">
            <w:pPr>
              <w:pStyle w:val="a7"/>
              <w:numPr>
                <w:ilvl w:val="0"/>
                <w:numId w:val="70"/>
              </w:numPr>
              <w:adjustRightInd/>
              <w:snapToGrid/>
              <w:ind w:left="0" w:firstLine="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供水水源、水厂及水源保护区；</w:t>
            </w:r>
          </w:p>
          <w:p w:rsidR="003E1D2A" w:rsidRPr="00687B52" w:rsidRDefault="003E1D2A" w:rsidP="00D9787F">
            <w:pPr>
              <w:pStyle w:val="a7"/>
              <w:numPr>
                <w:ilvl w:val="0"/>
                <w:numId w:val="70"/>
              </w:numPr>
              <w:adjustRightInd/>
              <w:snapToGrid/>
              <w:ind w:left="0" w:firstLine="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车站、码头（按照国家规定，经批准专门从事危险化学品装卸作业的除外）、机场以及公路、铁路、水路交通干线、地铁风亭及出入口；</w:t>
            </w:r>
          </w:p>
          <w:p w:rsidR="003E1D2A" w:rsidRPr="00687B52" w:rsidRDefault="003E1D2A" w:rsidP="00D9787F">
            <w:pPr>
              <w:pStyle w:val="a7"/>
              <w:numPr>
                <w:ilvl w:val="0"/>
                <w:numId w:val="70"/>
              </w:numPr>
              <w:adjustRightInd/>
              <w:snapToGrid/>
              <w:ind w:left="0" w:firstLine="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基本农田保护区、畜牧区、渔业水域和种子、种畜、水产苗种生产基；</w:t>
            </w:r>
          </w:p>
          <w:p w:rsidR="003E1D2A" w:rsidRPr="00687B52" w:rsidRDefault="003E1D2A" w:rsidP="00D9787F">
            <w:pPr>
              <w:pStyle w:val="a7"/>
              <w:numPr>
                <w:ilvl w:val="0"/>
                <w:numId w:val="70"/>
              </w:numPr>
              <w:adjustRightInd/>
              <w:snapToGrid/>
              <w:ind w:left="0" w:firstLine="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河流、湖泊、风景名胜区和自然保护区；</w:t>
            </w:r>
          </w:p>
          <w:p w:rsidR="003E1D2A" w:rsidRPr="00687B52" w:rsidRDefault="003E1D2A" w:rsidP="00D9787F">
            <w:pPr>
              <w:pStyle w:val="a7"/>
              <w:numPr>
                <w:ilvl w:val="0"/>
                <w:numId w:val="70"/>
              </w:numPr>
              <w:adjustRightInd/>
              <w:snapToGrid/>
              <w:ind w:left="0" w:firstLine="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军事禁区、军事管理区；</w:t>
            </w:r>
          </w:p>
          <w:p w:rsidR="003E1D2A" w:rsidRPr="00687B52" w:rsidRDefault="003E1D2A" w:rsidP="00D9787F">
            <w:pPr>
              <w:pStyle w:val="a7"/>
              <w:numPr>
                <w:ilvl w:val="0"/>
                <w:numId w:val="70"/>
              </w:numPr>
              <w:adjustRightInd/>
              <w:snapToGrid/>
              <w:ind w:left="0" w:firstLine="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法律、行政法规规定予以保护的其他区域。</w:t>
            </w:r>
          </w:p>
        </w:tc>
        <w:tc>
          <w:tcPr>
            <w:tcW w:w="837" w:type="pct"/>
            <w:vAlign w:val="center"/>
          </w:tcPr>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《危险化学品安全管理条例》</w:t>
            </w:r>
          </w:p>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第十九条</w:t>
            </w:r>
          </w:p>
        </w:tc>
        <w:tc>
          <w:tcPr>
            <w:tcW w:w="1438" w:type="pct"/>
            <w:vAlign w:val="center"/>
          </w:tcPr>
          <w:p w:rsidR="003E1D2A" w:rsidRPr="00687B52" w:rsidRDefault="003E1D2A" w:rsidP="003E1D2A">
            <w:pPr>
              <w:pStyle w:val="a7"/>
              <w:adjustRightInd/>
              <w:snapToGrid/>
              <w:jc w:val="both"/>
              <w:rPr>
                <w:rFonts w:asciiTheme="minorEastAsia" w:eastAsiaTheme="minorEastAsia" w:hAnsiTheme="minorEastAsia"/>
                <w:color w:val="000000" w:themeColor="text1"/>
                <w:szCs w:val="24"/>
              </w:rPr>
            </w:pPr>
          </w:p>
        </w:tc>
      </w:tr>
      <w:tr w:rsidR="003E1D2A" w:rsidRPr="00687B52" w:rsidTr="00563F92">
        <w:trPr>
          <w:trHeight w:val="825"/>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危险化学品生产、储存装置与下列场所防火安全间距应符合规范要求：</w:t>
            </w:r>
          </w:p>
          <w:p w:rsidR="003E1D2A" w:rsidRPr="00687B52" w:rsidRDefault="003E1D2A" w:rsidP="00D9787F">
            <w:pPr>
              <w:pStyle w:val="a7"/>
              <w:numPr>
                <w:ilvl w:val="0"/>
                <w:numId w:val="86"/>
              </w:numPr>
              <w:adjustRightInd/>
              <w:snapToGrid/>
              <w:ind w:left="0" w:firstLine="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民用建筑，如办公楼、厂外民居等；</w:t>
            </w:r>
          </w:p>
          <w:p w:rsidR="003E1D2A" w:rsidRPr="00687B52" w:rsidRDefault="003E1D2A" w:rsidP="00D9787F">
            <w:pPr>
              <w:pStyle w:val="a7"/>
              <w:numPr>
                <w:ilvl w:val="0"/>
                <w:numId w:val="86"/>
              </w:numPr>
              <w:adjustRightInd/>
              <w:snapToGrid/>
              <w:ind w:left="0" w:firstLine="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架空电力线；</w:t>
            </w:r>
          </w:p>
          <w:p w:rsidR="003E1D2A" w:rsidRPr="00687B52" w:rsidRDefault="003E1D2A" w:rsidP="00D9787F">
            <w:pPr>
              <w:pStyle w:val="a7"/>
              <w:numPr>
                <w:ilvl w:val="0"/>
                <w:numId w:val="86"/>
              </w:numPr>
              <w:adjustRightInd/>
              <w:snapToGrid/>
              <w:ind w:left="0" w:firstLine="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明火设施及火花散发地点；</w:t>
            </w:r>
          </w:p>
          <w:p w:rsidR="003E1D2A" w:rsidRPr="00687B52" w:rsidRDefault="003E1D2A" w:rsidP="00D9787F">
            <w:pPr>
              <w:pStyle w:val="a7"/>
              <w:numPr>
                <w:ilvl w:val="0"/>
                <w:numId w:val="86"/>
              </w:numPr>
              <w:adjustRightInd/>
              <w:snapToGrid/>
              <w:ind w:left="0" w:firstLine="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其他重要设施及场所。</w:t>
            </w:r>
          </w:p>
        </w:tc>
        <w:tc>
          <w:tcPr>
            <w:tcW w:w="837" w:type="pct"/>
            <w:vAlign w:val="center"/>
          </w:tcPr>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第3.4.1、3.5.1、3.5.2、4.2.7、4.2.9、10.2.1条</w:t>
            </w:r>
          </w:p>
        </w:tc>
        <w:tc>
          <w:tcPr>
            <w:tcW w:w="1438" w:type="pct"/>
            <w:vAlign w:val="center"/>
          </w:tcPr>
          <w:p w:rsidR="003E1D2A" w:rsidRPr="00687B52" w:rsidRDefault="003E1D2A" w:rsidP="003E1D2A">
            <w:pPr>
              <w:spacing w:line="320" w:lineRule="exact"/>
              <w:rPr>
                <w:rFonts w:asciiTheme="minorEastAsia" w:hAnsiTheme="minorEastAsia"/>
                <w:color w:val="000000" w:themeColor="text1"/>
                <w:sz w:val="24"/>
                <w:szCs w:val="24"/>
              </w:rPr>
            </w:pPr>
          </w:p>
        </w:tc>
      </w:tr>
      <w:tr w:rsidR="003E1D2A" w:rsidRPr="00687B52" w:rsidTr="00563F92">
        <w:trPr>
          <w:trHeight w:val="825"/>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厂区总平面布置应</w:t>
            </w:r>
            <w:r w:rsidRPr="00687B52">
              <w:rPr>
                <w:rFonts w:asciiTheme="minorEastAsia" w:eastAsiaTheme="minorEastAsia" w:hAnsiTheme="minorEastAsia" w:hint="eastAsia"/>
                <w:color w:val="000000" w:themeColor="text1"/>
                <w:szCs w:val="24"/>
              </w:rPr>
              <w:t>按</w:t>
            </w:r>
            <w:r w:rsidRPr="00687B52">
              <w:rPr>
                <w:rFonts w:asciiTheme="minorEastAsia" w:eastAsiaTheme="minorEastAsia" w:hAnsiTheme="minorEastAsia"/>
                <w:color w:val="000000" w:themeColor="text1"/>
                <w:szCs w:val="24"/>
              </w:rPr>
              <w:t>功能分区布置，可分为生产装置区、辅助生产区</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公用工程设施区</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仓储区和行政办公及生活服务区</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辅助生产区河公用工程设施区也可布置在生产装置区内。</w:t>
            </w:r>
          </w:p>
        </w:tc>
        <w:tc>
          <w:tcPr>
            <w:tcW w:w="837" w:type="pct"/>
            <w:vAlign w:val="center"/>
          </w:tcPr>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hAnsiTheme="minorEastAsia"/>
                <w:color w:val="000000" w:themeColor="text1"/>
                <w:szCs w:val="24"/>
              </w:rPr>
              <w:t>《</w:t>
            </w:r>
            <w:r w:rsidRPr="00687B52">
              <w:rPr>
                <w:rFonts w:asciiTheme="minorEastAsia" w:hAnsiTheme="minorEastAsia" w:hint="eastAsia"/>
                <w:color w:val="000000" w:themeColor="text1"/>
                <w:szCs w:val="24"/>
              </w:rPr>
              <w:t>化工企业总图运输设计规范</w:t>
            </w:r>
            <w:r w:rsidRPr="00687B52">
              <w:rPr>
                <w:rFonts w:asciiTheme="minorEastAsia" w:hAnsiTheme="minorEastAsia"/>
                <w:color w:val="000000" w:themeColor="text1"/>
                <w:szCs w:val="24"/>
              </w:rPr>
              <w:t>》</w:t>
            </w:r>
            <w:r w:rsidRPr="00687B52">
              <w:rPr>
                <w:rFonts w:asciiTheme="minorEastAsia" w:eastAsiaTheme="minorEastAsia" w:hAnsiTheme="minorEastAsia"/>
                <w:color w:val="000000" w:themeColor="text1"/>
                <w:szCs w:val="24"/>
              </w:rPr>
              <w:t>GB50489-2009</w:t>
            </w:r>
          </w:p>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第5.1.4条</w:t>
            </w:r>
          </w:p>
        </w:tc>
        <w:tc>
          <w:tcPr>
            <w:tcW w:w="1438" w:type="pct"/>
            <w:vAlign w:val="center"/>
          </w:tcPr>
          <w:p w:rsidR="003E1D2A" w:rsidRPr="00687B52" w:rsidRDefault="003E1D2A" w:rsidP="003E1D2A">
            <w:pPr>
              <w:pStyle w:val="a7"/>
              <w:adjustRightInd/>
              <w:snapToGrid/>
              <w:jc w:val="both"/>
              <w:rPr>
                <w:rFonts w:asciiTheme="minorEastAsia" w:eastAsiaTheme="minorEastAsia" w:hAnsiTheme="minorEastAsia"/>
                <w:color w:val="000000" w:themeColor="text1"/>
                <w:szCs w:val="24"/>
              </w:rPr>
            </w:pPr>
          </w:p>
        </w:tc>
      </w:tr>
      <w:tr w:rsidR="003E1D2A" w:rsidRPr="00687B52" w:rsidTr="00563F92">
        <w:trPr>
          <w:trHeight w:val="825"/>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危险化学品生产、储存装置与下列场所防火安全间距应符合规范要求：</w:t>
            </w:r>
          </w:p>
          <w:p w:rsidR="003E1D2A" w:rsidRPr="00687B52" w:rsidRDefault="003E1D2A" w:rsidP="00D9787F">
            <w:pPr>
              <w:pStyle w:val="a7"/>
              <w:numPr>
                <w:ilvl w:val="0"/>
                <w:numId w:val="86"/>
              </w:numPr>
              <w:adjustRightInd/>
              <w:snapToGrid/>
              <w:ind w:left="0" w:firstLine="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控制室；</w:t>
            </w:r>
          </w:p>
          <w:p w:rsidR="003E1D2A" w:rsidRPr="00687B52" w:rsidRDefault="003E1D2A" w:rsidP="00D9787F">
            <w:pPr>
              <w:pStyle w:val="a7"/>
              <w:numPr>
                <w:ilvl w:val="0"/>
                <w:numId w:val="86"/>
              </w:numPr>
              <w:adjustRightInd/>
              <w:snapToGrid/>
              <w:ind w:left="0" w:firstLine="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变配电室；</w:t>
            </w:r>
          </w:p>
          <w:p w:rsidR="003E1D2A" w:rsidRPr="00687B52" w:rsidRDefault="003E1D2A" w:rsidP="00D9787F">
            <w:pPr>
              <w:pStyle w:val="a7"/>
              <w:numPr>
                <w:ilvl w:val="0"/>
                <w:numId w:val="86"/>
              </w:numPr>
              <w:adjustRightInd/>
              <w:snapToGrid/>
              <w:ind w:left="0" w:firstLine="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民用建筑，如办公楼等；（厂内）</w:t>
            </w:r>
          </w:p>
          <w:p w:rsidR="003E1D2A" w:rsidRPr="00687B52" w:rsidRDefault="003E1D2A" w:rsidP="00D9787F">
            <w:pPr>
              <w:pStyle w:val="a7"/>
              <w:numPr>
                <w:ilvl w:val="0"/>
                <w:numId w:val="86"/>
              </w:numPr>
              <w:adjustRightInd/>
              <w:snapToGrid/>
              <w:ind w:left="0" w:firstLine="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厂房；</w:t>
            </w:r>
          </w:p>
          <w:p w:rsidR="003E1D2A" w:rsidRPr="00687B52" w:rsidRDefault="003E1D2A" w:rsidP="00D9787F">
            <w:pPr>
              <w:pStyle w:val="a7"/>
              <w:numPr>
                <w:ilvl w:val="0"/>
                <w:numId w:val="86"/>
              </w:numPr>
              <w:adjustRightInd/>
              <w:snapToGrid/>
              <w:ind w:left="0" w:firstLine="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仓库；</w:t>
            </w:r>
          </w:p>
          <w:p w:rsidR="003E1D2A" w:rsidRPr="00687B52" w:rsidRDefault="003E1D2A" w:rsidP="00D9787F">
            <w:pPr>
              <w:pStyle w:val="a7"/>
              <w:numPr>
                <w:ilvl w:val="0"/>
                <w:numId w:val="86"/>
              </w:numPr>
              <w:adjustRightInd/>
              <w:snapToGrid/>
              <w:ind w:left="0" w:firstLine="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甲、乙、丙类液体罐区；</w:t>
            </w:r>
          </w:p>
          <w:p w:rsidR="003E1D2A" w:rsidRPr="00687B52" w:rsidRDefault="003E1D2A" w:rsidP="00D9787F">
            <w:pPr>
              <w:pStyle w:val="a7"/>
              <w:numPr>
                <w:ilvl w:val="0"/>
                <w:numId w:val="86"/>
              </w:numPr>
              <w:adjustRightInd/>
              <w:snapToGrid/>
              <w:ind w:left="0" w:firstLine="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厂区围墙；</w:t>
            </w:r>
          </w:p>
          <w:p w:rsidR="003E1D2A" w:rsidRPr="00687B52" w:rsidRDefault="003E1D2A" w:rsidP="00D9787F">
            <w:pPr>
              <w:pStyle w:val="a7"/>
              <w:numPr>
                <w:ilvl w:val="0"/>
                <w:numId w:val="86"/>
              </w:numPr>
              <w:adjustRightInd/>
              <w:snapToGrid/>
              <w:ind w:left="0" w:firstLine="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明火设施及火花散发地点；</w:t>
            </w:r>
          </w:p>
          <w:p w:rsidR="003E1D2A" w:rsidRPr="00687B52" w:rsidRDefault="003E1D2A" w:rsidP="00D9787F">
            <w:pPr>
              <w:pStyle w:val="a7"/>
              <w:numPr>
                <w:ilvl w:val="0"/>
                <w:numId w:val="86"/>
              </w:numPr>
              <w:adjustRightInd/>
              <w:snapToGrid/>
              <w:ind w:left="0" w:firstLine="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其他重要设施及场所。</w:t>
            </w:r>
          </w:p>
        </w:tc>
        <w:tc>
          <w:tcPr>
            <w:tcW w:w="837" w:type="pct"/>
            <w:vAlign w:val="center"/>
          </w:tcPr>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第3.4.1、3.5.1、3.5.2、4.2.7、4.2.9、10.2.1条</w:t>
            </w:r>
          </w:p>
        </w:tc>
        <w:tc>
          <w:tcPr>
            <w:tcW w:w="1438" w:type="pct"/>
            <w:vAlign w:val="center"/>
          </w:tcPr>
          <w:p w:rsidR="003E1D2A" w:rsidRPr="00687B52" w:rsidRDefault="003E1D2A" w:rsidP="003E1D2A">
            <w:pPr>
              <w:spacing w:line="320" w:lineRule="exact"/>
              <w:rPr>
                <w:rFonts w:asciiTheme="minorEastAsia" w:hAnsiTheme="minorEastAsia"/>
                <w:color w:val="000000" w:themeColor="text1"/>
                <w:sz w:val="24"/>
                <w:szCs w:val="24"/>
              </w:rPr>
            </w:pPr>
          </w:p>
        </w:tc>
      </w:tr>
      <w:tr w:rsidR="003E1D2A" w:rsidRPr="00687B52" w:rsidTr="00563F92">
        <w:trPr>
          <w:trHeight w:val="825"/>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压缩空气站的布置除应符合现行国家标准《压缩空气站设计规范》</w:t>
            </w:r>
            <w:r w:rsidRPr="00687B52">
              <w:rPr>
                <w:rFonts w:asciiTheme="minorEastAsia" w:hAnsiTheme="minorEastAsia" w:cs="Arial"/>
                <w:color w:val="000000" w:themeColor="text1"/>
                <w:sz w:val="24"/>
                <w:szCs w:val="24"/>
              </w:rPr>
              <w:t>GB50029</w:t>
            </w:r>
            <w:r w:rsidRPr="00687B52">
              <w:rPr>
                <w:rFonts w:asciiTheme="minorEastAsia" w:hAnsiTheme="minorEastAsia" w:cs="Arial" w:hint="eastAsia"/>
                <w:color w:val="000000" w:themeColor="text1"/>
                <w:sz w:val="24"/>
                <w:szCs w:val="24"/>
              </w:rPr>
              <w:t>的有关规定外，尚应符合下列规定：</w:t>
            </w:r>
          </w:p>
          <w:p w:rsidR="003E1D2A" w:rsidRPr="00687B52" w:rsidRDefault="003E1D2A"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①宜布置在空气洁净的地段，并应避免靠近散发爆炸性、腐蚀性和有害汽提及粉尘等场所的全年最小频率风向的下风侧。</w:t>
            </w:r>
          </w:p>
          <w:p w:rsidR="003E1D2A" w:rsidRPr="00687B52" w:rsidRDefault="003E1D2A"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 xml:space="preserve">②压缩空气站的朝向应结合地形、气象条件，是站内有良好的通风和采光。贮气罐宜布置在站房的北侧。  </w:t>
            </w:r>
          </w:p>
          <w:p w:rsidR="003E1D2A" w:rsidRPr="00687B52" w:rsidRDefault="003E1D2A"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③宜靠近负荷中心。</w:t>
            </w:r>
          </w:p>
        </w:tc>
        <w:tc>
          <w:tcPr>
            <w:tcW w:w="837" w:type="pct"/>
            <w:vAlign w:val="center"/>
          </w:tcPr>
          <w:p w:rsidR="003E1D2A" w:rsidRPr="00687B52" w:rsidRDefault="003E1D2A"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《化工企业总图运输设计规范》</w:t>
            </w:r>
            <w:r w:rsidRPr="00687B52">
              <w:rPr>
                <w:rFonts w:asciiTheme="minorEastAsia" w:hAnsiTheme="minorEastAsia" w:cs="Arial"/>
                <w:color w:val="000000" w:themeColor="text1"/>
                <w:sz w:val="24"/>
                <w:szCs w:val="24"/>
              </w:rPr>
              <w:t>GB50489-2009</w:t>
            </w:r>
          </w:p>
          <w:p w:rsidR="003E1D2A" w:rsidRPr="00687B52" w:rsidRDefault="003E1D2A"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第</w:t>
            </w:r>
            <w:r w:rsidRPr="00687B52">
              <w:rPr>
                <w:rFonts w:asciiTheme="minorEastAsia" w:hAnsiTheme="minorEastAsia" w:cs="Arial"/>
                <w:color w:val="000000" w:themeColor="text1"/>
                <w:sz w:val="24"/>
                <w:szCs w:val="24"/>
              </w:rPr>
              <w:t>5.3.7</w:t>
            </w:r>
            <w:r w:rsidRPr="00687B52">
              <w:rPr>
                <w:rFonts w:asciiTheme="minorEastAsia" w:hAnsiTheme="minorEastAsia" w:cs="Arial" w:hint="eastAsia"/>
                <w:color w:val="000000" w:themeColor="text1"/>
                <w:sz w:val="24"/>
                <w:szCs w:val="24"/>
              </w:rPr>
              <w:t>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trHeight w:val="825"/>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甲、乙类厂房的耐火等级不应低于二级。</w:t>
            </w:r>
          </w:p>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甲类厂房宜采用单层建筑，单层甲类厂房每个防火分区的最大允许建筑面积分别为4000㎡（一级耐火）、3000㎡（二级耐火），多层几类厂房每个防火分区的最大允许建筑面积分别为3000㎡（一级耐火）、2000㎡（二级耐火）。</w:t>
            </w:r>
          </w:p>
        </w:tc>
        <w:tc>
          <w:tcPr>
            <w:tcW w:w="837" w:type="pct"/>
            <w:vAlign w:val="center"/>
          </w:tcPr>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eastAsiaTheme="minorEastAsia" w:hAnsi="Times New Roman" w:cs="Times New Roman"/>
                <w:color w:val="000000" w:themeColor="text1"/>
                <w:szCs w:val="24"/>
              </w:rPr>
              <w:t>3.2.2</w:t>
            </w:r>
            <w:r w:rsidRPr="00687B52">
              <w:rPr>
                <w:rFonts w:eastAsiaTheme="minorEastAsia" w:hAnsiTheme="minorEastAsia" w:cs="Times New Roman"/>
                <w:color w:val="000000" w:themeColor="text1"/>
                <w:szCs w:val="24"/>
              </w:rPr>
              <w:t>、</w:t>
            </w:r>
            <w:r w:rsidRPr="00687B52">
              <w:rPr>
                <w:rFonts w:eastAsiaTheme="minorEastAsia" w:hAnsi="Times New Roman" w:cs="Times New Roman"/>
                <w:color w:val="000000" w:themeColor="text1"/>
                <w:szCs w:val="24"/>
              </w:rPr>
              <w:t>3.3.1</w:t>
            </w:r>
            <w:r w:rsidRPr="00687B52">
              <w:rPr>
                <w:rFonts w:asciiTheme="minorEastAsia" w:eastAsiaTheme="minorEastAsia" w:hAnsiTheme="minorEastAsia"/>
                <w:color w:val="000000" w:themeColor="text1"/>
                <w:szCs w:val="24"/>
              </w:rPr>
              <w:t>条</w:t>
            </w:r>
          </w:p>
        </w:tc>
        <w:tc>
          <w:tcPr>
            <w:tcW w:w="1438" w:type="pct"/>
            <w:vAlign w:val="center"/>
          </w:tcPr>
          <w:p w:rsidR="003E1D2A" w:rsidRPr="00687B52" w:rsidRDefault="003E1D2A" w:rsidP="003E1D2A">
            <w:pPr>
              <w:pStyle w:val="a7"/>
              <w:adjustRightInd/>
              <w:snapToGrid/>
              <w:jc w:val="both"/>
              <w:rPr>
                <w:rFonts w:asciiTheme="minorEastAsia" w:eastAsiaTheme="minorEastAsia" w:hAnsiTheme="minorEastAsia"/>
                <w:color w:val="000000" w:themeColor="text1"/>
                <w:szCs w:val="24"/>
              </w:rPr>
            </w:pPr>
          </w:p>
        </w:tc>
      </w:tr>
      <w:tr w:rsidR="003E1D2A" w:rsidRPr="00687B52" w:rsidTr="00563F92">
        <w:trPr>
          <w:trHeight w:val="825"/>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员工宿舍严禁设置在厂房内</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员工宿舍严禁设置在仓库内</w:t>
            </w:r>
            <w:r w:rsidRPr="00687B52">
              <w:rPr>
                <w:rFonts w:asciiTheme="minorEastAsia" w:eastAsiaTheme="minorEastAsia" w:hAnsiTheme="minorEastAsia" w:hint="eastAsia"/>
                <w:color w:val="000000" w:themeColor="text1"/>
                <w:szCs w:val="24"/>
              </w:rPr>
              <w:t>。</w:t>
            </w:r>
          </w:p>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办公室、休息室等严禁设置在甲、乙类仓库内，也不应贴邻。</w:t>
            </w:r>
          </w:p>
        </w:tc>
        <w:tc>
          <w:tcPr>
            <w:tcW w:w="837" w:type="pct"/>
            <w:vAlign w:val="center"/>
          </w:tcPr>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eastAsiaTheme="minorEastAsia" w:hAnsi="Times New Roman" w:cs="Times New Roman" w:hint="eastAsia"/>
                <w:color w:val="000000" w:themeColor="text1"/>
                <w:szCs w:val="24"/>
              </w:rPr>
              <w:t>3.3.5</w:t>
            </w:r>
            <w:r w:rsidRPr="00687B52">
              <w:rPr>
                <w:rFonts w:eastAsiaTheme="minorEastAsia" w:hAnsi="Times New Roman" w:cs="Times New Roman" w:hint="eastAsia"/>
                <w:color w:val="000000" w:themeColor="text1"/>
                <w:szCs w:val="24"/>
              </w:rPr>
              <w:t>、</w:t>
            </w:r>
            <w:r w:rsidRPr="00687B52">
              <w:rPr>
                <w:rFonts w:eastAsiaTheme="minorEastAsia" w:hAnsi="Times New Roman" w:cs="Times New Roman" w:hint="eastAsia"/>
                <w:color w:val="000000" w:themeColor="text1"/>
                <w:szCs w:val="24"/>
              </w:rPr>
              <w:t>3.3.9</w:t>
            </w:r>
            <w:r w:rsidRPr="00687B52">
              <w:rPr>
                <w:rFonts w:asciiTheme="minorEastAsia" w:eastAsiaTheme="minorEastAsia" w:hAnsiTheme="minorEastAsia"/>
                <w:color w:val="000000" w:themeColor="text1"/>
                <w:szCs w:val="24"/>
              </w:rPr>
              <w:t>条</w:t>
            </w:r>
          </w:p>
        </w:tc>
        <w:tc>
          <w:tcPr>
            <w:tcW w:w="1438" w:type="pct"/>
            <w:vAlign w:val="center"/>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trHeight w:val="825"/>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厂房内设置中间仓库时</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应符合下列规定</w:t>
            </w:r>
            <w:r w:rsidRPr="00687B52">
              <w:rPr>
                <w:rFonts w:asciiTheme="minorEastAsia" w:eastAsiaTheme="minorEastAsia" w:hAnsiTheme="minorEastAsia" w:hint="eastAsia"/>
                <w:color w:val="000000" w:themeColor="text1"/>
                <w:szCs w:val="24"/>
              </w:rPr>
              <w:t>：1.</w:t>
            </w:r>
            <w:r w:rsidRPr="00687B52">
              <w:rPr>
                <w:rFonts w:asciiTheme="minorEastAsia" w:eastAsiaTheme="minorEastAsia" w:hAnsiTheme="minorEastAsia"/>
                <w:color w:val="000000" w:themeColor="text1"/>
                <w:szCs w:val="24"/>
              </w:rPr>
              <w:t>甲</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乙类中间仓库应靠外墙布置</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其储量不宜超过</w:t>
            </w:r>
            <w:r w:rsidRPr="00687B52">
              <w:rPr>
                <w:rFonts w:asciiTheme="minorEastAsia" w:eastAsiaTheme="minorEastAsia" w:hAnsiTheme="minorEastAsia" w:hint="eastAsia"/>
                <w:color w:val="000000" w:themeColor="text1"/>
                <w:szCs w:val="24"/>
              </w:rPr>
              <w:t>1昼夜的需要量；2.甲乙丙类中间仓库防火墙和耐火极限不低于1.5h的不燃性楼板与其他部位分隔。</w:t>
            </w:r>
          </w:p>
        </w:tc>
        <w:tc>
          <w:tcPr>
            <w:tcW w:w="837" w:type="pct"/>
            <w:vAlign w:val="center"/>
          </w:tcPr>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w:t>
            </w:r>
          </w:p>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GB50016- 2014</w:t>
            </w:r>
          </w:p>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3.3.6</w:t>
            </w:r>
            <w:r w:rsidRPr="00687B52">
              <w:rPr>
                <w:rFonts w:asciiTheme="minorEastAsia" w:eastAsiaTheme="minorEastAsia" w:hAnsiTheme="minorEastAsia"/>
                <w:color w:val="000000" w:themeColor="text1"/>
                <w:szCs w:val="24"/>
              </w:rPr>
              <w:t>条</w:t>
            </w:r>
          </w:p>
        </w:tc>
        <w:tc>
          <w:tcPr>
            <w:tcW w:w="1438" w:type="pct"/>
            <w:vAlign w:val="center"/>
          </w:tcPr>
          <w:p w:rsidR="003E1D2A" w:rsidRPr="00687B52" w:rsidRDefault="003E1D2A" w:rsidP="003E1D2A">
            <w:pPr>
              <w:pStyle w:val="a7"/>
              <w:adjustRightInd/>
              <w:snapToGrid/>
              <w:jc w:val="both"/>
              <w:rPr>
                <w:rFonts w:asciiTheme="minorEastAsia" w:eastAsiaTheme="minorEastAsia" w:hAnsiTheme="minorEastAsia"/>
                <w:color w:val="000000" w:themeColor="text1"/>
                <w:szCs w:val="24"/>
              </w:rPr>
            </w:pPr>
          </w:p>
        </w:tc>
      </w:tr>
      <w:tr w:rsidR="003E1D2A" w:rsidRPr="00687B52" w:rsidTr="00563F92">
        <w:trPr>
          <w:trHeight w:val="825"/>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甲</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乙</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丙类生产场所</w:t>
            </w:r>
            <w:r w:rsidRPr="00687B52">
              <w:rPr>
                <w:rFonts w:asciiTheme="minorEastAsia" w:eastAsiaTheme="minorEastAsia" w:hAnsiTheme="minorEastAsia" w:hint="eastAsia"/>
                <w:color w:val="000000" w:themeColor="text1"/>
                <w:szCs w:val="24"/>
              </w:rPr>
              <w:t>（仓库）不应设置在地下或半地下。</w:t>
            </w:r>
          </w:p>
        </w:tc>
        <w:tc>
          <w:tcPr>
            <w:tcW w:w="837" w:type="pct"/>
            <w:vAlign w:val="center"/>
          </w:tcPr>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3.3.4</w:t>
            </w:r>
            <w:r w:rsidRPr="00687B52">
              <w:rPr>
                <w:rFonts w:asciiTheme="minorEastAsia" w:eastAsiaTheme="minorEastAsia" w:hAnsiTheme="minorEastAsia"/>
                <w:color w:val="000000" w:themeColor="text1"/>
                <w:szCs w:val="24"/>
              </w:rPr>
              <w:t>条</w:t>
            </w:r>
          </w:p>
        </w:tc>
        <w:tc>
          <w:tcPr>
            <w:tcW w:w="1438" w:type="pct"/>
            <w:vAlign w:val="center"/>
          </w:tcPr>
          <w:p w:rsidR="003E1D2A" w:rsidRPr="00687B52" w:rsidRDefault="003E1D2A" w:rsidP="003E1D2A">
            <w:pPr>
              <w:spacing w:line="320" w:lineRule="exact"/>
              <w:rPr>
                <w:rFonts w:asciiTheme="minorEastAsia" w:hAnsiTheme="minorEastAsia" w:cs="Arial"/>
                <w:color w:val="000000" w:themeColor="text1"/>
                <w:sz w:val="24"/>
                <w:szCs w:val="24"/>
              </w:rPr>
            </w:pPr>
          </w:p>
        </w:tc>
      </w:tr>
      <w:tr w:rsidR="003E1D2A" w:rsidRPr="00687B52" w:rsidTr="00563F92">
        <w:trPr>
          <w:trHeight w:val="825"/>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有爆炸危险的厂房或厂房内有爆炸危险的部位应设置泄压设施。</w:t>
            </w:r>
          </w:p>
        </w:tc>
        <w:tc>
          <w:tcPr>
            <w:tcW w:w="837" w:type="pct"/>
            <w:vAlign w:val="center"/>
          </w:tcPr>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第3.6.2条</w:t>
            </w:r>
          </w:p>
        </w:tc>
        <w:tc>
          <w:tcPr>
            <w:tcW w:w="1438" w:type="pct"/>
            <w:vAlign w:val="center"/>
          </w:tcPr>
          <w:p w:rsidR="003E1D2A" w:rsidRPr="00687B52" w:rsidRDefault="003E1D2A" w:rsidP="003E1D2A">
            <w:pPr>
              <w:spacing w:line="320" w:lineRule="exact"/>
              <w:jc w:val="left"/>
              <w:rPr>
                <w:rFonts w:asciiTheme="minorEastAsia" w:hAnsiTheme="minorEastAsia" w:cs="Arial"/>
                <w:color w:val="000000" w:themeColor="text1"/>
                <w:sz w:val="24"/>
                <w:szCs w:val="24"/>
              </w:rPr>
            </w:pPr>
          </w:p>
        </w:tc>
      </w:tr>
      <w:tr w:rsidR="003E1D2A" w:rsidRPr="00687B52" w:rsidTr="00563F92">
        <w:trPr>
          <w:trHeight w:val="825"/>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有爆炸危险的甲</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乙类厂房的总控制室应独立设置</w:t>
            </w:r>
            <w:r w:rsidRPr="00687B52">
              <w:rPr>
                <w:rFonts w:asciiTheme="minorEastAsia" w:eastAsiaTheme="minorEastAsia" w:hAnsiTheme="minorEastAsia" w:hint="eastAsia"/>
                <w:color w:val="000000" w:themeColor="text1"/>
                <w:szCs w:val="24"/>
              </w:rPr>
              <w:t>。</w:t>
            </w:r>
          </w:p>
        </w:tc>
        <w:tc>
          <w:tcPr>
            <w:tcW w:w="837" w:type="pct"/>
            <w:vAlign w:val="center"/>
          </w:tcPr>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第3.6.8条</w:t>
            </w:r>
          </w:p>
        </w:tc>
        <w:tc>
          <w:tcPr>
            <w:tcW w:w="1438" w:type="pct"/>
            <w:vAlign w:val="center"/>
          </w:tcPr>
          <w:p w:rsidR="003E1D2A" w:rsidRPr="00687B52" w:rsidRDefault="003E1D2A" w:rsidP="003E1D2A">
            <w:pPr>
              <w:spacing w:line="320" w:lineRule="exact"/>
              <w:jc w:val="left"/>
              <w:rPr>
                <w:rFonts w:asciiTheme="minorEastAsia" w:hAnsiTheme="minorEastAsia" w:cs="Arial"/>
                <w:color w:val="000000" w:themeColor="text1"/>
                <w:sz w:val="24"/>
                <w:szCs w:val="24"/>
              </w:rPr>
            </w:pPr>
          </w:p>
        </w:tc>
      </w:tr>
      <w:tr w:rsidR="003E1D2A" w:rsidRPr="00687B52" w:rsidTr="00563F92">
        <w:trPr>
          <w:trHeight w:val="825"/>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变配电站</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有爆炸危险的甲</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乙类厂房的</w:t>
            </w:r>
            <w:r w:rsidRPr="00687B52">
              <w:rPr>
                <w:rFonts w:asciiTheme="minorEastAsia" w:eastAsiaTheme="minorEastAsia" w:hAnsiTheme="minorEastAsia" w:hint="eastAsia"/>
                <w:color w:val="000000" w:themeColor="text1"/>
                <w:szCs w:val="24"/>
              </w:rPr>
              <w:t>分</w:t>
            </w:r>
            <w:r w:rsidRPr="00687B52">
              <w:rPr>
                <w:rFonts w:asciiTheme="minorEastAsia" w:eastAsiaTheme="minorEastAsia" w:hAnsiTheme="minorEastAsia"/>
                <w:color w:val="000000" w:themeColor="text1"/>
                <w:szCs w:val="24"/>
              </w:rPr>
              <w:t>控制室</w:t>
            </w:r>
            <w:r w:rsidRPr="00687B52">
              <w:rPr>
                <w:rFonts w:asciiTheme="minorEastAsia" w:eastAsiaTheme="minorEastAsia" w:hAnsiTheme="minorEastAsia" w:hint="eastAsia"/>
                <w:color w:val="000000" w:themeColor="text1"/>
                <w:szCs w:val="24"/>
              </w:rPr>
              <w:t>宜</w:t>
            </w:r>
            <w:r w:rsidRPr="00687B52">
              <w:rPr>
                <w:rFonts w:asciiTheme="minorEastAsia" w:eastAsiaTheme="minorEastAsia" w:hAnsiTheme="minorEastAsia"/>
                <w:color w:val="000000" w:themeColor="text1"/>
                <w:szCs w:val="24"/>
              </w:rPr>
              <w:t>独立设置</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当贴邻外墙设置时</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应采用耐火极限不低于</w:t>
            </w:r>
            <w:r w:rsidRPr="00687B52">
              <w:rPr>
                <w:rFonts w:asciiTheme="minorEastAsia" w:eastAsiaTheme="minorEastAsia" w:hAnsiTheme="minorEastAsia" w:hint="eastAsia"/>
                <w:color w:val="000000" w:themeColor="text1"/>
                <w:szCs w:val="24"/>
              </w:rPr>
              <w:t>3h的防火隔墙与与其他部位分隔。</w:t>
            </w:r>
          </w:p>
        </w:tc>
        <w:tc>
          <w:tcPr>
            <w:tcW w:w="837" w:type="pct"/>
            <w:vAlign w:val="center"/>
          </w:tcPr>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3.3.8、3.6.9 条</w:t>
            </w:r>
          </w:p>
        </w:tc>
        <w:tc>
          <w:tcPr>
            <w:tcW w:w="1438" w:type="pct"/>
            <w:vAlign w:val="center"/>
          </w:tcPr>
          <w:p w:rsidR="003E1D2A" w:rsidRPr="00687B52" w:rsidRDefault="003E1D2A" w:rsidP="003E1D2A">
            <w:pPr>
              <w:spacing w:line="320" w:lineRule="exact"/>
              <w:rPr>
                <w:rFonts w:asciiTheme="minorEastAsia" w:hAnsiTheme="minorEastAsia" w:cs="Arial"/>
                <w:color w:val="000000" w:themeColor="text1"/>
                <w:sz w:val="24"/>
                <w:szCs w:val="24"/>
              </w:rPr>
            </w:pPr>
          </w:p>
        </w:tc>
      </w:tr>
      <w:tr w:rsidR="003E1D2A" w:rsidRPr="00687B52" w:rsidTr="00563F92">
        <w:trPr>
          <w:trHeight w:val="825"/>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化工装置内有发生坠落危险的操作岗位时</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应设计便于操作、巡检和维修作业的扶梯、平台、围栏等附属设施</w:t>
            </w:r>
            <w:r w:rsidRPr="00687B52">
              <w:rPr>
                <w:rFonts w:asciiTheme="minorEastAsia" w:eastAsiaTheme="minorEastAsia" w:hAnsiTheme="minorEastAsia" w:hint="eastAsia"/>
                <w:color w:val="000000" w:themeColor="text1"/>
                <w:szCs w:val="24"/>
              </w:rPr>
              <w:t>。</w:t>
            </w:r>
          </w:p>
        </w:tc>
        <w:tc>
          <w:tcPr>
            <w:tcW w:w="837"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《化工企业安全卫生设计规范》</w:t>
            </w:r>
          </w:p>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HG20571-2014</w:t>
            </w:r>
          </w:p>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4</w:t>
            </w:r>
            <w:r w:rsidRPr="00687B52">
              <w:rPr>
                <w:rFonts w:asciiTheme="minorEastAsia" w:eastAsiaTheme="minorEastAsia" w:hAnsiTheme="minorEastAsia"/>
                <w:color w:val="000000" w:themeColor="text1"/>
                <w:szCs w:val="24"/>
              </w:rPr>
              <w:t>.6.1条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trHeight w:val="825"/>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车间的围护结构应防止雨水渗入，内表面应防止凝结水产生。对用水量较多、产湿量较大的车间，应采取排水防湿设施，防止顶棚滴水和地面积水。</w:t>
            </w:r>
          </w:p>
        </w:tc>
        <w:tc>
          <w:tcPr>
            <w:tcW w:w="837"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《化工企业安全卫生设计规范》</w:t>
            </w:r>
          </w:p>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HG20571-2014</w:t>
            </w:r>
          </w:p>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5.2.6</w:t>
            </w:r>
            <w:r w:rsidRPr="00687B52">
              <w:rPr>
                <w:rFonts w:asciiTheme="minorEastAsia" w:eastAsiaTheme="minorEastAsia" w:hAnsiTheme="minorEastAsia"/>
                <w:color w:val="000000" w:themeColor="text1"/>
                <w:szCs w:val="24"/>
              </w:rPr>
              <w:t>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用于加工、转运或贮存铝镁粉的建筑物宜为不带地下室的单层建筑。</w:t>
            </w:r>
          </w:p>
        </w:tc>
        <w:tc>
          <w:tcPr>
            <w:tcW w:w="837" w:type="pct"/>
            <w:vAlign w:val="center"/>
          </w:tcPr>
          <w:p w:rsidR="003E1D2A" w:rsidRPr="00687B52" w:rsidRDefault="003E1D2A" w:rsidP="003E1D2A">
            <w:pPr>
              <w:pStyle w:val="a7"/>
              <w:adjustRightInd/>
              <w:snapToGrid/>
              <w:rPr>
                <w:rFonts w:asciiTheme="minorEastAsia" w:hAnsiTheme="minorEastAsia"/>
                <w:color w:val="000000" w:themeColor="text1"/>
                <w:szCs w:val="24"/>
              </w:rPr>
            </w:pPr>
            <w:r w:rsidRPr="00687B52">
              <w:rPr>
                <w:rFonts w:asciiTheme="minorEastAsia" w:hAnsiTheme="minorEastAsia"/>
                <w:color w:val="000000" w:themeColor="text1"/>
                <w:szCs w:val="24"/>
              </w:rPr>
              <w:t>《</w:t>
            </w:r>
            <w:r w:rsidRPr="00687B52">
              <w:rPr>
                <w:rFonts w:ascii="Arial" w:hint="eastAsia"/>
                <w:color w:val="000000" w:themeColor="text1"/>
                <w:szCs w:val="24"/>
              </w:rPr>
              <w:t>铝镁粉加工粉尘防爆安全规程</w:t>
            </w:r>
            <w:r w:rsidRPr="00687B52">
              <w:rPr>
                <w:rFonts w:asciiTheme="minorEastAsia" w:hAnsiTheme="minorEastAsia"/>
                <w:color w:val="000000" w:themeColor="text1"/>
                <w:szCs w:val="24"/>
              </w:rPr>
              <w:t>》</w:t>
            </w:r>
            <w:r w:rsidRPr="00687B52">
              <w:rPr>
                <w:rFonts w:ascii="Arial"/>
                <w:color w:val="000000" w:themeColor="text1"/>
                <w:szCs w:val="24"/>
              </w:rPr>
              <w:t>GB17269-2003</w:t>
            </w:r>
            <w:r w:rsidRPr="00687B52">
              <w:rPr>
                <w:rFonts w:ascii="Arial"/>
                <w:color w:val="000000" w:themeColor="text1"/>
                <w:szCs w:val="24"/>
              </w:rPr>
              <w:t>第</w:t>
            </w:r>
            <w:r w:rsidRPr="00687B52">
              <w:rPr>
                <w:rFonts w:ascii="Arial"/>
                <w:color w:val="000000" w:themeColor="text1"/>
                <w:szCs w:val="24"/>
              </w:rPr>
              <w:t>5.</w:t>
            </w:r>
            <w:r w:rsidRPr="00687B52">
              <w:rPr>
                <w:rFonts w:ascii="Arial" w:hint="eastAsia"/>
                <w:color w:val="000000" w:themeColor="text1"/>
                <w:szCs w:val="24"/>
              </w:rPr>
              <w:t>2.2</w:t>
            </w:r>
            <w:r w:rsidRPr="00687B52">
              <w:rPr>
                <w:rFonts w:ascii="Arial"/>
                <w:color w:val="000000" w:themeColor="text1"/>
                <w:szCs w:val="24"/>
              </w:rPr>
              <w:t>条</w:t>
            </w:r>
          </w:p>
        </w:tc>
        <w:tc>
          <w:tcPr>
            <w:tcW w:w="1438" w:type="pct"/>
            <w:vAlign w:val="center"/>
          </w:tcPr>
          <w:p w:rsidR="003E1D2A" w:rsidRPr="00687B52" w:rsidRDefault="003E1D2A" w:rsidP="003E1D2A">
            <w:pPr>
              <w:spacing w:line="320" w:lineRule="exact"/>
              <w:rPr>
                <w:rFonts w:asciiTheme="minorEastAsia" w:hAnsiTheme="minorEastAsia" w:cs="Arial"/>
                <w:color w:val="000000" w:themeColor="text1"/>
                <w:sz w:val="24"/>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工房内墙表面应采用平整不易积尘和易清扫的结构，且不应向上拼接。非整料构筑的墙体，墙面应用砂浆抹平，不得留有孔隙。</w:t>
            </w:r>
          </w:p>
        </w:tc>
        <w:tc>
          <w:tcPr>
            <w:tcW w:w="837" w:type="pct"/>
            <w:vAlign w:val="center"/>
          </w:tcPr>
          <w:p w:rsidR="003E1D2A" w:rsidRPr="00687B52" w:rsidRDefault="003E1D2A" w:rsidP="003E1D2A">
            <w:pPr>
              <w:pStyle w:val="a7"/>
              <w:adjustRightInd/>
              <w:snapToGrid/>
              <w:rPr>
                <w:rFonts w:asciiTheme="minorEastAsia" w:hAnsiTheme="minorEastAsia"/>
                <w:color w:val="000000" w:themeColor="text1"/>
                <w:szCs w:val="24"/>
              </w:rPr>
            </w:pPr>
            <w:r w:rsidRPr="00687B52">
              <w:rPr>
                <w:rFonts w:asciiTheme="minorEastAsia" w:hAnsiTheme="minorEastAsia"/>
                <w:color w:val="000000" w:themeColor="text1"/>
                <w:szCs w:val="24"/>
              </w:rPr>
              <w:t>《</w:t>
            </w:r>
            <w:r w:rsidRPr="00687B52">
              <w:rPr>
                <w:rFonts w:ascii="Arial" w:hint="eastAsia"/>
                <w:color w:val="000000" w:themeColor="text1"/>
                <w:szCs w:val="24"/>
              </w:rPr>
              <w:t>铝镁粉加工粉尘防爆安全规程</w:t>
            </w:r>
            <w:r w:rsidRPr="00687B52">
              <w:rPr>
                <w:rFonts w:asciiTheme="minorEastAsia" w:hAnsiTheme="minorEastAsia"/>
                <w:color w:val="000000" w:themeColor="text1"/>
                <w:szCs w:val="24"/>
              </w:rPr>
              <w:t>》</w:t>
            </w:r>
            <w:r w:rsidRPr="00687B52">
              <w:rPr>
                <w:rFonts w:ascii="Arial"/>
                <w:color w:val="000000" w:themeColor="text1"/>
                <w:szCs w:val="24"/>
              </w:rPr>
              <w:t>GB17269-2003</w:t>
            </w:r>
            <w:r w:rsidRPr="00687B52">
              <w:rPr>
                <w:rFonts w:ascii="Arial"/>
                <w:color w:val="000000" w:themeColor="text1"/>
                <w:szCs w:val="24"/>
              </w:rPr>
              <w:t>第</w:t>
            </w:r>
            <w:r w:rsidRPr="00687B52">
              <w:rPr>
                <w:rFonts w:ascii="Arial"/>
                <w:color w:val="000000" w:themeColor="text1"/>
                <w:szCs w:val="24"/>
              </w:rPr>
              <w:t>5.</w:t>
            </w:r>
            <w:r w:rsidRPr="00687B52">
              <w:rPr>
                <w:rFonts w:ascii="Arial" w:hint="eastAsia"/>
                <w:color w:val="000000" w:themeColor="text1"/>
                <w:szCs w:val="24"/>
              </w:rPr>
              <w:t>2.3</w:t>
            </w:r>
            <w:r w:rsidRPr="00687B52">
              <w:rPr>
                <w:rFonts w:ascii="Arial"/>
                <w:color w:val="000000" w:themeColor="text1"/>
                <w:szCs w:val="24"/>
              </w:rPr>
              <w:t>条</w:t>
            </w:r>
          </w:p>
        </w:tc>
        <w:tc>
          <w:tcPr>
            <w:tcW w:w="1438" w:type="pct"/>
            <w:vAlign w:val="center"/>
          </w:tcPr>
          <w:p w:rsidR="003E1D2A" w:rsidRPr="00687B52" w:rsidRDefault="003E1D2A" w:rsidP="003E1D2A">
            <w:pPr>
              <w:spacing w:line="320" w:lineRule="exact"/>
              <w:rPr>
                <w:rFonts w:asciiTheme="minorEastAsia" w:hAnsiTheme="minorEastAsia" w:cs="Arial"/>
                <w:color w:val="000000" w:themeColor="text1"/>
                <w:sz w:val="24"/>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工房、成品库房的地面、工作平台应采用硬质防滑导静电的非燃性材料制作，且不应有积尘接缝。</w:t>
            </w:r>
          </w:p>
        </w:tc>
        <w:tc>
          <w:tcPr>
            <w:tcW w:w="837" w:type="pct"/>
            <w:vAlign w:val="center"/>
          </w:tcPr>
          <w:p w:rsidR="003E1D2A" w:rsidRPr="00687B52" w:rsidRDefault="003E1D2A" w:rsidP="003E1D2A">
            <w:pPr>
              <w:pStyle w:val="a7"/>
              <w:adjustRightInd/>
              <w:snapToGrid/>
              <w:rPr>
                <w:rFonts w:asciiTheme="minorEastAsia" w:hAnsiTheme="minorEastAsia"/>
                <w:color w:val="000000" w:themeColor="text1"/>
                <w:szCs w:val="24"/>
              </w:rPr>
            </w:pPr>
            <w:r w:rsidRPr="00687B52">
              <w:rPr>
                <w:rFonts w:asciiTheme="minorEastAsia" w:hAnsiTheme="minorEastAsia"/>
                <w:color w:val="000000" w:themeColor="text1"/>
                <w:szCs w:val="24"/>
              </w:rPr>
              <w:t>《</w:t>
            </w:r>
            <w:r w:rsidRPr="00687B52">
              <w:rPr>
                <w:rFonts w:ascii="Arial" w:hint="eastAsia"/>
                <w:color w:val="000000" w:themeColor="text1"/>
                <w:szCs w:val="24"/>
              </w:rPr>
              <w:t>铝镁粉加工粉尘防爆安全规程</w:t>
            </w:r>
            <w:r w:rsidRPr="00687B52">
              <w:rPr>
                <w:rFonts w:asciiTheme="minorEastAsia" w:hAnsiTheme="minorEastAsia"/>
                <w:color w:val="000000" w:themeColor="text1"/>
                <w:szCs w:val="24"/>
              </w:rPr>
              <w:t>》</w:t>
            </w:r>
            <w:r w:rsidRPr="00687B52">
              <w:rPr>
                <w:rFonts w:ascii="Arial"/>
                <w:color w:val="000000" w:themeColor="text1"/>
                <w:szCs w:val="24"/>
              </w:rPr>
              <w:t>GB17269-2003</w:t>
            </w:r>
            <w:r w:rsidRPr="00687B52">
              <w:rPr>
                <w:rFonts w:ascii="Arial"/>
                <w:color w:val="000000" w:themeColor="text1"/>
                <w:szCs w:val="24"/>
              </w:rPr>
              <w:t>第</w:t>
            </w:r>
            <w:r w:rsidRPr="00687B52">
              <w:rPr>
                <w:rFonts w:ascii="Arial"/>
                <w:color w:val="000000" w:themeColor="text1"/>
                <w:szCs w:val="24"/>
              </w:rPr>
              <w:t>5.</w:t>
            </w:r>
            <w:r w:rsidRPr="00687B52">
              <w:rPr>
                <w:rFonts w:ascii="Arial" w:hint="eastAsia"/>
                <w:color w:val="000000" w:themeColor="text1"/>
                <w:szCs w:val="24"/>
              </w:rPr>
              <w:t>2.4</w:t>
            </w:r>
            <w:r w:rsidRPr="00687B52">
              <w:rPr>
                <w:rFonts w:ascii="Arial"/>
                <w:color w:val="000000" w:themeColor="text1"/>
                <w:szCs w:val="24"/>
              </w:rPr>
              <w:t>条</w:t>
            </w:r>
          </w:p>
        </w:tc>
        <w:tc>
          <w:tcPr>
            <w:tcW w:w="1438" w:type="pct"/>
            <w:vAlign w:val="center"/>
          </w:tcPr>
          <w:p w:rsidR="003E1D2A" w:rsidRPr="00687B52" w:rsidRDefault="003E1D2A" w:rsidP="003E1D2A">
            <w:pPr>
              <w:spacing w:line="320" w:lineRule="exact"/>
              <w:rPr>
                <w:rFonts w:asciiTheme="minorEastAsia" w:hAnsiTheme="minorEastAsia" w:cs="Arial"/>
                <w:color w:val="000000" w:themeColor="text1"/>
                <w:sz w:val="24"/>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工、库房屋顶宜采用“轻型”结构。</w:t>
            </w:r>
          </w:p>
        </w:tc>
        <w:tc>
          <w:tcPr>
            <w:tcW w:w="837" w:type="pct"/>
            <w:vAlign w:val="center"/>
          </w:tcPr>
          <w:p w:rsidR="003E1D2A" w:rsidRPr="00687B52" w:rsidRDefault="003E1D2A" w:rsidP="003E1D2A">
            <w:pPr>
              <w:pStyle w:val="a7"/>
              <w:adjustRightInd/>
              <w:snapToGrid/>
              <w:rPr>
                <w:rFonts w:asciiTheme="minorEastAsia" w:hAnsiTheme="minorEastAsia"/>
                <w:color w:val="000000" w:themeColor="text1"/>
                <w:szCs w:val="24"/>
              </w:rPr>
            </w:pPr>
            <w:r w:rsidRPr="00687B52">
              <w:rPr>
                <w:rFonts w:asciiTheme="minorEastAsia" w:hAnsiTheme="minorEastAsia"/>
                <w:color w:val="000000" w:themeColor="text1"/>
                <w:szCs w:val="24"/>
              </w:rPr>
              <w:t>《</w:t>
            </w:r>
            <w:r w:rsidRPr="00687B52">
              <w:rPr>
                <w:rFonts w:ascii="Arial" w:hint="eastAsia"/>
                <w:color w:val="000000" w:themeColor="text1"/>
                <w:szCs w:val="24"/>
              </w:rPr>
              <w:t>铝镁粉加工粉尘防爆安全规程</w:t>
            </w:r>
            <w:r w:rsidRPr="00687B52">
              <w:rPr>
                <w:rFonts w:asciiTheme="minorEastAsia" w:hAnsiTheme="minorEastAsia"/>
                <w:color w:val="000000" w:themeColor="text1"/>
                <w:szCs w:val="24"/>
              </w:rPr>
              <w:t>》</w:t>
            </w:r>
            <w:r w:rsidRPr="00687B52">
              <w:rPr>
                <w:rFonts w:ascii="Arial"/>
                <w:color w:val="000000" w:themeColor="text1"/>
                <w:szCs w:val="24"/>
              </w:rPr>
              <w:t>GB17269-2003</w:t>
            </w:r>
            <w:r w:rsidRPr="00687B52">
              <w:rPr>
                <w:rFonts w:ascii="Arial"/>
                <w:color w:val="000000" w:themeColor="text1"/>
                <w:szCs w:val="24"/>
              </w:rPr>
              <w:t>第</w:t>
            </w:r>
            <w:r w:rsidRPr="00687B52">
              <w:rPr>
                <w:rFonts w:ascii="Arial"/>
                <w:color w:val="000000" w:themeColor="text1"/>
                <w:szCs w:val="24"/>
              </w:rPr>
              <w:t>5.</w:t>
            </w:r>
            <w:r w:rsidRPr="00687B52">
              <w:rPr>
                <w:rFonts w:ascii="Arial" w:hint="eastAsia"/>
                <w:color w:val="000000" w:themeColor="text1"/>
                <w:szCs w:val="24"/>
              </w:rPr>
              <w:t>2.6</w:t>
            </w:r>
            <w:r w:rsidRPr="00687B52">
              <w:rPr>
                <w:rFonts w:ascii="Arial"/>
                <w:color w:val="000000" w:themeColor="text1"/>
                <w:szCs w:val="24"/>
              </w:rPr>
              <w:t>条</w:t>
            </w:r>
          </w:p>
        </w:tc>
        <w:tc>
          <w:tcPr>
            <w:tcW w:w="1438" w:type="pct"/>
            <w:vAlign w:val="center"/>
          </w:tcPr>
          <w:p w:rsidR="003E1D2A" w:rsidRPr="00687B52" w:rsidRDefault="003E1D2A" w:rsidP="003E1D2A">
            <w:pPr>
              <w:spacing w:line="320" w:lineRule="exact"/>
              <w:rPr>
                <w:rFonts w:asciiTheme="minorEastAsia" w:hAnsiTheme="minorEastAsia" w:cs="Arial"/>
                <w:color w:val="000000" w:themeColor="text1"/>
                <w:sz w:val="24"/>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hAnsiTheme="minorEastAsia"/>
                <w:color w:val="000000" w:themeColor="text1"/>
                <w:szCs w:val="24"/>
              </w:rPr>
            </w:pPr>
            <w:r w:rsidRPr="00687B52">
              <w:rPr>
                <w:rFonts w:asciiTheme="minorEastAsia" w:hAnsiTheme="minorEastAsia" w:hint="eastAsia"/>
                <w:color w:val="000000" w:themeColor="text1"/>
                <w:szCs w:val="24"/>
              </w:rPr>
              <w:t>安装有粉尘爆炸危险的工艺设备或存在可燃粉尘的建(构)筑物，应与其它建(构)筑物分离。</w:t>
            </w:r>
          </w:p>
        </w:tc>
        <w:tc>
          <w:tcPr>
            <w:tcW w:w="837" w:type="pct"/>
            <w:vAlign w:val="center"/>
          </w:tcPr>
          <w:p w:rsidR="003E1D2A" w:rsidRPr="00687B52" w:rsidRDefault="003E1D2A" w:rsidP="003E1D2A">
            <w:pPr>
              <w:pStyle w:val="a7"/>
              <w:adjustRightInd/>
              <w:snapToGrid/>
              <w:rPr>
                <w:rFonts w:asciiTheme="minorEastAsia" w:hAnsiTheme="minorEastAsia"/>
                <w:color w:val="000000" w:themeColor="text1"/>
                <w:szCs w:val="24"/>
              </w:rPr>
            </w:pPr>
            <w:r w:rsidRPr="00687B52">
              <w:rPr>
                <w:rFonts w:asciiTheme="minorEastAsia" w:hAnsiTheme="minorEastAsia"/>
                <w:color w:val="000000" w:themeColor="text1"/>
                <w:szCs w:val="24"/>
              </w:rPr>
              <w:t>《</w:t>
            </w:r>
            <w:r w:rsidRPr="00687B52">
              <w:rPr>
                <w:rFonts w:ascii="Arial" w:hint="eastAsia"/>
                <w:color w:val="000000" w:themeColor="text1"/>
                <w:szCs w:val="24"/>
              </w:rPr>
              <w:t>粉尘防爆安全规程</w:t>
            </w:r>
            <w:r w:rsidRPr="00687B52">
              <w:rPr>
                <w:rFonts w:asciiTheme="minorEastAsia" w:hAnsiTheme="minorEastAsia"/>
                <w:color w:val="000000" w:themeColor="text1"/>
                <w:szCs w:val="24"/>
              </w:rPr>
              <w:t>》</w:t>
            </w:r>
            <w:r w:rsidRPr="00687B52">
              <w:rPr>
                <w:rFonts w:ascii="Arial"/>
                <w:color w:val="000000" w:themeColor="text1"/>
                <w:szCs w:val="24"/>
              </w:rPr>
              <w:t>GB1</w:t>
            </w:r>
            <w:r w:rsidRPr="00687B52">
              <w:rPr>
                <w:rFonts w:ascii="Arial" w:hint="eastAsia"/>
                <w:color w:val="000000" w:themeColor="text1"/>
                <w:szCs w:val="24"/>
              </w:rPr>
              <w:t>5577</w:t>
            </w:r>
            <w:r w:rsidRPr="00687B52">
              <w:rPr>
                <w:rFonts w:ascii="Arial"/>
                <w:color w:val="000000" w:themeColor="text1"/>
                <w:szCs w:val="24"/>
              </w:rPr>
              <w:t>-200</w:t>
            </w:r>
            <w:r w:rsidRPr="00687B52">
              <w:rPr>
                <w:rFonts w:ascii="Arial" w:hint="eastAsia"/>
                <w:color w:val="000000" w:themeColor="text1"/>
                <w:szCs w:val="24"/>
              </w:rPr>
              <w:t>7</w:t>
            </w:r>
            <w:r w:rsidRPr="00687B52">
              <w:rPr>
                <w:rFonts w:ascii="Arial"/>
                <w:color w:val="000000" w:themeColor="text1"/>
                <w:szCs w:val="24"/>
              </w:rPr>
              <w:t>第</w:t>
            </w:r>
            <w:r w:rsidRPr="00687B52">
              <w:rPr>
                <w:rFonts w:ascii="Arial"/>
                <w:color w:val="000000" w:themeColor="text1"/>
                <w:szCs w:val="24"/>
              </w:rPr>
              <w:t>5.</w:t>
            </w:r>
            <w:r w:rsidRPr="00687B52">
              <w:rPr>
                <w:rFonts w:ascii="Arial" w:hint="eastAsia"/>
                <w:color w:val="000000" w:themeColor="text1"/>
                <w:szCs w:val="24"/>
              </w:rPr>
              <w:t>1</w:t>
            </w:r>
            <w:r w:rsidRPr="00687B52">
              <w:rPr>
                <w:rFonts w:ascii="Arial"/>
                <w:color w:val="000000" w:themeColor="text1"/>
                <w:szCs w:val="24"/>
              </w:rPr>
              <w:t>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多层建筑的结构要求如下：</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1、多层建筑物宜采用框架结构；</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2、不能使用框架结构的建筑物应在墙上设置符合要求的泄爆口；</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3、如果将窗户或其他开口作为泄爆口，应经核算并保证在爆炸时其能有效的进行泄爆。</w:t>
            </w:r>
          </w:p>
        </w:tc>
        <w:tc>
          <w:tcPr>
            <w:tcW w:w="837" w:type="pct"/>
            <w:vAlign w:val="center"/>
          </w:tcPr>
          <w:p w:rsidR="003E1D2A" w:rsidRPr="00687B52" w:rsidRDefault="003E1D2A" w:rsidP="003E1D2A">
            <w:pPr>
              <w:pStyle w:val="a7"/>
              <w:adjustRightInd/>
              <w:snapToGrid/>
              <w:rPr>
                <w:rFonts w:asciiTheme="minorEastAsia" w:hAnsiTheme="minorEastAsia"/>
                <w:color w:val="000000" w:themeColor="text1"/>
                <w:szCs w:val="24"/>
              </w:rPr>
            </w:pPr>
            <w:r w:rsidRPr="00687B52">
              <w:rPr>
                <w:rFonts w:asciiTheme="minorEastAsia" w:hAnsiTheme="minorEastAsia"/>
                <w:color w:val="000000" w:themeColor="text1"/>
                <w:szCs w:val="24"/>
              </w:rPr>
              <w:t>《</w:t>
            </w:r>
            <w:r w:rsidRPr="00687B52">
              <w:rPr>
                <w:rFonts w:ascii="Arial" w:hint="eastAsia"/>
                <w:color w:val="000000" w:themeColor="text1"/>
                <w:szCs w:val="24"/>
              </w:rPr>
              <w:t>粉尘防爆安全规程</w:t>
            </w:r>
            <w:r w:rsidRPr="00687B52">
              <w:rPr>
                <w:rFonts w:asciiTheme="minorEastAsia" w:hAnsiTheme="minorEastAsia"/>
                <w:color w:val="000000" w:themeColor="text1"/>
                <w:szCs w:val="24"/>
              </w:rPr>
              <w:t>》</w:t>
            </w:r>
            <w:r w:rsidRPr="00687B52">
              <w:rPr>
                <w:rFonts w:ascii="Arial"/>
                <w:color w:val="000000" w:themeColor="text1"/>
                <w:szCs w:val="24"/>
              </w:rPr>
              <w:t>GB1</w:t>
            </w:r>
            <w:r w:rsidRPr="00687B52">
              <w:rPr>
                <w:rFonts w:ascii="Arial" w:hint="eastAsia"/>
                <w:color w:val="000000" w:themeColor="text1"/>
                <w:szCs w:val="24"/>
              </w:rPr>
              <w:t>5577</w:t>
            </w:r>
            <w:r w:rsidRPr="00687B52">
              <w:rPr>
                <w:rFonts w:ascii="Arial"/>
                <w:color w:val="000000" w:themeColor="text1"/>
                <w:szCs w:val="24"/>
              </w:rPr>
              <w:t>-200</w:t>
            </w:r>
            <w:r w:rsidRPr="00687B52">
              <w:rPr>
                <w:rFonts w:ascii="Arial" w:hint="eastAsia"/>
                <w:color w:val="000000" w:themeColor="text1"/>
                <w:szCs w:val="24"/>
              </w:rPr>
              <w:t>7</w:t>
            </w:r>
            <w:r w:rsidRPr="00687B52">
              <w:rPr>
                <w:rFonts w:ascii="Arial"/>
                <w:color w:val="000000" w:themeColor="text1"/>
                <w:szCs w:val="24"/>
              </w:rPr>
              <w:t>第</w:t>
            </w:r>
            <w:r w:rsidRPr="00687B52">
              <w:rPr>
                <w:rFonts w:ascii="Arial"/>
                <w:color w:val="000000" w:themeColor="text1"/>
                <w:szCs w:val="24"/>
              </w:rPr>
              <w:t>5.</w:t>
            </w:r>
            <w:r w:rsidRPr="00687B52">
              <w:rPr>
                <w:rFonts w:ascii="Arial" w:hint="eastAsia"/>
                <w:color w:val="000000" w:themeColor="text1"/>
                <w:szCs w:val="24"/>
              </w:rPr>
              <w:t>3</w:t>
            </w:r>
            <w:r w:rsidRPr="00687B52">
              <w:rPr>
                <w:rFonts w:ascii="Arial"/>
                <w:color w:val="000000" w:themeColor="text1"/>
                <w:szCs w:val="24"/>
              </w:rPr>
              <w:t>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工房、成品库房所有门、窗框架均应采用金属材料制作。</w:t>
            </w:r>
          </w:p>
        </w:tc>
        <w:tc>
          <w:tcPr>
            <w:tcW w:w="837" w:type="pct"/>
            <w:vAlign w:val="center"/>
          </w:tcPr>
          <w:p w:rsidR="003E1D2A" w:rsidRPr="00687B52" w:rsidRDefault="003E1D2A" w:rsidP="003E1D2A">
            <w:pPr>
              <w:pStyle w:val="a7"/>
              <w:adjustRightInd/>
              <w:snapToGrid/>
              <w:rPr>
                <w:rFonts w:asciiTheme="minorEastAsia" w:hAnsiTheme="minorEastAsia"/>
                <w:color w:val="000000" w:themeColor="text1"/>
                <w:szCs w:val="24"/>
              </w:rPr>
            </w:pPr>
            <w:r w:rsidRPr="00687B52">
              <w:rPr>
                <w:rFonts w:asciiTheme="minorEastAsia" w:hAnsiTheme="minorEastAsia"/>
                <w:color w:val="000000" w:themeColor="text1"/>
                <w:szCs w:val="24"/>
              </w:rPr>
              <w:t>《</w:t>
            </w:r>
            <w:r w:rsidRPr="00687B52">
              <w:rPr>
                <w:rFonts w:ascii="Arial" w:hint="eastAsia"/>
                <w:color w:val="000000" w:themeColor="text1"/>
                <w:szCs w:val="24"/>
              </w:rPr>
              <w:t>铝镁粉加工粉尘防爆安全规程</w:t>
            </w:r>
            <w:r w:rsidRPr="00687B52">
              <w:rPr>
                <w:rFonts w:asciiTheme="minorEastAsia" w:hAnsiTheme="minorEastAsia"/>
                <w:color w:val="000000" w:themeColor="text1"/>
                <w:szCs w:val="24"/>
              </w:rPr>
              <w:t>》</w:t>
            </w:r>
            <w:r w:rsidRPr="00687B52">
              <w:rPr>
                <w:rFonts w:ascii="Arial"/>
                <w:color w:val="000000" w:themeColor="text1"/>
                <w:szCs w:val="24"/>
              </w:rPr>
              <w:t>GB17269-2003</w:t>
            </w:r>
            <w:r w:rsidRPr="00687B52">
              <w:rPr>
                <w:rFonts w:ascii="Arial"/>
                <w:color w:val="000000" w:themeColor="text1"/>
                <w:szCs w:val="24"/>
              </w:rPr>
              <w:t>第</w:t>
            </w:r>
            <w:r w:rsidRPr="00687B52">
              <w:rPr>
                <w:rFonts w:ascii="Arial"/>
                <w:color w:val="000000" w:themeColor="text1"/>
                <w:szCs w:val="24"/>
              </w:rPr>
              <w:t>5.</w:t>
            </w:r>
            <w:r w:rsidRPr="00687B52">
              <w:rPr>
                <w:rFonts w:ascii="Arial" w:hint="eastAsia"/>
                <w:color w:val="000000" w:themeColor="text1"/>
                <w:szCs w:val="24"/>
              </w:rPr>
              <w:t>3.1</w:t>
            </w:r>
            <w:r w:rsidRPr="00687B52">
              <w:rPr>
                <w:rFonts w:ascii="Arial"/>
                <w:color w:val="000000" w:themeColor="text1"/>
                <w:szCs w:val="24"/>
              </w:rPr>
              <w:t>条</w:t>
            </w:r>
          </w:p>
        </w:tc>
        <w:tc>
          <w:tcPr>
            <w:tcW w:w="1438" w:type="pct"/>
            <w:vAlign w:val="center"/>
          </w:tcPr>
          <w:p w:rsidR="003E1D2A" w:rsidRPr="00687B52" w:rsidRDefault="003E1D2A" w:rsidP="003E1D2A">
            <w:pPr>
              <w:spacing w:line="320" w:lineRule="exact"/>
              <w:rPr>
                <w:rFonts w:asciiTheme="minorEastAsia" w:hAnsiTheme="minorEastAsia" w:cs="Arial"/>
                <w:color w:val="000000" w:themeColor="text1"/>
                <w:sz w:val="24"/>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窗扇应向外开启，且不得设中挺并配有摩擦式窗栓。</w:t>
            </w:r>
          </w:p>
        </w:tc>
        <w:tc>
          <w:tcPr>
            <w:tcW w:w="837" w:type="pct"/>
            <w:vAlign w:val="center"/>
          </w:tcPr>
          <w:p w:rsidR="003E1D2A" w:rsidRPr="00687B52" w:rsidRDefault="003E1D2A" w:rsidP="003E1D2A">
            <w:pPr>
              <w:pStyle w:val="a7"/>
              <w:adjustRightInd/>
              <w:snapToGrid/>
              <w:rPr>
                <w:rFonts w:asciiTheme="minorEastAsia" w:hAnsiTheme="minorEastAsia"/>
                <w:color w:val="000000" w:themeColor="text1"/>
                <w:szCs w:val="24"/>
              </w:rPr>
            </w:pPr>
            <w:r w:rsidRPr="00687B52">
              <w:rPr>
                <w:rFonts w:asciiTheme="minorEastAsia" w:hAnsiTheme="minorEastAsia"/>
                <w:color w:val="000000" w:themeColor="text1"/>
                <w:szCs w:val="24"/>
              </w:rPr>
              <w:t>《</w:t>
            </w:r>
            <w:r w:rsidRPr="00687B52">
              <w:rPr>
                <w:rFonts w:ascii="Arial" w:hint="eastAsia"/>
                <w:color w:val="000000" w:themeColor="text1"/>
                <w:szCs w:val="24"/>
              </w:rPr>
              <w:t>铝镁粉加工粉尘防爆安全规程</w:t>
            </w:r>
            <w:r w:rsidRPr="00687B52">
              <w:rPr>
                <w:rFonts w:asciiTheme="minorEastAsia" w:hAnsiTheme="minorEastAsia"/>
                <w:color w:val="000000" w:themeColor="text1"/>
                <w:szCs w:val="24"/>
              </w:rPr>
              <w:t>》</w:t>
            </w:r>
            <w:r w:rsidRPr="00687B52">
              <w:rPr>
                <w:rFonts w:ascii="Arial"/>
                <w:color w:val="000000" w:themeColor="text1"/>
                <w:szCs w:val="24"/>
              </w:rPr>
              <w:t>GB17269-2003</w:t>
            </w:r>
            <w:r w:rsidRPr="00687B52">
              <w:rPr>
                <w:rFonts w:ascii="Arial"/>
                <w:color w:val="000000" w:themeColor="text1"/>
                <w:szCs w:val="24"/>
              </w:rPr>
              <w:t>第</w:t>
            </w:r>
            <w:r w:rsidRPr="00687B52">
              <w:rPr>
                <w:rFonts w:ascii="Arial"/>
                <w:color w:val="000000" w:themeColor="text1"/>
                <w:szCs w:val="24"/>
              </w:rPr>
              <w:t>5.</w:t>
            </w:r>
            <w:r w:rsidRPr="00687B52">
              <w:rPr>
                <w:rFonts w:ascii="Arial" w:hint="eastAsia"/>
                <w:color w:val="000000" w:themeColor="text1"/>
                <w:szCs w:val="24"/>
              </w:rPr>
              <w:t>3.2</w:t>
            </w:r>
            <w:r w:rsidRPr="00687B52">
              <w:rPr>
                <w:rFonts w:ascii="Arial"/>
                <w:color w:val="000000" w:themeColor="text1"/>
                <w:szCs w:val="24"/>
              </w:rPr>
              <w:t>条</w:t>
            </w:r>
          </w:p>
        </w:tc>
        <w:tc>
          <w:tcPr>
            <w:tcW w:w="1438" w:type="pct"/>
            <w:vAlign w:val="center"/>
          </w:tcPr>
          <w:p w:rsidR="003E1D2A" w:rsidRPr="00687B52" w:rsidRDefault="003E1D2A" w:rsidP="003E1D2A">
            <w:pPr>
              <w:spacing w:line="320" w:lineRule="exact"/>
              <w:rPr>
                <w:rFonts w:asciiTheme="minorEastAsia" w:hAnsiTheme="minorEastAsia" w:cs="Arial"/>
                <w:color w:val="000000" w:themeColor="text1"/>
                <w:sz w:val="24"/>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门应向外开启，并不得设门槛。</w:t>
            </w:r>
          </w:p>
        </w:tc>
        <w:tc>
          <w:tcPr>
            <w:tcW w:w="837" w:type="pct"/>
            <w:vAlign w:val="center"/>
          </w:tcPr>
          <w:p w:rsidR="003E1D2A" w:rsidRPr="00687B52" w:rsidRDefault="003E1D2A" w:rsidP="003E1D2A">
            <w:pPr>
              <w:pStyle w:val="a7"/>
              <w:adjustRightInd/>
              <w:snapToGrid/>
              <w:rPr>
                <w:rFonts w:asciiTheme="minorEastAsia" w:hAnsiTheme="minorEastAsia"/>
                <w:color w:val="000000" w:themeColor="text1"/>
                <w:szCs w:val="24"/>
              </w:rPr>
            </w:pPr>
            <w:r w:rsidRPr="00687B52">
              <w:rPr>
                <w:rFonts w:asciiTheme="minorEastAsia" w:hAnsiTheme="minorEastAsia"/>
                <w:color w:val="000000" w:themeColor="text1"/>
                <w:szCs w:val="24"/>
              </w:rPr>
              <w:t>《</w:t>
            </w:r>
            <w:r w:rsidRPr="00687B52">
              <w:rPr>
                <w:rFonts w:ascii="Arial" w:hint="eastAsia"/>
                <w:color w:val="000000" w:themeColor="text1"/>
                <w:szCs w:val="24"/>
              </w:rPr>
              <w:t>铝镁粉加工粉尘防爆安全规程</w:t>
            </w:r>
            <w:r w:rsidRPr="00687B52">
              <w:rPr>
                <w:rFonts w:asciiTheme="minorEastAsia" w:hAnsiTheme="minorEastAsia"/>
                <w:color w:val="000000" w:themeColor="text1"/>
                <w:szCs w:val="24"/>
              </w:rPr>
              <w:t>》</w:t>
            </w:r>
            <w:r w:rsidRPr="00687B52">
              <w:rPr>
                <w:rFonts w:ascii="Arial"/>
                <w:color w:val="000000" w:themeColor="text1"/>
                <w:szCs w:val="24"/>
              </w:rPr>
              <w:t>GB17269-2003</w:t>
            </w:r>
            <w:r w:rsidRPr="00687B52">
              <w:rPr>
                <w:rFonts w:ascii="Arial"/>
                <w:color w:val="000000" w:themeColor="text1"/>
                <w:szCs w:val="24"/>
              </w:rPr>
              <w:t>第</w:t>
            </w:r>
            <w:r w:rsidRPr="00687B52">
              <w:rPr>
                <w:rFonts w:ascii="Arial"/>
                <w:color w:val="000000" w:themeColor="text1"/>
                <w:szCs w:val="24"/>
              </w:rPr>
              <w:t>5.</w:t>
            </w:r>
            <w:r w:rsidRPr="00687B52">
              <w:rPr>
                <w:rFonts w:ascii="Arial" w:hint="eastAsia"/>
                <w:color w:val="000000" w:themeColor="text1"/>
                <w:szCs w:val="24"/>
              </w:rPr>
              <w:t>3.3</w:t>
            </w:r>
            <w:r w:rsidRPr="00687B52">
              <w:rPr>
                <w:rFonts w:ascii="Arial"/>
                <w:color w:val="000000" w:themeColor="text1"/>
                <w:szCs w:val="24"/>
              </w:rPr>
              <w:t>条</w:t>
            </w:r>
          </w:p>
        </w:tc>
        <w:tc>
          <w:tcPr>
            <w:tcW w:w="1438" w:type="pct"/>
            <w:vAlign w:val="center"/>
          </w:tcPr>
          <w:p w:rsidR="003E1D2A" w:rsidRPr="00687B52" w:rsidRDefault="003E1D2A" w:rsidP="003E1D2A">
            <w:pPr>
              <w:spacing w:line="320" w:lineRule="exact"/>
              <w:rPr>
                <w:rFonts w:asciiTheme="minorEastAsia" w:hAnsiTheme="minorEastAsia" w:cs="Arial"/>
                <w:color w:val="000000" w:themeColor="text1"/>
                <w:sz w:val="24"/>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5"/>
              </w:numPr>
              <w:ind w:left="113" w:hanging="113"/>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在可能产生静电危害的爆炸危险环境的入口处外侧，应设置接地的裸露金属体，如栏杆、金属门、金属支架等。</w:t>
            </w:r>
          </w:p>
        </w:tc>
        <w:tc>
          <w:tcPr>
            <w:tcW w:w="837" w:type="pct"/>
            <w:vAlign w:val="center"/>
          </w:tcPr>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《化工企业静电接地设计规程》HG/T20675-1990</w:t>
            </w:r>
          </w:p>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第2.9.4条</w:t>
            </w:r>
          </w:p>
        </w:tc>
        <w:tc>
          <w:tcPr>
            <w:tcW w:w="1438" w:type="pct"/>
            <w:vAlign w:val="center"/>
          </w:tcPr>
          <w:p w:rsidR="003E1D2A" w:rsidRPr="00687B52" w:rsidRDefault="003E1D2A" w:rsidP="003E1D2A">
            <w:pPr>
              <w:spacing w:line="320" w:lineRule="exact"/>
              <w:rPr>
                <w:rFonts w:asciiTheme="minorEastAsia" w:hAnsiTheme="minorEastAsia" w:cs="Arial"/>
                <w:color w:val="000000" w:themeColor="text1"/>
                <w:sz w:val="24"/>
                <w:szCs w:val="24"/>
              </w:rPr>
            </w:pPr>
          </w:p>
        </w:tc>
      </w:tr>
      <w:tr w:rsidR="003E1D2A" w:rsidRPr="00687B52" w:rsidTr="00563F92">
        <w:trPr>
          <w:jc w:val="center"/>
        </w:trPr>
        <w:tc>
          <w:tcPr>
            <w:tcW w:w="356" w:type="pct"/>
            <w:vAlign w:val="center"/>
          </w:tcPr>
          <w:p w:rsidR="003E1D2A" w:rsidRPr="00687B52" w:rsidRDefault="003E1D2A" w:rsidP="0007330F">
            <w:pPr>
              <w:pStyle w:val="a7"/>
              <w:adjustRightInd/>
              <w:snapToGrid/>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2</w:t>
            </w:r>
          </w:p>
        </w:tc>
        <w:tc>
          <w:tcPr>
            <w:tcW w:w="4644" w:type="pct"/>
            <w:gridSpan w:val="3"/>
            <w:vAlign w:val="center"/>
          </w:tcPr>
          <w:p w:rsidR="003E1D2A" w:rsidRPr="00687B52" w:rsidRDefault="003E1D2A" w:rsidP="003E1D2A">
            <w:pPr>
              <w:pStyle w:val="a7"/>
              <w:adjustRightInd/>
              <w:snapToGrid/>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工艺及设备设施安全</w:t>
            </w: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工艺方法是否防止作业人员直接接触具有或能产生危险和有害因素的设备、设施、生产物料、产品和剩余物料。</w:t>
            </w:r>
          </w:p>
        </w:tc>
        <w:tc>
          <w:tcPr>
            <w:tcW w:w="837" w:type="pct"/>
            <w:vAlign w:val="center"/>
          </w:tcPr>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hAnsiTheme="minorEastAsia"/>
                <w:color w:val="000000" w:themeColor="text1"/>
                <w:szCs w:val="24"/>
              </w:rPr>
              <w:t>《</w:t>
            </w:r>
            <w:r w:rsidRPr="00687B52">
              <w:rPr>
                <w:rFonts w:asciiTheme="minorEastAsia" w:hAnsiTheme="minorEastAsia" w:hint="eastAsia"/>
                <w:color w:val="000000" w:themeColor="text1"/>
                <w:szCs w:val="24"/>
              </w:rPr>
              <w:t>生产过程安全卫生要求总则</w:t>
            </w:r>
            <w:r w:rsidRPr="00687B52">
              <w:rPr>
                <w:rFonts w:asciiTheme="minorEastAsia" w:hAnsiTheme="minorEastAsia"/>
                <w:color w:val="000000" w:themeColor="text1"/>
                <w:szCs w:val="24"/>
              </w:rPr>
              <w:t>》</w:t>
            </w:r>
            <w:r w:rsidRPr="00687B52">
              <w:rPr>
                <w:rFonts w:asciiTheme="minorEastAsia" w:eastAsiaTheme="minorEastAsia" w:hAnsiTheme="minorEastAsia"/>
                <w:color w:val="000000" w:themeColor="text1"/>
                <w:szCs w:val="24"/>
              </w:rPr>
              <w:t>GB/T12801-2008</w:t>
            </w:r>
          </w:p>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第5.3.1条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对产生危险和有害因素的工艺过程，应配置监控检测仪器、仪表，必要时配置自动联锁、自动报警装置。</w:t>
            </w:r>
          </w:p>
        </w:tc>
        <w:tc>
          <w:tcPr>
            <w:tcW w:w="837" w:type="pct"/>
            <w:vAlign w:val="center"/>
          </w:tcPr>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hAnsiTheme="minorEastAsia"/>
                <w:color w:val="000000" w:themeColor="text1"/>
                <w:szCs w:val="24"/>
              </w:rPr>
              <w:t>《</w:t>
            </w:r>
            <w:r w:rsidRPr="00687B52">
              <w:rPr>
                <w:rFonts w:asciiTheme="minorEastAsia" w:hAnsiTheme="minorEastAsia" w:hint="eastAsia"/>
                <w:color w:val="000000" w:themeColor="text1"/>
                <w:szCs w:val="24"/>
              </w:rPr>
              <w:t>生产过程安全卫生要求总则</w:t>
            </w:r>
            <w:r w:rsidRPr="00687B52">
              <w:rPr>
                <w:rFonts w:asciiTheme="minorEastAsia" w:hAnsiTheme="minorEastAsia"/>
                <w:color w:val="000000" w:themeColor="text1"/>
                <w:szCs w:val="24"/>
              </w:rPr>
              <w:t>》</w:t>
            </w:r>
            <w:r w:rsidRPr="00687B52">
              <w:rPr>
                <w:rFonts w:asciiTheme="minorEastAsia" w:eastAsiaTheme="minorEastAsia" w:hAnsiTheme="minorEastAsia"/>
                <w:color w:val="000000" w:themeColor="text1"/>
                <w:szCs w:val="24"/>
              </w:rPr>
              <w:t>GB/T12801-2008</w:t>
            </w:r>
          </w:p>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第5.3.1条</w:t>
            </w:r>
            <w:r w:rsidRPr="00687B52">
              <w:rPr>
                <w:rFonts w:asciiTheme="minorEastAsia" w:eastAsiaTheme="minorEastAsia" w:hAnsiTheme="minorEastAsia" w:hint="eastAsia"/>
                <w:color w:val="000000" w:themeColor="text1"/>
                <w:szCs w:val="24"/>
              </w:rPr>
              <w:t>d</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在役化工装置应经过正规设计或经过安全设计诊断。</w:t>
            </w:r>
          </w:p>
        </w:tc>
        <w:tc>
          <w:tcPr>
            <w:tcW w:w="837" w:type="pct"/>
            <w:vAlign w:val="center"/>
          </w:tcPr>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《化工（危险化学品）企业安全检查重点指导目录》安监总管三[2015]113号</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严禁使用国家明令淘汰的危及生产安全的工艺、设备的。</w:t>
            </w:r>
          </w:p>
        </w:tc>
        <w:tc>
          <w:tcPr>
            <w:tcW w:w="837" w:type="pct"/>
            <w:vAlign w:val="center"/>
          </w:tcPr>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《化工（危险化学品）企业安全检查重点指导目录》安监总管三[2015]113号</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任何单位不得生产或使用国家明令禁止的危险化学品</w:t>
            </w:r>
            <w:r w:rsidRPr="00687B52">
              <w:rPr>
                <w:rFonts w:asciiTheme="minorEastAsia" w:eastAsiaTheme="minorEastAsia" w:hAnsiTheme="minorEastAsia" w:hint="eastAsia"/>
                <w:color w:val="000000" w:themeColor="text1"/>
                <w:szCs w:val="24"/>
              </w:rPr>
              <w:t>。</w:t>
            </w:r>
          </w:p>
        </w:tc>
        <w:tc>
          <w:tcPr>
            <w:tcW w:w="837" w:type="pct"/>
            <w:vAlign w:val="center"/>
          </w:tcPr>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《危险化学品管理条例》第十三条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spacing w:line="320" w:lineRule="exact"/>
              <w:rPr>
                <w:rFonts w:ascii="宋体" w:hAnsi="宋体"/>
                <w:color w:val="000000" w:themeColor="text1"/>
                <w:sz w:val="24"/>
                <w:szCs w:val="24"/>
              </w:rPr>
            </w:pPr>
            <w:r w:rsidRPr="00687B52">
              <w:rPr>
                <w:rFonts w:ascii="宋体" w:hAnsi="宋体" w:hint="eastAsia"/>
                <w:color w:val="000000" w:themeColor="text1"/>
                <w:sz w:val="24"/>
                <w:szCs w:val="24"/>
              </w:rPr>
              <w:t>爆炸性环境的电力装置设计应符合下列规定:</w:t>
            </w:r>
          </w:p>
          <w:p w:rsidR="003E1D2A" w:rsidRPr="00687B52" w:rsidRDefault="003E1D2A" w:rsidP="003E1D2A">
            <w:pPr>
              <w:spacing w:line="320" w:lineRule="exact"/>
              <w:rPr>
                <w:rFonts w:ascii="宋体" w:hAnsi="宋体"/>
                <w:color w:val="000000" w:themeColor="text1"/>
                <w:sz w:val="24"/>
                <w:szCs w:val="24"/>
              </w:rPr>
            </w:pPr>
            <w:r w:rsidRPr="00687B52">
              <w:rPr>
                <w:rFonts w:ascii="宋体" w:hAnsi="宋体" w:hint="eastAsia"/>
                <w:color w:val="000000" w:themeColor="text1"/>
                <w:sz w:val="24"/>
                <w:szCs w:val="24"/>
              </w:rPr>
              <w:t>1、爆炸性环境的电力装置设计宜将设备和线路，特别是正常运行时能发生火花的设备布置在爆炸性环境以外。当需设在爆炸性环境内时，应布置在爆炸危险性较小的地点。</w:t>
            </w:r>
          </w:p>
          <w:p w:rsidR="003E1D2A" w:rsidRPr="00687B52" w:rsidRDefault="003E1D2A" w:rsidP="003E1D2A">
            <w:pPr>
              <w:spacing w:line="320" w:lineRule="exact"/>
              <w:rPr>
                <w:rFonts w:ascii="宋体" w:hAnsi="宋体"/>
                <w:color w:val="000000" w:themeColor="text1"/>
                <w:sz w:val="24"/>
                <w:szCs w:val="24"/>
              </w:rPr>
            </w:pPr>
            <w:r w:rsidRPr="00687B52">
              <w:rPr>
                <w:rFonts w:ascii="宋体" w:hAnsi="宋体" w:hint="eastAsia"/>
                <w:color w:val="000000" w:themeColor="text1"/>
                <w:sz w:val="24"/>
                <w:szCs w:val="24"/>
              </w:rPr>
              <w:t>2、在满足工艺生产及安全的前提下，应减少防爆电气设备的数量。</w:t>
            </w:r>
          </w:p>
          <w:p w:rsidR="003E1D2A" w:rsidRPr="00687B52" w:rsidRDefault="003E1D2A" w:rsidP="003E1D2A">
            <w:pPr>
              <w:spacing w:line="320" w:lineRule="exact"/>
              <w:rPr>
                <w:rFonts w:ascii="宋体" w:hAnsi="宋体"/>
                <w:color w:val="000000" w:themeColor="text1"/>
                <w:sz w:val="24"/>
                <w:szCs w:val="24"/>
              </w:rPr>
            </w:pPr>
            <w:r w:rsidRPr="00687B52">
              <w:rPr>
                <w:rFonts w:ascii="宋体" w:hAnsi="宋体" w:hint="eastAsia"/>
                <w:color w:val="000000" w:themeColor="text1"/>
                <w:sz w:val="24"/>
                <w:szCs w:val="24"/>
              </w:rPr>
              <w:t>3爆炸性环境内的电气设备和线路应符合周围环境内化学、机械、热、霉菌以及风沙等不同环境条件对电气设备的要求。</w:t>
            </w:r>
          </w:p>
          <w:p w:rsidR="003E1D2A" w:rsidRPr="00687B52" w:rsidRDefault="003E1D2A" w:rsidP="003E1D2A">
            <w:pPr>
              <w:spacing w:line="320" w:lineRule="exact"/>
              <w:rPr>
                <w:rFonts w:ascii="宋体" w:hAnsi="宋体"/>
                <w:color w:val="000000" w:themeColor="text1"/>
                <w:sz w:val="24"/>
                <w:szCs w:val="24"/>
              </w:rPr>
            </w:pPr>
            <w:r w:rsidRPr="00687B52">
              <w:rPr>
                <w:rFonts w:ascii="宋体" w:hAnsi="宋体" w:hint="eastAsia"/>
                <w:color w:val="000000" w:themeColor="text1"/>
                <w:sz w:val="24"/>
                <w:szCs w:val="24"/>
              </w:rPr>
              <w:t>4、在爆炸性粉尘环境内，不宜采用携带式电气设备。</w:t>
            </w:r>
          </w:p>
          <w:p w:rsidR="003E1D2A" w:rsidRPr="00687B52" w:rsidRDefault="003E1D2A" w:rsidP="003E1D2A">
            <w:pPr>
              <w:spacing w:line="320" w:lineRule="exact"/>
              <w:rPr>
                <w:rFonts w:ascii="宋体" w:hAnsi="宋体"/>
                <w:color w:val="000000" w:themeColor="text1"/>
                <w:sz w:val="24"/>
                <w:szCs w:val="24"/>
              </w:rPr>
            </w:pPr>
            <w:r w:rsidRPr="00687B52">
              <w:rPr>
                <w:rFonts w:ascii="宋体" w:hAnsi="宋体" w:hint="eastAsia"/>
                <w:color w:val="000000" w:themeColor="text1"/>
                <w:sz w:val="24"/>
                <w:szCs w:val="24"/>
              </w:rPr>
              <w:t>5、爆炸性粉尘环境内的事故排风用电动机应在生产发生事故的情况下，在便于操作的地方设置事故启动按钮等控制设备。</w:t>
            </w:r>
          </w:p>
          <w:p w:rsidR="003E1D2A" w:rsidRPr="00687B52" w:rsidRDefault="003E1D2A" w:rsidP="003E1D2A">
            <w:pPr>
              <w:spacing w:line="320" w:lineRule="exact"/>
              <w:rPr>
                <w:rFonts w:ascii="宋体" w:hAnsi="宋体"/>
                <w:color w:val="000000" w:themeColor="text1"/>
                <w:sz w:val="24"/>
                <w:szCs w:val="24"/>
              </w:rPr>
            </w:pPr>
            <w:r w:rsidRPr="00687B52">
              <w:rPr>
                <w:rFonts w:ascii="宋体" w:hAnsi="宋体" w:hint="eastAsia"/>
                <w:color w:val="000000" w:themeColor="text1"/>
                <w:sz w:val="24"/>
                <w:szCs w:val="24"/>
              </w:rPr>
              <w:t>6在爆炸性粉尘环境内，应尽量减少插座和局部照明灯具的数量。如需采用时，插座宜布置在爆炸性粉尘不易积聚的地点，局部照明灯宜布置在事故时气流不易冲击的位置。粉尘环境中安装的插座开口的一面应朝下，且与垂直面的角度不应大于60度。</w:t>
            </w:r>
          </w:p>
        </w:tc>
        <w:tc>
          <w:tcPr>
            <w:tcW w:w="837" w:type="pct"/>
            <w:vAlign w:val="center"/>
          </w:tcPr>
          <w:p w:rsidR="003E1D2A" w:rsidRPr="00687B52" w:rsidRDefault="003E1D2A" w:rsidP="003E1D2A">
            <w:pPr>
              <w:spacing w:line="320" w:lineRule="exact"/>
              <w:jc w:val="center"/>
              <w:rPr>
                <w:color w:val="000000" w:themeColor="text1"/>
                <w:sz w:val="24"/>
                <w:szCs w:val="24"/>
              </w:rPr>
            </w:pPr>
            <w:r w:rsidRPr="00687B52">
              <w:rPr>
                <w:rFonts w:hint="eastAsia"/>
                <w:color w:val="000000" w:themeColor="text1"/>
                <w:sz w:val="24"/>
                <w:szCs w:val="24"/>
              </w:rPr>
              <w:t>《爆炸危险环境电力装置设计规范》</w:t>
            </w:r>
            <w:r w:rsidRPr="00687B52">
              <w:rPr>
                <w:rFonts w:hint="eastAsia"/>
                <w:color w:val="000000" w:themeColor="text1"/>
                <w:sz w:val="24"/>
                <w:szCs w:val="24"/>
              </w:rPr>
              <w:t>GB50058-2014</w:t>
            </w:r>
          </w:p>
          <w:p w:rsidR="003E1D2A" w:rsidRPr="00687B52" w:rsidRDefault="003E1D2A" w:rsidP="003E1D2A">
            <w:pPr>
              <w:spacing w:line="320" w:lineRule="exact"/>
              <w:jc w:val="center"/>
              <w:rPr>
                <w:color w:val="000000" w:themeColor="text1"/>
                <w:sz w:val="24"/>
                <w:szCs w:val="24"/>
              </w:rPr>
            </w:pPr>
            <w:r w:rsidRPr="00687B52">
              <w:rPr>
                <w:rFonts w:hint="eastAsia"/>
                <w:color w:val="000000" w:themeColor="text1"/>
                <w:sz w:val="24"/>
                <w:szCs w:val="24"/>
              </w:rPr>
              <w:t>第</w:t>
            </w:r>
            <w:r w:rsidRPr="00687B52">
              <w:rPr>
                <w:rFonts w:hint="eastAsia"/>
                <w:color w:val="000000" w:themeColor="text1"/>
                <w:sz w:val="24"/>
                <w:szCs w:val="24"/>
              </w:rPr>
              <w:t>5.1.1</w:t>
            </w:r>
            <w:r w:rsidRPr="00687B52">
              <w:rPr>
                <w:rFonts w:hint="eastAsia"/>
                <w:color w:val="000000" w:themeColor="text1"/>
                <w:sz w:val="24"/>
                <w:szCs w:val="24"/>
              </w:rPr>
              <w:t>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存在可燃粉尘的场所，其设备和装置的传动机构应符合下列规定：</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color w:val="000000" w:themeColor="text1"/>
                <w:kern w:val="0"/>
                <w:sz w:val="24"/>
              </w:rPr>
              <w:t>——</w:t>
            </w:r>
            <w:r w:rsidRPr="00687B52">
              <w:rPr>
                <w:rFonts w:ascii="宋体" w:hAnsi="宋体" w:cs="AdobeHeitiStd-Regular" w:hint="eastAsia"/>
                <w:color w:val="000000" w:themeColor="text1"/>
                <w:kern w:val="0"/>
                <w:sz w:val="24"/>
              </w:rPr>
              <w:t>工艺设备的轴承应防尘密封；如有过热可能，应安装能连续监测轴承温度的探测器；</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color w:val="000000" w:themeColor="text1"/>
                <w:kern w:val="0"/>
                <w:sz w:val="24"/>
              </w:rPr>
              <w:t>——</w:t>
            </w:r>
            <w:r w:rsidRPr="00687B52">
              <w:rPr>
                <w:rFonts w:ascii="宋体" w:hAnsi="宋体" w:cs="AdobeHeitiStd-Regular" w:hint="eastAsia"/>
                <w:color w:val="000000" w:themeColor="text1"/>
                <w:kern w:val="0"/>
                <w:sz w:val="24"/>
              </w:rPr>
              <w:t>不宜使用皮带传动；如果使用皮带传动，应安装速差传感器和自动防滑保护装置；当发生滑动摩擦时，保护装置应能确保自动停机。</w:t>
            </w:r>
          </w:p>
        </w:tc>
        <w:tc>
          <w:tcPr>
            <w:tcW w:w="837" w:type="pct"/>
            <w:vAlign w:val="center"/>
          </w:tcPr>
          <w:p w:rsidR="003E1D2A" w:rsidRPr="00687B52" w:rsidRDefault="003E1D2A" w:rsidP="003E1D2A">
            <w:pPr>
              <w:pStyle w:val="a7"/>
              <w:adjustRightInd/>
              <w:snapToGrid/>
              <w:rPr>
                <w:rFonts w:asciiTheme="minorEastAsia" w:hAnsiTheme="minorEastAsia"/>
                <w:color w:val="000000" w:themeColor="text1"/>
                <w:szCs w:val="24"/>
              </w:rPr>
            </w:pPr>
            <w:r w:rsidRPr="00687B52">
              <w:rPr>
                <w:rFonts w:asciiTheme="minorEastAsia" w:hAnsiTheme="minorEastAsia"/>
                <w:color w:val="000000" w:themeColor="text1"/>
                <w:szCs w:val="24"/>
              </w:rPr>
              <w:t>《</w:t>
            </w:r>
            <w:r w:rsidRPr="00687B52">
              <w:rPr>
                <w:rFonts w:ascii="Arial" w:hint="eastAsia"/>
                <w:color w:val="000000" w:themeColor="text1"/>
                <w:szCs w:val="24"/>
              </w:rPr>
              <w:t>粉尘防爆安全规程</w:t>
            </w:r>
            <w:r w:rsidRPr="00687B52">
              <w:rPr>
                <w:rFonts w:asciiTheme="minorEastAsia" w:hAnsiTheme="minorEastAsia"/>
                <w:color w:val="000000" w:themeColor="text1"/>
                <w:szCs w:val="24"/>
              </w:rPr>
              <w:t>》</w:t>
            </w:r>
            <w:r w:rsidRPr="00687B52">
              <w:rPr>
                <w:rFonts w:ascii="Arial"/>
                <w:color w:val="000000" w:themeColor="text1"/>
                <w:szCs w:val="24"/>
              </w:rPr>
              <w:t>GB1</w:t>
            </w:r>
            <w:r w:rsidRPr="00687B52">
              <w:rPr>
                <w:rFonts w:ascii="Arial" w:hint="eastAsia"/>
                <w:color w:val="000000" w:themeColor="text1"/>
                <w:szCs w:val="24"/>
              </w:rPr>
              <w:t>5577</w:t>
            </w:r>
            <w:r w:rsidRPr="00687B52">
              <w:rPr>
                <w:rFonts w:ascii="Arial"/>
                <w:color w:val="000000" w:themeColor="text1"/>
                <w:szCs w:val="24"/>
              </w:rPr>
              <w:t>-200</w:t>
            </w:r>
            <w:r w:rsidRPr="00687B52">
              <w:rPr>
                <w:rFonts w:ascii="Arial" w:hint="eastAsia"/>
                <w:color w:val="000000" w:themeColor="text1"/>
                <w:szCs w:val="24"/>
              </w:rPr>
              <w:t>7</w:t>
            </w:r>
            <w:r w:rsidRPr="00687B52">
              <w:rPr>
                <w:rFonts w:ascii="Arial"/>
                <w:color w:val="000000" w:themeColor="text1"/>
                <w:szCs w:val="24"/>
              </w:rPr>
              <w:t>第</w:t>
            </w:r>
            <w:r w:rsidRPr="00687B52">
              <w:rPr>
                <w:rFonts w:ascii="Arial" w:hint="eastAsia"/>
                <w:color w:val="000000" w:themeColor="text1"/>
                <w:szCs w:val="24"/>
              </w:rPr>
              <w:t>6.2.3</w:t>
            </w:r>
            <w:r w:rsidRPr="00687B52">
              <w:rPr>
                <w:rFonts w:ascii="Arial"/>
                <w:color w:val="000000" w:themeColor="text1"/>
                <w:szCs w:val="24"/>
              </w:rPr>
              <w:t>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1、所有金属设备、装置外壳、金属管道、支架、构件、部件等，一般应采用防静电直接接地；不便或工艺不允许直接接地的，可通过导静电材料或制品间接接地；</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2、直接用于盛装起电粉末的器具、输送粉末的管道(带)等，应采用金属或防静电材料制成；</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3、所有金属管道连接处(如法兰)，应进行跨接；</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4、操作人员应采取防静电措施；</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5、不应采用直接接地的金属导体或筛网与高速流动的粉末接触的方法消除静电；</w:t>
            </w:r>
          </w:p>
        </w:tc>
        <w:tc>
          <w:tcPr>
            <w:tcW w:w="837" w:type="pct"/>
            <w:vAlign w:val="center"/>
          </w:tcPr>
          <w:p w:rsidR="003E1D2A" w:rsidRPr="00687B52" w:rsidRDefault="003E1D2A" w:rsidP="003E1D2A">
            <w:pPr>
              <w:pStyle w:val="a7"/>
              <w:adjustRightInd/>
              <w:snapToGrid/>
              <w:rPr>
                <w:rFonts w:asciiTheme="minorEastAsia" w:hAnsiTheme="minorEastAsia"/>
                <w:color w:val="000000" w:themeColor="text1"/>
                <w:szCs w:val="24"/>
              </w:rPr>
            </w:pPr>
            <w:r w:rsidRPr="00687B52">
              <w:rPr>
                <w:rFonts w:asciiTheme="minorEastAsia" w:hAnsiTheme="minorEastAsia"/>
                <w:color w:val="000000" w:themeColor="text1"/>
                <w:szCs w:val="24"/>
              </w:rPr>
              <w:t>《</w:t>
            </w:r>
            <w:r w:rsidRPr="00687B52">
              <w:rPr>
                <w:rFonts w:ascii="Arial" w:hint="eastAsia"/>
                <w:color w:val="000000" w:themeColor="text1"/>
                <w:szCs w:val="24"/>
              </w:rPr>
              <w:t>粉尘防爆安全规程</w:t>
            </w:r>
            <w:r w:rsidRPr="00687B52">
              <w:rPr>
                <w:rFonts w:asciiTheme="minorEastAsia" w:hAnsiTheme="minorEastAsia"/>
                <w:color w:val="000000" w:themeColor="text1"/>
                <w:szCs w:val="24"/>
              </w:rPr>
              <w:t>》</w:t>
            </w:r>
            <w:r w:rsidRPr="00687B52">
              <w:rPr>
                <w:rFonts w:ascii="Arial"/>
                <w:color w:val="000000" w:themeColor="text1"/>
                <w:szCs w:val="24"/>
              </w:rPr>
              <w:t>GB1</w:t>
            </w:r>
            <w:r w:rsidRPr="00687B52">
              <w:rPr>
                <w:rFonts w:ascii="Arial" w:hint="eastAsia"/>
                <w:color w:val="000000" w:themeColor="text1"/>
                <w:szCs w:val="24"/>
              </w:rPr>
              <w:t>5577</w:t>
            </w:r>
            <w:r w:rsidRPr="00687B52">
              <w:rPr>
                <w:rFonts w:ascii="Arial"/>
                <w:color w:val="000000" w:themeColor="text1"/>
                <w:szCs w:val="24"/>
              </w:rPr>
              <w:t>-200</w:t>
            </w:r>
            <w:r w:rsidRPr="00687B52">
              <w:rPr>
                <w:rFonts w:ascii="Arial" w:hint="eastAsia"/>
                <w:color w:val="000000" w:themeColor="text1"/>
                <w:szCs w:val="24"/>
              </w:rPr>
              <w:t>7</w:t>
            </w:r>
            <w:r w:rsidRPr="00687B52">
              <w:rPr>
                <w:rFonts w:ascii="Arial"/>
                <w:color w:val="000000" w:themeColor="text1"/>
                <w:szCs w:val="24"/>
              </w:rPr>
              <w:t>第</w:t>
            </w:r>
            <w:r w:rsidRPr="00687B52">
              <w:rPr>
                <w:rFonts w:ascii="Arial" w:hint="eastAsia"/>
                <w:color w:val="000000" w:themeColor="text1"/>
                <w:szCs w:val="24"/>
              </w:rPr>
              <w:t>6.3.2</w:t>
            </w:r>
            <w:r w:rsidRPr="00687B52">
              <w:rPr>
                <w:rFonts w:ascii="Arial"/>
                <w:color w:val="000000" w:themeColor="text1"/>
                <w:szCs w:val="24"/>
              </w:rPr>
              <w:t>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通风除尘</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1、宜按工艺分片设置相对独立的除尘系统；</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2、所有产尘点均应装设吸尘罩；</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3、风管中不应有粉尘沉降；</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4、采用粉尘防爆型风机。</w:t>
            </w:r>
          </w:p>
        </w:tc>
        <w:tc>
          <w:tcPr>
            <w:tcW w:w="837" w:type="pct"/>
            <w:vAlign w:val="center"/>
          </w:tcPr>
          <w:p w:rsidR="003E1D2A" w:rsidRPr="00687B52" w:rsidRDefault="003E1D2A" w:rsidP="003E1D2A">
            <w:pPr>
              <w:pStyle w:val="a7"/>
              <w:adjustRightInd/>
              <w:snapToGrid/>
              <w:rPr>
                <w:rFonts w:asciiTheme="minorEastAsia" w:hAnsiTheme="minorEastAsia"/>
                <w:color w:val="000000" w:themeColor="text1"/>
                <w:szCs w:val="24"/>
              </w:rPr>
            </w:pPr>
            <w:r w:rsidRPr="00687B52">
              <w:rPr>
                <w:rFonts w:asciiTheme="minorEastAsia" w:hAnsiTheme="minorEastAsia"/>
                <w:color w:val="000000" w:themeColor="text1"/>
                <w:szCs w:val="24"/>
              </w:rPr>
              <w:t>《</w:t>
            </w:r>
            <w:r w:rsidRPr="00687B52">
              <w:rPr>
                <w:rFonts w:ascii="Arial" w:hint="eastAsia"/>
                <w:color w:val="000000" w:themeColor="text1"/>
                <w:szCs w:val="24"/>
              </w:rPr>
              <w:t>粉尘防爆安全规程</w:t>
            </w:r>
            <w:r w:rsidRPr="00687B52">
              <w:rPr>
                <w:rFonts w:asciiTheme="minorEastAsia" w:hAnsiTheme="minorEastAsia"/>
                <w:color w:val="000000" w:themeColor="text1"/>
                <w:szCs w:val="24"/>
              </w:rPr>
              <w:t>》</w:t>
            </w:r>
            <w:r w:rsidRPr="00687B52">
              <w:rPr>
                <w:rFonts w:ascii="Arial"/>
                <w:color w:val="000000" w:themeColor="text1"/>
                <w:szCs w:val="24"/>
              </w:rPr>
              <w:t>GB1</w:t>
            </w:r>
            <w:r w:rsidRPr="00687B52">
              <w:rPr>
                <w:rFonts w:ascii="Arial" w:hint="eastAsia"/>
                <w:color w:val="000000" w:themeColor="text1"/>
                <w:szCs w:val="24"/>
              </w:rPr>
              <w:t>5577</w:t>
            </w:r>
            <w:r w:rsidRPr="00687B52">
              <w:rPr>
                <w:rFonts w:ascii="Arial"/>
                <w:color w:val="000000" w:themeColor="text1"/>
                <w:szCs w:val="24"/>
              </w:rPr>
              <w:t>-200</w:t>
            </w:r>
            <w:r w:rsidRPr="00687B52">
              <w:rPr>
                <w:rFonts w:ascii="Arial" w:hint="eastAsia"/>
                <w:color w:val="000000" w:themeColor="text1"/>
                <w:szCs w:val="24"/>
              </w:rPr>
              <w:t>7</w:t>
            </w:r>
            <w:r w:rsidRPr="00687B52">
              <w:rPr>
                <w:rFonts w:ascii="Arial"/>
                <w:color w:val="000000" w:themeColor="text1"/>
                <w:szCs w:val="24"/>
              </w:rPr>
              <w:t>第</w:t>
            </w:r>
            <w:r w:rsidRPr="00687B52">
              <w:rPr>
                <w:rFonts w:ascii="Arial" w:hint="eastAsia"/>
                <w:color w:val="000000" w:themeColor="text1"/>
                <w:szCs w:val="24"/>
              </w:rPr>
              <w:t>6.6</w:t>
            </w:r>
            <w:r w:rsidRPr="00687B52">
              <w:rPr>
                <w:rFonts w:ascii="Arial"/>
                <w:color w:val="000000" w:themeColor="text1"/>
                <w:szCs w:val="24"/>
              </w:rPr>
              <w:t>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爆炸时实现保护性停车：</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应根据车间的大小，安装数个能互相联锁的动力电源控制箱；在紧急情况下，应能及时切断所有电机的电源。</w:t>
            </w:r>
          </w:p>
        </w:tc>
        <w:tc>
          <w:tcPr>
            <w:tcW w:w="837" w:type="pct"/>
            <w:vAlign w:val="center"/>
          </w:tcPr>
          <w:p w:rsidR="003E1D2A" w:rsidRPr="00687B52" w:rsidRDefault="003E1D2A" w:rsidP="003E1D2A">
            <w:pPr>
              <w:pStyle w:val="a7"/>
              <w:adjustRightInd/>
              <w:snapToGrid/>
              <w:rPr>
                <w:rFonts w:asciiTheme="minorEastAsia" w:hAnsiTheme="minorEastAsia"/>
                <w:color w:val="000000" w:themeColor="text1"/>
                <w:szCs w:val="24"/>
              </w:rPr>
            </w:pPr>
            <w:r w:rsidRPr="00687B52">
              <w:rPr>
                <w:rFonts w:asciiTheme="minorEastAsia" w:hAnsiTheme="minorEastAsia"/>
                <w:color w:val="000000" w:themeColor="text1"/>
                <w:szCs w:val="24"/>
              </w:rPr>
              <w:t>《</w:t>
            </w:r>
            <w:r w:rsidRPr="00687B52">
              <w:rPr>
                <w:rFonts w:ascii="Arial" w:hint="eastAsia"/>
                <w:color w:val="000000" w:themeColor="text1"/>
                <w:szCs w:val="24"/>
              </w:rPr>
              <w:t>粉尘防爆安全规程</w:t>
            </w:r>
            <w:r w:rsidRPr="00687B52">
              <w:rPr>
                <w:rFonts w:asciiTheme="minorEastAsia" w:hAnsiTheme="minorEastAsia"/>
                <w:color w:val="000000" w:themeColor="text1"/>
                <w:szCs w:val="24"/>
              </w:rPr>
              <w:t>》</w:t>
            </w:r>
            <w:r w:rsidRPr="00687B52">
              <w:rPr>
                <w:rFonts w:ascii="Arial"/>
                <w:color w:val="000000" w:themeColor="text1"/>
                <w:szCs w:val="24"/>
              </w:rPr>
              <w:t>GB1</w:t>
            </w:r>
            <w:r w:rsidRPr="00687B52">
              <w:rPr>
                <w:rFonts w:ascii="Arial" w:hint="eastAsia"/>
                <w:color w:val="000000" w:themeColor="text1"/>
                <w:szCs w:val="24"/>
              </w:rPr>
              <w:t>5577</w:t>
            </w:r>
            <w:r w:rsidRPr="00687B52">
              <w:rPr>
                <w:rFonts w:ascii="Arial"/>
                <w:color w:val="000000" w:themeColor="text1"/>
                <w:szCs w:val="24"/>
              </w:rPr>
              <w:t>-200</w:t>
            </w:r>
            <w:r w:rsidRPr="00687B52">
              <w:rPr>
                <w:rFonts w:ascii="Arial" w:hint="eastAsia"/>
                <w:color w:val="000000" w:themeColor="text1"/>
                <w:szCs w:val="24"/>
              </w:rPr>
              <w:t>7</w:t>
            </w:r>
            <w:r w:rsidRPr="00687B52">
              <w:rPr>
                <w:rFonts w:ascii="Arial"/>
                <w:color w:val="000000" w:themeColor="text1"/>
                <w:szCs w:val="24"/>
              </w:rPr>
              <w:t>第</w:t>
            </w:r>
            <w:r w:rsidRPr="00687B52">
              <w:rPr>
                <w:rFonts w:ascii="Arial" w:hint="eastAsia"/>
                <w:color w:val="000000" w:themeColor="text1"/>
                <w:szCs w:val="24"/>
              </w:rPr>
              <w:t>7.2</w:t>
            </w:r>
            <w:r w:rsidRPr="00687B52">
              <w:rPr>
                <w:rFonts w:ascii="Arial"/>
                <w:color w:val="000000" w:themeColor="text1"/>
                <w:szCs w:val="24"/>
              </w:rPr>
              <w:t>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工艺设备的强度不足以承受其实际工况下内部粉尘爆炸产生的超压时，应设置泄爆口。</w:t>
            </w:r>
          </w:p>
        </w:tc>
        <w:tc>
          <w:tcPr>
            <w:tcW w:w="837" w:type="pct"/>
            <w:vAlign w:val="center"/>
          </w:tcPr>
          <w:p w:rsidR="003E1D2A" w:rsidRPr="00687B52" w:rsidRDefault="003E1D2A" w:rsidP="003E1D2A">
            <w:pPr>
              <w:pStyle w:val="a7"/>
              <w:adjustRightInd/>
              <w:snapToGrid/>
              <w:rPr>
                <w:rFonts w:asciiTheme="minorEastAsia" w:hAnsiTheme="minorEastAsia"/>
                <w:color w:val="000000" w:themeColor="text1"/>
                <w:szCs w:val="24"/>
              </w:rPr>
            </w:pPr>
            <w:r w:rsidRPr="00687B52">
              <w:rPr>
                <w:rFonts w:asciiTheme="minorEastAsia" w:hAnsiTheme="minorEastAsia"/>
                <w:color w:val="000000" w:themeColor="text1"/>
                <w:szCs w:val="24"/>
              </w:rPr>
              <w:t>《</w:t>
            </w:r>
            <w:r w:rsidRPr="00687B52">
              <w:rPr>
                <w:rFonts w:ascii="Arial" w:hint="eastAsia"/>
                <w:color w:val="000000" w:themeColor="text1"/>
                <w:szCs w:val="24"/>
              </w:rPr>
              <w:t>粉尘防爆安全规程</w:t>
            </w:r>
            <w:r w:rsidRPr="00687B52">
              <w:rPr>
                <w:rFonts w:asciiTheme="minorEastAsia" w:hAnsiTheme="minorEastAsia"/>
                <w:color w:val="000000" w:themeColor="text1"/>
                <w:szCs w:val="24"/>
              </w:rPr>
              <w:t>》</w:t>
            </w:r>
            <w:r w:rsidRPr="00687B52">
              <w:rPr>
                <w:rFonts w:ascii="Arial"/>
                <w:color w:val="000000" w:themeColor="text1"/>
                <w:szCs w:val="24"/>
              </w:rPr>
              <w:t>GB1</w:t>
            </w:r>
            <w:r w:rsidRPr="00687B52">
              <w:rPr>
                <w:rFonts w:ascii="Arial" w:hint="eastAsia"/>
                <w:color w:val="000000" w:themeColor="text1"/>
                <w:szCs w:val="24"/>
              </w:rPr>
              <w:t>5577</w:t>
            </w:r>
            <w:r w:rsidRPr="00687B52">
              <w:rPr>
                <w:rFonts w:ascii="Arial"/>
                <w:color w:val="000000" w:themeColor="text1"/>
                <w:szCs w:val="24"/>
              </w:rPr>
              <w:t>-200</w:t>
            </w:r>
            <w:r w:rsidRPr="00687B52">
              <w:rPr>
                <w:rFonts w:ascii="Arial" w:hint="eastAsia"/>
                <w:color w:val="000000" w:themeColor="text1"/>
                <w:szCs w:val="24"/>
              </w:rPr>
              <w:t>7</w:t>
            </w:r>
            <w:r w:rsidRPr="00687B52">
              <w:rPr>
                <w:rFonts w:ascii="Arial"/>
                <w:color w:val="000000" w:themeColor="text1"/>
                <w:szCs w:val="24"/>
              </w:rPr>
              <w:t>第</w:t>
            </w:r>
            <w:r w:rsidRPr="00687B52">
              <w:rPr>
                <w:rFonts w:ascii="Arial" w:hint="eastAsia"/>
                <w:color w:val="000000" w:themeColor="text1"/>
                <w:szCs w:val="24"/>
              </w:rPr>
              <w:t>7.5.1</w:t>
            </w:r>
            <w:r w:rsidRPr="00687B52">
              <w:rPr>
                <w:rFonts w:ascii="Arial"/>
                <w:color w:val="000000" w:themeColor="text1"/>
                <w:szCs w:val="24"/>
              </w:rPr>
              <w:t>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特殊地点的清洁要求：</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1、不能完全防止粉尘泄漏的特殊地点(如粉料进出工艺设备处)，应采取有效的除尘措施；</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2、手工装粉料场所，应采取有效的防尘措施；</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3、进行打包的场所，应定期清扫粉尘。</w:t>
            </w:r>
          </w:p>
        </w:tc>
        <w:tc>
          <w:tcPr>
            <w:tcW w:w="837" w:type="pct"/>
            <w:vAlign w:val="center"/>
          </w:tcPr>
          <w:p w:rsidR="003E1D2A" w:rsidRPr="00687B52" w:rsidRDefault="003E1D2A" w:rsidP="003E1D2A">
            <w:pPr>
              <w:pStyle w:val="a7"/>
              <w:adjustRightInd/>
              <w:snapToGrid/>
              <w:rPr>
                <w:rFonts w:asciiTheme="minorEastAsia" w:hAnsiTheme="minorEastAsia"/>
                <w:color w:val="000000" w:themeColor="text1"/>
                <w:szCs w:val="24"/>
              </w:rPr>
            </w:pPr>
            <w:r w:rsidRPr="00687B52">
              <w:rPr>
                <w:rFonts w:asciiTheme="minorEastAsia" w:hAnsiTheme="minorEastAsia"/>
                <w:color w:val="000000" w:themeColor="text1"/>
                <w:szCs w:val="24"/>
              </w:rPr>
              <w:t>《</w:t>
            </w:r>
            <w:r w:rsidRPr="00687B52">
              <w:rPr>
                <w:rFonts w:ascii="Arial" w:hint="eastAsia"/>
                <w:color w:val="000000" w:themeColor="text1"/>
                <w:szCs w:val="24"/>
              </w:rPr>
              <w:t>粉尘防爆安全规程</w:t>
            </w:r>
            <w:r w:rsidRPr="00687B52">
              <w:rPr>
                <w:rFonts w:asciiTheme="minorEastAsia" w:hAnsiTheme="minorEastAsia"/>
                <w:color w:val="000000" w:themeColor="text1"/>
                <w:szCs w:val="24"/>
              </w:rPr>
              <w:t>》</w:t>
            </w:r>
            <w:r w:rsidRPr="00687B52">
              <w:rPr>
                <w:rFonts w:ascii="Arial"/>
                <w:color w:val="000000" w:themeColor="text1"/>
                <w:szCs w:val="24"/>
              </w:rPr>
              <w:t>GB1</w:t>
            </w:r>
            <w:r w:rsidRPr="00687B52">
              <w:rPr>
                <w:rFonts w:ascii="Arial" w:hint="eastAsia"/>
                <w:color w:val="000000" w:themeColor="text1"/>
                <w:szCs w:val="24"/>
              </w:rPr>
              <w:t>5577</w:t>
            </w:r>
            <w:r w:rsidRPr="00687B52">
              <w:rPr>
                <w:rFonts w:ascii="Arial"/>
                <w:color w:val="000000" w:themeColor="text1"/>
                <w:szCs w:val="24"/>
              </w:rPr>
              <w:t>-200</w:t>
            </w:r>
            <w:r w:rsidRPr="00687B52">
              <w:rPr>
                <w:rFonts w:ascii="Arial" w:hint="eastAsia"/>
                <w:color w:val="000000" w:themeColor="text1"/>
                <w:szCs w:val="24"/>
              </w:rPr>
              <w:t>7</w:t>
            </w:r>
            <w:r w:rsidRPr="00687B52">
              <w:rPr>
                <w:rFonts w:ascii="Arial"/>
                <w:color w:val="000000" w:themeColor="text1"/>
                <w:szCs w:val="24"/>
              </w:rPr>
              <w:t>第</w:t>
            </w:r>
            <w:r w:rsidRPr="00687B52">
              <w:rPr>
                <w:rFonts w:ascii="Arial" w:hint="eastAsia"/>
                <w:color w:val="000000" w:themeColor="text1"/>
                <w:szCs w:val="24"/>
              </w:rPr>
              <w:t>8.2</w:t>
            </w:r>
            <w:r w:rsidRPr="00687B52">
              <w:rPr>
                <w:rFonts w:ascii="Arial"/>
                <w:color w:val="000000" w:themeColor="text1"/>
                <w:szCs w:val="24"/>
              </w:rPr>
              <w:t>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在工房内进行焊接、切割等明火作业时，应遵守下列规定</w:t>
            </w:r>
            <w:r w:rsidRPr="00687B52">
              <w:rPr>
                <w:rFonts w:ascii="宋体" w:hAnsi="宋体" w:cs="AdobeHeitiStd-Regular"/>
                <w:color w:val="000000" w:themeColor="text1"/>
                <w:kern w:val="0"/>
                <w:sz w:val="24"/>
              </w:rPr>
              <w:t>:</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—有经安全负责人批准签字的作业证</w:t>
            </w:r>
            <w:r w:rsidRPr="00687B52">
              <w:rPr>
                <w:rFonts w:ascii="宋体" w:hAnsi="宋体" w:cs="AdobeHeitiStd-Regular"/>
                <w:color w:val="000000" w:themeColor="text1"/>
                <w:kern w:val="0"/>
                <w:sz w:val="24"/>
              </w:rPr>
              <w:t>;</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—作业开始前，设备应停止运转并彻底清扫设备内或作业场所的粉尘和易燃物。</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—作业开始前，应将盛有产品的桶</w:t>
            </w:r>
            <w:r w:rsidRPr="00687B52">
              <w:rPr>
                <w:rFonts w:ascii="宋体" w:hAnsi="宋体" w:cs="AdobeHeitiStd-Regular"/>
                <w:color w:val="000000" w:themeColor="text1"/>
                <w:kern w:val="0"/>
                <w:sz w:val="24"/>
              </w:rPr>
              <w:t>(</w:t>
            </w:r>
            <w:r w:rsidRPr="00687B52">
              <w:rPr>
                <w:rFonts w:ascii="宋体" w:hAnsi="宋体" w:cs="AdobeHeitiStd-Regular" w:hint="eastAsia"/>
                <w:color w:val="000000" w:themeColor="text1"/>
                <w:kern w:val="0"/>
                <w:sz w:val="24"/>
              </w:rPr>
              <w:t>袋</w:t>
            </w:r>
            <w:r w:rsidRPr="00687B52">
              <w:rPr>
                <w:rFonts w:ascii="宋体" w:hAnsi="宋体" w:cs="AdobeHeitiStd-Regular"/>
                <w:color w:val="000000" w:themeColor="text1"/>
                <w:kern w:val="0"/>
                <w:sz w:val="24"/>
              </w:rPr>
              <w:t>)</w:t>
            </w:r>
            <w:r w:rsidRPr="00687B52">
              <w:rPr>
                <w:rFonts w:ascii="宋体" w:hAnsi="宋体" w:cs="AdobeHeitiStd-Regular" w:hint="eastAsia"/>
                <w:color w:val="000000" w:themeColor="text1"/>
                <w:kern w:val="0"/>
                <w:sz w:val="24"/>
              </w:rPr>
              <w:t>全部运出工房</w:t>
            </w:r>
            <w:r w:rsidRPr="00687B52">
              <w:rPr>
                <w:rFonts w:ascii="宋体" w:hAnsi="宋体" w:cs="AdobeHeitiStd-Regular"/>
                <w:color w:val="000000" w:themeColor="text1"/>
                <w:kern w:val="0"/>
                <w:sz w:val="24"/>
              </w:rPr>
              <w:t>;</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—应将进行明火作业的区段与其他区段彻底隔离</w:t>
            </w:r>
            <w:r w:rsidRPr="00687B52">
              <w:rPr>
                <w:rFonts w:ascii="宋体" w:hAnsi="宋体" w:cs="AdobeHeitiStd-Regular"/>
                <w:color w:val="000000" w:themeColor="text1"/>
                <w:kern w:val="0"/>
                <w:sz w:val="24"/>
              </w:rPr>
              <w:t>;</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—在高处进行明火作业时，应有防止因火花飞溅而引起周围易燃易爆物质燃烧或爆炸的措施</w:t>
            </w:r>
            <w:r w:rsidRPr="00687B52">
              <w:rPr>
                <w:rFonts w:ascii="宋体" w:hAnsi="宋体" w:cs="AdobeHeitiStd-Regular"/>
                <w:color w:val="000000" w:themeColor="text1"/>
                <w:kern w:val="0"/>
                <w:sz w:val="24"/>
              </w:rPr>
              <w:t>;</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—进行明火作业期间应有安全人员在场监督</w:t>
            </w:r>
            <w:r w:rsidRPr="00687B52">
              <w:rPr>
                <w:rFonts w:ascii="宋体" w:hAnsi="宋体" w:cs="AdobeHeitiStd-Regular"/>
                <w:color w:val="000000" w:themeColor="text1"/>
                <w:kern w:val="0"/>
                <w:sz w:val="24"/>
              </w:rPr>
              <w:t>;</w:t>
            </w:r>
          </w:p>
          <w:p w:rsidR="003E1D2A" w:rsidRPr="00687B52" w:rsidRDefault="003E1D2A" w:rsidP="003E1D2A">
            <w:pPr>
              <w:widowControl/>
              <w:spacing w:line="320" w:lineRule="exact"/>
              <w:rPr>
                <w:rFonts w:ascii="宋体" w:hAnsi="宋体"/>
                <w:color w:val="000000" w:themeColor="text1"/>
                <w:kern w:val="0"/>
                <w:sz w:val="24"/>
                <w:szCs w:val="24"/>
              </w:rPr>
            </w:pPr>
            <w:r w:rsidRPr="00687B52">
              <w:rPr>
                <w:rFonts w:ascii="宋体" w:hAnsi="宋体" w:cs="AdobeHeitiStd-Regular" w:hint="eastAsia"/>
                <w:color w:val="000000" w:themeColor="text1"/>
                <w:kern w:val="0"/>
                <w:sz w:val="24"/>
              </w:rPr>
              <w:t>—进行明火作业期间和随后的冷却期间，不允许有粉尘进人明火作业场所。</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《铝镁粉加工粉尘防爆安全规程》GB17269-2003第7.1.2条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铝镁粉加工设备应符合下列规定</w:t>
            </w:r>
            <w:r w:rsidRPr="00687B52">
              <w:rPr>
                <w:rFonts w:ascii="宋体" w:hAnsi="宋体" w:cs="AdobeHeitiStd-Regular"/>
                <w:color w:val="000000" w:themeColor="text1"/>
                <w:kern w:val="0"/>
                <w:sz w:val="24"/>
              </w:rPr>
              <w:t>:</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—附有设备安全操作说明书</w:t>
            </w:r>
            <w:r w:rsidRPr="00687B52">
              <w:rPr>
                <w:rFonts w:ascii="宋体" w:hAnsi="宋体" w:cs="AdobeHeitiStd-Regular"/>
                <w:color w:val="000000" w:themeColor="text1"/>
                <w:kern w:val="0"/>
                <w:sz w:val="24"/>
              </w:rPr>
              <w:t>;</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—轴承防尘密封</w:t>
            </w:r>
            <w:r w:rsidRPr="00687B52">
              <w:rPr>
                <w:rFonts w:ascii="宋体" w:hAnsi="宋体" w:cs="AdobeHeitiStd-Regular"/>
                <w:color w:val="000000" w:themeColor="text1"/>
                <w:kern w:val="0"/>
                <w:sz w:val="24"/>
              </w:rPr>
              <w:t>;</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—设过载保护装置</w:t>
            </w:r>
            <w:r w:rsidRPr="00687B52">
              <w:rPr>
                <w:rFonts w:ascii="宋体" w:hAnsi="宋体" w:cs="AdobeHeitiStd-Regular"/>
                <w:color w:val="000000" w:themeColor="text1"/>
                <w:kern w:val="0"/>
                <w:sz w:val="24"/>
              </w:rPr>
              <w:t>;</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—内外便于清扫，无粉尘集聚的空隙</w:t>
            </w:r>
            <w:r w:rsidRPr="00687B52">
              <w:rPr>
                <w:rFonts w:ascii="宋体" w:hAnsi="宋体" w:cs="AdobeHeitiStd-Regular"/>
                <w:color w:val="000000" w:themeColor="text1"/>
                <w:kern w:val="0"/>
                <w:sz w:val="24"/>
              </w:rPr>
              <w:t>;</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—良好接地</w:t>
            </w:r>
            <w:r w:rsidRPr="00687B52">
              <w:rPr>
                <w:rFonts w:ascii="宋体" w:hAnsi="宋体" w:cs="AdobeHeitiStd-Regular"/>
                <w:color w:val="000000" w:themeColor="text1"/>
                <w:kern w:val="0"/>
                <w:sz w:val="24"/>
              </w:rPr>
              <w:t>;</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—密封良好，无粉尘泄漏。</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《铝镁粉加工粉尘防爆安全规程》GB17269-2003</w:t>
            </w:r>
          </w:p>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第7.2.1条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在可能有金属或其他异物进入处应安装永久磁性分离器、风力分离器或筛分机等。</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《铝镁粉加工粉尘防爆安全规程》GB17269-2003</w:t>
            </w:r>
          </w:p>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第7.2.2条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检修用手工工具应为防爆工具。</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《铝镁粉加工粉尘防爆安全规程》GB17269-2003</w:t>
            </w:r>
          </w:p>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第7.2.7条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铝粉、铝镁合金粉干磨、筛分、破碎时应遵守下列规定</w:t>
            </w:r>
            <w:r w:rsidRPr="00687B52">
              <w:rPr>
                <w:rFonts w:ascii="宋体" w:hAnsi="宋体" w:cs="AdobeHeitiStd-Regular"/>
                <w:color w:val="000000" w:themeColor="text1"/>
                <w:kern w:val="0"/>
                <w:sz w:val="24"/>
              </w:rPr>
              <w:t>:</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—系统内应充氮气保护。设备启动时保护气体的含氧量为</w:t>
            </w:r>
            <w:r w:rsidRPr="00687B52">
              <w:rPr>
                <w:rFonts w:ascii="宋体" w:hAnsi="宋体" w:cs="AdobeHeitiStd-Regular"/>
                <w:color w:val="000000" w:themeColor="text1"/>
                <w:kern w:val="0"/>
                <w:sz w:val="24"/>
              </w:rPr>
              <w:t>2</w:t>
            </w:r>
            <w:r w:rsidRPr="00687B52">
              <w:rPr>
                <w:rFonts w:ascii="宋体" w:hAnsi="宋体" w:cs="AdobeHeitiStd-Regular" w:hint="eastAsia"/>
                <w:color w:val="000000" w:themeColor="text1"/>
                <w:kern w:val="0"/>
                <w:sz w:val="24"/>
              </w:rPr>
              <w:t>%</w:t>
            </w:r>
            <w:r w:rsidRPr="00687B52">
              <w:rPr>
                <w:rFonts w:ascii="宋体" w:hAnsi="宋体" w:cs="AdobeHeitiStd-Regular"/>
                <w:color w:val="000000" w:themeColor="text1"/>
                <w:kern w:val="0"/>
                <w:sz w:val="24"/>
              </w:rPr>
              <w:t>-5</w:t>
            </w:r>
            <w:r w:rsidRPr="00687B52">
              <w:rPr>
                <w:rFonts w:ascii="宋体" w:hAnsi="宋体" w:cs="AdobeHeitiStd-Regular" w:hint="eastAsia"/>
                <w:color w:val="000000" w:themeColor="text1"/>
                <w:kern w:val="0"/>
                <w:sz w:val="24"/>
              </w:rPr>
              <w:t>%。经一段时间进人正常运转后，保护气体中含氧量，铝粉为</w:t>
            </w:r>
            <w:r w:rsidRPr="00687B52">
              <w:rPr>
                <w:rFonts w:ascii="宋体" w:hAnsi="宋体" w:cs="AdobeHeitiStd-Regular"/>
                <w:color w:val="000000" w:themeColor="text1"/>
                <w:kern w:val="0"/>
                <w:sz w:val="24"/>
              </w:rPr>
              <w:t>2</w:t>
            </w:r>
            <w:r w:rsidRPr="00687B52">
              <w:rPr>
                <w:rFonts w:ascii="宋体" w:hAnsi="宋体" w:cs="AdobeHeitiStd-Regular" w:hint="eastAsia"/>
                <w:color w:val="000000" w:themeColor="text1"/>
                <w:kern w:val="0"/>
                <w:sz w:val="24"/>
              </w:rPr>
              <w:t>%</w:t>
            </w:r>
            <w:r w:rsidRPr="00687B52">
              <w:rPr>
                <w:rFonts w:ascii="宋体" w:hAnsi="宋体" w:cs="AdobeHeitiStd-Regular"/>
                <w:color w:val="000000" w:themeColor="text1"/>
                <w:kern w:val="0"/>
                <w:sz w:val="24"/>
              </w:rPr>
              <w:t>-8</w:t>
            </w:r>
            <w:r w:rsidRPr="00687B52">
              <w:rPr>
                <w:rFonts w:ascii="宋体" w:hAnsi="宋体" w:cs="AdobeHeitiStd-Regular" w:hint="eastAsia"/>
                <w:color w:val="000000" w:themeColor="text1"/>
                <w:kern w:val="0"/>
                <w:sz w:val="24"/>
              </w:rPr>
              <w:t>%，铝镁合金粉为</w:t>
            </w:r>
            <w:r w:rsidRPr="00687B52">
              <w:rPr>
                <w:rFonts w:ascii="宋体" w:hAnsi="宋体" w:cs="AdobeHeitiStd-Regular"/>
                <w:color w:val="000000" w:themeColor="text1"/>
                <w:kern w:val="0"/>
                <w:sz w:val="24"/>
              </w:rPr>
              <w:t>2%-6</w:t>
            </w:r>
            <w:r w:rsidRPr="00687B52">
              <w:rPr>
                <w:rFonts w:ascii="宋体" w:hAnsi="宋体" w:cs="AdobeHeitiStd-Regular" w:hint="eastAsia"/>
                <w:color w:val="000000" w:themeColor="text1"/>
                <w:kern w:val="0"/>
                <w:sz w:val="24"/>
              </w:rPr>
              <w:t>%。当多次调整仍不能达到此数时，应立即停车处理；</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—球磨机出口气体和粉尘混合物温度</w:t>
            </w:r>
            <w:r w:rsidRPr="00687B52">
              <w:rPr>
                <w:rFonts w:ascii="宋体" w:hAnsi="宋体" w:cs="AdobeHeitiStd-Regular"/>
                <w:color w:val="000000" w:themeColor="text1"/>
                <w:kern w:val="0"/>
                <w:sz w:val="24"/>
              </w:rPr>
              <w:t>:</w:t>
            </w:r>
            <w:r w:rsidRPr="00687B52">
              <w:rPr>
                <w:rFonts w:ascii="宋体" w:hAnsi="宋体" w:cs="AdobeHeitiStd-Regular" w:hint="eastAsia"/>
                <w:color w:val="000000" w:themeColor="text1"/>
                <w:kern w:val="0"/>
                <w:sz w:val="24"/>
              </w:rPr>
              <w:t>磨制铝粉不得超过</w:t>
            </w:r>
            <w:smartTag w:uri="urn:schemas-microsoft-com:office:smarttags" w:element="chmetcnv">
              <w:smartTagPr>
                <w:attr w:name="TCSC" w:val="0"/>
                <w:attr w:name="NumberType" w:val="1"/>
                <w:attr w:name="Negative" w:val="False"/>
                <w:attr w:name="HasSpace" w:val="False"/>
                <w:attr w:name="SourceValue" w:val="80"/>
                <w:attr w:name="UnitName" w:val="℃"/>
              </w:smartTagPr>
              <w:r w:rsidRPr="00687B52">
                <w:rPr>
                  <w:rFonts w:ascii="宋体" w:hAnsi="宋体" w:cs="AdobeHeitiStd-Regular"/>
                  <w:color w:val="000000" w:themeColor="text1"/>
                  <w:kern w:val="0"/>
                  <w:sz w:val="24"/>
                </w:rPr>
                <w:t>80</w:t>
              </w:r>
              <w:r w:rsidRPr="00687B52">
                <w:rPr>
                  <w:rFonts w:ascii="宋体" w:hAnsi="宋体" w:cs="AdobeHeitiStd-Regular" w:hint="eastAsia"/>
                  <w:color w:val="000000" w:themeColor="text1"/>
                  <w:kern w:val="0"/>
                  <w:sz w:val="24"/>
                </w:rPr>
                <w:t>℃</w:t>
              </w:r>
            </w:smartTag>
            <w:r w:rsidRPr="00687B52">
              <w:rPr>
                <w:rFonts w:ascii="宋体" w:hAnsi="宋体" w:cs="AdobeHeitiStd-Regular" w:hint="eastAsia"/>
                <w:color w:val="000000" w:themeColor="text1"/>
                <w:kern w:val="0"/>
                <w:sz w:val="24"/>
              </w:rPr>
              <w:t>，磨制铝镁，合金粉不得超过</w:t>
            </w:r>
            <w:r w:rsidRPr="00687B52">
              <w:rPr>
                <w:rFonts w:ascii="宋体" w:hAnsi="宋体" w:cs="AdobeHeitiStd-Regular"/>
                <w:color w:val="000000" w:themeColor="text1"/>
                <w:kern w:val="0"/>
                <w:sz w:val="24"/>
              </w:rPr>
              <w:t>6</w:t>
            </w:r>
            <w:smartTag w:uri="urn:schemas-microsoft-com:office:smarttags" w:element="chmetcnv">
              <w:smartTagPr>
                <w:attr w:name="TCSC" w:val="0"/>
                <w:attr w:name="NumberType" w:val="1"/>
                <w:attr w:name="Negative" w:val="False"/>
                <w:attr w:name="HasSpace" w:val="False"/>
                <w:attr w:name="SourceValue" w:val="0"/>
                <w:attr w:name="UnitName" w:val="℃"/>
              </w:smartTagPr>
              <w:r w:rsidRPr="00687B52">
                <w:rPr>
                  <w:rFonts w:ascii="宋体" w:hAnsi="宋体" w:cs="AdobeHeitiStd-Regular"/>
                  <w:color w:val="000000" w:themeColor="text1"/>
                  <w:kern w:val="0"/>
                  <w:sz w:val="24"/>
                </w:rPr>
                <w:t>0</w:t>
              </w:r>
              <w:r w:rsidRPr="00687B52">
                <w:rPr>
                  <w:rFonts w:ascii="宋体" w:hAnsi="宋体" w:cs="AdobeHeitiStd-Regular" w:hint="eastAsia"/>
                  <w:color w:val="000000" w:themeColor="text1"/>
                  <w:kern w:val="0"/>
                  <w:sz w:val="24"/>
                </w:rPr>
                <w:t>℃；</w:t>
              </w:r>
            </w:smartTag>
            <w:r w:rsidRPr="00687B52">
              <w:rPr>
                <w:rFonts w:ascii="宋体" w:hAnsi="宋体" w:cs="AdobeHeitiStd-Regular" w:hint="eastAsia"/>
                <w:color w:val="000000" w:themeColor="text1"/>
                <w:kern w:val="0"/>
                <w:sz w:val="24"/>
              </w:rPr>
              <w:t>入口的表压应保持</w:t>
            </w:r>
            <w:r w:rsidRPr="00687B52">
              <w:rPr>
                <w:rFonts w:ascii="宋体" w:hAnsi="宋体" w:cs="AdobeHeitiStd-Regular"/>
                <w:color w:val="000000" w:themeColor="text1"/>
                <w:kern w:val="0"/>
                <w:sz w:val="24"/>
              </w:rPr>
              <w:t>200Pa-1500P a</w:t>
            </w:r>
            <w:r w:rsidRPr="00687B52">
              <w:rPr>
                <w:rFonts w:ascii="宋体" w:hAnsi="宋体" w:cs="AdobeHeitiStd-Regular" w:hint="eastAsia"/>
                <w:color w:val="000000" w:themeColor="text1"/>
                <w:kern w:val="0"/>
                <w:sz w:val="24"/>
              </w:rPr>
              <w:t>，当多次调整仍不能达到此数值时，应立即停车处理；</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—启动制粉设备前，应通知各有关岗位人员。正常运转后，每隔</w:t>
            </w:r>
            <w:smartTag w:uri="urn:schemas-microsoft-com:office:smarttags" w:element="chmetcnv">
              <w:smartTagPr>
                <w:attr w:name="UnitName" w:val="m"/>
                <w:attr w:name="SourceValue" w:val="30"/>
                <w:attr w:name="HasSpace" w:val="False"/>
                <w:attr w:name="Negative" w:val="False"/>
                <w:attr w:name="NumberType" w:val="1"/>
                <w:attr w:name="TCSC" w:val="0"/>
              </w:smartTagPr>
              <w:r w:rsidRPr="00687B52">
                <w:rPr>
                  <w:rFonts w:ascii="宋体" w:hAnsi="宋体" w:cs="AdobeHeitiStd-Regular"/>
                  <w:color w:val="000000" w:themeColor="text1"/>
                  <w:kern w:val="0"/>
                  <w:sz w:val="24"/>
                </w:rPr>
                <w:t>30m</w:t>
              </w:r>
            </w:smartTag>
            <w:r w:rsidRPr="00687B52">
              <w:rPr>
                <w:rFonts w:ascii="宋体" w:hAnsi="宋体" w:cs="AdobeHeitiStd-Regular"/>
                <w:color w:val="000000" w:themeColor="text1"/>
                <w:kern w:val="0"/>
                <w:sz w:val="24"/>
              </w:rPr>
              <w:t>in-60min</w:t>
            </w:r>
            <w:r w:rsidRPr="00687B52">
              <w:rPr>
                <w:rFonts w:ascii="宋体" w:hAnsi="宋体" w:cs="AdobeHeitiStd-Regular" w:hint="eastAsia"/>
                <w:color w:val="000000" w:themeColor="text1"/>
                <w:kern w:val="0"/>
                <w:sz w:val="24"/>
              </w:rPr>
              <w:t>应检查一次运转情况。当各测点温度、压力或气体成分不符合规定时，应及时调整，如调整无效，应立即停车处理；</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—球磨机在启动或停车时，球磨间不准有人；</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—当球磨机系统使用选粉机时，应检查选粉机的转子同外壳有无摩擦及异常现象；</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—启动设备的顺序应为</w:t>
            </w:r>
            <w:r w:rsidRPr="00687B52">
              <w:rPr>
                <w:rFonts w:ascii="宋体" w:hAnsi="宋体" w:cs="AdobeHeitiStd-Regular"/>
                <w:color w:val="000000" w:themeColor="text1"/>
                <w:kern w:val="0"/>
                <w:sz w:val="24"/>
              </w:rPr>
              <w:t>:</w:t>
            </w:r>
            <w:r w:rsidRPr="00687B52">
              <w:rPr>
                <w:rFonts w:ascii="宋体" w:hAnsi="宋体" w:cs="AdobeHeitiStd-Regular" w:hint="eastAsia"/>
                <w:color w:val="000000" w:themeColor="text1"/>
                <w:kern w:val="0"/>
                <w:sz w:val="24"/>
              </w:rPr>
              <w:t>选粉机、鼓风机、油泵、球磨机、给料机，停车顺序相反；</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—球磨机、鼓风机密封填料温度</w:t>
            </w:r>
            <w:r w:rsidRPr="00687B52">
              <w:rPr>
                <w:rFonts w:ascii="宋体" w:hAnsi="宋体" w:cs="AdobeHeitiStd-Regular"/>
                <w:color w:val="000000" w:themeColor="text1"/>
                <w:kern w:val="0"/>
                <w:sz w:val="24"/>
              </w:rPr>
              <w:t>:</w:t>
            </w:r>
            <w:r w:rsidRPr="00687B52">
              <w:rPr>
                <w:rFonts w:ascii="宋体" w:hAnsi="宋体" w:cs="AdobeHeitiStd-Regular" w:hint="eastAsia"/>
                <w:color w:val="000000" w:themeColor="text1"/>
                <w:kern w:val="0"/>
                <w:sz w:val="24"/>
              </w:rPr>
              <w:t>磨制铝粉不超过</w:t>
            </w:r>
            <w:smartTag w:uri="urn:schemas-microsoft-com:office:smarttags" w:element="chmetcnv">
              <w:smartTagPr>
                <w:attr w:name="TCSC" w:val="0"/>
                <w:attr w:name="NumberType" w:val="1"/>
                <w:attr w:name="Negative" w:val="False"/>
                <w:attr w:name="HasSpace" w:val="False"/>
                <w:attr w:name="SourceValue" w:val="75"/>
                <w:attr w:name="UnitName" w:val="℃"/>
              </w:smartTagPr>
              <w:r w:rsidRPr="00687B52">
                <w:rPr>
                  <w:rFonts w:ascii="宋体" w:hAnsi="宋体" w:cs="AdobeHeitiStd-Regular"/>
                  <w:color w:val="000000" w:themeColor="text1"/>
                  <w:kern w:val="0"/>
                  <w:sz w:val="24"/>
                </w:rPr>
                <w:t>75</w:t>
              </w:r>
              <w:r w:rsidRPr="00687B52">
                <w:rPr>
                  <w:rFonts w:ascii="宋体" w:hAnsi="宋体" w:cs="AdobeHeitiStd-Regular" w:hint="eastAsia"/>
                  <w:color w:val="000000" w:themeColor="text1"/>
                  <w:kern w:val="0"/>
                  <w:sz w:val="24"/>
                </w:rPr>
                <w:t>℃</w:t>
              </w:r>
            </w:smartTag>
            <w:r w:rsidRPr="00687B52">
              <w:rPr>
                <w:rFonts w:ascii="宋体" w:hAnsi="宋体" w:cs="AdobeHeitiStd-Regular" w:hint="eastAsia"/>
                <w:color w:val="000000" w:themeColor="text1"/>
                <w:kern w:val="0"/>
                <w:sz w:val="24"/>
              </w:rPr>
              <w:t>，磨制铝镁合金粉不超过</w:t>
            </w:r>
            <w:r w:rsidRPr="00687B52">
              <w:rPr>
                <w:rFonts w:ascii="宋体" w:hAnsi="宋体" w:cs="AdobeHeitiStd-Regular"/>
                <w:color w:val="000000" w:themeColor="text1"/>
                <w:kern w:val="0"/>
                <w:sz w:val="24"/>
              </w:rPr>
              <w:t>65</w:t>
            </w:r>
            <w:r w:rsidRPr="00687B52">
              <w:rPr>
                <w:rFonts w:ascii="宋体" w:hAnsi="宋体" w:cs="AdobeHeitiStd-Regular" w:hint="eastAsia"/>
                <w:color w:val="000000" w:themeColor="text1"/>
                <w:kern w:val="0"/>
                <w:sz w:val="24"/>
              </w:rPr>
              <w:t>℃；</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—更换密封填料前应停止设备运转，待系统温度降至室温时再更换填料；更换填料时应备好定子油或机油，取出的填料应立即浸人油中；</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—当处理球磨机系统堵料等工作需打开球磨机系统时，应使球磨机系统温度降至室温时方准进行；处理堵料时应防止粉尘飞扬，且应使用防爆手工工具。</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《铝镁粉加工粉尘防爆安全规程》GB17269-2003</w:t>
            </w:r>
          </w:p>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第7.3.2条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铝粉粒化应遵守下列规定</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—不应将潮湿的铝锭加人熔炉；</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—加工过程中，熔炉周围不得有火焰冒出；</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—粒化前应试风压、检查粒化室，确认安全后，再吹净扩散板上的铝尘，然后开动粒化室的风机进行粒化；</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—粒化室内不应产生正压；</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—发现火花喷出时，应立即停止粒化。</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《铝镁粉加工粉尘防爆安全规程》GB17269-2003</w:t>
            </w:r>
          </w:p>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第7.3.4条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铣削法生产镁粉，铣削镁环的温度不应超过</w:t>
            </w:r>
            <w:smartTag w:uri="urn:schemas-microsoft-com:office:smarttags" w:element="chmetcnv">
              <w:smartTagPr>
                <w:attr w:name="UnitName" w:val="℃"/>
                <w:attr w:name="SourceValue" w:val="120"/>
                <w:attr w:name="HasSpace" w:val="False"/>
                <w:attr w:name="Negative" w:val="False"/>
                <w:attr w:name="NumberType" w:val="1"/>
                <w:attr w:name="TCSC" w:val="0"/>
              </w:smartTagPr>
              <w:r w:rsidRPr="00687B52">
                <w:rPr>
                  <w:rFonts w:ascii="宋体" w:hAnsi="宋体" w:cs="AdobeHeitiStd-Regular"/>
                  <w:color w:val="000000" w:themeColor="text1"/>
                  <w:kern w:val="0"/>
                  <w:sz w:val="24"/>
                </w:rPr>
                <w:t>120</w:t>
              </w:r>
              <w:r w:rsidRPr="00687B52">
                <w:rPr>
                  <w:rFonts w:ascii="宋体" w:hAnsi="宋体" w:cs="AdobeHeitiStd-Regular" w:hint="eastAsia"/>
                  <w:color w:val="000000" w:themeColor="text1"/>
                  <w:kern w:val="0"/>
                  <w:sz w:val="24"/>
                </w:rPr>
                <w:t>℃</w:t>
              </w:r>
            </w:smartTag>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《铝镁粉加工粉尘防爆安全规程》GB17269-2003</w:t>
            </w:r>
          </w:p>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第7.3.5条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高速涡流镁粉机组加工镁粉时应遵守下列规定</w:t>
            </w:r>
            <w:r w:rsidRPr="00687B52">
              <w:rPr>
                <w:rFonts w:ascii="宋体" w:hAnsi="宋体" w:cs="AdobeHeitiStd-Regular"/>
                <w:color w:val="000000" w:themeColor="text1"/>
                <w:kern w:val="0"/>
                <w:sz w:val="24"/>
              </w:rPr>
              <w:t>:</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—启动设备顺序为</w:t>
            </w:r>
            <w:r w:rsidRPr="00687B52">
              <w:rPr>
                <w:rFonts w:ascii="宋体" w:hAnsi="宋体" w:cs="AdobeHeitiStd-Regular"/>
                <w:color w:val="000000" w:themeColor="text1"/>
                <w:kern w:val="0"/>
                <w:sz w:val="24"/>
              </w:rPr>
              <w:t>:</w:t>
            </w:r>
            <w:r w:rsidRPr="00687B52">
              <w:rPr>
                <w:rFonts w:ascii="宋体" w:hAnsi="宋体" w:cs="AdobeHeitiStd-Regular" w:hint="eastAsia"/>
                <w:color w:val="000000" w:themeColor="text1"/>
                <w:kern w:val="0"/>
                <w:sz w:val="24"/>
              </w:rPr>
              <w:t>风机、冷却水阀、镁粉机、提升机、铣床，停车顺序相反</w:t>
            </w:r>
            <w:r w:rsidRPr="00687B52">
              <w:rPr>
                <w:rFonts w:ascii="宋体" w:hAnsi="宋体" w:cs="AdobeHeitiStd-Regular"/>
                <w:color w:val="000000" w:themeColor="text1"/>
                <w:kern w:val="0"/>
                <w:sz w:val="24"/>
              </w:rPr>
              <w:t>;</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—设备运行时，当镁粉机、风机的温升超过</w:t>
            </w:r>
            <w:smartTag w:uri="urn:schemas-microsoft-com:office:smarttags" w:element="chmetcnv">
              <w:smartTagPr>
                <w:attr w:name="UnitName" w:val="℃"/>
                <w:attr w:name="SourceValue" w:val="40"/>
                <w:attr w:name="HasSpace" w:val="False"/>
                <w:attr w:name="Negative" w:val="False"/>
                <w:attr w:name="NumberType" w:val="1"/>
                <w:attr w:name="TCSC" w:val="0"/>
              </w:smartTagPr>
              <w:r w:rsidRPr="00687B52">
                <w:rPr>
                  <w:rFonts w:ascii="宋体" w:hAnsi="宋体" w:cs="AdobeHeitiStd-Regular"/>
                  <w:color w:val="000000" w:themeColor="text1"/>
                  <w:kern w:val="0"/>
                  <w:sz w:val="24"/>
                </w:rPr>
                <w:t>40</w:t>
              </w:r>
              <w:r w:rsidRPr="00687B52">
                <w:rPr>
                  <w:rFonts w:ascii="宋体" w:hAnsi="宋体" w:cs="AdobeHeitiStd-Regular" w:hint="eastAsia"/>
                  <w:color w:val="000000" w:themeColor="text1"/>
                  <w:kern w:val="0"/>
                  <w:sz w:val="24"/>
                </w:rPr>
                <w:t>℃</w:t>
              </w:r>
            </w:smartTag>
            <w:r w:rsidRPr="00687B52">
              <w:rPr>
                <w:rFonts w:ascii="宋体" w:hAnsi="宋体" w:cs="AdobeHeitiStd-Regular" w:hint="eastAsia"/>
                <w:color w:val="000000" w:themeColor="text1"/>
                <w:kern w:val="0"/>
                <w:sz w:val="24"/>
              </w:rPr>
              <w:t>或排气口气、粉混合物温升超过</w:t>
            </w:r>
            <w:smartTag w:uri="urn:schemas-microsoft-com:office:smarttags" w:element="chmetcnv">
              <w:smartTagPr>
                <w:attr w:name="UnitName" w:val="℃"/>
                <w:attr w:name="SourceValue" w:val="50"/>
                <w:attr w:name="HasSpace" w:val="False"/>
                <w:attr w:name="Negative" w:val="False"/>
                <w:attr w:name="NumberType" w:val="1"/>
                <w:attr w:name="TCSC" w:val="0"/>
              </w:smartTagPr>
              <w:r w:rsidRPr="00687B52">
                <w:rPr>
                  <w:rFonts w:ascii="宋体" w:hAnsi="宋体" w:cs="AdobeHeitiStd-Regular"/>
                  <w:color w:val="000000" w:themeColor="text1"/>
                  <w:kern w:val="0"/>
                  <w:sz w:val="24"/>
                </w:rPr>
                <w:t>50</w:t>
              </w:r>
              <w:r w:rsidRPr="00687B52">
                <w:rPr>
                  <w:rFonts w:ascii="宋体" w:hAnsi="宋体" w:cs="AdobeHeitiStd-Regular" w:hint="eastAsia"/>
                  <w:color w:val="000000" w:themeColor="text1"/>
                  <w:kern w:val="0"/>
                  <w:sz w:val="24"/>
                </w:rPr>
                <w:t>℃</w:t>
              </w:r>
            </w:smartTag>
            <w:r w:rsidRPr="00687B52">
              <w:rPr>
                <w:rFonts w:ascii="宋体" w:hAnsi="宋体" w:cs="AdobeHeitiStd-Regular" w:hint="eastAsia"/>
                <w:color w:val="000000" w:themeColor="text1"/>
                <w:kern w:val="0"/>
                <w:sz w:val="24"/>
              </w:rPr>
              <w:t>时，应停止投料，待降温后再行生产；</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—设备运行时，应随时观测机组，发现异常时应立即停车处理。</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《铝镁粉加工粉尘防爆安全规程》GB17269-2003</w:t>
            </w:r>
          </w:p>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第7.3.6条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用于盛装铝镁粉的包装物或容器均应采用不产生火花的导电材料制作。</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《铝镁粉加工粉尘防爆安全规程》GB17269-2003</w:t>
            </w:r>
          </w:p>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第7.4.1条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装料和出料时，盛粉包装物或容器应与设备电气连接并静电接地。</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《铝镁粉加工粉尘防爆安全规程》GB17269-2003</w:t>
            </w:r>
          </w:p>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第7.4.2条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所有轮式容器及装载容器的手推车、自动装卸车等均应静电接地。</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《铝镁粉加工粉尘防爆安全规程》GB17269-2003</w:t>
            </w:r>
          </w:p>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第8.1条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用空气作为输送气体时，运输系统内铝及铝镁合金粉的浓度应低于爆炸浓度下限</w:t>
            </w:r>
            <w:r w:rsidRPr="00687B52">
              <w:rPr>
                <w:rFonts w:ascii="宋体" w:hAnsi="宋体" w:cs="AdobeHeitiStd-Regular"/>
                <w:color w:val="000000" w:themeColor="text1"/>
                <w:kern w:val="0"/>
                <w:sz w:val="24"/>
              </w:rPr>
              <w:t>50</w:t>
            </w:r>
            <w:r w:rsidRPr="00687B52">
              <w:rPr>
                <w:rFonts w:ascii="宋体" w:hAnsi="宋体" w:cs="AdobeHeitiStd-Regular" w:hint="eastAsia"/>
                <w:color w:val="000000" w:themeColor="text1"/>
                <w:kern w:val="0"/>
                <w:sz w:val="24"/>
              </w:rPr>
              <w:t>%、镁粉浓度应低于其爆炸浓度下限。</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《铝镁粉加工粉尘防爆安全规程》GB17269-2003</w:t>
            </w:r>
          </w:p>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第8.2.1条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当被输送的铝、铝镁合金粉浓度接近或达到爆炸浓度下限时应采用氮气等惰性气体作为输送载体。惰性气体中的氧浓度应符合</w:t>
            </w:r>
            <w:r w:rsidRPr="00687B52">
              <w:rPr>
                <w:rFonts w:ascii="宋体" w:hAnsi="宋体" w:cs="AdobeHeitiStd-Regular"/>
                <w:color w:val="000000" w:themeColor="text1"/>
                <w:kern w:val="0"/>
                <w:sz w:val="24"/>
              </w:rPr>
              <w:t>7.3.2</w:t>
            </w:r>
            <w:r w:rsidRPr="00687B52">
              <w:rPr>
                <w:rFonts w:ascii="宋体" w:hAnsi="宋体" w:cs="AdobeHeitiStd-Regular" w:hint="eastAsia"/>
                <w:color w:val="000000" w:themeColor="text1"/>
                <w:kern w:val="0"/>
                <w:sz w:val="24"/>
              </w:rPr>
              <w:t>的要求，并应连续监控惰性气体中的氧浓度</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《铝镁粉加工粉尘防爆安全规程》GB17269-2003</w:t>
            </w:r>
          </w:p>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第8.2.2条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trHeight w:val="1271"/>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若输送气体来自相对较暖环境，而管道和收尘器的温度又相对较低时，应采取措施避免输送气体中的水蒸汽发生冷凝。</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《铝镁粉加工粉尘防爆安全规程》GB17269-2003</w:t>
            </w:r>
          </w:p>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第8.2.3条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管道宜采用不产生火花的导电材料制作且不得使用非导体衬里。</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《铝镁粉加工粉尘防爆安全规程》GB17269-2003</w:t>
            </w:r>
          </w:p>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第8.3.3条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管道应等电位连接并接地。</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《铝镁粉加工粉尘防爆安全规程》GB17269-2003</w:t>
            </w:r>
          </w:p>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第8.3.4条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在露天或潮湿环境中设置的输送管道应防止潮气进入。</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《铝镁粉加工粉尘防爆安全规程》GB17269-2003</w:t>
            </w:r>
          </w:p>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第8.3.5条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气力输送风机</w:t>
            </w:r>
          </w:p>
          <w:p w:rsidR="003E1D2A" w:rsidRPr="00687B52" w:rsidRDefault="003E1D2A" w:rsidP="003E1D2A">
            <w:pPr>
              <w:autoSpaceDE w:val="0"/>
              <w:autoSpaceDN w:val="0"/>
              <w:spacing w:line="320" w:lineRule="exact"/>
              <w:jc w:val="left"/>
              <w:outlineLvl w:val="0"/>
              <w:rPr>
                <w:rFonts w:ascii="宋体" w:hAnsi="宋体" w:cs="AdobeHeitiStd-Regular"/>
                <w:color w:val="000000" w:themeColor="text1"/>
                <w:kern w:val="0"/>
                <w:sz w:val="24"/>
              </w:rPr>
            </w:pPr>
            <w:r w:rsidRPr="00687B52">
              <w:rPr>
                <w:rFonts w:ascii="宋体" w:hAnsi="宋体" w:cs="AdobeHeitiStd-Regular"/>
                <w:color w:val="000000" w:themeColor="text1"/>
                <w:kern w:val="0"/>
                <w:sz w:val="24"/>
              </w:rPr>
              <w:t>1</w:t>
            </w:r>
            <w:r w:rsidRPr="00687B52">
              <w:rPr>
                <w:rFonts w:ascii="宋体" w:hAnsi="宋体" w:cs="AdobeHeitiStd-Regular" w:hint="eastAsia"/>
                <w:color w:val="000000" w:themeColor="text1"/>
                <w:kern w:val="0"/>
                <w:sz w:val="24"/>
              </w:rPr>
              <w:t>、风机的叶片应采用导电、不产生火花的材料制造且风机应满足粉尘防爆要求。</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2、风机应与铝镁粉加工设备联锁，风机停机时，加工设备应能自动停机。</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《铝镁粉加工粉尘防爆安全规程》GB17269-2003</w:t>
            </w:r>
          </w:p>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第8.4条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outlineLvl w:val="0"/>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积尘清扫</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1、应在停机、切断动力电源及通风良好的情况下对系统进行定期清扫。设备可用湿布清擦；除尘器中的集尘应定期排空。</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2、加工和运输时泄漏出的各种粉尘应立即用不产生火花的导电铲及软扫帚或天然纤维硬毛刷清理，并收集到专用金属容器中。</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3、在生产区不宜用水清洗。</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hint="eastAsia"/>
                <w:color w:val="000000" w:themeColor="text1"/>
                <w:kern w:val="0"/>
                <w:sz w:val="24"/>
              </w:rPr>
              <w:t>4、不应采用压缩空气清扫积尘。</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《铝镁粉加工粉尘防爆安全规程》GB17269-2003</w:t>
            </w:r>
          </w:p>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第9.3条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widowControl/>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在粉尘爆炸危险环境内，严禁采用非防爆型电气设备。必须选用防爆型或尘密型的电气设备及线路。</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《化工粉体工程设计安全卫生规定》HG20532-1993第4.3.2.2条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widowControl/>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粉尘爆炸危险场所内的设备、电器，应装设可靠的过负荷保护。</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《化工粉体工程设计安全卫生规定》HG20532-1993第4.3.2.4条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widowControl/>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除尘器和风机的出、入口以及各支气管的直管段气流平稳处，应设测量孔。</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《化工粉体工程设计安全卫生规定》HG20532-1993第5.4.10.8条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widowControl/>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有毒粉体的加工和包装，应在有排风罩的条件下进行。</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《化工粉体工程设计安全卫生规定》HG20532-1993第5.5.2.4条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widowControl/>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对于危害严重的毒尘应设自动控制报警系统，并设置事故通风等应急设施。</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《化工粉体工程设计安全卫生规定》HG20532-1993第5.5.3.5条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widowControl/>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化工粉体输送管线设计，应正确选择输送介质在管道内的流速，管道截面不宜突变，管道连接宜采用顺流走向，阀门宜选用低噪产品。</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《化工粉体工程设计安全卫生规定》HG20532-1993第6.3.4.2条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对于运动传递部件，如皮带轮、皮带、齿轮、导轨、齿杆、传动轴产生的危险的防护，应采用固定式防护装置或活动式联锁防护装置。</w:t>
            </w:r>
          </w:p>
        </w:tc>
        <w:tc>
          <w:tcPr>
            <w:tcW w:w="837" w:type="pct"/>
            <w:vAlign w:val="center"/>
          </w:tcPr>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宋体" w:hAnsi="宋体" w:hint="eastAsia"/>
                <w:color w:val="000000" w:themeColor="text1"/>
                <w:kern w:val="0"/>
                <w:szCs w:val="24"/>
              </w:rPr>
              <w:t>《</w:t>
            </w:r>
            <w:r w:rsidRPr="00687B52">
              <w:rPr>
                <w:rFonts w:asciiTheme="minorEastAsia" w:hAnsiTheme="minorEastAsia" w:hint="eastAsia"/>
                <w:color w:val="000000" w:themeColor="text1"/>
                <w:szCs w:val="24"/>
              </w:rPr>
              <w:t>机械安全_防护装置_固定式和活动式防护装置设计与制造一般要求</w:t>
            </w:r>
            <w:r w:rsidRPr="00687B52">
              <w:rPr>
                <w:rFonts w:ascii="宋体" w:hAnsi="宋体" w:hint="eastAsia"/>
                <w:color w:val="000000" w:themeColor="text1"/>
                <w:kern w:val="0"/>
                <w:szCs w:val="24"/>
              </w:rPr>
              <w:t>》</w:t>
            </w:r>
            <w:r w:rsidRPr="00687B52">
              <w:rPr>
                <w:rFonts w:asciiTheme="minorEastAsia" w:eastAsiaTheme="minorEastAsia" w:hAnsiTheme="minorEastAsia"/>
                <w:color w:val="000000" w:themeColor="text1"/>
                <w:szCs w:val="24"/>
              </w:rPr>
              <w:t>GB/T8196-2003</w:t>
            </w:r>
          </w:p>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第6.4.1条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化工装置内有发生坠落危险的操作岗位时</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应设计便于操作、巡检和维修作业的扶梯、平台、围栏等附属设施</w:t>
            </w:r>
            <w:r w:rsidRPr="00687B52">
              <w:rPr>
                <w:rFonts w:asciiTheme="minorEastAsia" w:eastAsiaTheme="minorEastAsia" w:hAnsiTheme="minorEastAsia" w:hint="eastAsia"/>
                <w:color w:val="000000" w:themeColor="text1"/>
                <w:szCs w:val="24"/>
              </w:rPr>
              <w:t>。</w:t>
            </w:r>
          </w:p>
        </w:tc>
        <w:tc>
          <w:tcPr>
            <w:tcW w:w="837" w:type="pct"/>
            <w:vAlign w:val="center"/>
          </w:tcPr>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宋体" w:hAnsi="宋体" w:hint="eastAsia"/>
                <w:color w:val="000000" w:themeColor="text1"/>
                <w:kern w:val="0"/>
                <w:szCs w:val="24"/>
              </w:rPr>
              <w:t>《化工企业安全卫生设计规范》</w:t>
            </w:r>
            <w:r w:rsidRPr="00687B52">
              <w:rPr>
                <w:rFonts w:asciiTheme="minorEastAsia" w:eastAsiaTheme="minorEastAsia" w:hAnsiTheme="minorEastAsia"/>
                <w:color w:val="000000" w:themeColor="text1"/>
                <w:szCs w:val="24"/>
              </w:rPr>
              <w:t>HG20571-2014</w:t>
            </w:r>
          </w:p>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4</w:t>
            </w:r>
            <w:r w:rsidRPr="00687B52">
              <w:rPr>
                <w:rFonts w:asciiTheme="minorEastAsia" w:eastAsiaTheme="minorEastAsia" w:hAnsiTheme="minorEastAsia"/>
                <w:color w:val="000000" w:themeColor="text1"/>
                <w:szCs w:val="24"/>
              </w:rPr>
              <w:t>.6.1条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通行平台的无障碍宽度应不小于750mm，单人偶尔通过的平台宽度可适当减小，但不应小于450mm</w:t>
            </w:r>
            <w:r w:rsidRPr="00687B52">
              <w:rPr>
                <w:rFonts w:asciiTheme="minorEastAsia" w:eastAsiaTheme="minorEastAsia" w:hAnsiTheme="minorEastAsia" w:hint="eastAsia"/>
                <w:color w:val="000000" w:themeColor="text1"/>
                <w:szCs w:val="24"/>
              </w:rPr>
              <w:t>。</w:t>
            </w:r>
          </w:p>
        </w:tc>
        <w:tc>
          <w:tcPr>
            <w:tcW w:w="837" w:type="pct"/>
            <w:vAlign w:val="center"/>
          </w:tcPr>
          <w:p w:rsidR="003E1D2A" w:rsidRPr="00687B52" w:rsidRDefault="003E1D2A" w:rsidP="003E1D2A">
            <w:pPr>
              <w:pStyle w:val="a7"/>
              <w:adjustRightInd/>
              <w:snapToGrid/>
              <w:rPr>
                <w:rFonts w:asciiTheme="minorEastAsia" w:hAnsiTheme="minorEastAsia"/>
                <w:color w:val="000000" w:themeColor="text1"/>
                <w:szCs w:val="24"/>
              </w:rPr>
            </w:pPr>
            <w:r w:rsidRPr="00687B52">
              <w:rPr>
                <w:rFonts w:asciiTheme="minorEastAsia" w:eastAsiaTheme="minorEastAsia" w:hAnsiTheme="minorEastAsia"/>
                <w:color w:val="000000" w:themeColor="text1"/>
                <w:szCs w:val="24"/>
              </w:rPr>
              <w:t>《</w:t>
            </w:r>
            <w:r w:rsidRPr="00687B52">
              <w:rPr>
                <w:rFonts w:asciiTheme="minorEastAsia" w:hAnsiTheme="minorEastAsia" w:hint="eastAsia"/>
                <w:color w:val="000000" w:themeColor="text1"/>
                <w:szCs w:val="24"/>
              </w:rPr>
              <w:t>固定式钢梯及平台安全要求 第3部分工业防护栏杆及钢平台</w:t>
            </w:r>
            <w:r w:rsidRPr="00687B52">
              <w:rPr>
                <w:rFonts w:asciiTheme="minorEastAsia" w:eastAsiaTheme="minorEastAsia" w:hAnsiTheme="minorEastAsia"/>
                <w:color w:val="000000" w:themeColor="text1"/>
                <w:szCs w:val="24"/>
              </w:rPr>
              <w:t>》GB4053.3-2009第6.1.2条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压缩空气及压缩氮气所涉及的压力容器及压力管道等应设置安全阀</w:t>
            </w:r>
          </w:p>
        </w:tc>
        <w:tc>
          <w:tcPr>
            <w:tcW w:w="837"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《安全阀的设置和选用》HG/T20570-95</w:t>
            </w:r>
          </w:p>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第4.4.1条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3"/>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建筑内可能散发可燃气体、可燃蒸汽的场所应设置可燃气体报警装置。</w:t>
            </w:r>
          </w:p>
        </w:tc>
        <w:tc>
          <w:tcPr>
            <w:tcW w:w="837"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w:t>
            </w:r>
            <w:r w:rsidRPr="00687B52">
              <w:rPr>
                <w:rFonts w:asciiTheme="minorEastAsia" w:eastAsiaTheme="minorEastAsia" w:hAnsiTheme="minorEastAsia" w:hint="eastAsia"/>
                <w:color w:val="000000" w:themeColor="text1"/>
                <w:szCs w:val="24"/>
              </w:rPr>
              <w:t>建筑设计防火规范</w:t>
            </w:r>
            <w:r w:rsidRPr="00687B52">
              <w:rPr>
                <w:rFonts w:asciiTheme="minorEastAsia" w:eastAsiaTheme="minorEastAsia" w:hAnsiTheme="minorEastAsia"/>
                <w:color w:val="000000" w:themeColor="text1"/>
                <w:szCs w:val="24"/>
              </w:rPr>
              <w:t>》GB50016-2014第8.4.3条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07330F">
            <w:pPr>
              <w:pStyle w:val="a7"/>
              <w:adjustRightInd/>
              <w:snapToGrid/>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3</w:t>
            </w:r>
          </w:p>
        </w:tc>
        <w:tc>
          <w:tcPr>
            <w:tcW w:w="4644" w:type="pct"/>
            <w:gridSpan w:val="3"/>
            <w:vAlign w:val="center"/>
          </w:tcPr>
          <w:p w:rsidR="003E1D2A" w:rsidRPr="00687B52" w:rsidRDefault="003E1D2A" w:rsidP="003E1D2A">
            <w:pPr>
              <w:pStyle w:val="a7"/>
              <w:adjustRightInd/>
              <w:snapToGrid/>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储运系统（仓库及罐区）</w:t>
            </w:r>
          </w:p>
        </w:tc>
      </w:tr>
      <w:tr w:rsidR="003E1D2A" w:rsidRPr="00687B52" w:rsidTr="00563F92">
        <w:trPr>
          <w:jc w:val="center"/>
        </w:trPr>
        <w:tc>
          <w:tcPr>
            <w:tcW w:w="356" w:type="pct"/>
            <w:vAlign w:val="center"/>
          </w:tcPr>
          <w:p w:rsidR="003E1D2A" w:rsidRPr="00687B52" w:rsidRDefault="003E1D2A" w:rsidP="00D9787F">
            <w:pPr>
              <w:pStyle w:val="a7"/>
              <w:numPr>
                <w:ilvl w:val="0"/>
                <w:numId w:val="4"/>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根据危险品性能分区、分类、分库贮存。各类危险品不得与禁忌物料混合贮存。易燃液体、遇湿易燃物品、易燃固体不得与氧化剂混合贮存，具有还原性的氧化剂应单独存放。</w:t>
            </w:r>
          </w:p>
        </w:tc>
        <w:tc>
          <w:tcPr>
            <w:tcW w:w="837" w:type="pct"/>
            <w:vAlign w:val="center"/>
          </w:tcPr>
          <w:p w:rsidR="003E1D2A" w:rsidRPr="00687B52" w:rsidRDefault="003E1D2A" w:rsidP="003E1D2A">
            <w:pPr>
              <w:pStyle w:val="a7"/>
              <w:adjustRightInd/>
              <w:snapToGrid/>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hAnsiTheme="minorEastAsia" w:hint="eastAsia"/>
                <w:bCs/>
                <w:color w:val="000000" w:themeColor="text1"/>
                <w:szCs w:val="24"/>
              </w:rPr>
              <w:t>常用化学危险品贮存通则</w:t>
            </w:r>
            <w:r w:rsidRPr="00687B52">
              <w:rPr>
                <w:rFonts w:asciiTheme="minorEastAsia" w:eastAsiaTheme="minorEastAsia" w:hAnsiTheme="minorEastAsia" w:hint="eastAsia"/>
                <w:color w:val="000000" w:themeColor="text1"/>
                <w:szCs w:val="24"/>
              </w:rPr>
              <w:t>》GB 15603-1995</w:t>
            </w:r>
          </w:p>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第4.8、6.7条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4"/>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贮存化学危险品的建筑物、区域内严禁吸烟和使用明火。</w:t>
            </w:r>
          </w:p>
        </w:tc>
        <w:tc>
          <w:tcPr>
            <w:tcW w:w="837"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hAnsiTheme="minorEastAsia" w:hint="eastAsia"/>
                <w:bCs/>
                <w:color w:val="000000" w:themeColor="text1"/>
                <w:szCs w:val="24"/>
              </w:rPr>
              <w:t>常用化学危险品贮存通则</w:t>
            </w:r>
            <w:r w:rsidRPr="00687B52">
              <w:rPr>
                <w:rFonts w:asciiTheme="minorEastAsia" w:eastAsiaTheme="minorEastAsia" w:hAnsiTheme="minorEastAsia" w:hint="eastAsia"/>
                <w:color w:val="000000" w:themeColor="text1"/>
                <w:szCs w:val="24"/>
              </w:rPr>
              <w:t>》GB15603-1995第4.9条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4"/>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化学危险品贮存区域或建筑物内输配电线路、灯具、火灾事故照明和疏散指示标志，都应符合安全要求。</w:t>
            </w:r>
          </w:p>
        </w:tc>
        <w:tc>
          <w:tcPr>
            <w:tcW w:w="837"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hAnsiTheme="minorEastAsia" w:hint="eastAsia"/>
                <w:bCs/>
                <w:color w:val="000000" w:themeColor="text1"/>
                <w:szCs w:val="24"/>
              </w:rPr>
              <w:t>常用化学危险品贮存通则</w:t>
            </w:r>
            <w:r w:rsidRPr="00687B52">
              <w:rPr>
                <w:rFonts w:asciiTheme="minorEastAsia" w:eastAsiaTheme="minorEastAsia" w:hAnsiTheme="minorEastAsia" w:hint="eastAsia"/>
                <w:color w:val="000000" w:themeColor="text1"/>
                <w:szCs w:val="24"/>
              </w:rPr>
              <w:t>》GB 15603-1995</w:t>
            </w:r>
          </w:p>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第5.3.2条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4"/>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贮存易燃、易爆化学品的建筑，必须安装避雷设备。</w:t>
            </w:r>
          </w:p>
        </w:tc>
        <w:tc>
          <w:tcPr>
            <w:tcW w:w="837"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r w:rsidRPr="00687B52">
              <w:rPr>
                <w:rFonts w:asciiTheme="minorEastAsia" w:hAnsiTheme="minorEastAsia" w:hint="eastAsia"/>
                <w:bCs/>
                <w:color w:val="000000" w:themeColor="text1"/>
                <w:szCs w:val="24"/>
              </w:rPr>
              <w:t>常用化学危险品贮存通则</w:t>
            </w:r>
            <w:r w:rsidRPr="00687B52">
              <w:rPr>
                <w:rFonts w:asciiTheme="minorEastAsia" w:eastAsiaTheme="minorEastAsia" w:hAnsiTheme="minorEastAsia" w:hint="eastAsia"/>
                <w:color w:val="000000" w:themeColor="text1"/>
                <w:szCs w:val="24"/>
              </w:rPr>
              <w:t>》GB 15603-1995</w:t>
            </w:r>
          </w:p>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第5.3.3条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4"/>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库房的耐火等级不低于二级。</w:t>
            </w:r>
          </w:p>
        </w:tc>
        <w:tc>
          <w:tcPr>
            <w:tcW w:w="837"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《易燃易爆性商品储存养护技术条件》GB17914-2013第4.1条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4"/>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商品应避免阳光直射、远离火源、热源、电源及产生火花的环境。</w:t>
            </w:r>
          </w:p>
        </w:tc>
        <w:tc>
          <w:tcPr>
            <w:tcW w:w="837" w:type="pct"/>
            <w:vAlign w:val="center"/>
          </w:tcPr>
          <w:p w:rsidR="003E1D2A" w:rsidRPr="00687B52" w:rsidRDefault="003E1D2A" w:rsidP="003E1D2A">
            <w:pPr>
              <w:spacing w:line="320" w:lineRule="exact"/>
              <w:jc w:val="center"/>
              <w:rPr>
                <w:rFonts w:ascii="Times New Roman" w:hAnsi="Times New Roman" w:cs="Times New Roman"/>
                <w:color w:val="000000" w:themeColor="text1"/>
                <w:sz w:val="24"/>
                <w:szCs w:val="24"/>
              </w:rPr>
            </w:pPr>
            <w:r w:rsidRPr="00687B52">
              <w:rPr>
                <w:rFonts w:ascii="Times New Roman" w:hAnsiTheme="minorEastAsia" w:cs="Times New Roman"/>
                <w:color w:val="000000" w:themeColor="text1"/>
                <w:sz w:val="24"/>
                <w:szCs w:val="24"/>
              </w:rPr>
              <w:t>《易燃易爆性商品储存养护技术条件》</w:t>
            </w:r>
            <w:r w:rsidRPr="00687B52">
              <w:rPr>
                <w:rFonts w:ascii="Times New Roman" w:hAnsi="Times New Roman" w:cs="Times New Roman"/>
                <w:color w:val="000000" w:themeColor="text1"/>
                <w:sz w:val="24"/>
                <w:szCs w:val="24"/>
              </w:rPr>
              <w:t>GB17914-2013</w:t>
            </w:r>
          </w:p>
          <w:p w:rsidR="003E1D2A" w:rsidRPr="00687B52" w:rsidRDefault="003E1D2A" w:rsidP="003E1D2A">
            <w:pPr>
              <w:spacing w:line="320" w:lineRule="exact"/>
              <w:jc w:val="center"/>
              <w:rPr>
                <w:rFonts w:ascii="Times New Roman" w:hAnsi="Times New Roman" w:cs="Times New Roman"/>
                <w:color w:val="000000" w:themeColor="text1"/>
                <w:sz w:val="24"/>
                <w:szCs w:val="24"/>
              </w:rPr>
            </w:pPr>
            <w:r w:rsidRPr="00687B52">
              <w:rPr>
                <w:rFonts w:ascii="Times New Roman" w:hAnsiTheme="minorEastAsia" w:cs="Times New Roman"/>
                <w:color w:val="000000" w:themeColor="text1"/>
                <w:sz w:val="24"/>
                <w:szCs w:val="24"/>
              </w:rPr>
              <w:t>第</w:t>
            </w:r>
            <w:r w:rsidRPr="00687B52">
              <w:rPr>
                <w:rFonts w:ascii="Times New Roman" w:hAnsi="Times New Roman" w:cs="Times New Roman"/>
                <w:color w:val="000000" w:themeColor="text1"/>
                <w:sz w:val="24"/>
                <w:szCs w:val="24"/>
              </w:rPr>
              <w:t>4.3.1</w:t>
            </w:r>
            <w:r w:rsidRPr="00687B52">
              <w:rPr>
                <w:rFonts w:ascii="Times New Roman" w:hAnsiTheme="minorEastAsia" w:cs="Times New Roman"/>
                <w:color w:val="000000" w:themeColor="text1"/>
                <w:sz w:val="24"/>
                <w:szCs w:val="24"/>
              </w:rPr>
              <w:t>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4"/>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各种商品（气瓶装除外）不应直接落地存放，一般应垫15cm以上。遇湿易燃物品、易吸潮溶化和吸潮分解的商品应适当增加下垫高度。</w:t>
            </w:r>
          </w:p>
        </w:tc>
        <w:tc>
          <w:tcPr>
            <w:tcW w:w="837" w:type="pct"/>
            <w:vAlign w:val="center"/>
          </w:tcPr>
          <w:p w:rsidR="003E1D2A" w:rsidRPr="00687B52" w:rsidRDefault="003E1D2A" w:rsidP="003E1D2A">
            <w:pPr>
              <w:spacing w:line="320" w:lineRule="exact"/>
              <w:jc w:val="center"/>
              <w:rPr>
                <w:rFonts w:ascii="Times New Roman" w:hAnsi="Times New Roman" w:cs="Times New Roman"/>
                <w:color w:val="000000" w:themeColor="text1"/>
                <w:sz w:val="24"/>
                <w:szCs w:val="24"/>
              </w:rPr>
            </w:pPr>
            <w:r w:rsidRPr="00687B52">
              <w:rPr>
                <w:rFonts w:ascii="Times New Roman" w:hAnsiTheme="minorEastAsia" w:cs="Times New Roman"/>
                <w:color w:val="000000" w:themeColor="text1"/>
                <w:sz w:val="24"/>
                <w:szCs w:val="24"/>
              </w:rPr>
              <w:t>《易燃易爆性商品储存养护技术条件》</w:t>
            </w:r>
            <w:r w:rsidRPr="00687B52">
              <w:rPr>
                <w:rFonts w:ascii="Times New Roman" w:hAnsi="Times New Roman" w:cs="Times New Roman"/>
                <w:color w:val="000000" w:themeColor="text1"/>
                <w:sz w:val="24"/>
                <w:szCs w:val="24"/>
              </w:rPr>
              <w:t>GB17914-2013</w:t>
            </w:r>
          </w:p>
          <w:p w:rsidR="003E1D2A" w:rsidRPr="00687B52" w:rsidRDefault="003E1D2A" w:rsidP="003E1D2A">
            <w:pPr>
              <w:spacing w:line="320" w:lineRule="exact"/>
              <w:jc w:val="center"/>
              <w:rPr>
                <w:rFonts w:ascii="Times New Roman" w:hAnsi="Times New Roman" w:cs="Times New Roman"/>
                <w:color w:val="000000" w:themeColor="text1"/>
                <w:sz w:val="24"/>
                <w:szCs w:val="24"/>
              </w:rPr>
            </w:pPr>
            <w:r w:rsidRPr="00687B52">
              <w:rPr>
                <w:rFonts w:ascii="Times New Roman" w:hAnsiTheme="minorEastAsia" w:cs="Times New Roman"/>
                <w:color w:val="000000" w:themeColor="text1"/>
                <w:sz w:val="24"/>
                <w:szCs w:val="24"/>
              </w:rPr>
              <w:t>第</w:t>
            </w:r>
            <w:r w:rsidRPr="00687B52">
              <w:rPr>
                <w:rFonts w:ascii="Times New Roman" w:hAnsi="Times New Roman" w:cs="Times New Roman"/>
                <w:color w:val="000000" w:themeColor="text1"/>
                <w:sz w:val="24"/>
                <w:szCs w:val="24"/>
              </w:rPr>
              <w:t>6.1.2</w:t>
            </w:r>
            <w:r w:rsidRPr="00687B52">
              <w:rPr>
                <w:rFonts w:ascii="Times New Roman" w:hAnsiTheme="minorEastAsia" w:cs="Times New Roman"/>
                <w:color w:val="000000" w:themeColor="text1"/>
                <w:sz w:val="24"/>
                <w:szCs w:val="24"/>
              </w:rPr>
              <w:t>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4"/>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各种商品应码行列式压缝货垛，做到牢固、整齐、美观，出入库方便，一般垛高不应超过3m。</w:t>
            </w:r>
          </w:p>
        </w:tc>
        <w:tc>
          <w:tcPr>
            <w:tcW w:w="837" w:type="pct"/>
            <w:vAlign w:val="center"/>
          </w:tcPr>
          <w:p w:rsidR="003E1D2A" w:rsidRPr="00687B52" w:rsidRDefault="003E1D2A" w:rsidP="003E1D2A">
            <w:pPr>
              <w:spacing w:line="320" w:lineRule="exact"/>
              <w:jc w:val="center"/>
              <w:rPr>
                <w:rFonts w:ascii="Times New Roman" w:hAnsi="Times New Roman" w:cs="Times New Roman"/>
                <w:color w:val="000000" w:themeColor="text1"/>
                <w:sz w:val="24"/>
                <w:szCs w:val="24"/>
              </w:rPr>
            </w:pPr>
            <w:r w:rsidRPr="00687B52">
              <w:rPr>
                <w:rFonts w:ascii="Times New Roman" w:hAnsiTheme="minorEastAsia" w:cs="Times New Roman"/>
                <w:color w:val="000000" w:themeColor="text1"/>
                <w:sz w:val="24"/>
                <w:szCs w:val="24"/>
              </w:rPr>
              <w:t>《易燃易爆性商品储存养护技术条件》</w:t>
            </w:r>
            <w:r w:rsidRPr="00687B52">
              <w:rPr>
                <w:rFonts w:ascii="Times New Roman" w:hAnsi="Times New Roman" w:cs="Times New Roman"/>
                <w:color w:val="000000" w:themeColor="text1"/>
                <w:sz w:val="24"/>
                <w:szCs w:val="24"/>
              </w:rPr>
              <w:t>GB17914-2013</w:t>
            </w:r>
          </w:p>
          <w:p w:rsidR="003E1D2A" w:rsidRPr="00687B52" w:rsidRDefault="003E1D2A" w:rsidP="003E1D2A">
            <w:pPr>
              <w:spacing w:line="320" w:lineRule="exact"/>
              <w:jc w:val="center"/>
              <w:rPr>
                <w:rFonts w:ascii="Times New Roman" w:hAnsi="Times New Roman" w:cs="Times New Roman"/>
                <w:color w:val="000000" w:themeColor="text1"/>
                <w:sz w:val="24"/>
                <w:szCs w:val="24"/>
              </w:rPr>
            </w:pPr>
            <w:r w:rsidRPr="00687B52">
              <w:rPr>
                <w:rFonts w:ascii="Times New Roman" w:hAnsiTheme="minorEastAsia" w:cs="Times New Roman"/>
                <w:color w:val="000000" w:themeColor="text1"/>
                <w:sz w:val="24"/>
                <w:szCs w:val="24"/>
              </w:rPr>
              <w:t>第</w:t>
            </w:r>
            <w:r w:rsidRPr="00687B52">
              <w:rPr>
                <w:rFonts w:ascii="Times New Roman" w:hAnsi="Times New Roman" w:cs="Times New Roman"/>
                <w:color w:val="000000" w:themeColor="text1"/>
                <w:sz w:val="24"/>
                <w:szCs w:val="24"/>
              </w:rPr>
              <w:t>6.1.3</w:t>
            </w:r>
            <w:r w:rsidRPr="00687B52">
              <w:rPr>
                <w:rFonts w:ascii="Times New Roman" w:hAnsiTheme="minorEastAsia" w:cs="Times New Roman"/>
                <w:color w:val="000000" w:themeColor="text1"/>
                <w:sz w:val="24"/>
                <w:szCs w:val="24"/>
              </w:rPr>
              <w:t>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4"/>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堆垛间距：</w:t>
            </w:r>
          </w:p>
          <w:p w:rsidR="003E1D2A" w:rsidRPr="00687B52" w:rsidRDefault="003E1D2A" w:rsidP="00D9787F">
            <w:pPr>
              <w:numPr>
                <w:ilvl w:val="0"/>
                <w:numId w:val="7"/>
              </w:numPr>
              <w:spacing w:line="320" w:lineRule="exact"/>
              <w:ind w:left="0" w:firstLine="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主通道大于等于180cm；</w:t>
            </w:r>
          </w:p>
          <w:p w:rsidR="003E1D2A" w:rsidRPr="00687B52" w:rsidRDefault="003E1D2A" w:rsidP="00D9787F">
            <w:pPr>
              <w:numPr>
                <w:ilvl w:val="0"/>
                <w:numId w:val="7"/>
              </w:numPr>
              <w:spacing w:line="320" w:lineRule="exact"/>
              <w:ind w:left="0" w:firstLine="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支通道大于等于80cm；</w:t>
            </w:r>
          </w:p>
          <w:p w:rsidR="003E1D2A" w:rsidRPr="00687B52" w:rsidRDefault="003E1D2A" w:rsidP="00D9787F">
            <w:pPr>
              <w:numPr>
                <w:ilvl w:val="0"/>
                <w:numId w:val="7"/>
              </w:numPr>
              <w:spacing w:line="320" w:lineRule="exact"/>
              <w:ind w:left="0" w:firstLine="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墙距大于等于30cm；</w:t>
            </w:r>
          </w:p>
          <w:p w:rsidR="003E1D2A" w:rsidRPr="00687B52" w:rsidRDefault="003E1D2A" w:rsidP="00D9787F">
            <w:pPr>
              <w:numPr>
                <w:ilvl w:val="0"/>
                <w:numId w:val="7"/>
              </w:numPr>
              <w:spacing w:line="320" w:lineRule="exact"/>
              <w:ind w:left="0" w:firstLine="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柱距大于等于10cm；</w:t>
            </w:r>
          </w:p>
          <w:p w:rsidR="003E1D2A" w:rsidRPr="00687B52" w:rsidRDefault="003E1D2A" w:rsidP="00D9787F">
            <w:pPr>
              <w:numPr>
                <w:ilvl w:val="0"/>
                <w:numId w:val="7"/>
              </w:numPr>
              <w:spacing w:line="320" w:lineRule="exact"/>
              <w:ind w:left="0" w:firstLine="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垛距大于等于10cm；</w:t>
            </w:r>
          </w:p>
          <w:p w:rsidR="003E1D2A" w:rsidRPr="00687B52" w:rsidRDefault="003E1D2A" w:rsidP="00D9787F">
            <w:pPr>
              <w:numPr>
                <w:ilvl w:val="0"/>
                <w:numId w:val="7"/>
              </w:numPr>
              <w:spacing w:line="320" w:lineRule="exact"/>
              <w:ind w:left="0" w:firstLine="0"/>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顶距大于等于50cm。</w:t>
            </w:r>
          </w:p>
        </w:tc>
        <w:tc>
          <w:tcPr>
            <w:tcW w:w="837" w:type="pct"/>
            <w:vAlign w:val="center"/>
          </w:tcPr>
          <w:p w:rsidR="003E1D2A" w:rsidRPr="00687B52" w:rsidRDefault="003E1D2A" w:rsidP="003E1D2A">
            <w:pPr>
              <w:spacing w:line="320" w:lineRule="exact"/>
              <w:jc w:val="center"/>
              <w:rPr>
                <w:rFonts w:ascii="Times New Roman" w:hAnsi="Times New Roman" w:cs="Times New Roman"/>
                <w:color w:val="000000" w:themeColor="text1"/>
                <w:sz w:val="24"/>
                <w:szCs w:val="24"/>
              </w:rPr>
            </w:pPr>
            <w:r w:rsidRPr="00687B52">
              <w:rPr>
                <w:rFonts w:ascii="Times New Roman" w:hAnsiTheme="minorEastAsia" w:cs="Times New Roman"/>
                <w:color w:val="000000" w:themeColor="text1"/>
                <w:sz w:val="24"/>
                <w:szCs w:val="24"/>
              </w:rPr>
              <w:t>《易燃易爆性商品储存养护技术条件》</w:t>
            </w:r>
            <w:r w:rsidRPr="00687B52">
              <w:rPr>
                <w:rFonts w:ascii="Times New Roman" w:hAnsi="Times New Roman" w:cs="Times New Roman"/>
                <w:color w:val="000000" w:themeColor="text1"/>
                <w:sz w:val="24"/>
                <w:szCs w:val="24"/>
              </w:rPr>
              <w:t>GB17914-2013</w:t>
            </w:r>
          </w:p>
          <w:p w:rsidR="003E1D2A" w:rsidRPr="00687B52" w:rsidRDefault="003E1D2A" w:rsidP="003E1D2A">
            <w:pPr>
              <w:spacing w:line="320" w:lineRule="exact"/>
              <w:jc w:val="center"/>
              <w:rPr>
                <w:rFonts w:ascii="Times New Roman" w:hAnsi="Times New Roman" w:cs="Times New Roman"/>
                <w:color w:val="000000" w:themeColor="text1"/>
                <w:sz w:val="24"/>
                <w:szCs w:val="24"/>
              </w:rPr>
            </w:pPr>
            <w:r w:rsidRPr="00687B52">
              <w:rPr>
                <w:rFonts w:ascii="Times New Roman" w:hAnsiTheme="minorEastAsia" w:cs="Times New Roman"/>
                <w:color w:val="000000" w:themeColor="text1"/>
                <w:sz w:val="24"/>
                <w:szCs w:val="24"/>
              </w:rPr>
              <w:t>第</w:t>
            </w:r>
            <w:r w:rsidRPr="00687B52">
              <w:rPr>
                <w:rFonts w:ascii="Times New Roman" w:hAnsi="Times New Roman" w:cs="Times New Roman"/>
                <w:color w:val="000000" w:themeColor="text1"/>
                <w:sz w:val="24"/>
                <w:szCs w:val="24"/>
              </w:rPr>
              <w:t>6.2</w:t>
            </w:r>
            <w:r w:rsidRPr="00687B52">
              <w:rPr>
                <w:rFonts w:ascii="Times New Roman" w:hAnsiTheme="minorEastAsia" w:cs="Times New Roman"/>
                <w:color w:val="000000" w:themeColor="text1"/>
                <w:sz w:val="24"/>
                <w:szCs w:val="24"/>
              </w:rPr>
              <w:t>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4"/>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库房内设置温湿度表，按规定时间进行观测和记录。</w:t>
            </w:r>
          </w:p>
        </w:tc>
        <w:tc>
          <w:tcPr>
            <w:tcW w:w="837" w:type="pct"/>
            <w:vAlign w:val="center"/>
          </w:tcPr>
          <w:p w:rsidR="003E1D2A" w:rsidRPr="00687B52" w:rsidRDefault="003E1D2A" w:rsidP="003E1D2A">
            <w:pPr>
              <w:spacing w:line="320" w:lineRule="exact"/>
              <w:jc w:val="center"/>
              <w:rPr>
                <w:rFonts w:asciiTheme="minorEastAsia" w:hAnsiTheme="minorEastAsia" w:cs="Arial"/>
                <w:color w:val="000000" w:themeColor="text1"/>
                <w:sz w:val="24"/>
                <w:szCs w:val="24"/>
              </w:rPr>
            </w:pPr>
            <w:r w:rsidRPr="00687B52">
              <w:rPr>
                <w:rFonts w:asciiTheme="minorEastAsia" w:hAnsiTheme="minorEastAsia" w:hint="eastAsia"/>
                <w:color w:val="000000" w:themeColor="text1"/>
                <w:sz w:val="24"/>
                <w:szCs w:val="24"/>
              </w:rPr>
              <w:t>《易燃易爆性商品储存养护技术条件》</w:t>
            </w:r>
            <w:r w:rsidRPr="00687B52">
              <w:rPr>
                <w:rFonts w:asciiTheme="minorEastAsia" w:hAnsiTheme="minorEastAsia" w:cs="Arial" w:hint="eastAsia"/>
                <w:color w:val="000000" w:themeColor="text1"/>
                <w:sz w:val="24"/>
                <w:szCs w:val="24"/>
              </w:rPr>
              <w:t>GB17914-2013 7.1条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4"/>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color w:val="000000" w:themeColor="text1"/>
                <w:kern w:val="0"/>
                <w:sz w:val="24"/>
              </w:rPr>
              <w:t>1</w:t>
            </w:r>
            <w:r w:rsidRPr="00687B52">
              <w:rPr>
                <w:rFonts w:ascii="宋体" w:hAnsi="宋体" w:cs="AdobeHeitiStd-Regular" w:hint="eastAsia"/>
                <w:color w:val="000000" w:themeColor="text1"/>
                <w:kern w:val="0"/>
                <w:sz w:val="24"/>
              </w:rPr>
              <w:t>、包装好的铝镁粉应存放于干燥地点。</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color w:val="000000" w:themeColor="text1"/>
                <w:kern w:val="0"/>
                <w:sz w:val="24"/>
              </w:rPr>
              <w:t>2</w:t>
            </w:r>
            <w:r w:rsidRPr="00687B52">
              <w:rPr>
                <w:rFonts w:ascii="宋体" w:hAnsi="宋体" w:cs="AdobeHeitiStd-Regular" w:hint="eastAsia"/>
                <w:color w:val="000000" w:themeColor="text1"/>
                <w:kern w:val="0"/>
                <w:sz w:val="24"/>
              </w:rPr>
              <w:t>、装有铝镁粉的包装物或容器应堆放稳定并置于距门窗、采暖热源</w:t>
            </w:r>
            <w:smartTag w:uri="urn:schemas-microsoft-com:office:smarttags" w:element="chmetcnv">
              <w:smartTagPr>
                <w:attr w:name="TCSC" w:val="0"/>
                <w:attr w:name="NumberType" w:val="1"/>
                <w:attr w:name="Negative" w:val="False"/>
                <w:attr w:name="HasSpace" w:val="True"/>
                <w:attr w:name="SourceValue" w:val="1"/>
                <w:attr w:name="UnitName" w:val="m"/>
              </w:smartTagPr>
              <w:r w:rsidRPr="00687B52">
                <w:rPr>
                  <w:rFonts w:ascii="宋体" w:hAnsi="宋体" w:cs="AdobeHeitiStd-Regular"/>
                  <w:color w:val="000000" w:themeColor="text1"/>
                  <w:kern w:val="0"/>
                  <w:sz w:val="24"/>
                </w:rPr>
                <w:t>1 m</w:t>
              </w:r>
            </w:smartTag>
            <w:r w:rsidRPr="00687B52">
              <w:rPr>
                <w:rFonts w:ascii="宋体" w:hAnsi="宋体" w:cs="AdobeHeitiStd-Regular" w:hint="eastAsia"/>
                <w:color w:val="000000" w:themeColor="text1"/>
                <w:kern w:val="0"/>
                <w:sz w:val="24"/>
              </w:rPr>
              <w:t>以外，每两排容器间应留有不小于</w:t>
            </w:r>
            <w:r w:rsidRPr="00687B52">
              <w:rPr>
                <w:rFonts w:ascii="宋体" w:hAnsi="宋体" w:cs="AdobeHeitiStd-Regular"/>
                <w:color w:val="000000" w:themeColor="text1"/>
                <w:kern w:val="0"/>
                <w:sz w:val="24"/>
              </w:rPr>
              <w:t>0.5m</w:t>
            </w:r>
            <w:r w:rsidRPr="00687B52">
              <w:rPr>
                <w:rFonts w:ascii="宋体" w:hAnsi="宋体" w:cs="AdobeHeitiStd-Regular" w:hint="eastAsia"/>
                <w:color w:val="000000" w:themeColor="text1"/>
                <w:kern w:val="0"/>
                <w:sz w:val="24"/>
              </w:rPr>
              <w:t>的通道且不应堵塞安全门或防火通道。</w:t>
            </w:r>
          </w:p>
          <w:p w:rsidR="003E1D2A" w:rsidRPr="00687B52" w:rsidRDefault="003E1D2A" w:rsidP="003E1D2A">
            <w:pPr>
              <w:autoSpaceDE w:val="0"/>
              <w:autoSpaceDN w:val="0"/>
              <w:spacing w:line="320" w:lineRule="exact"/>
              <w:jc w:val="left"/>
              <w:rPr>
                <w:rFonts w:ascii="宋体" w:hAnsi="宋体" w:cs="AdobeHeitiStd-Regular"/>
                <w:color w:val="000000" w:themeColor="text1"/>
                <w:kern w:val="0"/>
                <w:sz w:val="24"/>
              </w:rPr>
            </w:pPr>
            <w:r w:rsidRPr="00687B52">
              <w:rPr>
                <w:rFonts w:ascii="宋体" w:hAnsi="宋体" w:cs="AdobeHeitiStd-Regular"/>
                <w:color w:val="000000" w:themeColor="text1"/>
                <w:kern w:val="0"/>
                <w:sz w:val="24"/>
              </w:rPr>
              <w:t>3</w:t>
            </w:r>
            <w:r w:rsidRPr="00687B52">
              <w:rPr>
                <w:rFonts w:ascii="宋体" w:hAnsi="宋体" w:cs="AdobeHeitiStd-Regular" w:hint="eastAsia"/>
                <w:color w:val="000000" w:themeColor="text1"/>
                <w:kern w:val="0"/>
                <w:sz w:val="24"/>
              </w:rPr>
              <w:t>、为避免产品局部发热产生火灾，应定期检查</w:t>
            </w:r>
            <w:r w:rsidRPr="00687B52">
              <w:rPr>
                <w:rFonts w:ascii="宋体" w:hAnsi="宋体" w:cs="AdobeHeitiStd-Regular"/>
                <w:color w:val="000000" w:themeColor="text1"/>
                <w:kern w:val="0"/>
                <w:sz w:val="24"/>
              </w:rPr>
              <w:t>(</w:t>
            </w:r>
            <w:r w:rsidRPr="00687B52">
              <w:rPr>
                <w:rFonts w:ascii="宋体" w:hAnsi="宋体" w:cs="AdobeHeitiStd-Regular" w:hint="eastAsia"/>
                <w:color w:val="000000" w:themeColor="text1"/>
                <w:kern w:val="0"/>
                <w:sz w:val="24"/>
              </w:rPr>
              <w:t>如用手触法进行检查</w:t>
            </w:r>
            <w:r w:rsidRPr="00687B52">
              <w:rPr>
                <w:rFonts w:ascii="宋体" w:hAnsi="宋体" w:cs="AdobeHeitiStd-Regular"/>
                <w:color w:val="000000" w:themeColor="text1"/>
                <w:kern w:val="0"/>
                <w:sz w:val="24"/>
              </w:rPr>
              <w:t>)</w:t>
            </w:r>
            <w:r w:rsidRPr="00687B52">
              <w:rPr>
                <w:rFonts w:ascii="宋体" w:hAnsi="宋体" w:cs="AdobeHeitiStd-Regular" w:hint="eastAsia"/>
                <w:color w:val="000000" w:themeColor="text1"/>
                <w:kern w:val="0"/>
                <w:sz w:val="24"/>
              </w:rPr>
              <w:t>。发现温度升高，应立即将产品转移至安全地点观察，直至冷却为止。</w:t>
            </w:r>
          </w:p>
        </w:tc>
        <w:tc>
          <w:tcPr>
            <w:tcW w:w="837" w:type="pct"/>
            <w:vAlign w:val="center"/>
          </w:tcPr>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《铝镁粉加工粉尘防爆安全规程》GB17269-2003</w:t>
            </w:r>
          </w:p>
          <w:p w:rsidR="003E1D2A" w:rsidRPr="00687B52" w:rsidRDefault="003E1D2A" w:rsidP="003E1D2A">
            <w:pPr>
              <w:spacing w:line="320" w:lineRule="exact"/>
              <w:rPr>
                <w:rFonts w:ascii="宋体" w:hAnsi="宋体"/>
                <w:color w:val="000000" w:themeColor="text1"/>
                <w:kern w:val="0"/>
                <w:sz w:val="24"/>
                <w:szCs w:val="24"/>
              </w:rPr>
            </w:pPr>
            <w:r w:rsidRPr="00687B52">
              <w:rPr>
                <w:rFonts w:ascii="宋体" w:hAnsi="宋体" w:hint="eastAsia"/>
                <w:color w:val="000000" w:themeColor="text1"/>
                <w:kern w:val="0"/>
                <w:sz w:val="24"/>
                <w:szCs w:val="24"/>
              </w:rPr>
              <w:t>第8.5条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4"/>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甲、乙、丙类液体的地上式、半地下式储罐或储罐组，其四周应设置不燃性防火堤。防火堤的设置应符合下列规定：</w:t>
            </w:r>
          </w:p>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 防火堤内的储罐布置不宜超过两排，但罐容量不大于1000m³且闪点大于120℃的液体储罐不宜超过4排。</w:t>
            </w:r>
          </w:p>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 防火堤的有效容积不应小于其中最大储罐的容量。</w:t>
            </w:r>
          </w:p>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防火堤内侧基脚线至立式储罐外壁的水平距离不应小于储罐高度的一半，防火堤内侧基脚线至卧式储罐的水平距离不应小于3m。</w:t>
            </w:r>
          </w:p>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4防火堤的设计高度应比计算高度高出0.2m，且应为1.0m~2.2m，在防火堤的适当位置应设置便于灭火救援人员进出防火堤的踏步</w:t>
            </w:r>
            <w:r w:rsidRPr="00687B52">
              <w:rPr>
                <w:rFonts w:asciiTheme="minorEastAsia" w:eastAsiaTheme="minorEastAsia" w:hAnsiTheme="minorEastAsia"/>
                <w:color w:val="000000" w:themeColor="text1"/>
                <w:szCs w:val="24"/>
              </w:rPr>
              <w:t>…</w:t>
            </w:r>
          </w:p>
        </w:tc>
        <w:tc>
          <w:tcPr>
            <w:tcW w:w="837"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宋体" w:hAnsi="宋体" w:hint="eastAsia"/>
                <w:color w:val="000000" w:themeColor="text1"/>
                <w:kern w:val="0"/>
                <w:szCs w:val="24"/>
              </w:rPr>
              <w:t>《建筑设计防火规范》</w:t>
            </w:r>
            <w:r w:rsidRPr="00687B52">
              <w:rPr>
                <w:rFonts w:asciiTheme="minorEastAsia" w:eastAsiaTheme="minorEastAsia" w:hAnsiTheme="minorEastAsia" w:hint="eastAsia"/>
                <w:color w:val="000000" w:themeColor="text1"/>
                <w:szCs w:val="24"/>
              </w:rPr>
              <w:t>GB50016-2014</w:t>
            </w:r>
          </w:p>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第4.2.5条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r w:rsidR="003E1D2A" w:rsidRPr="00687B52" w:rsidTr="00563F92">
        <w:trPr>
          <w:jc w:val="center"/>
        </w:trPr>
        <w:tc>
          <w:tcPr>
            <w:tcW w:w="356" w:type="pct"/>
            <w:vAlign w:val="center"/>
          </w:tcPr>
          <w:p w:rsidR="003E1D2A" w:rsidRPr="00687B52" w:rsidRDefault="003E1D2A" w:rsidP="00D9787F">
            <w:pPr>
              <w:pStyle w:val="a7"/>
              <w:numPr>
                <w:ilvl w:val="0"/>
                <w:numId w:val="4"/>
              </w:numPr>
              <w:adjustRightInd/>
              <w:snapToGrid/>
              <w:ind w:left="0" w:firstLine="0"/>
              <w:rPr>
                <w:rFonts w:asciiTheme="minorEastAsia" w:eastAsiaTheme="minorEastAsia" w:hAnsiTheme="minorEastAsia"/>
                <w:color w:val="000000" w:themeColor="text1"/>
                <w:szCs w:val="24"/>
              </w:rPr>
            </w:pPr>
          </w:p>
        </w:tc>
        <w:tc>
          <w:tcPr>
            <w:tcW w:w="2368"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每个储罐组的防火堤、防护墙应设置不少于2处越堤人行踏步或坡道，并应设置在不同方位上。隔堤、隔墙应设置任性踏步或坡道。</w:t>
            </w:r>
          </w:p>
        </w:tc>
        <w:tc>
          <w:tcPr>
            <w:tcW w:w="837" w:type="pct"/>
            <w:vAlign w:val="center"/>
          </w:tcPr>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宋体" w:hAnsi="宋体" w:hint="eastAsia"/>
                <w:color w:val="000000" w:themeColor="text1"/>
                <w:kern w:val="0"/>
                <w:szCs w:val="24"/>
              </w:rPr>
              <w:t>《储罐区防火堤设计规范》</w:t>
            </w:r>
            <w:r w:rsidRPr="00687B52">
              <w:rPr>
                <w:rFonts w:asciiTheme="minorEastAsia" w:eastAsiaTheme="minorEastAsia" w:hAnsiTheme="minorEastAsia" w:hint="eastAsia"/>
                <w:color w:val="000000" w:themeColor="text1"/>
                <w:szCs w:val="24"/>
              </w:rPr>
              <w:t>GB50351-2014</w:t>
            </w:r>
          </w:p>
          <w:p w:rsidR="003E1D2A" w:rsidRPr="00687B52" w:rsidRDefault="003E1D2A" w:rsidP="003E1D2A">
            <w:pPr>
              <w:pStyle w:val="a7"/>
              <w:adjustRightInd/>
              <w:snapToGrid/>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第3.1.7条</w:t>
            </w:r>
          </w:p>
        </w:tc>
        <w:tc>
          <w:tcPr>
            <w:tcW w:w="1438" w:type="pct"/>
          </w:tcPr>
          <w:p w:rsidR="003E1D2A" w:rsidRPr="00687B52" w:rsidRDefault="003E1D2A" w:rsidP="003E1D2A">
            <w:pPr>
              <w:pStyle w:val="a7"/>
              <w:adjustRightInd/>
              <w:snapToGrid/>
              <w:rPr>
                <w:rFonts w:asciiTheme="minorEastAsia" w:eastAsiaTheme="minorEastAsia" w:hAnsiTheme="minorEastAsia"/>
                <w:color w:val="000000" w:themeColor="text1"/>
                <w:szCs w:val="24"/>
              </w:rPr>
            </w:pPr>
          </w:p>
        </w:tc>
      </w:tr>
    </w:tbl>
    <w:p w:rsidR="003E1D2A" w:rsidRPr="00687B52" w:rsidRDefault="003E1D2A" w:rsidP="003E1D2A">
      <w:pPr>
        <w:spacing w:line="320" w:lineRule="exact"/>
        <w:rPr>
          <w:rFonts w:asciiTheme="minorEastAsia" w:hAnsiTheme="minorEastAsia" w:cs="Arial"/>
          <w:color w:val="000000" w:themeColor="text1"/>
          <w:sz w:val="24"/>
          <w:szCs w:val="24"/>
        </w:rPr>
      </w:pPr>
    </w:p>
    <w:p w:rsidR="003E1D2A" w:rsidRPr="00687B52" w:rsidRDefault="003E1D2A" w:rsidP="003110C0">
      <w:pPr>
        <w:spacing w:line="480" w:lineRule="exact"/>
        <w:jc w:val="left"/>
        <w:rPr>
          <w:color w:val="000000" w:themeColor="text1"/>
          <w:sz w:val="28"/>
          <w:szCs w:val="28"/>
        </w:rPr>
        <w:sectPr w:rsidR="003E1D2A" w:rsidRPr="00687B52" w:rsidSect="00D22E6D">
          <w:footerReference w:type="default" r:id="rId35"/>
          <w:pgSz w:w="16838" w:h="11906" w:orient="landscape"/>
          <w:pgMar w:top="1457" w:right="1780" w:bottom="1457" w:left="1780" w:header="851" w:footer="907" w:gutter="0"/>
          <w:cols w:space="425"/>
          <w:docGrid w:type="lines" w:linePitch="312"/>
        </w:sectPr>
      </w:pPr>
    </w:p>
    <w:p w:rsidR="003E1D2A" w:rsidRPr="00687B52" w:rsidRDefault="0007330F" w:rsidP="0007330F">
      <w:pPr>
        <w:pStyle w:val="aff3"/>
        <w:numPr>
          <w:ilvl w:val="0"/>
          <w:numId w:val="0"/>
        </w:numPr>
        <w:rPr>
          <w:color w:val="000000" w:themeColor="text1"/>
          <w:szCs w:val="28"/>
        </w:rPr>
      </w:pPr>
      <w:bookmarkStart w:id="37" w:name="_Toc492634900"/>
      <w:r w:rsidRPr="00687B52">
        <w:rPr>
          <w:rFonts w:hint="eastAsia"/>
          <w:color w:val="000000" w:themeColor="text1"/>
        </w:rPr>
        <w:t>表</w:t>
      </w:r>
      <w:r w:rsidRPr="00687B52">
        <w:rPr>
          <w:rFonts w:hint="eastAsia"/>
          <w:color w:val="000000" w:themeColor="text1"/>
        </w:rPr>
        <w:t xml:space="preserve">2-9 </w:t>
      </w:r>
      <w:r w:rsidRPr="00687B52">
        <w:rPr>
          <w:rFonts w:hint="eastAsia"/>
          <w:color w:val="000000" w:themeColor="text1"/>
        </w:rPr>
        <w:t>危险化学品生产</w:t>
      </w:r>
      <w:r w:rsidR="008B4454" w:rsidRPr="00687B52">
        <w:rPr>
          <w:rFonts w:hint="eastAsia"/>
          <w:color w:val="000000" w:themeColor="text1"/>
        </w:rPr>
        <w:t>、使用</w:t>
      </w:r>
      <w:r w:rsidRPr="00687B52">
        <w:rPr>
          <w:rFonts w:hint="eastAsia"/>
          <w:color w:val="000000" w:themeColor="text1"/>
        </w:rPr>
        <w:t>企业专业检查表（</w:t>
      </w:r>
      <w:r w:rsidR="00CD2E6C" w:rsidRPr="00687B52">
        <w:rPr>
          <w:rFonts w:hint="eastAsia"/>
          <w:color w:val="000000" w:themeColor="text1"/>
          <w:szCs w:val="28"/>
        </w:rPr>
        <w:t>其他</w:t>
      </w:r>
      <w:r w:rsidRPr="00687B52">
        <w:rPr>
          <w:rFonts w:hint="eastAsia"/>
          <w:color w:val="000000" w:themeColor="text1"/>
          <w:szCs w:val="28"/>
        </w:rPr>
        <w:t>）</w:t>
      </w:r>
      <w:bookmarkEnd w:id="37"/>
    </w:p>
    <w:p w:rsidR="003E1D2A" w:rsidRPr="00687B52" w:rsidRDefault="003E1D2A" w:rsidP="003E1D2A">
      <w:pPr>
        <w:ind w:left="1200" w:hangingChars="500" w:hanging="1200"/>
        <w:jc w:val="left"/>
        <w:rPr>
          <w:rFonts w:asciiTheme="minorEastAsia" w:hAnsiTheme="minorEastAsia"/>
          <w:color w:val="000000" w:themeColor="text1"/>
          <w:szCs w:val="21"/>
        </w:rPr>
      </w:pPr>
      <w:r w:rsidRPr="00687B52">
        <w:rPr>
          <w:rFonts w:ascii="宋体" w:eastAsia="宋体" w:hAnsi="宋体" w:cs="宋体"/>
          <w:color w:val="000000" w:themeColor="text1"/>
          <w:kern w:val="0"/>
          <w:sz w:val="24"/>
          <w:szCs w:val="24"/>
        </w:rPr>
        <w:t>本表适用于</w:t>
      </w:r>
      <w:r w:rsidRPr="00687B52">
        <w:rPr>
          <w:rFonts w:ascii="宋体" w:eastAsia="宋体" w:hAnsi="宋体" w:cs="宋体" w:hint="eastAsia"/>
          <w:color w:val="000000" w:themeColor="text1"/>
          <w:kern w:val="0"/>
          <w:sz w:val="24"/>
          <w:szCs w:val="24"/>
        </w:rPr>
        <w:t>除石油化工、氯碱、合成氨、硫酸、油漆涂料、氯酸盐、金属粉末以外的其他危险化学品生产</w:t>
      </w:r>
      <w:r w:rsidR="008B4454" w:rsidRPr="00687B52">
        <w:rPr>
          <w:rFonts w:ascii="宋体" w:eastAsia="宋体" w:hAnsi="宋体" w:cs="宋体" w:hint="eastAsia"/>
          <w:color w:val="000000" w:themeColor="text1"/>
          <w:kern w:val="0"/>
          <w:sz w:val="24"/>
          <w:szCs w:val="24"/>
        </w:rPr>
        <w:t>、使用</w:t>
      </w:r>
      <w:r w:rsidRPr="00687B52">
        <w:rPr>
          <w:rFonts w:ascii="宋体" w:eastAsia="宋体" w:hAnsi="宋体" w:cs="宋体"/>
          <w:color w:val="000000" w:themeColor="text1"/>
          <w:kern w:val="0"/>
          <w:sz w:val="24"/>
          <w:szCs w:val="24"/>
        </w:rPr>
        <w:t>企业</w:t>
      </w:r>
      <w:r w:rsidRPr="00687B52">
        <w:rPr>
          <w:rFonts w:ascii="宋体" w:eastAsia="宋体" w:hAnsi="宋体" w:cs="宋体" w:hint="eastAsia"/>
          <w:color w:val="000000" w:themeColor="text1"/>
          <w:kern w:val="0"/>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6329"/>
        <w:gridCol w:w="2770"/>
        <w:gridCol w:w="3362"/>
      </w:tblGrid>
      <w:tr w:rsidR="003E1D2A" w:rsidRPr="00687B52" w:rsidTr="0007330F">
        <w:trPr>
          <w:tblHeader/>
        </w:trPr>
        <w:tc>
          <w:tcPr>
            <w:tcW w:w="371" w:type="pct"/>
            <w:shd w:val="clear" w:color="auto" w:fill="auto"/>
            <w:vAlign w:val="center"/>
          </w:tcPr>
          <w:p w:rsidR="003E1D2A" w:rsidRPr="00687B52" w:rsidRDefault="003E1D2A" w:rsidP="00613881">
            <w:pPr>
              <w:jc w:val="center"/>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序号</w:t>
            </w:r>
          </w:p>
        </w:tc>
        <w:tc>
          <w:tcPr>
            <w:tcW w:w="2351" w:type="pct"/>
            <w:shd w:val="clear" w:color="auto" w:fill="auto"/>
            <w:vAlign w:val="center"/>
          </w:tcPr>
          <w:p w:rsidR="003E1D2A" w:rsidRPr="00687B52" w:rsidRDefault="003E1D2A" w:rsidP="003E1D2A">
            <w:pPr>
              <w:jc w:val="cente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检查内容</w:t>
            </w:r>
          </w:p>
        </w:tc>
        <w:tc>
          <w:tcPr>
            <w:tcW w:w="1029" w:type="pct"/>
            <w:shd w:val="clear" w:color="auto" w:fill="auto"/>
            <w:vAlign w:val="center"/>
          </w:tcPr>
          <w:p w:rsidR="003E1D2A" w:rsidRPr="00687B52" w:rsidRDefault="003E1D2A" w:rsidP="003E1D2A">
            <w:pPr>
              <w:jc w:val="center"/>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检查依据</w:t>
            </w:r>
          </w:p>
        </w:tc>
        <w:tc>
          <w:tcPr>
            <w:tcW w:w="1249" w:type="pct"/>
            <w:shd w:val="clear" w:color="auto" w:fill="auto"/>
            <w:vAlign w:val="center"/>
          </w:tcPr>
          <w:p w:rsidR="003E1D2A" w:rsidRPr="00687B52" w:rsidRDefault="003E1D2A" w:rsidP="003E1D2A">
            <w:pPr>
              <w:jc w:val="cente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检查</w:t>
            </w:r>
            <w:r w:rsidRPr="00687B52">
              <w:rPr>
                <w:rFonts w:asciiTheme="minorEastAsia" w:hAnsiTheme="minorEastAsia" w:cs="Times New Roman"/>
                <w:color w:val="000000" w:themeColor="text1"/>
                <w:sz w:val="24"/>
                <w:szCs w:val="24"/>
              </w:rPr>
              <w:t>情况</w:t>
            </w:r>
          </w:p>
        </w:tc>
      </w:tr>
      <w:tr w:rsidR="003E1D2A" w:rsidRPr="00687B52" w:rsidTr="0007330F">
        <w:tc>
          <w:tcPr>
            <w:tcW w:w="371" w:type="pct"/>
            <w:shd w:val="clear" w:color="auto" w:fill="auto"/>
            <w:vAlign w:val="center"/>
          </w:tcPr>
          <w:p w:rsidR="003E1D2A" w:rsidRPr="00687B52" w:rsidRDefault="003E1D2A" w:rsidP="00613881">
            <w:pPr>
              <w:jc w:val="center"/>
              <w:rPr>
                <w:rFonts w:asciiTheme="minorEastAsia" w:hAnsiTheme="minorEastAsia" w:cs="Times New Roman"/>
                <w:b/>
                <w:color w:val="000000" w:themeColor="text1"/>
                <w:sz w:val="24"/>
                <w:szCs w:val="24"/>
              </w:rPr>
            </w:pPr>
            <w:r w:rsidRPr="00687B52">
              <w:rPr>
                <w:rFonts w:asciiTheme="minorEastAsia" w:hAnsiTheme="minorEastAsia" w:cs="Times New Roman"/>
                <w:b/>
                <w:color w:val="000000" w:themeColor="text1"/>
                <w:sz w:val="24"/>
                <w:szCs w:val="24"/>
              </w:rPr>
              <w:t>1</w:t>
            </w:r>
          </w:p>
        </w:tc>
        <w:tc>
          <w:tcPr>
            <w:tcW w:w="2351" w:type="pct"/>
            <w:shd w:val="clear" w:color="auto" w:fill="auto"/>
            <w:vAlign w:val="center"/>
          </w:tcPr>
          <w:p w:rsidR="003E1D2A" w:rsidRPr="00687B52" w:rsidRDefault="003E1D2A" w:rsidP="003E1D2A">
            <w:pPr>
              <w:rPr>
                <w:rFonts w:asciiTheme="minorEastAsia" w:hAnsiTheme="minorEastAsia" w:cs="Times New Roman"/>
                <w:b/>
                <w:color w:val="000000" w:themeColor="text1"/>
                <w:sz w:val="24"/>
                <w:szCs w:val="24"/>
              </w:rPr>
            </w:pPr>
            <w:r w:rsidRPr="00687B52">
              <w:rPr>
                <w:rFonts w:asciiTheme="minorEastAsia" w:hAnsiTheme="minorEastAsia" w:cs="Times New Roman" w:hint="eastAsia"/>
                <w:b/>
                <w:color w:val="000000" w:themeColor="text1"/>
                <w:sz w:val="24"/>
                <w:szCs w:val="24"/>
              </w:rPr>
              <w:t>区域位置、总平面布置和建筑</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613881">
            <w:pPr>
              <w:jc w:val="center"/>
              <w:rPr>
                <w:rFonts w:asciiTheme="minorEastAsia" w:hAnsiTheme="minorEastAsia" w:cs="Times New Roman"/>
                <w:b/>
                <w:color w:val="000000" w:themeColor="text1"/>
                <w:sz w:val="24"/>
                <w:szCs w:val="24"/>
              </w:rPr>
            </w:pPr>
            <w:r w:rsidRPr="00687B52">
              <w:rPr>
                <w:rFonts w:asciiTheme="minorEastAsia" w:hAnsiTheme="minorEastAsia" w:cs="Times New Roman"/>
                <w:b/>
                <w:color w:val="000000" w:themeColor="text1"/>
                <w:sz w:val="24"/>
                <w:szCs w:val="24"/>
              </w:rPr>
              <w:t>1.1</w:t>
            </w:r>
          </w:p>
        </w:tc>
        <w:tc>
          <w:tcPr>
            <w:tcW w:w="2351" w:type="pct"/>
            <w:shd w:val="clear" w:color="auto" w:fill="auto"/>
            <w:vAlign w:val="center"/>
          </w:tcPr>
          <w:p w:rsidR="003E1D2A" w:rsidRPr="00687B52" w:rsidRDefault="003E1D2A" w:rsidP="003E1D2A">
            <w:pPr>
              <w:jc w:val="left"/>
              <w:rPr>
                <w:rFonts w:asciiTheme="minorEastAsia" w:hAnsiTheme="minorEastAsia" w:cs="Times New Roman"/>
                <w:b/>
                <w:color w:val="000000" w:themeColor="text1"/>
                <w:sz w:val="24"/>
                <w:szCs w:val="24"/>
              </w:rPr>
            </w:pPr>
            <w:r w:rsidRPr="00687B52">
              <w:rPr>
                <w:rFonts w:asciiTheme="minorEastAsia" w:hAnsiTheme="minorEastAsia" w:cs="Times New Roman"/>
                <w:b/>
                <w:color w:val="000000" w:themeColor="text1"/>
                <w:sz w:val="24"/>
                <w:szCs w:val="24"/>
              </w:rPr>
              <w:t>区域位置与总图布置</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8B4454" w:rsidP="008B4454">
            <w:pPr>
              <w:jc w:val="cente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1.1.1</w:t>
            </w:r>
          </w:p>
        </w:tc>
        <w:tc>
          <w:tcPr>
            <w:tcW w:w="2351" w:type="pct"/>
            <w:shd w:val="clear" w:color="auto" w:fill="auto"/>
            <w:vAlign w:val="center"/>
          </w:tcPr>
          <w:p w:rsidR="003E1D2A" w:rsidRPr="00687B52" w:rsidRDefault="003E1D2A" w:rsidP="003E1D2A">
            <w:p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危险化学品生产装置和储存危险化学品数量构成重大危险源的储存设施</w:t>
            </w:r>
            <w:r w:rsidRPr="00687B52">
              <w:rPr>
                <w:rFonts w:asciiTheme="minorEastAsia" w:hAnsiTheme="minorEastAsia" w:hint="eastAsia"/>
                <w:color w:val="000000" w:themeColor="text1"/>
                <w:sz w:val="24"/>
                <w:szCs w:val="24"/>
              </w:rPr>
              <w:t>是否按《危险化学品重大危险源监督管理暂行规定》确定外部安全防护距离，并计算风险；下列敏感目标是否在安全防护距离之外，个人风险和社会风险是否可接受</w:t>
            </w:r>
            <w:r w:rsidRPr="00687B52">
              <w:rPr>
                <w:rFonts w:asciiTheme="minorEastAsia" w:hAnsiTheme="minorEastAsia" w:cs="Times New Roman"/>
                <w:color w:val="000000" w:themeColor="text1"/>
                <w:sz w:val="24"/>
                <w:szCs w:val="24"/>
              </w:rPr>
              <w:t>：</w:t>
            </w:r>
          </w:p>
          <w:p w:rsidR="003E1D2A" w:rsidRPr="00687B52" w:rsidRDefault="003E1D2A" w:rsidP="00D9787F">
            <w:pPr>
              <w:numPr>
                <w:ilvl w:val="0"/>
                <w:numId w:val="99"/>
              </w:num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居民区、商业中心、公园等人口密集区域；</w:t>
            </w:r>
          </w:p>
          <w:p w:rsidR="003E1D2A" w:rsidRPr="00687B52" w:rsidRDefault="003E1D2A" w:rsidP="00D9787F">
            <w:pPr>
              <w:numPr>
                <w:ilvl w:val="0"/>
                <w:numId w:val="99"/>
              </w:num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学校、医院、影剧院、体育场（馆）等公共设施；</w:t>
            </w:r>
          </w:p>
          <w:p w:rsidR="003E1D2A" w:rsidRPr="00687B52" w:rsidRDefault="003E1D2A" w:rsidP="00D9787F">
            <w:pPr>
              <w:numPr>
                <w:ilvl w:val="0"/>
                <w:numId w:val="99"/>
              </w:num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供水水源、水厂及水源保护区；</w:t>
            </w:r>
          </w:p>
          <w:p w:rsidR="003E1D2A" w:rsidRPr="00687B52" w:rsidRDefault="003E1D2A" w:rsidP="00D9787F">
            <w:pPr>
              <w:numPr>
                <w:ilvl w:val="0"/>
                <w:numId w:val="99"/>
              </w:num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车站、码头（按照国家规定，经批准专门从事危险化学品装卸作业的除外）、机场以及公路、铁路、水路交通干线、地铁风亭及出入口；</w:t>
            </w:r>
          </w:p>
          <w:p w:rsidR="003E1D2A" w:rsidRPr="00687B52" w:rsidRDefault="003E1D2A" w:rsidP="00D9787F">
            <w:pPr>
              <w:numPr>
                <w:ilvl w:val="0"/>
                <w:numId w:val="99"/>
              </w:num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基本农田保护区、畜牧区、渔业水域和种子、种畜、水产苗种生产基地；</w:t>
            </w:r>
          </w:p>
          <w:p w:rsidR="003E1D2A" w:rsidRPr="00687B52" w:rsidRDefault="003E1D2A" w:rsidP="00D9787F">
            <w:pPr>
              <w:numPr>
                <w:ilvl w:val="0"/>
                <w:numId w:val="99"/>
              </w:num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河流、湖泊、风景名胜区和自然保护区；</w:t>
            </w:r>
          </w:p>
          <w:p w:rsidR="003E1D2A" w:rsidRPr="00687B52" w:rsidRDefault="003E1D2A" w:rsidP="00D9787F">
            <w:pPr>
              <w:numPr>
                <w:ilvl w:val="0"/>
                <w:numId w:val="99"/>
              </w:num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军事禁区、军事管理区；</w:t>
            </w:r>
          </w:p>
          <w:p w:rsidR="003E1D2A" w:rsidRPr="00687B52" w:rsidRDefault="003E1D2A" w:rsidP="00D9787F">
            <w:pPr>
              <w:numPr>
                <w:ilvl w:val="0"/>
                <w:numId w:val="99"/>
              </w:numPr>
              <w:spacing w:line="32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法律、行政法规规定予以保护的其他区域。</w:t>
            </w:r>
          </w:p>
        </w:tc>
        <w:tc>
          <w:tcPr>
            <w:tcW w:w="1029" w:type="pct"/>
            <w:shd w:val="clear" w:color="auto" w:fill="auto"/>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《危险化学品安全管理条例》第</w:t>
            </w:r>
            <w:r w:rsidRPr="00687B52">
              <w:rPr>
                <w:rFonts w:asciiTheme="minorEastAsia" w:hAnsiTheme="minorEastAsia" w:cs="Times New Roman" w:hint="eastAsia"/>
                <w:color w:val="000000" w:themeColor="text1"/>
                <w:sz w:val="24"/>
                <w:szCs w:val="24"/>
              </w:rPr>
              <w:t>10</w:t>
            </w:r>
            <w:r w:rsidRPr="00687B52">
              <w:rPr>
                <w:rFonts w:asciiTheme="minorEastAsia" w:hAnsiTheme="minorEastAsia" w:cs="Times New Roman"/>
                <w:color w:val="000000" w:themeColor="text1"/>
                <w:sz w:val="24"/>
                <w:szCs w:val="24"/>
              </w:rPr>
              <w:t>条</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《危险化学品生产企业安全生产许可证实施办法》</w:t>
            </w:r>
            <w:r w:rsidRPr="00687B52">
              <w:rPr>
                <w:rStyle w:val="Chara"/>
                <w:rFonts w:asciiTheme="minorEastAsia" w:hAnsiTheme="minorEastAsia" w:cs="Times New Roman"/>
                <w:bCs/>
                <w:color w:val="000000" w:themeColor="text1"/>
                <w:sz w:val="24"/>
                <w:szCs w:val="24"/>
              </w:rPr>
              <w:t>第</w:t>
            </w:r>
            <w:r w:rsidRPr="00687B52">
              <w:rPr>
                <w:rStyle w:val="Chara"/>
                <w:rFonts w:asciiTheme="minorEastAsia" w:hAnsiTheme="minorEastAsia" w:cs="Times New Roman" w:hint="eastAsia"/>
                <w:bCs/>
                <w:color w:val="000000" w:themeColor="text1"/>
                <w:sz w:val="24"/>
                <w:szCs w:val="24"/>
              </w:rPr>
              <w:t>12</w:t>
            </w:r>
            <w:r w:rsidRPr="00687B52">
              <w:rPr>
                <w:rStyle w:val="Chara"/>
                <w:rFonts w:asciiTheme="minorEastAsia" w:hAnsiTheme="minorEastAsia" w:cs="Times New Roman"/>
                <w:bCs/>
                <w:color w:val="000000" w:themeColor="text1"/>
                <w:sz w:val="24"/>
                <w:szCs w:val="24"/>
              </w:rPr>
              <w:t>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8B4454" w:rsidP="008B4454">
            <w:pPr>
              <w:jc w:val="cente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1.1.2</w:t>
            </w:r>
          </w:p>
        </w:tc>
        <w:tc>
          <w:tcPr>
            <w:tcW w:w="2351" w:type="pct"/>
            <w:shd w:val="clear" w:color="auto" w:fill="auto"/>
            <w:vAlign w:val="center"/>
          </w:tcPr>
          <w:p w:rsidR="003E1D2A" w:rsidRPr="00687B52" w:rsidRDefault="003E1D2A" w:rsidP="003E1D2A">
            <w:pPr>
              <w:autoSpaceDE w:val="0"/>
              <w:contextualSpacing/>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光气</w:t>
            </w:r>
            <w:r w:rsidRPr="00687B52">
              <w:rPr>
                <w:rFonts w:asciiTheme="minorEastAsia" w:hAnsiTheme="minorEastAsia" w:cs="Times New Roman" w:hint="eastAsia"/>
                <w:color w:val="000000" w:themeColor="text1"/>
                <w:sz w:val="24"/>
                <w:szCs w:val="24"/>
              </w:rPr>
              <w:t>装置</w:t>
            </w:r>
            <w:r w:rsidRPr="00687B52">
              <w:rPr>
                <w:rFonts w:asciiTheme="minorEastAsia" w:hAnsiTheme="minorEastAsia" w:cs="Times New Roman"/>
                <w:color w:val="000000" w:themeColor="text1"/>
                <w:sz w:val="24"/>
                <w:szCs w:val="24"/>
              </w:rPr>
              <w:t>应</w:t>
            </w:r>
            <w:r w:rsidRPr="00687B52">
              <w:rPr>
                <w:rFonts w:asciiTheme="minorEastAsia" w:hAnsiTheme="minorEastAsia" w:cs="Times New Roman" w:hint="eastAsia"/>
                <w:color w:val="000000" w:themeColor="text1"/>
                <w:sz w:val="24"/>
                <w:szCs w:val="24"/>
              </w:rPr>
              <w:t>设在</w:t>
            </w:r>
            <w:r w:rsidRPr="00687B52">
              <w:rPr>
                <w:rFonts w:asciiTheme="minorEastAsia" w:hAnsiTheme="minorEastAsia" w:cs="Times New Roman"/>
                <w:color w:val="000000" w:themeColor="text1"/>
                <w:sz w:val="24"/>
                <w:szCs w:val="24"/>
              </w:rPr>
              <w:t>化工园区内</w:t>
            </w:r>
            <w:r w:rsidRPr="00687B52">
              <w:rPr>
                <w:rFonts w:asciiTheme="minorEastAsia" w:hAnsiTheme="minorEastAsia" w:cs="Times New Roman" w:hint="eastAsia"/>
                <w:color w:val="000000" w:themeColor="text1"/>
                <w:sz w:val="24"/>
                <w:szCs w:val="24"/>
              </w:rPr>
              <w:t>，</w:t>
            </w:r>
            <w:r w:rsidRPr="00687B52">
              <w:rPr>
                <w:rFonts w:asciiTheme="minorEastAsia" w:hAnsiTheme="minorEastAsia" w:cs="Times New Roman"/>
                <w:color w:val="000000" w:themeColor="text1"/>
                <w:sz w:val="24"/>
                <w:szCs w:val="24"/>
              </w:rPr>
              <w:t>距离城市边界</w:t>
            </w:r>
            <w:r w:rsidRPr="00687B52">
              <w:rPr>
                <w:rFonts w:asciiTheme="minorEastAsia" w:hAnsiTheme="minorEastAsia" w:cs="Times New Roman" w:hint="eastAsia"/>
                <w:color w:val="000000" w:themeColor="text1"/>
                <w:sz w:val="24"/>
                <w:szCs w:val="24"/>
              </w:rPr>
              <w:t>、</w:t>
            </w:r>
            <w:r w:rsidRPr="00687B52">
              <w:rPr>
                <w:rFonts w:asciiTheme="minorEastAsia" w:hAnsiTheme="minorEastAsia" w:cs="Times New Roman"/>
                <w:color w:val="000000" w:themeColor="text1"/>
                <w:sz w:val="24"/>
                <w:szCs w:val="24"/>
              </w:rPr>
              <w:t>公园和体育场馆等大型公共设施、农牧业保护区、军事管理区</w:t>
            </w:r>
            <w:r w:rsidRPr="00687B52">
              <w:rPr>
                <w:rFonts w:asciiTheme="minorEastAsia" w:hAnsiTheme="minorEastAsia" w:cs="Times New Roman" w:hint="eastAsia"/>
                <w:color w:val="000000" w:themeColor="text1"/>
                <w:sz w:val="24"/>
                <w:szCs w:val="24"/>
              </w:rPr>
              <w:t>等防护距离不小于</w:t>
            </w:r>
            <w:r w:rsidRPr="00687B52">
              <w:rPr>
                <w:rFonts w:asciiTheme="minorEastAsia" w:hAnsiTheme="minorEastAsia" w:cs="Times New Roman"/>
                <w:color w:val="000000" w:themeColor="text1"/>
                <w:sz w:val="24"/>
                <w:szCs w:val="24"/>
              </w:rPr>
              <w:t>2 km</w:t>
            </w:r>
            <w:r w:rsidRPr="00687B52">
              <w:rPr>
                <w:rFonts w:asciiTheme="minorEastAsia" w:hAnsiTheme="minorEastAsia" w:cs="Times New Roman" w:hint="eastAsia"/>
                <w:color w:val="000000" w:themeColor="text1"/>
                <w:sz w:val="24"/>
                <w:szCs w:val="24"/>
              </w:rPr>
              <w:t>；距离</w:t>
            </w:r>
            <w:r w:rsidRPr="00687B52">
              <w:rPr>
                <w:rFonts w:asciiTheme="minorEastAsia" w:hAnsiTheme="minorEastAsia" w:cs="Times New Roman"/>
                <w:color w:val="000000" w:themeColor="text1"/>
                <w:sz w:val="24"/>
                <w:szCs w:val="24"/>
              </w:rPr>
              <w:t>港口、码头、车站</w:t>
            </w:r>
            <w:r w:rsidRPr="00687B52">
              <w:rPr>
                <w:rFonts w:asciiTheme="minorEastAsia" w:hAnsiTheme="minorEastAsia" w:cs="Times New Roman" w:hint="eastAsia"/>
                <w:color w:val="000000" w:themeColor="text1"/>
                <w:sz w:val="24"/>
                <w:szCs w:val="24"/>
              </w:rPr>
              <w:t>、</w:t>
            </w:r>
            <w:r w:rsidRPr="00687B52">
              <w:rPr>
                <w:rFonts w:asciiTheme="minorEastAsia" w:hAnsiTheme="minorEastAsia" w:cs="Times New Roman"/>
                <w:color w:val="000000" w:themeColor="text1"/>
                <w:sz w:val="24"/>
                <w:szCs w:val="24"/>
              </w:rPr>
              <w:t>主要江河两岸、一二级公路、高速公路、铁路、航道干线等交通要道两侧</w:t>
            </w:r>
            <w:r w:rsidRPr="00687B52">
              <w:rPr>
                <w:rFonts w:asciiTheme="minorEastAsia" w:hAnsiTheme="minorEastAsia" w:cs="Times New Roman" w:hint="eastAsia"/>
                <w:color w:val="000000" w:themeColor="text1"/>
                <w:sz w:val="24"/>
                <w:szCs w:val="24"/>
              </w:rPr>
              <w:t>的防护距离不小于</w:t>
            </w:r>
            <w:r w:rsidRPr="00687B52">
              <w:rPr>
                <w:rFonts w:asciiTheme="minorEastAsia" w:hAnsiTheme="minorEastAsia" w:cs="Times New Roman"/>
                <w:color w:val="000000" w:themeColor="text1"/>
                <w:sz w:val="24"/>
                <w:szCs w:val="24"/>
              </w:rPr>
              <w:t>1 km</w:t>
            </w:r>
            <w:r w:rsidRPr="00687B52">
              <w:rPr>
                <w:rFonts w:asciiTheme="minorEastAsia" w:hAnsiTheme="minorEastAsia" w:cs="Times New Roman" w:hint="eastAsia"/>
                <w:color w:val="000000" w:themeColor="text1"/>
                <w:sz w:val="24"/>
                <w:szCs w:val="24"/>
              </w:rPr>
              <w:t>。</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《光气及光气化产品安全生产管理指南》</w:t>
            </w:r>
          </w:p>
          <w:p w:rsidR="003E1D2A" w:rsidRPr="00687B52" w:rsidRDefault="003E1D2A" w:rsidP="003E1D2A">
            <w:pPr>
              <w:autoSpaceDE w:val="0"/>
              <w:contextualSpacing/>
              <w:jc w:val="left"/>
              <w:rPr>
                <w:rFonts w:asciiTheme="minorEastAsia" w:hAnsiTheme="minorEastAsia" w:cs="Times New Roman"/>
                <w:color w:val="000000" w:themeColor="text1"/>
                <w:sz w:val="24"/>
                <w:szCs w:val="24"/>
              </w:rPr>
            </w:pP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8B4454" w:rsidP="008B4454">
            <w:pPr>
              <w:jc w:val="cente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1.1.3</w:t>
            </w:r>
          </w:p>
        </w:tc>
        <w:tc>
          <w:tcPr>
            <w:tcW w:w="2351" w:type="pct"/>
            <w:shd w:val="clear" w:color="auto" w:fill="auto"/>
            <w:vAlign w:val="center"/>
          </w:tcPr>
          <w:p w:rsidR="003E1D2A" w:rsidRPr="00687B52" w:rsidRDefault="003E1D2A" w:rsidP="003E1D2A">
            <w:pPr>
              <w:rPr>
                <w:rFonts w:asciiTheme="minorEastAsia" w:hAnsiTheme="minorEastAsia" w:cs="Times New Roman"/>
                <w:color w:val="000000" w:themeColor="text1"/>
                <w:kern w:val="0"/>
                <w:sz w:val="24"/>
                <w:szCs w:val="24"/>
              </w:rPr>
            </w:pPr>
            <w:r w:rsidRPr="00687B52">
              <w:rPr>
                <w:rFonts w:asciiTheme="minorEastAsia" w:hAnsiTheme="minorEastAsia" w:cs="Times New Roman"/>
                <w:color w:val="000000" w:themeColor="text1"/>
                <w:kern w:val="0"/>
                <w:sz w:val="24"/>
                <w:szCs w:val="24"/>
              </w:rPr>
              <w:t>光气及光气化生产装置与厂围墙的距离不应小于100m。</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《光气及光气化产品生产安全规程》GB19041-2003</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4.2.3条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8B4454" w:rsidP="008B4454">
            <w:pPr>
              <w:jc w:val="cente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1.1.4</w:t>
            </w:r>
          </w:p>
        </w:tc>
        <w:tc>
          <w:tcPr>
            <w:tcW w:w="2351"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液氨储罐与居住区、明火、公路、铁路、架空电力线、相邻企业等安全防护距离应满足防火间距要求。</w:t>
            </w:r>
          </w:p>
        </w:tc>
        <w:tc>
          <w:tcPr>
            <w:tcW w:w="1029" w:type="pct"/>
            <w:shd w:val="clear" w:color="auto" w:fill="auto"/>
            <w:vAlign w:val="center"/>
          </w:tcPr>
          <w:p w:rsidR="003E1D2A" w:rsidRPr="00687B52" w:rsidRDefault="003E1D2A" w:rsidP="003E1D2A">
            <w:pPr>
              <w:spacing w:line="36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《建筑设计防火规范》</w:t>
            </w:r>
          </w:p>
          <w:p w:rsidR="003E1D2A" w:rsidRPr="00687B52" w:rsidRDefault="003E1D2A" w:rsidP="003E1D2A">
            <w:pPr>
              <w:spacing w:line="36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GB50016-2014</w:t>
            </w:r>
          </w:p>
          <w:p w:rsidR="003E1D2A" w:rsidRPr="00687B52" w:rsidRDefault="003E1D2A" w:rsidP="003E1D2A">
            <w:pPr>
              <w:spacing w:line="36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第4.3.7条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8B4454" w:rsidP="008B4454">
            <w:pPr>
              <w:jc w:val="cente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1.1.5</w:t>
            </w:r>
          </w:p>
        </w:tc>
        <w:tc>
          <w:tcPr>
            <w:tcW w:w="2351" w:type="pct"/>
            <w:shd w:val="clear" w:color="auto" w:fill="auto"/>
            <w:vAlign w:val="center"/>
          </w:tcPr>
          <w:p w:rsidR="003E1D2A" w:rsidRPr="00687B52" w:rsidRDefault="003E1D2A" w:rsidP="003E1D2A">
            <w:pPr>
              <w:spacing w:line="360" w:lineRule="exac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涉及</w:t>
            </w:r>
            <w:r w:rsidRPr="00687B52">
              <w:rPr>
                <w:rFonts w:asciiTheme="minorEastAsia" w:hAnsiTheme="minorEastAsia" w:cs="Times New Roman"/>
                <w:color w:val="000000" w:themeColor="text1"/>
                <w:sz w:val="24"/>
                <w:szCs w:val="24"/>
              </w:rPr>
              <w:t>易燃、易爆、剧毒、放射性等危险物品的化工企业不得</w:t>
            </w:r>
            <w:r w:rsidRPr="00687B52">
              <w:rPr>
                <w:rFonts w:asciiTheme="minorEastAsia" w:hAnsiTheme="minorEastAsia" w:cs="Times New Roman" w:hint="eastAsia"/>
                <w:color w:val="000000" w:themeColor="text1"/>
                <w:sz w:val="24"/>
                <w:szCs w:val="24"/>
              </w:rPr>
              <w:t>设立在以下</w:t>
            </w:r>
            <w:r w:rsidRPr="00687B52">
              <w:rPr>
                <w:rFonts w:asciiTheme="minorEastAsia" w:hAnsiTheme="minorEastAsia" w:cs="Times New Roman"/>
                <w:color w:val="000000" w:themeColor="text1"/>
                <w:sz w:val="24"/>
                <w:szCs w:val="24"/>
              </w:rPr>
              <w:t>场所：</w:t>
            </w:r>
          </w:p>
          <w:p w:rsidR="003E1D2A" w:rsidRPr="00687B52" w:rsidRDefault="003E1D2A" w:rsidP="00D9787F">
            <w:pPr>
              <w:pStyle w:val="ab"/>
              <w:numPr>
                <w:ilvl w:val="0"/>
                <w:numId w:val="98"/>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公路用地外缘起向外100米</w:t>
            </w:r>
            <w:r w:rsidRPr="00687B52">
              <w:rPr>
                <w:rFonts w:asciiTheme="minorEastAsia" w:hAnsiTheme="minorEastAsia" w:cs="Times New Roman" w:hint="eastAsia"/>
                <w:color w:val="000000" w:themeColor="text1"/>
                <w:sz w:val="24"/>
                <w:szCs w:val="24"/>
              </w:rPr>
              <w:t>内</w:t>
            </w:r>
            <w:r w:rsidRPr="00687B52">
              <w:rPr>
                <w:rFonts w:asciiTheme="minorEastAsia" w:hAnsiTheme="minorEastAsia" w:cs="Times New Roman"/>
                <w:color w:val="000000" w:themeColor="text1"/>
                <w:sz w:val="24"/>
                <w:szCs w:val="24"/>
              </w:rPr>
              <w:t>；</w:t>
            </w:r>
          </w:p>
          <w:p w:rsidR="003E1D2A" w:rsidRPr="00687B52" w:rsidRDefault="003E1D2A" w:rsidP="00D9787F">
            <w:pPr>
              <w:pStyle w:val="ab"/>
              <w:numPr>
                <w:ilvl w:val="0"/>
                <w:numId w:val="98"/>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公路渡口和中型以上公路桥梁周围200米</w:t>
            </w:r>
            <w:r w:rsidRPr="00687B52">
              <w:rPr>
                <w:rFonts w:asciiTheme="minorEastAsia" w:hAnsiTheme="minorEastAsia" w:cs="Times New Roman" w:hint="eastAsia"/>
                <w:color w:val="000000" w:themeColor="text1"/>
                <w:sz w:val="24"/>
                <w:szCs w:val="24"/>
              </w:rPr>
              <w:t>内</w:t>
            </w:r>
            <w:r w:rsidRPr="00687B52">
              <w:rPr>
                <w:rFonts w:asciiTheme="minorEastAsia" w:hAnsiTheme="minorEastAsia" w:cs="Times New Roman"/>
                <w:color w:val="000000" w:themeColor="text1"/>
                <w:sz w:val="24"/>
                <w:szCs w:val="24"/>
              </w:rPr>
              <w:t>；</w:t>
            </w:r>
          </w:p>
          <w:p w:rsidR="003E1D2A" w:rsidRPr="00687B52" w:rsidRDefault="003E1D2A" w:rsidP="00D9787F">
            <w:pPr>
              <w:pStyle w:val="ab"/>
              <w:numPr>
                <w:ilvl w:val="0"/>
                <w:numId w:val="98"/>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公路隧道上方和洞口外100米</w:t>
            </w:r>
            <w:r w:rsidRPr="00687B52">
              <w:rPr>
                <w:rFonts w:asciiTheme="minorEastAsia" w:hAnsiTheme="minorEastAsia" w:cs="Times New Roman" w:hint="eastAsia"/>
                <w:color w:val="000000" w:themeColor="text1"/>
                <w:sz w:val="24"/>
                <w:szCs w:val="24"/>
              </w:rPr>
              <w:t>内</w:t>
            </w:r>
            <w:r w:rsidRPr="00687B52">
              <w:rPr>
                <w:rFonts w:asciiTheme="minorEastAsia" w:hAnsiTheme="minorEastAsia" w:cs="Times New Roman"/>
                <w:color w:val="000000" w:themeColor="text1"/>
                <w:sz w:val="24"/>
                <w:szCs w:val="24"/>
              </w:rPr>
              <w:t>。</w:t>
            </w:r>
          </w:p>
        </w:tc>
        <w:tc>
          <w:tcPr>
            <w:tcW w:w="1029" w:type="pct"/>
            <w:shd w:val="clear" w:color="auto" w:fill="auto"/>
            <w:vAlign w:val="center"/>
          </w:tcPr>
          <w:p w:rsidR="003E1D2A" w:rsidRPr="00687B52" w:rsidRDefault="003E1D2A" w:rsidP="003E1D2A">
            <w:pPr>
              <w:spacing w:line="36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《公路安全保护条例》</w:t>
            </w:r>
          </w:p>
          <w:p w:rsidR="003E1D2A" w:rsidRPr="00687B52" w:rsidRDefault="003E1D2A" w:rsidP="003E1D2A">
            <w:pPr>
              <w:spacing w:line="36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w:t>
            </w:r>
            <w:r w:rsidRPr="00687B52">
              <w:rPr>
                <w:rFonts w:asciiTheme="minorEastAsia" w:hAnsiTheme="minorEastAsia" w:cs="Times New Roman" w:hint="eastAsia"/>
                <w:color w:val="000000" w:themeColor="text1"/>
                <w:sz w:val="24"/>
                <w:szCs w:val="24"/>
              </w:rPr>
              <w:t>18</w:t>
            </w:r>
            <w:r w:rsidRPr="00687B52">
              <w:rPr>
                <w:rFonts w:asciiTheme="minorEastAsia" w:hAnsiTheme="minorEastAsia" w:cs="Times New Roman"/>
                <w:color w:val="000000" w:themeColor="text1"/>
                <w:sz w:val="24"/>
                <w:szCs w:val="24"/>
              </w:rPr>
              <w:t>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8B4454" w:rsidP="008B4454">
            <w:pPr>
              <w:jc w:val="cente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1.1.6</w:t>
            </w: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邻近江河、湖、海岸布置的危险化学品装置和罐区，是否采取防止泄漏的危险化学品液体和受污染的消防水进入水域的措施。</w:t>
            </w:r>
          </w:p>
        </w:tc>
        <w:tc>
          <w:tcPr>
            <w:tcW w:w="1029" w:type="pct"/>
            <w:shd w:val="clear" w:color="auto" w:fill="auto"/>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《石油化工企业设计防火规范》GB 50160-2008</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w:t>
            </w:r>
            <w:smartTag w:uri="urn:schemas-microsoft-com:office:smarttags" w:element="chsdate">
              <w:smartTagPr>
                <w:attr w:name="IsROCDate" w:val="False"/>
                <w:attr w:name="IsLunarDate" w:val="False"/>
                <w:attr w:name="Day" w:val="30"/>
                <w:attr w:name="Month" w:val="12"/>
                <w:attr w:name="Year" w:val="1899"/>
              </w:smartTagPr>
              <w:r w:rsidRPr="00687B52">
                <w:rPr>
                  <w:rFonts w:asciiTheme="minorEastAsia" w:hAnsiTheme="minorEastAsia" w:cs="Times New Roman"/>
                  <w:color w:val="000000" w:themeColor="text1"/>
                  <w:sz w:val="24"/>
                  <w:szCs w:val="24"/>
                </w:rPr>
                <w:t>4.1.5</w:t>
              </w:r>
            </w:smartTag>
            <w:r w:rsidRPr="00687B52">
              <w:rPr>
                <w:rFonts w:asciiTheme="minorEastAsia" w:hAnsiTheme="minorEastAsia" w:cs="Times New Roman"/>
                <w:color w:val="000000" w:themeColor="text1"/>
                <w:sz w:val="24"/>
                <w:szCs w:val="24"/>
              </w:rPr>
              <w:t xml:space="preserve"> 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8B4454" w:rsidP="008B4454">
            <w:pPr>
              <w:jc w:val="cente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1.1.7</w:t>
            </w: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危险化学品生产</w:t>
            </w:r>
            <w:r w:rsidRPr="00687B52">
              <w:rPr>
                <w:rFonts w:asciiTheme="minorEastAsia" w:hAnsiTheme="minorEastAsia" w:cs="Times New Roman" w:hint="eastAsia"/>
                <w:color w:val="000000" w:themeColor="text1"/>
                <w:sz w:val="24"/>
                <w:szCs w:val="24"/>
              </w:rPr>
              <w:t>、</w:t>
            </w:r>
            <w:r w:rsidRPr="00687B52">
              <w:rPr>
                <w:rFonts w:asciiTheme="minorEastAsia" w:hAnsiTheme="minorEastAsia" w:cs="Times New Roman"/>
                <w:color w:val="000000" w:themeColor="text1"/>
                <w:sz w:val="24"/>
                <w:szCs w:val="24"/>
              </w:rPr>
              <w:t>储存装置与下列场所防火安全间距应符合规范要求：</w:t>
            </w:r>
          </w:p>
          <w:p w:rsidR="003E1D2A" w:rsidRPr="00687B52" w:rsidRDefault="003E1D2A"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控制室；</w:t>
            </w:r>
          </w:p>
          <w:p w:rsidR="003E1D2A" w:rsidRPr="00687B52" w:rsidRDefault="003E1D2A"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变配电室；</w:t>
            </w:r>
          </w:p>
          <w:p w:rsidR="003E1D2A" w:rsidRPr="00687B52" w:rsidRDefault="003E1D2A"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点火源（包括火炬、明火或散发火花地点）；</w:t>
            </w:r>
          </w:p>
          <w:p w:rsidR="003E1D2A" w:rsidRPr="00687B52" w:rsidRDefault="003E1D2A"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民用建筑，如办公楼、厂外民居等；</w:t>
            </w:r>
          </w:p>
          <w:p w:rsidR="003E1D2A" w:rsidRPr="00687B52" w:rsidRDefault="003E1D2A"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厂房；</w:t>
            </w:r>
          </w:p>
          <w:p w:rsidR="003E1D2A" w:rsidRPr="00687B52" w:rsidRDefault="003E1D2A"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仓库；</w:t>
            </w:r>
          </w:p>
          <w:p w:rsidR="003E1D2A" w:rsidRPr="00687B52" w:rsidRDefault="003E1D2A"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甲、乙、丙类液体罐区、堆场；</w:t>
            </w:r>
          </w:p>
          <w:p w:rsidR="003E1D2A" w:rsidRPr="00687B52" w:rsidRDefault="003E1D2A"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厂内、外道路；</w:t>
            </w:r>
          </w:p>
          <w:p w:rsidR="003E1D2A" w:rsidRPr="00687B52" w:rsidRDefault="003E1D2A"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厂区围墙；</w:t>
            </w:r>
          </w:p>
          <w:p w:rsidR="003E1D2A" w:rsidRPr="00687B52" w:rsidRDefault="003E1D2A"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架空电力线；</w:t>
            </w:r>
          </w:p>
          <w:p w:rsidR="003E1D2A" w:rsidRPr="00687B52" w:rsidRDefault="003E1D2A"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可燃、助燃气体储罐；</w:t>
            </w:r>
          </w:p>
          <w:p w:rsidR="003E1D2A" w:rsidRPr="00687B52" w:rsidRDefault="003E1D2A"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kern w:val="0"/>
                <w:sz w:val="24"/>
                <w:szCs w:val="24"/>
              </w:rPr>
              <w:t>厂内、外铁路中心线</w:t>
            </w:r>
          </w:p>
          <w:p w:rsidR="003E1D2A" w:rsidRPr="00687B52" w:rsidRDefault="003E1D2A"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重要公共建筑</w:t>
            </w:r>
          </w:p>
          <w:p w:rsidR="003E1D2A" w:rsidRPr="00687B52" w:rsidRDefault="003E1D2A"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架空电力线</w:t>
            </w:r>
          </w:p>
          <w:p w:rsidR="003E1D2A" w:rsidRPr="00687B52" w:rsidRDefault="003E1D2A"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防火堤</w:t>
            </w:r>
          </w:p>
          <w:p w:rsidR="003E1D2A" w:rsidRPr="00687B52" w:rsidRDefault="003E1D2A" w:rsidP="00D9787F">
            <w:pPr>
              <w:numPr>
                <w:ilvl w:val="0"/>
                <w:numId w:val="7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其他重要设施及场所。</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《建筑设计防火规范》GB50016-2014</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第3.4.1，3.4.2，3.4.3，3.4.4，3.4.12，3.5.1，3.5.2，4.2.1，4.2.2，</w:t>
            </w:r>
            <w:r w:rsidRPr="00687B52">
              <w:rPr>
                <w:rFonts w:asciiTheme="minorEastAsia" w:hAnsiTheme="minorEastAsia" w:cs="Times New Roman"/>
                <w:color w:val="000000" w:themeColor="text1"/>
                <w:kern w:val="0"/>
                <w:sz w:val="24"/>
                <w:szCs w:val="24"/>
              </w:rPr>
              <w:t>4.2.3，4.2.5、</w:t>
            </w:r>
            <w:r w:rsidRPr="00687B52">
              <w:rPr>
                <w:rFonts w:asciiTheme="minorEastAsia" w:hAnsiTheme="minorEastAsia" w:cs="Times New Roman"/>
                <w:color w:val="000000" w:themeColor="text1"/>
                <w:sz w:val="24"/>
                <w:szCs w:val="24"/>
              </w:rPr>
              <w:t>4.2.7~9，4.3.1，4.3.6，10.2.1条</w:t>
            </w:r>
          </w:p>
          <w:p w:rsidR="003E1D2A" w:rsidRPr="00687B52" w:rsidRDefault="003E1D2A" w:rsidP="003E1D2A">
            <w:pPr>
              <w:jc w:val="left"/>
              <w:rPr>
                <w:rFonts w:asciiTheme="minorEastAsia" w:hAnsiTheme="minorEastAsia" w:cs="Times New Roman"/>
                <w:color w:val="000000" w:themeColor="text1"/>
                <w:sz w:val="24"/>
                <w:szCs w:val="24"/>
              </w:rPr>
            </w:pP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8B4454" w:rsidP="008B4454">
            <w:pPr>
              <w:jc w:val="cente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1.1.8</w:t>
            </w:r>
          </w:p>
        </w:tc>
        <w:tc>
          <w:tcPr>
            <w:tcW w:w="2351" w:type="pct"/>
            <w:shd w:val="clear" w:color="auto" w:fill="auto"/>
            <w:vAlign w:val="center"/>
          </w:tcPr>
          <w:p w:rsidR="003E1D2A" w:rsidRPr="00687B52" w:rsidRDefault="003E1D2A" w:rsidP="003E1D2A">
            <w:pPr>
              <w:spacing w:line="36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架空电力线路不应跨越用可燃性材料建造的屋顶和生产火灾危险性属于甲、乙类的建筑物、构筑物和生产装置，以及储存可燃性、爆炸性物料的罐区及仓库区。</w:t>
            </w:r>
          </w:p>
        </w:tc>
        <w:tc>
          <w:tcPr>
            <w:tcW w:w="1029" w:type="pct"/>
            <w:shd w:val="clear" w:color="auto" w:fill="auto"/>
            <w:vAlign w:val="center"/>
          </w:tcPr>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《化工企业总图运输设计规范》GB50489-2009</w:t>
            </w:r>
          </w:p>
          <w:p w:rsidR="003E1D2A" w:rsidRPr="00687B52" w:rsidRDefault="003E1D2A" w:rsidP="003E1D2A">
            <w:pPr>
              <w:spacing w:line="32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第7.3.5条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kern w:val="0"/>
                <w:sz w:val="24"/>
                <w:szCs w:val="24"/>
              </w:rPr>
            </w:pPr>
          </w:p>
        </w:tc>
      </w:tr>
      <w:tr w:rsidR="003E1D2A" w:rsidRPr="00687B52" w:rsidTr="0007330F">
        <w:tc>
          <w:tcPr>
            <w:tcW w:w="371" w:type="pct"/>
            <w:shd w:val="clear" w:color="auto" w:fill="auto"/>
            <w:vAlign w:val="center"/>
          </w:tcPr>
          <w:p w:rsidR="003E1D2A" w:rsidRPr="00687B52" w:rsidRDefault="008B4454" w:rsidP="008B4454">
            <w:pPr>
              <w:jc w:val="cente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1.1.9</w:t>
            </w:r>
          </w:p>
        </w:tc>
        <w:tc>
          <w:tcPr>
            <w:tcW w:w="2351" w:type="pct"/>
            <w:shd w:val="clear" w:color="auto" w:fill="auto"/>
            <w:vAlign w:val="center"/>
          </w:tcPr>
          <w:p w:rsidR="003E1D2A" w:rsidRPr="00687B52" w:rsidRDefault="003E1D2A" w:rsidP="003E1D2A">
            <w:pPr>
              <w:spacing w:line="36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边导线与建筑物之间的最小距离：标准电压ll0 kV，最小距离4.0m；标准电压220 kV，最小距离5.0m；标准电压330 kV，最小距离6.0m；标准电压500 kV，最小距离8.5m。</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《ll0～500kV 架空送电线路设计技术规程》DL/T 5092-1999第16.0.4条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kern w:val="0"/>
                <w:sz w:val="24"/>
                <w:szCs w:val="24"/>
              </w:rPr>
            </w:pPr>
          </w:p>
        </w:tc>
      </w:tr>
      <w:tr w:rsidR="003E1D2A" w:rsidRPr="00687B52" w:rsidTr="0007330F">
        <w:tc>
          <w:tcPr>
            <w:tcW w:w="371" w:type="pct"/>
            <w:shd w:val="clear" w:color="auto" w:fill="auto"/>
            <w:vAlign w:val="center"/>
          </w:tcPr>
          <w:p w:rsidR="003E1D2A" w:rsidRPr="00687B52" w:rsidRDefault="003E1D2A" w:rsidP="00613881">
            <w:pPr>
              <w:jc w:val="center"/>
              <w:rPr>
                <w:rFonts w:asciiTheme="minorEastAsia" w:hAnsiTheme="minorEastAsia" w:cs="Times New Roman"/>
                <w:b/>
                <w:color w:val="000000" w:themeColor="text1"/>
                <w:sz w:val="24"/>
                <w:szCs w:val="24"/>
              </w:rPr>
            </w:pPr>
            <w:r w:rsidRPr="00687B52">
              <w:rPr>
                <w:rFonts w:asciiTheme="minorEastAsia" w:hAnsiTheme="minorEastAsia" w:cs="Times New Roman"/>
                <w:b/>
                <w:color w:val="000000" w:themeColor="text1"/>
                <w:sz w:val="24"/>
                <w:szCs w:val="24"/>
              </w:rPr>
              <w:t>1.2</w:t>
            </w:r>
          </w:p>
        </w:tc>
        <w:tc>
          <w:tcPr>
            <w:tcW w:w="2351" w:type="pct"/>
            <w:shd w:val="clear" w:color="auto" w:fill="auto"/>
            <w:vAlign w:val="center"/>
          </w:tcPr>
          <w:p w:rsidR="003E1D2A" w:rsidRPr="00687B52" w:rsidRDefault="003E1D2A" w:rsidP="003E1D2A">
            <w:pPr>
              <w:jc w:val="left"/>
              <w:rPr>
                <w:rFonts w:asciiTheme="minorEastAsia" w:hAnsiTheme="minorEastAsia" w:cs="Times New Roman"/>
                <w:b/>
                <w:color w:val="000000" w:themeColor="text1"/>
                <w:kern w:val="0"/>
                <w:sz w:val="24"/>
                <w:szCs w:val="24"/>
              </w:rPr>
            </w:pPr>
            <w:r w:rsidRPr="00687B52">
              <w:rPr>
                <w:rFonts w:asciiTheme="minorEastAsia" w:hAnsiTheme="minorEastAsia" w:cs="Times New Roman"/>
                <w:b/>
                <w:color w:val="000000" w:themeColor="text1"/>
                <w:kern w:val="0"/>
                <w:sz w:val="24"/>
                <w:szCs w:val="24"/>
              </w:rPr>
              <w:t>厂内建筑</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kern w:val="0"/>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87"/>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spacing w:line="36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有爆炸危险的甲、乙类厂房的总控制室应独立设置。</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《输油管道工程设计规范》GB50253-2014第4.1.4条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kern w:val="0"/>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87"/>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spacing w:line="36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有爆炸危险的甲、乙类厂房的分控制室宜独立设置，当贴邻外墙设置时，应采用耐火极限不低于3h的防火隔墙与与其他部位分隔。</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《输油管道工程设计规范》GB50253-2014第4.1.6 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kern w:val="0"/>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87"/>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厂房和仓库的耐火等级应根据其火灾危险类别确定。</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《建筑设计防火规范》GB50016-2014第3.</w:t>
            </w:r>
            <w:r w:rsidRPr="00687B52">
              <w:rPr>
                <w:rFonts w:asciiTheme="minorEastAsia" w:hAnsiTheme="minorEastAsia" w:cs="Times New Roman" w:hint="eastAsia"/>
                <w:color w:val="000000" w:themeColor="text1"/>
                <w:sz w:val="24"/>
                <w:szCs w:val="24"/>
              </w:rPr>
              <w:t>3</w:t>
            </w:r>
            <w:r w:rsidRPr="00687B52">
              <w:rPr>
                <w:rFonts w:asciiTheme="minorEastAsia" w:hAnsiTheme="minorEastAsia" w:cs="Times New Roman"/>
                <w:color w:val="000000" w:themeColor="text1"/>
                <w:sz w:val="24"/>
                <w:szCs w:val="24"/>
              </w:rPr>
              <w:t>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87"/>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有爆炸危险的厂房或厂房内有爆炸危险的部位应设置泄压设施。</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《建筑设计防火规范》GB50016-2014</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第3.6.2 、3.6.3条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87"/>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散发比空气重的可燃气体、可燃蒸气的甲类厂房以及有粉尘、纤维爆炸危险的乙类厂房，应符合下列规定：</w:t>
            </w:r>
          </w:p>
          <w:p w:rsidR="003E1D2A" w:rsidRPr="00687B52" w:rsidRDefault="003E1D2A" w:rsidP="00D9787F">
            <w:pPr>
              <w:numPr>
                <w:ilvl w:val="0"/>
                <w:numId w:val="100"/>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应采用不发火的地面。采用绝缘材料作整体面层时，应采取防静电措施。</w:t>
            </w:r>
          </w:p>
          <w:p w:rsidR="003E1D2A" w:rsidRPr="00687B52" w:rsidRDefault="003E1D2A" w:rsidP="00D9787F">
            <w:pPr>
              <w:numPr>
                <w:ilvl w:val="0"/>
                <w:numId w:val="100"/>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散发可燃粉尘、纤维的厂房，其内表面应平整、光滑，并易于清扫。</w:t>
            </w:r>
          </w:p>
          <w:p w:rsidR="003E1D2A" w:rsidRPr="00687B52" w:rsidRDefault="003E1D2A" w:rsidP="00D9787F">
            <w:pPr>
              <w:numPr>
                <w:ilvl w:val="0"/>
                <w:numId w:val="100"/>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厂房内不宜设置地沟，确需设置时，其盖板应严密。地沟应采取防止可燃气体、可燃蒸气和粉尘、纤维在地沟积聚的有效措施，且应再与相邻厂房相连通处采用防火材料密封。</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 xml:space="preserve">《建筑设计防火规范》GB50016-2014 </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第3.6.6条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87"/>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变、配电所不应设在有爆炸危险的甲、乙类厂房内或贴邻建造，且不应设置在爆炸性气体、粉尘环境的危险区域内。供甲、乙类厂房专用的10kV及以下的变、配电所，当采用无门窗洞口的防火墙隔开时，可一面贴邻建造，并应符合现行国家标准《爆炸和火灾危险环境电力装置设计规范》GB 50058 等规范的有关规定。</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乙类厂房的配电所必须在防火墙上开窗时，应设置密封固定的甲级防火窗。</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《建筑设计防火规范》GB50016-2014</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第3.3.8条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87"/>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spacing w:line="36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厂房的安全出口应分散布置。每个防火分区或一个防火分区的每个楼层，其相邻2个安全出口最近边缘之间的水平距离不应小于5m。</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《建筑设计防火规范》GB50016-2014</w:t>
            </w:r>
          </w:p>
          <w:p w:rsidR="003E1D2A" w:rsidRPr="00687B52" w:rsidRDefault="003E1D2A" w:rsidP="003E1D2A">
            <w:pPr>
              <w:jc w:val="left"/>
              <w:rPr>
                <w:rFonts w:asciiTheme="minorEastAsia" w:hAnsiTheme="minorEastAsia" w:cs="Times New Roman"/>
                <w:b/>
                <w:bCs/>
                <w:color w:val="000000" w:themeColor="text1"/>
                <w:sz w:val="24"/>
                <w:szCs w:val="24"/>
              </w:rPr>
            </w:pPr>
            <w:r w:rsidRPr="00687B52">
              <w:rPr>
                <w:rFonts w:asciiTheme="minorEastAsia" w:hAnsiTheme="minorEastAsia" w:cs="Times New Roman"/>
                <w:color w:val="000000" w:themeColor="text1"/>
                <w:sz w:val="24"/>
                <w:szCs w:val="24"/>
              </w:rPr>
              <w:t>第3.7.1条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87"/>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厂房内的疏散楼梯、走道、门的各自净宽度规定：①疏散楼梯的最小净宽度不宜小于1.1m；②疏散走道的最小净宽度不宜小于1.4m；③门的最小净宽度不宜小于0.9m</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《建筑设计防火规范》GB50016-2014</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第3.7.5条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87"/>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spacing w:line="36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在布置产生剧毒物质、高温以及强放射性装置的车间时，同时考虑相应事故防范和应急、救援设施和设备的配套并留有应急通道。</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GBZ1-2010</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w:t>
            </w:r>
            <w:smartTag w:uri="urn:schemas-microsoft-com:office:smarttags" w:element="chsdate">
              <w:smartTagPr>
                <w:attr w:name="IsROCDate" w:val="False"/>
                <w:attr w:name="IsLunarDate" w:val="False"/>
                <w:attr w:name="Day" w:val="30"/>
                <w:attr w:name="Month" w:val="12"/>
                <w:attr w:name="Year" w:val="1899"/>
              </w:smartTagPr>
              <w:r w:rsidRPr="00687B52">
                <w:rPr>
                  <w:rFonts w:asciiTheme="minorEastAsia" w:hAnsiTheme="minorEastAsia" w:cs="Times New Roman"/>
                  <w:color w:val="000000" w:themeColor="text1"/>
                  <w:sz w:val="24"/>
                  <w:szCs w:val="24"/>
                </w:rPr>
                <w:t>4.2.1</w:t>
              </w:r>
            </w:smartTag>
            <w:r w:rsidRPr="00687B52">
              <w:rPr>
                <w:rFonts w:asciiTheme="minorEastAsia" w:hAnsiTheme="minorEastAsia" w:cs="Times New Roman"/>
                <w:color w:val="000000" w:themeColor="text1"/>
                <w:sz w:val="24"/>
                <w:szCs w:val="24"/>
              </w:rPr>
              <w:t>.6条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613881">
            <w:pPr>
              <w:jc w:val="center"/>
              <w:rPr>
                <w:rFonts w:asciiTheme="minorEastAsia" w:hAnsiTheme="minorEastAsia" w:cs="Times New Roman"/>
                <w:b/>
                <w:color w:val="000000" w:themeColor="text1"/>
                <w:sz w:val="24"/>
                <w:szCs w:val="24"/>
              </w:rPr>
            </w:pPr>
            <w:r w:rsidRPr="00687B52">
              <w:rPr>
                <w:rFonts w:asciiTheme="minorEastAsia" w:hAnsiTheme="minorEastAsia" w:cs="Times New Roman"/>
                <w:b/>
                <w:color w:val="000000" w:themeColor="text1"/>
                <w:sz w:val="24"/>
                <w:szCs w:val="24"/>
              </w:rPr>
              <w:t>1.3</w:t>
            </w:r>
          </w:p>
        </w:tc>
        <w:tc>
          <w:tcPr>
            <w:tcW w:w="2351" w:type="pct"/>
            <w:shd w:val="clear" w:color="auto" w:fill="auto"/>
            <w:vAlign w:val="center"/>
          </w:tcPr>
          <w:p w:rsidR="003E1D2A" w:rsidRPr="00687B52" w:rsidRDefault="003E1D2A" w:rsidP="003E1D2A">
            <w:pPr>
              <w:jc w:val="left"/>
              <w:rPr>
                <w:rFonts w:asciiTheme="minorEastAsia" w:hAnsiTheme="minorEastAsia" w:cs="Times New Roman"/>
                <w:b/>
                <w:color w:val="000000" w:themeColor="text1"/>
                <w:sz w:val="24"/>
                <w:szCs w:val="24"/>
              </w:rPr>
            </w:pPr>
            <w:r w:rsidRPr="00687B52">
              <w:rPr>
                <w:rFonts w:asciiTheme="minorEastAsia" w:hAnsiTheme="minorEastAsia" w:cs="Times New Roman"/>
                <w:b/>
                <w:color w:val="000000" w:themeColor="text1"/>
                <w:sz w:val="24"/>
                <w:szCs w:val="24"/>
              </w:rPr>
              <w:t>厂内道路与安全疏散</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88"/>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spacing w:line="36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 xml:space="preserve">厂区出入口应符合下列要求： </w:t>
            </w:r>
          </w:p>
          <w:p w:rsidR="003E1D2A" w:rsidRPr="00687B52" w:rsidRDefault="003E1D2A" w:rsidP="00D9787F">
            <w:pPr>
              <w:pStyle w:val="ab"/>
              <w:numPr>
                <w:ilvl w:val="0"/>
                <w:numId w:val="84"/>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出入口的数量不宜少于 2 个；</w:t>
            </w:r>
          </w:p>
          <w:p w:rsidR="003E1D2A" w:rsidRPr="00687B52" w:rsidRDefault="003E1D2A" w:rsidP="00D9787F">
            <w:pPr>
              <w:pStyle w:val="ab"/>
              <w:numPr>
                <w:ilvl w:val="0"/>
                <w:numId w:val="84"/>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人流出入口宜与货流出入口分开设置。</w:t>
            </w:r>
          </w:p>
        </w:tc>
        <w:tc>
          <w:tcPr>
            <w:tcW w:w="1029" w:type="pct"/>
            <w:shd w:val="clear" w:color="auto" w:fill="auto"/>
            <w:vAlign w:val="center"/>
          </w:tcPr>
          <w:p w:rsidR="003E1D2A" w:rsidRPr="00687B52" w:rsidRDefault="003E1D2A" w:rsidP="003E1D2A">
            <w:pPr>
              <w:spacing w:line="36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《工业企业总平面设计规范》GB50187-2012</w:t>
            </w:r>
          </w:p>
          <w:p w:rsidR="003E1D2A" w:rsidRPr="00687B52" w:rsidRDefault="003E1D2A" w:rsidP="003E1D2A">
            <w:pPr>
              <w:spacing w:line="36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第5.7.4条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88"/>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spacing w:line="36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跨越道路上空架设管线距路面的最小净高不得小于5m。</w:t>
            </w:r>
          </w:p>
        </w:tc>
        <w:tc>
          <w:tcPr>
            <w:tcW w:w="1029" w:type="pct"/>
            <w:shd w:val="clear" w:color="auto" w:fill="auto"/>
            <w:vAlign w:val="center"/>
          </w:tcPr>
          <w:p w:rsidR="003E1D2A" w:rsidRPr="00687B52" w:rsidRDefault="003E1D2A" w:rsidP="003E1D2A">
            <w:pPr>
              <w:spacing w:line="24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《工业企业厂内铁路、道路运输安全规程》GB4387－2008第6.1.2条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88"/>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易燃、易爆物品的生产区域或贮存仓库区，应根据安全生产的需要，将道路划分为限制车辆通行或禁止车辆通行的路段，并设置标志。</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《工业企业厂内铁路、道路运输安全规程》GB4387-2008第6.1.4条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88"/>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spacing w:line="36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工厂</w:t>
            </w:r>
            <w:r w:rsidRPr="00687B52">
              <w:rPr>
                <w:rFonts w:asciiTheme="minorEastAsia" w:hAnsiTheme="minorEastAsia" w:cs="Times New Roman" w:hint="eastAsia"/>
                <w:color w:val="000000" w:themeColor="text1"/>
                <w:sz w:val="24"/>
                <w:szCs w:val="24"/>
              </w:rPr>
              <w:t>应设置消防车道。以下场所应设置环形消防车道：</w:t>
            </w:r>
          </w:p>
          <w:p w:rsidR="003E1D2A" w:rsidRPr="00687B52" w:rsidRDefault="003E1D2A" w:rsidP="00D9787F">
            <w:pPr>
              <w:pStyle w:val="ab"/>
              <w:numPr>
                <w:ilvl w:val="0"/>
                <w:numId w:val="76"/>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占地面积大于3000m</w:t>
            </w:r>
            <w:r w:rsidRPr="00687B52">
              <w:rPr>
                <w:rFonts w:asciiTheme="minorEastAsia" w:hAnsiTheme="minorEastAsia" w:cs="Times New Roman"/>
                <w:color w:val="000000" w:themeColor="text1"/>
                <w:sz w:val="24"/>
                <w:szCs w:val="24"/>
                <w:vertAlign w:val="superscript"/>
              </w:rPr>
              <w:t>2</w:t>
            </w:r>
            <w:r w:rsidRPr="00687B52">
              <w:rPr>
                <w:rFonts w:asciiTheme="minorEastAsia" w:hAnsiTheme="minorEastAsia" w:cs="Times New Roman"/>
                <w:color w:val="000000" w:themeColor="text1"/>
                <w:sz w:val="24"/>
                <w:szCs w:val="24"/>
              </w:rPr>
              <w:t>的</w:t>
            </w:r>
            <w:r w:rsidRPr="00687B52">
              <w:rPr>
                <w:rFonts w:asciiTheme="minorEastAsia" w:hAnsiTheme="minorEastAsia" w:cs="Times New Roman" w:hint="eastAsia"/>
                <w:color w:val="000000" w:themeColor="text1"/>
                <w:sz w:val="24"/>
                <w:szCs w:val="24"/>
              </w:rPr>
              <w:t>甲乙丙类厂房；</w:t>
            </w:r>
          </w:p>
          <w:p w:rsidR="003E1D2A" w:rsidRPr="00687B52" w:rsidRDefault="003E1D2A" w:rsidP="00D9787F">
            <w:pPr>
              <w:pStyle w:val="ab"/>
              <w:numPr>
                <w:ilvl w:val="0"/>
                <w:numId w:val="76"/>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占地面积大于</w:t>
            </w:r>
            <w:r w:rsidRPr="00687B52">
              <w:rPr>
                <w:rFonts w:asciiTheme="minorEastAsia" w:hAnsiTheme="minorEastAsia" w:cs="Times New Roman" w:hint="eastAsia"/>
                <w:color w:val="000000" w:themeColor="text1"/>
                <w:sz w:val="24"/>
                <w:szCs w:val="24"/>
              </w:rPr>
              <w:t>15</w:t>
            </w:r>
            <w:r w:rsidRPr="00687B52">
              <w:rPr>
                <w:rFonts w:asciiTheme="minorEastAsia" w:hAnsiTheme="minorEastAsia" w:cs="Times New Roman"/>
                <w:color w:val="000000" w:themeColor="text1"/>
                <w:sz w:val="24"/>
                <w:szCs w:val="24"/>
              </w:rPr>
              <w:t>00m</w:t>
            </w:r>
            <w:r w:rsidRPr="00687B52">
              <w:rPr>
                <w:rFonts w:asciiTheme="minorEastAsia" w:hAnsiTheme="minorEastAsia" w:cs="Times New Roman"/>
                <w:color w:val="000000" w:themeColor="text1"/>
                <w:sz w:val="24"/>
                <w:szCs w:val="24"/>
                <w:vertAlign w:val="superscript"/>
              </w:rPr>
              <w:t>2</w:t>
            </w:r>
            <w:r w:rsidRPr="00687B52">
              <w:rPr>
                <w:rFonts w:asciiTheme="minorEastAsia" w:hAnsiTheme="minorEastAsia" w:cs="Times New Roman"/>
                <w:color w:val="000000" w:themeColor="text1"/>
                <w:sz w:val="24"/>
                <w:szCs w:val="24"/>
              </w:rPr>
              <w:t>的</w:t>
            </w:r>
            <w:r w:rsidRPr="00687B52">
              <w:rPr>
                <w:rFonts w:asciiTheme="minorEastAsia" w:hAnsiTheme="minorEastAsia" w:cs="Times New Roman" w:hint="eastAsia"/>
                <w:color w:val="000000" w:themeColor="text1"/>
                <w:sz w:val="24"/>
                <w:szCs w:val="24"/>
              </w:rPr>
              <w:t>乙丙类仓库；</w:t>
            </w:r>
          </w:p>
          <w:p w:rsidR="003E1D2A" w:rsidRPr="00687B52" w:rsidRDefault="003E1D2A" w:rsidP="00D9787F">
            <w:pPr>
              <w:pStyle w:val="ab"/>
              <w:numPr>
                <w:ilvl w:val="0"/>
                <w:numId w:val="76"/>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占地面积大于3000</w:t>
            </w:r>
            <w:r w:rsidRPr="00687B52">
              <w:rPr>
                <w:rFonts w:asciiTheme="minorEastAsia" w:hAnsiTheme="minorEastAsia" w:cs="Times New Roman" w:hint="eastAsia"/>
                <w:color w:val="000000" w:themeColor="text1"/>
                <w:sz w:val="24"/>
                <w:szCs w:val="24"/>
              </w:rPr>
              <w:t>0</w:t>
            </w:r>
            <w:r w:rsidRPr="00687B52">
              <w:rPr>
                <w:rFonts w:asciiTheme="minorEastAsia" w:hAnsiTheme="minorEastAsia" w:cs="Times New Roman"/>
                <w:color w:val="000000" w:themeColor="text1"/>
                <w:sz w:val="24"/>
                <w:szCs w:val="24"/>
              </w:rPr>
              <w:t>m</w:t>
            </w:r>
            <w:r w:rsidRPr="00687B52">
              <w:rPr>
                <w:rFonts w:asciiTheme="minorEastAsia" w:hAnsiTheme="minorEastAsia" w:cs="Times New Roman"/>
                <w:color w:val="000000" w:themeColor="text1"/>
                <w:sz w:val="24"/>
                <w:szCs w:val="24"/>
                <w:vertAlign w:val="superscript"/>
              </w:rPr>
              <w:t>2</w:t>
            </w:r>
            <w:r w:rsidRPr="00687B52">
              <w:rPr>
                <w:rFonts w:asciiTheme="minorEastAsia" w:hAnsiTheme="minorEastAsia" w:cs="Times New Roman"/>
                <w:color w:val="000000" w:themeColor="text1"/>
                <w:sz w:val="24"/>
                <w:szCs w:val="24"/>
              </w:rPr>
              <w:t>的可燃材料堆场</w:t>
            </w:r>
            <w:r w:rsidRPr="00687B52">
              <w:rPr>
                <w:rFonts w:asciiTheme="minorEastAsia" w:hAnsiTheme="minorEastAsia" w:cs="Times New Roman" w:hint="eastAsia"/>
                <w:color w:val="000000" w:themeColor="text1"/>
                <w:sz w:val="24"/>
                <w:szCs w:val="24"/>
              </w:rPr>
              <w:t>；</w:t>
            </w:r>
          </w:p>
          <w:p w:rsidR="003E1D2A" w:rsidRPr="00687B52" w:rsidRDefault="003E1D2A" w:rsidP="003E1D2A">
            <w:pPr>
              <w:spacing w:line="360" w:lineRule="exac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环形消防车道</w:t>
            </w:r>
            <w:r w:rsidRPr="00687B52">
              <w:rPr>
                <w:rFonts w:asciiTheme="minorEastAsia" w:hAnsiTheme="minorEastAsia" w:cs="Times New Roman"/>
                <w:color w:val="000000" w:themeColor="text1"/>
                <w:sz w:val="24"/>
                <w:szCs w:val="24"/>
              </w:rPr>
              <w:t>至少应有两处与其它车道连通。</w:t>
            </w:r>
          </w:p>
        </w:tc>
        <w:tc>
          <w:tcPr>
            <w:tcW w:w="1029" w:type="pct"/>
            <w:shd w:val="clear" w:color="auto" w:fill="auto"/>
            <w:vAlign w:val="center"/>
          </w:tcPr>
          <w:p w:rsidR="003E1D2A" w:rsidRPr="00687B52" w:rsidRDefault="003E1D2A" w:rsidP="003E1D2A">
            <w:pPr>
              <w:spacing w:line="24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《建筑设计防火规范》GB50016-2014第7.1条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88"/>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spacing w:line="36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消防车道应符合下列要求：</w:t>
            </w:r>
          </w:p>
          <w:p w:rsidR="003E1D2A" w:rsidRPr="00687B52" w:rsidRDefault="003E1D2A" w:rsidP="00D9787F">
            <w:pPr>
              <w:pStyle w:val="ab"/>
              <w:numPr>
                <w:ilvl w:val="0"/>
                <w:numId w:val="77"/>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车道的净宽度和净空高度均不应小于4.0m；</w:t>
            </w:r>
          </w:p>
          <w:p w:rsidR="003E1D2A" w:rsidRPr="00687B52" w:rsidRDefault="003E1D2A" w:rsidP="00D9787F">
            <w:pPr>
              <w:pStyle w:val="ab"/>
              <w:numPr>
                <w:ilvl w:val="0"/>
                <w:numId w:val="77"/>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转弯半径应满足消防车转弯的要求；</w:t>
            </w:r>
          </w:p>
          <w:p w:rsidR="003E1D2A" w:rsidRPr="00687B52" w:rsidRDefault="003E1D2A" w:rsidP="00D9787F">
            <w:pPr>
              <w:pStyle w:val="ab"/>
              <w:numPr>
                <w:ilvl w:val="0"/>
                <w:numId w:val="77"/>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消防车道与建筑之间不应设置妨碍消防车操作的树木、架空管线等障碍物；</w:t>
            </w:r>
          </w:p>
          <w:p w:rsidR="003E1D2A" w:rsidRPr="00687B52" w:rsidRDefault="003E1D2A" w:rsidP="00D9787F">
            <w:pPr>
              <w:pStyle w:val="ab"/>
              <w:numPr>
                <w:ilvl w:val="0"/>
                <w:numId w:val="77"/>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消防车道靠建筑外墙一侧的边缘距离建筑外墙不宜小于5m；</w:t>
            </w:r>
          </w:p>
          <w:p w:rsidR="003E1D2A" w:rsidRPr="00687B52" w:rsidRDefault="003E1D2A" w:rsidP="00D9787F">
            <w:pPr>
              <w:pStyle w:val="ab"/>
              <w:numPr>
                <w:ilvl w:val="0"/>
                <w:numId w:val="77"/>
              </w:numPr>
              <w:spacing w:line="360" w:lineRule="exact"/>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消防车道的坡度不宜大于8%。</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《建筑设计防火规范》GB50016-2014第7.1.8条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613881">
            <w:pPr>
              <w:jc w:val="center"/>
              <w:rPr>
                <w:rFonts w:asciiTheme="minorEastAsia" w:hAnsiTheme="minorEastAsia" w:cs="Times New Roman"/>
                <w:b/>
                <w:color w:val="000000" w:themeColor="text1"/>
                <w:sz w:val="24"/>
                <w:szCs w:val="24"/>
              </w:rPr>
            </w:pPr>
            <w:r w:rsidRPr="00687B52">
              <w:rPr>
                <w:rFonts w:asciiTheme="minorEastAsia" w:hAnsiTheme="minorEastAsia" w:cs="Times New Roman"/>
                <w:b/>
                <w:color w:val="000000" w:themeColor="text1"/>
                <w:sz w:val="24"/>
                <w:szCs w:val="24"/>
              </w:rPr>
              <w:t>2</w:t>
            </w:r>
          </w:p>
        </w:tc>
        <w:tc>
          <w:tcPr>
            <w:tcW w:w="2351" w:type="pct"/>
            <w:shd w:val="clear" w:color="auto" w:fill="auto"/>
            <w:vAlign w:val="center"/>
          </w:tcPr>
          <w:p w:rsidR="003E1D2A" w:rsidRPr="00687B52" w:rsidRDefault="003E1D2A" w:rsidP="003E1D2A">
            <w:pPr>
              <w:jc w:val="left"/>
              <w:rPr>
                <w:rFonts w:asciiTheme="minorEastAsia" w:hAnsiTheme="minorEastAsia" w:cs="Times New Roman"/>
                <w:b/>
                <w:color w:val="000000" w:themeColor="text1"/>
                <w:sz w:val="24"/>
                <w:szCs w:val="24"/>
              </w:rPr>
            </w:pPr>
            <w:r w:rsidRPr="00687B52">
              <w:rPr>
                <w:rFonts w:asciiTheme="minorEastAsia" w:hAnsiTheme="minorEastAsia" w:cs="Times New Roman"/>
                <w:b/>
                <w:color w:val="000000" w:themeColor="text1"/>
                <w:sz w:val="24"/>
                <w:szCs w:val="24"/>
              </w:rPr>
              <w:t>工艺系统与装置设施</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8B4454">
            <w:pPr>
              <w:jc w:val="center"/>
              <w:rPr>
                <w:rFonts w:asciiTheme="minorEastAsia" w:hAnsiTheme="minorEastAsia" w:cs="Times New Roman"/>
                <w:b/>
                <w:color w:val="000000" w:themeColor="text1"/>
                <w:sz w:val="24"/>
                <w:szCs w:val="24"/>
              </w:rPr>
            </w:pPr>
            <w:r w:rsidRPr="00687B52">
              <w:rPr>
                <w:rFonts w:asciiTheme="minorEastAsia" w:hAnsiTheme="minorEastAsia" w:cs="Times New Roman"/>
                <w:b/>
                <w:color w:val="000000" w:themeColor="text1"/>
                <w:sz w:val="24"/>
                <w:szCs w:val="24"/>
              </w:rPr>
              <w:t>2.1</w:t>
            </w:r>
          </w:p>
        </w:tc>
        <w:tc>
          <w:tcPr>
            <w:tcW w:w="2351" w:type="pct"/>
            <w:shd w:val="clear" w:color="auto" w:fill="auto"/>
            <w:vAlign w:val="center"/>
          </w:tcPr>
          <w:p w:rsidR="003E1D2A" w:rsidRPr="00687B52" w:rsidRDefault="003E1D2A" w:rsidP="003E1D2A">
            <w:pPr>
              <w:jc w:val="left"/>
              <w:rPr>
                <w:rFonts w:asciiTheme="minorEastAsia" w:hAnsiTheme="minorEastAsia" w:cs="Times New Roman"/>
                <w:b/>
                <w:color w:val="000000" w:themeColor="text1"/>
                <w:sz w:val="24"/>
                <w:szCs w:val="24"/>
              </w:rPr>
            </w:pPr>
            <w:r w:rsidRPr="00687B52">
              <w:rPr>
                <w:rFonts w:asciiTheme="minorEastAsia" w:hAnsiTheme="minorEastAsia" w:cs="Times New Roman"/>
                <w:b/>
                <w:color w:val="000000" w:themeColor="text1"/>
                <w:sz w:val="24"/>
                <w:szCs w:val="24"/>
              </w:rPr>
              <w:t>工艺安全</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131"/>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在役化工装置应经过正规设计或经过安全设计诊断。</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《化工（危险化学品）企业安全检查重点指导目录》安监总管三[2015]113号</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131"/>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8B4454">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大型和采用危险化工工艺的装置在初步设计完成后要进行HAZOP分析。国内首次采用的化工工艺，要通过省级有关部门组织专家组进行安全论证。</w:t>
            </w:r>
          </w:p>
        </w:tc>
        <w:tc>
          <w:tcPr>
            <w:tcW w:w="1029" w:type="pct"/>
            <w:shd w:val="clear" w:color="auto" w:fill="auto"/>
            <w:vAlign w:val="center"/>
          </w:tcPr>
          <w:p w:rsidR="003E1D2A" w:rsidRPr="00687B52" w:rsidRDefault="003E1D2A" w:rsidP="008B4454">
            <w:pPr>
              <w:widowControl/>
              <w:shd w:val="clear" w:color="auto" w:fill="FFFFFF"/>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安监总管三〔2010〕186号</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131"/>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严禁使用国家明令淘汰的危及生产安全的工艺、设备。</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《化工（危险化学品）企业安全检查重点指导目录》安监总管三[2015]113号</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131"/>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危险化工工艺</w:t>
            </w:r>
            <w:r w:rsidRPr="00687B52">
              <w:rPr>
                <w:rFonts w:asciiTheme="minorEastAsia" w:hAnsiTheme="minorEastAsia" w:cs="Times New Roman" w:hint="eastAsia"/>
                <w:color w:val="000000" w:themeColor="text1"/>
                <w:sz w:val="24"/>
                <w:szCs w:val="24"/>
              </w:rPr>
              <w:t>生产装置</w:t>
            </w:r>
            <w:r w:rsidRPr="00687B52">
              <w:rPr>
                <w:rFonts w:asciiTheme="minorEastAsia" w:hAnsiTheme="minorEastAsia" w:cs="Times New Roman"/>
                <w:color w:val="000000" w:themeColor="text1"/>
                <w:sz w:val="24"/>
                <w:szCs w:val="24"/>
              </w:rPr>
              <w:t>的安全控制应按照《重点监管的危险化工工艺安全控制要求、重点监控参数及推荐的控制方案》的要求进行设置。</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安监总管三〔2009〕116号</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131"/>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有</w:t>
            </w:r>
            <w:r w:rsidRPr="00687B52">
              <w:rPr>
                <w:rFonts w:asciiTheme="minorEastAsia" w:hAnsiTheme="minorEastAsia" w:cs="Times New Roman"/>
                <w:color w:val="000000" w:themeColor="text1"/>
                <w:sz w:val="24"/>
                <w:szCs w:val="24"/>
              </w:rPr>
              <w:t>可能超压的设备或管道应设置可靠的安全泄压措施：</w:t>
            </w:r>
          </w:p>
          <w:p w:rsidR="003E1D2A" w:rsidRPr="00687B52" w:rsidRDefault="003E1D2A" w:rsidP="00D9787F">
            <w:pPr>
              <w:pStyle w:val="ab"/>
              <w:numPr>
                <w:ilvl w:val="0"/>
                <w:numId w:val="92"/>
              </w:numPr>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顶部最高操作压力大于等于0.1MPa的压力容器；</w:t>
            </w:r>
          </w:p>
          <w:p w:rsidR="003E1D2A" w:rsidRPr="00687B52" w:rsidRDefault="003E1D2A" w:rsidP="00D9787F">
            <w:pPr>
              <w:pStyle w:val="ab"/>
              <w:numPr>
                <w:ilvl w:val="0"/>
                <w:numId w:val="92"/>
              </w:numPr>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顶部最高操作压力大于0.03MPa的蒸馏塔、蒸发塔和汽提塔；</w:t>
            </w:r>
          </w:p>
          <w:p w:rsidR="003E1D2A" w:rsidRPr="00687B52" w:rsidRDefault="003E1D2A" w:rsidP="00D9787F">
            <w:pPr>
              <w:pStyle w:val="ab"/>
              <w:numPr>
                <w:ilvl w:val="0"/>
                <w:numId w:val="92"/>
              </w:numPr>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往复式压缩机各段出口或电动往复泵、齿轮泵、螺杆泵等容积式泵的出口；</w:t>
            </w:r>
          </w:p>
          <w:p w:rsidR="003E1D2A" w:rsidRPr="00687B52" w:rsidRDefault="003E1D2A" w:rsidP="00D9787F">
            <w:pPr>
              <w:pStyle w:val="ab"/>
              <w:numPr>
                <w:ilvl w:val="0"/>
                <w:numId w:val="92"/>
              </w:numPr>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两端阀门关闭且因外界影响可能造成介质压力升高的甲、乙类液体管道。</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《石油化工设计防火规范》GB50160-2008第</w:t>
            </w:r>
            <w:smartTag w:uri="urn:schemas-microsoft-com:office:smarttags" w:element="chsdate">
              <w:smartTagPr>
                <w:attr w:name="IsROCDate" w:val="False"/>
                <w:attr w:name="IsLunarDate" w:val="False"/>
                <w:attr w:name="Day" w:val="30"/>
                <w:attr w:name="Month" w:val="12"/>
                <w:attr w:name="Year" w:val="1899"/>
              </w:smartTagPr>
              <w:r w:rsidRPr="00687B52">
                <w:rPr>
                  <w:rFonts w:asciiTheme="minorEastAsia" w:hAnsiTheme="minorEastAsia" w:cs="Times New Roman"/>
                  <w:color w:val="000000" w:themeColor="text1"/>
                  <w:sz w:val="24"/>
                  <w:szCs w:val="24"/>
                </w:rPr>
                <w:t>5.5.1</w:t>
              </w:r>
            </w:smartTag>
            <w:r w:rsidRPr="00687B52">
              <w:rPr>
                <w:rFonts w:asciiTheme="minorEastAsia" w:hAnsiTheme="minorEastAsia" w:cs="Times New Roman"/>
                <w:color w:val="000000" w:themeColor="text1"/>
                <w:sz w:val="24"/>
                <w:szCs w:val="24"/>
              </w:rPr>
              <w:t xml:space="preserve"> 条</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《石油天然气工程设计防火规范》GB50183-2004</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w:t>
            </w:r>
            <w:smartTag w:uri="urn:schemas-microsoft-com:office:smarttags" w:element="chsdate">
              <w:smartTagPr>
                <w:attr w:name="IsROCDate" w:val="False"/>
                <w:attr w:name="IsLunarDate" w:val="False"/>
                <w:attr w:name="Day" w:val="30"/>
                <w:attr w:name="Month" w:val="12"/>
                <w:attr w:name="Year" w:val="1899"/>
              </w:smartTagPr>
              <w:r w:rsidRPr="00687B52">
                <w:rPr>
                  <w:rFonts w:asciiTheme="minorEastAsia" w:hAnsiTheme="minorEastAsia" w:cs="Times New Roman"/>
                  <w:color w:val="000000" w:themeColor="text1"/>
                  <w:sz w:val="24"/>
                  <w:szCs w:val="24"/>
                </w:rPr>
                <w:t>6.8.1</w:t>
              </w:r>
            </w:smartTag>
            <w:r w:rsidRPr="00687B52">
              <w:rPr>
                <w:rFonts w:asciiTheme="minorEastAsia" w:hAnsiTheme="minorEastAsia" w:cs="Times New Roman"/>
                <w:color w:val="000000" w:themeColor="text1"/>
                <w:sz w:val="24"/>
                <w:szCs w:val="24"/>
              </w:rPr>
              <w:t>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131"/>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因物料爆聚、分解造成超温、超压，可能引起火灾、爆炸的反应设备应设报警信号和泄压排放设施，以及自动或手动遥控的紧急切断进料设施。</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 xml:space="preserve">《石油化工设计防火规范》GB50160-2008 </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w:t>
            </w:r>
            <w:smartTag w:uri="urn:schemas-microsoft-com:office:smarttags" w:element="chsdate">
              <w:smartTagPr>
                <w:attr w:name="IsROCDate" w:val="False"/>
                <w:attr w:name="IsLunarDate" w:val="False"/>
                <w:attr w:name="Day" w:val="30"/>
                <w:attr w:name="Month" w:val="12"/>
                <w:attr w:name="Year" w:val="1899"/>
              </w:smartTagPr>
              <w:r w:rsidRPr="00687B52">
                <w:rPr>
                  <w:rFonts w:asciiTheme="minorEastAsia" w:hAnsiTheme="minorEastAsia" w:cs="Times New Roman"/>
                  <w:color w:val="000000" w:themeColor="text1"/>
                  <w:sz w:val="24"/>
                  <w:szCs w:val="24"/>
                </w:rPr>
                <w:t>5.5.13</w:t>
              </w:r>
            </w:smartTag>
            <w:r w:rsidRPr="00687B52">
              <w:rPr>
                <w:rFonts w:asciiTheme="minorEastAsia" w:hAnsiTheme="minorEastAsia" w:cs="Times New Roman"/>
                <w:color w:val="000000" w:themeColor="text1"/>
                <w:sz w:val="24"/>
                <w:szCs w:val="24"/>
              </w:rPr>
              <w:t xml:space="preserve"> 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131"/>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危险物料的泄压排放或放空的安全性，主要包括：</w:t>
            </w:r>
          </w:p>
          <w:p w:rsidR="003E1D2A" w:rsidRPr="00687B52" w:rsidRDefault="003E1D2A" w:rsidP="00D9787F">
            <w:pPr>
              <w:pStyle w:val="ab"/>
              <w:numPr>
                <w:ilvl w:val="0"/>
                <w:numId w:val="101"/>
              </w:numPr>
              <w:ind w:firstLineChars="0"/>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可燃气体、可燃液体的安全阀出口应连接至适宜的设施或系统；</w:t>
            </w:r>
          </w:p>
          <w:p w:rsidR="003E1D2A" w:rsidRPr="00687B52" w:rsidRDefault="003E1D2A" w:rsidP="00D9787F">
            <w:pPr>
              <w:pStyle w:val="ab"/>
              <w:numPr>
                <w:ilvl w:val="0"/>
                <w:numId w:val="101"/>
              </w:numPr>
              <w:ind w:firstLineChars="0"/>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有毒气体，如氨、氯、光气等</w:t>
            </w:r>
            <w:r w:rsidRPr="00687B52">
              <w:rPr>
                <w:rFonts w:asciiTheme="minorEastAsia" w:hAnsiTheme="minorEastAsia" w:cs="Times New Roman"/>
                <w:color w:val="000000" w:themeColor="text1"/>
                <w:sz w:val="24"/>
                <w:szCs w:val="24"/>
              </w:rPr>
              <w:t>的安全阀排放气应经处理</w:t>
            </w:r>
            <w:r w:rsidRPr="00687B52">
              <w:rPr>
                <w:rFonts w:asciiTheme="minorEastAsia" w:hAnsiTheme="minorEastAsia" w:cs="Times New Roman" w:hint="eastAsia"/>
                <w:color w:val="000000" w:themeColor="text1"/>
                <w:sz w:val="24"/>
                <w:szCs w:val="24"/>
              </w:rPr>
              <w:t>达标</w:t>
            </w:r>
            <w:r w:rsidRPr="00687B52">
              <w:rPr>
                <w:rFonts w:asciiTheme="minorEastAsia" w:hAnsiTheme="minorEastAsia" w:cs="Times New Roman"/>
                <w:color w:val="000000" w:themeColor="text1"/>
                <w:sz w:val="24"/>
                <w:szCs w:val="24"/>
              </w:rPr>
              <w:t>后放空。</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《石油化工设计防火规范》GB50160-2008 第</w:t>
            </w:r>
            <w:smartTag w:uri="urn:schemas-microsoft-com:office:smarttags" w:element="chsdate">
              <w:smartTagPr>
                <w:attr w:name="IsROCDate" w:val="False"/>
                <w:attr w:name="IsLunarDate" w:val="False"/>
                <w:attr w:name="Day" w:val="30"/>
                <w:attr w:name="Month" w:val="12"/>
                <w:attr w:name="Year" w:val="1899"/>
              </w:smartTagPr>
              <w:r w:rsidRPr="00687B52">
                <w:rPr>
                  <w:rFonts w:asciiTheme="minorEastAsia" w:hAnsiTheme="minorEastAsia" w:cs="Times New Roman"/>
                  <w:color w:val="000000" w:themeColor="text1"/>
                  <w:sz w:val="24"/>
                  <w:szCs w:val="24"/>
                </w:rPr>
                <w:t>5.5.7</w:t>
              </w:r>
            </w:smartTag>
            <w:r w:rsidRPr="00687B52">
              <w:rPr>
                <w:rFonts w:asciiTheme="minorEastAsia" w:hAnsiTheme="minorEastAsia" w:cs="Times New Roman"/>
                <w:color w:val="000000" w:themeColor="text1"/>
                <w:sz w:val="24"/>
                <w:szCs w:val="24"/>
              </w:rPr>
              <w:t xml:space="preserve"> 条</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w:t>
            </w:r>
            <w:smartTag w:uri="urn:schemas-microsoft-com:office:smarttags" w:element="chsdate">
              <w:smartTagPr>
                <w:attr w:name="IsROCDate" w:val="False"/>
                <w:attr w:name="IsLunarDate" w:val="False"/>
                <w:attr w:name="Day" w:val="30"/>
                <w:attr w:name="Month" w:val="12"/>
                <w:attr w:name="Year" w:val="1899"/>
              </w:smartTagPr>
              <w:r w:rsidRPr="00687B52">
                <w:rPr>
                  <w:rFonts w:asciiTheme="minorEastAsia" w:hAnsiTheme="minorEastAsia" w:cs="Times New Roman"/>
                  <w:color w:val="000000" w:themeColor="text1"/>
                  <w:sz w:val="24"/>
                  <w:szCs w:val="24"/>
                </w:rPr>
                <w:t>5.5.10</w:t>
              </w:r>
            </w:smartTag>
            <w:r w:rsidRPr="00687B52">
              <w:rPr>
                <w:rFonts w:asciiTheme="minorEastAsia" w:hAnsiTheme="minorEastAsia" w:cs="Times New Roman"/>
                <w:color w:val="000000" w:themeColor="text1"/>
                <w:sz w:val="24"/>
                <w:szCs w:val="24"/>
              </w:rPr>
              <w:t>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131"/>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在厂房、围堤、窨井等场所内设置有毒有害气体排放口时，应采取有效防范措施，严禁直接对大气排放。</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《化工（危险化学品）企业安全检查重点指导目录》安监总管三[2015]113号</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131"/>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具有火灾爆炸危险的工艺、储槽和管道，根据介质特点，选用氮气、二氧化碳、蒸汽、水等介质置换及保护系统。</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《化工企业安全卫生设计规定》HG20571-2014</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第3.1.7条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131"/>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生产、储存装置及设施严禁超温、超压、超液位运行。</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《化工（危险化学品）企业安全检查重点指导目录》安监总管三[2015]113号</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131"/>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 xml:space="preserve">排除有燃烧或爆炸危险气体、蒸气和粉尘的排风系统，应符合下列规定： </w:t>
            </w:r>
          </w:p>
          <w:p w:rsidR="003E1D2A" w:rsidRPr="00687B52" w:rsidRDefault="003E1D2A" w:rsidP="00D9787F">
            <w:pPr>
              <w:numPr>
                <w:ilvl w:val="0"/>
                <w:numId w:val="93"/>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排风系统应设置导除静电的接地装置；</w:t>
            </w:r>
          </w:p>
          <w:p w:rsidR="003E1D2A" w:rsidRPr="00687B52" w:rsidRDefault="003E1D2A" w:rsidP="00D9787F">
            <w:pPr>
              <w:numPr>
                <w:ilvl w:val="0"/>
                <w:numId w:val="93"/>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排风设备不应布置在地下或半地下建筑(室)内；</w:t>
            </w:r>
          </w:p>
          <w:p w:rsidR="003E1D2A" w:rsidRPr="00687B52" w:rsidRDefault="003E1D2A" w:rsidP="00D9787F">
            <w:pPr>
              <w:numPr>
                <w:ilvl w:val="0"/>
                <w:numId w:val="93"/>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排风管应采用金属管道，并应直接通向室外安全地点，不应暗设。</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《建筑设计防火规范》GB50016-2014第9.3.9条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613881">
            <w:pPr>
              <w:jc w:val="center"/>
              <w:rPr>
                <w:rFonts w:asciiTheme="minorEastAsia" w:hAnsiTheme="minorEastAsia" w:cs="Times New Roman"/>
                <w:b/>
                <w:color w:val="000000" w:themeColor="text1"/>
                <w:sz w:val="24"/>
                <w:szCs w:val="24"/>
              </w:rPr>
            </w:pPr>
            <w:r w:rsidRPr="00687B52">
              <w:rPr>
                <w:rFonts w:asciiTheme="minorEastAsia" w:hAnsiTheme="minorEastAsia" w:cs="Times New Roman"/>
                <w:b/>
                <w:color w:val="000000" w:themeColor="text1"/>
                <w:sz w:val="24"/>
                <w:szCs w:val="24"/>
              </w:rPr>
              <w:t>2.</w:t>
            </w:r>
            <w:r w:rsidRPr="00687B52">
              <w:rPr>
                <w:rFonts w:asciiTheme="minorEastAsia" w:hAnsiTheme="minorEastAsia" w:cs="Times New Roman" w:hint="eastAsia"/>
                <w:b/>
                <w:color w:val="000000" w:themeColor="text1"/>
                <w:sz w:val="24"/>
                <w:szCs w:val="24"/>
              </w:rPr>
              <w:t>2</w:t>
            </w:r>
          </w:p>
        </w:tc>
        <w:tc>
          <w:tcPr>
            <w:tcW w:w="2351" w:type="pct"/>
            <w:shd w:val="clear" w:color="auto" w:fill="auto"/>
            <w:vAlign w:val="center"/>
          </w:tcPr>
          <w:p w:rsidR="003E1D2A" w:rsidRPr="00687B52" w:rsidRDefault="003E1D2A" w:rsidP="003E1D2A">
            <w:pPr>
              <w:jc w:val="left"/>
              <w:rPr>
                <w:rFonts w:asciiTheme="minorEastAsia" w:hAnsiTheme="minorEastAsia" w:cs="Times New Roman"/>
                <w:b/>
                <w:color w:val="000000" w:themeColor="text1"/>
                <w:sz w:val="24"/>
                <w:szCs w:val="24"/>
              </w:rPr>
            </w:pPr>
            <w:r w:rsidRPr="00687B52">
              <w:rPr>
                <w:rFonts w:asciiTheme="minorEastAsia" w:hAnsiTheme="minorEastAsia" w:cs="Times New Roman"/>
                <w:b/>
                <w:color w:val="000000" w:themeColor="text1"/>
                <w:sz w:val="24"/>
                <w:szCs w:val="24"/>
              </w:rPr>
              <w:t>设备设施</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89"/>
              </w:numPr>
              <w:ind w:left="0" w:firstLine="0"/>
              <w:jc w:val="center"/>
              <w:rPr>
                <w:rFonts w:asciiTheme="minorEastAsia" w:hAnsiTheme="minorEastAsia" w:cs="Times New Roman"/>
                <w:b/>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涉及</w:t>
            </w:r>
            <w:r w:rsidRPr="00687B52">
              <w:rPr>
                <w:rFonts w:asciiTheme="minorEastAsia" w:hAnsiTheme="minorEastAsia" w:cs="Times New Roman"/>
                <w:color w:val="000000" w:themeColor="text1"/>
                <w:sz w:val="24"/>
                <w:szCs w:val="24"/>
              </w:rPr>
              <w:t>可燃气体及有毒气体的工艺装置和储运设施，</w:t>
            </w:r>
            <w:r w:rsidRPr="00687B52">
              <w:rPr>
                <w:rFonts w:asciiTheme="minorEastAsia" w:hAnsiTheme="minorEastAsia" w:cs="Times New Roman" w:hint="eastAsia"/>
                <w:color w:val="000000" w:themeColor="text1"/>
                <w:sz w:val="24"/>
                <w:szCs w:val="24"/>
              </w:rPr>
              <w:t>应设置</w:t>
            </w:r>
            <w:r w:rsidRPr="00687B52">
              <w:rPr>
                <w:rFonts w:asciiTheme="minorEastAsia" w:hAnsiTheme="minorEastAsia" w:cs="Times New Roman"/>
                <w:color w:val="000000" w:themeColor="text1"/>
                <w:sz w:val="24"/>
                <w:szCs w:val="24"/>
              </w:rPr>
              <w:t>可燃气体和有毒气体的泄露</w:t>
            </w:r>
            <w:r w:rsidRPr="00687B52">
              <w:rPr>
                <w:rFonts w:asciiTheme="minorEastAsia" w:hAnsiTheme="minorEastAsia" w:cs="Times New Roman" w:hint="eastAsia"/>
                <w:color w:val="000000" w:themeColor="text1"/>
                <w:sz w:val="24"/>
                <w:szCs w:val="24"/>
              </w:rPr>
              <w:t>浓度</w:t>
            </w:r>
            <w:r w:rsidRPr="00687B52">
              <w:rPr>
                <w:rFonts w:asciiTheme="minorEastAsia" w:hAnsiTheme="minorEastAsia" w:cs="Times New Roman"/>
                <w:color w:val="000000" w:themeColor="text1"/>
                <w:sz w:val="24"/>
                <w:szCs w:val="24"/>
              </w:rPr>
              <w:t>检测</w:t>
            </w:r>
            <w:r w:rsidRPr="00687B52">
              <w:rPr>
                <w:rFonts w:asciiTheme="minorEastAsia" w:hAnsiTheme="minorEastAsia" w:cs="Times New Roman" w:hint="eastAsia"/>
                <w:color w:val="000000" w:themeColor="text1"/>
                <w:sz w:val="24"/>
                <w:szCs w:val="24"/>
              </w:rPr>
              <w:t>。</w:t>
            </w:r>
            <w:r w:rsidRPr="00687B52">
              <w:rPr>
                <w:rFonts w:asciiTheme="minorEastAsia" w:hAnsiTheme="minorEastAsia" w:cs="Times New Roman"/>
                <w:color w:val="000000" w:themeColor="text1"/>
                <w:sz w:val="24"/>
                <w:szCs w:val="24"/>
              </w:rPr>
              <w:t>有毒有害、可燃气体泄漏检测报警信号应发送至有操作人员常驻的控制室、现场操作室进行报警。</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《石油化工可燃气体和有毒气体检测报警设计规范》GB50493-2009第3.0条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89"/>
              </w:numPr>
              <w:ind w:left="0" w:firstLine="0"/>
              <w:jc w:val="center"/>
              <w:rPr>
                <w:rFonts w:asciiTheme="minorEastAsia" w:hAnsiTheme="minorEastAsia" w:cs="Times New Roman"/>
                <w:b/>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爆炸危险场所必须有良好的通风设施，以防止有爆炸危险气体的积聚。生产装置尽可能采用露天、半露天布置，布置在室内应有足够的通风量；通排风设施应根据气体比重确定位置；对局部易泄漏部位应设置局部符合防爆要求的机械排风设施。</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《爆炸危险场所安全规定》</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w:t>
            </w:r>
            <w:r w:rsidRPr="00687B52">
              <w:rPr>
                <w:rFonts w:asciiTheme="minorEastAsia" w:hAnsiTheme="minorEastAsia" w:cs="Times New Roman" w:hint="eastAsia"/>
                <w:color w:val="000000" w:themeColor="text1"/>
                <w:sz w:val="24"/>
                <w:szCs w:val="24"/>
              </w:rPr>
              <w:t>16</w:t>
            </w:r>
            <w:r w:rsidRPr="00687B52">
              <w:rPr>
                <w:rFonts w:asciiTheme="minorEastAsia" w:hAnsiTheme="minorEastAsia" w:cs="Times New Roman"/>
                <w:color w:val="000000" w:themeColor="text1"/>
                <w:sz w:val="24"/>
                <w:szCs w:val="24"/>
              </w:rPr>
              <w:t>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89"/>
              </w:numPr>
              <w:ind w:left="0" w:firstLine="0"/>
              <w:jc w:val="center"/>
              <w:rPr>
                <w:rFonts w:asciiTheme="minorEastAsia" w:hAnsiTheme="minorEastAsia" w:cs="Times New Roman"/>
                <w:b/>
                <w:color w:val="000000" w:themeColor="text1"/>
                <w:sz w:val="24"/>
                <w:szCs w:val="24"/>
              </w:rPr>
            </w:pPr>
          </w:p>
        </w:tc>
        <w:tc>
          <w:tcPr>
            <w:tcW w:w="2351" w:type="pct"/>
            <w:shd w:val="clear" w:color="auto" w:fill="auto"/>
            <w:vAlign w:val="center"/>
          </w:tcPr>
          <w:p w:rsidR="003E1D2A" w:rsidRPr="00687B52" w:rsidRDefault="003E1D2A" w:rsidP="003E1D2A">
            <w:pPr>
              <w:pStyle w:val="1110"/>
              <w:rPr>
                <w:rFonts w:asciiTheme="minorEastAsia" w:eastAsiaTheme="minorEastAsia" w:hAnsiTheme="minorEastAsia"/>
                <w:color w:val="000000" w:themeColor="text1"/>
                <w:sz w:val="24"/>
                <w:szCs w:val="24"/>
              </w:rPr>
            </w:pPr>
            <w:r w:rsidRPr="00687B52">
              <w:rPr>
                <w:rFonts w:asciiTheme="minorEastAsia" w:eastAsiaTheme="minorEastAsia" w:hAnsiTheme="minorEastAsia"/>
                <w:color w:val="000000" w:themeColor="text1"/>
                <w:sz w:val="24"/>
                <w:szCs w:val="24"/>
              </w:rPr>
              <w:t>可燃气体压缩机的吸入管道应有防止产生负压的设施。</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《石油化工设计防火规范》GB 50160-2008</w:t>
            </w:r>
            <w:r w:rsidRPr="00687B52">
              <w:rPr>
                <w:rFonts w:asciiTheme="minorEastAsia" w:hAnsiTheme="minorEastAsia" w:cs="Times New Roman"/>
                <w:color w:val="000000" w:themeColor="text1"/>
                <w:kern w:val="0"/>
                <w:sz w:val="24"/>
                <w:szCs w:val="24"/>
              </w:rPr>
              <w:t>第</w:t>
            </w:r>
            <w:smartTag w:uri="urn:schemas-microsoft-com:office:smarttags" w:element="chsdate">
              <w:smartTagPr>
                <w:attr w:name="IsROCDate" w:val="False"/>
                <w:attr w:name="IsLunarDate" w:val="False"/>
                <w:attr w:name="Day" w:val="30"/>
                <w:attr w:name="Month" w:val="12"/>
                <w:attr w:name="Year" w:val="1899"/>
              </w:smartTagPr>
              <w:r w:rsidRPr="00687B52">
                <w:rPr>
                  <w:rFonts w:asciiTheme="minorEastAsia" w:hAnsiTheme="minorEastAsia" w:cs="Times New Roman"/>
                  <w:color w:val="000000" w:themeColor="text1"/>
                  <w:kern w:val="0"/>
                  <w:sz w:val="24"/>
                  <w:szCs w:val="24"/>
                </w:rPr>
                <w:t>7.2.10</w:t>
              </w:r>
            </w:smartTag>
            <w:r w:rsidRPr="00687B52">
              <w:rPr>
                <w:rFonts w:asciiTheme="minorEastAsia" w:hAnsiTheme="minorEastAsia" w:cs="Times New Roman"/>
                <w:color w:val="000000" w:themeColor="text1"/>
                <w:kern w:val="0"/>
                <w:sz w:val="24"/>
                <w:szCs w:val="24"/>
              </w:rPr>
              <w:t>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89"/>
              </w:numPr>
              <w:ind w:left="0" w:firstLine="0"/>
              <w:jc w:val="center"/>
              <w:rPr>
                <w:rFonts w:asciiTheme="minorEastAsia" w:hAnsiTheme="minorEastAsia" w:cs="Times New Roman"/>
                <w:b/>
                <w:color w:val="000000" w:themeColor="text1"/>
                <w:sz w:val="24"/>
                <w:szCs w:val="24"/>
              </w:rPr>
            </w:pPr>
          </w:p>
        </w:tc>
        <w:tc>
          <w:tcPr>
            <w:tcW w:w="2351" w:type="pct"/>
            <w:shd w:val="clear" w:color="auto" w:fill="auto"/>
            <w:vAlign w:val="center"/>
          </w:tcPr>
          <w:p w:rsidR="003E1D2A" w:rsidRPr="00687B52" w:rsidRDefault="003E1D2A" w:rsidP="003E1D2A">
            <w:pPr>
              <w:pStyle w:val="1110"/>
              <w:rPr>
                <w:rFonts w:asciiTheme="minorEastAsia" w:eastAsiaTheme="minorEastAsia" w:hAnsiTheme="minorEastAsia"/>
                <w:color w:val="000000" w:themeColor="text1"/>
                <w:sz w:val="24"/>
                <w:szCs w:val="24"/>
              </w:rPr>
            </w:pPr>
            <w:r w:rsidRPr="00687B52">
              <w:rPr>
                <w:rFonts w:asciiTheme="minorEastAsia" w:eastAsiaTheme="minorEastAsia" w:hAnsiTheme="minorEastAsia"/>
                <w:color w:val="000000" w:themeColor="text1"/>
                <w:sz w:val="24"/>
                <w:szCs w:val="24"/>
              </w:rPr>
              <w:t>离心式可燃气体压缩机和可燃液体泵应在其出口管道上安装止回阀。</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《石油化工设计防火规范》GB 50160-2008</w:t>
            </w:r>
            <w:r w:rsidRPr="00687B52">
              <w:rPr>
                <w:rFonts w:asciiTheme="minorEastAsia" w:hAnsiTheme="minorEastAsia" w:cs="Times New Roman"/>
                <w:color w:val="000000" w:themeColor="text1"/>
                <w:kern w:val="0"/>
                <w:sz w:val="24"/>
                <w:szCs w:val="24"/>
              </w:rPr>
              <w:t>第</w:t>
            </w:r>
            <w:smartTag w:uri="urn:schemas-microsoft-com:office:smarttags" w:element="chsdate">
              <w:smartTagPr>
                <w:attr w:name="IsROCDate" w:val="False"/>
                <w:attr w:name="IsLunarDate" w:val="False"/>
                <w:attr w:name="Day" w:val="30"/>
                <w:attr w:name="Month" w:val="12"/>
                <w:attr w:name="Year" w:val="1899"/>
              </w:smartTagPr>
              <w:r w:rsidRPr="00687B52">
                <w:rPr>
                  <w:rFonts w:asciiTheme="minorEastAsia" w:hAnsiTheme="minorEastAsia" w:cs="Times New Roman"/>
                  <w:color w:val="000000" w:themeColor="text1"/>
                  <w:kern w:val="0"/>
                  <w:sz w:val="24"/>
                  <w:szCs w:val="24"/>
                </w:rPr>
                <w:t>7.2.11</w:t>
              </w:r>
            </w:smartTag>
            <w:r w:rsidRPr="00687B52">
              <w:rPr>
                <w:rFonts w:asciiTheme="minorEastAsia" w:hAnsiTheme="minorEastAsia" w:cs="Times New Roman"/>
                <w:color w:val="000000" w:themeColor="text1"/>
                <w:kern w:val="0"/>
                <w:sz w:val="24"/>
                <w:szCs w:val="24"/>
              </w:rPr>
              <w:t>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89"/>
              </w:numPr>
              <w:ind w:left="0" w:firstLine="0"/>
              <w:jc w:val="center"/>
              <w:rPr>
                <w:rFonts w:asciiTheme="minorEastAsia" w:hAnsiTheme="minorEastAsia" w:cs="Times New Roman"/>
                <w:b/>
                <w:color w:val="000000" w:themeColor="text1"/>
                <w:sz w:val="24"/>
                <w:szCs w:val="24"/>
              </w:rPr>
            </w:pPr>
          </w:p>
        </w:tc>
        <w:tc>
          <w:tcPr>
            <w:tcW w:w="2351" w:type="pct"/>
            <w:shd w:val="clear" w:color="auto" w:fill="auto"/>
            <w:vAlign w:val="center"/>
          </w:tcPr>
          <w:p w:rsidR="003E1D2A" w:rsidRPr="00687B52" w:rsidRDefault="003E1D2A" w:rsidP="003E1D2A">
            <w:pPr>
              <w:rPr>
                <w:rFonts w:asciiTheme="minorEastAsia" w:hAnsiTheme="minorEastAsia"/>
                <w:color w:val="000000" w:themeColor="text1"/>
                <w:sz w:val="24"/>
                <w:szCs w:val="24"/>
              </w:rPr>
            </w:pPr>
            <w:r w:rsidRPr="00687B52">
              <w:rPr>
                <w:rFonts w:asciiTheme="minorEastAsia" w:hAnsiTheme="minorEastAsia"/>
                <w:color w:val="000000" w:themeColor="text1"/>
                <w:sz w:val="24"/>
                <w:szCs w:val="24"/>
              </w:rPr>
              <w:t>加热炉应满足</w:t>
            </w:r>
            <w:r w:rsidRPr="00687B52">
              <w:rPr>
                <w:rFonts w:asciiTheme="minorEastAsia" w:hAnsiTheme="minorEastAsia" w:hint="eastAsia"/>
                <w:color w:val="000000" w:themeColor="text1"/>
                <w:sz w:val="24"/>
                <w:szCs w:val="24"/>
              </w:rPr>
              <w:t>以下安全要求</w:t>
            </w:r>
            <w:r w:rsidRPr="00687B52">
              <w:rPr>
                <w:rFonts w:asciiTheme="minorEastAsia" w:hAnsiTheme="minorEastAsia"/>
                <w:color w:val="000000" w:themeColor="text1"/>
                <w:sz w:val="24"/>
                <w:szCs w:val="24"/>
              </w:rPr>
              <w:t>：</w:t>
            </w:r>
          </w:p>
          <w:p w:rsidR="003E1D2A" w:rsidRPr="00687B52" w:rsidRDefault="003E1D2A" w:rsidP="00D9787F">
            <w:pPr>
              <w:numPr>
                <w:ilvl w:val="0"/>
                <w:numId w:val="94"/>
              </w:numPr>
              <w:rPr>
                <w:rFonts w:asciiTheme="minorEastAsia" w:hAnsiTheme="minorEastAsia"/>
                <w:color w:val="000000" w:themeColor="text1"/>
                <w:sz w:val="24"/>
                <w:szCs w:val="24"/>
              </w:rPr>
            </w:pPr>
            <w:r w:rsidRPr="00687B52">
              <w:rPr>
                <w:rFonts w:asciiTheme="minorEastAsia" w:hAnsiTheme="minorEastAsia" w:cs="Times New Roman"/>
                <w:color w:val="000000" w:themeColor="text1"/>
                <w:sz w:val="24"/>
                <w:szCs w:val="24"/>
              </w:rPr>
              <w:t>加热炉的烟道和封闭炉膛均应设置爆破门，加热炉机械鼓风的主风管道应设置爆破膜。</w:t>
            </w:r>
          </w:p>
          <w:p w:rsidR="003E1D2A" w:rsidRPr="00687B52" w:rsidRDefault="003E1D2A" w:rsidP="00D9787F">
            <w:pPr>
              <w:numPr>
                <w:ilvl w:val="0"/>
                <w:numId w:val="94"/>
              </w:numPr>
              <w:rPr>
                <w:rFonts w:asciiTheme="minorEastAsia" w:hAnsiTheme="minorEastAsia"/>
                <w:color w:val="000000" w:themeColor="text1"/>
                <w:sz w:val="24"/>
                <w:szCs w:val="24"/>
              </w:rPr>
            </w:pPr>
            <w:r w:rsidRPr="00687B52">
              <w:rPr>
                <w:rFonts w:asciiTheme="minorEastAsia" w:hAnsiTheme="minorEastAsia" w:cs="Times New Roman"/>
                <w:color w:val="000000" w:themeColor="text1"/>
                <w:sz w:val="24"/>
                <w:szCs w:val="24"/>
              </w:rPr>
              <w:t>明火加热炉附属的燃料气分液罐、燃料气加热器等与炉体的防火间距，不应小于6m</w:t>
            </w:r>
            <w:r w:rsidRPr="00687B52">
              <w:rPr>
                <w:rFonts w:asciiTheme="minorEastAsia" w:hAnsiTheme="minorEastAsia" w:cs="Times New Roman" w:hint="eastAsia"/>
                <w:color w:val="000000" w:themeColor="text1"/>
                <w:sz w:val="24"/>
                <w:szCs w:val="24"/>
              </w:rPr>
              <w:t>。</w:t>
            </w:r>
          </w:p>
          <w:p w:rsidR="003E1D2A" w:rsidRPr="00687B52" w:rsidRDefault="003E1D2A" w:rsidP="00D9787F">
            <w:pPr>
              <w:numPr>
                <w:ilvl w:val="0"/>
                <w:numId w:val="94"/>
              </w:numPr>
              <w:rPr>
                <w:rFonts w:asciiTheme="minorEastAsia" w:hAnsiTheme="minorEastAsia"/>
                <w:color w:val="000000" w:themeColor="text1"/>
                <w:sz w:val="24"/>
                <w:szCs w:val="24"/>
              </w:rPr>
            </w:pPr>
            <w:r w:rsidRPr="00687B52">
              <w:rPr>
                <w:rFonts w:asciiTheme="minorEastAsia" w:hAnsiTheme="minorEastAsia" w:cs="Times New Roman"/>
                <w:color w:val="000000" w:themeColor="text1"/>
                <w:sz w:val="24"/>
                <w:szCs w:val="24"/>
              </w:rPr>
              <w:t>燃料气的加热炉应设长明灯，并宜设置火焰检测器。</w:t>
            </w:r>
          </w:p>
          <w:p w:rsidR="003E1D2A" w:rsidRPr="00687B52" w:rsidRDefault="003E1D2A" w:rsidP="00D9787F">
            <w:pPr>
              <w:numPr>
                <w:ilvl w:val="0"/>
                <w:numId w:val="94"/>
              </w:numPr>
              <w:rPr>
                <w:rFonts w:asciiTheme="minorEastAsia" w:hAnsiTheme="minorEastAsia"/>
                <w:color w:val="000000" w:themeColor="text1"/>
                <w:sz w:val="24"/>
                <w:szCs w:val="24"/>
              </w:rPr>
            </w:pPr>
            <w:r w:rsidRPr="00687B52">
              <w:rPr>
                <w:rFonts w:asciiTheme="minorEastAsia" w:hAnsiTheme="minorEastAsia" w:cs="Times New Roman"/>
                <w:color w:val="000000" w:themeColor="text1"/>
                <w:sz w:val="24"/>
                <w:szCs w:val="24"/>
              </w:rPr>
              <w:t>加热炉燃料气调节阀前的管道压力等于或小于0.4MPa，且无低压自动保护仪表时，应在每个燃料气调节阀与加热炉之间设阻火器。</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《石油化工设计防火规范》GB 50160-2008</w:t>
            </w:r>
          </w:p>
        </w:tc>
        <w:tc>
          <w:tcPr>
            <w:tcW w:w="1249" w:type="pct"/>
            <w:shd w:val="clear" w:color="auto" w:fill="auto"/>
            <w:vAlign w:val="center"/>
          </w:tcPr>
          <w:p w:rsidR="003E1D2A" w:rsidRPr="00687B52" w:rsidRDefault="003E1D2A" w:rsidP="003E1D2A">
            <w:pPr>
              <w:jc w:val="cente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89"/>
              </w:numPr>
              <w:ind w:left="0" w:firstLine="0"/>
              <w:jc w:val="center"/>
              <w:rPr>
                <w:rFonts w:asciiTheme="minorEastAsia" w:hAnsiTheme="minorEastAsia" w:cs="Times New Roman"/>
                <w:b/>
                <w:color w:val="000000" w:themeColor="text1"/>
                <w:sz w:val="24"/>
                <w:szCs w:val="24"/>
              </w:rPr>
            </w:pPr>
          </w:p>
        </w:tc>
        <w:tc>
          <w:tcPr>
            <w:tcW w:w="2351" w:type="pct"/>
            <w:shd w:val="clear" w:color="auto" w:fill="auto"/>
            <w:vAlign w:val="center"/>
          </w:tcPr>
          <w:p w:rsidR="003E1D2A" w:rsidRPr="00687B52" w:rsidRDefault="003E1D2A" w:rsidP="003E1D2A">
            <w:pPr>
              <w:spacing w:line="36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容器中盛装易燃、易爆危险性介质和毒性程度为中度、高度、极度介质时，不允许选用玻璃管液面计和玻璃浮子液面计。</w:t>
            </w:r>
          </w:p>
        </w:tc>
        <w:tc>
          <w:tcPr>
            <w:tcW w:w="1029" w:type="pct"/>
            <w:shd w:val="clear" w:color="auto" w:fill="auto"/>
            <w:vAlign w:val="center"/>
          </w:tcPr>
          <w:p w:rsidR="003E1D2A" w:rsidRPr="00687B52" w:rsidRDefault="003E1D2A" w:rsidP="003E1D2A">
            <w:pPr>
              <w:spacing w:line="36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《钢制化工容器结构设计规定》HG/T20583-2011</w:t>
            </w:r>
          </w:p>
          <w:p w:rsidR="003E1D2A" w:rsidRPr="00687B52" w:rsidRDefault="003E1D2A" w:rsidP="003E1D2A">
            <w:pPr>
              <w:spacing w:line="36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第10.1.3条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613881">
            <w:pPr>
              <w:jc w:val="center"/>
              <w:rPr>
                <w:rFonts w:asciiTheme="minorEastAsia" w:hAnsiTheme="minorEastAsia" w:cs="Times New Roman"/>
                <w:b/>
                <w:color w:val="000000" w:themeColor="text1"/>
                <w:sz w:val="24"/>
                <w:szCs w:val="24"/>
              </w:rPr>
            </w:pPr>
            <w:r w:rsidRPr="00687B52">
              <w:rPr>
                <w:rFonts w:asciiTheme="minorEastAsia" w:hAnsiTheme="minorEastAsia" w:cs="Times New Roman"/>
                <w:b/>
                <w:color w:val="000000" w:themeColor="text1"/>
                <w:sz w:val="24"/>
                <w:szCs w:val="24"/>
              </w:rPr>
              <w:t>2.</w:t>
            </w:r>
            <w:r w:rsidRPr="00687B52">
              <w:rPr>
                <w:rFonts w:asciiTheme="minorEastAsia" w:hAnsiTheme="minorEastAsia" w:cs="Times New Roman" w:hint="eastAsia"/>
                <w:b/>
                <w:color w:val="000000" w:themeColor="text1"/>
                <w:sz w:val="24"/>
                <w:szCs w:val="24"/>
              </w:rPr>
              <w:t>3</w:t>
            </w:r>
          </w:p>
        </w:tc>
        <w:tc>
          <w:tcPr>
            <w:tcW w:w="2351" w:type="pct"/>
            <w:shd w:val="clear" w:color="auto" w:fill="auto"/>
            <w:vAlign w:val="center"/>
          </w:tcPr>
          <w:p w:rsidR="003E1D2A" w:rsidRPr="00687B52" w:rsidRDefault="003E1D2A" w:rsidP="003E1D2A">
            <w:pPr>
              <w:jc w:val="left"/>
              <w:rPr>
                <w:rFonts w:asciiTheme="minorEastAsia" w:hAnsiTheme="minorEastAsia" w:cs="Times New Roman"/>
                <w:b/>
                <w:color w:val="000000" w:themeColor="text1"/>
                <w:sz w:val="24"/>
                <w:szCs w:val="24"/>
              </w:rPr>
            </w:pPr>
            <w:r w:rsidRPr="00687B52">
              <w:rPr>
                <w:rFonts w:asciiTheme="minorEastAsia" w:hAnsiTheme="minorEastAsia" w:cs="Times New Roman"/>
                <w:b/>
                <w:color w:val="000000" w:themeColor="text1"/>
                <w:sz w:val="24"/>
                <w:szCs w:val="24"/>
              </w:rPr>
              <w:t>管道</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90"/>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管线敷设方式，可根据管道内介质的性质、地形、生产安全、交通运输、施工、检修等因素综合确定，并应符合下列规定：</w:t>
            </w:r>
          </w:p>
          <w:p w:rsidR="003E1D2A" w:rsidRPr="00687B52" w:rsidRDefault="003E1D2A" w:rsidP="00D9787F">
            <w:pPr>
              <w:numPr>
                <w:ilvl w:val="0"/>
                <w:numId w:val="102"/>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有可燃性、爆炸危险性、毒性及腐蚀性介质的管道，应采用地上敷设。</w:t>
            </w:r>
          </w:p>
          <w:p w:rsidR="003E1D2A" w:rsidRPr="00687B52" w:rsidRDefault="003E1D2A" w:rsidP="00D9787F">
            <w:pPr>
              <w:numPr>
                <w:ilvl w:val="0"/>
                <w:numId w:val="102"/>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有条件的管线宜采用共架或共沟敷设。</w:t>
            </w:r>
          </w:p>
          <w:p w:rsidR="003E1D2A" w:rsidRPr="00687B52" w:rsidRDefault="003E1D2A" w:rsidP="00D9787F">
            <w:pPr>
              <w:numPr>
                <w:ilvl w:val="0"/>
                <w:numId w:val="102"/>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在散发比空气重的可燃、有毒性气体的场所，不宜采用管沟敷设，否则应采取防止气体积聚和沿沟扩散的措施。</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《化工企业总图运输设计规范》GB50489-2009</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第7.1.2条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90"/>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具有可燃性、爆炸危险性及有毒性介质的管道，不应穿越与其无关的建筑物、构筑物、生产装置、辅助生产及仓储设施、贮罐区等。</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《工业企业总平面设计规范》GB50187-2012</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第8.1.7条</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《化工企业总图运输设计规范》GB50489-2009</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第7.1.4条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90"/>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 xml:space="preserve">地下管线不应敷设在有腐蚀性物料的包装或灌装、堆存及装卸场地的下面，并应符合下列要求： </w:t>
            </w:r>
          </w:p>
          <w:p w:rsidR="003E1D2A" w:rsidRPr="00687B52" w:rsidRDefault="003E1D2A" w:rsidP="00D9787F">
            <w:pPr>
              <w:numPr>
                <w:ilvl w:val="0"/>
                <w:numId w:val="9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地下管线距有腐蚀性物料的包装或灌装、 堆存及装卸场地的边界水平距离不应 小于 2m；</w:t>
            </w:r>
          </w:p>
          <w:p w:rsidR="003E1D2A" w:rsidRPr="00687B52" w:rsidRDefault="003E1D2A" w:rsidP="00D9787F">
            <w:pPr>
              <w:numPr>
                <w:ilvl w:val="0"/>
                <w:numId w:val="95"/>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应避免布置在有腐蚀性物料的包装或灌装、堆存及装卸场地地下水的下游，当不可避免时，其距离不应小于 4m。</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《工业企业总平面设计规范》GB50187-2012</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第8.2.7条</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《化工企业总图运输设计规范》GB50489-2009</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第7.2.5条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90"/>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管线共沟敷设，应符合下列要求：热力管道不应与电力、通信电缆和压力管道共沟。</w:t>
            </w:r>
          </w:p>
          <w:p w:rsidR="003E1D2A" w:rsidRPr="00687B52" w:rsidRDefault="003E1D2A" w:rsidP="00D9787F">
            <w:pPr>
              <w:numPr>
                <w:ilvl w:val="0"/>
                <w:numId w:val="96"/>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排水管道应布置在沟底。当沟内有腐蚀性介质管道时，排水管道应位于其上面。腐蚀性介质管道的标高，应低于沟内其他管线。</w:t>
            </w:r>
          </w:p>
          <w:p w:rsidR="003E1D2A" w:rsidRPr="00687B52" w:rsidRDefault="003E1D2A" w:rsidP="00D9787F">
            <w:pPr>
              <w:numPr>
                <w:ilvl w:val="0"/>
                <w:numId w:val="96"/>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凡有可能产生相互有害影响的管线，不应共沟敷设。共沟敷设的地下管沟外壁与地下建筑物、构筑物基础的水平距离，应满足施工要求；与乔木的最小水平距离宜为 3m，与灌木的最小水平距离宜为 2m。</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《化工企业总图运输设计规范》GB50489-2009</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第7.2.7条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90"/>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spacing w:line="30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工业管道的识别符号由物质名称、流向和主要工艺参数等组成，其标识应符合5.1～5.4的要求。管道内的物质，凡属于GB13690 所列的危险化学品，其管道应设置危险标识。工业生产中设置的消防专用管道应遵守 GB13495的规定，并在管道上标识“消防专用”识别符号。</w:t>
            </w:r>
          </w:p>
        </w:tc>
        <w:tc>
          <w:tcPr>
            <w:tcW w:w="1029" w:type="pct"/>
            <w:shd w:val="clear" w:color="auto" w:fill="auto"/>
            <w:vAlign w:val="center"/>
          </w:tcPr>
          <w:p w:rsidR="003E1D2A" w:rsidRPr="00687B52" w:rsidRDefault="003E1D2A" w:rsidP="003E1D2A">
            <w:pPr>
              <w:spacing w:line="30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《工业管道的基本识别色、识别符号和安全标识》GB7231-2003</w:t>
            </w:r>
          </w:p>
          <w:p w:rsidR="003E1D2A" w:rsidRPr="00687B52" w:rsidRDefault="003E1D2A" w:rsidP="003E1D2A">
            <w:pPr>
              <w:spacing w:line="30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第5节、第6节</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90"/>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spacing w:line="30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蒸汽管道、物料管道、导热油等超过50℃的输送管道均应设置金属外护隔热保护层，并标出介质名称和流向。</w:t>
            </w:r>
          </w:p>
        </w:tc>
        <w:tc>
          <w:tcPr>
            <w:tcW w:w="1029" w:type="pct"/>
            <w:shd w:val="clear" w:color="auto" w:fill="auto"/>
            <w:vAlign w:val="center"/>
          </w:tcPr>
          <w:p w:rsidR="003E1D2A" w:rsidRPr="00687B52" w:rsidRDefault="003E1D2A" w:rsidP="003E1D2A">
            <w:pPr>
              <w:spacing w:line="30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 xml:space="preserve">《化工设备、管道外防腐设计规定》HG/T20679-90   </w:t>
            </w:r>
          </w:p>
          <w:p w:rsidR="003E1D2A" w:rsidRPr="00687B52" w:rsidRDefault="003E1D2A" w:rsidP="003E1D2A">
            <w:pPr>
              <w:spacing w:line="30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第3.3.7 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613881">
            <w:pPr>
              <w:jc w:val="center"/>
              <w:rPr>
                <w:rFonts w:asciiTheme="minorEastAsia" w:hAnsiTheme="minorEastAsia" w:cs="Times New Roman"/>
                <w:b/>
                <w:color w:val="000000" w:themeColor="text1"/>
                <w:sz w:val="24"/>
                <w:szCs w:val="24"/>
              </w:rPr>
            </w:pPr>
            <w:r w:rsidRPr="00687B52">
              <w:rPr>
                <w:rFonts w:asciiTheme="minorEastAsia" w:hAnsiTheme="minorEastAsia" w:cs="Times New Roman" w:hint="eastAsia"/>
                <w:b/>
                <w:color w:val="000000" w:themeColor="text1"/>
                <w:sz w:val="24"/>
                <w:szCs w:val="24"/>
              </w:rPr>
              <w:t>2.4</w:t>
            </w:r>
          </w:p>
        </w:tc>
        <w:tc>
          <w:tcPr>
            <w:tcW w:w="2351" w:type="pct"/>
            <w:shd w:val="clear" w:color="auto" w:fill="auto"/>
            <w:vAlign w:val="center"/>
          </w:tcPr>
          <w:p w:rsidR="003E1D2A" w:rsidRPr="00687B52" w:rsidRDefault="003E1D2A" w:rsidP="003E1D2A">
            <w:pPr>
              <w:spacing w:line="300" w:lineRule="exact"/>
              <w:rPr>
                <w:rFonts w:asciiTheme="minorEastAsia" w:hAnsiTheme="minorEastAsia" w:cs="Times New Roman"/>
                <w:b/>
                <w:color w:val="000000" w:themeColor="text1"/>
                <w:sz w:val="24"/>
                <w:szCs w:val="24"/>
              </w:rPr>
            </w:pPr>
            <w:r w:rsidRPr="00687B52">
              <w:rPr>
                <w:rFonts w:asciiTheme="minorEastAsia" w:hAnsiTheme="minorEastAsia" w:cs="Times New Roman"/>
                <w:b/>
                <w:color w:val="000000" w:themeColor="text1"/>
                <w:sz w:val="24"/>
                <w:szCs w:val="24"/>
              </w:rPr>
              <w:t>储罐区</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97"/>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spacing w:line="30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防火堤、防护墙应采用不燃烧材料建造，且必须密实、闭合、不泄漏。</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《储罐区防火堤设计规范》GB50351-2014</w:t>
            </w:r>
          </w:p>
          <w:p w:rsidR="003E1D2A" w:rsidRPr="00687B52" w:rsidRDefault="003E1D2A" w:rsidP="003E1D2A">
            <w:pPr>
              <w:spacing w:line="24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第3.1.2条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97"/>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spacing w:line="30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每一储罐组的防火堤、防护墙应设置不少于2处越堤人行踏步或坡道，并应设置在不同方位上。隔堤、隔墙应设置人行踏步或坡道。</w:t>
            </w:r>
          </w:p>
        </w:tc>
        <w:tc>
          <w:tcPr>
            <w:tcW w:w="1029" w:type="pct"/>
            <w:shd w:val="clear" w:color="auto" w:fill="auto"/>
            <w:vAlign w:val="center"/>
          </w:tcPr>
          <w:p w:rsidR="003E1D2A" w:rsidRPr="00687B52" w:rsidRDefault="003E1D2A" w:rsidP="003E1D2A">
            <w:pPr>
              <w:spacing w:line="24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《储罐区防火堤设计规范》GB50351-2014</w:t>
            </w:r>
          </w:p>
          <w:p w:rsidR="003E1D2A" w:rsidRPr="00687B52" w:rsidRDefault="003E1D2A" w:rsidP="003E1D2A">
            <w:pPr>
              <w:spacing w:line="24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第3.1.7条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97"/>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spacing w:line="300" w:lineRule="exac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常压储罐放水管（排尽阀）应设双阀。</w:t>
            </w:r>
          </w:p>
        </w:tc>
        <w:tc>
          <w:tcPr>
            <w:tcW w:w="1029" w:type="pct"/>
            <w:shd w:val="clear" w:color="auto" w:fill="auto"/>
            <w:vAlign w:val="center"/>
          </w:tcPr>
          <w:p w:rsidR="003E1D2A" w:rsidRPr="00687B52" w:rsidRDefault="003E1D2A" w:rsidP="003E1D2A">
            <w:pPr>
              <w:spacing w:line="24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《石油化工储运系统罐区设计规范》SHT3007-2007</w:t>
            </w:r>
          </w:p>
          <w:p w:rsidR="003E1D2A" w:rsidRPr="00687B52" w:rsidRDefault="003E1D2A" w:rsidP="003E1D2A">
            <w:pPr>
              <w:spacing w:line="240" w:lineRule="exact"/>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第5.4.8条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613881">
            <w:pPr>
              <w:jc w:val="center"/>
              <w:rPr>
                <w:rFonts w:asciiTheme="minorEastAsia" w:hAnsiTheme="minorEastAsia" w:cs="Times New Roman"/>
                <w:b/>
                <w:color w:val="000000" w:themeColor="text1"/>
                <w:sz w:val="24"/>
                <w:szCs w:val="24"/>
              </w:rPr>
            </w:pPr>
            <w:r w:rsidRPr="00687B52">
              <w:rPr>
                <w:rFonts w:asciiTheme="minorEastAsia" w:hAnsiTheme="minorEastAsia" w:cs="Times New Roman" w:hint="eastAsia"/>
                <w:b/>
                <w:color w:val="000000" w:themeColor="text1"/>
                <w:sz w:val="24"/>
                <w:szCs w:val="24"/>
              </w:rPr>
              <w:t>2.5</w:t>
            </w:r>
          </w:p>
        </w:tc>
        <w:tc>
          <w:tcPr>
            <w:tcW w:w="2351" w:type="pct"/>
            <w:shd w:val="clear" w:color="auto" w:fill="auto"/>
            <w:vAlign w:val="center"/>
          </w:tcPr>
          <w:p w:rsidR="003E1D2A" w:rsidRPr="00687B52" w:rsidRDefault="003E1D2A" w:rsidP="003E1D2A">
            <w:pPr>
              <w:jc w:val="left"/>
              <w:rPr>
                <w:rFonts w:asciiTheme="minorEastAsia" w:hAnsiTheme="minorEastAsia" w:cs="Times New Roman"/>
                <w:b/>
                <w:color w:val="000000" w:themeColor="text1"/>
                <w:sz w:val="24"/>
                <w:szCs w:val="24"/>
              </w:rPr>
            </w:pPr>
            <w:r w:rsidRPr="00687B52">
              <w:rPr>
                <w:rFonts w:asciiTheme="minorEastAsia" w:hAnsiTheme="minorEastAsia" w:cs="Times New Roman"/>
                <w:b/>
                <w:color w:val="000000" w:themeColor="text1"/>
                <w:sz w:val="24"/>
                <w:szCs w:val="24"/>
              </w:rPr>
              <w:t>仓库</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91"/>
              </w:numPr>
              <w:ind w:left="0" w:firstLine="0"/>
              <w:jc w:val="center"/>
              <w:rPr>
                <w:rFonts w:asciiTheme="minorEastAsia" w:hAnsiTheme="minorEastAsia" w:cs="Times New Roman"/>
                <w:b/>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库房应干燥、易于通风、密闭和避光。</w:t>
            </w:r>
            <w:r w:rsidRPr="00687B52">
              <w:rPr>
                <w:rFonts w:asciiTheme="minorEastAsia" w:hAnsiTheme="minorEastAsia" w:cs="Times New Roman" w:hint="eastAsia"/>
                <w:color w:val="000000" w:themeColor="text1"/>
                <w:sz w:val="24"/>
                <w:szCs w:val="24"/>
              </w:rPr>
              <w:t>储存物</w:t>
            </w:r>
            <w:r w:rsidRPr="00687B52">
              <w:rPr>
                <w:rFonts w:asciiTheme="minorEastAsia" w:hAnsiTheme="minorEastAsia" w:cs="Times New Roman"/>
                <w:color w:val="000000" w:themeColor="text1"/>
                <w:sz w:val="24"/>
                <w:szCs w:val="24"/>
              </w:rPr>
              <w:t>品应避免阳光直射、远离火源、热源、电源及产生火花的环境。</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《易燃易爆性商品储藏养护技术条件》GB17914-2013</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第3.2条</w:t>
            </w:r>
            <w:r w:rsidRPr="00687B52">
              <w:rPr>
                <w:rFonts w:asciiTheme="minorEastAsia" w:hAnsiTheme="minorEastAsia" w:cs="Times New Roman" w:hint="eastAsia"/>
                <w:color w:val="000000" w:themeColor="text1"/>
                <w:sz w:val="24"/>
                <w:szCs w:val="24"/>
              </w:rPr>
              <w:t>、</w:t>
            </w:r>
            <w:r w:rsidRPr="00687B52">
              <w:rPr>
                <w:rFonts w:asciiTheme="minorEastAsia" w:hAnsiTheme="minorEastAsia" w:cs="Times New Roman"/>
                <w:color w:val="000000" w:themeColor="text1"/>
                <w:sz w:val="24"/>
                <w:szCs w:val="24"/>
              </w:rPr>
              <w:t>第4.3.1条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91"/>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以下物质</w:t>
            </w:r>
            <w:r w:rsidRPr="00687B52">
              <w:rPr>
                <w:rFonts w:asciiTheme="minorEastAsia" w:hAnsiTheme="minorEastAsia" w:cs="Times New Roman"/>
                <w:color w:val="000000" w:themeColor="text1"/>
                <w:sz w:val="24"/>
                <w:szCs w:val="24"/>
              </w:rPr>
              <w:t>应专库</w:t>
            </w:r>
            <w:r w:rsidRPr="00687B52">
              <w:rPr>
                <w:rFonts w:asciiTheme="minorEastAsia" w:hAnsiTheme="minorEastAsia" w:cs="Times New Roman" w:hint="eastAsia"/>
                <w:color w:val="000000" w:themeColor="text1"/>
                <w:sz w:val="24"/>
                <w:szCs w:val="24"/>
              </w:rPr>
              <w:t>或分库</w:t>
            </w:r>
            <w:r w:rsidRPr="00687B52">
              <w:rPr>
                <w:rFonts w:asciiTheme="minorEastAsia" w:hAnsiTheme="minorEastAsia" w:cs="Times New Roman"/>
                <w:color w:val="000000" w:themeColor="text1"/>
                <w:sz w:val="24"/>
                <w:szCs w:val="24"/>
              </w:rPr>
              <w:t>储存：</w:t>
            </w:r>
          </w:p>
          <w:p w:rsidR="003E1D2A" w:rsidRPr="00687B52" w:rsidRDefault="003E1D2A" w:rsidP="00D9787F">
            <w:pPr>
              <w:numPr>
                <w:ilvl w:val="0"/>
                <w:numId w:val="103"/>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爆炸品：黑色火药类、爆炸性化合物应专库储存；</w:t>
            </w:r>
          </w:p>
          <w:p w:rsidR="003E1D2A" w:rsidRPr="00687B52" w:rsidRDefault="003E1D2A" w:rsidP="00D9787F">
            <w:pPr>
              <w:numPr>
                <w:ilvl w:val="0"/>
                <w:numId w:val="103"/>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压缩气体和液化气体应专库储存：</w:t>
            </w:r>
          </w:p>
          <w:p w:rsidR="003E1D2A" w:rsidRPr="00687B52" w:rsidRDefault="003E1D2A" w:rsidP="00D9787F">
            <w:pPr>
              <w:numPr>
                <w:ilvl w:val="0"/>
                <w:numId w:val="103"/>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易燃气体、助燃气体和有毒气体应专库储存；</w:t>
            </w:r>
          </w:p>
          <w:p w:rsidR="003E1D2A" w:rsidRPr="00687B52" w:rsidRDefault="003E1D2A" w:rsidP="00D9787F">
            <w:pPr>
              <w:numPr>
                <w:ilvl w:val="0"/>
                <w:numId w:val="103"/>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遇湿易燃</w:t>
            </w:r>
            <w:r w:rsidRPr="00687B52">
              <w:rPr>
                <w:rFonts w:asciiTheme="minorEastAsia" w:hAnsiTheme="minorEastAsia" w:cs="Times New Roman" w:hint="eastAsia"/>
                <w:color w:val="000000" w:themeColor="text1"/>
                <w:sz w:val="24"/>
                <w:szCs w:val="24"/>
              </w:rPr>
              <w:t>物品</w:t>
            </w:r>
            <w:r w:rsidRPr="00687B52">
              <w:rPr>
                <w:rFonts w:asciiTheme="minorEastAsia" w:hAnsiTheme="minorEastAsia" w:cs="Times New Roman"/>
                <w:color w:val="000000" w:themeColor="text1"/>
                <w:sz w:val="24"/>
                <w:szCs w:val="24"/>
              </w:rPr>
              <w:t>应专库储存；</w:t>
            </w:r>
          </w:p>
          <w:p w:rsidR="003E1D2A" w:rsidRPr="00687B52" w:rsidRDefault="003E1D2A" w:rsidP="00D9787F">
            <w:pPr>
              <w:numPr>
                <w:ilvl w:val="0"/>
                <w:numId w:val="103"/>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易燃液体可同库储存；但灭火方法不同的商品应分库储存；</w:t>
            </w:r>
          </w:p>
          <w:p w:rsidR="003E1D2A" w:rsidRPr="00687B52" w:rsidRDefault="003E1D2A" w:rsidP="00D9787F">
            <w:pPr>
              <w:numPr>
                <w:ilvl w:val="0"/>
                <w:numId w:val="103"/>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易燃固体可同库储存；但乳发剂H与酸或酸性商品应分库储存；</w:t>
            </w:r>
          </w:p>
          <w:p w:rsidR="003E1D2A" w:rsidRPr="00687B52" w:rsidRDefault="003E1D2A" w:rsidP="00D9787F">
            <w:pPr>
              <w:numPr>
                <w:ilvl w:val="0"/>
                <w:numId w:val="103"/>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硝酸纤维素酯、安全火柴、红磷及硫化磷、铝粉等应分</w:t>
            </w:r>
            <w:r w:rsidRPr="00687B52">
              <w:rPr>
                <w:rFonts w:asciiTheme="minorEastAsia" w:hAnsiTheme="minorEastAsia" w:cs="Times New Roman" w:hint="eastAsia"/>
                <w:color w:val="000000" w:themeColor="text1"/>
                <w:sz w:val="24"/>
                <w:szCs w:val="24"/>
              </w:rPr>
              <w:t>库</w:t>
            </w:r>
            <w:r w:rsidRPr="00687B52">
              <w:rPr>
                <w:rFonts w:asciiTheme="minorEastAsia" w:hAnsiTheme="minorEastAsia" w:cs="Times New Roman"/>
                <w:color w:val="000000" w:themeColor="text1"/>
                <w:sz w:val="24"/>
                <w:szCs w:val="24"/>
              </w:rPr>
              <w:t>储存；</w:t>
            </w:r>
          </w:p>
          <w:p w:rsidR="003E1D2A" w:rsidRPr="00687B52" w:rsidRDefault="003E1D2A" w:rsidP="00D9787F">
            <w:pPr>
              <w:numPr>
                <w:ilvl w:val="0"/>
                <w:numId w:val="103"/>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黄磷、烃基金属化合物</w:t>
            </w:r>
            <w:r w:rsidRPr="00687B52">
              <w:rPr>
                <w:rFonts w:asciiTheme="minorEastAsia" w:hAnsiTheme="minorEastAsia" w:cs="Times New Roman" w:hint="eastAsia"/>
                <w:color w:val="000000" w:themeColor="text1"/>
                <w:sz w:val="24"/>
                <w:szCs w:val="24"/>
              </w:rPr>
              <w:t>等</w:t>
            </w:r>
            <w:r w:rsidRPr="00687B52">
              <w:rPr>
                <w:rFonts w:asciiTheme="minorEastAsia" w:hAnsiTheme="minorEastAsia" w:cs="Times New Roman"/>
                <w:color w:val="000000" w:themeColor="text1"/>
                <w:sz w:val="24"/>
                <w:szCs w:val="24"/>
              </w:rPr>
              <w:t>自</w:t>
            </w:r>
            <w:r w:rsidRPr="00687B52">
              <w:rPr>
                <w:rFonts w:asciiTheme="minorEastAsia" w:hAnsiTheme="minorEastAsia" w:cs="Times New Roman" w:hint="eastAsia"/>
                <w:color w:val="000000" w:themeColor="text1"/>
                <w:sz w:val="24"/>
                <w:szCs w:val="24"/>
              </w:rPr>
              <w:t>燃</w:t>
            </w:r>
            <w:r w:rsidRPr="00687B52">
              <w:rPr>
                <w:rFonts w:asciiTheme="minorEastAsia" w:hAnsiTheme="minorEastAsia" w:cs="Times New Roman"/>
                <w:color w:val="000000" w:themeColor="text1"/>
                <w:sz w:val="24"/>
                <w:szCs w:val="24"/>
              </w:rPr>
              <w:t>品应分库储存；</w:t>
            </w:r>
          </w:p>
          <w:p w:rsidR="003E1D2A" w:rsidRPr="00687B52" w:rsidRDefault="003E1D2A" w:rsidP="00D9787F">
            <w:pPr>
              <w:numPr>
                <w:ilvl w:val="0"/>
                <w:numId w:val="103"/>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 xml:space="preserve">氧化剂和有机过氧化物，一、二级无机氧化剂与一、二级有机氧化剂应分库储存； </w:t>
            </w:r>
          </w:p>
          <w:p w:rsidR="003E1D2A" w:rsidRPr="00687B52" w:rsidRDefault="003E1D2A" w:rsidP="00D9787F">
            <w:pPr>
              <w:numPr>
                <w:ilvl w:val="0"/>
                <w:numId w:val="103"/>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各类危险品不得与禁忌物料混合贮存</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《易燃易爆性商品储藏养护技术条件》GB17914-2013</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第4.3.2条</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《常用化学危险品贮存通则》GB 15603-1995第4.8条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91"/>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易燃易爆物品仓库的</w:t>
            </w:r>
            <w:r w:rsidRPr="00687B52">
              <w:rPr>
                <w:rFonts w:asciiTheme="minorEastAsia" w:hAnsiTheme="minorEastAsia" w:cs="Times New Roman"/>
                <w:color w:val="000000" w:themeColor="text1"/>
                <w:sz w:val="24"/>
                <w:szCs w:val="24"/>
              </w:rPr>
              <w:t>各种</w:t>
            </w:r>
            <w:r w:rsidRPr="00687B52">
              <w:rPr>
                <w:rFonts w:asciiTheme="minorEastAsia" w:hAnsiTheme="minorEastAsia" w:cs="Times New Roman" w:hint="eastAsia"/>
                <w:color w:val="000000" w:themeColor="text1"/>
                <w:sz w:val="24"/>
                <w:szCs w:val="24"/>
              </w:rPr>
              <w:t>物品</w:t>
            </w:r>
            <w:r w:rsidRPr="00687B52">
              <w:rPr>
                <w:rFonts w:asciiTheme="minorEastAsia" w:hAnsiTheme="minorEastAsia" w:cs="Times New Roman"/>
                <w:color w:val="000000" w:themeColor="text1"/>
                <w:sz w:val="24"/>
                <w:szCs w:val="24"/>
              </w:rPr>
              <w:t>（气瓶装除外）不应直接落地存放，一般应垫15cm以上。遇湿易燃物品、易吸潮溶化和吸潮分解的商品应适当增加下垫高度。</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《易燃易爆性商品储藏养护技术条件》GB17914-2013</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第6.1.2条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vMerge w:val="restart"/>
            <w:shd w:val="clear" w:color="auto" w:fill="auto"/>
            <w:vAlign w:val="center"/>
          </w:tcPr>
          <w:p w:rsidR="003E1D2A" w:rsidRPr="00687B52" w:rsidRDefault="003E1D2A" w:rsidP="00D9787F">
            <w:pPr>
              <w:numPr>
                <w:ilvl w:val="0"/>
                <w:numId w:val="91"/>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易燃易爆物品仓库</w:t>
            </w:r>
            <w:r w:rsidRPr="00687B52">
              <w:rPr>
                <w:rFonts w:asciiTheme="minorEastAsia" w:hAnsiTheme="minorEastAsia" w:cs="Times New Roman"/>
                <w:color w:val="000000" w:themeColor="text1"/>
                <w:sz w:val="24"/>
                <w:szCs w:val="24"/>
              </w:rPr>
              <w:t>应玛行列式压缝货垛，做到牢固、整齐、美观，出入库方便，一般垛高不应超过3m。</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《易燃易爆性商品储藏养护技术条件》GB17914-2013</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第6.1.3条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vMerge/>
            <w:shd w:val="clear" w:color="auto" w:fill="auto"/>
            <w:vAlign w:val="center"/>
          </w:tcPr>
          <w:p w:rsidR="003E1D2A" w:rsidRPr="00687B52" w:rsidRDefault="003E1D2A" w:rsidP="00D9787F">
            <w:pPr>
              <w:numPr>
                <w:ilvl w:val="0"/>
                <w:numId w:val="91"/>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易燃易爆物品仓库</w:t>
            </w:r>
            <w:r w:rsidRPr="00687B52">
              <w:rPr>
                <w:rFonts w:asciiTheme="minorEastAsia" w:hAnsiTheme="minorEastAsia" w:cs="Times New Roman"/>
                <w:color w:val="000000" w:themeColor="text1"/>
                <w:sz w:val="24"/>
                <w:szCs w:val="24"/>
              </w:rPr>
              <w:t>堆垛间距：</w:t>
            </w:r>
          </w:p>
          <w:p w:rsidR="003E1D2A" w:rsidRPr="00687B52" w:rsidRDefault="003E1D2A" w:rsidP="00D9787F">
            <w:pPr>
              <w:numPr>
                <w:ilvl w:val="0"/>
                <w:numId w:val="104"/>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主通道大于等于180cm；</w:t>
            </w:r>
          </w:p>
          <w:p w:rsidR="003E1D2A" w:rsidRPr="00687B52" w:rsidRDefault="003E1D2A" w:rsidP="00D9787F">
            <w:pPr>
              <w:numPr>
                <w:ilvl w:val="0"/>
                <w:numId w:val="104"/>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支通道大于等于80cm；</w:t>
            </w:r>
          </w:p>
          <w:p w:rsidR="003E1D2A" w:rsidRPr="00687B52" w:rsidRDefault="003E1D2A" w:rsidP="00D9787F">
            <w:pPr>
              <w:numPr>
                <w:ilvl w:val="0"/>
                <w:numId w:val="104"/>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墙距大于等于30cm；</w:t>
            </w:r>
          </w:p>
          <w:p w:rsidR="003E1D2A" w:rsidRPr="00687B52" w:rsidRDefault="003E1D2A" w:rsidP="00D9787F">
            <w:pPr>
              <w:numPr>
                <w:ilvl w:val="0"/>
                <w:numId w:val="104"/>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柱距大于等于10cm；</w:t>
            </w:r>
          </w:p>
          <w:p w:rsidR="003E1D2A" w:rsidRPr="00687B52" w:rsidRDefault="003E1D2A" w:rsidP="00D9787F">
            <w:pPr>
              <w:numPr>
                <w:ilvl w:val="0"/>
                <w:numId w:val="104"/>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垛距大于等于10cm；</w:t>
            </w:r>
          </w:p>
          <w:p w:rsidR="003E1D2A" w:rsidRPr="00687B52" w:rsidRDefault="003E1D2A" w:rsidP="00D9787F">
            <w:pPr>
              <w:numPr>
                <w:ilvl w:val="0"/>
                <w:numId w:val="104"/>
              </w:num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顶距大于等于50cm。</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《易燃易爆性商品储藏养护技术条件》GB17914-2013</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第6.2条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91"/>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易燃易爆物品仓库</w:t>
            </w:r>
            <w:r w:rsidRPr="00687B52">
              <w:rPr>
                <w:rFonts w:asciiTheme="minorEastAsia" w:hAnsiTheme="minorEastAsia" w:cs="Times New Roman"/>
                <w:color w:val="000000" w:themeColor="text1"/>
                <w:sz w:val="24"/>
                <w:szCs w:val="24"/>
              </w:rPr>
              <w:t>各项操作不应使用能产生火花的工具，不应使用叉车搬运、装卸压缩和液化的气体钢瓶，热源与火源应远离作业现场。</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《易燃易爆性商品储藏养护技术条件》GB17914-2013</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第8.4条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91"/>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易燃易爆物品仓库</w:t>
            </w:r>
            <w:r w:rsidRPr="00687B52">
              <w:rPr>
                <w:rFonts w:asciiTheme="minorEastAsia" w:hAnsiTheme="minorEastAsia" w:cs="Times New Roman"/>
                <w:color w:val="000000" w:themeColor="text1"/>
                <w:sz w:val="24"/>
                <w:szCs w:val="24"/>
              </w:rPr>
              <w:t>内不应进行分装、改装，开箱、开桶、验收等，以上活动应在库房外进行。</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《易燃易爆性商品储藏养护技术条件》GB17914-2013</w:t>
            </w:r>
          </w:p>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第7.5条</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3E1D2A" w:rsidRPr="00687B52" w:rsidTr="0007330F">
        <w:tc>
          <w:tcPr>
            <w:tcW w:w="371" w:type="pct"/>
            <w:shd w:val="clear" w:color="auto" w:fill="auto"/>
            <w:vAlign w:val="center"/>
          </w:tcPr>
          <w:p w:rsidR="003E1D2A" w:rsidRPr="00687B52" w:rsidRDefault="003E1D2A" w:rsidP="00D9787F">
            <w:pPr>
              <w:numPr>
                <w:ilvl w:val="0"/>
                <w:numId w:val="91"/>
              </w:numPr>
              <w:ind w:left="0" w:firstLine="0"/>
              <w:jc w:val="center"/>
              <w:rPr>
                <w:rFonts w:asciiTheme="minorEastAsia" w:hAnsiTheme="minorEastAsia" w:cs="Times New Roman"/>
                <w:color w:val="000000" w:themeColor="text1"/>
                <w:sz w:val="24"/>
                <w:szCs w:val="24"/>
              </w:rPr>
            </w:pPr>
          </w:p>
        </w:tc>
        <w:tc>
          <w:tcPr>
            <w:tcW w:w="2351"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通过道路运输危险化学品的，托运人应当委托依法取得危险货物道路运输许可的企业承运。</w:t>
            </w:r>
          </w:p>
        </w:tc>
        <w:tc>
          <w:tcPr>
            <w:tcW w:w="1029" w:type="pct"/>
            <w:shd w:val="clear" w:color="auto" w:fill="auto"/>
            <w:vAlign w:val="center"/>
          </w:tcPr>
          <w:p w:rsidR="003E1D2A" w:rsidRPr="00687B52" w:rsidRDefault="003E1D2A"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color w:val="000000" w:themeColor="text1"/>
                <w:sz w:val="24"/>
                <w:szCs w:val="24"/>
              </w:rPr>
              <w:t>《危险化学品管理条例》第</w:t>
            </w:r>
            <w:r w:rsidRPr="00687B52">
              <w:rPr>
                <w:rFonts w:asciiTheme="minorEastAsia" w:hAnsiTheme="minorEastAsia" w:cs="Times New Roman" w:hint="eastAsia"/>
                <w:color w:val="000000" w:themeColor="text1"/>
                <w:sz w:val="24"/>
                <w:szCs w:val="24"/>
              </w:rPr>
              <w:t>46</w:t>
            </w:r>
            <w:r w:rsidRPr="00687B52">
              <w:rPr>
                <w:rFonts w:asciiTheme="minorEastAsia" w:hAnsiTheme="minorEastAsia" w:cs="Times New Roman"/>
                <w:color w:val="000000" w:themeColor="text1"/>
                <w:sz w:val="24"/>
                <w:szCs w:val="24"/>
              </w:rPr>
              <w:t xml:space="preserve">条　</w:t>
            </w:r>
          </w:p>
        </w:tc>
        <w:tc>
          <w:tcPr>
            <w:tcW w:w="1249" w:type="pct"/>
            <w:shd w:val="clear" w:color="auto" w:fill="auto"/>
            <w:vAlign w:val="center"/>
          </w:tcPr>
          <w:p w:rsidR="003E1D2A" w:rsidRPr="00687B52" w:rsidRDefault="003E1D2A" w:rsidP="003E1D2A">
            <w:pPr>
              <w:rPr>
                <w:rFonts w:asciiTheme="minorEastAsia" w:hAnsiTheme="minorEastAsia" w:cs="Times New Roman"/>
                <w:color w:val="000000" w:themeColor="text1"/>
                <w:sz w:val="24"/>
                <w:szCs w:val="24"/>
              </w:rPr>
            </w:pPr>
          </w:p>
        </w:tc>
      </w:tr>
      <w:tr w:rsidR="0020179A" w:rsidRPr="00687B52" w:rsidTr="0007330F">
        <w:tc>
          <w:tcPr>
            <w:tcW w:w="371" w:type="pct"/>
            <w:shd w:val="clear" w:color="auto" w:fill="auto"/>
            <w:vAlign w:val="center"/>
          </w:tcPr>
          <w:p w:rsidR="0020179A" w:rsidRPr="00687B52" w:rsidRDefault="00656820" w:rsidP="00925D4C">
            <w:pPr>
              <w:jc w:val="center"/>
              <w:rPr>
                <w:rFonts w:asciiTheme="minorEastAsia" w:hAnsiTheme="minorEastAsia" w:cs="Times New Roman"/>
                <w:b/>
                <w:color w:val="000000" w:themeColor="text1"/>
                <w:sz w:val="24"/>
                <w:szCs w:val="24"/>
              </w:rPr>
            </w:pPr>
            <w:r w:rsidRPr="00687B52">
              <w:rPr>
                <w:rFonts w:asciiTheme="minorEastAsia" w:hAnsiTheme="minorEastAsia" w:cs="Times New Roman" w:hint="eastAsia"/>
                <w:b/>
                <w:color w:val="000000" w:themeColor="text1"/>
                <w:sz w:val="24"/>
                <w:szCs w:val="24"/>
              </w:rPr>
              <w:t>3</w:t>
            </w:r>
          </w:p>
        </w:tc>
        <w:tc>
          <w:tcPr>
            <w:tcW w:w="2351" w:type="pct"/>
            <w:shd w:val="clear" w:color="auto" w:fill="auto"/>
            <w:vAlign w:val="center"/>
          </w:tcPr>
          <w:p w:rsidR="0020179A" w:rsidRPr="00687B52" w:rsidRDefault="00656820" w:rsidP="003E1D2A">
            <w:pPr>
              <w:jc w:val="left"/>
              <w:rPr>
                <w:rFonts w:asciiTheme="minorEastAsia" w:hAnsiTheme="minorEastAsia" w:cs="Times New Roman"/>
                <w:b/>
                <w:color w:val="000000" w:themeColor="text1"/>
                <w:sz w:val="24"/>
                <w:szCs w:val="24"/>
              </w:rPr>
            </w:pPr>
            <w:r w:rsidRPr="00687B52">
              <w:rPr>
                <w:rFonts w:asciiTheme="minorEastAsia" w:hAnsiTheme="minorEastAsia" w:cs="Times New Roman" w:hint="eastAsia"/>
                <w:b/>
                <w:color w:val="000000" w:themeColor="text1"/>
                <w:sz w:val="24"/>
                <w:szCs w:val="24"/>
              </w:rPr>
              <w:t>炼焦</w:t>
            </w:r>
            <w:r w:rsidR="00925D4C" w:rsidRPr="00687B52">
              <w:rPr>
                <w:rFonts w:asciiTheme="minorEastAsia" w:hAnsiTheme="minorEastAsia" w:cs="Times New Roman" w:hint="eastAsia"/>
                <w:b/>
                <w:color w:val="000000" w:themeColor="text1"/>
                <w:sz w:val="24"/>
                <w:szCs w:val="24"/>
              </w:rPr>
              <w:t>企业</w:t>
            </w:r>
            <w:r w:rsidRPr="00687B52">
              <w:rPr>
                <w:rFonts w:asciiTheme="minorEastAsia" w:hAnsiTheme="minorEastAsia" w:cs="Times New Roman" w:hint="eastAsia"/>
                <w:b/>
                <w:color w:val="000000" w:themeColor="text1"/>
                <w:sz w:val="24"/>
                <w:szCs w:val="24"/>
              </w:rPr>
              <w:t>专项检查</w:t>
            </w:r>
          </w:p>
        </w:tc>
        <w:tc>
          <w:tcPr>
            <w:tcW w:w="1029" w:type="pct"/>
            <w:shd w:val="clear" w:color="auto" w:fill="auto"/>
            <w:vAlign w:val="center"/>
          </w:tcPr>
          <w:p w:rsidR="0020179A" w:rsidRPr="00687B52" w:rsidRDefault="0020179A" w:rsidP="003E1D2A">
            <w:pPr>
              <w:jc w:val="left"/>
              <w:rPr>
                <w:rFonts w:asciiTheme="minorEastAsia" w:hAnsiTheme="minorEastAsia" w:cs="Times New Roman"/>
                <w:color w:val="000000" w:themeColor="text1"/>
                <w:sz w:val="24"/>
                <w:szCs w:val="24"/>
              </w:rPr>
            </w:pPr>
          </w:p>
        </w:tc>
        <w:tc>
          <w:tcPr>
            <w:tcW w:w="1249" w:type="pct"/>
            <w:shd w:val="clear" w:color="auto" w:fill="auto"/>
            <w:vAlign w:val="center"/>
          </w:tcPr>
          <w:p w:rsidR="0020179A" w:rsidRPr="00687B52" w:rsidRDefault="0020179A" w:rsidP="003E1D2A">
            <w:pPr>
              <w:rPr>
                <w:rFonts w:asciiTheme="minorEastAsia" w:hAnsiTheme="minorEastAsia" w:cs="Times New Roman"/>
                <w:color w:val="000000" w:themeColor="text1"/>
                <w:sz w:val="24"/>
                <w:szCs w:val="24"/>
              </w:rPr>
            </w:pPr>
          </w:p>
        </w:tc>
      </w:tr>
      <w:tr w:rsidR="00925D4C" w:rsidRPr="00687B52" w:rsidTr="0007330F">
        <w:tc>
          <w:tcPr>
            <w:tcW w:w="371" w:type="pct"/>
            <w:shd w:val="clear" w:color="auto" w:fill="auto"/>
            <w:vAlign w:val="center"/>
          </w:tcPr>
          <w:p w:rsidR="00925D4C" w:rsidRPr="00687B52" w:rsidRDefault="00925D4C" w:rsidP="00925D4C">
            <w:pPr>
              <w:pStyle w:val="a7"/>
              <w:spacing w:line="380" w:lineRule="exact"/>
              <w:rPr>
                <w:rFonts w:asciiTheme="minorEastAsia" w:hAnsiTheme="minorEastAsia" w:cs="Times New Roman"/>
                <w:color w:val="000000" w:themeColor="text1"/>
                <w:szCs w:val="24"/>
              </w:rPr>
            </w:pPr>
            <w:r w:rsidRPr="00687B52">
              <w:rPr>
                <w:rFonts w:hint="eastAsia"/>
                <w:color w:val="000000" w:themeColor="text1"/>
                <w:szCs w:val="24"/>
              </w:rPr>
              <w:t>3.1</w:t>
            </w:r>
          </w:p>
        </w:tc>
        <w:tc>
          <w:tcPr>
            <w:tcW w:w="2351" w:type="pct"/>
            <w:shd w:val="clear" w:color="auto" w:fill="auto"/>
            <w:vAlign w:val="center"/>
          </w:tcPr>
          <w:p w:rsidR="00925D4C" w:rsidRPr="00687B52" w:rsidRDefault="00925D4C" w:rsidP="003E1D2A">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焦炉</w:t>
            </w:r>
          </w:p>
        </w:tc>
        <w:tc>
          <w:tcPr>
            <w:tcW w:w="1029" w:type="pct"/>
            <w:shd w:val="clear" w:color="auto" w:fill="auto"/>
            <w:vAlign w:val="center"/>
          </w:tcPr>
          <w:p w:rsidR="00925D4C" w:rsidRPr="00687B52" w:rsidRDefault="00925D4C" w:rsidP="003E1D2A">
            <w:pPr>
              <w:jc w:val="left"/>
              <w:rPr>
                <w:rFonts w:asciiTheme="minorEastAsia" w:hAnsiTheme="minorEastAsia" w:cs="Times New Roman"/>
                <w:color w:val="000000" w:themeColor="text1"/>
                <w:sz w:val="24"/>
                <w:szCs w:val="24"/>
              </w:rPr>
            </w:pPr>
          </w:p>
        </w:tc>
        <w:tc>
          <w:tcPr>
            <w:tcW w:w="1249" w:type="pct"/>
            <w:shd w:val="clear" w:color="auto" w:fill="auto"/>
            <w:vAlign w:val="center"/>
          </w:tcPr>
          <w:p w:rsidR="00925D4C" w:rsidRPr="00687B52" w:rsidRDefault="00925D4C"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925D4C">
            <w:pPr>
              <w:pStyle w:val="a7"/>
              <w:spacing w:line="380" w:lineRule="exact"/>
              <w:rPr>
                <w:color w:val="000000" w:themeColor="text1"/>
                <w:szCs w:val="24"/>
              </w:rPr>
            </w:pPr>
            <w:r w:rsidRPr="00687B52">
              <w:rPr>
                <w:rFonts w:hint="eastAsia"/>
                <w:color w:val="000000" w:themeColor="text1"/>
                <w:szCs w:val="24"/>
              </w:rPr>
              <w:t>3.1</w:t>
            </w:r>
            <w:r w:rsidR="00925D4C" w:rsidRPr="00687B52">
              <w:rPr>
                <w:rFonts w:hint="eastAsia"/>
                <w:color w:val="000000" w:themeColor="text1"/>
                <w:szCs w:val="24"/>
              </w:rPr>
              <w:t>.1</w:t>
            </w:r>
          </w:p>
        </w:tc>
        <w:tc>
          <w:tcPr>
            <w:tcW w:w="2351" w:type="pct"/>
            <w:shd w:val="clear" w:color="auto" w:fill="auto"/>
            <w:vAlign w:val="center"/>
          </w:tcPr>
          <w:p w:rsidR="00656820" w:rsidRPr="00687B52" w:rsidRDefault="00656820" w:rsidP="00656820">
            <w:pPr>
              <w:pStyle w:val="a7"/>
              <w:spacing w:line="380" w:lineRule="exact"/>
              <w:jc w:val="left"/>
              <w:rPr>
                <w:color w:val="000000" w:themeColor="text1"/>
                <w:szCs w:val="24"/>
              </w:rPr>
            </w:pPr>
            <w:r w:rsidRPr="00687B52">
              <w:rPr>
                <w:rFonts w:hint="eastAsia"/>
                <w:color w:val="000000" w:themeColor="text1"/>
                <w:szCs w:val="24"/>
              </w:rPr>
              <w:t>焦炉炉体</w:t>
            </w:r>
          </w:p>
        </w:tc>
        <w:tc>
          <w:tcPr>
            <w:tcW w:w="1029" w:type="pct"/>
            <w:shd w:val="clear" w:color="auto" w:fill="auto"/>
            <w:vAlign w:val="center"/>
          </w:tcPr>
          <w:p w:rsidR="00656820" w:rsidRPr="00687B52" w:rsidRDefault="00656820" w:rsidP="003E1D2A">
            <w:pPr>
              <w:jc w:val="left"/>
              <w:rPr>
                <w:rFonts w:asciiTheme="minorEastAsia" w:hAnsiTheme="minorEastAsia" w:cs="Times New Roman"/>
                <w:color w:val="000000" w:themeColor="text1"/>
                <w:sz w:val="24"/>
                <w:szCs w:val="24"/>
              </w:rPr>
            </w:pP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36"/>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焦炉宜采用双联火道、废气循环、焦炉煤气下喷、贫煤气和空气侧入的复热式焦炉炉体。对贫煤气和空气侧入的焦炉，可采用蓄热室不分格或分格下调两种结构。</w:t>
            </w:r>
          </w:p>
        </w:tc>
        <w:tc>
          <w:tcPr>
            <w:tcW w:w="1029" w:type="pct"/>
            <w:shd w:val="clear" w:color="auto" w:fill="auto"/>
            <w:vAlign w:val="center"/>
          </w:tcPr>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《炼焦工艺设计规范》</w:t>
            </w:r>
            <w:r w:rsidRPr="00687B52">
              <w:rPr>
                <w:rFonts w:asciiTheme="minorEastAsia" w:hAnsiTheme="minorEastAsia" w:cs="Times New Roman"/>
                <w:color w:val="000000" w:themeColor="text1"/>
                <w:sz w:val="24"/>
                <w:szCs w:val="24"/>
              </w:rPr>
              <w:t>GB50</w:t>
            </w:r>
            <w:r w:rsidRPr="00687B52">
              <w:rPr>
                <w:rFonts w:asciiTheme="minorEastAsia" w:hAnsiTheme="minorEastAsia" w:cs="Times New Roman" w:hint="eastAsia"/>
                <w:color w:val="000000" w:themeColor="text1"/>
                <w:sz w:val="24"/>
                <w:szCs w:val="24"/>
              </w:rPr>
              <w:t>432-2007第5.2.1条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925D4C" w:rsidP="00925D4C">
            <w:pPr>
              <w:pStyle w:val="a7"/>
              <w:spacing w:line="380" w:lineRule="exact"/>
              <w:rPr>
                <w:rFonts w:asciiTheme="minorEastAsia" w:hAnsiTheme="minorEastAsia" w:cs="Times New Roman"/>
                <w:color w:val="000000" w:themeColor="text1"/>
                <w:szCs w:val="24"/>
              </w:rPr>
            </w:pPr>
            <w:r w:rsidRPr="00687B52">
              <w:rPr>
                <w:rFonts w:hint="eastAsia"/>
                <w:color w:val="000000" w:themeColor="text1"/>
                <w:szCs w:val="24"/>
              </w:rPr>
              <w:t>3.1.2</w:t>
            </w:r>
          </w:p>
        </w:tc>
        <w:tc>
          <w:tcPr>
            <w:tcW w:w="2351" w:type="pct"/>
            <w:shd w:val="clear" w:color="auto" w:fill="auto"/>
            <w:vAlign w:val="center"/>
          </w:tcPr>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焦炉工艺布置</w:t>
            </w:r>
          </w:p>
        </w:tc>
        <w:tc>
          <w:tcPr>
            <w:tcW w:w="1029" w:type="pct"/>
            <w:shd w:val="clear" w:color="auto" w:fill="auto"/>
            <w:vAlign w:val="center"/>
          </w:tcPr>
          <w:p w:rsidR="00656820" w:rsidRPr="00687B52" w:rsidRDefault="00656820" w:rsidP="00925D4C">
            <w:pPr>
              <w:jc w:val="left"/>
              <w:rPr>
                <w:rFonts w:asciiTheme="minorEastAsia" w:hAnsiTheme="minorEastAsia" w:cs="Times New Roman"/>
                <w:color w:val="000000" w:themeColor="text1"/>
                <w:sz w:val="24"/>
                <w:szCs w:val="24"/>
              </w:rPr>
            </w:pP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37"/>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一个炉组宜由两座焦炉组成。</w:t>
            </w:r>
          </w:p>
        </w:tc>
        <w:tc>
          <w:tcPr>
            <w:tcW w:w="1029" w:type="pct"/>
            <w:shd w:val="clear" w:color="auto" w:fill="auto"/>
            <w:vAlign w:val="center"/>
          </w:tcPr>
          <w:p w:rsidR="00656820" w:rsidRPr="00687B52" w:rsidRDefault="00925D4C"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《炼焦工艺设计规范》</w:t>
            </w:r>
            <w:r w:rsidR="00656820" w:rsidRPr="00687B52">
              <w:rPr>
                <w:rFonts w:asciiTheme="minorEastAsia" w:hAnsiTheme="minorEastAsia" w:cs="Times New Roman"/>
                <w:color w:val="000000" w:themeColor="text1"/>
                <w:sz w:val="24"/>
                <w:szCs w:val="24"/>
              </w:rPr>
              <w:t>GB50</w:t>
            </w:r>
            <w:r w:rsidR="00656820" w:rsidRPr="00687B52">
              <w:rPr>
                <w:rFonts w:asciiTheme="minorEastAsia" w:hAnsiTheme="minorEastAsia" w:cs="Times New Roman" w:hint="eastAsia"/>
                <w:color w:val="000000" w:themeColor="text1"/>
                <w:sz w:val="24"/>
                <w:szCs w:val="24"/>
              </w:rPr>
              <w:t>432-2007第5.3.3条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37"/>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顶装焦炉的煤塔与焦炉之间应设置炉间台。</w:t>
            </w:r>
          </w:p>
        </w:tc>
        <w:tc>
          <w:tcPr>
            <w:tcW w:w="1029" w:type="pct"/>
            <w:shd w:val="clear" w:color="auto" w:fill="auto"/>
            <w:vAlign w:val="center"/>
          </w:tcPr>
          <w:p w:rsidR="00656820" w:rsidRPr="00687B52" w:rsidRDefault="00925D4C"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《炼焦工艺设计规范》</w:t>
            </w:r>
            <w:r w:rsidR="00656820" w:rsidRPr="00687B52">
              <w:rPr>
                <w:rFonts w:asciiTheme="minorEastAsia" w:hAnsiTheme="minorEastAsia" w:cs="Times New Roman"/>
                <w:color w:val="000000" w:themeColor="text1"/>
                <w:sz w:val="24"/>
                <w:szCs w:val="24"/>
              </w:rPr>
              <w:t>GB50</w:t>
            </w:r>
            <w:r w:rsidR="00656820" w:rsidRPr="00687B52">
              <w:rPr>
                <w:rFonts w:asciiTheme="minorEastAsia" w:hAnsiTheme="minorEastAsia" w:cs="Times New Roman" w:hint="eastAsia"/>
                <w:color w:val="000000" w:themeColor="text1"/>
                <w:sz w:val="24"/>
                <w:szCs w:val="24"/>
              </w:rPr>
              <w:t>432-2007第5.3.7条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925D4C" w:rsidRPr="00687B52" w:rsidTr="0007330F">
        <w:tc>
          <w:tcPr>
            <w:tcW w:w="371" w:type="pct"/>
            <w:shd w:val="clear" w:color="auto" w:fill="auto"/>
            <w:vAlign w:val="center"/>
          </w:tcPr>
          <w:p w:rsidR="00925D4C" w:rsidRPr="00687B52" w:rsidRDefault="00925D4C" w:rsidP="00D9787F">
            <w:pPr>
              <w:pStyle w:val="ab"/>
              <w:numPr>
                <w:ilvl w:val="0"/>
                <w:numId w:val="137"/>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925D4C" w:rsidRPr="00687B52" w:rsidRDefault="00925D4C"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焦炉炉组两端应设置炉端台。</w:t>
            </w:r>
          </w:p>
        </w:tc>
        <w:tc>
          <w:tcPr>
            <w:tcW w:w="1029" w:type="pct"/>
            <w:shd w:val="clear" w:color="auto" w:fill="auto"/>
            <w:vAlign w:val="center"/>
          </w:tcPr>
          <w:p w:rsidR="00925D4C" w:rsidRPr="00687B52" w:rsidRDefault="00925D4C"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《炼焦工艺设计规范》</w:t>
            </w:r>
            <w:r w:rsidRPr="00687B52">
              <w:rPr>
                <w:rFonts w:asciiTheme="minorEastAsia" w:hAnsiTheme="minorEastAsia" w:cs="Times New Roman"/>
                <w:color w:val="000000" w:themeColor="text1"/>
                <w:sz w:val="24"/>
                <w:szCs w:val="24"/>
              </w:rPr>
              <w:t>GB50</w:t>
            </w:r>
            <w:r w:rsidRPr="00687B52">
              <w:rPr>
                <w:rFonts w:asciiTheme="minorEastAsia" w:hAnsiTheme="minorEastAsia" w:cs="Times New Roman" w:hint="eastAsia"/>
                <w:color w:val="000000" w:themeColor="text1"/>
                <w:sz w:val="24"/>
                <w:szCs w:val="24"/>
              </w:rPr>
              <w:t>432-2007第5.3.8条</w:t>
            </w:r>
          </w:p>
        </w:tc>
        <w:tc>
          <w:tcPr>
            <w:tcW w:w="1249" w:type="pct"/>
            <w:shd w:val="clear" w:color="auto" w:fill="auto"/>
            <w:vAlign w:val="center"/>
          </w:tcPr>
          <w:p w:rsidR="00925D4C" w:rsidRPr="00687B52" w:rsidRDefault="00925D4C" w:rsidP="003E1D2A">
            <w:pPr>
              <w:rPr>
                <w:rFonts w:asciiTheme="minorEastAsia" w:hAnsiTheme="minorEastAsia" w:cs="Times New Roman"/>
                <w:color w:val="000000" w:themeColor="text1"/>
                <w:sz w:val="24"/>
                <w:szCs w:val="24"/>
              </w:rPr>
            </w:pPr>
          </w:p>
        </w:tc>
      </w:tr>
      <w:tr w:rsidR="00925D4C" w:rsidRPr="00687B52" w:rsidTr="0007330F">
        <w:tc>
          <w:tcPr>
            <w:tcW w:w="371" w:type="pct"/>
            <w:shd w:val="clear" w:color="auto" w:fill="auto"/>
            <w:vAlign w:val="center"/>
          </w:tcPr>
          <w:p w:rsidR="00925D4C" w:rsidRPr="00687B52" w:rsidRDefault="00925D4C" w:rsidP="00D9787F">
            <w:pPr>
              <w:pStyle w:val="ab"/>
              <w:numPr>
                <w:ilvl w:val="0"/>
                <w:numId w:val="137"/>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925D4C" w:rsidRPr="00687B52" w:rsidRDefault="00925D4C"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焦炉机、焦两侧应设置操作台。</w:t>
            </w:r>
          </w:p>
        </w:tc>
        <w:tc>
          <w:tcPr>
            <w:tcW w:w="1029" w:type="pct"/>
            <w:shd w:val="clear" w:color="auto" w:fill="auto"/>
            <w:vAlign w:val="center"/>
          </w:tcPr>
          <w:p w:rsidR="00925D4C" w:rsidRPr="00687B52" w:rsidRDefault="00925D4C"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《炼焦工艺设计规范》</w:t>
            </w:r>
            <w:r w:rsidRPr="00687B52">
              <w:rPr>
                <w:rFonts w:asciiTheme="minorEastAsia" w:hAnsiTheme="minorEastAsia" w:cs="Times New Roman"/>
                <w:color w:val="000000" w:themeColor="text1"/>
                <w:sz w:val="24"/>
                <w:szCs w:val="24"/>
              </w:rPr>
              <w:t>GB50</w:t>
            </w:r>
            <w:r w:rsidRPr="00687B52">
              <w:rPr>
                <w:rFonts w:asciiTheme="minorEastAsia" w:hAnsiTheme="minorEastAsia" w:cs="Times New Roman" w:hint="eastAsia"/>
                <w:color w:val="000000" w:themeColor="text1"/>
                <w:sz w:val="24"/>
                <w:szCs w:val="24"/>
              </w:rPr>
              <w:t>432-2007第5.3.9条</w:t>
            </w:r>
          </w:p>
        </w:tc>
        <w:tc>
          <w:tcPr>
            <w:tcW w:w="1249" w:type="pct"/>
            <w:shd w:val="clear" w:color="auto" w:fill="auto"/>
            <w:vAlign w:val="center"/>
          </w:tcPr>
          <w:p w:rsidR="00925D4C" w:rsidRPr="00687B52" w:rsidRDefault="00925D4C" w:rsidP="003E1D2A">
            <w:pPr>
              <w:rPr>
                <w:rFonts w:asciiTheme="minorEastAsia" w:hAnsiTheme="minorEastAsia" w:cs="Times New Roman"/>
                <w:color w:val="000000" w:themeColor="text1"/>
                <w:sz w:val="24"/>
                <w:szCs w:val="24"/>
              </w:rPr>
            </w:pPr>
          </w:p>
        </w:tc>
      </w:tr>
      <w:tr w:rsidR="00925D4C" w:rsidRPr="00687B52" w:rsidTr="0007330F">
        <w:tc>
          <w:tcPr>
            <w:tcW w:w="371" w:type="pct"/>
            <w:shd w:val="clear" w:color="auto" w:fill="auto"/>
            <w:vAlign w:val="center"/>
          </w:tcPr>
          <w:p w:rsidR="00925D4C" w:rsidRPr="00687B52" w:rsidRDefault="00925D4C" w:rsidP="00D9787F">
            <w:pPr>
              <w:pStyle w:val="ab"/>
              <w:numPr>
                <w:ilvl w:val="0"/>
                <w:numId w:val="137"/>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925D4C" w:rsidRPr="00687B52" w:rsidRDefault="00925D4C"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电机车、熄焦车或焦罐车应设置备品存放及修理设施。</w:t>
            </w:r>
          </w:p>
        </w:tc>
        <w:tc>
          <w:tcPr>
            <w:tcW w:w="1029" w:type="pct"/>
            <w:shd w:val="clear" w:color="auto" w:fill="auto"/>
            <w:vAlign w:val="center"/>
          </w:tcPr>
          <w:p w:rsidR="00925D4C" w:rsidRPr="00687B52" w:rsidRDefault="00925D4C"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《炼焦工艺设计规范》</w:t>
            </w:r>
            <w:r w:rsidRPr="00687B52">
              <w:rPr>
                <w:rFonts w:asciiTheme="minorEastAsia" w:hAnsiTheme="minorEastAsia" w:cs="Times New Roman"/>
                <w:color w:val="000000" w:themeColor="text1"/>
                <w:sz w:val="24"/>
                <w:szCs w:val="24"/>
              </w:rPr>
              <w:t>GB50</w:t>
            </w:r>
            <w:r w:rsidRPr="00687B52">
              <w:rPr>
                <w:rFonts w:asciiTheme="minorEastAsia" w:hAnsiTheme="minorEastAsia" w:cs="Times New Roman" w:hint="eastAsia"/>
                <w:color w:val="000000" w:themeColor="text1"/>
                <w:sz w:val="24"/>
                <w:szCs w:val="24"/>
              </w:rPr>
              <w:t>432-2007第5.3.12条</w:t>
            </w:r>
          </w:p>
        </w:tc>
        <w:tc>
          <w:tcPr>
            <w:tcW w:w="1249" w:type="pct"/>
            <w:shd w:val="clear" w:color="auto" w:fill="auto"/>
            <w:vAlign w:val="center"/>
          </w:tcPr>
          <w:p w:rsidR="00925D4C" w:rsidRPr="00687B52" w:rsidRDefault="00925D4C"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925D4C" w:rsidP="00925D4C">
            <w:pPr>
              <w:jc w:val="cente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3.1.3</w:t>
            </w:r>
          </w:p>
        </w:tc>
        <w:tc>
          <w:tcPr>
            <w:tcW w:w="2351" w:type="pct"/>
            <w:shd w:val="clear" w:color="auto" w:fill="auto"/>
            <w:vAlign w:val="center"/>
          </w:tcPr>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焦炉工艺设备</w:t>
            </w:r>
          </w:p>
        </w:tc>
        <w:tc>
          <w:tcPr>
            <w:tcW w:w="1029" w:type="pct"/>
            <w:shd w:val="clear" w:color="auto" w:fill="auto"/>
            <w:vAlign w:val="center"/>
          </w:tcPr>
          <w:p w:rsidR="00656820" w:rsidRPr="00687B52" w:rsidRDefault="00656820" w:rsidP="00925D4C">
            <w:pPr>
              <w:jc w:val="left"/>
              <w:rPr>
                <w:rFonts w:asciiTheme="minorEastAsia" w:hAnsiTheme="minorEastAsia" w:cs="Times New Roman"/>
                <w:color w:val="000000" w:themeColor="text1"/>
                <w:sz w:val="24"/>
                <w:szCs w:val="24"/>
              </w:rPr>
            </w:pP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38"/>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集气系统的设计应符合下列要求：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l上升管盖、桥管与水封阀承插处应采用水封结构。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2集气管的直径和吸气管的数量应保证集气管内压差不大于20Pa。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3集气管必须设置荒煤气放散管，放散管的排出口应设置自动点火装置。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4当采用高压氨水喷射实现消烟装煤时，高压氨水泵应设置变频调速系统。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5吸气弯管应设置手动调节翻板及自动调节翻板。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6上升管外壁应采取隔热措施。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7集气管应设置氨水清扫装置。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8集气管应设置蒸汽或氮气吹扫、充压设施。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9应设置停氨水时补充事故用水的设施。</w:t>
            </w:r>
          </w:p>
        </w:tc>
        <w:tc>
          <w:tcPr>
            <w:tcW w:w="1029" w:type="pct"/>
            <w:shd w:val="clear" w:color="auto" w:fill="auto"/>
            <w:vAlign w:val="center"/>
          </w:tcPr>
          <w:p w:rsidR="00656820" w:rsidRPr="00687B52" w:rsidRDefault="00925D4C"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《炼焦工艺设计规范》</w:t>
            </w:r>
            <w:r w:rsidR="00656820" w:rsidRPr="00687B52">
              <w:rPr>
                <w:rFonts w:asciiTheme="minorEastAsia" w:hAnsiTheme="minorEastAsia" w:cs="Times New Roman"/>
                <w:color w:val="000000" w:themeColor="text1"/>
                <w:sz w:val="24"/>
                <w:szCs w:val="24"/>
              </w:rPr>
              <w:t>GB50</w:t>
            </w:r>
            <w:r w:rsidR="00656820" w:rsidRPr="00687B52">
              <w:rPr>
                <w:rFonts w:asciiTheme="minorEastAsia" w:hAnsiTheme="minorEastAsia" w:cs="Times New Roman" w:hint="eastAsia"/>
                <w:color w:val="000000" w:themeColor="text1"/>
                <w:sz w:val="24"/>
                <w:szCs w:val="24"/>
              </w:rPr>
              <w:t>432-2007第5.4.1条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38"/>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加热交换系统的设计应符合下列要求：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1加热煤气管道的设计应符合下列要求：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1)加热煤气管道的组成应根据焦炉加热用煤气的种类、煤气的热值、炉体结构以及焦炉加热对煤气热值的要求等确定；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2)加热煤气管道应设置煤气放散装置、冷凝液排放装置以及送往每个燃烧室和立火道的加热煤气流量调节装置；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3)加热焦炉用的焦炉煤气应经预热器预热，预热温度不宜低于45℃； 4)地下室煤气管道末端所设自动放散装置的放散管应高出集气管操作走台4m。</w:t>
            </w:r>
          </w:p>
        </w:tc>
        <w:tc>
          <w:tcPr>
            <w:tcW w:w="1029" w:type="pct"/>
            <w:shd w:val="clear" w:color="auto" w:fill="auto"/>
            <w:vAlign w:val="center"/>
          </w:tcPr>
          <w:p w:rsidR="00656820" w:rsidRPr="00687B52" w:rsidRDefault="00925D4C"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《炼焦工艺设计规范》</w:t>
            </w:r>
            <w:r w:rsidR="00656820" w:rsidRPr="00687B52">
              <w:rPr>
                <w:rFonts w:asciiTheme="minorEastAsia" w:hAnsiTheme="minorEastAsia" w:cs="Times New Roman"/>
                <w:color w:val="000000" w:themeColor="text1"/>
                <w:sz w:val="24"/>
                <w:szCs w:val="24"/>
              </w:rPr>
              <w:t>GB50</w:t>
            </w:r>
            <w:r w:rsidR="00656820" w:rsidRPr="00687B52">
              <w:rPr>
                <w:rFonts w:asciiTheme="minorEastAsia" w:hAnsiTheme="minorEastAsia" w:cs="Times New Roman" w:hint="eastAsia"/>
                <w:color w:val="000000" w:themeColor="text1"/>
                <w:sz w:val="24"/>
                <w:szCs w:val="24"/>
              </w:rPr>
              <w:t>432-2007第5.4.2条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38"/>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废气系统的设计应符合下列要求：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1)交换开闭器应具有足够的进空气和排废气的流通断面，吸力调节应灵敏、方便；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2)焦炉的分烟道上应设置吸力自动调节翻板，总烟道上应设置手动调节翻板和排水设施。</w:t>
            </w:r>
          </w:p>
        </w:tc>
        <w:tc>
          <w:tcPr>
            <w:tcW w:w="1029" w:type="pct"/>
            <w:shd w:val="clear" w:color="auto" w:fill="auto"/>
            <w:vAlign w:val="center"/>
          </w:tcPr>
          <w:p w:rsidR="00656820" w:rsidRPr="00687B52" w:rsidRDefault="00925D4C"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《炼焦工艺设计规范》</w:t>
            </w:r>
            <w:r w:rsidR="00656820" w:rsidRPr="00687B52">
              <w:rPr>
                <w:rFonts w:asciiTheme="minorEastAsia" w:hAnsiTheme="minorEastAsia" w:cs="Times New Roman"/>
                <w:color w:val="000000" w:themeColor="text1"/>
                <w:sz w:val="24"/>
                <w:szCs w:val="24"/>
              </w:rPr>
              <w:t>GB50</w:t>
            </w:r>
            <w:r w:rsidR="00656820" w:rsidRPr="00687B52">
              <w:rPr>
                <w:rFonts w:asciiTheme="minorEastAsia" w:hAnsiTheme="minorEastAsia" w:cs="Times New Roman" w:hint="eastAsia"/>
                <w:color w:val="000000" w:themeColor="text1"/>
                <w:sz w:val="24"/>
                <w:szCs w:val="24"/>
              </w:rPr>
              <w:t>432-2007第5.4.2条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38"/>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交换系统的设计应符合下列要求： </w:t>
            </w:r>
          </w:p>
          <w:p w:rsidR="00925D4C"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1)应采用液压交换机，液压交换机宜设置停电用蓄能设施；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2)焦炉煤气换向应采用交换旋塞；贫煤气换向可采用煤气砣或交换旋塞。</w:t>
            </w:r>
          </w:p>
        </w:tc>
        <w:tc>
          <w:tcPr>
            <w:tcW w:w="1029" w:type="pct"/>
            <w:shd w:val="clear" w:color="auto" w:fill="auto"/>
            <w:vAlign w:val="center"/>
          </w:tcPr>
          <w:p w:rsidR="00656820" w:rsidRPr="00687B52" w:rsidRDefault="00925D4C"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《炼焦工艺设计规范》</w:t>
            </w:r>
            <w:r w:rsidR="00656820" w:rsidRPr="00687B52">
              <w:rPr>
                <w:rFonts w:asciiTheme="minorEastAsia" w:hAnsiTheme="minorEastAsia" w:cs="Times New Roman"/>
                <w:color w:val="000000" w:themeColor="text1"/>
                <w:sz w:val="24"/>
                <w:szCs w:val="24"/>
              </w:rPr>
              <w:t>GB50</w:t>
            </w:r>
            <w:r w:rsidR="00656820" w:rsidRPr="00687B52">
              <w:rPr>
                <w:rFonts w:asciiTheme="minorEastAsia" w:hAnsiTheme="minorEastAsia" w:cs="Times New Roman" w:hint="eastAsia"/>
                <w:color w:val="000000" w:themeColor="text1"/>
                <w:sz w:val="24"/>
                <w:szCs w:val="24"/>
              </w:rPr>
              <w:t>432-2007第5.4.2条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38"/>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护炉设备的设计应符合下列要求：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1炉柱施加给焦炉砌体的保护性压力应根据焦炉砌体的结构参数确定。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2焦炉的炉柱宜采用H型钢。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3焦炉应设置纵横拉条，并应在拉条端部设置压缩弹簧。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4焦炉的炉门宜采用弹簧门栓、弹性刀边、悬挂式空冷炉门。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5焦炉应采用大保护板。</w:t>
            </w:r>
          </w:p>
        </w:tc>
        <w:tc>
          <w:tcPr>
            <w:tcW w:w="1029" w:type="pct"/>
            <w:shd w:val="clear" w:color="auto" w:fill="auto"/>
            <w:vAlign w:val="center"/>
          </w:tcPr>
          <w:p w:rsidR="00656820" w:rsidRPr="00687B52" w:rsidRDefault="00925D4C"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《炼焦工艺设计规范》</w:t>
            </w:r>
            <w:r w:rsidR="00656820" w:rsidRPr="00687B52">
              <w:rPr>
                <w:rFonts w:asciiTheme="minorEastAsia" w:hAnsiTheme="minorEastAsia" w:cs="Times New Roman"/>
                <w:color w:val="000000" w:themeColor="text1"/>
                <w:sz w:val="24"/>
                <w:szCs w:val="24"/>
              </w:rPr>
              <w:t>GB50</w:t>
            </w:r>
            <w:r w:rsidR="00656820" w:rsidRPr="00687B52">
              <w:rPr>
                <w:rFonts w:asciiTheme="minorEastAsia" w:hAnsiTheme="minorEastAsia" w:cs="Times New Roman" w:hint="eastAsia"/>
                <w:color w:val="000000" w:themeColor="text1"/>
                <w:sz w:val="24"/>
                <w:szCs w:val="24"/>
              </w:rPr>
              <w:t>432-2007第5.4.3条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38"/>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湿熄焦系统的设计应符合下列要求：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1湿法熄焦宜采用新型湿法熄焦。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2熄焦塔顶应设置高效捕尘装置。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3粉焦沉淀池的尺寸应能满足粉焦完全沉降和焦粉收集机械作业的要求。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4收集粉焦沉淀池内的粉焦可采用电动抓斗起重机或刮板式焦粉收集机械。应设置存放或修理粉焦收集机械的设施。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5粉焦沉淀池内的熄焦废水应闭路循环使用，不得外排。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6处理后的酚氰废水可用于熄焦补充水，其水质应达到下列要求： pH值6～9；CODCr≤150mg/1；氨氮≤25mg／1；石油类≤10mg/1；挥发酚≤0.5mg/1；氰化物≤0.5mg/1。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7粉焦沉淀池应设置液位控制装置。</w:t>
            </w:r>
          </w:p>
        </w:tc>
        <w:tc>
          <w:tcPr>
            <w:tcW w:w="1029" w:type="pct"/>
            <w:shd w:val="clear" w:color="auto" w:fill="auto"/>
            <w:vAlign w:val="center"/>
          </w:tcPr>
          <w:p w:rsidR="00656820" w:rsidRPr="00687B52" w:rsidRDefault="00925D4C"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《炼焦工艺设计规范》</w:t>
            </w:r>
            <w:r w:rsidR="00656820" w:rsidRPr="00687B52">
              <w:rPr>
                <w:rFonts w:asciiTheme="minorEastAsia" w:hAnsiTheme="minorEastAsia" w:cs="Times New Roman"/>
                <w:color w:val="000000" w:themeColor="text1"/>
                <w:sz w:val="24"/>
                <w:szCs w:val="24"/>
              </w:rPr>
              <w:t>GB50</w:t>
            </w:r>
            <w:r w:rsidR="00656820" w:rsidRPr="00687B52">
              <w:rPr>
                <w:rFonts w:asciiTheme="minorEastAsia" w:hAnsiTheme="minorEastAsia" w:cs="Times New Roman" w:hint="eastAsia"/>
                <w:color w:val="000000" w:themeColor="text1"/>
                <w:sz w:val="24"/>
                <w:szCs w:val="24"/>
              </w:rPr>
              <w:t>432-2007第5.4.4条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38"/>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焦炉机械的装备水平及配置数量应符合下列要求：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1焦炉机械操作宜实现一次对位作业。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2推焦机和拦焦机应设置炉门、炉框清扫装置及头尾焦回收装置；装煤车应设置机械化启闭装煤孔盖装置，装煤车宜设置炉顶清扫装置。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3焦炉机械的各单元操作应实现程序控制。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4推焦机宜设置事故停电时退回推焦杆、平煤杆的动力装置。</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5推焦机、拦焦机和熄焦车之间应设置可靠的联锁装置。电机车应设置能控制推焦杆开始推焦以及事故状态时停止推焦的联锁装置。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6机、焦侧焦炉机械的司机室应设置可双向联络并抗干扰的通讯设施。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7焦炉机械的司机室应设置空调装置和工业电视监视系统。 </w:t>
            </w: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8焦炉机械中各移动车辆的配置数量(含备品车辆)，应满足炉组的生产操作和检修的要求。</w:t>
            </w:r>
          </w:p>
        </w:tc>
        <w:tc>
          <w:tcPr>
            <w:tcW w:w="1029" w:type="pct"/>
            <w:shd w:val="clear" w:color="auto" w:fill="auto"/>
            <w:vAlign w:val="center"/>
          </w:tcPr>
          <w:p w:rsidR="00656820" w:rsidRPr="00687B52" w:rsidRDefault="00925D4C"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《炼焦工艺设计规范》</w:t>
            </w:r>
            <w:r w:rsidR="00656820" w:rsidRPr="00687B52">
              <w:rPr>
                <w:rFonts w:asciiTheme="minorEastAsia" w:hAnsiTheme="minorEastAsia" w:cs="Times New Roman"/>
                <w:color w:val="000000" w:themeColor="text1"/>
                <w:sz w:val="24"/>
                <w:szCs w:val="24"/>
              </w:rPr>
              <w:t>GB50</w:t>
            </w:r>
            <w:r w:rsidR="00656820" w:rsidRPr="00687B52">
              <w:rPr>
                <w:rFonts w:asciiTheme="minorEastAsia" w:hAnsiTheme="minorEastAsia" w:cs="Times New Roman" w:hint="eastAsia"/>
                <w:color w:val="000000" w:themeColor="text1"/>
                <w:sz w:val="24"/>
                <w:szCs w:val="24"/>
              </w:rPr>
              <w:t>432-2007第5.4.5条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925D4C" w:rsidP="00925D4C">
            <w:pPr>
              <w:pStyle w:val="ab"/>
              <w:ind w:firstLineChars="0" w:firstLine="0"/>
              <w:jc w:val="cente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3.1.4</w:t>
            </w:r>
          </w:p>
        </w:tc>
        <w:tc>
          <w:tcPr>
            <w:tcW w:w="2351" w:type="pct"/>
            <w:shd w:val="clear" w:color="auto" w:fill="auto"/>
            <w:vAlign w:val="center"/>
          </w:tcPr>
          <w:p w:rsidR="00656820" w:rsidRPr="00687B52" w:rsidRDefault="00656820" w:rsidP="00925D4C">
            <w:pPr>
              <w:pStyle w:val="a7"/>
              <w:spacing w:line="380" w:lineRule="exact"/>
              <w:jc w:val="both"/>
              <w:rPr>
                <w:color w:val="000000" w:themeColor="text1"/>
                <w:szCs w:val="24"/>
              </w:rPr>
            </w:pPr>
            <w:r w:rsidRPr="00687B52">
              <w:rPr>
                <w:rFonts w:hint="eastAsia"/>
                <w:color w:val="000000" w:themeColor="text1"/>
                <w:szCs w:val="24"/>
              </w:rPr>
              <w:t>安全间距</w:t>
            </w:r>
          </w:p>
        </w:tc>
        <w:tc>
          <w:tcPr>
            <w:tcW w:w="1029" w:type="pct"/>
            <w:shd w:val="clear" w:color="auto" w:fill="auto"/>
            <w:vAlign w:val="center"/>
          </w:tcPr>
          <w:p w:rsidR="00656820" w:rsidRPr="00687B52" w:rsidRDefault="00656820" w:rsidP="00656820">
            <w:pPr>
              <w:pStyle w:val="a7"/>
              <w:spacing w:line="380" w:lineRule="exact"/>
              <w:jc w:val="both"/>
              <w:rPr>
                <w:color w:val="000000" w:themeColor="text1"/>
                <w:szCs w:val="24"/>
              </w:rPr>
            </w:pP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39"/>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860E85" w:rsidRPr="00687B52" w:rsidRDefault="00860E85" w:rsidP="00925D4C">
            <w:pPr>
              <w:jc w:val="left"/>
              <w:rPr>
                <w:rFonts w:asciiTheme="minorEastAsia" w:hAnsiTheme="minorEastAsia" w:cs="Times New Roman"/>
                <w:color w:val="000000" w:themeColor="text1"/>
                <w:sz w:val="24"/>
                <w:szCs w:val="24"/>
              </w:rPr>
            </w:pPr>
          </w:p>
          <w:p w:rsidR="00656820" w:rsidRPr="00687B52" w:rsidRDefault="00656820" w:rsidP="00925D4C">
            <w:pPr>
              <w:jc w:val="left"/>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焦炉设备与建(构)筑物之间的安全距离不应小于</w:t>
            </w:r>
            <w:r w:rsidR="00925D4C" w:rsidRPr="00687B52">
              <w:rPr>
                <w:rFonts w:asciiTheme="minorEastAsia" w:hAnsiTheme="minorEastAsia" w:cs="Times New Roman" w:hint="eastAsia"/>
                <w:color w:val="000000" w:themeColor="text1"/>
                <w:sz w:val="24"/>
                <w:szCs w:val="24"/>
              </w:rPr>
              <w:t>下</w:t>
            </w:r>
            <w:r w:rsidRPr="00687B52">
              <w:rPr>
                <w:rFonts w:asciiTheme="minorEastAsia" w:hAnsiTheme="minorEastAsia" w:cs="Times New Roman" w:hint="eastAsia"/>
                <w:color w:val="000000" w:themeColor="text1"/>
                <w:sz w:val="24"/>
                <w:szCs w:val="24"/>
              </w:rPr>
              <w:t>表的规定。</w:t>
            </w:r>
          </w:p>
          <w:p w:rsidR="00925D4C" w:rsidRPr="00687B52" w:rsidRDefault="00925D4C" w:rsidP="00925D4C">
            <w:pPr>
              <w:jc w:val="left"/>
              <w:rPr>
                <w:rFonts w:asciiTheme="minorEastAsia" w:hAnsiTheme="minorEastAsia" w:cs="Times New Roman"/>
                <w:color w:val="000000" w:themeColor="text1"/>
                <w:sz w:val="24"/>
                <w:szCs w:val="24"/>
              </w:rPr>
            </w:pPr>
          </w:p>
          <w:p w:rsidR="00656820" w:rsidRPr="00687B52" w:rsidRDefault="00656820" w:rsidP="00925D4C">
            <w:pPr>
              <w:jc w:val="left"/>
              <w:rPr>
                <w:rFonts w:asciiTheme="minorEastAsia" w:hAnsiTheme="minorEastAsia" w:cs="Times New Roman"/>
                <w:color w:val="000000" w:themeColor="text1"/>
                <w:sz w:val="24"/>
                <w:szCs w:val="24"/>
              </w:rPr>
            </w:pPr>
          </w:p>
          <w:tbl>
            <w:tblPr>
              <w:tblStyle w:val="a6"/>
              <w:tblW w:w="0" w:type="auto"/>
              <w:tblLook w:val="04A0" w:firstRow="1" w:lastRow="0" w:firstColumn="1" w:lastColumn="0" w:noHBand="0" w:noVBand="1"/>
            </w:tblPr>
            <w:tblGrid>
              <w:gridCol w:w="3958"/>
              <w:gridCol w:w="1984"/>
            </w:tblGrid>
            <w:tr w:rsidR="00656820" w:rsidRPr="00687B52" w:rsidTr="00925D4C">
              <w:tc>
                <w:tcPr>
                  <w:tcW w:w="3958" w:type="dxa"/>
                  <w:vAlign w:val="center"/>
                </w:tcPr>
                <w:p w:rsidR="00656820" w:rsidRPr="00687B52" w:rsidRDefault="00656820" w:rsidP="00925D4C">
                  <w:pPr>
                    <w:pStyle w:val="a7"/>
                    <w:rPr>
                      <w:color w:val="000000" w:themeColor="text1"/>
                      <w:szCs w:val="24"/>
                    </w:rPr>
                  </w:pPr>
                  <w:r w:rsidRPr="00687B52">
                    <w:rPr>
                      <w:rFonts w:hint="eastAsia"/>
                      <w:color w:val="000000" w:themeColor="text1"/>
                    </w:rPr>
                    <w:t>名称</w:t>
                  </w:r>
                </w:p>
              </w:tc>
              <w:tc>
                <w:tcPr>
                  <w:tcW w:w="1984" w:type="dxa"/>
                  <w:vAlign w:val="center"/>
                </w:tcPr>
                <w:p w:rsidR="00656820" w:rsidRPr="00687B52" w:rsidRDefault="00656820" w:rsidP="00925D4C">
                  <w:pPr>
                    <w:pStyle w:val="a7"/>
                    <w:rPr>
                      <w:color w:val="000000" w:themeColor="text1"/>
                      <w:szCs w:val="24"/>
                    </w:rPr>
                  </w:pPr>
                  <w:r w:rsidRPr="00687B52">
                    <w:rPr>
                      <w:rFonts w:hint="eastAsia"/>
                      <w:color w:val="000000" w:themeColor="text1"/>
                    </w:rPr>
                    <w:t>安全距离</w:t>
                  </w:r>
                  <w:r w:rsidRPr="00687B52">
                    <w:rPr>
                      <w:rFonts w:hint="eastAsia"/>
                      <w:color w:val="000000" w:themeColor="text1"/>
                    </w:rPr>
                    <w:t>(mm)</w:t>
                  </w:r>
                </w:p>
              </w:tc>
            </w:tr>
            <w:tr w:rsidR="00656820" w:rsidRPr="00687B52" w:rsidTr="00925D4C">
              <w:tc>
                <w:tcPr>
                  <w:tcW w:w="3958" w:type="dxa"/>
                  <w:vAlign w:val="center"/>
                </w:tcPr>
                <w:p w:rsidR="00656820" w:rsidRPr="00687B52" w:rsidRDefault="00656820" w:rsidP="00925D4C">
                  <w:pPr>
                    <w:pStyle w:val="a7"/>
                    <w:jc w:val="both"/>
                    <w:rPr>
                      <w:color w:val="000000" w:themeColor="text1"/>
                      <w:szCs w:val="24"/>
                    </w:rPr>
                  </w:pPr>
                  <w:r w:rsidRPr="00687B52">
                    <w:rPr>
                      <w:rFonts w:hint="eastAsia"/>
                      <w:color w:val="000000" w:themeColor="text1"/>
                      <w:szCs w:val="24"/>
                    </w:rPr>
                    <w:t>推焦杆头与焦炉正面线的距离</w:t>
                  </w:r>
                </w:p>
              </w:tc>
              <w:tc>
                <w:tcPr>
                  <w:tcW w:w="1984" w:type="dxa"/>
                  <w:vAlign w:val="center"/>
                </w:tcPr>
                <w:p w:rsidR="00656820" w:rsidRPr="00687B52" w:rsidRDefault="00656820" w:rsidP="00925D4C">
                  <w:pPr>
                    <w:pStyle w:val="a7"/>
                    <w:rPr>
                      <w:color w:val="000000" w:themeColor="text1"/>
                      <w:szCs w:val="24"/>
                    </w:rPr>
                  </w:pPr>
                  <w:r w:rsidRPr="00687B52">
                    <w:rPr>
                      <w:rFonts w:hint="eastAsia"/>
                      <w:color w:val="000000" w:themeColor="text1"/>
                      <w:szCs w:val="24"/>
                    </w:rPr>
                    <w:t>1500</w:t>
                  </w:r>
                </w:p>
              </w:tc>
            </w:tr>
            <w:tr w:rsidR="00656820" w:rsidRPr="00687B52" w:rsidTr="00925D4C">
              <w:tc>
                <w:tcPr>
                  <w:tcW w:w="3958" w:type="dxa"/>
                  <w:vAlign w:val="center"/>
                </w:tcPr>
                <w:p w:rsidR="00656820" w:rsidRPr="00687B52" w:rsidRDefault="00656820" w:rsidP="00925D4C">
                  <w:pPr>
                    <w:pStyle w:val="a7"/>
                    <w:jc w:val="both"/>
                    <w:rPr>
                      <w:color w:val="000000" w:themeColor="text1"/>
                      <w:szCs w:val="24"/>
                    </w:rPr>
                  </w:pPr>
                  <w:r w:rsidRPr="00687B52">
                    <w:rPr>
                      <w:rFonts w:hint="eastAsia"/>
                      <w:color w:val="000000" w:themeColor="text1"/>
                      <w:szCs w:val="24"/>
                    </w:rPr>
                    <w:t>推焦机在行走时，前面突出部分与余煤提升机外缘的净空距离</w:t>
                  </w:r>
                  <w:r w:rsidRPr="00687B52">
                    <w:rPr>
                      <w:rFonts w:hint="eastAsia"/>
                      <w:color w:val="000000" w:themeColor="text1"/>
                      <w:szCs w:val="24"/>
                    </w:rPr>
                    <w:t>  </w:t>
                  </w:r>
                </w:p>
              </w:tc>
              <w:tc>
                <w:tcPr>
                  <w:tcW w:w="1984" w:type="dxa"/>
                  <w:vAlign w:val="center"/>
                </w:tcPr>
                <w:p w:rsidR="00656820" w:rsidRPr="00687B52" w:rsidRDefault="00656820" w:rsidP="00925D4C">
                  <w:pPr>
                    <w:pStyle w:val="a7"/>
                    <w:rPr>
                      <w:color w:val="000000" w:themeColor="text1"/>
                      <w:szCs w:val="24"/>
                    </w:rPr>
                  </w:pPr>
                  <w:r w:rsidRPr="00687B52">
                    <w:rPr>
                      <w:rFonts w:hint="eastAsia"/>
                      <w:color w:val="000000" w:themeColor="text1"/>
                      <w:szCs w:val="24"/>
                    </w:rPr>
                    <w:t>100</w:t>
                  </w:r>
                </w:p>
              </w:tc>
            </w:tr>
            <w:tr w:rsidR="00656820" w:rsidRPr="00687B52" w:rsidTr="00925D4C">
              <w:tc>
                <w:tcPr>
                  <w:tcW w:w="3958" w:type="dxa"/>
                  <w:vAlign w:val="center"/>
                </w:tcPr>
                <w:p w:rsidR="00656820" w:rsidRPr="00687B52" w:rsidRDefault="00656820" w:rsidP="00925D4C">
                  <w:pPr>
                    <w:pStyle w:val="a7"/>
                    <w:jc w:val="both"/>
                    <w:rPr>
                      <w:color w:val="000000" w:themeColor="text1"/>
                      <w:szCs w:val="24"/>
                    </w:rPr>
                  </w:pPr>
                  <w:r w:rsidRPr="00687B52">
                    <w:rPr>
                      <w:rFonts w:hint="eastAsia"/>
                      <w:color w:val="000000" w:themeColor="text1"/>
                      <w:szCs w:val="24"/>
                    </w:rPr>
                    <w:t>推焦机小炉门开启装置与吸气管桥架托架间的距离</w:t>
                  </w:r>
                </w:p>
              </w:tc>
              <w:tc>
                <w:tcPr>
                  <w:tcW w:w="1984" w:type="dxa"/>
                  <w:vAlign w:val="center"/>
                </w:tcPr>
                <w:p w:rsidR="00656820" w:rsidRPr="00687B52" w:rsidRDefault="00656820" w:rsidP="00925D4C">
                  <w:pPr>
                    <w:pStyle w:val="a7"/>
                    <w:rPr>
                      <w:color w:val="000000" w:themeColor="text1"/>
                      <w:szCs w:val="24"/>
                    </w:rPr>
                  </w:pPr>
                  <w:r w:rsidRPr="00687B52">
                    <w:rPr>
                      <w:rFonts w:hint="eastAsia"/>
                      <w:color w:val="000000" w:themeColor="text1"/>
                      <w:szCs w:val="24"/>
                    </w:rPr>
                    <w:t>150</w:t>
                  </w:r>
                </w:p>
              </w:tc>
            </w:tr>
            <w:tr w:rsidR="00656820" w:rsidRPr="00687B52" w:rsidTr="00925D4C">
              <w:tc>
                <w:tcPr>
                  <w:tcW w:w="3958" w:type="dxa"/>
                  <w:vAlign w:val="center"/>
                </w:tcPr>
                <w:p w:rsidR="00656820" w:rsidRPr="00687B52" w:rsidRDefault="00656820" w:rsidP="00925D4C">
                  <w:pPr>
                    <w:pStyle w:val="a7"/>
                    <w:jc w:val="both"/>
                    <w:rPr>
                      <w:color w:val="000000" w:themeColor="text1"/>
                      <w:szCs w:val="24"/>
                    </w:rPr>
                  </w:pPr>
                  <w:r w:rsidRPr="00687B52">
                    <w:rPr>
                      <w:rFonts w:hint="eastAsia"/>
                      <w:color w:val="000000" w:themeColor="text1"/>
                      <w:szCs w:val="24"/>
                    </w:rPr>
                    <w:t>推焦机与吸气管桥架下弦的净空高度</w:t>
                  </w:r>
                  <w:r w:rsidRPr="00687B52">
                    <w:rPr>
                      <w:rFonts w:hint="eastAsia"/>
                      <w:color w:val="000000" w:themeColor="text1"/>
                      <w:szCs w:val="24"/>
                    </w:rPr>
                    <w:t> </w:t>
                  </w:r>
                </w:p>
              </w:tc>
              <w:tc>
                <w:tcPr>
                  <w:tcW w:w="1984" w:type="dxa"/>
                  <w:vAlign w:val="center"/>
                </w:tcPr>
                <w:p w:rsidR="00656820" w:rsidRPr="00687B52" w:rsidRDefault="00656820" w:rsidP="00925D4C">
                  <w:pPr>
                    <w:pStyle w:val="a7"/>
                    <w:rPr>
                      <w:color w:val="000000" w:themeColor="text1"/>
                      <w:szCs w:val="24"/>
                    </w:rPr>
                  </w:pPr>
                  <w:r w:rsidRPr="00687B52">
                    <w:rPr>
                      <w:rFonts w:hint="eastAsia"/>
                      <w:color w:val="000000" w:themeColor="text1"/>
                      <w:szCs w:val="24"/>
                    </w:rPr>
                    <w:t>250</w:t>
                  </w:r>
                </w:p>
              </w:tc>
            </w:tr>
            <w:tr w:rsidR="00656820" w:rsidRPr="00687B52" w:rsidTr="00925D4C">
              <w:tc>
                <w:tcPr>
                  <w:tcW w:w="3958" w:type="dxa"/>
                  <w:vAlign w:val="center"/>
                </w:tcPr>
                <w:p w:rsidR="00656820" w:rsidRPr="00687B52" w:rsidRDefault="00656820" w:rsidP="00925D4C">
                  <w:pPr>
                    <w:pStyle w:val="a7"/>
                    <w:jc w:val="both"/>
                    <w:rPr>
                      <w:color w:val="000000" w:themeColor="text1"/>
                      <w:szCs w:val="24"/>
                    </w:rPr>
                  </w:pPr>
                  <w:r w:rsidRPr="00687B52">
                    <w:rPr>
                      <w:rFonts w:hint="eastAsia"/>
                      <w:color w:val="000000" w:themeColor="text1"/>
                      <w:szCs w:val="24"/>
                    </w:rPr>
                    <w:t>推焦机推焦杆的后端与外部建筑物边界线的距离</w:t>
                  </w:r>
                  <w:r w:rsidRPr="00687B52">
                    <w:rPr>
                      <w:rFonts w:hint="eastAsia"/>
                      <w:color w:val="000000" w:themeColor="text1"/>
                      <w:szCs w:val="24"/>
                    </w:rPr>
                    <w:t>  </w:t>
                  </w:r>
                </w:p>
              </w:tc>
              <w:tc>
                <w:tcPr>
                  <w:tcW w:w="1984" w:type="dxa"/>
                  <w:vAlign w:val="center"/>
                </w:tcPr>
                <w:p w:rsidR="00656820" w:rsidRPr="00687B52" w:rsidRDefault="00656820" w:rsidP="00925D4C">
                  <w:pPr>
                    <w:pStyle w:val="a7"/>
                    <w:rPr>
                      <w:color w:val="000000" w:themeColor="text1"/>
                      <w:szCs w:val="24"/>
                    </w:rPr>
                  </w:pPr>
                  <w:r w:rsidRPr="00687B52">
                    <w:rPr>
                      <w:rFonts w:hint="eastAsia"/>
                      <w:color w:val="000000" w:themeColor="text1"/>
                      <w:szCs w:val="24"/>
                    </w:rPr>
                    <w:t>450</w:t>
                  </w:r>
                </w:p>
              </w:tc>
            </w:tr>
            <w:tr w:rsidR="00656820" w:rsidRPr="00687B52" w:rsidTr="00925D4C">
              <w:tc>
                <w:tcPr>
                  <w:tcW w:w="3958" w:type="dxa"/>
                  <w:vAlign w:val="center"/>
                </w:tcPr>
                <w:p w:rsidR="00656820" w:rsidRPr="00687B52" w:rsidRDefault="00656820" w:rsidP="00925D4C">
                  <w:pPr>
                    <w:pStyle w:val="a7"/>
                    <w:jc w:val="both"/>
                    <w:rPr>
                      <w:color w:val="000000" w:themeColor="text1"/>
                      <w:szCs w:val="24"/>
                    </w:rPr>
                  </w:pPr>
                  <w:r w:rsidRPr="00687B52">
                    <w:rPr>
                      <w:rFonts w:hint="eastAsia"/>
                      <w:color w:val="000000" w:themeColor="text1"/>
                      <w:szCs w:val="24"/>
                    </w:rPr>
                    <w:t>操作台下部推焦机滑触线保护网的净空高度</w:t>
                  </w:r>
                  <w:r w:rsidRPr="00687B52">
                    <w:rPr>
                      <w:rFonts w:hint="eastAsia"/>
                      <w:color w:val="000000" w:themeColor="text1"/>
                      <w:szCs w:val="24"/>
                    </w:rPr>
                    <w:t> </w:t>
                  </w:r>
                </w:p>
              </w:tc>
              <w:tc>
                <w:tcPr>
                  <w:tcW w:w="1984" w:type="dxa"/>
                  <w:vAlign w:val="center"/>
                </w:tcPr>
                <w:p w:rsidR="00656820" w:rsidRPr="00687B52" w:rsidRDefault="00656820" w:rsidP="00925D4C">
                  <w:pPr>
                    <w:pStyle w:val="a7"/>
                    <w:rPr>
                      <w:color w:val="000000" w:themeColor="text1"/>
                      <w:szCs w:val="24"/>
                    </w:rPr>
                  </w:pPr>
                  <w:r w:rsidRPr="00687B52">
                    <w:rPr>
                      <w:rFonts w:hint="eastAsia"/>
                      <w:color w:val="000000" w:themeColor="text1"/>
                      <w:szCs w:val="24"/>
                    </w:rPr>
                    <w:t>1900</w:t>
                  </w:r>
                </w:p>
              </w:tc>
            </w:tr>
            <w:tr w:rsidR="00656820" w:rsidRPr="00687B52" w:rsidTr="00925D4C">
              <w:tc>
                <w:tcPr>
                  <w:tcW w:w="3958" w:type="dxa"/>
                  <w:vAlign w:val="center"/>
                </w:tcPr>
                <w:p w:rsidR="00656820" w:rsidRPr="00687B52" w:rsidRDefault="00656820" w:rsidP="00925D4C">
                  <w:pPr>
                    <w:pStyle w:val="a7"/>
                    <w:jc w:val="both"/>
                    <w:rPr>
                      <w:color w:val="000000" w:themeColor="text1"/>
                      <w:szCs w:val="24"/>
                    </w:rPr>
                  </w:pPr>
                  <w:r w:rsidRPr="00687B52">
                    <w:rPr>
                      <w:rFonts w:hint="eastAsia"/>
                      <w:color w:val="000000" w:themeColor="text1"/>
                      <w:szCs w:val="24"/>
                    </w:rPr>
                    <w:t>装煤车平台下部距炉顶的净空高度</w:t>
                  </w:r>
                  <w:r w:rsidRPr="00687B52">
                    <w:rPr>
                      <w:rFonts w:hint="eastAsia"/>
                      <w:color w:val="000000" w:themeColor="text1"/>
                      <w:szCs w:val="24"/>
                    </w:rPr>
                    <w:t>  </w:t>
                  </w:r>
                </w:p>
              </w:tc>
              <w:tc>
                <w:tcPr>
                  <w:tcW w:w="1984" w:type="dxa"/>
                  <w:vAlign w:val="center"/>
                </w:tcPr>
                <w:p w:rsidR="00656820" w:rsidRPr="00687B52" w:rsidRDefault="00656820" w:rsidP="00925D4C">
                  <w:pPr>
                    <w:pStyle w:val="a7"/>
                    <w:rPr>
                      <w:color w:val="000000" w:themeColor="text1"/>
                      <w:szCs w:val="24"/>
                    </w:rPr>
                  </w:pPr>
                  <w:r w:rsidRPr="00687B52">
                    <w:rPr>
                      <w:rFonts w:hint="eastAsia"/>
                      <w:color w:val="000000" w:themeColor="text1"/>
                      <w:szCs w:val="24"/>
                    </w:rPr>
                    <w:t>1900</w:t>
                  </w:r>
                </w:p>
              </w:tc>
            </w:tr>
            <w:tr w:rsidR="00656820" w:rsidRPr="00687B52" w:rsidTr="00925D4C">
              <w:tc>
                <w:tcPr>
                  <w:tcW w:w="3958" w:type="dxa"/>
                  <w:vAlign w:val="center"/>
                </w:tcPr>
                <w:p w:rsidR="00656820" w:rsidRPr="00687B52" w:rsidRDefault="00656820" w:rsidP="00925D4C">
                  <w:pPr>
                    <w:pStyle w:val="a7"/>
                    <w:jc w:val="both"/>
                    <w:rPr>
                      <w:color w:val="000000" w:themeColor="text1"/>
                      <w:szCs w:val="24"/>
                    </w:rPr>
                  </w:pPr>
                  <w:r w:rsidRPr="00687B52">
                    <w:rPr>
                      <w:rFonts w:hint="eastAsia"/>
                      <w:color w:val="000000" w:themeColor="text1"/>
                      <w:szCs w:val="24"/>
                    </w:rPr>
                    <w:t>装煤车下煤导套提升后与炉顶砌体面的距离</w:t>
                  </w:r>
                  <w:r w:rsidRPr="00687B52">
                    <w:rPr>
                      <w:rFonts w:hint="eastAsia"/>
                      <w:color w:val="000000" w:themeColor="text1"/>
                      <w:szCs w:val="24"/>
                    </w:rPr>
                    <w:t> </w:t>
                  </w:r>
                </w:p>
              </w:tc>
              <w:tc>
                <w:tcPr>
                  <w:tcW w:w="1984" w:type="dxa"/>
                  <w:vAlign w:val="center"/>
                </w:tcPr>
                <w:p w:rsidR="00656820" w:rsidRPr="00687B52" w:rsidRDefault="00656820" w:rsidP="00925D4C">
                  <w:pPr>
                    <w:pStyle w:val="a7"/>
                    <w:rPr>
                      <w:color w:val="000000" w:themeColor="text1"/>
                      <w:szCs w:val="24"/>
                    </w:rPr>
                  </w:pPr>
                  <w:r w:rsidRPr="00687B52">
                    <w:rPr>
                      <w:rFonts w:hint="eastAsia"/>
                      <w:color w:val="000000" w:themeColor="text1"/>
                      <w:szCs w:val="24"/>
                    </w:rPr>
                    <w:t>200</w:t>
                  </w:r>
                </w:p>
              </w:tc>
            </w:tr>
            <w:tr w:rsidR="00656820" w:rsidRPr="00687B52" w:rsidTr="00925D4C">
              <w:tc>
                <w:tcPr>
                  <w:tcW w:w="3958" w:type="dxa"/>
                  <w:vAlign w:val="center"/>
                </w:tcPr>
                <w:p w:rsidR="00656820" w:rsidRPr="00687B52" w:rsidRDefault="00656820" w:rsidP="00925D4C">
                  <w:pPr>
                    <w:pStyle w:val="a7"/>
                    <w:jc w:val="both"/>
                    <w:rPr>
                      <w:color w:val="000000" w:themeColor="text1"/>
                      <w:szCs w:val="24"/>
                    </w:rPr>
                  </w:pPr>
                  <w:r w:rsidRPr="00687B52">
                    <w:rPr>
                      <w:rFonts w:hint="eastAsia"/>
                      <w:color w:val="000000" w:themeColor="text1"/>
                      <w:szCs w:val="24"/>
                    </w:rPr>
                    <w:t>装煤车煤斗顶部与煤塔前檐的距离</w:t>
                  </w:r>
                </w:p>
              </w:tc>
              <w:tc>
                <w:tcPr>
                  <w:tcW w:w="1984" w:type="dxa"/>
                  <w:vAlign w:val="center"/>
                </w:tcPr>
                <w:p w:rsidR="00656820" w:rsidRPr="00687B52" w:rsidRDefault="00656820" w:rsidP="00925D4C">
                  <w:pPr>
                    <w:pStyle w:val="a7"/>
                    <w:rPr>
                      <w:color w:val="000000" w:themeColor="text1"/>
                      <w:szCs w:val="24"/>
                    </w:rPr>
                  </w:pPr>
                  <w:r w:rsidRPr="00687B52">
                    <w:rPr>
                      <w:rFonts w:hint="eastAsia"/>
                      <w:color w:val="000000" w:themeColor="text1"/>
                      <w:szCs w:val="24"/>
                    </w:rPr>
                    <w:t>200</w:t>
                  </w:r>
                </w:p>
              </w:tc>
            </w:tr>
            <w:tr w:rsidR="00656820" w:rsidRPr="00687B52" w:rsidTr="00925D4C">
              <w:tc>
                <w:tcPr>
                  <w:tcW w:w="3958" w:type="dxa"/>
                  <w:vAlign w:val="center"/>
                </w:tcPr>
                <w:p w:rsidR="00656820" w:rsidRPr="00687B52" w:rsidRDefault="00656820" w:rsidP="00925D4C">
                  <w:pPr>
                    <w:pStyle w:val="a7"/>
                    <w:jc w:val="both"/>
                    <w:rPr>
                      <w:color w:val="000000" w:themeColor="text1"/>
                      <w:szCs w:val="24"/>
                    </w:rPr>
                  </w:pPr>
                  <w:r w:rsidRPr="00687B52">
                    <w:rPr>
                      <w:rFonts w:hint="eastAsia"/>
                      <w:color w:val="000000" w:themeColor="text1"/>
                      <w:szCs w:val="24"/>
                    </w:rPr>
                    <w:t>装煤车与煤塔内操作台的距离</w:t>
                  </w:r>
                  <w:r w:rsidRPr="00687B52">
                    <w:rPr>
                      <w:rFonts w:hint="eastAsia"/>
                      <w:color w:val="000000" w:themeColor="text1"/>
                      <w:szCs w:val="24"/>
                    </w:rPr>
                    <w:t> </w:t>
                  </w:r>
                </w:p>
              </w:tc>
              <w:tc>
                <w:tcPr>
                  <w:tcW w:w="1984" w:type="dxa"/>
                  <w:vAlign w:val="center"/>
                </w:tcPr>
                <w:p w:rsidR="00656820" w:rsidRPr="00687B52" w:rsidRDefault="00656820" w:rsidP="00925D4C">
                  <w:pPr>
                    <w:pStyle w:val="a7"/>
                    <w:rPr>
                      <w:color w:val="000000" w:themeColor="text1"/>
                      <w:szCs w:val="24"/>
                    </w:rPr>
                  </w:pPr>
                  <w:r w:rsidRPr="00687B52">
                    <w:rPr>
                      <w:rFonts w:hint="eastAsia"/>
                      <w:color w:val="000000" w:themeColor="text1"/>
                      <w:szCs w:val="24"/>
                    </w:rPr>
                    <w:t>100</w:t>
                  </w:r>
                </w:p>
              </w:tc>
            </w:tr>
            <w:tr w:rsidR="00656820" w:rsidRPr="00687B52" w:rsidTr="00925D4C">
              <w:tc>
                <w:tcPr>
                  <w:tcW w:w="3958" w:type="dxa"/>
                  <w:vAlign w:val="center"/>
                </w:tcPr>
                <w:p w:rsidR="00656820" w:rsidRPr="00687B52" w:rsidRDefault="00656820" w:rsidP="00925D4C">
                  <w:pPr>
                    <w:pStyle w:val="a7"/>
                    <w:jc w:val="both"/>
                    <w:rPr>
                      <w:color w:val="000000" w:themeColor="text1"/>
                      <w:szCs w:val="24"/>
                    </w:rPr>
                  </w:pPr>
                  <w:r w:rsidRPr="00687B52">
                    <w:rPr>
                      <w:rFonts w:hint="eastAsia"/>
                      <w:color w:val="000000" w:themeColor="text1"/>
                      <w:szCs w:val="24"/>
                    </w:rPr>
                    <w:t>装煤车与炉顶工人休息室间的距离</w:t>
                  </w:r>
                  <w:r w:rsidRPr="00687B52">
                    <w:rPr>
                      <w:rFonts w:hint="eastAsia"/>
                      <w:color w:val="000000" w:themeColor="text1"/>
                      <w:szCs w:val="24"/>
                    </w:rPr>
                    <w:t> </w:t>
                  </w:r>
                </w:p>
              </w:tc>
              <w:tc>
                <w:tcPr>
                  <w:tcW w:w="1984" w:type="dxa"/>
                  <w:vAlign w:val="center"/>
                </w:tcPr>
                <w:p w:rsidR="00656820" w:rsidRPr="00687B52" w:rsidRDefault="00656820" w:rsidP="00925D4C">
                  <w:pPr>
                    <w:pStyle w:val="a7"/>
                    <w:rPr>
                      <w:color w:val="000000" w:themeColor="text1"/>
                      <w:szCs w:val="24"/>
                    </w:rPr>
                  </w:pPr>
                  <w:r w:rsidRPr="00687B52">
                    <w:rPr>
                      <w:rFonts w:hint="eastAsia"/>
                      <w:color w:val="000000" w:themeColor="text1"/>
                      <w:szCs w:val="24"/>
                    </w:rPr>
                    <w:t>750</w:t>
                  </w:r>
                </w:p>
              </w:tc>
            </w:tr>
            <w:tr w:rsidR="00656820" w:rsidRPr="00687B52" w:rsidTr="00925D4C">
              <w:tc>
                <w:tcPr>
                  <w:tcW w:w="3958" w:type="dxa"/>
                  <w:vAlign w:val="center"/>
                </w:tcPr>
                <w:p w:rsidR="00656820" w:rsidRPr="00687B52" w:rsidRDefault="00656820" w:rsidP="00925D4C">
                  <w:pPr>
                    <w:pStyle w:val="a7"/>
                    <w:jc w:val="both"/>
                    <w:rPr>
                      <w:color w:val="000000" w:themeColor="text1"/>
                      <w:szCs w:val="24"/>
                    </w:rPr>
                  </w:pPr>
                  <w:r w:rsidRPr="00687B52">
                    <w:rPr>
                      <w:rFonts w:hint="eastAsia"/>
                      <w:color w:val="000000" w:themeColor="text1"/>
                      <w:szCs w:val="24"/>
                    </w:rPr>
                    <w:t>拦焦机与炉柱及炉门突出部分的距离</w:t>
                  </w:r>
                </w:p>
              </w:tc>
              <w:tc>
                <w:tcPr>
                  <w:tcW w:w="1984" w:type="dxa"/>
                  <w:vAlign w:val="center"/>
                </w:tcPr>
                <w:p w:rsidR="00656820" w:rsidRPr="00687B52" w:rsidRDefault="00656820" w:rsidP="00925D4C">
                  <w:pPr>
                    <w:pStyle w:val="a7"/>
                    <w:rPr>
                      <w:color w:val="000000" w:themeColor="text1"/>
                      <w:szCs w:val="24"/>
                    </w:rPr>
                  </w:pPr>
                  <w:r w:rsidRPr="00687B52">
                    <w:rPr>
                      <w:rFonts w:hint="eastAsia"/>
                      <w:color w:val="000000" w:themeColor="text1"/>
                      <w:szCs w:val="24"/>
                    </w:rPr>
                    <w:t>100</w:t>
                  </w:r>
                </w:p>
              </w:tc>
            </w:tr>
            <w:tr w:rsidR="00656820" w:rsidRPr="00687B52" w:rsidTr="00925D4C">
              <w:tc>
                <w:tcPr>
                  <w:tcW w:w="3958" w:type="dxa"/>
                  <w:vAlign w:val="center"/>
                </w:tcPr>
                <w:p w:rsidR="00656820" w:rsidRPr="00687B52" w:rsidRDefault="00656820" w:rsidP="00925D4C">
                  <w:pPr>
                    <w:pStyle w:val="a7"/>
                    <w:jc w:val="both"/>
                    <w:rPr>
                      <w:color w:val="000000" w:themeColor="text1"/>
                      <w:szCs w:val="24"/>
                    </w:rPr>
                  </w:pPr>
                  <w:r w:rsidRPr="00687B52">
                    <w:rPr>
                      <w:rFonts w:hint="eastAsia"/>
                      <w:color w:val="000000" w:themeColor="text1"/>
                      <w:szCs w:val="24"/>
                    </w:rPr>
                    <w:t> </w:t>
                  </w:r>
                  <w:r w:rsidRPr="00687B52">
                    <w:rPr>
                      <w:rFonts w:hint="eastAsia"/>
                      <w:color w:val="000000" w:themeColor="text1"/>
                      <w:szCs w:val="24"/>
                    </w:rPr>
                    <w:t>熄焦车底板与焦台上部边缘的净空高度</w:t>
                  </w:r>
                </w:p>
              </w:tc>
              <w:tc>
                <w:tcPr>
                  <w:tcW w:w="1984" w:type="dxa"/>
                  <w:vAlign w:val="center"/>
                </w:tcPr>
                <w:p w:rsidR="00656820" w:rsidRPr="00687B52" w:rsidRDefault="00656820" w:rsidP="00925D4C">
                  <w:pPr>
                    <w:pStyle w:val="a7"/>
                    <w:rPr>
                      <w:color w:val="000000" w:themeColor="text1"/>
                      <w:szCs w:val="24"/>
                    </w:rPr>
                  </w:pPr>
                  <w:r w:rsidRPr="00687B52">
                    <w:rPr>
                      <w:rFonts w:hint="eastAsia"/>
                      <w:color w:val="000000" w:themeColor="text1"/>
                      <w:szCs w:val="24"/>
                    </w:rPr>
                    <w:t>250</w:t>
                  </w:r>
                </w:p>
              </w:tc>
            </w:tr>
            <w:tr w:rsidR="00656820" w:rsidRPr="00687B52" w:rsidTr="00925D4C">
              <w:tc>
                <w:tcPr>
                  <w:tcW w:w="3958" w:type="dxa"/>
                  <w:vAlign w:val="center"/>
                </w:tcPr>
                <w:p w:rsidR="00656820" w:rsidRPr="00687B52" w:rsidRDefault="00656820" w:rsidP="00925D4C">
                  <w:pPr>
                    <w:pStyle w:val="a7"/>
                    <w:jc w:val="both"/>
                    <w:rPr>
                      <w:color w:val="000000" w:themeColor="text1"/>
                      <w:szCs w:val="24"/>
                    </w:rPr>
                  </w:pPr>
                  <w:r w:rsidRPr="00687B52">
                    <w:rPr>
                      <w:rFonts w:hint="eastAsia"/>
                      <w:color w:val="000000" w:themeColor="text1"/>
                      <w:szCs w:val="24"/>
                    </w:rPr>
                    <w:t>吸气弯管与集气管走台面的净空高度</w:t>
                  </w:r>
                  <w:r w:rsidRPr="00687B52">
                    <w:rPr>
                      <w:rFonts w:hint="eastAsia"/>
                      <w:color w:val="000000" w:themeColor="text1"/>
                      <w:szCs w:val="24"/>
                    </w:rPr>
                    <w:t> </w:t>
                  </w:r>
                </w:p>
              </w:tc>
              <w:tc>
                <w:tcPr>
                  <w:tcW w:w="1984" w:type="dxa"/>
                  <w:vAlign w:val="center"/>
                </w:tcPr>
                <w:p w:rsidR="00656820" w:rsidRPr="00687B52" w:rsidRDefault="00656820" w:rsidP="00925D4C">
                  <w:pPr>
                    <w:pStyle w:val="a7"/>
                    <w:rPr>
                      <w:color w:val="000000" w:themeColor="text1"/>
                      <w:szCs w:val="24"/>
                    </w:rPr>
                  </w:pPr>
                  <w:r w:rsidRPr="00687B52">
                    <w:rPr>
                      <w:rFonts w:hint="eastAsia"/>
                      <w:color w:val="000000" w:themeColor="text1"/>
                      <w:szCs w:val="24"/>
                    </w:rPr>
                    <w:t>1900</w:t>
                  </w:r>
                </w:p>
              </w:tc>
            </w:tr>
            <w:tr w:rsidR="00656820" w:rsidRPr="00687B52" w:rsidTr="00925D4C">
              <w:tc>
                <w:tcPr>
                  <w:tcW w:w="3958" w:type="dxa"/>
                  <w:vAlign w:val="center"/>
                </w:tcPr>
                <w:p w:rsidR="00656820" w:rsidRPr="00687B52" w:rsidRDefault="00656820" w:rsidP="00925D4C">
                  <w:pPr>
                    <w:pStyle w:val="a7"/>
                    <w:jc w:val="both"/>
                    <w:rPr>
                      <w:color w:val="000000" w:themeColor="text1"/>
                      <w:szCs w:val="24"/>
                    </w:rPr>
                  </w:pPr>
                  <w:r w:rsidRPr="00687B52">
                    <w:rPr>
                      <w:rFonts w:hint="eastAsia"/>
                      <w:color w:val="000000" w:themeColor="text1"/>
                      <w:szCs w:val="24"/>
                    </w:rPr>
                    <w:t>地下室煤气分配支管净空高度</w:t>
                  </w:r>
                  <w:r w:rsidRPr="00687B52">
                    <w:rPr>
                      <w:rFonts w:hint="eastAsia"/>
                      <w:color w:val="000000" w:themeColor="text1"/>
                      <w:szCs w:val="24"/>
                    </w:rPr>
                    <w:t>   </w:t>
                  </w:r>
                </w:p>
              </w:tc>
              <w:tc>
                <w:tcPr>
                  <w:tcW w:w="1984" w:type="dxa"/>
                  <w:vAlign w:val="center"/>
                </w:tcPr>
                <w:p w:rsidR="00656820" w:rsidRPr="00687B52" w:rsidRDefault="00656820" w:rsidP="00925D4C">
                  <w:pPr>
                    <w:pStyle w:val="a7"/>
                    <w:rPr>
                      <w:color w:val="000000" w:themeColor="text1"/>
                      <w:szCs w:val="24"/>
                    </w:rPr>
                  </w:pPr>
                  <w:r w:rsidRPr="00687B52">
                    <w:rPr>
                      <w:rFonts w:hint="eastAsia"/>
                      <w:color w:val="000000" w:themeColor="text1"/>
                      <w:szCs w:val="24"/>
                    </w:rPr>
                    <w:t>1800</w:t>
                  </w:r>
                </w:p>
              </w:tc>
            </w:tr>
            <w:tr w:rsidR="00656820" w:rsidRPr="00687B52" w:rsidTr="00925D4C">
              <w:tc>
                <w:tcPr>
                  <w:tcW w:w="3958" w:type="dxa"/>
                  <w:vAlign w:val="center"/>
                </w:tcPr>
                <w:p w:rsidR="00656820" w:rsidRPr="00687B52" w:rsidRDefault="00656820" w:rsidP="00925D4C">
                  <w:pPr>
                    <w:pStyle w:val="a7"/>
                    <w:jc w:val="both"/>
                    <w:rPr>
                      <w:color w:val="000000" w:themeColor="text1"/>
                      <w:szCs w:val="24"/>
                    </w:rPr>
                  </w:pPr>
                  <w:r w:rsidRPr="00687B52">
                    <w:rPr>
                      <w:rFonts w:hint="eastAsia"/>
                      <w:color w:val="000000" w:themeColor="text1"/>
                      <w:szCs w:val="24"/>
                    </w:rPr>
                    <w:t> </w:t>
                  </w:r>
                  <w:r w:rsidRPr="00687B52">
                    <w:rPr>
                      <w:rFonts w:hint="eastAsia"/>
                      <w:color w:val="000000" w:themeColor="text1"/>
                      <w:szCs w:val="24"/>
                    </w:rPr>
                    <w:t>两侧烟道走廊内的通道净宽</w:t>
                  </w:r>
                  <w:r w:rsidRPr="00687B52">
                    <w:rPr>
                      <w:rFonts w:hint="eastAsia"/>
                      <w:color w:val="000000" w:themeColor="text1"/>
                      <w:szCs w:val="24"/>
                    </w:rPr>
                    <w:t> </w:t>
                  </w:r>
                </w:p>
              </w:tc>
              <w:tc>
                <w:tcPr>
                  <w:tcW w:w="1984" w:type="dxa"/>
                  <w:vAlign w:val="center"/>
                </w:tcPr>
                <w:p w:rsidR="00656820" w:rsidRPr="00687B52" w:rsidRDefault="00656820" w:rsidP="00925D4C">
                  <w:pPr>
                    <w:pStyle w:val="a7"/>
                    <w:rPr>
                      <w:color w:val="000000" w:themeColor="text1"/>
                      <w:szCs w:val="24"/>
                    </w:rPr>
                  </w:pPr>
                  <w:r w:rsidRPr="00687B52">
                    <w:rPr>
                      <w:rFonts w:hint="eastAsia"/>
                      <w:color w:val="000000" w:themeColor="text1"/>
                      <w:szCs w:val="24"/>
                    </w:rPr>
                    <w:t>700</w:t>
                  </w:r>
                </w:p>
              </w:tc>
            </w:tr>
          </w:tbl>
          <w:p w:rsidR="00656820" w:rsidRPr="00687B52" w:rsidRDefault="00656820" w:rsidP="00656820">
            <w:pPr>
              <w:pStyle w:val="a7"/>
              <w:spacing w:line="380" w:lineRule="exact"/>
              <w:jc w:val="left"/>
              <w:rPr>
                <w:color w:val="000000" w:themeColor="text1"/>
                <w:szCs w:val="24"/>
              </w:rPr>
            </w:pPr>
          </w:p>
        </w:tc>
        <w:tc>
          <w:tcPr>
            <w:tcW w:w="1029" w:type="pct"/>
            <w:shd w:val="clear" w:color="auto" w:fill="auto"/>
            <w:vAlign w:val="center"/>
          </w:tcPr>
          <w:p w:rsidR="00656820" w:rsidRPr="00687B52" w:rsidRDefault="00925D4C" w:rsidP="00925D4C">
            <w:pPr>
              <w:jc w:val="left"/>
              <w:rPr>
                <w:color w:val="000000" w:themeColor="text1"/>
                <w:szCs w:val="24"/>
              </w:rPr>
            </w:pPr>
            <w:r w:rsidRPr="00687B52">
              <w:rPr>
                <w:rFonts w:asciiTheme="minorEastAsia" w:hAnsiTheme="minorEastAsia" w:cs="Times New Roman" w:hint="eastAsia"/>
                <w:color w:val="000000" w:themeColor="text1"/>
                <w:sz w:val="24"/>
                <w:szCs w:val="24"/>
              </w:rPr>
              <w:t>《炼焦工艺设计规范》</w:t>
            </w:r>
            <w:r w:rsidR="00656820" w:rsidRPr="00687B52">
              <w:rPr>
                <w:rFonts w:asciiTheme="minorEastAsia" w:hAnsiTheme="minorEastAsia" w:cs="Times New Roman"/>
                <w:color w:val="000000" w:themeColor="text1"/>
                <w:sz w:val="24"/>
                <w:szCs w:val="24"/>
              </w:rPr>
              <w:t>GB50</w:t>
            </w:r>
            <w:r w:rsidR="00656820" w:rsidRPr="00687B52">
              <w:rPr>
                <w:rFonts w:asciiTheme="minorEastAsia" w:hAnsiTheme="minorEastAsia" w:cs="Times New Roman" w:hint="eastAsia"/>
                <w:color w:val="000000" w:themeColor="text1"/>
                <w:sz w:val="24"/>
                <w:szCs w:val="24"/>
              </w:rPr>
              <w:t>432-2007第5.6.1条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925D4C" w:rsidP="00925D4C">
            <w:pP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3.1.5</w:t>
            </w:r>
          </w:p>
        </w:tc>
        <w:tc>
          <w:tcPr>
            <w:tcW w:w="2351" w:type="pct"/>
            <w:shd w:val="clear" w:color="auto" w:fill="auto"/>
            <w:vAlign w:val="center"/>
          </w:tcPr>
          <w:p w:rsidR="00656820" w:rsidRPr="00687B52" w:rsidRDefault="00656820" w:rsidP="00656820">
            <w:pPr>
              <w:pStyle w:val="a7"/>
              <w:spacing w:line="380" w:lineRule="exact"/>
              <w:jc w:val="left"/>
              <w:rPr>
                <w:color w:val="000000" w:themeColor="text1"/>
                <w:szCs w:val="24"/>
              </w:rPr>
            </w:pPr>
            <w:r w:rsidRPr="00687B52">
              <w:rPr>
                <w:rFonts w:hint="eastAsia"/>
                <w:color w:val="000000" w:themeColor="text1"/>
                <w:szCs w:val="24"/>
              </w:rPr>
              <w:t>电气与自动化</w:t>
            </w:r>
          </w:p>
        </w:tc>
        <w:tc>
          <w:tcPr>
            <w:tcW w:w="1029" w:type="pct"/>
            <w:shd w:val="clear" w:color="auto" w:fill="auto"/>
            <w:vAlign w:val="center"/>
          </w:tcPr>
          <w:p w:rsidR="00656820" w:rsidRPr="00687B52" w:rsidRDefault="00656820" w:rsidP="00656820">
            <w:pPr>
              <w:pStyle w:val="a7"/>
              <w:spacing w:line="380" w:lineRule="exact"/>
              <w:jc w:val="both"/>
              <w:rPr>
                <w:color w:val="000000" w:themeColor="text1"/>
                <w:szCs w:val="24"/>
              </w:rPr>
            </w:pP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0"/>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szCs w:val="24"/>
              </w:rPr>
            </w:pPr>
            <w:r w:rsidRPr="00687B52">
              <w:rPr>
                <w:rFonts w:hint="eastAsia"/>
                <w:color w:val="000000" w:themeColor="text1"/>
                <w:szCs w:val="24"/>
              </w:rPr>
              <w:t>炼焦供电应按双回路电源设计。</w:t>
            </w:r>
          </w:p>
        </w:tc>
        <w:tc>
          <w:tcPr>
            <w:tcW w:w="1029" w:type="pct"/>
            <w:shd w:val="clear" w:color="auto" w:fill="auto"/>
            <w:vAlign w:val="center"/>
          </w:tcPr>
          <w:p w:rsidR="00656820" w:rsidRPr="00687B52" w:rsidRDefault="00925D4C" w:rsidP="00527C62">
            <w:pPr>
              <w:pStyle w:val="a7"/>
              <w:jc w:val="left"/>
              <w:rPr>
                <w:color w:val="000000" w:themeColor="text1"/>
                <w:szCs w:val="24"/>
              </w:rPr>
            </w:pPr>
            <w:r w:rsidRPr="00687B52">
              <w:rPr>
                <w:rFonts w:hint="eastAsia"/>
                <w:color w:val="000000" w:themeColor="text1"/>
                <w:szCs w:val="24"/>
              </w:rPr>
              <w:t>《炼焦工艺设计规范》</w:t>
            </w:r>
            <w:r w:rsidR="00656820" w:rsidRPr="00687B52">
              <w:rPr>
                <w:color w:val="000000" w:themeColor="text1"/>
                <w:szCs w:val="24"/>
              </w:rPr>
              <w:t>GB50</w:t>
            </w:r>
            <w:r w:rsidR="00656820" w:rsidRPr="00687B52">
              <w:rPr>
                <w:rFonts w:hint="eastAsia"/>
                <w:color w:val="000000" w:themeColor="text1"/>
                <w:szCs w:val="24"/>
              </w:rPr>
              <w:t>432-2007</w:t>
            </w:r>
            <w:r w:rsidR="00656820" w:rsidRPr="00687B52">
              <w:rPr>
                <w:rFonts w:hint="eastAsia"/>
                <w:color w:val="000000" w:themeColor="text1"/>
                <w:szCs w:val="24"/>
              </w:rPr>
              <w:t>第</w:t>
            </w:r>
            <w:r w:rsidR="00656820" w:rsidRPr="00687B52">
              <w:rPr>
                <w:rFonts w:hint="eastAsia"/>
                <w:color w:val="000000" w:themeColor="text1"/>
                <w:szCs w:val="24"/>
              </w:rPr>
              <w:t>8.1.1</w:t>
            </w:r>
            <w:r w:rsidR="00656820" w:rsidRPr="00687B52">
              <w:rPr>
                <w:rFonts w:hint="eastAsia"/>
                <w:color w:val="000000" w:themeColor="text1"/>
                <w:szCs w:val="24"/>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0"/>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szCs w:val="24"/>
              </w:rPr>
            </w:pPr>
            <w:r w:rsidRPr="00687B52">
              <w:rPr>
                <w:rFonts w:hint="eastAsia"/>
                <w:color w:val="000000" w:themeColor="text1"/>
                <w:szCs w:val="24"/>
              </w:rPr>
              <w:t>焦炉移动车辆、液压交换机应采用</w:t>
            </w:r>
            <w:r w:rsidRPr="00687B52">
              <w:rPr>
                <w:rFonts w:hint="eastAsia"/>
                <w:color w:val="000000" w:themeColor="text1"/>
                <w:szCs w:val="24"/>
              </w:rPr>
              <w:t>PLC</w:t>
            </w:r>
            <w:r w:rsidRPr="00687B52">
              <w:rPr>
                <w:rFonts w:hint="eastAsia"/>
                <w:color w:val="000000" w:themeColor="text1"/>
                <w:szCs w:val="24"/>
              </w:rPr>
              <w:t>控制，焦炉移动车辆的走行电机宜配置变频装置。</w:t>
            </w:r>
          </w:p>
        </w:tc>
        <w:tc>
          <w:tcPr>
            <w:tcW w:w="1029" w:type="pct"/>
            <w:shd w:val="clear" w:color="auto" w:fill="auto"/>
            <w:vAlign w:val="center"/>
          </w:tcPr>
          <w:p w:rsidR="00656820" w:rsidRPr="00687B52" w:rsidRDefault="00925D4C" w:rsidP="00527C62">
            <w:pPr>
              <w:pStyle w:val="a7"/>
              <w:jc w:val="left"/>
              <w:rPr>
                <w:color w:val="000000" w:themeColor="text1"/>
                <w:szCs w:val="24"/>
              </w:rPr>
            </w:pPr>
            <w:r w:rsidRPr="00687B52">
              <w:rPr>
                <w:rFonts w:hint="eastAsia"/>
                <w:color w:val="000000" w:themeColor="text1"/>
                <w:szCs w:val="24"/>
              </w:rPr>
              <w:t>《炼焦工艺设计规范》</w:t>
            </w:r>
            <w:r w:rsidR="00656820" w:rsidRPr="00687B52">
              <w:rPr>
                <w:color w:val="000000" w:themeColor="text1"/>
                <w:szCs w:val="24"/>
              </w:rPr>
              <w:t>GB50</w:t>
            </w:r>
            <w:r w:rsidR="00656820" w:rsidRPr="00687B52">
              <w:rPr>
                <w:rFonts w:hint="eastAsia"/>
                <w:color w:val="000000" w:themeColor="text1"/>
                <w:szCs w:val="24"/>
              </w:rPr>
              <w:t>432-2007</w:t>
            </w:r>
            <w:r w:rsidR="00656820" w:rsidRPr="00687B52">
              <w:rPr>
                <w:rFonts w:hint="eastAsia"/>
                <w:color w:val="000000" w:themeColor="text1"/>
                <w:szCs w:val="24"/>
              </w:rPr>
              <w:t>第</w:t>
            </w:r>
            <w:r w:rsidR="00656820" w:rsidRPr="00687B52">
              <w:rPr>
                <w:rFonts w:hint="eastAsia"/>
                <w:color w:val="000000" w:themeColor="text1"/>
                <w:szCs w:val="24"/>
              </w:rPr>
              <w:t>8.1.2</w:t>
            </w:r>
            <w:r w:rsidR="00656820" w:rsidRPr="00687B52">
              <w:rPr>
                <w:rFonts w:hint="eastAsia"/>
                <w:color w:val="000000" w:themeColor="text1"/>
                <w:szCs w:val="24"/>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0"/>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szCs w:val="24"/>
              </w:rPr>
            </w:pPr>
            <w:r w:rsidRPr="00687B52">
              <w:rPr>
                <w:rFonts w:hint="eastAsia"/>
                <w:color w:val="000000" w:themeColor="text1"/>
                <w:szCs w:val="24"/>
              </w:rPr>
              <w:t>焦炉移动车辆宜设置炉号自动识别、连锁对位及作业管理控制系统。</w:t>
            </w:r>
          </w:p>
        </w:tc>
        <w:tc>
          <w:tcPr>
            <w:tcW w:w="1029" w:type="pct"/>
            <w:shd w:val="clear" w:color="auto" w:fill="auto"/>
            <w:vAlign w:val="center"/>
          </w:tcPr>
          <w:p w:rsidR="00656820" w:rsidRPr="00687B52" w:rsidRDefault="00925D4C" w:rsidP="00527C62">
            <w:pPr>
              <w:pStyle w:val="a7"/>
              <w:jc w:val="left"/>
              <w:rPr>
                <w:color w:val="000000" w:themeColor="text1"/>
                <w:szCs w:val="24"/>
              </w:rPr>
            </w:pPr>
            <w:r w:rsidRPr="00687B52">
              <w:rPr>
                <w:rFonts w:hint="eastAsia"/>
                <w:color w:val="000000" w:themeColor="text1"/>
                <w:szCs w:val="24"/>
              </w:rPr>
              <w:t>《炼焦工艺设计规范》</w:t>
            </w:r>
            <w:r w:rsidR="00656820" w:rsidRPr="00687B52">
              <w:rPr>
                <w:color w:val="000000" w:themeColor="text1"/>
                <w:szCs w:val="24"/>
              </w:rPr>
              <w:t>GB50</w:t>
            </w:r>
            <w:r w:rsidR="00656820" w:rsidRPr="00687B52">
              <w:rPr>
                <w:rFonts w:hint="eastAsia"/>
                <w:color w:val="000000" w:themeColor="text1"/>
                <w:szCs w:val="24"/>
              </w:rPr>
              <w:t>432-2007</w:t>
            </w:r>
            <w:r w:rsidR="00656820" w:rsidRPr="00687B52">
              <w:rPr>
                <w:rFonts w:hint="eastAsia"/>
                <w:color w:val="000000" w:themeColor="text1"/>
                <w:szCs w:val="24"/>
              </w:rPr>
              <w:t>第</w:t>
            </w:r>
            <w:r w:rsidR="00656820" w:rsidRPr="00687B52">
              <w:rPr>
                <w:rFonts w:hint="eastAsia"/>
                <w:color w:val="000000" w:themeColor="text1"/>
                <w:szCs w:val="24"/>
              </w:rPr>
              <w:t>8.1.3</w:t>
            </w:r>
            <w:r w:rsidR="00656820" w:rsidRPr="00687B52">
              <w:rPr>
                <w:rFonts w:hint="eastAsia"/>
                <w:color w:val="000000" w:themeColor="text1"/>
                <w:szCs w:val="24"/>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0"/>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szCs w:val="24"/>
              </w:rPr>
            </w:pPr>
            <w:r w:rsidRPr="00687B52">
              <w:rPr>
                <w:rFonts w:hint="eastAsia"/>
                <w:color w:val="000000" w:themeColor="text1"/>
                <w:szCs w:val="24"/>
              </w:rPr>
              <w:t>焦炉工作场所应设置正常照明及应急照明，焦炉烟囱应设置障碍照明。</w:t>
            </w:r>
          </w:p>
        </w:tc>
        <w:tc>
          <w:tcPr>
            <w:tcW w:w="1029" w:type="pct"/>
            <w:shd w:val="clear" w:color="auto" w:fill="auto"/>
            <w:vAlign w:val="center"/>
          </w:tcPr>
          <w:p w:rsidR="00656820" w:rsidRPr="00687B52" w:rsidRDefault="00925D4C" w:rsidP="00527C62">
            <w:pPr>
              <w:pStyle w:val="a7"/>
              <w:jc w:val="left"/>
              <w:rPr>
                <w:color w:val="000000" w:themeColor="text1"/>
                <w:szCs w:val="24"/>
              </w:rPr>
            </w:pPr>
            <w:r w:rsidRPr="00687B52">
              <w:rPr>
                <w:rFonts w:hint="eastAsia"/>
                <w:color w:val="000000" w:themeColor="text1"/>
                <w:szCs w:val="24"/>
              </w:rPr>
              <w:t>《炼焦工艺设计规范》</w:t>
            </w:r>
            <w:r w:rsidR="00656820" w:rsidRPr="00687B52">
              <w:rPr>
                <w:color w:val="000000" w:themeColor="text1"/>
                <w:szCs w:val="24"/>
              </w:rPr>
              <w:t>GB50</w:t>
            </w:r>
            <w:r w:rsidR="00656820" w:rsidRPr="00687B52">
              <w:rPr>
                <w:rFonts w:hint="eastAsia"/>
                <w:color w:val="000000" w:themeColor="text1"/>
                <w:szCs w:val="24"/>
              </w:rPr>
              <w:t>432-2007</w:t>
            </w:r>
            <w:r w:rsidR="00656820" w:rsidRPr="00687B52">
              <w:rPr>
                <w:rFonts w:hint="eastAsia"/>
                <w:color w:val="000000" w:themeColor="text1"/>
                <w:szCs w:val="24"/>
              </w:rPr>
              <w:t>第</w:t>
            </w:r>
            <w:r w:rsidR="00656820" w:rsidRPr="00687B52">
              <w:rPr>
                <w:rFonts w:hint="eastAsia"/>
                <w:color w:val="000000" w:themeColor="text1"/>
                <w:szCs w:val="24"/>
              </w:rPr>
              <w:t>8.1.4</w:t>
            </w:r>
            <w:r w:rsidR="00656820" w:rsidRPr="00687B52">
              <w:rPr>
                <w:rFonts w:hint="eastAsia"/>
                <w:color w:val="000000" w:themeColor="text1"/>
                <w:szCs w:val="24"/>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0"/>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szCs w:val="24"/>
              </w:rPr>
            </w:pPr>
            <w:r w:rsidRPr="00687B52">
              <w:rPr>
                <w:rFonts w:hint="eastAsia"/>
                <w:color w:val="000000" w:themeColor="text1"/>
                <w:szCs w:val="24"/>
              </w:rPr>
              <w:t>焦炉烟囱、煤塔和熄焦塔等必须设置防雷接地装置。</w:t>
            </w:r>
          </w:p>
        </w:tc>
        <w:tc>
          <w:tcPr>
            <w:tcW w:w="1029" w:type="pct"/>
            <w:shd w:val="clear" w:color="auto" w:fill="auto"/>
            <w:vAlign w:val="center"/>
          </w:tcPr>
          <w:p w:rsidR="00656820" w:rsidRPr="00687B52" w:rsidRDefault="00925D4C" w:rsidP="00527C62">
            <w:pPr>
              <w:pStyle w:val="a7"/>
              <w:jc w:val="left"/>
              <w:rPr>
                <w:color w:val="000000" w:themeColor="text1"/>
                <w:szCs w:val="24"/>
              </w:rPr>
            </w:pPr>
            <w:r w:rsidRPr="00687B52">
              <w:rPr>
                <w:rFonts w:hint="eastAsia"/>
                <w:color w:val="000000" w:themeColor="text1"/>
                <w:szCs w:val="24"/>
              </w:rPr>
              <w:t>《炼焦工艺设计规范》</w:t>
            </w:r>
            <w:r w:rsidR="00656820" w:rsidRPr="00687B52">
              <w:rPr>
                <w:color w:val="000000" w:themeColor="text1"/>
                <w:szCs w:val="24"/>
              </w:rPr>
              <w:t>GB50</w:t>
            </w:r>
            <w:r w:rsidR="00656820" w:rsidRPr="00687B52">
              <w:rPr>
                <w:rFonts w:hint="eastAsia"/>
                <w:color w:val="000000" w:themeColor="text1"/>
                <w:szCs w:val="24"/>
              </w:rPr>
              <w:t>432-2007</w:t>
            </w:r>
            <w:r w:rsidR="00656820" w:rsidRPr="00687B52">
              <w:rPr>
                <w:rFonts w:hint="eastAsia"/>
                <w:color w:val="000000" w:themeColor="text1"/>
                <w:szCs w:val="24"/>
              </w:rPr>
              <w:t>第</w:t>
            </w:r>
            <w:r w:rsidR="00656820" w:rsidRPr="00687B52">
              <w:rPr>
                <w:rFonts w:hint="eastAsia"/>
                <w:color w:val="000000" w:themeColor="text1"/>
                <w:szCs w:val="24"/>
              </w:rPr>
              <w:t>8.1.5</w:t>
            </w:r>
            <w:r w:rsidR="00656820" w:rsidRPr="00687B52">
              <w:rPr>
                <w:rFonts w:hint="eastAsia"/>
                <w:color w:val="000000" w:themeColor="text1"/>
                <w:szCs w:val="24"/>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0"/>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szCs w:val="24"/>
              </w:rPr>
            </w:pPr>
            <w:r w:rsidRPr="00687B52">
              <w:rPr>
                <w:rFonts w:hint="eastAsia"/>
                <w:color w:val="000000" w:themeColor="text1"/>
                <w:szCs w:val="24"/>
              </w:rPr>
              <w:t>采用贫煤气加热的焦炉地下室必须设置固定式一氧化碳检测及报警装置。</w:t>
            </w:r>
          </w:p>
        </w:tc>
        <w:tc>
          <w:tcPr>
            <w:tcW w:w="1029" w:type="pct"/>
            <w:shd w:val="clear" w:color="auto" w:fill="auto"/>
            <w:vAlign w:val="center"/>
          </w:tcPr>
          <w:p w:rsidR="00656820" w:rsidRPr="00687B52" w:rsidRDefault="00925D4C" w:rsidP="00527C62">
            <w:pPr>
              <w:pStyle w:val="a7"/>
              <w:jc w:val="left"/>
              <w:rPr>
                <w:color w:val="000000" w:themeColor="text1"/>
                <w:szCs w:val="24"/>
              </w:rPr>
            </w:pPr>
            <w:r w:rsidRPr="00687B52">
              <w:rPr>
                <w:rFonts w:hint="eastAsia"/>
                <w:color w:val="000000" w:themeColor="text1"/>
                <w:szCs w:val="24"/>
              </w:rPr>
              <w:t>《炼焦工艺设计规范》</w:t>
            </w:r>
            <w:r w:rsidR="00656820" w:rsidRPr="00687B52">
              <w:rPr>
                <w:color w:val="000000" w:themeColor="text1"/>
                <w:szCs w:val="24"/>
              </w:rPr>
              <w:t>GB50</w:t>
            </w:r>
            <w:r w:rsidR="00656820" w:rsidRPr="00687B52">
              <w:rPr>
                <w:rFonts w:hint="eastAsia"/>
                <w:color w:val="000000" w:themeColor="text1"/>
                <w:szCs w:val="24"/>
              </w:rPr>
              <w:t>432-2007</w:t>
            </w:r>
            <w:r w:rsidR="00656820" w:rsidRPr="00687B52">
              <w:rPr>
                <w:rFonts w:hint="eastAsia"/>
                <w:color w:val="000000" w:themeColor="text1"/>
                <w:szCs w:val="24"/>
              </w:rPr>
              <w:t>第</w:t>
            </w:r>
            <w:r w:rsidR="00656820" w:rsidRPr="00687B52">
              <w:rPr>
                <w:rFonts w:hint="eastAsia"/>
                <w:color w:val="000000" w:themeColor="text1"/>
                <w:szCs w:val="24"/>
              </w:rPr>
              <w:t>8.1.6</w:t>
            </w:r>
            <w:r w:rsidR="00656820" w:rsidRPr="00687B52">
              <w:rPr>
                <w:rFonts w:hint="eastAsia"/>
                <w:color w:val="000000" w:themeColor="text1"/>
                <w:szCs w:val="24"/>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0"/>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szCs w:val="24"/>
              </w:rPr>
            </w:pPr>
            <w:r w:rsidRPr="00687B52">
              <w:rPr>
                <w:rFonts w:hint="eastAsia"/>
                <w:color w:val="000000" w:themeColor="text1"/>
                <w:szCs w:val="24"/>
              </w:rPr>
              <w:t>焦炉交换机室、控制室和配电室等场所必须设置火灾检测及报警装置。</w:t>
            </w:r>
          </w:p>
        </w:tc>
        <w:tc>
          <w:tcPr>
            <w:tcW w:w="1029" w:type="pct"/>
            <w:shd w:val="clear" w:color="auto" w:fill="auto"/>
            <w:vAlign w:val="center"/>
          </w:tcPr>
          <w:p w:rsidR="00656820" w:rsidRPr="00687B52" w:rsidRDefault="00925D4C" w:rsidP="00527C62">
            <w:pPr>
              <w:pStyle w:val="a7"/>
              <w:jc w:val="left"/>
              <w:rPr>
                <w:color w:val="000000" w:themeColor="text1"/>
                <w:szCs w:val="24"/>
              </w:rPr>
            </w:pPr>
            <w:r w:rsidRPr="00687B52">
              <w:rPr>
                <w:rFonts w:hint="eastAsia"/>
                <w:color w:val="000000" w:themeColor="text1"/>
                <w:szCs w:val="24"/>
              </w:rPr>
              <w:t>《炼焦工艺设计规范》</w:t>
            </w:r>
            <w:r w:rsidR="00656820" w:rsidRPr="00687B52">
              <w:rPr>
                <w:color w:val="000000" w:themeColor="text1"/>
                <w:szCs w:val="24"/>
              </w:rPr>
              <w:t>GB50</w:t>
            </w:r>
            <w:r w:rsidR="00656820" w:rsidRPr="00687B52">
              <w:rPr>
                <w:rFonts w:hint="eastAsia"/>
                <w:color w:val="000000" w:themeColor="text1"/>
                <w:szCs w:val="24"/>
              </w:rPr>
              <w:t>432-2007</w:t>
            </w:r>
            <w:r w:rsidR="00656820" w:rsidRPr="00687B52">
              <w:rPr>
                <w:rFonts w:hint="eastAsia"/>
                <w:color w:val="000000" w:themeColor="text1"/>
                <w:szCs w:val="24"/>
              </w:rPr>
              <w:t>第</w:t>
            </w:r>
            <w:r w:rsidR="00656820" w:rsidRPr="00687B52">
              <w:rPr>
                <w:rFonts w:hint="eastAsia"/>
                <w:color w:val="000000" w:themeColor="text1"/>
                <w:szCs w:val="24"/>
              </w:rPr>
              <w:t>8.1.7</w:t>
            </w:r>
            <w:r w:rsidR="00656820" w:rsidRPr="00687B52">
              <w:rPr>
                <w:rFonts w:hint="eastAsia"/>
                <w:color w:val="000000" w:themeColor="text1"/>
                <w:szCs w:val="24"/>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0"/>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szCs w:val="24"/>
              </w:rPr>
            </w:pPr>
            <w:r w:rsidRPr="00687B52">
              <w:rPr>
                <w:rFonts w:hint="eastAsia"/>
                <w:color w:val="000000" w:themeColor="text1"/>
                <w:szCs w:val="24"/>
              </w:rPr>
              <w:t>焦炉应设置中央控制室，并应采用集散控制系统进行集中操作、监视和管理。</w:t>
            </w:r>
          </w:p>
        </w:tc>
        <w:tc>
          <w:tcPr>
            <w:tcW w:w="1029" w:type="pct"/>
            <w:shd w:val="clear" w:color="auto" w:fill="auto"/>
            <w:vAlign w:val="center"/>
          </w:tcPr>
          <w:p w:rsidR="00656820" w:rsidRPr="00687B52" w:rsidRDefault="00925D4C" w:rsidP="00527C62">
            <w:pPr>
              <w:pStyle w:val="a7"/>
              <w:jc w:val="left"/>
              <w:rPr>
                <w:color w:val="000000" w:themeColor="text1"/>
                <w:szCs w:val="24"/>
              </w:rPr>
            </w:pPr>
            <w:r w:rsidRPr="00687B52">
              <w:rPr>
                <w:rFonts w:hint="eastAsia"/>
                <w:color w:val="000000" w:themeColor="text1"/>
                <w:szCs w:val="24"/>
              </w:rPr>
              <w:t>《炼焦工艺设计规范》</w:t>
            </w:r>
            <w:r w:rsidR="00656820" w:rsidRPr="00687B52">
              <w:rPr>
                <w:color w:val="000000" w:themeColor="text1"/>
                <w:szCs w:val="24"/>
              </w:rPr>
              <w:t>GB50</w:t>
            </w:r>
            <w:r w:rsidR="00656820" w:rsidRPr="00687B52">
              <w:rPr>
                <w:rFonts w:hint="eastAsia"/>
                <w:color w:val="000000" w:themeColor="text1"/>
                <w:szCs w:val="24"/>
              </w:rPr>
              <w:t>432-2007</w:t>
            </w:r>
            <w:r w:rsidR="00656820" w:rsidRPr="00687B52">
              <w:rPr>
                <w:rFonts w:hint="eastAsia"/>
                <w:color w:val="000000" w:themeColor="text1"/>
                <w:szCs w:val="24"/>
              </w:rPr>
              <w:t>第</w:t>
            </w:r>
            <w:r w:rsidR="00656820" w:rsidRPr="00687B52">
              <w:rPr>
                <w:rFonts w:hint="eastAsia"/>
                <w:color w:val="000000" w:themeColor="text1"/>
                <w:szCs w:val="24"/>
              </w:rPr>
              <w:t>8.1.8</w:t>
            </w:r>
            <w:r w:rsidR="00656820" w:rsidRPr="00687B52">
              <w:rPr>
                <w:rFonts w:hint="eastAsia"/>
                <w:color w:val="000000" w:themeColor="text1"/>
                <w:szCs w:val="24"/>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0"/>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szCs w:val="24"/>
              </w:rPr>
            </w:pPr>
            <w:r w:rsidRPr="00687B52">
              <w:rPr>
                <w:rFonts w:hint="eastAsia"/>
                <w:color w:val="000000" w:themeColor="text1"/>
                <w:szCs w:val="24"/>
              </w:rPr>
              <w:t>焦炉加热系统应设置温度、压力、流量和热值的测量装置，以及压力或流量的调节装置。</w:t>
            </w:r>
          </w:p>
        </w:tc>
        <w:tc>
          <w:tcPr>
            <w:tcW w:w="1029" w:type="pct"/>
            <w:shd w:val="clear" w:color="auto" w:fill="auto"/>
            <w:vAlign w:val="center"/>
          </w:tcPr>
          <w:p w:rsidR="00656820" w:rsidRPr="00687B52" w:rsidRDefault="00925D4C" w:rsidP="00527C62">
            <w:pPr>
              <w:pStyle w:val="a7"/>
              <w:jc w:val="left"/>
              <w:rPr>
                <w:color w:val="000000" w:themeColor="text1"/>
                <w:szCs w:val="24"/>
              </w:rPr>
            </w:pPr>
            <w:r w:rsidRPr="00687B52">
              <w:rPr>
                <w:rFonts w:hint="eastAsia"/>
                <w:color w:val="000000" w:themeColor="text1"/>
                <w:szCs w:val="24"/>
              </w:rPr>
              <w:t>《炼焦工艺设计规范》</w:t>
            </w:r>
            <w:r w:rsidR="00656820" w:rsidRPr="00687B52">
              <w:rPr>
                <w:color w:val="000000" w:themeColor="text1"/>
                <w:szCs w:val="24"/>
              </w:rPr>
              <w:t>GB50</w:t>
            </w:r>
            <w:r w:rsidR="00656820" w:rsidRPr="00687B52">
              <w:rPr>
                <w:rFonts w:hint="eastAsia"/>
                <w:color w:val="000000" w:themeColor="text1"/>
                <w:szCs w:val="24"/>
              </w:rPr>
              <w:t>432-2007</w:t>
            </w:r>
            <w:r w:rsidR="00656820" w:rsidRPr="00687B52">
              <w:rPr>
                <w:rFonts w:hint="eastAsia"/>
                <w:color w:val="000000" w:themeColor="text1"/>
                <w:szCs w:val="24"/>
              </w:rPr>
              <w:t>第</w:t>
            </w:r>
            <w:r w:rsidR="00656820" w:rsidRPr="00687B52">
              <w:rPr>
                <w:rFonts w:hint="eastAsia"/>
                <w:color w:val="000000" w:themeColor="text1"/>
                <w:szCs w:val="24"/>
              </w:rPr>
              <w:t>8.1.9</w:t>
            </w:r>
            <w:r w:rsidR="00656820" w:rsidRPr="00687B52">
              <w:rPr>
                <w:rFonts w:hint="eastAsia"/>
                <w:color w:val="000000" w:themeColor="text1"/>
                <w:szCs w:val="24"/>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0"/>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szCs w:val="24"/>
              </w:rPr>
            </w:pPr>
            <w:r w:rsidRPr="00687B52">
              <w:rPr>
                <w:rFonts w:hint="eastAsia"/>
                <w:color w:val="000000" w:themeColor="text1"/>
                <w:szCs w:val="24"/>
              </w:rPr>
              <w:t>焦炉应设置加热煤气的低压报警和联锁装置。</w:t>
            </w:r>
          </w:p>
        </w:tc>
        <w:tc>
          <w:tcPr>
            <w:tcW w:w="1029" w:type="pct"/>
            <w:shd w:val="clear" w:color="auto" w:fill="auto"/>
            <w:vAlign w:val="center"/>
          </w:tcPr>
          <w:p w:rsidR="00656820" w:rsidRPr="00687B52" w:rsidRDefault="00925D4C" w:rsidP="00527C62">
            <w:pPr>
              <w:pStyle w:val="a7"/>
              <w:jc w:val="left"/>
              <w:rPr>
                <w:color w:val="000000" w:themeColor="text1"/>
                <w:szCs w:val="24"/>
              </w:rPr>
            </w:pPr>
            <w:r w:rsidRPr="00687B52">
              <w:rPr>
                <w:rFonts w:hint="eastAsia"/>
                <w:color w:val="000000" w:themeColor="text1"/>
                <w:szCs w:val="24"/>
              </w:rPr>
              <w:t>《炼焦工艺设计规范》</w:t>
            </w:r>
            <w:r w:rsidR="00656820" w:rsidRPr="00687B52">
              <w:rPr>
                <w:color w:val="000000" w:themeColor="text1"/>
                <w:szCs w:val="24"/>
              </w:rPr>
              <w:t>GB50</w:t>
            </w:r>
            <w:r w:rsidR="00656820" w:rsidRPr="00687B52">
              <w:rPr>
                <w:rFonts w:hint="eastAsia"/>
                <w:color w:val="000000" w:themeColor="text1"/>
                <w:szCs w:val="24"/>
              </w:rPr>
              <w:t>432-2007</w:t>
            </w:r>
            <w:r w:rsidR="00656820" w:rsidRPr="00687B52">
              <w:rPr>
                <w:rFonts w:hint="eastAsia"/>
                <w:color w:val="000000" w:themeColor="text1"/>
                <w:szCs w:val="24"/>
              </w:rPr>
              <w:t>第</w:t>
            </w:r>
            <w:r w:rsidR="00656820" w:rsidRPr="00687B52">
              <w:rPr>
                <w:rFonts w:hint="eastAsia"/>
                <w:color w:val="000000" w:themeColor="text1"/>
                <w:szCs w:val="24"/>
              </w:rPr>
              <w:t>8.1.10</w:t>
            </w:r>
            <w:r w:rsidR="00656820" w:rsidRPr="00687B52">
              <w:rPr>
                <w:rFonts w:hint="eastAsia"/>
                <w:color w:val="000000" w:themeColor="text1"/>
                <w:szCs w:val="24"/>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0"/>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szCs w:val="24"/>
              </w:rPr>
            </w:pPr>
            <w:r w:rsidRPr="00687B52">
              <w:rPr>
                <w:rFonts w:hint="eastAsia"/>
                <w:color w:val="000000" w:themeColor="text1"/>
                <w:szCs w:val="24"/>
              </w:rPr>
              <w:t>焦炉集气管应设置荒煤气温度、压力测量装置以及压力自动调节装置。</w:t>
            </w:r>
            <w:r w:rsidRPr="00687B52">
              <w:rPr>
                <w:rFonts w:hint="eastAsia"/>
                <w:color w:val="000000" w:themeColor="text1"/>
                <w:szCs w:val="24"/>
              </w:rPr>
              <w:t> </w:t>
            </w:r>
          </w:p>
        </w:tc>
        <w:tc>
          <w:tcPr>
            <w:tcW w:w="1029" w:type="pct"/>
            <w:shd w:val="clear" w:color="auto" w:fill="auto"/>
            <w:vAlign w:val="center"/>
          </w:tcPr>
          <w:p w:rsidR="00656820" w:rsidRPr="00687B52" w:rsidRDefault="00925D4C" w:rsidP="00527C62">
            <w:pPr>
              <w:pStyle w:val="a7"/>
              <w:jc w:val="left"/>
              <w:rPr>
                <w:color w:val="000000" w:themeColor="text1"/>
                <w:szCs w:val="24"/>
              </w:rPr>
            </w:pPr>
            <w:r w:rsidRPr="00687B52">
              <w:rPr>
                <w:rFonts w:hint="eastAsia"/>
                <w:color w:val="000000" w:themeColor="text1"/>
                <w:szCs w:val="24"/>
              </w:rPr>
              <w:t>《炼焦工艺设计规范》</w:t>
            </w:r>
            <w:r w:rsidR="00656820" w:rsidRPr="00687B52">
              <w:rPr>
                <w:color w:val="000000" w:themeColor="text1"/>
                <w:szCs w:val="24"/>
              </w:rPr>
              <w:t>GB50</w:t>
            </w:r>
            <w:r w:rsidR="00656820" w:rsidRPr="00687B52">
              <w:rPr>
                <w:rFonts w:hint="eastAsia"/>
                <w:color w:val="000000" w:themeColor="text1"/>
                <w:szCs w:val="24"/>
              </w:rPr>
              <w:t>432-2007</w:t>
            </w:r>
            <w:r w:rsidR="00656820" w:rsidRPr="00687B52">
              <w:rPr>
                <w:rFonts w:hint="eastAsia"/>
                <w:color w:val="000000" w:themeColor="text1"/>
                <w:szCs w:val="24"/>
              </w:rPr>
              <w:t>第</w:t>
            </w:r>
            <w:r w:rsidR="00656820" w:rsidRPr="00687B52">
              <w:rPr>
                <w:rFonts w:hint="eastAsia"/>
                <w:color w:val="000000" w:themeColor="text1"/>
                <w:szCs w:val="24"/>
              </w:rPr>
              <w:t>8.1.11</w:t>
            </w:r>
            <w:r w:rsidR="00656820" w:rsidRPr="00687B52">
              <w:rPr>
                <w:rFonts w:hint="eastAsia"/>
                <w:color w:val="000000" w:themeColor="text1"/>
                <w:szCs w:val="24"/>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0"/>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szCs w:val="24"/>
              </w:rPr>
            </w:pPr>
            <w:r w:rsidRPr="00687B52">
              <w:rPr>
                <w:rFonts w:hint="eastAsia"/>
                <w:color w:val="000000" w:themeColor="text1"/>
                <w:szCs w:val="24"/>
              </w:rPr>
              <w:t>焦炉分烟道应设置废气温度及含氧量的测量装置，并应设置吸力测量及自动调节装置；总烟道应设置废气温度和吸力测量装置。</w:t>
            </w:r>
          </w:p>
        </w:tc>
        <w:tc>
          <w:tcPr>
            <w:tcW w:w="1029" w:type="pct"/>
            <w:shd w:val="clear" w:color="auto" w:fill="auto"/>
            <w:vAlign w:val="center"/>
          </w:tcPr>
          <w:p w:rsidR="00656820" w:rsidRPr="00687B52" w:rsidRDefault="00925D4C" w:rsidP="00527C62">
            <w:pPr>
              <w:pStyle w:val="a7"/>
              <w:jc w:val="left"/>
              <w:rPr>
                <w:color w:val="000000" w:themeColor="text1"/>
                <w:szCs w:val="24"/>
              </w:rPr>
            </w:pPr>
            <w:r w:rsidRPr="00687B52">
              <w:rPr>
                <w:rFonts w:hint="eastAsia"/>
                <w:color w:val="000000" w:themeColor="text1"/>
                <w:szCs w:val="24"/>
              </w:rPr>
              <w:t>《炼焦工艺设计规范》</w:t>
            </w:r>
            <w:r w:rsidR="00656820" w:rsidRPr="00687B52">
              <w:rPr>
                <w:color w:val="000000" w:themeColor="text1"/>
                <w:szCs w:val="24"/>
              </w:rPr>
              <w:t>GB50</w:t>
            </w:r>
            <w:r w:rsidR="00656820" w:rsidRPr="00687B52">
              <w:rPr>
                <w:rFonts w:hint="eastAsia"/>
                <w:color w:val="000000" w:themeColor="text1"/>
                <w:szCs w:val="24"/>
              </w:rPr>
              <w:t>432-2007</w:t>
            </w:r>
            <w:r w:rsidR="00656820" w:rsidRPr="00687B52">
              <w:rPr>
                <w:rFonts w:hint="eastAsia"/>
                <w:color w:val="000000" w:themeColor="text1"/>
                <w:szCs w:val="24"/>
              </w:rPr>
              <w:t>第</w:t>
            </w:r>
            <w:r w:rsidR="00656820" w:rsidRPr="00687B52">
              <w:rPr>
                <w:rFonts w:hint="eastAsia"/>
                <w:color w:val="000000" w:themeColor="text1"/>
                <w:szCs w:val="24"/>
              </w:rPr>
              <w:t>8.1.12</w:t>
            </w:r>
            <w:r w:rsidR="00656820" w:rsidRPr="00687B52">
              <w:rPr>
                <w:rFonts w:hint="eastAsia"/>
                <w:color w:val="000000" w:themeColor="text1"/>
                <w:szCs w:val="24"/>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0"/>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szCs w:val="24"/>
              </w:rPr>
            </w:pPr>
            <w:r w:rsidRPr="00687B52">
              <w:rPr>
                <w:rFonts w:hint="eastAsia"/>
                <w:color w:val="000000" w:themeColor="text1"/>
                <w:szCs w:val="24"/>
              </w:rPr>
              <w:t>焦炉应设置下列检测装置：</w:t>
            </w:r>
            <w:r w:rsidRPr="00687B52">
              <w:rPr>
                <w:rFonts w:hint="eastAsia"/>
                <w:color w:val="000000" w:themeColor="text1"/>
                <w:szCs w:val="24"/>
              </w:rPr>
              <w:t> </w:t>
            </w:r>
          </w:p>
          <w:p w:rsidR="00656820" w:rsidRPr="00687B52" w:rsidRDefault="00656820" w:rsidP="00527C62">
            <w:pPr>
              <w:pStyle w:val="a7"/>
              <w:jc w:val="left"/>
              <w:rPr>
                <w:color w:val="000000" w:themeColor="text1"/>
                <w:szCs w:val="24"/>
              </w:rPr>
            </w:pPr>
            <w:r w:rsidRPr="00687B52">
              <w:rPr>
                <w:rFonts w:hint="eastAsia"/>
                <w:color w:val="000000" w:themeColor="text1"/>
                <w:szCs w:val="24"/>
              </w:rPr>
              <w:t>1</w:t>
            </w:r>
            <w:r w:rsidRPr="00687B52">
              <w:rPr>
                <w:rFonts w:hint="eastAsia"/>
                <w:color w:val="000000" w:themeColor="text1"/>
                <w:szCs w:val="24"/>
              </w:rPr>
              <w:t>推焦电流自动检测和传送装置。</w:t>
            </w:r>
            <w:r w:rsidRPr="00687B52">
              <w:rPr>
                <w:rFonts w:hint="eastAsia"/>
                <w:color w:val="000000" w:themeColor="text1"/>
                <w:szCs w:val="24"/>
              </w:rPr>
              <w:t> </w:t>
            </w:r>
          </w:p>
          <w:p w:rsidR="00656820" w:rsidRPr="00687B52" w:rsidRDefault="00656820" w:rsidP="00527C62">
            <w:pPr>
              <w:pStyle w:val="a7"/>
              <w:jc w:val="left"/>
              <w:rPr>
                <w:color w:val="000000" w:themeColor="text1"/>
                <w:szCs w:val="24"/>
              </w:rPr>
            </w:pPr>
            <w:r w:rsidRPr="00687B52">
              <w:rPr>
                <w:rFonts w:hint="eastAsia"/>
                <w:color w:val="000000" w:themeColor="text1"/>
                <w:szCs w:val="24"/>
              </w:rPr>
              <w:t>2</w:t>
            </w:r>
            <w:r w:rsidRPr="00687B52">
              <w:rPr>
                <w:rFonts w:hint="eastAsia"/>
                <w:color w:val="000000" w:themeColor="text1"/>
                <w:szCs w:val="24"/>
              </w:rPr>
              <w:t>基于每座焦炉的加热用煤气流量自动累积记录装置。</w:t>
            </w:r>
            <w:r w:rsidRPr="00687B52">
              <w:rPr>
                <w:rFonts w:hint="eastAsia"/>
                <w:color w:val="000000" w:themeColor="text1"/>
                <w:szCs w:val="24"/>
              </w:rPr>
              <w:t> </w:t>
            </w:r>
          </w:p>
          <w:p w:rsidR="00656820" w:rsidRPr="00687B52" w:rsidRDefault="00656820" w:rsidP="00527C62">
            <w:pPr>
              <w:pStyle w:val="a7"/>
              <w:jc w:val="left"/>
              <w:rPr>
                <w:color w:val="000000" w:themeColor="text1"/>
                <w:szCs w:val="24"/>
              </w:rPr>
            </w:pPr>
            <w:r w:rsidRPr="00687B52">
              <w:rPr>
                <w:rFonts w:hint="eastAsia"/>
                <w:color w:val="000000" w:themeColor="text1"/>
                <w:szCs w:val="24"/>
              </w:rPr>
              <w:t>3</w:t>
            </w:r>
            <w:r w:rsidRPr="00687B52">
              <w:rPr>
                <w:rFonts w:hint="eastAsia"/>
                <w:color w:val="000000" w:themeColor="text1"/>
                <w:szCs w:val="24"/>
              </w:rPr>
              <w:t>测量焦炉炉温、具有数据储存与处理功能的红外高温计。</w:t>
            </w:r>
            <w:r w:rsidRPr="00687B52">
              <w:rPr>
                <w:rFonts w:hint="eastAsia"/>
                <w:color w:val="000000" w:themeColor="text1"/>
                <w:szCs w:val="24"/>
              </w:rPr>
              <w:t> </w:t>
            </w:r>
          </w:p>
          <w:p w:rsidR="00656820" w:rsidRPr="00687B52" w:rsidRDefault="00656820" w:rsidP="00527C62">
            <w:pPr>
              <w:pStyle w:val="a7"/>
              <w:jc w:val="left"/>
              <w:rPr>
                <w:color w:val="000000" w:themeColor="text1"/>
                <w:szCs w:val="24"/>
              </w:rPr>
            </w:pPr>
            <w:r w:rsidRPr="00687B52">
              <w:rPr>
                <w:rFonts w:hint="eastAsia"/>
                <w:color w:val="000000" w:themeColor="text1"/>
                <w:szCs w:val="24"/>
              </w:rPr>
              <w:t>4</w:t>
            </w:r>
            <w:r w:rsidRPr="00687B52">
              <w:rPr>
                <w:rFonts w:hint="eastAsia"/>
                <w:color w:val="000000" w:themeColor="text1"/>
                <w:szCs w:val="24"/>
              </w:rPr>
              <w:t>焦炉装煤量自动称量装置和装炉煤水分自动检测装置。</w:t>
            </w:r>
          </w:p>
        </w:tc>
        <w:tc>
          <w:tcPr>
            <w:tcW w:w="1029" w:type="pct"/>
            <w:shd w:val="clear" w:color="auto" w:fill="auto"/>
            <w:vAlign w:val="center"/>
          </w:tcPr>
          <w:p w:rsidR="00656820" w:rsidRPr="00687B52" w:rsidRDefault="00925D4C" w:rsidP="00527C62">
            <w:pPr>
              <w:pStyle w:val="a7"/>
              <w:jc w:val="left"/>
              <w:rPr>
                <w:color w:val="000000" w:themeColor="text1"/>
                <w:szCs w:val="24"/>
              </w:rPr>
            </w:pPr>
            <w:r w:rsidRPr="00687B52">
              <w:rPr>
                <w:rFonts w:hint="eastAsia"/>
                <w:color w:val="000000" w:themeColor="text1"/>
                <w:szCs w:val="24"/>
              </w:rPr>
              <w:t>《炼焦工艺设计规范》</w:t>
            </w:r>
            <w:r w:rsidR="00656820" w:rsidRPr="00687B52">
              <w:rPr>
                <w:color w:val="000000" w:themeColor="text1"/>
                <w:szCs w:val="24"/>
              </w:rPr>
              <w:t>GB50</w:t>
            </w:r>
            <w:r w:rsidR="00656820" w:rsidRPr="00687B52">
              <w:rPr>
                <w:rFonts w:hint="eastAsia"/>
                <w:color w:val="000000" w:themeColor="text1"/>
                <w:szCs w:val="24"/>
              </w:rPr>
              <w:t>432-2007</w:t>
            </w:r>
            <w:r w:rsidR="00656820" w:rsidRPr="00687B52">
              <w:rPr>
                <w:rFonts w:hint="eastAsia"/>
                <w:color w:val="000000" w:themeColor="text1"/>
                <w:szCs w:val="24"/>
              </w:rPr>
              <w:t>第</w:t>
            </w:r>
            <w:r w:rsidR="00656820" w:rsidRPr="00687B52">
              <w:rPr>
                <w:rFonts w:hint="eastAsia"/>
                <w:color w:val="000000" w:themeColor="text1"/>
                <w:szCs w:val="24"/>
              </w:rPr>
              <w:t>8.1.13</w:t>
            </w:r>
            <w:r w:rsidR="00656820" w:rsidRPr="00687B52">
              <w:rPr>
                <w:rFonts w:hint="eastAsia"/>
                <w:color w:val="000000" w:themeColor="text1"/>
                <w:szCs w:val="24"/>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0"/>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szCs w:val="24"/>
              </w:rPr>
            </w:pPr>
            <w:r w:rsidRPr="00687B52">
              <w:rPr>
                <w:rFonts w:hint="eastAsia"/>
                <w:color w:val="000000" w:themeColor="text1"/>
                <w:szCs w:val="24"/>
              </w:rPr>
              <w:t>应按所在地的环保要求，设置相应的焦炉烟囱废气排放自动检测装置。</w:t>
            </w:r>
          </w:p>
        </w:tc>
        <w:tc>
          <w:tcPr>
            <w:tcW w:w="1029" w:type="pct"/>
            <w:shd w:val="clear" w:color="auto" w:fill="auto"/>
            <w:vAlign w:val="center"/>
          </w:tcPr>
          <w:p w:rsidR="00656820" w:rsidRPr="00687B52" w:rsidRDefault="00925D4C" w:rsidP="00527C62">
            <w:pPr>
              <w:pStyle w:val="a7"/>
              <w:jc w:val="left"/>
              <w:rPr>
                <w:color w:val="000000" w:themeColor="text1"/>
                <w:szCs w:val="24"/>
              </w:rPr>
            </w:pPr>
            <w:r w:rsidRPr="00687B52">
              <w:rPr>
                <w:rFonts w:hint="eastAsia"/>
                <w:color w:val="000000" w:themeColor="text1"/>
                <w:szCs w:val="24"/>
              </w:rPr>
              <w:t>《炼焦工艺设计规范》</w:t>
            </w:r>
            <w:r w:rsidR="00656820" w:rsidRPr="00687B52">
              <w:rPr>
                <w:color w:val="000000" w:themeColor="text1"/>
                <w:szCs w:val="24"/>
              </w:rPr>
              <w:t>GB50</w:t>
            </w:r>
            <w:r w:rsidR="00656820" w:rsidRPr="00687B52">
              <w:rPr>
                <w:rFonts w:hint="eastAsia"/>
                <w:color w:val="000000" w:themeColor="text1"/>
                <w:szCs w:val="24"/>
              </w:rPr>
              <w:t>432-2007</w:t>
            </w:r>
            <w:r w:rsidR="00656820" w:rsidRPr="00687B52">
              <w:rPr>
                <w:rFonts w:hint="eastAsia"/>
                <w:color w:val="000000" w:themeColor="text1"/>
                <w:szCs w:val="24"/>
              </w:rPr>
              <w:t>第</w:t>
            </w:r>
            <w:r w:rsidR="00656820" w:rsidRPr="00687B52">
              <w:rPr>
                <w:rFonts w:hint="eastAsia"/>
                <w:color w:val="000000" w:themeColor="text1"/>
                <w:szCs w:val="24"/>
              </w:rPr>
              <w:t>8.1.14</w:t>
            </w:r>
            <w:r w:rsidR="00656820" w:rsidRPr="00687B52">
              <w:rPr>
                <w:rFonts w:hint="eastAsia"/>
                <w:color w:val="000000" w:themeColor="text1"/>
                <w:szCs w:val="24"/>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0"/>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szCs w:val="24"/>
              </w:rPr>
            </w:pPr>
            <w:r w:rsidRPr="00687B52">
              <w:rPr>
                <w:rFonts w:hint="eastAsia"/>
                <w:color w:val="000000" w:themeColor="text1"/>
                <w:szCs w:val="24"/>
              </w:rPr>
              <w:t>焦炉加热宜采用计算机加热控制和管理系统。</w:t>
            </w:r>
          </w:p>
        </w:tc>
        <w:tc>
          <w:tcPr>
            <w:tcW w:w="1029" w:type="pct"/>
            <w:shd w:val="clear" w:color="auto" w:fill="auto"/>
            <w:vAlign w:val="center"/>
          </w:tcPr>
          <w:p w:rsidR="00656820" w:rsidRPr="00687B52" w:rsidRDefault="00925D4C" w:rsidP="00527C62">
            <w:pPr>
              <w:pStyle w:val="a7"/>
              <w:jc w:val="left"/>
              <w:rPr>
                <w:color w:val="000000" w:themeColor="text1"/>
                <w:szCs w:val="24"/>
              </w:rPr>
            </w:pPr>
            <w:r w:rsidRPr="00687B52">
              <w:rPr>
                <w:rFonts w:hint="eastAsia"/>
                <w:color w:val="000000" w:themeColor="text1"/>
                <w:szCs w:val="24"/>
              </w:rPr>
              <w:t>《炼焦工艺设计规范》</w:t>
            </w:r>
            <w:r w:rsidR="00656820" w:rsidRPr="00687B52">
              <w:rPr>
                <w:color w:val="000000" w:themeColor="text1"/>
                <w:szCs w:val="24"/>
              </w:rPr>
              <w:t>GB50</w:t>
            </w:r>
            <w:r w:rsidR="00656820" w:rsidRPr="00687B52">
              <w:rPr>
                <w:rFonts w:hint="eastAsia"/>
                <w:color w:val="000000" w:themeColor="text1"/>
                <w:szCs w:val="24"/>
              </w:rPr>
              <w:t>432-2007</w:t>
            </w:r>
            <w:r w:rsidR="00656820" w:rsidRPr="00687B52">
              <w:rPr>
                <w:rFonts w:hint="eastAsia"/>
                <w:color w:val="000000" w:themeColor="text1"/>
                <w:szCs w:val="24"/>
              </w:rPr>
              <w:t>第</w:t>
            </w:r>
            <w:r w:rsidR="00656820" w:rsidRPr="00687B52">
              <w:rPr>
                <w:rFonts w:hint="eastAsia"/>
                <w:color w:val="000000" w:themeColor="text1"/>
                <w:szCs w:val="24"/>
              </w:rPr>
              <w:t>8.1.15</w:t>
            </w:r>
            <w:r w:rsidR="00656820" w:rsidRPr="00687B52">
              <w:rPr>
                <w:rFonts w:hint="eastAsia"/>
                <w:color w:val="000000" w:themeColor="text1"/>
                <w:szCs w:val="24"/>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925D4C" w:rsidP="00925D4C">
            <w:pPr>
              <w:jc w:val="cente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3.2</w:t>
            </w:r>
          </w:p>
        </w:tc>
        <w:tc>
          <w:tcPr>
            <w:tcW w:w="2351" w:type="pct"/>
            <w:shd w:val="clear" w:color="auto" w:fill="auto"/>
            <w:vAlign w:val="center"/>
          </w:tcPr>
          <w:p w:rsidR="00656820" w:rsidRPr="00687B52" w:rsidRDefault="00656820" w:rsidP="00656820">
            <w:pPr>
              <w:pStyle w:val="a7"/>
              <w:spacing w:line="360" w:lineRule="exact"/>
              <w:jc w:val="left"/>
              <w:rPr>
                <w:b/>
                <w:color w:val="000000" w:themeColor="text1"/>
                <w:szCs w:val="24"/>
              </w:rPr>
            </w:pPr>
            <w:r w:rsidRPr="00687B52">
              <w:rPr>
                <w:rFonts w:hint="eastAsia"/>
                <w:b/>
                <w:color w:val="000000" w:themeColor="text1"/>
                <w:szCs w:val="24"/>
              </w:rPr>
              <w:t>干熄焦</w:t>
            </w:r>
          </w:p>
        </w:tc>
        <w:tc>
          <w:tcPr>
            <w:tcW w:w="1029" w:type="pct"/>
            <w:shd w:val="clear" w:color="auto" w:fill="auto"/>
            <w:vAlign w:val="center"/>
          </w:tcPr>
          <w:p w:rsidR="00656820" w:rsidRPr="00687B52" w:rsidRDefault="00656820" w:rsidP="00656820">
            <w:pPr>
              <w:pStyle w:val="a7"/>
              <w:spacing w:line="360" w:lineRule="exact"/>
              <w:jc w:val="both"/>
              <w:rPr>
                <w:color w:val="000000" w:themeColor="text1"/>
                <w:szCs w:val="24"/>
              </w:rPr>
            </w:pP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925D4C" w:rsidP="00925D4C">
            <w:pPr>
              <w:jc w:val="cente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3.</w:t>
            </w:r>
            <w:r w:rsidR="00656820" w:rsidRPr="00687B52">
              <w:rPr>
                <w:rFonts w:asciiTheme="minorEastAsia" w:hAnsiTheme="minorEastAsia" w:cs="Times New Roman" w:hint="eastAsia"/>
                <w:color w:val="000000" w:themeColor="text1"/>
                <w:sz w:val="24"/>
                <w:szCs w:val="24"/>
              </w:rPr>
              <w:t>2.1</w:t>
            </w:r>
          </w:p>
        </w:tc>
        <w:tc>
          <w:tcPr>
            <w:tcW w:w="2351" w:type="pct"/>
            <w:shd w:val="clear" w:color="auto" w:fill="auto"/>
            <w:vAlign w:val="center"/>
          </w:tcPr>
          <w:p w:rsidR="00656820" w:rsidRPr="00687B52" w:rsidRDefault="00656820" w:rsidP="00656820">
            <w:pPr>
              <w:pStyle w:val="a7"/>
              <w:spacing w:line="360" w:lineRule="exact"/>
              <w:jc w:val="left"/>
              <w:rPr>
                <w:b/>
                <w:color w:val="000000" w:themeColor="text1"/>
                <w:szCs w:val="24"/>
              </w:rPr>
            </w:pPr>
            <w:r w:rsidRPr="00687B52">
              <w:rPr>
                <w:rFonts w:hint="eastAsia"/>
                <w:b/>
                <w:color w:val="000000" w:themeColor="text1"/>
                <w:szCs w:val="24"/>
              </w:rPr>
              <w:t>干熄焦工艺布置</w:t>
            </w:r>
          </w:p>
        </w:tc>
        <w:tc>
          <w:tcPr>
            <w:tcW w:w="1029" w:type="pct"/>
            <w:shd w:val="clear" w:color="auto" w:fill="auto"/>
            <w:vAlign w:val="center"/>
          </w:tcPr>
          <w:p w:rsidR="00656820" w:rsidRPr="00687B52" w:rsidRDefault="00656820" w:rsidP="00656820">
            <w:pPr>
              <w:pStyle w:val="a7"/>
              <w:spacing w:line="360" w:lineRule="exact"/>
              <w:jc w:val="both"/>
              <w:rPr>
                <w:color w:val="000000" w:themeColor="text1"/>
                <w:szCs w:val="24"/>
              </w:rPr>
            </w:pP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1"/>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焦炉或焦炉组需设置两套或两套以上干熄焦装置时，宜集中布置在一个干熄站内。</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6.3.2</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1"/>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除氧给水泵站应布置在干熄焦锅炉附近，可独立设置或与干熄焦系统其他构筑物统一联合布置，并应为施工、安全运行、巡回检查和方便操作创造条件。</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6.3.3</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1"/>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干熄焦主框架应设置电梯。</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6.3.7</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925D4C" w:rsidP="00925D4C">
            <w:pPr>
              <w:jc w:val="cente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3.</w:t>
            </w:r>
            <w:r w:rsidR="00656820" w:rsidRPr="00687B52">
              <w:rPr>
                <w:rFonts w:asciiTheme="minorEastAsia" w:hAnsiTheme="minorEastAsia" w:cs="Times New Roman" w:hint="eastAsia"/>
                <w:color w:val="000000" w:themeColor="text1"/>
                <w:sz w:val="24"/>
                <w:szCs w:val="24"/>
              </w:rPr>
              <w:t>2.2</w:t>
            </w:r>
          </w:p>
        </w:tc>
        <w:tc>
          <w:tcPr>
            <w:tcW w:w="2351" w:type="pct"/>
            <w:shd w:val="clear" w:color="auto" w:fill="auto"/>
            <w:vAlign w:val="center"/>
          </w:tcPr>
          <w:p w:rsidR="00656820" w:rsidRPr="00687B52" w:rsidRDefault="00656820" w:rsidP="00656820">
            <w:pPr>
              <w:pStyle w:val="a7"/>
              <w:spacing w:line="360" w:lineRule="exact"/>
              <w:jc w:val="left"/>
              <w:rPr>
                <w:b/>
                <w:color w:val="000000" w:themeColor="text1"/>
                <w:szCs w:val="24"/>
              </w:rPr>
            </w:pPr>
            <w:r w:rsidRPr="00687B52">
              <w:rPr>
                <w:rFonts w:hint="eastAsia"/>
                <w:b/>
                <w:color w:val="000000" w:themeColor="text1"/>
                <w:szCs w:val="24"/>
              </w:rPr>
              <w:t>干熄焦工艺设备</w:t>
            </w:r>
          </w:p>
        </w:tc>
        <w:tc>
          <w:tcPr>
            <w:tcW w:w="1029" w:type="pct"/>
            <w:shd w:val="clear" w:color="auto" w:fill="auto"/>
            <w:vAlign w:val="center"/>
          </w:tcPr>
          <w:p w:rsidR="00656820" w:rsidRPr="00687B52" w:rsidRDefault="00656820" w:rsidP="00656820">
            <w:pPr>
              <w:pStyle w:val="a7"/>
              <w:spacing w:line="360" w:lineRule="exact"/>
              <w:jc w:val="both"/>
              <w:rPr>
                <w:color w:val="000000" w:themeColor="text1"/>
                <w:szCs w:val="24"/>
              </w:rPr>
            </w:pP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2"/>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红焦输送系统的设计应符合下列要求：</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1</w:t>
            </w:r>
            <w:r w:rsidRPr="00687B52">
              <w:rPr>
                <w:rFonts w:hint="eastAsia"/>
                <w:color w:val="000000" w:themeColor="text1"/>
              </w:rPr>
              <w:t>红焦输送系统的设备配置应根据干熄站相对焦炉的位置、焦炉的出焦操作周期、接焦方式以及单孔炭化室的焦炭产量等确定。</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2</w:t>
            </w:r>
            <w:r w:rsidRPr="00687B52">
              <w:rPr>
                <w:rFonts w:hint="eastAsia"/>
                <w:color w:val="000000" w:themeColor="text1"/>
              </w:rPr>
              <w:t>采用湿法熄焦备用时，应采用干湿两用电机车。</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3</w:t>
            </w:r>
            <w:r w:rsidRPr="00687B52">
              <w:rPr>
                <w:rFonts w:hint="eastAsia"/>
                <w:color w:val="000000" w:themeColor="text1"/>
              </w:rPr>
              <w:t>一台电机车应牵引两台焦罐车。焦罐车应设置一套备品。</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4</w:t>
            </w:r>
            <w:r w:rsidRPr="00687B52">
              <w:rPr>
                <w:rFonts w:hint="eastAsia"/>
                <w:color w:val="000000" w:themeColor="text1"/>
              </w:rPr>
              <w:t>对位装置、横移牵引装置、起重机及装入装置等应实现程序控制、自动运转。</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6.4.1</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2"/>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干熄炉及供气装置的设计应符合下列要求：</w:t>
            </w:r>
            <w:r w:rsidRPr="00687B52">
              <w:rPr>
                <w:rFonts w:hint="eastAsia"/>
                <w:color w:val="000000" w:themeColor="text1"/>
              </w:rPr>
              <w:t> </w:t>
            </w:r>
          </w:p>
          <w:p w:rsidR="00656820" w:rsidRPr="00687B52" w:rsidRDefault="005E4B95" w:rsidP="00527C62">
            <w:pPr>
              <w:pStyle w:val="a7"/>
              <w:jc w:val="left"/>
              <w:rPr>
                <w:color w:val="000000" w:themeColor="text1"/>
              </w:rPr>
            </w:pPr>
            <w:r w:rsidRPr="00687B52">
              <w:rPr>
                <w:rFonts w:hint="eastAsia"/>
                <w:color w:val="000000" w:themeColor="text1"/>
              </w:rPr>
              <w:t> </w:t>
            </w:r>
            <w:r w:rsidR="00656820" w:rsidRPr="00687B52">
              <w:rPr>
                <w:rFonts w:hint="eastAsia"/>
                <w:color w:val="000000" w:themeColor="text1"/>
              </w:rPr>
              <w:t>1</w:t>
            </w:r>
            <w:r w:rsidR="00656820" w:rsidRPr="00687B52">
              <w:rPr>
                <w:rFonts w:hint="eastAsia"/>
                <w:color w:val="000000" w:themeColor="text1"/>
              </w:rPr>
              <w:t>干熄炉预存室应设置放散装置。</w:t>
            </w:r>
            <w:r w:rsidR="00656820"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 </w:t>
            </w:r>
            <w:r w:rsidRPr="00687B52">
              <w:rPr>
                <w:rFonts w:hint="eastAsia"/>
                <w:color w:val="000000" w:themeColor="text1"/>
              </w:rPr>
              <w:t>2</w:t>
            </w:r>
            <w:r w:rsidRPr="00687B52">
              <w:rPr>
                <w:rFonts w:hint="eastAsia"/>
                <w:color w:val="000000" w:themeColor="text1"/>
              </w:rPr>
              <w:t>干熄炉环形气道或一次除尘器应设置空气导入装置。</w:t>
            </w:r>
            <w:r w:rsidRPr="00687B52">
              <w:rPr>
                <w:rFonts w:hint="eastAsia"/>
                <w:color w:val="000000" w:themeColor="text1"/>
              </w:rPr>
              <w:t>   </w:t>
            </w:r>
            <w:r w:rsidRPr="00687B52">
              <w:rPr>
                <w:rFonts w:hint="eastAsia"/>
                <w:color w:val="000000" w:themeColor="text1"/>
              </w:rPr>
              <w:t>3</w:t>
            </w:r>
            <w:r w:rsidRPr="00687B52">
              <w:rPr>
                <w:rFonts w:hint="eastAsia"/>
                <w:color w:val="000000" w:themeColor="text1"/>
              </w:rPr>
              <w:t>干熄炉顶部应设置水封式装焦口。</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6.4.2</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2"/>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装入装置的设计应符合下列要求：</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1</w:t>
            </w:r>
            <w:r w:rsidRPr="00687B52">
              <w:rPr>
                <w:rFonts w:hint="eastAsia"/>
                <w:color w:val="000000" w:themeColor="text1"/>
              </w:rPr>
              <w:t>装入装置台车的移动与炉盖的开闭应采用联动方式。</w:t>
            </w:r>
          </w:p>
          <w:p w:rsidR="00656820" w:rsidRPr="00687B52" w:rsidRDefault="00656820" w:rsidP="00527C62">
            <w:pPr>
              <w:pStyle w:val="a7"/>
              <w:jc w:val="left"/>
              <w:rPr>
                <w:color w:val="000000" w:themeColor="text1"/>
              </w:rPr>
            </w:pPr>
            <w:r w:rsidRPr="00687B52">
              <w:rPr>
                <w:rFonts w:hint="eastAsia"/>
                <w:color w:val="000000" w:themeColor="text1"/>
              </w:rPr>
              <w:t> </w:t>
            </w:r>
            <w:r w:rsidRPr="00687B52">
              <w:rPr>
                <w:rFonts w:hint="eastAsia"/>
                <w:color w:val="000000" w:themeColor="text1"/>
              </w:rPr>
              <w:t>2</w:t>
            </w:r>
            <w:r w:rsidRPr="00687B52">
              <w:rPr>
                <w:rFonts w:hint="eastAsia"/>
                <w:color w:val="000000" w:themeColor="text1"/>
              </w:rPr>
              <w:t>装入装置应设置布料器。</w:t>
            </w:r>
            <w:r w:rsidRPr="00687B52">
              <w:rPr>
                <w:rFonts w:hint="eastAsia"/>
                <w:color w:val="000000" w:themeColor="text1"/>
              </w:rPr>
              <w:t>-</w:t>
            </w:r>
            <w:r w:rsidRPr="00687B52">
              <w:rPr>
                <w:rFonts w:hint="eastAsia"/>
                <w:color w:val="000000" w:themeColor="text1"/>
              </w:rPr>
              <w:t> </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6.4.3</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2"/>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排出装置的设计应符合下列要求：</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1</w:t>
            </w:r>
            <w:r w:rsidRPr="00687B52">
              <w:rPr>
                <w:rFonts w:hint="eastAsia"/>
                <w:color w:val="000000" w:themeColor="text1"/>
              </w:rPr>
              <w:t>应配置可准确调节排焦量的密闭、连续式排焦设备，并应实现程序控制、自动运转。</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2</w:t>
            </w:r>
            <w:r w:rsidRPr="00687B52">
              <w:rPr>
                <w:rFonts w:hint="eastAsia"/>
                <w:color w:val="000000" w:themeColor="text1"/>
              </w:rPr>
              <w:t>多个干熄炉处于同一中心线上且共用同一运焦系统时，应设置可互为备用的两条带式输送机。</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3</w:t>
            </w:r>
            <w:r w:rsidRPr="00687B52">
              <w:rPr>
                <w:rFonts w:hint="eastAsia"/>
                <w:color w:val="000000" w:themeColor="text1"/>
              </w:rPr>
              <w:t>排出装置下的带式输送机应设置事故洒水装置。</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6.4.4</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2"/>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气体循环系统的设计应符合下列要求：</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1</w:t>
            </w:r>
            <w:r w:rsidRPr="00687B52">
              <w:rPr>
                <w:rFonts w:hint="eastAsia"/>
                <w:color w:val="000000" w:themeColor="text1"/>
              </w:rPr>
              <w:t>干熄炉与一次除尘器之间、一次除尘器与干熄焦锅炉之间应设置高温补偿器。</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2</w:t>
            </w:r>
            <w:r w:rsidRPr="00687B52">
              <w:rPr>
                <w:rFonts w:hint="eastAsia"/>
                <w:color w:val="000000" w:themeColor="text1"/>
              </w:rPr>
              <w:t>二次除尘器及循环气体管路应设置防爆装置。</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3</w:t>
            </w:r>
            <w:r w:rsidRPr="00687B52">
              <w:rPr>
                <w:rFonts w:hint="eastAsia"/>
                <w:color w:val="000000" w:themeColor="text1"/>
              </w:rPr>
              <w:t>一次除尘器顶部应设置放散装置。</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4</w:t>
            </w:r>
            <w:r w:rsidRPr="00687B52">
              <w:rPr>
                <w:rFonts w:hint="eastAsia"/>
                <w:color w:val="000000" w:themeColor="text1"/>
              </w:rPr>
              <w:t>干熄炉入口的循环气体管路应设置气体冷却器。</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5</w:t>
            </w:r>
            <w:r w:rsidRPr="00687B52">
              <w:rPr>
                <w:rFonts w:hint="eastAsia"/>
                <w:color w:val="000000" w:themeColor="text1"/>
              </w:rPr>
              <w:t>循环气体管路应没置补偿器和氮气补充装置。</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6</w:t>
            </w:r>
            <w:r w:rsidRPr="00687B52">
              <w:rPr>
                <w:rFonts w:hint="eastAsia"/>
                <w:color w:val="000000" w:themeColor="text1"/>
              </w:rPr>
              <w:t>风机出口的循环气体管路应设置自动调节预存室压力的放散装置。</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7</w:t>
            </w:r>
            <w:r w:rsidRPr="00687B52">
              <w:rPr>
                <w:rFonts w:hint="eastAsia"/>
                <w:color w:val="000000" w:themeColor="text1"/>
              </w:rPr>
              <w:t>干熄炉人口循环气体中，一氧化碳</w:t>
            </w:r>
            <w:r w:rsidRPr="00687B52">
              <w:rPr>
                <w:rFonts w:hint="eastAsia"/>
                <w:color w:val="000000" w:themeColor="text1"/>
              </w:rPr>
              <w:t>(CO)</w:t>
            </w:r>
            <w:r w:rsidRPr="00687B52">
              <w:rPr>
                <w:rFonts w:hint="eastAsia"/>
                <w:color w:val="000000" w:themeColor="text1"/>
              </w:rPr>
              <w:t>的浓度应小于或等于</w:t>
            </w:r>
            <w:r w:rsidRPr="00687B52">
              <w:rPr>
                <w:rFonts w:hint="eastAsia"/>
                <w:color w:val="000000" w:themeColor="text1"/>
              </w:rPr>
              <w:t>6</w:t>
            </w:r>
            <w:r w:rsidRPr="00687B52">
              <w:rPr>
                <w:rFonts w:hint="eastAsia"/>
                <w:color w:val="000000" w:themeColor="text1"/>
              </w:rPr>
              <w:t>％</w:t>
            </w:r>
            <w:r w:rsidRPr="00687B52">
              <w:rPr>
                <w:rFonts w:hint="eastAsia"/>
                <w:color w:val="000000" w:themeColor="text1"/>
              </w:rPr>
              <w:t>(</w:t>
            </w:r>
            <w:r w:rsidRPr="00687B52">
              <w:rPr>
                <w:rFonts w:hint="eastAsia"/>
                <w:color w:val="000000" w:themeColor="text1"/>
              </w:rPr>
              <w:t>体积百分比</w:t>
            </w:r>
            <w:r w:rsidRPr="00687B52">
              <w:rPr>
                <w:rFonts w:hint="eastAsia"/>
                <w:color w:val="000000" w:themeColor="text1"/>
              </w:rPr>
              <w:t>)</w:t>
            </w:r>
            <w:r w:rsidRPr="00687B52">
              <w:rPr>
                <w:rFonts w:hint="eastAsia"/>
                <w:color w:val="000000" w:themeColor="text1"/>
              </w:rPr>
              <w:t>；氢气</w:t>
            </w:r>
            <w:r w:rsidRPr="00687B52">
              <w:rPr>
                <w:rFonts w:hint="eastAsia"/>
                <w:color w:val="000000" w:themeColor="text1"/>
              </w:rPr>
              <w:t>(H2)</w:t>
            </w:r>
            <w:r w:rsidRPr="00687B52">
              <w:rPr>
                <w:rFonts w:hint="eastAsia"/>
                <w:color w:val="000000" w:themeColor="text1"/>
              </w:rPr>
              <w:t>的浓度应小于或等于</w:t>
            </w:r>
            <w:r w:rsidRPr="00687B52">
              <w:rPr>
                <w:rFonts w:hint="eastAsia"/>
                <w:color w:val="000000" w:themeColor="text1"/>
              </w:rPr>
              <w:t>3</w:t>
            </w:r>
            <w:r w:rsidRPr="00687B52">
              <w:rPr>
                <w:rFonts w:hint="eastAsia"/>
                <w:color w:val="000000" w:themeColor="text1"/>
              </w:rPr>
              <w:t>％</w:t>
            </w:r>
            <w:r w:rsidRPr="00687B52">
              <w:rPr>
                <w:rFonts w:hint="eastAsia"/>
                <w:color w:val="000000" w:themeColor="text1"/>
              </w:rPr>
              <w:t>(</w:t>
            </w:r>
            <w:r w:rsidRPr="00687B52">
              <w:rPr>
                <w:rFonts w:hint="eastAsia"/>
                <w:color w:val="000000" w:themeColor="text1"/>
              </w:rPr>
              <w:t>体积百分比</w:t>
            </w:r>
            <w:r w:rsidRPr="00687B52">
              <w:rPr>
                <w:rFonts w:hint="eastAsia"/>
                <w:color w:val="000000" w:themeColor="text1"/>
              </w:rPr>
              <w:t>)</w:t>
            </w:r>
            <w:r w:rsidRPr="00687B52">
              <w:rPr>
                <w:rFonts w:hint="eastAsia"/>
                <w:color w:val="000000" w:themeColor="text1"/>
              </w:rPr>
              <w:t>。</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8</w:t>
            </w:r>
            <w:r w:rsidRPr="00687B52">
              <w:rPr>
                <w:rFonts w:hint="eastAsia"/>
                <w:color w:val="000000" w:themeColor="text1"/>
              </w:rPr>
              <w:t>循环风机宜设置速度调节装置。</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9</w:t>
            </w:r>
            <w:r w:rsidRPr="00687B52">
              <w:rPr>
                <w:rFonts w:hint="eastAsia"/>
                <w:color w:val="000000" w:themeColor="text1"/>
              </w:rPr>
              <w:t>循环风机应与锅炉汽包液位、锅炉给水泵及主蒸汽温度等设置联锁。</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6.4.5</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2"/>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干熄焦锅炉应符合下列要求：</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1</w:t>
            </w:r>
            <w:r w:rsidRPr="00687B52">
              <w:rPr>
                <w:rFonts w:hint="eastAsia"/>
                <w:color w:val="000000" w:themeColor="text1"/>
              </w:rPr>
              <w:t>干熄焦锅炉的压力、温度参数应根据企业蒸汽需求的近、远期规划和技术经济比较确定。</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2</w:t>
            </w:r>
            <w:r w:rsidRPr="00687B52">
              <w:rPr>
                <w:rFonts w:hint="eastAsia"/>
                <w:color w:val="000000" w:themeColor="text1"/>
              </w:rPr>
              <w:t>干熄焦锅炉宜选用强制循环与自然循环相结合的循环方式。每台干熄焦锅炉应设置</w:t>
            </w:r>
            <w:r w:rsidRPr="00687B52">
              <w:rPr>
                <w:rFonts w:hint="eastAsia"/>
                <w:color w:val="000000" w:themeColor="text1"/>
              </w:rPr>
              <w:t>2</w:t>
            </w:r>
            <w:r w:rsidRPr="00687B52">
              <w:rPr>
                <w:rFonts w:hint="eastAsia"/>
                <w:color w:val="000000" w:themeColor="text1"/>
              </w:rPr>
              <w:t>台强制循环水泵，并应互为热备用。</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3</w:t>
            </w:r>
            <w:r w:rsidRPr="00687B52">
              <w:rPr>
                <w:rFonts w:hint="eastAsia"/>
                <w:color w:val="000000" w:themeColor="text1"/>
              </w:rPr>
              <w:t>在非严寒地区宜选用露天干熄焦锅炉；在寒冷地区宜选用紧身封闭的干熄焦锅炉。</w:t>
            </w:r>
          </w:p>
          <w:p w:rsidR="00656820" w:rsidRPr="00687B52" w:rsidRDefault="00656820" w:rsidP="00527C62">
            <w:pPr>
              <w:pStyle w:val="a7"/>
              <w:jc w:val="left"/>
              <w:rPr>
                <w:color w:val="000000" w:themeColor="text1"/>
              </w:rPr>
            </w:pPr>
            <w:r w:rsidRPr="00687B52">
              <w:rPr>
                <w:rFonts w:hint="eastAsia"/>
                <w:color w:val="000000" w:themeColor="text1"/>
              </w:rPr>
              <w:t>4</w:t>
            </w:r>
            <w:r w:rsidRPr="00687B52">
              <w:rPr>
                <w:rFonts w:hint="eastAsia"/>
                <w:color w:val="000000" w:themeColor="text1"/>
              </w:rPr>
              <w:t>选用露天干熄焦锅炉时，应对锅炉本体及其附属系统和管道采取防雨、防冻、防腐、承受风压和减少热损失等措施。</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5</w:t>
            </w:r>
            <w:r w:rsidRPr="00687B52">
              <w:rPr>
                <w:rFonts w:hint="eastAsia"/>
                <w:color w:val="000000" w:themeColor="text1"/>
              </w:rPr>
              <w:t>选用紧身封闭的干熄焦锅炉时，应要求紧身罩具有良好的采光、通风和保温阻燃性能，且封闭体内应设置必要的检修通道。</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6</w:t>
            </w:r>
            <w:r w:rsidRPr="00687B52">
              <w:rPr>
                <w:rFonts w:hint="eastAsia"/>
                <w:color w:val="000000" w:themeColor="text1"/>
              </w:rPr>
              <w:t>选用紧身封闭的干熄焦锅炉时，炉顶应设置检修用单轨吊车。</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7</w:t>
            </w:r>
            <w:r w:rsidRPr="00687B52">
              <w:rPr>
                <w:rFonts w:hint="eastAsia"/>
                <w:color w:val="000000" w:themeColor="text1"/>
              </w:rPr>
              <w:t>干熄焦锅炉易磨损部位应采取耐磨措施。</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8</w:t>
            </w:r>
            <w:r w:rsidRPr="00687B52">
              <w:rPr>
                <w:rFonts w:hint="eastAsia"/>
                <w:color w:val="000000" w:themeColor="text1"/>
              </w:rPr>
              <w:t>干熄焦锅炉汽包宜设置停炉时充氮气保护用接口。</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6.4.6</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925D4C" w:rsidP="00925D4C">
            <w:pPr>
              <w:jc w:val="cente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3.</w:t>
            </w:r>
            <w:r w:rsidR="00656820" w:rsidRPr="00687B52">
              <w:rPr>
                <w:rFonts w:asciiTheme="minorEastAsia" w:hAnsiTheme="minorEastAsia" w:cs="Times New Roman" w:hint="eastAsia"/>
                <w:color w:val="000000" w:themeColor="text1"/>
                <w:sz w:val="24"/>
                <w:szCs w:val="24"/>
              </w:rPr>
              <w:t>2.3</w:t>
            </w:r>
          </w:p>
        </w:tc>
        <w:tc>
          <w:tcPr>
            <w:tcW w:w="2351" w:type="pct"/>
            <w:shd w:val="clear" w:color="auto" w:fill="auto"/>
            <w:vAlign w:val="center"/>
          </w:tcPr>
          <w:p w:rsidR="00656820" w:rsidRPr="00687B52" w:rsidRDefault="00656820" w:rsidP="00656820">
            <w:pPr>
              <w:pStyle w:val="a7"/>
              <w:spacing w:line="360" w:lineRule="exact"/>
              <w:jc w:val="left"/>
              <w:rPr>
                <w:color w:val="000000" w:themeColor="text1"/>
                <w:szCs w:val="24"/>
              </w:rPr>
            </w:pPr>
            <w:r w:rsidRPr="00687B52">
              <w:rPr>
                <w:rFonts w:hint="eastAsia"/>
                <w:color w:val="000000" w:themeColor="text1"/>
                <w:szCs w:val="24"/>
              </w:rPr>
              <w:t>电气与自动化</w:t>
            </w:r>
          </w:p>
        </w:tc>
        <w:tc>
          <w:tcPr>
            <w:tcW w:w="1029" w:type="pct"/>
            <w:shd w:val="clear" w:color="auto" w:fill="auto"/>
            <w:vAlign w:val="center"/>
          </w:tcPr>
          <w:p w:rsidR="00656820" w:rsidRPr="00687B52" w:rsidRDefault="00656820" w:rsidP="00656820">
            <w:pPr>
              <w:pStyle w:val="a7"/>
              <w:spacing w:line="360" w:lineRule="exact"/>
              <w:jc w:val="both"/>
              <w:rPr>
                <w:color w:val="000000" w:themeColor="text1"/>
                <w:szCs w:val="24"/>
              </w:rPr>
            </w:pP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3"/>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干熄焦供电应按双回路电源设计。</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8.2.1</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3"/>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干熄焦应设置中央操作室，并应对整个生产过程采用工业控制计算机系统进行控制。</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8.2.2</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3"/>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熄焦起重机应采用</w:t>
            </w:r>
            <w:r w:rsidRPr="00687B52">
              <w:rPr>
                <w:rFonts w:hint="eastAsia"/>
                <w:color w:val="000000" w:themeColor="text1"/>
              </w:rPr>
              <w:t>PLC</w:t>
            </w:r>
            <w:r w:rsidRPr="00687B52">
              <w:rPr>
                <w:rFonts w:hint="eastAsia"/>
                <w:color w:val="000000" w:themeColor="text1"/>
              </w:rPr>
              <w:t>控制，其提升及走行用电机应配置变频调速装置。</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8.2.3</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3"/>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干熄焦工作场所应设置正常照明及应急照明。</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8.2.4</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3"/>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熄焦装置必须设置防雷接地装置。</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8.2.5</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3"/>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干熄焦排出装置的振动给料器及旋转密封阀周围，应设置一氧化碳和氧气浓度的检测及报警装置。</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8.2.6</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3"/>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干熄焦排出装置的排焦溜槽及运焦带式输送机位于地下时，排焦溜槽周围及运焦通廊的地下部分，必须设置固定式一氧化碳和氧气浓度的检测及报警装置。</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8.2.7</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3"/>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干熄焦综合电气室必须设置火灾检测及报警装置。</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8.2.8</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3"/>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干熄焦装置必须设置下列安全联锁所需的检测装置：</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1</w:t>
            </w:r>
            <w:r w:rsidRPr="00687B52">
              <w:rPr>
                <w:rFonts w:hint="eastAsia"/>
                <w:color w:val="000000" w:themeColor="text1"/>
              </w:rPr>
              <w:t>预存室上、下料位的检测。</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2</w:t>
            </w:r>
            <w:r w:rsidRPr="00687B52">
              <w:rPr>
                <w:rFonts w:hint="eastAsia"/>
                <w:color w:val="000000" w:themeColor="text1"/>
              </w:rPr>
              <w:t>循环气体成分的在线分析。</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3</w:t>
            </w:r>
            <w:r w:rsidRPr="00687B52">
              <w:rPr>
                <w:rFonts w:hint="eastAsia"/>
                <w:color w:val="000000" w:themeColor="text1"/>
              </w:rPr>
              <w:t>排焦温度的检测。</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4</w:t>
            </w:r>
            <w:r w:rsidRPr="00687B52">
              <w:rPr>
                <w:rFonts w:hint="eastAsia"/>
                <w:color w:val="000000" w:themeColor="text1"/>
              </w:rPr>
              <w:t>锅炉汽包液位的检测。</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8.2.9</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925D4C" w:rsidP="00925D4C">
            <w:pPr>
              <w:jc w:val="cente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3.3</w:t>
            </w:r>
          </w:p>
        </w:tc>
        <w:tc>
          <w:tcPr>
            <w:tcW w:w="2351" w:type="pct"/>
            <w:shd w:val="clear" w:color="auto" w:fill="auto"/>
            <w:vAlign w:val="center"/>
          </w:tcPr>
          <w:p w:rsidR="00656820" w:rsidRPr="00687B52" w:rsidRDefault="00656820" w:rsidP="00656820">
            <w:pPr>
              <w:pStyle w:val="a7"/>
              <w:spacing w:line="380" w:lineRule="exact"/>
              <w:jc w:val="left"/>
              <w:rPr>
                <w:color w:val="000000" w:themeColor="text1"/>
                <w:szCs w:val="24"/>
              </w:rPr>
            </w:pPr>
            <w:r w:rsidRPr="00687B52">
              <w:rPr>
                <w:rFonts w:hint="eastAsia"/>
                <w:color w:val="000000" w:themeColor="text1"/>
                <w:szCs w:val="24"/>
              </w:rPr>
              <w:t>烟尘治理</w:t>
            </w:r>
          </w:p>
        </w:tc>
        <w:tc>
          <w:tcPr>
            <w:tcW w:w="1029" w:type="pct"/>
            <w:shd w:val="clear" w:color="auto" w:fill="auto"/>
            <w:vAlign w:val="center"/>
          </w:tcPr>
          <w:p w:rsidR="00656820" w:rsidRPr="00687B52" w:rsidRDefault="00656820" w:rsidP="00656820">
            <w:pPr>
              <w:pStyle w:val="a7"/>
              <w:spacing w:line="380" w:lineRule="exact"/>
              <w:jc w:val="both"/>
              <w:rPr>
                <w:color w:val="000000" w:themeColor="text1"/>
                <w:szCs w:val="24"/>
              </w:rPr>
            </w:pP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925D4C" w:rsidP="00925D4C">
            <w:pPr>
              <w:jc w:val="cente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3.</w:t>
            </w:r>
            <w:r w:rsidR="00656820" w:rsidRPr="00687B52">
              <w:rPr>
                <w:rFonts w:asciiTheme="minorEastAsia" w:hAnsiTheme="minorEastAsia" w:cs="Times New Roman" w:hint="eastAsia"/>
                <w:color w:val="000000" w:themeColor="text1"/>
                <w:sz w:val="24"/>
                <w:szCs w:val="24"/>
              </w:rPr>
              <w:t>3.1</w:t>
            </w:r>
          </w:p>
        </w:tc>
        <w:tc>
          <w:tcPr>
            <w:tcW w:w="2351" w:type="pct"/>
            <w:shd w:val="clear" w:color="auto" w:fill="auto"/>
            <w:vAlign w:val="center"/>
          </w:tcPr>
          <w:p w:rsidR="00656820" w:rsidRPr="00687B52" w:rsidRDefault="00656820" w:rsidP="00656820">
            <w:pPr>
              <w:pStyle w:val="a7"/>
              <w:spacing w:line="380" w:lineRule="exact"/>
              <w:jc w:val="left"/>
              <w:rPr>
                <w:color w:val="000000" w:themeColor="text1"/>
                <w:szCs w:val="24"/>
              </w:rPr>
            </w:pPr>
            <w:r w:rsidRPr="00687B52">
              <w:rPr>
                <w:rFonts w:hint="eastAsia"/>
                <w:color w:val="000000" w:themeColor="text1"/>
                <w:szCs w:val="24"/>
              </w:rPr>
              <w:t>装煤烟尘处理</w:t>
            </w:r>
          </w:p>
        </w:tc>
        <w:tc>
          <w:tcPr>
            <w:tcW w:w="1029" w:type="pct"/>
            <w:shd w:val="clear" w:color="auto" w:fill="auto"/>
            <w:vAlign w:val="center"/>
          </w:tcPr>
          <w:p w:rsidR="00656820" w:rsidRPr="00687B52" w:rsidRDefault="00656820" w:rsidP="00656820">
            <w:pPr>
              <w:pStyle w:val="a7"/>
              <w:spacing w:line="380" w:lineRule="exact"/>
              <w:jc w:val="both"/>
              <w:rPr>
                <w:color w:val="000000" w:themeColor="text1"/>
                <w:szCs w:val="24"/>
              </w:rPr>
            </w:pP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4"/>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焦炉装煤烟尘治理系统宜采用干式除尘地面站形式。</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7.1.2</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4"/>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干式除尘地面站式的焦炉装煤烟尘治理系统的设计应符合下列规定：</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1</w:t>
            </w:r>
            <w:r w:rsidRPr="00687B52">
              <w:rPr>
                <w:rFonts w:hint="eastAsia"/>
                <w:color w:val="000000" w:themeColor="text1"/>
              </w:rPr>
              <w:t>装煤车上的烟尘捕集设施，应具备防止可燃气体发生爆炸的功能，并应设置安全泄爆装置。</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2</w:t>
            </w:r>
            <w:r w:rsidRPr="00687B52">
              <w:rPr>
                <w:rFonts w:hint="eastAsia"/>
                <w:color w:val="000000" w:themeColor="text1"/>
              </w:rPr>
              <w:t>烟气连接管路应设置事故断电紧急切断设施。</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3</w:t>
            </w:r>
            <w:r w:rsidRPr="00687B52">
              <w:rPr>
                <w:rFonts w:hint="eastAsia"/>
                <w:color w:val="000000" w:themeColor="text1"/>
              </w:rPr>
              <w:t>应设置阻断烟尘中高温明火颗粒的设施。</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4</w:t>
            </w:r>
            <w:r w:rsidRPr="00687B52">
              <w:rPr>
                <w:rFonts w:hint="eastAsia"/>
                <w:color w:val="000000" w:themeColor="text1"/>
              </w:rPr>
              <w:t>应采取降低烟尘粘结特性的措施。</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5</w:t>
            </w:r>
            <w:r w:rsidRPr="00687B52">
              <w:rPr>
                <w:rFonts w:hint="eastAsia"/>
                <w:color w:val="000000" w:themeColor="text1"/>
              </w:rPr>
              <w:t>系统通风机组应采取安全可靠的调速措施。</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6</w:t>
            </w:r>
            <w:r w:rsidRPr="00687B52">
              <w:rPr>
                <w:rFonts w:hint="eastAsia"/>
                <w:color w:val="000000" w:themeColor="text1"/>
              </w:rPr>
              <w:t>应确保净化装置内部不存在集尘死角，并应将收集的灰尘及时排出。</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7</w:t>
            </w:r>
            <w:r w:rsidRPr="00687B52">
              <w:rPr>
                <w:rFonts w:hint="eastAsia"/>
                <w:color w:val="000000" w:themeColor="text1"/>
              </w:rPr>
              <w:t>整个系统应采取防静电积聚措施，并应设置安全泄爆装置。</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7.1.3</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4"/>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焦炉装煤烟尘治理系统应采用先进可靠的自动控制系统。</w:t>
            </w:r>
            <w:r w:rsidRPr="00687B52">
              <w:rPr>
                <w:rFonts w:hint="eastAsia"/>
                <w:color w:val="000000" w:themeColor="text1"/>
              </w:rPr>
              <w:t> </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7.1.4</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4"/>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捣固焦炉的装煤推焦机</w:t>
            </w:r>
            <w:r w:rsidRPr="00687B52">
              <w:rPr>
                <w:rFonts w:hint="eastAsia"/>
                <w:color w:val="000000" w:themeColor="text1"/>
              </w:rPr>
              <w:t>(</w:t>
            </w:r>
            <w:r w:rsidRPr="00687B52">
              <w:rPr>
                <w:rFonts w:hint="eastAsia"/>
                <w:color w:val="000000" w:themeColor="text1"/>
              </w:rPr>
              <w:t>或捣固装煤车</w:t>
            </w:r>
            <w:r w:rsidRPr="00687B52">
              <w:rPr>
                <w:rFonts w:hint="eastAsia"/>
                <w:color w:val="000000" w:themeColor="text1"/>
              </w:rPr>
              <w:t>)</w:t>
            </w:r>
            <w:r w:rsidRPr="00687B52">
              <w:rPr>
                <w:rFonts w:hint="eastAsia"/>
                <w:color w:val="000000" w:themeColor="text1"/>
              </w:rPr>
              <w:t>宜设置推送煤饼时密封机侧炉门的设施。</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7.1.5</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925D4C" w:rsidP="00925D4C">
            <w:pPr>
              <w:jc w:val="cente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3.</w:t>
            </w:r>
            <w:r w:rsidR="00656820" w:rsidRPr="00687B52">
              <w:rPr>
                <w:rFonts w:asciiTheme="minorEastAsia" w:hAnsiTheme="minorEastAsia" w:cs="Times New Roman" w:hint="eastAsia"/>
                <w:color w:val="000000" w:themeColor="text1"/>
                <w:sz w:val="24"/>
                <w:szCs w:val="24"/>
              </w:rPr>
              <w:t>3.2</w:t>
            </w:r>
          </w:p>
        </w:tc>
        <w:tc>
          <w:tcPr>
            <w:tcW w:w="2351" w:type="pct"/>
            <w:shd w:val="clear" w:color="auto" w:fill="auto"/>
            <w:vAlign w:val="center"/>
          </w:tcPr>
          <w:p w:rsidR="00656820" w:rsidRPr="00687B52" w:rsidRDefault="00656820" w:rsidP="00656820">
            <w:pPr>
              <w:pStyle w:val="a7"/>
              <w:spacing w:line="380" w:lineRule="exact"/>
              <w:jc w:val="left"/>
              <w:rPr>
                <w:color w:val="000000" w:themeColor="text1"/>
                <w:szCs w:val="24"/>
              </w:rPr>
            </w:pPr>
            <w:r w:rsidRPr="00687B52">
              <w:rPr>
                <w:rFonts w:hint="eastAsia"/>
                <w:color w:val="000000" w:themeColor="text1"/>
                <w:szCs w:val="24"/>
              </w:rPr>
              <w:t>出焦烟尘处理</w:t>
            </w:r>
          </w:p>
        </w:tc>
        <w:tc>
          <w:tcPr>
            <w:tcW w:w="1029" w:type="pct"/>
            <w:shd w:val="clear" w:color="auto" w:fill="auto"/>
            <w:vAlign w:val="center"/>
          </w:tcPr>
          <w:p w:rsidR="00656820" w:rsidRPr="00687B52" w:rsidRDefault="00656820" w:rsidP="00656820">
            <w:pPr>
              <w:pStyle w:val="a7"/>
              <w:spacing w:line="380" w:lineRule="exact"/>
              <w:jc w:val="both"/>
              <w:rPr>
                <w:color w:val="000000" w:themeColor="text1"/>
                <w:szCs w:val="24"/>
              </w:rPr>
            </w:pP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5"/>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焦炉出焦烟尘治理系统宜采用干式除尘地面站形式。</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7.2.2</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5"/>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干式除尘地面站式的焦炉出焦烟尘治理系统的设计应符合下列规定：</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1</w:t>
            </w:r>
            <w:r w:rsidRPr="00687B52">
              <w:rPr>
                <w:rFonts w:hint="eastAsia"/>
                <w:color w:val="000000" w:themeColor="text1"/>
              </w:rPr>
              <w:t>应设置阻断烟尘中高温明火颗粒的设施。</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2</w:t>
            </w:r>
            <w:r w:rsidRPr="00687B52">
              <w:rPr>
                <w:rFonts w:hint="eastAsia"/>
                <w:color w:val="000000" w:themeColor="text1"/>
              </w:rPr>
              <w:t>应采取降低烟尘温度的措施。高温烟尘宜采用自然冷却方式进行冷却。</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3</w:t>
            </w:r>
            <w:r w:rsidRPr="00687B52">
              <w:rPr>
                <w:rFonts w:hint="eastAsia"/>
                <w:color w:val="000000" w:themeColor="text1"/>
              </w:rPr>
              <w:t>系统通风机组应采取安全可靠的调速措施。</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4</w:t>
            </w:r>
            <w:r w:rsidRPr="00687B52">
              <w:rPr>
                <w:rFonts w:hint="eastAsia"/>
                <w:color w:val="000000" w:themeColor="text1"/>
              </w:rPr>
              <w:t>应确保净化装置内部不存在集尘死角，并应将收集的灰尘及时排出。</w:t>
            </w:r>
          </w:p>
          <w:p w:rsidR="00656820" w:rsidRPr="00687B52" w:rsidRDefault="00656820" w:rsidP="00527C62">
            <w:pPr>
              <w:pStyle w:val="a7"/>
              <w:jc w:val="left"/>
              <w:rPr>
                <w:color w:val="000000" w:themeColor="text1"/>
              </w:rPr>
            </w:pPr>
            <w:r w:rsidRPr="00687B52">
              <w:rPr>
                <w:rFonts w:hint="eastAsia"/>
                <w:color w:val="000000" w:themeColor="text1"/>
              </w:rPr>
              <w:t> </w:t>
            </w:r>
            <w:r w:rsidRPr="00687B52">
              <w:rPr>
                <w:rFonts w:hint="eastAsia"/>
                <w:color w:val="000000" w:themeColor="text1"/>
              </w:rPr>
              <w:t>5</w:t>
            </w:r>
            <w:r w:rsidRPr="00687B52">
              <w:rPr>
                <w:rFonts w:hint="eastAsia"/>
                <w:color w:val="000000" w:themeColor="text1"/>
              </w:rPr>
              <w:t>整个系统应采取防静电秘聚措施。</w:t>
            </w:r>
            <w:r w:rsidRPr="00687B52">
              <w:rPr>
                <w:rFonts w:hint="eastAsia"/>
                <w:color w:val="000000" w:themeColor="text1"/>
              </w:rPr>
              <w:t> </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7.2.3</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5"/>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焦炉出焦烟尘治理系统应采用先进可靠的自动控制系统。</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7.2.4</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925D4C" w:rsidP="00925D4C">
            <w:pPr>
              <w:rPr>
                <w:rFonts w:asciiTheme="minorEastAsia" w:hAnsiTheme="minorEastAsia" w:cs="Times New Roman"/>
                <w:color w:val="000000" w:themeColor="text1"/>
                <w:sz w:val="24"/>
                <w:szCs w:val="24"/>
              </w:rPr>
            </w:pPr>
            <w:r w:rsidRPr="00687B52">
              <w:rPr>
                <w:rFonts w:asciiTheme="minorEastAsia" w:hAnsiTheme="minorEastAsia" w:cs="Times New Roman" w:hint="eastAsia"/>
                <w:color w:val="000000" w:themeColor="text1"/>
                <w:sz w:val="24"/>
                <w:szCs w:val="24"/>
              </w:rPr>
              <w:t>3.</w:t>
            </w:r>
            <w:r w:rsidR="00656820" w:rsidRPr="00687B52">
              <w:rPr>
                <w:rFonts w:asciiTheme="minorEastAsia" w:hAnsiTheme="minorEastAsia" w:cs="Times New Roman" w:hint="eastAsia"/>
                <w:color w:val="000000" w:themeColor="text1"/>
                <w:sz w:val="24"/>
                <w:szCs w:val="24"/>
              </w:rPr>
              <w:t>3.3</w:t>
            </w:r>
          </w:p>
        </w:tc>
        <w:tc>
          <w:tcPr>
            <w:tcW w:w="2351" w:type="pct"/>
            <w:shd w:val="clear" w:color="auto" w:fill="auto"/>
            <w:vAlign w:val="center"/>
          </w:tcPr>
          <w:p w:rsidR="00656820" w:rsidRPr="00687B52" w:rsidRDefault="00656820" w:rsidP="00656820">
            <w:pPr>
              <w:pStyle w:val="a7"/>
              <w:spacing w:line="380" w:lineRule="exact"/>
              <w:jc w:val="left"/>
              <w:rPr>
                <w:color w:val="000000" w:themeColor="text1"/>
                <w:szCs w:val="24"/>
              </w:rPr>
            </w:pPr>
            <w:r w:rsidRPr="00687B52">
              <w:rPr>
                <w:rFonts w:hint="eastAsia"/>
                <w:color w:val="000000" w:themeColor="text1"/>
                <w:szCs w:val="24"/>
              </w:rPr>
              <w:t>干熄焦烟尘处理</w:t>
            </w:r>
          </w:p>
        </w:tc>
        <w:tc>
          <w:tcPr>
            <w:tcW w:w="1029" w:type="pct"/>
            <w:shd w:val="clear" w:color="auto" w:fill="auto"/>
            <w:vAlign w:val="center"/>
          </w:tcPr>
          <w:p w:rsidR="00656820" w:rsidRPr="00687B52" w:rsidRDefault="00656820" w:rsidP="00656820">
            <w:pPr>
              <w:pStyle w:val="a7"/>
              <w:spacing w:line="380" w:lineRule="exact"/>
              <w:jc w:val="both"/>
              <w:rPr>
                <w:color w:val="000000" w:themeColor="text1"/>
                <w:szCs w:val="24"/>
              </w:rPr>
            </w:pP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6"/>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干熄焦装置中，干熄炉顶的装入装置、预存室事故放散口、预存室压力自动调节放散口和干熄炉底的排出装置、运焦带式输送机受料点等产尘点必须设置烟尘捕集设施。</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7.3.1</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6"/>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干熄焦环境烟尘治理系统应采用干式除尘地面站形式。</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7.3.2</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6"/>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干熄焦环境烟尘治理系统的干式除尘地面站设计应符合下列规定：</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l</w:t>
            </w:r>
            <w:r w:rsidRPr="00687B52">
              <w:rPr>
                <w:rFonts w:hint="eastAsia"/>
                <w:color w:val="000000" w:themeColor="text1"/>
              </w:rPr>
              <w:t>应对干熄炉顶装入装置和预存室事故放散口收集的烟尘，设置高温明火颗粒阻断处理设施。</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2</w:t>
            </w:r>
            <w:r w:rsidRPr="00687B52">
              <w:rPr>
                <w:rFonts w:hint="eastAsia"/>
                <w:color w:val="000000" w:themeColor="text1"/>
              </w:rPr>
              <w:t>应确保净化装置内部不存在集尘死角，并应将收集的灰尘及时排出。</w:t>
            </w:r>
            <w:r w:rsidRPr="00687B52">
              <w:rPr>
                <w:rFonts w:hint="eastAsia"/>
                <w:color w:val="000000" w:themeColor="text1"/>
              </w:rPr>
              <w:t> </w:t>
            </w:r>
          </w:p>
          <w:p w:rsidR="00656820" w:rsidRPr="00687B52" w:rsidRDefault="00656820" w:rsidP="00527C62">
            <w:pPr>
              <w:pStyle w:val="a7"/>
              <w:jc w:val="left"/>
              <w:rPr>
                <w:color w:val="000000" w:themeColor="text1"/>
              </w:rPr>
            </w:pPr>
            <w:r w:rsidRPr="00687B52">
              <w:rPr>
                <w:rFonts w:hint="eastAsia"/>
                <w:color w:val="000000" w:themeColor="text1"/>
              </w:rPr>
              <w:t>3</w:t>
            </w:r>
            <w:r w:rsidRPr="00687B52">
              <w:rPr>
                <w:rFonts w:hint="eastAsia"/>
                <w:color w:val="000000" w:themeColor="text1"/>
              </w:rPr>
              <w:t>整个系统应采取防静电积聚措施，并应设置泄爆防护装置。</w:t>
            </w:r>
            <w:r w:rsidRPr="00687B52">
              <w:rPr>
                <w:rFonts w:hint="eastAsia"/>
                <w:color w:val="000000" w:themeColor="text1"/>
              </w:rPr>
              <w:t> </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7.3.3</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r w:rsidR="00656820" w:rsidRPr="00687B52" w:rsidTr="0007330F">
        <w:tc>
          <w:tcPr>
            <w:tcW w:w="371" w:type="pct"/>
            <w:shd w:val="clear" w:color="auto" w:fill="auto"/>
            <w:vAlign w:val="center"/>
          </w:tcPr>
          <w:p w:rsidR="00656820" w:rsidRPr="00687B52" w:rsidRDefault="00656820" w:rsidP="00D9787F">
            <w:pPr>
              <w:pStyle w:val="ab"/>
              <w:numPr>
                <w:ilvl w:val="0"/>
                <w:numId w:val="146"/>
              </w:numPr>
              <w:ind w:firstLineChars="0"/>
              <w:jc w:val="center"/>
              <w:rPr>
                <w:rFonts w:asciiTheme="minorEastAsia" w:hAnsiTheme="minorEastAsia" w:cs="Times New Roman"/>
                <w:color w:val="000000" w:themeColor="text1"/>
                <w:sz w:val="24"/>
                <w:szCs w:val="24"/>
              </w:rPr>
            </w:pPr>
          </w:p>
        </w:tc>
        <w:tc>
          <w:tcPr>
            <w:tcW w:w="2351" w:type="pct"/>
            <w:shd w:val="clear" w:color="auto" w:fill="auto"/>
            <w:vAlign w:val="center"/>
          </w:tcPr>
          <w:p w:rsidR="00656820" w:rsidRPr="00687B52" w:rsidRDefault="00656820" w:rsidP="00527C62">
            <w:pPr>
              <w:pStyle w:val="a7"/>
              <w:jc w:val="left"/>
              <w:rPr>
                <w:color w:val="000000" w:themeColor="text1"/>
              </w:rPr>
            </w:pPr>
            <w:r w:rsidRPr="00687B52">
              <w:rPr>
                <w:rFonts w:hint="eastAsia"/>
                <w:color w:val="000000" w:themeColor="text1"/>
              </w:rPr>
              <w:t>干熄焦环境烟尘治理系统应采用先进可靠的自动控制系统。</w:t>
            </w:r>
          </w:p>
        </w:tc>
        <w:tc>
          <w:tcPr>
            <w:tcW w:w="1029" w:type="pct"/>
            <w:shd w:val="clear" w:color="auto" w:fill="auto"/>
            <w:vAlign w:val="center"/>
          </w:tcPr>
          <w:p w:rsidR="00656820" w:rsidRPr="00687B52" w:rsidRDefault="00925D4C" w:rsidP="00527C62">
            <w:pPr>
              <w:pStyle w:val="a7"/>
              <w:jc w:val="left"/>
              <w:rPr>
                <w:color w:val="000000" w:themeColor="text1"/>
              </w:rPr>
            </w:pPr>
            <w:r w:rsidRPr="00687B52">
              <w:rPr>
                <w:rFonts w:hint="eastAsia"/>
                <w:color w:val="000000" w:themeColor="text1"/>
              </w:rPr>
              <w:t>《炼焦工艺设计规范》</w:t>
            </w:r>
            <w:r w:rsidR="00656820" w:rsidRPr="00687B52">
              <w:rPr>
                <w:color w:val="000000" w:themeColor="text1"/>
              </w:rPr>
              <w:t>GB50</w:t>
            </w:r>
            <w:r w:rsidR="00656820" w:rsidRPr="00687B52">
              <w:rPr>
                <w:rFonts w:hint="eastAsia"/>
                <w:color w:val="000000" w:themeColor="text1"/>
              </w:rPr>
              <w:t>432-2007</w:t>
            </w:r>
            <w:r w:rsidR="00656820" w:rsidRPr="00687B52">
              <w:rPr>
                <w:rFonts w:hint="eastAsia"/>
                <w:color w:val="000000" w:themeColor="text1"/>
              </w:rPr>
              <w:t>第</w:t>
            </w:r>
            <w:r w:rsidR="00656820" w:rsidRPr="00687B52">
              <w:rPr>
                <w:rFonts w:hint="eastAsia"/>
                <w:color w:val="000000" w:themeColor="text1"/>
              </w:rPr>
              <w:t>7.3.4</w:t>
            </w:r>
            <w:r w:rsidR="00656820" w:rsidRPr="00687B52">
              <w:rPr>
                <w:rFonts w:hint="eastAsia"/>
                <w:color w:val="000000" w:themeColor="text1"/>
              </w:rPr>
              <w:t>条</w:t>
            </w:r>
          </w:p>
        </w:tc>
        <w:tc>
          <w:tcPr>
            <w:tcW w:w="1249" w:type="pct"/>
            <w:shd w:val="clear" w:color="auto" w:fill="auto"/>
            <w:vAlign w:val="center"/>
          </w:tcPr>
          <w:p w:rsidR="00656820" w:rsidRPr="00687B52" w:rsidRDefault="00656820" w:rsidP="003E1D2A">
            <w:pPr>
              <w:rPr>
                <w:rFonts w:asciiTheme="minorEastAsia" w:hAnsiTheme="minorEastAsia" w:cs="Times New Roman"/>
                <w:color w:val="000000" w:themeColor="text1"/>
                <w:sz w:val="24"/>
                <w:szCs w:val="24"/>
              </w:rPr>
            </w:pPr>
          </w:p>
        </w:tc>
      </w:tr>
    </w:tbl>
    <w:p w:rsidR="003E1D2A" w:rsidRPr="00687B52" w:rsidRDefault="003E1D2A" w:rsidP="00F25ED0">
      <w:pPr>
        <w:adjustRightInd w:val="0"/>
        <w:snapToGrid w:val="0"/>
        <w:spacing w:afterLines="50" w:after="156"/>
        <w:jc w:val="left"/>
        <w:rPr>
          <w:rFonts w:ascii="Calibri" w:eastAsia="宋体" w:hAnsi="Calibri" w:cs="Times New Roman"/>
          <w:color w:val="000000" w:themeColor="text1"/>
          <w:sz w:val="18"/>
          <w:szCs w:val="18"/>
        </w:rPr>
      </w:pPr>
    </w:p>
    <w:p w:rsidR="003E1D2A" w:rsidRPr="00687B52" w:rsidRDefault="003E1D2A" w:rsidP="003110C0">
      <w:pPr>
        <w:spacing w:line="480" w:lineRule="exact"/>
        <w:jc w:val="left"/>
        <w:rPr>
          <w:color w:val="000000" w:themeColor="text1"/>
          <w:sz w:val="28"/>
          <w:szCs w:val="28"/>
        </w:rPr>
        <w:sectPr w:rsidR="003E1D2A" w:rsidRPr="00687B52" w:rsidSect="00D22E6D">
          <w:footerReference w:type="default" r:id="rId36"/>
          <w:pgSz w:w="16838" w:h="11906" w:orient="landscape"/>
          <w:pgMar w:top="1457" w:right="1797" w:bottom="1457" w:left="1797" w:header="851" w:footer="907" w:gutter="0"/>
          <w:cols w:space="425"/>
          <w:docGrid w:type="lines" w:linePitch="312"/>
        </w:sectPr>
      </w:pPr>
    </w:p>
    <w:p w:rsidR="008B4454" w:rsidRPr="00687B52" w:rsidRDefault="003E6F05" w:rsidP="00763863">
      <w:pPr>
        <w:pStyle w:val="aff2"/>
        <w:ind w:firstLine="562"/>
        <w:rPr>
          <w:rFonts w:ascii="黑体" w:eastAsia="黑体" w:hAnsi="黑体"/>
          <w:color w:val="000000" w:themeColor="text1"/>
        </w:rPr>
      </w:pPr>
      <w:bookmarkStart w:id="38" w:name="_Toc492562321"/>
      <w:bookmarkStart w:id="39" w:name="_Toc492563457"/>
      <w:bookmarkStart w:id="40" w:name="_Toc492563790"/>
      <w:bookmarkStart w:id="41" w:name="_Toc492563974"/>
      <w:bookmarkStart w:id="42" w:name="_Toc492564963"/>
      <w:bookmarkStart w:id="43" w:name="_Toc492634901"/>
      <w:bookmarkStart w:id="44" w:name="_Toc492644877"/>
      <w:bookmarkStart w:id="45" w:name="_Toc492647589"/>
      <w:bookmarkStart w:id="46" w:name="_Toc493856948"/>
      <w:bookmarkStart w:id="47" w:name="_Toc493857058"/>
      <w:r w:rsidRPr="00687B52">
        <w:rPr>
          <w:rFonts w:hint="eastAsia"/>
          <w:color w:val="000000" w:themeColor="text1"/>
        </w:rPr>
        <w:t>4.3</w:t>
      </w:r>
      <w:r w:rsidR="008B4454" w:rsidRPr="00687B52">
        <w:rPr>
          <w:rFonts w:hint="eastAsia"/>
          <w:color w:val="000000" w:themeColor="text1"/>
        </w:rPr>
        <w:t>危险化学品储存、经营企业专业检查表</w:t>
      </w:r>
      <w:bookmarkEnd w:id="38"/>
      <w:bookmarkEnd w:id="39"/>
      <w:bookmarkEnd w:id="40"/>
      <w:bookmarkEnd w:id="41"/>
      <w:bookmarkEnd w:id="42"/>
      <w:bookmarkEnd w:id="43"/>
      <w:bookmarkEnd w:id="44"/>
      <w:bookmarkEnd w:id="45"/>
      <w:bookmarkEnd w:id="46"/>
      <w:bookmarkEnd w:id="47"/>
    </w:p>
    <w:p w:rsidR="003E1D2A" w:rsidRPr="00687B52" w:rsidRDefault="008B4454" w:rsidP="008B4454">
      <w:pPr>
        <w:pStyle w:val="aff3"/>
        <w:numPr>
          <w:ilvl w:val="0"/>
          <w:numId w:val="0"/>
        </w:numPr>
        <w:rPr>
          <w:color w:val="000000" w:themeColor="text1"/>
          <w:szCs w:val="28"/>
        </w:rPr>
      </w:pPr>
      <w:bookmarkStart w:id="48" w:name="_Toc492634902"/>
      <w:r w:rsidRPr="00687B52">
        <w:rPr>
          <w:rFonts w:hint="eastAsia"/>
          <w:color w:val="000000" w:themeColor="text1"/>
        </w:rPr>
        <w:t>表</w:t>
      </w:r>
      <w:r w:rsidRPr="00687B52">
        <w:rPr>
          <w:rFonts w:hint="eastAsia"/>
          <w:color w:val="000000" w:themeColor="text1"/>
        </w:rPr>
        <w:t xml:space="preserve">3-1 </w:t>
      </w:r>
      <w:r w:rsidRPr="00687B52">
        <w:rPr>
          <w:rFonts w:hint="eastAsia"/>
          <w:color w:val="000000" w:themeColor="text1"/>
        </w:rPr>
        <w:t>危险化学品储存、经营企业专业检查表（</w:t>
      </w:r>
      <w:r w:rsidR="003E1D2A" w:rsidRPr="00687B52">
        <w:rPr>
          <w:rFonts w:hint="eastAsia"/>
          <w:color w:val="000000" w:themeColor="text1"/>
          <w:szCs w:val="28"/>
        </w:rPr>
        <w:t>加油站</w:t>
      </w:r>
      <w:r w:rsidRPr="00687B52">
        <w:rPr>
          <w:rFonts w:hint="eastAsia"/>
          <w:color w:val="000000" w:themeColor="text1"/>
        </w:rPr>
        <w:t>）</w:t>
      </w:r>
      <w:bookmarkEnd w:id="48"/>
    </w:p>
    <w:p w:rsidR="003E1D2A" w:rsidRPr="00687B52" w:rsidRDefault="003E1D2A" w:rsidP="003E1D2A">
      <w:pPr>
        <w:widowControl/>
        <w:jc w:val="left"/>
        <w:rPr>
          <w:rFonts w:ascii="黑体" w:eastAsia="黑体" w:hAnsi="黑体"/>
          <w:color w:val="000000" w:themeColor="text1"/>
          <w:sz w:val="28"/>
          <w:szCs w:val="28"/>
        </w:rPr>
      </w:pPr>
      <w:r w:rsidRPr="00687B52">
        <w:rPr>
          <w:rFonts w:ascii="宋体" w:eastAsia="宋体" w:hAnsi="宋体" w:cs="宋体"/>
          <w:color w:val="000000" w:themeColor="text1"/>
          <w:kern w:val="0"/>
          <w:sz w:val="24"/>
          <w:szCs w:val="24"/>
        </w:rPr>
        <w:t>本表适用于</w:t>
      </w:r>
      <w:r w:rsidRPr="00687B52">
        <w:rPr>
          <w:rFonts w:ascii="宋体" w:eastAsia="宋体" w:hAnsi="宋体" w:cs="宋体" w:hint="eastAsia"/>
          <w:color w:val="000000" w:themeColor="text1"/>
          <w:kern w:val="0"/>
          <w:sz w:val="24"/>
          <w:szCs w:val="24"/>
        </w:rPr>
        <w:t>加油站（不含加气部分）。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7350"/>
        <w:gridCol w:w="3124"/>
        <w:gridCol w:w="2084"/>
      </w:tblGrid>
      <w:tr w:rsidR="003E1D2A" w:rsidRPr="00687B52" w:rsidTr="008B4454">
        <w:trPr>
          <w:trHeight w:val="279"/>
          <w:tblHeade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序号</w:t>
            </w:r>
          </w:p>
        </w:tc>
        <w:tc>
          <w:tcPr>
            <w:tcW w:w="2579"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hint="eastAsia"/>
                <w:color w:val="000000" w:themeColor="text1"/>
                <w:szCs w:val="24"/>
              </w:rPr>
              <w:t>检查内容</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hint="eastAsia"/>
                <w:color w:val="000000" w:themeColor="text1"/>
                <w:szCs w:val="24"/>
              </w:rPr>
              <w:t>检查依据</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hint="eastAsia"/>
                <w:color w:val="000000" w:themeColor="text1"/>
                <w:szCs w:val="24"/>
              </w:rPr>
              <w:t>检查情况</w:t>
            </w: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1</w:t>
            </w:r>
          </w:p>
        </w:tc>
        <w:tc>
          <w:tcPr>
            <w:tcW w:w="4667" w:type="pct"/>
            <w:gridSpan w:val="3"/>
            <w:vAlign w:val="center"/>
          </w:tcPr>
          <w:p w:rsidR="003E1D2A" w:rsidRPr="00687B52" w:rsidRDefault="003E1D2A" w:rsidP="003E1D2A">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区域位置、总图布置与建筑</w:t>
            </w:r>
          </w:p>
        </w:tc>
      </w:tr>
      <w:tr w:rsidR="003E1D2A" w:rsidRPr="00687B52" w:rsidTr="008B4454">
        <w:trPr>
          <w:jc w:val="center"/>
        </w:trPr>
        <w:tc>
          <w:tcPr>
            <w:tcW w:w="333" w:type="pct"/>
            <w:vAlign w:val="center"/>
          </w:tcPr>
          <w:p w:rsidR="003E1D2A" w:rsidRPr="00687B52" w:rsidRDefault="008B4454"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w:t>
            </w:r>
          </w:p>
        </w:tc>
        <w:tc>
          <w:tcPr>
            <w:tcW w:w="4667" w:type="pct"/>
            <w:gridSpan w:val="3"/>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b/>
                <w:color w:val="000000" w:themeColor="text1"/>
                <w:szCs w:val="24"/>
              </w:rPr>
              <w:t>区域位置、总图布置</w:t>
            </w: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1.1.1</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在城市建成区不宜建一级加油站、一级加气站、一级加油加气合建站、</w:t>
            </w:r>
            <w:r w:rsidRPr="00687B52">
              <w:rPr>
                <w:rFonts w:asciiTheme="minorEastAsia" w:eastAsiaTheme="minorEastAsia" w:hAnsiTheme="minorEastAsia"/>
                <w:color w:val="000000" w:themeColor="text1"/>
                <w:szCs w:val="24"/>
              </w:rPr>
              <w:t>CNG</w:t>
            </w:r>
            <w:r w:rsidRPr="00687B52">
              <w:rPr>
                <w:rFonts w:asciiTheme="minorEastAsia" w:eastAsiaTheme="minorEastAsia" w:hAnsiTheme="minorEastAsia" w:hint="eastAsia"/>
                <w:color w:val="000000" w:themeColor="text1"/>
                <w:szCs w:val="24"/>
              </w:rPr>
              <w:t>加气母站。在城市中心区不应建一级加油站、一级加气站、一级加油加气合建站、</w:t>
            </w:r>
            <w:r w:rsidRPr="00687B52">
              <w:rPr>
                <w:rFonts w:asciiTheme="minorEastAsia" w:eastAsiaTheme="minorEastAsia" w:hAnsiTheme="minorEastAsia"/>
                <w:color w:val="000000" w:themeColor="text1"/>
                <w:szCs w:val="24"/>
              </w:rPr>
              <w:t>CNG</w:t>
            </w:r>
            <w:r w:rsidRPr="00687B52">
              <w:rPr>
                <w:rFonts w:asciiTheme="minorEastAsia" w:eastAsiaTheme="minorEastAsia" w:hAnsiTheme="minorEastAsia" w:hint="eastAsia"/>
                <w:color w:val="000000" w:themeColor="text1"/>
                <w:szCs w:val="24"/>
              </w:rPr>
              <w:t>加气母站。</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《汽车加油加气站设计与施工规范》GB50156-2012(2014年修改版)第4.0.2</w:t>
            </w:r>
          </w:p>
        </w:tc>
        <w:tc>
          <w:tcPr>
            <w:tcW w:w="851" w:type="pct"/>
            <w:vAlign w:val="center"/>
          </w:tcPr>
          <w:p w:rsidR="003E1D2A" w:rsidRPr="00687B52" w:rsidRDefault="003E1D2A" w:rsidP="003E1D2A">
            <w:pPr>
              <w:jc w:val="center"/>
              <w:rPr>
                <w:rFonts w:asciiTheme="minorEastAsia" w:hAnsiTheme="minorEastAsia"/>
                <w:color w:val="000000" w:themeColor="text1"/>
                <w:sz w:val="24"/>
                <w:szCs w:val="24"/>
              </w:rPr>
            </w:pPr>
          </w:p>
        </w:tc>
      </w:tr>
      <w:tr w:rsidR="003E1D2A" w:rsidRPr="00687B52" w:rsidTr="008B4454">
        <w:trPr>
          <w:jc w:val="center"/>
        </w:trPr>
        <w:tc>
          <w:tcPr>
            <w:tcW w:w="333" w:type="pct"/>
            <w:vAlign w:val="center"/>
          </w:tcPr>
          <w:p w:rsidR="003E1D2A" w:rsidRPr="00687B52" w:rsidRDefault="003E1D2A" w:rsidP="00547806">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1.1.2</w:t>
            </w:r>
          </w:p>
        </w:tc>
        <w:tc>
          <w:tcPr>
            <w:tcW w:w="2579" w:type="pct"/>
            <w:vAlign w:val="center"/>
          </w:tcPr>
          <w:p w:rsidR="003E1D2A" w:rsidRPr="00687B52" w:rsidRDefault="003E1D2A" w:rsidP="00547806">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加油站、加油加气合建站的汽油设备与站外建（构）筑物的安全间距，不应小于表4.0.4的规定。</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《汽车加油加气站设计与施工规范》GB50156-2012(2014年修改版)第4.0.4</w:t>
            </w:r>
          </w:p>
        </w:tc>
        <w:tc>
          <w:tcPr>
            <w:tcW w:w="851" w:type="pct"/>
            <w:vAlign w:val="center"/>
          </w:tcPr>
          <w:p w:rsidR="003E1D2A" w:rsidRPr="00687B52" w:rsidRDefault="003E1D2A" w:rsidP="003E1D2A">
            <w:pPr>
              <w:jc w:val="center"/>
              <w:rPr>
                <w:rFonts w:asciiTheme="minorEastAsia" w:hAnsiTheme="minorEastAsia"/>
                <w:b/>
                <w:bCs/>
                <w:color w:val="000000" w:themeColor="text1"/>
                <w:sz w:val="24"/>
                <w:szCs w:val="24"/>
              </w:rPr>
            </w:pPr>
          </w:p>
        </w:tc>
      </w:tr>
      <w:tr w:rsidR="003E1D2A" w:rsidRPr="00687B52" w:rsidTr="00547806">
        <w:trPr>
          <w:trHeight w:val="3905"/>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1.1.3</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加油站、加油加气合建站的柴油设备与站外建（构）筑物的安全间距，不应小于下表的规定。</w:t>
            </w:r>
          </w:p>
          <w:tbl>
            <w:tblPr>
              <w:tblW w:w="7100" w:type="dxa"/>
              <w:jc w:val="center"/>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34"/>
              <w:gridCol w:w="1635"/>
              <w:gridCol w:w="1495"/>
              <w:gridCol w:w="1491"/>
              <w:gridCol w:w="746"/>
              <w:gridCol w:w="959"/>
            </w:tblGrid>
            <w:tr w:rsidR="003E1D2A" w:rsidRPr="00687B52" w:rsidTr="003E1D2A">
              <w:trPr>
                <w:cantSplit/>
                <w:trHeight w:val="284"/>
                <w:tblHeader/>
                <w:jc w:val="center"/>
              </w:trPr>
              <w:tc>
                <w:tcPr>
                  <w:tcW w:w="2409" w:type="dxa"/>
                  <w:gridSpan w:val="3"/>
                  <w:vMerge w:val="restart"/>
                  <w:tcBorders>
                    <w:left w:val="single" w:sz="4" w:space="0" w:color="auto"/>
                  </w:tcBorders>
                  <w:vAlign w:val="center"/>
                </w:tcPr>
                <w:p w:rsidR="003E1D2A" w:rsidRPr="00687B52" w:rsidRDefault="003E1D2A" w:rsidP="003E1D2A">
                  <w:pPr>
                    <w:spacing w:line="440" w:lineRule="exact"/>
                    <w:ind w:firstLine="482"/>
                    <w:rPr>
                      <w:rFonts w:ascii="黑体" w:eastAsia="黑体"/>
                      <w:bCs/>
                      <w:color w:val="000000" w:themeColor="text1"/>
                      <w:sz w:val="18"/>
                      <w:szCs w:val="18"/>
                    </w:rPr>
                  </w:pPr>
                  <w:r w:rsidRPr="00687B52">
                    <w:rPr>
                      <w:rFonts w:ascii="黑体" w:eastAsia="黑体" w:hint="eastAsia"/>
                      <w:bCs/>
                      <w:color w:val="000000" w:themeColor="text1"/>
                      <w:spacing w:val="10"/>
                      <w:sz w:val="18"/>
                      <w:szCs w:val="18"/>
                    </w:rPr>
                    <w:t>站外建（构）筑物</w:t>
                  </w:r>
                </w:p>
              </w:tc>
              <w:tc>
                <w:tcPr>
                  <w:tcW w:w="4691" w:type="dxa"/>
                  <w:gridSpan w:val="4"/>
                  <w:tcBorders>
                    <w:right w:val="single" w:sz="4" w:space="0" w:color="auto"/>
                  </w:tcBorders>
                  <w:vAlign w:val="center"/>
                </w:tcPr>
                <w:p w:rsidR="003E1D2A" w:rsidRPr="00687B52" w:rsidRDefault="003E1D2A" w:rsidP="003E1D2A">
                  <w:pPr>
                    <w:spacing w:line="400" w:lineRule="exact"/>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站内柴油设备</w:t>
                  </w:r>
                </w:p>
              </w:tc>
            </w:tr>
            <w:tr w:rsidR="003E1D2A" w:rsidRPr="00687B52" w:rsidTr="003E1D2A">
              <w:trPr>
                <w:cantSplit/>
                <w:trHeight w:val="284"/>
                <w:tblHeader/>
                <w:jc w:val="center"/>
              </w:trPr>
              <w:tc>
                <w:tcPr>
                  <w:tcW w:w="2409" w:type="dxa"/>
                  <w:gridSpan w:val="3"/>
                  <w:vMerge/>
                  <w:tcBorders>
                    <w:left w:val="single" w:sz="4" w:space="0" w:color="auto"/>
                  </w:tcBorders>
                </w:tcPr>
                <w:p w:rsidR="003E1D2A" w:rsidRPr="00687B52" w:rsidRDefault="003E1D2A" w:rsidP="003E1D2A">
                  <w:pPr>
                    <w:spacing w:line="440" w:lineRule="exact"/>
                    <w:ind w:firstLine="482"/>
                    <w:rPr>
                      <w:rFonts w:ascii="黑体" w:eastAsia="黑体"/>
                      <w:bCs/>
                      <w:color w:val="000000" w:themeColor="text1"/>
                      <w:sz w:val="18"/>
                      <w:szCs w:val="18"/>
                    </w:rPr>
                  </w:pPr>
                </w:p>
              </w:tc>
              <w:tc>
                <w:tcPr>
                  <w:tcW w:w="3732" w:type="dxa"/>
                  <w:gridSpan w:val="3"/>
                  <w:vAlign w:val="center"/>
                </w:tcPr>
                <w:p w:rsidR="003E1D2A" w:rsidRPr="00687B52" w:rsidRDefault="003E1D2A" w:rsidP="003E1D2A">
                  <w:pPr>
                    <w:spacing w:line="400" w:lineRule="exact"/>
                    <w:jc w:val="center"/>
                    <w:rPr>
                      <w:rFonts w:ascii="黑体" w:eastAsia="黑体"/>
                      <w:bCs/>
                      <w:color w:val="000000" w:themeColor="text1"/>
                      <w:spacing w:val="20"/>
                      <w:sz w:val="18"/>
                      <w:szCs w:val="18"/>
                    </w:rPr>
                  </w:pPr>
                  <w:r w:rsidRPr="00687B52">
                    <w:rPr>
                      <w:rFonts w:ascii="黑体" w:eastAsia="黑体" w:hint="eastAsia"/>
                      <w:bCs/>
                      <w:color w:val="000000" w:themeColor="text1"/>
                      <w:spacing w:val="20"/>
                      <w:sz w:val="18"/>
                      <w:szCs w:val="18"/>
                    </w:rPr>
                    <w:t>埋地油罐</w:t>
                  </w:r>
                </w:p>
              </w:tc>
              <w:tc>
                <w:tcPr>
                  <w:tcW w:w="959" w:type="dxa"/>
                  <w:vMerge w:val="restart"/>
                  <w:tcBorders>
                    <w:right w:val="single" w:sz="4" w:space="0" w:color="auto"/>
                  </w:tcBorders>
                  <w:vAlign w:val="center"/>
                </w:tcPr>
                <w:p w:rsidR="003E1D2A" w:rsidRPr="00687B52" w:rsidRDefault="003E1D2A" w:rsidP="003E1D2A">
                  <w:pPr>
                    <w:jc w:val="center"/>
                    <w:rPr>
                      <w:rFonts w:ascii="黑体" w:eastAsia="黑体"/>
                      <w:bCs/>
                      <w:color w:val="000000" w:themeColor="text1"/>
                      <w:kern w:val="0"/>
                      <w:sz w:val="18"/>
                      <w:szCs w:val="18"/>
                    </w:rPr>
                  </w:pPr>
                  <w:r w:rsidRPr="00687B52">
                    <w:rPr>
                      <w:rFonts w:ascii="黑体" w:eastAsia="黑体" w:hint="eastAsia"/>
                      <w:bCs/>
                      <w:color w:val="000000" w:themeColor="text1"/>
                      <w:kern w:val="0"/>
                      <w:sz w:val="18"/>
                      <w:szCs w:val="18"/>
                    </w:rPr>
                    <w:t>加油机、</w:t>
                  </w:r>
                </w:p>
                <w:p w:rsidR="003E1D2A" w:rsidRPr="00687B52" w:rsidRDefault="003E1D2A" w:rsidP="003E1D2A">
                  <w:pPr>
                    <w:jc w:val="center"/>
                    <w:rPr>
                      <w:rFonts w:ascii="黑体" w:eastAsia="黑体"/>
                      <w:bCs/>
                      <w:color w:val="000000" w:themeColor="text1"/>
                      <w:kern w:val="0"/>
                      <w:sz w:val="18"/>
                      <w:szCs w:val="18"/>
                    </w:rPr>
                  </w:pPr>
                  <w:r w:rsidRPr="00687B52">
                    <w:rPr>
                      <w:rFonts w:ascii="黑体" w:eastAsia="黑体" w:hint="eastAsia"/>
                      <w:bCs/>
                      <w:color w:val="000000" w:themeColor="text1"/>
                      <w:kern w:val="0"/>
                      <w:sz w:val="18"/>
                      <w:szCs w:val="18"/>
                    </w:rPr>
                    <w:t>通气管管口</w:t>
                  </w:r>
                </w:p>
              </w:tc>
            </w:tr>
            <w:tr w:rsidR="003E1D2A" w:rsidRPr="00687B52" w:rsidTr="003E1D2A">
              <w:trPr>
                <w:cantSplit/>
                <w:trHeight w:val="561"/>
                <w:tblHeader/>
                <w:jc w:val="center"/>
              </w:trPr>
              <w:tc>
                <w:tcPr>
                  <w:tcW w:w="2409" w:type="dxa"/>
                  <w:gridSpan w:val="3"/>
                  <w:vMerge/>
                  <w:tcBorders>
                    <w:left w:val="single" w:sz="4" w:space="0" w:color="auto"/>
                  </w:tcBorders>
                </w:tcPr>
                <w:p w:rsidR="003E1D2A" w:rsidRPr="00687B52" w:rsidRDefault="003E1D2A" w:rsidP="003E1D2A">
                  <w:pPr>
                    <w:spacing w:line="400" w:lineRule="exact"/>
                    <w:jc w:val="center"/>
                    <w:rPr>
                      <w:rFonts w:ascii="黑体" w:eastAsia="黑体"/>
                      <w:bCs/>
                      <w:color w:val="000000" w:themeColor="text1"/>
                      <w:sz w:val="18"/>
                      <w:szCs w:val="18"/>
                    </w:rPr>
                  </w:pPr>
                </w:p>
              </w:tc>
              <w:tc>
                <w:tcPr>
                  <w:tcW w:w="1495" w:type="dxa"/>
                  <w:vAlign w:val="center"/>
                </w:tcPr>
                <w:p w:rsidR="003E1D2A" w:rsidRPr="00687B52" w:rsidRDefault="003E1D2A" w:rsidP="003E1D2A">
                  <w:pPr>
                    <w:spacing w:line="400" w:lineRule="exact"/>
                    <w:jc w:val="center"/>
                    <w:rPr>
                      <w:rFonts w:ascii="黑体" w:eastAsia="黑体"/>
                      <w:bCs/>
                      <w:color w:val="000000" w:themeColor="text1"/>
                      <w:sz w:val="18"/>
                      <w:szCs w:val="18"/>
                    </w:rPr>
                  </w:pPr>
                  <w:r w:rsidRPr="00687B52">
                    <w:rPr>
                      <w:rFonts w:ascii="黑体" w:eastAsia="黑体" w:hint="eastAsia"/>
                      <w:bCs/>
                      <w:color w:val="000000" w:themeColor="text1"/>
                      <w:sz w:val="18"/>
                      <w:szCs w:val="18"/>
                    </w:rPr>
                    <w:t>一级站</w:t>
                  </w:r>
                </w:p>
              </w:tc>
              <w:tc>
                <w:tcPr>
                  <w:tcW w:w="1491" w:type="dxa"/>
                  <w:vAlign w:val="center"/>
                </w:tcPr>
                <w:p w:rsidR="003E1D2A" w:rsidRPr="00687B52" w:rsidRDefault="003E1D2A" w:rsidP="003E1D2A">
                  <w:pPr>
                    <w:spacing w:line="400" w:lineRule="exact"/>
                    <w:jc w:val="center"/>
                    <w:rPr>
                      <w:rFonts w:ascii="黑体" w:eastAsia="黑体"/>
                      <w:bCs/>
                      <w:color w:val="000000" w:themeColor="text1"/>
                      <w:sz w:val="18"/>
                      <w:szCs w:val="18"/>
                    </w:rPr>
                  </w:pPr>
                  <w:r w:rsidRPr="00687B52">
                    <w:rPr>
                      <w:rFonts w:ascii="黑体" w:eastAsia="黑体" w:hint="eastAsia"/>
                      <w:bCs/>
                      <w:color w:val="000000" w:themeColor="text1"/>
                      <w:sz w:val="18"/>
                      <w:szCs w:val="18"/>
                    </w:rPr>
                    <w:t>二级站</w:t>
                  </w:r>
                </w:p>
              </w:tc>
              <w:tc>
                <w:tcPr>
                  <w:tcW w:w="746" w:type="dxa"/>
                  <w:vAlign w:val="center"/>
                </w:tcPr>
                <w:p w:rsidR="003E1D2A" w:rsidRPr="00687B52" w:rsidRDefault="003E1D2A" w:rsidP="003E1D2A">
                  <w:pPr>
                    <w:spacing w:line="400" w:lineRule="exact"/>
                    <w:jc w:val="center"/>
                    <w:rPr>
                      <w:rFonts w:ascii="黑体" w:eastAsia="黑体"/>
                      <w:bCs/>
                      <w:color w:val="000000" w:themeColor="text1"/>
                      <w:sz w:val="18"/>
                      <w:szCs w:val="18"/>
                    </w:rPr>
                  </w:pPr>
                  <w:r w:rsidRPr="00687B52">
                    <w:rPr>
                      <w:rFonts w:ascii="黑体" w:eastAsia="黑体" w:hint="eastAsia"/>
                      <w:bCs/>
                      <w:color w:val="000000" w:themeColor="text1"/>
                      <w:sz w:val="18"/>
                      <w:szCs w:val="18"/>
                    </w:rPr>
                    <w:t>三级站</w:t>
                  </w:r>
                </w:p>
              </w:tc>
              <w:tc>
                <w:tcPr>
                  <w:tcW w:w="959" w:type="dxa"/>
                  <w:vMerge/>
                  <w:tcBorders>
                    <w:right w:val="single" w:sz="4" w:space="0" w:color="auto"/>
                  </w:tcBorders>
                  <w:vAlign w:val="center"/>
                </w:tcPr>
                <w:p w:rsidR="003E1D2A" w:rsidRPr="00687B52" w:rsidRDefault="003E1D2A" w:rsidP="003E1D2A">
                  <w:pPr>
                    <w:spacing w:line="360" w:lineRule="auto"/>
                    <w:jc w:val="center"/>
                    <w:rPr>
                      <w:rFonts w:ascii="黑体" w:eastAsia="黑体"/>
                      <w:bCs/>
                      <w:color w:val="000000" w:themeColor="text1"/>
                      <w:sz w:val="18"/>
                      <w:szCs w:val="18"/>
                    </w:rPr>
                  </w:pPr>
                </w:p>
              </w:tc>
            </w:tr>
            <w:tr w:rsidR="003E1D2A" w:rsidRPr="00687B52" w:rsidTr="003E1D2A">
              <w:trPr>
                <w:cantSplit/>
                <w:trHeight w:val="223"/>
                <w:jc w:val="center"/>
              </w:trPr>
              <w:tc>
                <w:tcPr>
                  <w:tcW w:w="2409" w:type="dxa"/>
                  <w:gridSpan w:val="3"/>
                  <w:tcBorders>
                    <w:left w:val="single" w:sz="4" w:space="0" w:color="auto"/>
                  </w:tcBorders>
                </w:tcPr>
                <w:p w:rsidR="003E1D2A" w:rsidRPr="00687B52" w:rsidRDefault="003E1D2A" w:rsidP="003E1D2A">
                  <w:pPr>
                    <w:jc w:val="center"/>
                    <w:rPr>
                      <w:rFonts w:ascii="黑体" w:eastAsia="黑体"/>
                      <w:bCs/>
                      <w:color w:val="000000" w:themeColor="text1"/>
                      <w:sz w:val="18"/>
                      <w:szCs w:val="18"/>
                    </w:rPr>
                  </w:pPr>
                  <w:r w:rsidRPr="00687B52">
                    <w:rPr>
                      <w:rFonts w:ascii="黑体" w:eastAsia="黑体" w:hint="eastAsia"/>
                      <w:bCs/>
                      <w:color w:val="000000" w:themeColor="text1"/>
                      <w:sz w:val="18"/>
                      <w:szCs w:val="18"/>
                    </w:rPr>
                    <w:t>重要公共建筑物</w:t>
                  </w:r>
                </w:p>
              </w:tc>
              <w:tc>
                <w:tcPr>
                  <w:tcW w:w="1495" w:type="dxa"/>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25</w:t>
                  </w:r>
                </w:p>
              </w:tc>
              <w:tc>
                <w:tcPr>
                  <w:tcW w:w="1491" w:type="dxa"/>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25</w:t>
                  </w:r>
                </w:p>
              </w:tc>
              <w:tc>
                <w:tcPr>
                  <w:tcW w:w="746" w:type="dxa"/>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25</w:t>
                  </w:r>
                </w:p>
              </w:tc>
              <w:tc>
                <w:tcPr>
                  <w:tcW w:w="959" w:type="dxa"/>
                  <w:tcBorders>
                    <w:right w:val="single" w:sz="4" w:space="0" w:color="auto"/>
                  </w:tcBorders>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25</w:t>
                  </w:r>
                </w:p>
              </w:tc>
            </w:tr>
            <w:tr w:rsidR="003E1D2A" w:rsidRPr="00687B52" w:rsidTr="003E1D2A">
              <w:trPr>
                <w:cantSplit/>
                <w:trHeight w:val="223"/>
                <w:jc w:val="center"/>
              </w:trPr>
              <w:tc>
                <w:tcPr>
                  <w:tcW w:w="2409" w:type="dxa"/>
                  <w:gridSpan w:val="3"/>
                  <w:tcBorders>
                    <w:left w:val="single" w:sz="4" w:space="0" w:color="auto"/>
                  </w:tcBorders>
                </w:tcPr>
                <w:p w:rsidR="003E1D2A" w:rsidRPr="00687B52" w:rsidRDefault="003E1D2A" w:rsidP="003E1D2A">
                  <w:pPr>
                    <w:jc w:val="center"/>
                    <w:rPr>
                      <w:rFonts w:ascii="黑体" w:eastAsia="黑体"/>
                      <w:bCs/>
                      <w:color w:val="000000" w:themeColor="text1"/>
                      <w:sz w:val="18"/>
                      <w:szCs w:val="18"/>
                    </w:rPr>
                  </w:pPr>
                  <w:r w:rsidRPr="00687B52">
                    <w:rPr>
                      <w:rFonts w:ascii="黑体" w:eastAsia="黑体" w:hint="eastAsia"/>
                      <w:bCs/>
                      <w:color w:val="000000" w:themeColor="text1"/>
                      <w:sz w:val="18"/>
                      <w:szCs w:val="18"/>
                    </w:rPr>
                    <w:t>明火地点或散发火花地点</w:t>
                  </w:r>
                </w:p>
              </w:tc>
              <w:tc>
                <w:tcPr>
                  <w:tcW w:w="1495" w:type="dxa"/>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12.5</w:t>
                  </w:r>
                </w:p>
              </w:tc>
              <w:tc>
                <w:tcPr>
                  <w:tcW w:w="1491" w:type="dxa"/>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12.5</w:t>
                  </w:r>
                </w:p>
              </w:tc>
              <w:tc>
                <w:tcPr>
                  <w:tcW w:w="746" w:type="dxa"/>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10</w:t>
                  </w:r>
                </w:p>
              </w:tc>
              <w:tc>
                <w:tcPr>
                  <w:tcW w:w="959" w:type="dxa"/>
                  <w:tcBorders>
                    <w:right w:val="single" w:sz="4" w:space="0" w:color="auto"/>
                  </w:tcBorders>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10</w:t>
                  </w:r>
                </w:p>
              </w:tc>
            </w:tr>
            <w:tr w:rsidR="003E1D2A" w:rsidRPr="00687B52" w:rsidTr="003E1D2A">
              <w:trPr>
                <w:cantSplit/>
                <w:trHeight w:val="223"/>
                <w:jc w:val="center"/>
              </w:trPr>
              <w:tc>
                <w:tcPr>
                  <w:tcW w:w="740" w:type="dxa"/>
                  <w:vMerge w:val="restart"/>
                  <w:tcBorders>
                    <w:left w:val="single" w:sz="4" w:space="0" w:color="auto"/>
                  </w:tcBorders>
                  <w:vAlign w:val="center"/>
                </w:tcPr>
                <w:p w:rsidR="003E1D2A" w:rsidRPr="00687B52" w:rsidRDefault="003E1D2A" w:rsidP="003E1D2A">
                  <w:pPr>
                    <w:jc w:val="center"/>
                    <w:rPr>
                      <w:rFonts w:ascii="黑体" w:eastAsia="黑体"/>
                      <w:bCs/>
                      <w:color w:val="000000" w:themeColor="text1"/>
                      <w:sz w:val="18"/>
                      <w:szCs w:val="18"/>
                    </w:rPr>
                  </w:pPr>
                  <w:r w:rsidRPr="00687B52">
                    <w:rPr>
                      <w:rFonts w:ascii="黑体" w:eastAsia="黑体" w:hint="eastAsia"/>
                      <w:bCs/>
                      <w:color w:val="000000" w:themeColor="text1"/>
                      <w:kern w:val="0"/>
                      <w:sz w:val="18"/>
                      <w:szCs w:val="18"/>
                    </w:rPr>
                    <w:t>民用建筑物保护类别</w:t>
                  </w:r>
                </w:p>
              </w:tc>
              <w:tc>
                <w:tcPr>
                  <w:tcW w:w="1669" w:type="dxa"/>
                  <w:gridSpan w:val="2"/>
                  <w:vAlign w:val="center"/>
                </w:tcPr>
                <w:p w:rsidR="003E1D2A" w:rsidRPr="00687B52" w:rsidRDefault="003E1D2A" w:rsidP="003E1D2A">
                  <w:pPr>
                    <w:jc w:val="center"/>
                    <w:rPr>
                      <w:rFonts w:ascii="黑体" w:eastAsia="黑体"/>
                      <w:bCs/>
                      <w:color w:val="000000" w:themeColor="text1"/>
                      <w:sz w:val="18"/>
                      <w:szCs w:val="18"/>
                    </w:rPr>
                  </w:pPr>
                  <w:r w:rsidRPr="00687B52">
                    <w:rPr>
                      <w:rFonts w:ascii="黑体" w:eastAsia="黑体" w:hint="eastAsia"/>
                      <w:bCs/>
                      <w:color w:val="000000" w:themeColor="text1"/>
                      <w:sz w:val="18"/>
                      <w:szCs w:val="18"/>
                    </w:rPr>
                    <w:t>一类保护物</w:t>
                  </w:r>
                </w:p>
              </w:tc>
              <w:tc>
                <w:tcPr>
                  <w:tcW w:w="1495" w:type="dxa"/>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6</w:t>
                  </w:r>
                </w:p>
              </w:tc>
              <w:tc>
                <w:tcPr>
                  <w:tcW w:w="1491" w:type="dxa"/>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6</w:t>
                  </w:r>
                </w:p>
              </w:tc>
              <w:tc>
                <w:tcPr>
                  <w:tcW w:w="746" w:type="dxa"/>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6</w:t>
                  </w:r>
                </w:p>
              </w:tc>
              <w:tc>
                <w:tcPr>
                  <w:tcW w:w="959" w:type="dxa"/>
                  <w:tcBorders>
                    <w:right w:val="single" w:sz="4" w:space="0" w:color="auto"/>
                  </w:tcBorders>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6</w:t>
                  </w:r>
                </w:p>
              </w:tc>
            </w:tr>
            <w:tr w:rsidR="003E1D2A" w:rsidRPr="00687B52" w:rsidTr="003E1D2A">
              <w:trPr>
                <w:cantSplit/>
                <w:trHeight w:val="223"/>
                <w:jc w:val="center"/>
              </w:trPr>
              <w:tc>
                <w:tcPr>
                  <w:tcW w:w="740" w:type="dxa"/>
                  <w:vMerge/>
                  <w:tcBorders>
                    <w:left w:val="single" w:sz="4" w:space="0" w:color="auto"/>
                  </w:tcBorders>
                  <w:vAlign w:val="center"/>
                </w:tcPr>
                <w:p w:rsidR="003E1D2A" w:rsidRPr="00687B52" w:rsidRDefault="003E1D2A" w:rsidP="003E1D2A">
                  <w:pPr>
                    <w:jc w:val="center"/>
                    <w:rPr>
                      <w:rFonts w:ascii="黑体" w:eastAsia="黑体"/>
                      <w:bCs/>
                      <w:color w:val="000000" w:themeColor="text1"/>
                      <w:sz w:val="18"/>
                      <w:szCs w:val="18"/>
                    </w:rPr>
                  </w:pPr>
                </w:p>
              </w:tc>
              <w:tc>
                <w:tcPr>
                  <w:tcW w:w="1669" w:type="dxa"/>
                  <w:gridSpan w:val="2"/>
                  <w:vAlign w:val="center"/>
                </w:tcPr>
                <w:p w:rsidR="003E1D2A" w:rsidRPr="00687B52" w:rsidRDefault="003E1D2A" w:rsidP="003E1D2A">
                  <w:pPr>
                    <w:jc w:val="center"/>
                    <w:rPr>
                      <w:rFonts w:ascii="黑体" w:eastAsia="黑体"/>
                      <w:bCs/>
                      <w:color w:val="000000" w:themeColor="text1"/>
                      <w:sz w:val="18"/>
                      <w:szCs w:val="18"/>
                    </w:rPr>
                  </w:pPr>
                  <w:r w:rsidRPr="00687B52">
                    <w:rPr>
                      <w:rFonts w:ascii="黑体" w:eastAsia="黑体" w:hint="eastAsia"/>
                      <w:bCs/>
                      <w:color w:val="000000" w:themeColor="text1"/>
                      <w:sz w:val="18"/>
                      <w:szCs w:val="18"/>
                    </w:rPr>
                    <w:t>二类保护物</w:t>
                  </w:r>
                </w:p>
              </w:tc>
              <w:tc>
                <w:tcPr>
                  <w:tcW w:w="1495" w:type="dxa"/>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6</w:t>
                  </w:r>
                </w:p>
              </w:tc>
              <w:tc>
                <w:tcPr>
                  <w:tcW w:w="1491" w:type="dxa"/>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6</w:t>
                  </w:r>
                </w:p>
              </w:tc>
              <w:tc>
                <w:tcPr>
                  <w:tcW w:w="746" w:type="dxa"/>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6</w:t>
                  </w:r>
                </w:p>
              </w:tc>
              <w:tc>
                <w:tcPr>
                  <w:tcW w:w="959" w:type="dxa"/>
                  <w:tcBorders>
                    <w:right w:val="single" w:sz="4" w:space="0" w:color="auto"/>
                  </w:tcBorders>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6</w:t>
                  </w:r>
                </w:p>
              </w:tc>
            </w:tr>
            <w:tr w:rsidR="003E1D2A" w:rsidRPr="00687B52" w:rsidTr="003E1D2A">
              <w:trPr>
                <w:cantSplit/>
                <w:trHeight w:val="641"/>
                <w:jc w:val="center"/>
              </w:trPr>
              <w:tc>
                <w:tcPr>
                  <w:tcW w:w="740" w:type="dxa"/>
                  <w:vMerge/>
                  <w:tcBorders>
                    <w:left w:val="single" w:sz="4" w:space="0" w:color="auto"/>
                  </w:tcBorders>
                  <w:vAlign w:val="center"/>
                </w:tcPr>
                <w:p w:rsidR="003E1D2A" w:rsidRPr="00687B52" w:rsidRDefault="003E1D2A" w:rsidP="003E1D2A">
                  <w:pPr>
                    <w:jc w:val="center"/>
                    <w:rPr>
                      <w:rFonts w:ascii="黑体" w:eastAsia="黑体"/>
                      <w:bCs/>
                      <w:color w:val="000000" w:themeColor="text1"/>
                      <w:sz w:val="18"/>
                      <w:szCs w:val="18"/>
                    </w:rPr>
                  </w:pPr>
                </w:p>
              </w:tc>
              <w:tc>
                <w:tcPr>
                  <w:tcW w:w="1669" w:type="dxa"/>
                  <w:gridSpan w:val="2"/>
                  <w:vAlign w:val="center"/>
                </w:tcPr>
                <w:p w:rsidR="003E1D2A" w:rsidRPr="00687B52" w:rsidRDefault="003E1D2A" w:rsidP="003E1D2A">
                  <w:pPr>
                    <w:jc w:val="center"/>
                    <w:rPr>
                      <w:rFonts w:ascii="黑体" w:eastAsia="黑体"/>
                      <w:bCs/>
                      <w:color w:val="000000" w:themeColor="text1"/>
                      <w:sz w:val="18"/>
                      <w:szCs w:val="18"/>
                    </w:rPr>
                  </w:pPr>
                  <w:r w:rsidRPr="00687B52">
                    <w:rPr>
                      <w:rFonts w:ascii="黑体" w:eastAsia="黑体" w:hint="eastAsia"/>
                      <w:bCs/>
                      <w:color w:val="000000" w:themeColor="text1"/>
                      <w:sz w:val="18"/>
                      <w:szCs w:val="18"/>
                    </w:rPr>
                    <w:t>三类保护物</w:t>
                  </w:r>
                </w:p>
              </w:tc>
              <w:tc>
                <w:tcPr>
                  <w:tcW w:w="1495" w:type="dxa"/>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6</w:t>
                  </w:r>
                </w:p>
              </w:tc>
              <w:tc>
                <w:tcPr>
                  <w:tcW w:w="1491" w:type="dxa"/>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6</w:t>
                  </w:r>
                </w:p>
              </w:tc>
              <w:tc>
                <w:tcPr>
                  <w:tcW w:w="746" w:type="dxa"/>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6</w:t>
                  </w:r>
                </w:p>
              </w:tc>
              <w:tc>
                <w:tcPr>
                  <w:tcW w:w="959" w:type="dxa"/>
                  <w:tcBorders>
                    <w:right w:val="single" w:sz="4" w:space="0" w:color="auto"/>
                  </w:tcBorders>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6</w:t>
                  </w:r>
                </w:p>
              </w:tc>
            </w:tr>
            <w:tr w:rsidR="003E1D2A" w:rsidRPr="00687B52" w:rsidTr="003E1D2A">
              <w:trPr>
                <w:cantSplit/>
                <w:trHeight w:val="439"/>
                <w:jc w:val="center"/>
              </w:trPr>
              <w:tc>
                <w:tcPr>
                  <w:tcW w:w="2409" w:type="dxa"/>
                  <w:gridSpan w:val="3"/>
                  <w:tcBorders>
                    <w:left w:val="single" w:sz="4" w:space="0" w:color="auto"/>
                  </w:tcBorders>
                  <w:vAlign w:val="center"/>
                </w:tcPr>
                <w:p w:rsidR="003E1D2A" w:rsidRPr="00687B52" w:rsidRDefault="003E1D2A" w:rsidP="003E1D2A">
                  <w:pPr>
                    <w:rPr>
                      <w:rFonts w:ascii="黑体" w:eastAsia="黑体"/>
                      <w:bCs/>
                      <w:color w:val="000000" w:themeColor="text1"/>
                      <w:spacing w:val="-6"/>
                      <w:sz w:val="18"/>
                      <w:szCs w:val="18"/>
                    </w:rPr>
                  </w:pPr>
                  <w:r w:rsidRPr="00687B52">
                    <w:rPr>
                      <w:rFonts w:ascii="黑体" w:eastAsia="黑体" w:hint="eastAsia"/>
                      <w:bCs/>
                      <w:color w:val="000000" w:themeColor="text1"/>
                      <w:spacing w:val="-6"/>
                      <w:sz w:val="18"/>
                      <w:szCs w:val="18"/>
                    </w:rPr>
                    <w:t>甲、乙类物品生产厂房、 库房和甲、乙类液体储罐</w:t>
                  </w:r>
                </w:p>
              </w:tc>
              <w:tc>
                <w:tcPr>
                  <w:tcW w:w="1495" w:type="dxa"/>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12.5</w:t>
                  </w:r>
                </w:p>
              </w:tc>
              <w:tc>
                <w:tcPr>
                  <w:tcW w:w="1491" w:type="dxa"/>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11</w:t>
                  </w:r>
                </w:p>
              </w:tc>
              <w:tc>
                <w:tcPr>
                  <w:tcW w:w="746" w:type="dxa"/>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9</w:t>
                  </w:r>
                </w:p>
              </w:tc>
              <w:tc>
                <w:tcPr>
                  <w:tcW w:w="959" w:type="dxa"/>
                  <w:tcBorders>
                    <w:right w:val="single" w:sz="4" w:space="0" w:color="auto"/>
                  </w:tcBorders>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9</w:t>
                  </w:r>
                </w:p>
              </w:tc>
            </w:tr>
            <w:tr w:rsidR="003E1D2A" w:rsidRPr="00687B52" w:rsidTr="003E1D2A">
              <w:trPr>
                <w:cantSplit/>
                <w:trHeight w:val="1004"/>
                <w:jc w:val="center"/>
              </w:trPr>
              <w:tc>
                <w:tcPr>
                  <w:tcW w:w="2409" w:type="dxa"/>
                  <w:gridSpan w:val="3"/>
                  <w:tcBorders>
                    <w:left w:val="single" w:sz="4" w:space="0" w:color="auto"/>
                  </w:tcBorders>
                  <w:vAlign w:val="center"/>
                </w:tcPr>
                <w:p w:rsidR="003E1D2A" w:rsidRPr="00687B52" w:rsidRDefault="003E1D2A" w:rsidP="003E1D2A">
                  <w:pPr>
                    <w:spacing w:line="360" w:lineRule="exact"/>
                    <w:rPr>
                      <w:rFonts w:ascii="黑体" w:eastAsia="黑体"/>
                      <w:bCs/>
                      <w:color w:val="000000" w:themeColor="text1"/>
                      <w:sz w:val="18"/>
                      <w:szCs w:val="18"/>
                    </w:rPr>
                  </w:pPr>
                  <w:r w:rsidRPr="00687B52">
                    <w:rPr>
                      <w:rFonts w:ascii="黑体" w:eastAsia="黑体" w:hint="eastAsia"/>
                      <w:bCs/>
                      <w:color w:val="000000" w:themeColor="text1"/>
                      <w:sz w:val="18"/>
                      <w:szCs w:val="18"/>
                    </w:rPr>
                    <w:t>丙</w:t>
                  </w:r>
                  <w:r w:rsidRPr="00687B52">
                    <w:rPr>
                      <w:rFonts w:ascii="黑体" w:eastAsia="黑体" w:hint="eastAsia"/>
                      <w:bCs/>
                      <w:color w:val="000000" w:themeColor="text1"/>
                      <w:spacing w:val="-20"/>
                      <w:sz w:val="18"/>
                      <w:szCs w:val="18"/>
                    </w:rPr>
                    <w:t>、</w:t>
                  </w:r>
                  <w:r w:rsidRPr="00687B52">
                    <w:rPr>
                      <w:rFonts w:ascii="黑体" w:eastAsia="黑体" w:hint="eastAsia"/>
                      <w:bCs/>
                      <w:color w:val="000000" w:themeColor="text1"/>
                      <w:sz w:val="18"/>
                      <w:szCs w:val="18"/>
                    </w:rPr>
                    <w:t>丁</w:t>
                  </w:r>
                  <w:r w:rsidRPr="00687B52">
                    <w:rPr>
                      <w:rFonts w:ascii="黑体" w:eastAsia="黑体" w:hint="eastAsia"/>
                      <w:bCs/>
                      <w:color w:val="000000" w:themeColor="text1"/>
                      <w:spacing w:val="-20"/>
                      <w:sz w:val="18"/>
                      <w:szCs w:val="18"/>
                    </w:rPr>
                    <w:t>、</w:t>
                  </w:r>
                  <w:r w:rsidRPr="00687B52">
                    <w:rPr>
                      <w:rFonts w:ascii="黑体" w:eastAsia="黑体" w:hint="eastAsia"/>
                      <w:bCs/>
                      <w:color w:val="000000" w:themeColor="text1"/>
                      <w:sz w:val="18"/>
                      <w:szCs w:val="18"/>
                    </w:rPr>
                    <w:t>戊类物品生产厂房、库房和丙类液体储罐，以及</w:t>
                  </w:r>
                  <w:r w:rsidRPr="00687B52">
                    <w:rPr>
                      <w:rFonts w:ascii="黑体" w:eastAsia="黑体" w:hint="eastAsia"/>
                      <w:bCs/>
                      <w:color w:val="000000" w:themeColor="text1"/>
                      <w:spacing w:val="-6"/>
                      <w:sz w:val="18"/>
                      <w:szCs w:val="18"/>
                      <w:u w:val="single"/>
                    </w:rPr>
                    <w:t>单罐</w:t>
                  </w:r>
                  <w:r w:rsidRPr="00687B52">
                    <w:rPr>
                      <w:rFonts w:ascii="黑体" w:eastAsia="黑体" w:hint="eastAsia"/>
                      <w:bCs/>
                      <w:color w:val="000000" w:themeColor="text1"/>
                      <w:sz w:val="18"/>
                      <w:szCs w:val="18"/>
                    </w:rPr>
                    <w:t>容积不大于50m</w:t>
                  </w:r>
                  <w:r w:rsidRPr="00687B52">
                    <w:rPr>
                      <w:rFonts w:ascii="黑体" w:eastAsia="黑体" w:hint="eastAsia"/>
                      <w:bCs/>
                      <w:color w:val="000000" w:themeColor="text1"/>
                      <w:sz w:val="18"/>
                      <w:szCs w:val="18"/>
                      <w:vertAlign w:val="superscript"/>
                    </w:rPr>
                    <w:t>3</w:t>
                  </w:r>
                  <w:r w:rsidRPr="00687B52">
                    <w:rPr>
                      <w:rFonts w:ascii="黑体" w:eastAsia="黑体" w:hint="eastAsia"/>
                      <w:bCs/>
                      <w:color w:val="000000" w:themeColor="text1"/>
                      <w:sz w:val="18"/>
                      <w:szCs w:val="18"/>
                    </w:rPr>
                    <w:t>的埋地甲、乙类液体储罐</w:t>
                  </w:r>
                </w:p>
              </w:tc>
              <w:tc>
                <w:tcPr>
                  <w:tcW w:w="1495" w:type="dxa"/>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9</w:t>
                  </w:r>
                </w:p>
              </w:tc>
              <w:tc>
                <w:tcPr>
                  <w:tcW w:w="1491" w:type="dxa"/>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9</w:t>
                  </w:r>
                </w:p>
              </w:tc>
              <w:tc>
                <w:tcPr>
                  <w:tcW w:w="746" w:type="dxa"/>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9</w:t>
                  </w:r>
                </w:p>
              </w:tc>
              <w:tc>
                <w:tcPr>
                  <w:tcW w:w="959" w:type="dxa"/>
                  <w:tcBorders>
                    <w:right w:val="single" w:sz="4" w:space="0" w:color="auto"/>
                  </w:tcBorders>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9</w:t>
                  </w:r>
                </w:p>
              </w:tc>
            </w:tr>
            <w:tr w:rsidR="003E1D2A" w:rsidRPr="00687B52" w:rsidTr="003E1D2A">
              <w:trPr>
                <w:cantSplit/>
                <w:trHeight w:val="223"/>
                <w:jc w:val="center"/>
              </w:trPr>
              <w:tc>
                <w:tcPr>
                  <w:tcW w:w="2409" w:type="dxa"/>
                  <w:gridSpan w:val="3"/>
                  <w:tcBorders>
                    <w:left w:val="single" w:sz="4" w:space="0" w:color="auto"/>
                  </w:tcBorders>
                  <w:vAlign w:val="center"/>
                </w:tcPr>
                <w:p w:rsidR="003E1D2A" w:rsidRPr="00687B52" w:rsidRDefault="003E1D2A" w:rsidP="003E1D2A">
                  <w:pPr>
                    <w:jc w:val="center"/>
                    <w:rPr>
                      <w:rFonts w:ascii="黑体" w:eastAsia="黑体"/>
                      <w:bCs/>
                      <w:color w:val="000000" w:themeColor="text1"/>
                      <w:sz w:val="18"/>
                      <w:szCs w:val="18"/>
                    </w:rPr>
                  </w:pPr>
                  <w:r w:rsidRPr="00687B52">
                    <w:rPr>
                      <w:rFonts w:ascii="黑体" w:eastAsia="黑体" w:hint="eastAsia"/>
                      <w:bCs/>
                      <w:color w:val="000000" w:themeColor="text1"/>
                      <w:sz w:val="18"/>
                      <w:szCs w:val="18"/>
                    </w:rPr>
                    <w:t>室外变配电站</w:t>
                  </w:r>
                </w:p>
              </w:tc>
              <w:tc>
                <w:tcPr>
                  <w:tcW w:w="1495" w:type="dxa"/>
                  <w:vAlign w:val="center"/>
                </w:tcPr>
                <w:p w:rsidR="003E1D2A" w:rsidRPr="00687B52" w:rsidRDefault="003E1D2A" w:rsidP="003E1D2A">
                  <w:pPr>
                    <w:jc w:val="center"/>
                    <w:rPr>
                      <w:rFonts w:ascii="黑体" w:eastAsia="黑体"/>
                      <w:bCs/>
                      <w:color w:val="000000" w:themeColor="text1"/>
                      <w:spacing w:val="10"/>
                      <w:sz w:val="18"/>
                      <w:szCs w:val="18"/>
                      <w:u w:val="single"/>
                    </w:rPr>
                  </w:pPr>
                  <w:r w:rsidRPr="00687B52">
                    <w:rPr>
                      <w:rFonts w:ascii="黑体" w:eastAsia="黑体" w:hint="eastAsia"/>
                      <w:bCs/>
                      <w:color w:val="000000" w:themeColor="text1"/>
                      <w:spacing w:val="10"/>
                      <w:sz w:val="18"/>
                      <w:szCs w:val="18"/>
                    </w:rPr>
                    <w:t>15</w:t>
                  </w:r>
                </w:p>
              </w:tc>
              <w:tc>
                <w:tcPr>
                  <w:tcW w:w="1491" w:type="dxa"/>
                  <w:vAlign w:val="center"/>
                </w:tcPr>
                <w:p w:rsidR="003E1D2A" w:rsidRPr="00687B52" w:rsidRDefault="003E1D2A" w:rsidP="003E1D2A">
                  <w:pPr>
                    <w:jc w:val="center"/>
                    <w:rPr>
                      <w:rFonts w:ascii="黑体" w:eastAsia="黑体"/>
                      <w:bCs/>
                      <w:color w:val="000000" w:themeColor="text1"/>
                      <w:spacing w:val="10"/>
                      <w:sz w:val="18"/>
                      <w:szCs w:val="18"/>
                      <w:u w:val="single"/>
                    </w:rPr>
                  </w:pPr>
                  <w:r w:rsidRPr="00687B52">
                    <w:rPr>
                      <w:rFonts w:ascii="黑体" w:eastAsia="黑体" w:hint="eastAsia"/>
                      <w:bCs/>
                      <w:color w:val="000000" w:themeColor="text1"/>
                      <w:spacing w:val="10"/>
                      <w:sz w:val="18"/>
                      <w:szCs w:val="18"/>
                      <w:u w:val="single"/>
                    </w:rPr>
                    <w:t>12.5</w:t>
                  </w:r>
                </w:p>
              </w:tc>
              <w:tc>
                <w:tcPr>
                  <w:tcW w:w="746" w:type="dxa"/>
                  <w:vAlign w:val="center"/>
                </w:tcPr>
                <w:p w:rsidR="003E1D2A" w:rsidRPr="00687B52" w:rsidRDefault="003E1D2A" w:rsidP="003E1D2A">
                  <w:pPr>
                    <w:jc w:val="center"/>
                    <w:rPr>
                      <w:rFonts w:ascii="黑体" w:eastAsia="黑体"/>
                      <w:bCs/>
                      <w:color w:val="000000" w:themeColor="text1"/>
                      <w:spacing w:val="10"/>
                      <w:sz w:val="18"/>
                      <w:szCs w:val="18"/>
                      <w:u w:val="single"/>
                    </w:rPr>
                  </w:pPr>
                  <w:r w:rsidRPr="00687B52">
                    <w:rPr>
                      <w:rFonts w:ascii="黑体" w:eastAsia="黑体" w:hint="eastAsia"/>
                      <w:bCs/>
                      <w:color w:val="000000" w:themeColor="text1"/>
                      <w:spacing w:val="10"/>
                      <w:sz w:val="18"/>
                      <w:szCs w:val="18"/>
                      <w:u w:val="single"/>
                    </w:rPr>
                    <w:t>12.5</w:t>
                  </w:r>
                </w:p>
              </w:tc>
              <w:tc>
                <w:tcPr>
                  <w:tcW w:w="959" w:type="dxa"/>
                  <w:tcBorders>
                    <w:right w:val="single" w:sz="4" w:space="0" w:color="auto"/>
                  </w:tcBorders>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u w:val="single"/>
                    </w:rPr>
                    <w:t>12.5</w:t>
                  </w:r>
                </w:p>
              </w:tc>
            </w:tr>
            <w:tr w:rsidR="003E1D2A" w:rsidRPr="00687B52" w:rsidTr="003E1D2A">
              <w:trPr>
                <w:cantSplit/>
                <w:trHeight w:val="223"/>
                <w:jc w:val="center"/>
              </w:trPr>
              <w:tc>
                <w:tcPr>
                  <w:tcW w:w="2409" w:type="dxa"/>
                  <w:gridSpan w:val="3"/>
                  <w:tcBorders>
                    <w:left w:val="single" w:sz="4" w:space="0" w:color="auto"/>
                  </w:tcBorders>
                  <w:vAlign w:val="center"/>
                </w:tcPr>
                <w:p w:rsidR="003E1D2A" w:rsidRPr="00687B52" w:rsidRDefault="003E1D2A" w:rsidP="003E1D2A">
                  <w:pPr>
                    <w:jc w:val="center"/>
                    <w:rPr>
                      <w:rFonts w:ascii="黑体" w:eastAsia="黑体"/>
                      <w:bCs/>
                      <w:color w:val="000000" w:themeColor="text1"/>
                      <w:spacing w:val="20"/>
                      <w:sz w:val="18"/>
                      <w:szCs w:val="18"/>
                    </w:rPr>
                  </w:pPr>
                  <w:r w:rsidRPr="00687B52">
                    <w:rPr>
                      <w:rFonts w:ascii="黑体" w:eastAsia="黑体" w:hint="eastAsia"/>
                      <w:bCs/>
                      <w:color w:val="000000" w:themeColor="text1"/>
                      <w:spacing w:val="20"/>
                      <w:sz w:val="18"/>
                      <w:szCs w:val="18"/>
                    </w:rPr>
                    <w:t>铁路</w:t>
                  </w:r>
                </w:p>
              </w:tc>
              <w:tc>
                <w:tcPr>
                  <w:tcW w:w="1495" w:type="dxa"/>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15</w:t>
                  </w:r>
                </w:p>
              </w:tc>
              <w:tc>
                <w:tcPr>
                  <w:tcW w:w="1491" w:type="dxa"/>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15</w:t>
                  </w:r>
                </w:p>
              </w:tc>
              <w:tc>
                <w:tcPr>
                  <w:tcW w:w="746" w:type="dxa"/>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15</w:t>
                  </w:r>
                </w:p>
              </w:tc>
              <w:tc>
                <w:tcPr>
                  <w:tcW w:w="959" w:type="dxa"/>
                  <w:tcBorders>
                    <w:right w:val="single" w:sz="4" w:space="0" w:color="auto"/>
                  </w:tcBorders>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15</w:t>
                  </w:r>
                </w:p>
              </w:tc>
            </w:tr>
            <w:tr w:rsidR="003E1D2A" w:rsidRPr="00687B52" w:rsidTr="003E1D2A">
              <w:trPr>
                <w:cantSplit/>
                <w:trHeight w:val="223"/>
                <w:jc w:val="center"/>
              </w:trPr>
              <w:tc>
                <w:tcPr>
                  <w:tcW w:w="774" w:type="dxa"/>
                  <w:gridSpan w:val="2"/>
                  <w:vMerge w:val="restart"/>
                  <w:tcBorders>
                    <w:left w:val="single" w:sz="4" w:space="0" w:color="auto"/>
                  </w:tcBorders>
                  <w:vAlign w:val="center"/>
                </w:tcPr>
                <w:p w:rsidR="003E1D2A" w:rsidRPr="00687B52" w:rsidRDefault="003E1D2A" w:rsidP="003E1D2A">
                  <w:pPr>
                    <w:jc w:val="center"/>
                    <w:rPr>
                      <w:rFonts w:ascii="黑体" w:eastAsia="黑体"/>
                      <w:bCs/>
                      <w:dstrike/>
                      <w:color w:val="000000" w:themeColor="text1"/>
                      <w:sz w:val="18"/>
                      <w:szCs w:val="18"/>
                    </w:rPr>
                  </w:pPr>
                  <w:r w:rsidRPr="00687B52">
                    <w:rPr>
                      <w:rFonts w:ascii="黑体" w:eastAsia="黑体" w:hint="eastAsia"/>
                      <w:bCs/>
                      <w:color w:val="000000" w:themeColor="text1"/>
                      <w:sz w:val="18"/>
                      <w:szCs w:val="18"/>
                    </w:rPr>
                    <w:t>城市</w:t>
                  </w:r>
                </w:p>
                <w:p w:rsidR="003E1D2A" w:rsidRPr="00687B52" w:rsidRDefault="003E1D2A" w:rsidP="003E1D2A">
                  <w:pPr>
                    <w:jc w:val="center"/>
                    <w:rPr>
                      <w:rFonts w:ascii="黑体" w:eastAsia="黑体"/>
                      <w:bCs/>
                      <w:color w:val="000000" w:themeColor="text1"/>
                      <w:sz w:val="18"/>
                      <w:szCs w:val="18"/>
                    </w:rPr>
                  </w:pPr>
                  <w:r w:rsidRPr="00687B52">
                    <w:rPr>
                      <w:rFonts w:ascii="黑体" w:eastAsia="黑体" w:hint="eastAsia"/>
                      <w:bCs/>
                      <w:color w:val="000000" w:themeColor="text1"/>
                      <w:sz w:val="18"/>
                      <w:szCs w:val="18"/>
                    </w:rPr>
                    <w:t>道路</w:t>
                  </w:r>
                </w:p>
              </w:tc>
              <w:tc>
                <w:tcPr>
                  <w:tcW w:w="1635" w:type="dxa"/>
                </w:tcPr>
                <w:p w:rsidR="003E1D2A" w:rsidRPr="00687B52" w:rsidRDefault="003E1D2A" w:rsidP="003E1D2A">
                  <w:pPr>
                    <w:jc w:val="center"/>
                    <w:rPr>
                      <w:rFonts w:ascii="黑体" w:eastAsia="黑体"/>
                      <w:bCs/>
                      <w:color w:val="000000" w:themeColor="text1"/>
                      <w:sz w:val="18"/>
                      <w:szCs w:val="18"/>
                    </w:rPr>
                  </w:pPr>
                  <w:r w:rsidRPr="00687B52">
                    <w:rPr>
                      <w:rFonts w:ascii="黑体" w:eastAsia="黑体" w:hint="eastAsia"/>
                      <w:bCs/>
                      <w:color w:val="000000" w:themeColor="text1"/>
                      <w:sz w:val="18"/>
                      <w:szCs w:val="18"/>
                    </w:rPr>
                    <w:t>快速路、主干路</w:t>
                  </w:r>
                </w:p>
              </w:tc>
              <w:tc>
                <w:tcPr>
                  <w:tcW w:w="1495" w:type="dxa"/>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3</w:t>
                  </w:r>
                </w:p>
              </w:tc>
              <w:tc>
                <w:tcPr>
                  <w:tcW w:w="1491" w:type="dxa"/>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3</w:t>
                  </w:r>
                </w:p>
              </w:tc>
              <w:tc>
                <w:tcPr>
                  <w:tcW w:w="746" w:type="dxa"/>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3</w:t>
                  </w:r>
                </w:p>
              </w:tc>
              <w:tc>
                <w:tcPr>
                  <w:tcW w:w="959" w:type="dxa"/>
                  <w:tcBorders>
                    <w:right w:val="single" w:sz="4" w:space="0" w:color="auto"/>
                  </w:tcBorders>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3</w:t>
                  </w:r>
                </w:p>
              </w:tc>
            </w:tr>
            <w:tr w:rsidR="003E1D2A" w:rsidRPr="00687B52" w:rsidTr="003E1D2A">
              <w:trPr>
                <w:cantSplit/>
                <w:trHeight w:val="223"/>
                <w:jc w:val="center"/>
              </w:trPr>
              <w:tc>
                <w:tcPr>
                  <w:tcW w:w="774" w:type="dxa"/>
                  <w:gridSpan w:val="2"/>
                  <w:vMerge/>
                  <w:tcBorders>
                    <w:left w:val="single" w:sz="4" w:space="0" w:color="auto"/>
                  </w:tcBorders>
                </w:tcPr>
                <w:p w:rsidR="003E1D2A" w:rsidRPr="00687B52" w:rsidRDefault="003E1D2A" w:rsidP="003E1D2A">
                  <w:pPr>
                    <w:jc w:val="center"/>
                    <w:rPr>
                      <w:rFonts w:ascii="黑体" w:eastAsia="黑体"/>
                      <w:bCs/>
                      <w:color w:val="000000" w:themeColor="text1"/>
                      <w:sz w:val="18"/>
                      <w:szCs w:val="18"/>
                    </w:rPr>
                  </w:pPr>
                </w:p>
              </w:tc>
              <w:tc>
                <w:tcPr>
                  <w:tcW w:w="1635" w:type="dxa"/>
                </w:tcPr>
                <w:p w:rsidR="003E1D2A" w:rsidRPr="00687B52" w:rsidRDefault="003E1D2A" w:rsidP="003E1D2A">
                  <w:pPr>
                    <w:jc w:val="center"/>
                    <w:rPr>
                      <w:rFonts w:ascii="黑体" w:eastAsia="黑体"/>
                      <w:bCs/>
                      <w:color w:val="000000" w:themeColor="text1"/>
                      <w:sz w:val="18"/>
                      <w:szCs w:val="18"/>
                    </w:rPr>
                  </w:pPr>
                  <w:r w:rsidRPr="00687B52">
                    <w:rPr>
                      <w:rFonts w:ascii="黑体" w:eastAsia="黑体" w:hint="eastAsia"/>
                      <w:bCs/>
                      <w:color w:val="000000" w:themeColor="text1"/>
                      <w:sz w:val="18"/>
                      <w:szCs w:val="18"/>
                    </w:rPr>
                    <w:t>次干路、支路</w:t>
                  </w:r>
                </w:p>
              </w:tc>
              <w:tc>
                <w:tcPr>
                  <w:tcW w:w="1495" w:type="dxa"/>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3</w:t>
                  </w:r>
                </w:p>
              </w:tc>
              <w:tc>
                <w:tcPr>
                  <w:tcW w:w="1491" w:type="dxa"/>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3</w:t>
                  </w:r>
                </w:p>
              </w:tc>
              <w:tc>
                <w:tcPr>
                  <w:tcW w:w="746" w:type="dxa"/>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3</w:t>
                  </w:r>
                </w:p>
              </w:tc>
              <w:tc>
                <w:tcPr>
                  <w:tcW w:w="959" w:type="dxa"/>
                  <w:tcBorders>
                    <w:right w:val="single" w:sz="4" w:space="0" w:color="auto"/>
                  </w:tcBorders>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3</w:t>
                  </w:r>
                </w:p>
              </w:tc>
            </w:tr>
            <w:tr w:rsidR="003E1D2A" w:rsidRPr="00687B52" w:rsidTr="003E1D2A">
              <w:trPr>
                <w:cantSplit/>
                <w:trHeight w:val="477"/>
                <w:jc w:val="center"/>
              </w:trPr>
              <w:tc>
                <w:tcPr>
                  <w:tcW w:w="2409" w:type="dxa"/>
                  <w:gridSpan w:val="3"/>
                  <w:tcBorders>
                    <w:left w:val="single" w:sz="4" w:space="0" w:color="auto"/>
                  </w:tcBorders>
                  <w:vAlign w:val="center"/>
                </w:tcPr>
                <w:p w:rsidR="003E1D2A" w:rsidRPr="00687B52" w:rsidRDefault="003E1D2A" w:rsidP="003E1D2A">
                  <w:pPr>
                    <w:jc w:val="center"/>
                    <w:rPr>
                      <w:rFonts w:ascii="黑体" w:eastAsia="黑体"/>
                      <w:bCs/>
                      <w:color w:val="000000" w:themeColor="text1"/>
                      <w:sz w:val="18"/>
                      <w:szCs w:val="18"/>
                      <w:u w:val="single"/>
                    </w:rPr>
                  </w:pPr>
                  <w:r w:rsidRPr="00687B52">
                    <w:rPr>
                      <w:rFonts w:ascii="黑体" w:eastAsia="黑体" w:hint="eastAsia"/>
                      <w:bCs/>
                      <w:color w:val="000000" w:themeColor="text1"/>
                      <w:sz w:val="18"/>
                      <w:szCs w:val="18"/>
                      <w:u w:val="single"/>
                    </w:rPr>
                    <w:t>架空通信线</w:t>
                  </w:r>
                </w:p>
              </w:tc>
              <w:tc>
                <w:tcPr>
                  <w:tcW w:w="1495" w:type="dxa"/>
                  <w:vAlign w:val="center"/>
                </w:tcPr>
                <w:p w:rsidR="003E1D2A" w:rsidRPr="00687B52" w:rsidRDefault="003E1D2A" w:rsidP="003E1D2A">
                  <w:pPr>
                    <w:jc w:val="left"/>
                    <w:rPr>
                      <w:rFonts w:ascii="黑体" w:eastAsia="黑体"/>
                      <w:bCs/>
                      <w:color w:val="000000" w:themeColor="text1"/>
                      <w:sz w:val="18"/>
                      <w:szCs w:val="18"/>
                    </w:rPr>
                  </w:pPr>
                  <w:r w:rsidRPr="00687B52">
                    <w:rPr>
                      <w:rFonts w:ascii="黑体" w:eastAsia="黑体" w:hint="eastAsia"/>
                      <w:bCs/>
                      <w:color w:val="000000" w:themeColor="text1"/>
                      <w:sz w:val="18"/>
                      <w:szCs w:val="18"/>
                    </w:rPr>
                    <w:t>0.75倍</w:t>
                  </w:r>
                  <w:r w:rsidRPr="00687B52">
                    <w:rPr>
                      <w:rFonts w:ascii="黑体" w:eastAsia="黑体" w:hint="eastAsia"/>
                      <w:bCs/>
                      <w:color w:val="000000" w:themeColor="text1"/>
                      <w:sz w:val="18"/>
                      <w:szCs w:val="18"/>
                      <w:u w:val="single"/>
                    </w:rPr>
                    <w:t>杆</w:t>
                  </w:r>
                  <w:r w:rsidRPr="00687B52">
                    <w:rPr>
                      <w:rFonts w:ascii="黑体" w:eastAsia="黑体" w:hint="eastAsia"/>
                      <w:bCs/>
                      <w:color w:val="000000" w:themeColor="text1"/>
                      <w:sz w:val="18"/>
                      <w:szCs w:val="18"/>
                    </w:rPr>
                    <w:t>高，</w:t>
                  </w:r>
                  <w:r w:rsidRPr="00687B52">
                    <w:rPr>
                      <w:rFonts w:ascii="黑体" w:eastAsia="黑体" w:hint="eastAsia"/>
                      <w:bCs/>
                      <w:color w:val="000000" w:themeColor="text1"/>
                      <w:spacing w:val="10"/>
                      <w:sz w:val="18"/>
                      <w:szCs w:val="18"/>
                    </w:rPr>
                    <w:t>且不应小于5m</w:t>
                  </w:r>
                </w:p>
              </w:tc>
              <w:tc>
                <w:tcPr>
                  <w:tcW w:w="1491" w:type="dxa"/>
                  <w:vAlign w:val="center"/>
                </w:tcPr>
                <w:p w:rsidR="003E1D2A" w:rsidRPr="00687B52" w:rsidRDefault="003E1D2A" w:rsidP="003E1D2A">
                  <w:pPr>
                    <w:jc w:val="center"/>
                    <w:rPr>
                      <w:rFonts w:ascii="黑体" w:eastAsia="黑体"/>
                      <w:bCs/>
                      <w:color w:val="000000" w:themeColor="text1"/>
                      <w:kern w:val="0"/>
                      <w:sz w:val="18"/>
                      <w:szCs w:val="18"/>
                    </w:rPr>
                  </w:pPr>
                  <w:r w:rsidRPr="00687B52">
                    <w:rPr>
                      <w:rFonts w:ascii="黑体" w:eastAsia="黑体" w:hint="eastAsia"/>
                      <w:bCs/>
                      <w:color w:val="000000" w:themeColor="text1"/>
                      <w:sz w:val="18"/>
                      <w:szCs w:val="18"/>
                    </w:rPr>
                    <w:t>5</w:t>
                  </w:r>
                </w:p>
              </w:tc>
              <w:tc>
                <w:tcPr>
                  <w:tcW w:w="746" w:type="dxa"/>
                  <w:vAlign w:val="center"/>
                </w:tcPr>
                <w:p w:rsidR="003E1D2A" w:rsidRPr="00687B52" w:rsidRDefault="003E1D2A" w:rsidP="003E1D2A">
                  <w:pPr>
                    <w:jc w:val="center"/>
                    <w:rPr>
                      <w:rFonts w:ascii="黑体" w:eastAsia="黑体"/>
                      <w:bCs/>
                      <w:color w:val="000000" w:themeColor="text1"/>
                      <w:sz w:val="18"/>
                      <w:szCs w:val="18"/>
                    </w:rPr>
                  </w:pPr>
                  <w:r w:rsidRPr="00687B52">
                    <w:rPr>
                      <w:rFonts w:ascii="黑体" w:eastAsia="黑体" w:hint="eastAsia"/>
                      <w:bCs/>
                      <w:color w:val="000000" w:themeColor="text1"/>
                      <w:sz w:val="18"/>
                      <w:szCs w:val="18"/>
                    </w:rPr>
                    <w:t>5</w:t>
                  </w:r>
                </w:p>
              </w:tc>
              <w:tc>
                <w:tcPr>
                  <w:tcW w:w="959" w:type="dxa"/>
                  <w:tcBorders>
                    <w:right w:val="single" w:sz="4" w:space="0" w:color="auto"/>
                  </w:tcBorders>
                  <w:vAlign w:val="center"/>
                </w:tcPr>
                <w:p w:rsidR="003E1D2A" w:rsidRPr="00687B52" w:rsidRDefault="003E1D2A" w:rsidP="003E1D2A">
                  <w:pPr>
                    <w:jc w:val="center"/>
                    <w:rPr>
                      <w:rFonts w:ascii="黑体" w:eastAsia="黑体"/>
                      <w:bCs/>
                      <w:color w:val="000000" w:themeColor="text1"/>
                      <w:spacing w:val="-20"/>
                      <w:sz w:val="18"/>
                      <w:szCs w:val="18"/>
                    </w:rPr>
                  </w:pPr>
                  <w:r w:rsidRPr="00687B52">
                    <w:rPr>
                      <w:rFonts w:ascii="黑体" w:eastAsia="黑体" w:hint="eastAsia"/>
                      <w:bCs/>
                      <w:color w:val="000000" w:themeColor="text1"/>
                      <w:spacing w:val="10"/>
                      <w:sz w:val="18"/>
                      <w:szCs w:val="18"/>
                    </w:rPr>
                    <w:t>5</w:t>
                  </w:r>
                </w:p>
              </w:tc>
            </w:tr>
            <w:tr w:rsidR="003E1D2A" w:rsidRPr="00687B52" w:rsidTr="003E1D2A">
              <w:trPr>
                <w:cantSplit/>
                <w:trHeight w:val="655"/>
                <w:jc w:val="center"/>
              </w:trPr>
              <w:tc>
                <w:tcPr>
                  <w:tcW w:w="774" w:type="dxa"/>
                  <w:gridSpan w:val="2"/>
                  <w:vMerge w:val="restart"/>
                  <w:tcBorders>
                    <w:left w:val="single" w:sz="4" w:space="0" w:color="auto"/>
                  </w:tcBorders>
                  <w:vAlign w:val="center"/>
                </w:tcPr>
                <w:p w:rsidR="003E1D2A" w:rsidRPr="00687B52" w:rsidRDefault="003E1D2A" w:rsidP="003E1D2A">
                  <w:pPr>
                    <w:jc w:val="center"/>
                    <w:rPr>
                      <w:rFonts w:ascii="黑体" w:eastAsia="黑体"/>
                      <w:bCs/>
                      <w:color w:val="000000" w:themeColor="text1"/>
                      <w:sz w:val="18"/>
                      <w:szCs w:val="18"/>
                    </w:rPr>
                  </w:pPr>
                  <w:r w:rsidRPr="00687B52">
                    <w:rPr>
                      <w:rFonts w:ascii="黑体" w:eastAsia="黑体" w:hint="eastAsia"/>
                      <w:bCs/>
                      <w:color w:val="000000" w:themeColor="text1"/>
                      <w:sz w:val="18"/>
                      <w:szCs w:val="18"/>
                    </w:rPr>
                    <w:t>架空电</w:t>
                  </w:r>
                </w:p>
                <w:p w:rsidR="003E1D2A" w:rsidRPr="00687B52" w:rsidRDefault="003E1D2A" w:rsidP="003E1D2A">
                  <w:pPr>
                    <w:jc w:val="center"/>
                    <w:rPr>
                      <w:rFonts w:ascii="黑体" w:eastAsia="黑体"/>
                      <w:bCs/>
                      <w:color w:val="000000" w:themeColor="text1"/>
                      <w:sz w:val="18"/>
                      <w:szCs w:val="18"/>
                    </w:rPr>
                  </w:pPr>
                  <w:r w:rsidRPr="00687B52">
                    <w:rPr>
                      <w:rFonts w:ascii="黑体" w:eastAsia="黑体" w:hint="eastAsia"/>
                      <w:bCs/>
                      <w:color w:val="000000" w:themeColor="text1"/>
                      <w:sz w:val="18"/>
                      <w:szCs w:val="18"/>
                    </w:rPr>
                    <w:t>力线路</w:t>
                  </w:r>
                </w:p>
              </w:tc>
              <w:tc>
                <w:tcPr>
                  <w:tcW w:w="1635" w:type="dxa"/>
                  <w:tcBorders>
                    <w:left w:val="nil"/>
                  </w:tcBorders>
                  <w:vAlign w:val="center"/>
                </w:tcPr>
                <w:p w:rsidR="003E1D2A" w:rsidRPr="00687B52" w:rsidRDefault="003E1D2A" w:rsidP="003E1D2A">
                  <w:pPr>
                    <w:jc w:val="center"/>
                    <w:rPr>
                      <w:rFonts w:ascii="黑体" w:eastAsia="黑体"/>
                      <w:bCs/>
                      <w:color w:val="000000" w:themeColor="text1"/>
                      <w:sz w:val="18"/>
                      <w:szCs w:val="18"/>
                    </w:rPr>
                  </w:pPr>
                  <w:r w:rsidRPr="00687B52">
                    <w:rPr>
                      <w:rFonts w:ascii="黑体" w:eastAsia="黑体" w:hint="eastAsia"/>
                      <w:bCs/>
                      <w:color w:val="000000" w:themeColor="text1"/>
                      <w:sz w:val="18"/>
                      <w:szCs w:val="18"/>
                    </w:rPr>
                    <w:t>无绝缘层</w:t>
                  </w:r>
                </w:p>
              </w:tc>
              <w:tc>
                <w:tcPr>
                  <w:tcW w:w="1495" w:type="dxa"/>
                  <w:vAlign w:val="center"/>
                </w:tcPr>
                <w:p w:rsidR="003E1D2A" w:rsidRPr="00687B52" w:rsidRDefault="003E1D2A" w:rsidP="003E1D2A">
                  <w:pPr>
                    <w:jc w:val="center"/>
                    <w:rPr>
                      <w:rFonts w:ascii="黑体" w:eastAsia="黑体"/>
                      <w:bCs/>
                      <w:color w:val="000000" w:themeColor="text1"/>
                      <w:sz w:val="18"/>
                      <w:szCs w:val="18"/>
                    </w:rPr>
                  </w:pPr>
                  <w:r w:rsidRPr="00687B52">
                    <w:rPr>
                      <w:rFonts w:ascii="黑体" w:eastAsia="黑体" w:hint="eastAsia"/>
                      <w:bCs/>
                      <w:color w:val="000000" w:themeColor="text1"/>
                      <w:sz w:val="18"/>
                      <w:szCs w:val="18"/>
                    </w:rPr>
                    <w:t>0.75倍杆（塔）高，</w:t>
                  </w:r>
                  <w:r w:rsidRPr="00687B52">
                    <w:rPr>
                      <w:rFonts w:ascii="黑体" w:eastAsia="黑体" w:hint="eastAsia"/>
                      <w:bCs/>
                      <w:color w:val="000000" w:themeColor="text1"/>
                      <w:spacing w:val="10"/>
                      <w:sz w:val="18"/>
                      <w:szCs w:val="18"/>
                    </w:rPr>
                    <w:t>且不应小于6.5m</w:t>
                  </w:r>
                </w:p>
              </w:tc>
              <w:tc>
                <w:tcPr>
                  <w:tcW w:w="1491" w:type="dxa"/>
                  <w:vAlign w:val="center"/>
                </w:tcPr>
                <w:p w:rsidR="003E1D2A" w:rsidRPr="00687B52" w:rsidRDefault="003E1D2A" w:rsidP="003E1D2A">
                  <w:pPr>
                    <w:jc w:val="center"/>
                    <w:rPr>
                      <w:rFonts w:ascii="黑体" w:eastAsia="黑体"/>
                      <w:bCs/>
                      <w:color w:val="000000" w:themeColor="text1"/>
                      <w:kern w:val="0"/>
                      <w:sz w:val="18"/>
                      <w:szCs w:val="18"/>
                    </w:rPr>
                  </w:pPr>
                  <w:r w:rsidRPr="00687B52">
                    <w:rPr>
                      <w:rFonts w:ascii="黑体" w:eastAsia="黑体" w:hint="eastAsia"/>
                      <w:bCs/>
                      <w:color w:val="000000" w:themeColor="text1"/>
                      <w:sz w:val="18"/>
                      <w:szCs w:val="18"/>
                    </w:rPr>
                    <w:t>0.75倍杆（塔）高，</w:t>
                  </w:r>
                  <w:r w:rsidRPr="00687B52">
                    <w:rPr>
                      <w:rFonts w:ascii="黑体" w:eastAsia="黑体" w:hint="eastAsia"/>
                      <w:bCs/>
                      <w:color w:val="000000" w:themeColor="text1"/>
                      <w:spacing w:val="10"/>
                      <w:sz w:val="18"/>
                      <w:szCs w:val="18"/>
                    </w:rPr>
                    <w:t>且不应小于6.5m</w:t>
                  </w:r>
                </w:p>
              </w:tc>
              <w:tc>
                <w:tcPr>
                  <w:tcW w:w="746" w:type="dxa"/>
                  <w:vAlign w:val="center"/>
                </w:tcPr>
                <w:p w:rsidR="003E1D2A" w:rsidRPr="00687B52" w:rsidRDefault="003E1D2A" w:rsidP="003E1D2A">
                  <w:pPr>
                    <w:jc w:val="center"/>
                    <w:rPr>
                      <w:rFonts w:ascii="黑体" w:eastAsia="黑体"/>
                      <w:bCs/>
                      <w:color w:val="000000" w:themeColor="text1"/>
                      <w:sz w:val="18"/>
                      <w:szCs w:val="18"/>
                    </w:rPr>
                  </w:pPr>
                  <w:r w:rsidRPr="00687B52">
                    <w:rPr>
                      <w:rFonts w:ascii="黑体" w:eastAsia="黑体" w:hint="eastAsia"/>
                      <w:bCs/>
                      <w:color w:val="000000" w:themeColor="text1"/>
                      <w:sz w:val="18"/>
                      <w:szCs w:val="18"/>
                    </w:rPr>
                    <w:t>6.5</w:t>
                  </w:r>
                </w:p>
              </w:tc>
              <w:tc>
                <w:tcPr>
                  <w:tcW w:w="959" w:type="dxa"/>
                  <w:tcBorders>
                    <w:right w:val="single" w:sz="4" w:space="0" w:color="auto"/>
                  </w:tcBorders>
                  <w:vAlign w:val="center"/>
                </w:tcPr>
                <w:p w:rsidR="003E1D2A" w:rsidRPr="00687B52" w:rsidRDefault="003E1D2A" w:rsidP="003E1D2A">
                  <w:pPr>
                    <w:jc w:val="center"/>
                    <w:rPr>
                      <w:rFonts w:ascii="黑体" w:eastAsia="黑体"/>
                      <w:bCs/>
                      <w:color w:val="000000" w:themeColor="text1"/>
                      <w:sz w:val="18"/>
                      <w:szCs w:val="18"/>
                    </w:rPr>
                  </w:pPr>
                  <w:r w:rsidRPr="00687B52">
                    <w:rPr>
                      <w:rFonts w:ascii="黑体" w:eastAsia="黑体" w:hint="eastAsia"/>
                      <w:bCs/>
                      <w:color w:val="000000" w:themeColor="text1"/>
                      <w:sz w:val="18"/>
                      <w:szCs w:val="18"/>
                    </w:rPr>
                    <w:t>6.5</w:t>
                  </w:r>
                </w:p>
              </w:tc>
            </w:tr>
            <w:tr w:rsidR="003E1D2A" w:rsidRPr="00687B52" w:rsidTr="003E1D2A">
              <w:trPr>
                <w:cantSplit/>
                <w:trHeight w:val="489"/>
                <w:jc w:val="center"/>
              </w:trPr>
              <w:tc>
                <w:tcPr>
                  <w:tcW w:w="774" w:type="dxa"/>
                  <w:gridSpan w:val="2"/>
                  <w:vMerge/>
                  <w:tcBorders>
                    <w:left w:val="single" w:sz="4" w:space="0" w:color="auto"/>
                  </w:tcBorders>
                  <w:vAlign w:val="center"/>
                </w:tcPr>
                <w:p w:rsidR="003E1D2A" w:rsidRPr="00687B52" w:rsidRDefault="003E1D2A" w:rsidP="003E1D2A">
                  <w:pPr>
                    <w:jc w:val="center"/>
                    <w:rPr>
                      <w:rFonts w:ascii="黑体" w:eastAsia="黑体"/>
                      <w:bCs/>
                      <w:color w:val="000000" w:themeColor="text1"/>
                      <w:sz w:val="18"/>
                      <w:szCs w:val="18"/>
                    </w:rPr>
                  </w:pPr>
                </w:p>
              </w:tc>
              <w:tc>
                <w:tcPr>
                  <w:tcW w:w="1635" w:type="dxa"/>
                  <w:tcBorders>
                    <w:left w:val="nil"/>
                  </w:tcBorders>
                  <w:vAlign w:val="center"/>
                </w:tcPr>
                <w:p w:rsidR="003E1D2A" w:rsidRPr="00687B52" w:rsidRDefault="003E1D2A" w:rsidP="003E1D2A">
                  <w:pPr>
                    <w:jc w:val="center"/>
                    <w:rPr>
                      <w:rFonts w:ascii="黑体" w:eastAsia="黑体"/>
                      <w:bCs/>
                      <w:color w:val="000000" w:themeColor="text1"/>
                      <w:sz w:val="18"/>
                      <w:szCs w:val="18"/>
                    </w:rPr>
                  </w:pPr>
                  <w:r w:rsidRPr="00687B52">
                    <w:rPr>
                      <w:rFonts w:ascii="黑体" w:eastAsia="黑体" w:hint="eastAsia"/>
                      <w:bCs/>
                      <w:color w:val="000000" w:themeColor="text1"/>
                      <w:sz w:val="18"/>
                      <w:szCs w:val="18"/>
                    </w:rPr>
                    <w:t>有绝缘层</w:t>
                  </w:r>
                </w:p>
              </w:tc>
              <w:tc>
                <w:tcPr>
                  <w:tcW w:w="1495" w:type="dxa"/>
                  <w:vAlign w:val="center"/>
                </w:tcPr>
                <w:p w:rsidR="003E1D2A" w:rsidRPr="00687B52" w:rsidRDefault="003E1D2A" w:rsidP="003E1D2A">
                  <w:pPr>
                    <w:jc w:val="center"/>
                    <w:rPr>
                      <w:rFonts w:ascii="黑体" w:eastAsia="黑体"/>
                      <w:bCs/>
                      <w:color w:val="000000" w:themeColor="text1"/>
                      <w:spacing w:val="-20"/>
                      <w:sz w:val="18"/>
                      <w:szCs w:val="18"/>
                    </w:rPr>
                  </w:pPr>
                  <w:r w:rsidRPr="00687B52">
                    <w:rPr>
                      <w:rFonts w:ascii="黑体" w:eastAsia="黑体" w:hint="eastAsia"/>
                      <w:bCs/>
                      <w:color w:val="000000" w:themeColor="text1"/>
                      <w:spacing w:val="-20"/>
                      <w:sz w:val="18"/>
                      <w:szCs w:val="18"/>
                    </w:rPr>
                    <w:t>0.5倍杆（塔）高</w:t>
                  </w:r>
                  <w:r w:rsidRPr="00687B52">
                    <w:rPr>
                      <w:rFonts w:ascii="黑体" w:eastAsia="黑体" w:hint="eastAsia"/>
                      <w:bCs/>
                      <w:color w:val="000000" w:themeColor="text1"/>
                      <w:sz w:val="18"/>
                      <w:szCs w:val="18"/>
                    </w:rPr>
                    <w:t>，</w:t>
                  </w:r>
                  <w:r w:rsidRPr="00687B52">
                    <w:rPr>
                      <w:rFonts w:ascii="黑体" w:eastAsia="黑体" w:hint="eastAsia"/>
                      <w:bCs/>
                      <w:color w:val="000000" w:themeColor="text1"/>
                      <w:spacing w:val="10"/>
                      <w:sz w:val="18"/>
                      <w:szCs w:val="18"/>
                    </w:rPr>
                    <w:t>且不应小于5m</w:t>
                  </w:r>
                </w:p>
              </w:tc>
              <w:tc>
                <w:tcPr>
                  <w:tcW w:w="1491" w:type="dxa"/>
                  <w:vAlign w:val="center"/>
                </w:tcPr>
                <w:p w:rsidR="003E1D2A" w:rsidRPr="00687B52" w:rsidRDefault="003E1D2A" w:rsidP="003E1D2A">
                  <w:pPr>
                    <w:jc w:val="center"/>
                    <w:rPr>
                      <w:rFonts w:ascii="黑体" w:eastAsia="黑体"/>
                      <w:bCs/>
                      <w:color w:val="000000" w:themeColor="text1"/>
                      <w:spacing w:val="-20"/>
                      <w:kern w:val="0"/>
                      <w:sz w:val="18"/>
                      <w:szCs w:val="18"/>
                    </w:rPr>
                  </w:pPr>
                  <w:r w:rsidRPr="00687B52">
                    <w:rPr>
                      <w:rFonts w:ascii="黑体" w:eastAsia="黑体" w:hint="eastAsia"/>
                      <w:bCs/>
                      <w:color w:val="000000" w:themeColor="text1"/>
                      <w:spacing w:val="-20"/>
                      <w:sz w:val="18"/>
                      <w:szCs w:val="18"/>
                    </w:rPr>
                    <w:t>0.5倍杆（塔）高</w:t>
                  </w:r>
                  <w:r w:rsidRPr="00687B52">
                    <w:rPr>
                      <w:rFonts w:ascii="黑体" w:eastAsia="黑体" w:hint="eastAsia"/>
                      <w:bCs/>
                      <w:color w:val="000000" w:themeColor="text1"/>
                      <w:sz w:val="18"/>
                      <w:szCs w:val="18"/>
                    </w:rPr>
                    <w:t>，</w:t>
                  </w:r>
                  <w:r w:rsidRPr="00687B52">
                    <w:rPr>
                      <w:rFonts w:ascii="黑体" w:eastAsia="黑体" w:hint="eastAsia"/>
                      <w:bCs/>
                      <w:color w:val="000000" w:themeColor="text1"/>
                      <w:spacing w:val="10"/>
                      <w:sz w:val="18"/>
                      <w:szCs w:val="18"/>
                    </w:rPr>
                    <w:t>且不应小于5m</w:t>
                  </w:r>
                </w:p>
              </w:tc>
              <w:tc>
                <w:tcPr>
                  <w:tcW w:w="746" w:type="dxa"/>
                  <w:vAlign w:val="center"/>
                </w:tcPr>
                <w:p w:rsidR="003E1D2A" w:rsidRPr="00687B52" w:rsidRDefault="003E1D2A" w:rsidP="003E1D2A">
                  <w:pPr>
                    <w:jc w:val="center"/>
                    <w:rPr>
                      <w:rFonts w:ascii="黑体" w:eastAsia="黑体"/>
                      <w:bCs/>
                      <w:color w:val="000000" w:themeColor="text1"/>
                      <w:spacing w:val="-10"/>
                      <w:sz w:val="18"/>
                      <w:szCs w:val="18"/>
                    </w:rPr>
                  </w:pPr>
                  <w:r w:rsidRPr="00687B52">
                    <w:rPr>
                      <w:rFonts w:ascii="黑体" w:eastAsia="黑体" w:hint="eastAsia"/>
                      <w:bCs/>
                      <w:color w:val="000000" w:themeColor="text1"/>
                      <w:spacing w:val="10"/>
                      <w:sz w:val="18"/>
                      <w:szCs w:val="18"/>
                    </w:rPr>
                    <w:t>5</w:t>
                  </w:r>
                </w:p>
              </w:tc>
              <w:tc>
                <w:tcPr>
                  <w:tcW w:w="959" w:type="dxa"/>
                  <w:tcBorders>
                    <w:right w:val="single" w:sz="4" w:space="0" w:color="auto"/>
                  </w:tcBorders>
                  <w:vAlign w:val="center"/>
                </w:tcPr>
                <w:p w:rsidR="003E1D2A" w:rsidRPr="00687B52" w:rsidRDefault="003E1D2A" w:rsidP="003E1D2A">
                  <w:pPr>
                    <w:jc w:val="center"/>
                    <w:rPr>
                      <w:rFonts w:ascii="黑体" w:eastAsia="黑体"/>
                      <w:bCs/>
                      <w:color w:val="000000" w:themeColor="text1"/>
                      <w:sz w:val="18"/>
                      <w:szCs w:val="18"/>
                    </w:rPr>
                  </w:pPr>
                  <w:r w:rsidRPr="00687B52">
                    <w:rPr>
                      <w:rFonts w:ascii="黑体" w:eastAsia="黑体" w:hint="eastAsia"/>
                      <w:bCs/>
                      <w:color w:val="000000" w:themeColor="text1"/>
                      <w:spacing w:val="10"/>
                      <w:sz w:val="18"/>
                      <w:szCs w:val="18"/>
                    </w:rPr>
                    <w:t>5</w:t>
                  </w:r>
                </w:p>
              </w:tc>
            </w:tr>
          </w:tbl>
          <w:p w:rsidR="003E1D2A" w:rsidRPr="00687B52" w:rsidRDefault="003E1D2A" w:rsidP="003E1D2A">
            <w:pPr>
              <w:pStyle w:val="a7"/>
              <w:jc w:val="left"/>
              <w:rPr>
                <w:rFonts w:asciiTheme="minorEastAsia" w:eastAsiaTheme="minorEastAsia" w:hAnsiTheme="minorEastAsia"/>
                <w:bCs/>
                <w:color w:val="000000" w:themeColor="text1"/>
                <w:sz w:val="18"/>
                <w:szCs w:val="18"/>
              </w:rPr>
            </w:pPr>
            <w:r w:rsidRPr="00687B52">
              <w:rPr>
                <w:rFonts w:asciiTheme="minorEastAsia" w:eastAsiaTheme="minorEastAsia" w:hAnsiTheme="minorEastAsia" w:hint="eastAsia"/>
                <w:bCs/>
                <w:color w:val="000000" w:themeColor="text1"/>
                <w:sz w:val="18"/>
                <w:szCs w:val="18"/>
              </w:rPr>
              <w:t>注：1室外变、配电站指电力系统电压为35 kV～500kV，且每台变压器容量在10MV•A以上的室外变、配电站，以及工业企业的变压器总油量大于5t的室外降压变电站。其他规格的室外变、配电站或变压器应按丙类物品生产厂房确定。</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 w:val="18"/>
                <w:szCs w:val="18"/>
              </w:rPr>
              <w:t>2表中道路指机动车道路。油罐、加油机和油罐通气管管口与郊区公路的安全间距应按城市道路确定，高速公路、一级和二级公路应按城市快速路、主干路确定；三级和四级公路应按城市次干路、支路确定。</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《汽车加油加气站设计与施工规范》GB50156-2012(2014年修改版)第4.0.5</w:t>
            </w:r>
          </w:p>
        </w:tc>
        <w:tc>
          <w:tcPr>
            <w:tcW w:w="851" w:type="pct"/>
            <w:vAlign w:val="center"/>
          </w:tcPr>
          <w:p w:rsidR="003E1D2A" w:rsidRPr="00687B52" w:rsidRDefault="003E1D2A" w:rsidP="003E1D2A">
            <w:pPr>
              <w:jc w:val="center"/>
              <w:rPr>
                <w:rFonts w:asciiTheme="minorEastAsia" w:hAnsiTheme="minorEastAsia"/>
                <w:b/>
                <w:bCs/>
                <w:color w:val="000000" w:themeColor="text1"/>
                <w:sz w:val="24"/>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1.1.4</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架空电力线路不应跨越加油站的加油作业区。</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《汽车加油加气站设计与施工规范》GB50156-2012(2014年修改版)第4.0.13</w:t>
            </w:r>
          </w:p>
        </w:tc>
        <w:tc>
          <w:tcPr>
            <w:tcW w:w="851" w:type="pct"/>
            <w:vAlign w:val="center"/>
          </w:tcPr>
          <w:p w:rsidR="003E1D2A" w:rsidRPr="00687B52" w:rsidRDefault="003E1D2A" w:rsidP="003E1D2A">
            <w:pPr>
              <w:jc w:val="center"/>
              <w:rPr>
                <w:rFonts w:asciiTheme="minorEastAsia" w:hAnsiTheme="minorEastAsia"/>
                <w:color w:val="000000" w:themeColor="text1"/>
                <w:sz w:val="24"/>
                <w:szCs w:val="24"/>
              </w:rPr>
            </w:pPr>
          </w:p>
        </w:tc>
      </w:tr>
      <w:tr w:rsidR="003E1D2A" w:rsidRPr="00687B52" w:rsidTr="008B4454">
        <w:trPr>
          <w:trHeight w:val="90"/>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1.1.5</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车辆入口和出口应分开设置。</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《汽车加油加气站设计与施工规范》GB50156-2012(2014年修改版)第5.0.1</w:t>
            </w:r>
          </w:p>
        </w:tc>
        <w:tc>
          <w:tcPr>
            <w:tcW w:w="851" w:type="pct"/>
            <w:vAlign w:val="center"/>
          </w:tcPr>
          <w:p w:rsidR="003E1D2A" w:rsidRPr="00687B52" w:rsidRDefault="003E1D2A" w:rsidP="003E1D2A">
            <w:pPr>
              <w:jc w:val="center"/>
              <w:rPr>
                <w:rFonts w:asciiTheme="minorEastAsia" w:hAnsiTheme="minorEastAsia"/>
                <w:color w:val="000000" w:themeColor="text1"/>
                <w:sz w:val="24"/>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1.1.6</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站区内停车位和道路应符合下列规定：</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1）站内车道或停车位宽度应按车辆类型确定。其他类型加油站的车道或停车位，单车道或单车停车位宽度不应小于4m，双车道或双车停车位不应小于6m。</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2）站内的道路转弯半径应按行驶车型确定，且不宜小于9m。</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3）站内停车位应为平坡，道路坡度不应大于8%，且宜坡向站外。</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4）加油加气作业区内的停车位和道路路面不应采用沥青路面。</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《汽车加油加气站设计与施工规范》GB50156-2012(2014年修改版)第5.0.2</w:t>
            </w:r>
          </w:p>
        </w:tc>
        <w:tc>
          <w:tcPr>
            <w:tcW w:w="851" w:type="pct"/>
            <w:vAlign w:val="center"/>
          </w:tcPr>
          <w:p w:rsidR="003E1D2A" w:rsidRPr="00687B52" w:rsidRDefault="003E1D2A" w:rsidP="003E1D2A">
            <w:pPr>
              <w:jc w:val="center"/>
              <w:rPr>
                <w:rFonts w:asciiTheme="minorEastAsia" w:hAnsiTheme="minorEastAsia"/>
                <w:color w:val="000000" w:themeColor="text1"/>
                <w:sz w:val="24"/>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1.1.7</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加油作业区与辅助服务区之间应有界线标识。</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《汽车加油加气站设计与施工规范》GB50156-2012(2014年修改版)第5.0.3</w:t>
            </w:r>
          </w:p>
        </w:tc>
        <w:tc>
          <w:tcPr>
            <w:tcW w:w="851"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1.1.8</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加油作业区内，不得有“ 明火地点”或“散发火花地点”。</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《汽车加油加气站设计与施工规范》GB50156-2012(2014年修改版)第5.0.5</w:t>
            </w:r>
          </w:p>
        </w:tc>
        <w:tc>
          <w:tcPr>
            <w:tcW w:w="851" w:type="pct"/>
            <w:vAlign w:val="center"/>
          </w:tcPr>
          <w:p w:rsidR="003E1D2A" w:rsidRPr="00687B52" w:rsidRDefault="003E1D2A" w:rsidP="003E1D2A">
            <w:pPr>
              <w:jc w:val="center"/>
              <w:rPr>
                <w:rFonts w:asciiTheme="minorEastAsia" w:hAnsiTheme="minorEastAsia"/>
                <w:b/>
                <w:bCs/>
                <w:color w:val="000000" w:themeColor="text1"/>
                <w:sz w:val="24"/>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1.1.9</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加油站的变配电间或室外变压器应布置在爆炸危险区域之外，且与爆炸危险区域边界线的距离不应小于3m。变配电间的起算点应为门窗等洞口。</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《汽车加油加气站设计与施工规范》GB50156-2012(2014年修改版)第5.0.8</w:t>
            </w:r>
          </w:p>
        </w:tc>
        <w:tc>
          <w:tcPr>
            <w:tcW w:w="851" w:type="pct"/>
            <w:vAlign w:val="center"/>
          </w:tcPr>
          <w:p w:rsidR="003E1D2A" w:rsidRPr="00687B52" w:rsidRDefault="003E1D2A" w:rsidP="003E1D2A">
            <w:pPr>
              <w:jc w:val="center"/>
              <w:rPr>
                <w:rFonts w:asciiTheme="minorEastAsia" w:hAnsiTheme="minorEastAsia"/>
                <w:color w:val="000000" w:themeColor="text1"/>
                <w:sz w:val="24"/>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1.1.10</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加油站内设置的经营性餐饮、汽车服务等非站房所属建筑物或设施，不应布置在加油加气作业区内，其与站内可燃液体或可燃气体设备的防火间距，应符合有关三类保护物的规定。经营性餐饮、汽车服务等设施内设置明火设备时，则应视为“明火地点”或“散发火花地点”。其中，对加油站内设置的燃煤设备不得按设置有油气回收系统折减距离。</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《汽车加油加气站设计与施工规范》GB50156-2012(2014年修改版)第5.0.10</w:t>
            </w:r>
          </w:p>
        </w:tc>
        <w:tc>
          <w:tcPr>
            <w:tcW w:w="851" w:type="pct"/>
            <w:vAlign w:val="center"/>
          </w:tcPr>
          <w:p w:rsidR="003E1D2A" w:rsidRPr="00687B52" w:rsidRDefault="003E1D2A" w:rsidP="003E1D2A">
            <w:pPr>
              <w:jc w:val="center"/>
              <w:rPr>
                <w:rFonts w:asciiTheme="minorEastAsia" w:hAnsiTheme="minorEastAsia"/>
                <w:b/>
                <w:bCs/>
                <w:color w:val="000000" w:themeColor="text1"/>
                <w:sz w:val="24"/>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1.1.11</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加油站内的爆炸危险区域，不应超出站区围墙和可用地界线</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《汽车加油加气站设计与施工规范》GB50156-2012(2014年修改版)第5.0.11</w:t>
            </w:r>
          </w:p>
        </w:tc>
        <w:tc>
          <w:tcPr>
            <w:tcW w:w="851" w:type="pct"/>
            <w:vAlign w:val="center"/>
          </w:tcPr>
          <w:p w:rsidR="003E1D2A" w:rsidRPr="00687B52" w:rsidRDefault="003E1D2A" w:rsidP="003E1D2A">
            <w:pPr>
              <w:jc w:val="center"/>
              <w:rPr>
                <w:rFonts w:asciiTheme="minorEastAsia" w:hAnsiTheme="minorEastAsia"/>
                <w:b/>
                <w:bCs/>
                <w:color w:val="000000" w:themeColor="text1"/>
                <w:sz w:val="24"/>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1.1.12</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加油站的工艺设备与站外建（构）筑物之间，宜设置高度不低于2.2m的不燃烧体实体围墙。当加油站的工艺设备与站外建（构）筑物之间的距离大于表4.0.4安全间距的1.5倍，且大于25m时，可设置非实体围墙。面向车辆入口和出口道路的一侧可设非实体围墙或不设围墙。</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《汽车加油加气站设计与施工规范》GB50156-2012(2014年修改版)第5.0.12</w:t>
            </w:r>
          </w:p>
        </w:tc>
        <w:tc>
          <w:tcPr>
            <w:tcW w:w="851" w:type="pct"/>
            <w:vAlign w:val="center"/>
          </w:tcPr>
          <w:p w:rsidR="003E1D2A" w:rsidRPr="00687B52" w:rsidRDefault="003E1D2A" w:rsidP="003E1D2A">
            <w:pPr>
              <w:jc w:val="center"/>
              <w:rPr>
                <w:rFonts w:asciiTheme="minorEastAsia" w:hAnsiTheme="minorEastAsia"/>
                <w:color w:val="000000" w:themeColor="text1"/>
                <w:sz w:val="24"/>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1.1.13</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加油站内设施之间的防火距离，不应小于表5.0.13-1、表5.0.13-2的规定。</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《汽车加油加气站设计与施工规范》GB50156-2012(2014年修改版)第5.0.13</w:t>
            </w:r>
          </w:p>
        </w:tc>
        <w:tc>
          <w:tcPr>
            <w:tcW w:w="851" w:type="pct"/>
            <w:vAlign w:val="center"/>
          </w:tcPr>
          <w:p w:rsidR="003E1D2A" w:rsidRPr="00687B52" w:rsidRDefault="003E1D2A" w:rsidP="003E1D2A">
            <w:pPr>
              <w:jc w:val="center"/>
              <w:rPr>
                <w:rFonts w:asciiTheme="minorEastAsia" w:hAnsiTheme="minorEastAsia"/>
                <w:b/>
                <w:bCs/>
                <w:color w:val="000000" w:themeColor="text1"/>
                <w:sz w:val="24"/>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
                <w:bCs/>
                <w:color w:val="000000" w:themeColor="text1"/>
                <w:szCs w:val="24"/>
              </w:rPr>
            </w:pPr>
            <w:r w:rsidRPr="00687B52">
              <w:rPr>
                <w:rFonts w:asciiTheme="minorEastAsia" w:eastAsiaTheme="minorEastAsia" w:hAnsiTheme="minorEastAsia" w:hint="eastAsia"/>
                <w:b/>
                <w:bCs/>
                <w:color w:val="000000" w:themeColor="text1"/>
                <w:szCs w:val="24"/>
              </w:rPr>
              <w:t>1.2</w:t>
            </w:r>
          </w:p>
        </w:tc>
        <w:tc>
          <w:tcPr>
            <w:tcW w:w="4667" w:type="pct"/>
            <w:gridSpan w:val="3"/>
            <w:vAlign w:val="center"/>
          </w:tcPr>
          <w:p w:rsidR="003E1D2A" w:rsidRPr="00687B52" w:rsidRDefault="003E1D2A" w:rsidP="003E1D2A">
            <w:pPr>
              <w:pStyle w:val="a7"/>
              <w:jc w:val="left"/>
              <w:rPr>
                <w:rFonts w:asciiTheme="minorEastAsia" w:eastAsiaTheme="minorEastAsia" w:hAnsiTheme="minorEastAsia"/>
                <w:b/>
                <w:bCs/>
                <w:color w:val="000000" w:themeColor="text1"/>
                <w:szCs w:val="24"/>
              </w:rPr>
            </w:pPr>
            <w:r w:rsidRPr="00687B52">
              <w:rPr>
                <w:rFonts w:asciiTheme="minorEastAsia" w:eastAsiaTheme="minorEastAsia" w:hAnsiTheme="minorEastAsia" w:hint="eastAsia"/>
                <w:b/>
                <w:bCs/>
                <w:color w:val="000000" w:themeColor="text1"/>
                <w:szCs w:val="24"/>
              </w:rPr>
              <w:t>建（构）筑物</w:t>
            </w: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1.2.1</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加油加气作业区内的站房及其他附属建筑物的耐火等级不应低于二级。当罩棚顶棚的承重构件为钢结构时，其耐火极限可为0.25h。</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《汽车加油加气站设计与施工规范》GB50156-2012(2014年修改版)第12.2.1</w:t>
            </w:r>
          </w:p>
        </w:tc>
        <w:tc>
          <w:tcPr>
            <w:tcW w:w="851" w:type="pct"/>
            <w:vAlign w:val="center"/>
          </w:tcPr>
          <w:p w:rsidR="003E1D2A" w:rsidRPr="00687B52" w:rsidRDefault="003E1D2A" w:rsidP="003E1D2A">
            <w:pPr>
              <w:jc w:val="center"/>
              <w:rPr>
                <w:rFonts w:asciiTheme="minorEastAsia" w:hAnsiTheme="minorEastAsia"/>
                <w:b/>
                <w:bCs/>
                <w:color w:val="000000" w:themeColor="text1"/>
                <w:sz w:val="24"/>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1.2.2</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汽车加油场地宜设罩棚，罩棚的设计应符合下列规定：</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1）罩棚应采用不燃烧材料建造；</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2）进站口无限高措施时，罩棚的净空高度不应小于4.5m；进站口有限高措施时，罩棚的净空高度不应小于限高高度。</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3）罩棚遮盖加油机、加气机的平面投影距离不宜小于2m。</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《汽车加油加气站设计与施工规范》GB50156-2012(2014年修改版)第12.2.2</w:t>
            </w:r>
          </w:p>
        </w:tc>
        <w:tc>
          <w:tcPr>
            <w:tcW w:w="851" w:type="pct"/>
            <w:vAlign w:val="center"/>
          </w:tcPr>
          <w:p w:rsidR="003E1D2A" w:rsidRPr="00687B52" w:rsidRDefault="003E1D2A" w:rsidP="003E1D2A">
            <w:pPr>
              <w:jc w:val="center"/>
              <w:rPr>
                <w:rFonts w:asciiTheme="minorEastAsia" w:hAnsiTheme="minorEastAsia"/>
                <w:b/>
                <w:bCs/>
                <w:color w:val="000000" w:themeColor="text1"/>
                <w:sz w:val="24"/>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1.2.3</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加油岛的设计应符合下列规定：</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1）加油岛、加气岛应高出停车位的地坪0.15m ~0.2m。</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2）加油岛、加气岛两端的宽度不应小于1.2m。</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3）加油岛上的罩棚立柱边缘距岛端部，不应小于0.6m。</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《汽车加油加气站设计与施工规范》GB50156-2012(2014年修改版)第12.2.3</w:t>
            </w:r>
          </w:p>
        </w:tc>
        <w:tc>
          <w:tcPr>
            <w:tcW w:w="851" w:type="pct"/>
            <w:vAlign w:val="center"/>
          </w:tcPr>
          <w:p w:rsidR="003E1D2A" w:rsidRPr="00687B52" w:rsidRDefault="003E1D2A" w:rsidP="003E1D2A">
            <w:pPr>
              <w:jc w:val="center"/>
              <w:rPr>
                <w:rFonts w:asciiTheme="minorEastAsia" w:hAnsiTheme="minorEastAsia"/>
                <w:b/>
                <w:bCs/>
                <w:color w:val="000000" w:themeColor="text1"/>
                <w:sz w:val="24"/>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1.2.4</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当压缩机间与值班室、仪表间相邻时，值班室、仪表间的门窗应位于爆炸危险区范围之外，且与压缩机间的中间隔墙应为无门窗洞口的防火墙。</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《汽车加油加气站设计与施工规范》GB50156-2012(2014年修改版)第12.2.8</w:t>
            </w:r>
          </w:p>
        </w:tc>
        <w:tc>
          <w:tcPr>
            <w:tcW w:w="851" w:type="pct"/>
            <w:vAlign w:val="center"/>
          </w:tcPr>
          <w:p w:rsidR="003E1D2A" w:rsidRPr="00687B52" w:rsidRDefault="003E1D2A" w:rsidP="003E1D2A">
            <w:pPr>
              <w:jc w:val="center"/>
              <w:rPr>
                <w:rFonts w:asciiTheme="minorEastAsia" w:hAnsiTheme="minorEastAsia"/>
                <w:b/>
                <w:bCs/>
                <w:color w:val="000000" w:themeColor="text1"/>
                <w:sz w:val="24"/>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1.2.5</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站房的一部分位于加油加气作业区内时，该站房的建筑面积不宜超过300m</w:t>
            </w:r>
            <w:r w:rsidRPr="00687B52">
              <w:rPr>
                <w:rFonts w:asciiTheme="minorEastAsia" w:eastAsiaTheme="minorEastAsia" w:hAnsiTheme="minorEastAsia" w:hint="eastAsia"/>
                <w:color w:val="000000" w:themeColor="text1"/>
                <w:szCs w:val="24"/>
                <w:vertAlign w:val="superscript"/>
              </w:rPr>
              <w:t>2</w:t>
            </w:r>
            <w:r w:rsidRPr="00687B52">
              <w:rPr>
                <w:rFonts w:asciiTheme="minorEastAsia" w:eastAsiaTheme="minorEastAsia" w:hAnsiTheme="minorEastAsia" w:hint="eastAsia"/>
                <w:color w:val="000000" w:themeColor="text1"/>
                <w:szCs w:val="24"/>
              </w:rPr>
              <w:t>，且该站房内不得有明火设备。</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《汽车加油加气站设计与施工规范》GB50156-2012(2014年修改版)第12.2.10</w:t>
            </w:r>
          </w:p>
        </w:tc>
        <w:tc>
          <w:tcPr>
            <w:tcW w:w="851" w:type="pct"/>
            <w:vAlign w:val="center"/>
          </w:tcPr>
          <w:p w:rsidR="003E1D2A" w:rsidRPr="00687B52" w:rsidRDefault="003E1D2A" w:rsidP="003E1D2A">
            <w:pPr>
              <w:jc w:val="center"/>
              <w:rPr>
                <w:rFonts w:asciiTheme="minorEastAsia" w:hAnsiTheme="minorEastAsia"/>
                <w:b/>
                <w:bCs/>
                <w:color w:val="000000" w:themeColor="text1"/>
                <w:sz w:val="24"/>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1.2.6</w:t>
            </w:r>
          </w:p>
        </w:tc>
        <w:tc>
          <w:tcPr>
            <w:tcW w:w="2579" w:type="pct"/>
            <w:vAlign w:val="center"/>
          </w:tcPr>
          <w:p w:rsidR="003E1D2A" w:rsidRPr="00687B52" w:rsidRDefault="003E1D2A" w:rsidP="00F01C27">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站房可与设置在辅助服务区内的餐厅、汽车服务、锅炉房、厨房、员工宿舍、司机休息室等设施合建，但站房与餐厅、汽车服务、锅炉房、厨房、员工宿舍、司机休息室等设施之间应设置无门窗洞口且耐火极限不低于3h的实体墙。</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《汽车加油加气站设计与施工规范》GB50156-2012(2014年修改版)第12.2.12</w:t>
            </w:r>
          </w:p>
        </w:tc>
        <w:tc>
          <w:tcPr>
            <w:tcW w:w="851" w:type="pct"/>
            <w:vAlign w:val="center"/>
          </w:tcPr>
          <w:p w:rsidR="003E1D2A" w:rsidRPr="00687B52" w:rsidRDefault="003E1D2A" w:rsidP="003E1D2A">
            <w:pPr>
              <w:jc w:val="center"/>
              <w:rPr>
                <w:rFonts w:asciiTheme="minorEastAsia" w:hAnsiTheme="minorEastAsia"/>
                <w:b/>
                <w:bCs/>
                <w:color w:val="000000" w:themeColor="text1"/>
                <w:sz w:val="24"/>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1.2.7</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站房可设在站外民用建筑物内或与站外民用建筑物合建，并应符合下列规定：</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1）站房与民用建筑物之间不得有连接通道。</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2）站房应单独开设通向加油站的出入口。</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3）民用建筑物不得有直接通向加油站的出入口。</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《汽车加油加气站设计与施工规范》GB50156-2012(2014年修改版)第12.2.13</w:t>
            </w:r>
          </w:p>
        </w:tc>
        <w:tc>
          <w:tcPr>
            <w:tcW w:w="851" w:type="pct"/>
            <w:vAlign w:val="center"/>
          </w:tcPr>
          <w:p w:rsidR="003E1D2A" w:rsidRPr="00687B52" w:rsidRDefault="003E1D2A" w:rsidP="003E1D2A">
            <w:pPr>
              <w:jc w:val="center"/>
              <w:rPr>
                <w:rFonts w:asciiTheme="minorEastAsia" w:hAnsiTheme="minorEastAsia"/>
                <w:b/>
                <w:bCs/>
                <w:color w:val="000000" w:themeColor="text1"/>
                <w:sz w:val="24"/>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1.2.8</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当加油站内的锅炉房、厨房等有明火设备的房间与工艺设备之间的距离符合距离要求但小于或等于25m时，其朝向加油加气作业区的外墙应为无门窗洞口且耐火极限不低于3.0h的实体墙。</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《汽车加油加气站设计与施工规范》GB50156-2012(2014年修改版)第12.2.14</w:t>
            </w:r>
          </w:p>
        </w:tc>
        <w:tc>
          <w:tcPr>
            <w:tcW w:w="851" w:type="pct"/>
            <w:vAlign w:val="center"/>
          </w:tcPr>
          <w:p w:rsidR="003E1D2A" w:rsidRPr="00687B52" w:rsidRDefault="003E1D2A" w:rsidP="003E1D2A">
            <w:pPr>
              <w:jc w:val="center"/>
              <w:rPr>
                <w:rFonts w:asciiTheme="minorEastAsia" w:hAnsiTheme="minorEastAsia"/>
                <w:b/>
                <w:bCs/>
                <w:color w:val="000000" w:themeColor="text1"/>
                <w:sz w:val="24"/>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1.2.9</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加油站内不应建地下和半地下室。</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《汽车加油加气站设计与施工规范》GB50156-2012(2014年修改版)第12.2.15</w:t>
            </w:r>
          </w:p>
        </w:tc>
        <w:tc>
          <w:tcPr>
            <w:tcW w:w="851" w:type="pct"/>
            <w:vAlign w:val="center"/>
          </w:tcPr>
          <w:p w:rsidR="003E1D2A" w:rsidRPr="00687B52" w:rsidRDefault="003E1D2A" w:rsidP="003E1D2A">
            <w:pPr>
              <w:jc w:val="center"/>
              <w:rPr>
                <w:rFonts w:asciiTheme="minorEastAsia" w:hAnsiTheme="minorEastAsia"/>
                <w:b/>
                <w:bCs/>
                <w:color w:val="000000" w:themeColor="text1"/>
                <w:sz w:val="24"/>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1.2.10</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位于爆炸危险区域内的操作井、排水井，应采取防渗漏和防火花发生的措施。</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《汽车加油加气站设计与施工规范》GB50156-2012(2014年修改版)第12.2.16</w:t>
            </w:r>
          </w:p>
        </w:tc>
        <w:tc>
          <w:tcPr>
            <w:tcW w:w="851" w:type="pct"/>
            <w:vAlign w:val="center"/>
          </w:tcPr>
          <w:p w:rsidR="003E1D2A" w:rsidRPr="00687B52" w:rsidRDefault="003E1D2A" w:rsidP="003E1D2A">
            <w:pPr>
              <w:jc w:val="center"/>
              <w:rPr>
                <w:rFonts w:asciiTheme="minorEastAsia" w:hAnsiTheme="minorEastAsia"/>
                <w:b/>
                <w:bCs/>
                <w:color w:val="000000" w:themeColor="text1"/>
                <w:sz w:val="24"/>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2</w:t>
            </w:r>
          </w:p>
        </w:tc>
        <w:tc>
          <w:tcPr>
            <w:tcW w:w="4667" w:type="pct"/>
            <w:gridSpan w:val="3"/>
            <w:vAlign w:val="center"/>
          </w:tcPr>
          <w:p w:rsidR="003E1D2A" w:rsidRPr="00687B52" w:rsidRDefault="003E1D2A" w:rsidP="003E1D2A">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工艺安全</w:t>
            </w: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b/>
                <w:color w:val="000000" w:themeColor="text1"/>
                <w:szCs w:val="24"/>
              </w:rPr>
              <w:t>2.1</w:t>
            </w:r>
          </w:p>
        </w:tc>
        <w:tc>
          <w:tcPr>
            <w:tcW w:w="4667" w:type="pct"/>
            <w:gridSpan w:val="3"/>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b/>
                <w:bCs/>
                <w:color w:val="000000" w:themeColor="text1"/>
                <w:szCs w:val="24"/>
              </w:rPr>
              <w:t>加油机</w:t>
            </w: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2.1.1</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加油机不得设在室内。</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《汽车加油加气站设计与施工规范》GB50156-2012(2014年修改版)第6.2.1</w:t>
            </w:r>
          </w:p>
        </w:tc>
        <w:tc>
          <w:tcPr>
            <w:tcW w:w="851" w:type="pct"/>
            <w:vAlign w:val="center"/>
          </w:tcPr>
          <w:p w:rsidR="003E1D2A" w:rsidRPr="00687B52" w:rsidRDefault="003E1D2A" w:rsidP="003E1D2A">
            <w:pPr>
              <w:pStyle w:val="a7"/>
              <w:rPr>
                <w:rFonts w:asciiTheme="minorEastAsia" w:eastAsiaTheme="minorEastAsia" w:hAnsiTheme="minorEastAsia"/>
                <w:b/>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2.1.2</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加油枪应采用自封式加油枪，汽油加油枪的流量不应大于</w:t>
            </w:r>
            <w:r w:rsidRPr="00687B52">
              <w:rPr>
                <w:rFonts w:asciiTheme="minorEastAsia" w:eastAsiaTheme="minorEastAsia" w:hAnsiTheme="minorEastAsia"/>
                <w:color w:val="000000" w:themeColor="text1"/>
                <w:szCs w:val="24"/>
              </w:rPr>
              <w:t>50L/min</w:t>
            </w:r>
            <w:r w:rsidRPr="00687B52">
              <w:rPr>
                <w:rFonts w:asciiTheme="minorEastAsia" w:eastAsiaTheme="minorEastAsia" w:hAnsiTheme="minorEastAsia" w:hint="eastAsia"/>
                <w:color w:val="000000" w:themeColor="text1"/>
                <w:szCs w:val="24"/>
              </w:rPr>
              <w:t>。</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《汽车加油加气站设计与施工规范》GB50156-2012(2014年修改版)第6.2.2</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2.1.3</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加油软管上宜设安全拉断阀。</w:t>
            </w:r>
          </w:p>
          <w:p w:rsidR="003E1D2A" w:rsidRPr="00687B52" w:rsidRDefault="003E1D2A" w:rsidP="003E1D2A">
            <w:pPr>
              <w:pStyle w:val="a7"/>
              <w:jc w:val="left"/>
              <w:rPr>
                <w:rFonts w:asciiTheme="minorEastAsia" w:eastAsiaTheme="minorEastAsia" w:hAnsiTheme="minorEastAsia"/>
                <w:color w:val="000000" w:themeColor="text1"/>
                <w:szCs w:val="24"/>
              </w:rPr>
            </w:pP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《汽车加油加气站设计与施工规范》GB50156-2012(2014年修改版)第6.2.3</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2.1.4</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以正压（潜油泵）供油的加油机，其底部的供油管道上应设剪切阀，当加油机被撞或起火时，剪切阀应能自动关闭。</w:t>
            </w:r>
          </w:p>
          <w:p w:rsidR="003E1D2A" w:rsidRPr="00687B52" w:rsidRDefault="003E1D2A" w:rsidP="003E1D2A">
            <w:pPr>
              <w:pStyle w:val="a7"/>
              <w:jc w:val="left"/>
              <w:rPr>
                <w:rFonts w:asciiTheme="minorEastAsia" w:eastAsiaTheme="minorEastAsia" w:hAnsiTheme="minorEastAsia"/>
                <w:color w:val="000000" w:themeColor="text1"/>
                <w:szCs w:val="24"/>
              </w:rPr>
            </w:pP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《汽车加油加气站设计与施工规范》GB50156-2012(2014年修改版)第6.2.4</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trHeight w:val="90"/>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2.1.5</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采用一机多油品的加油机时，加油机上的放枪位应有各油品的文字标识，加油枪应有颜色标识。</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《汽车加油加气站设计与施工规范》GB50156-2012(2014年修改版)第6.2.5</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2.1.6</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位于加油岛端部的加油机附近应设防撞柱</w:t>
            </w:r>
            <w:r w:rsidRPr="00687B52">
              <w:rPr>
                <w:rFonts w:asciiTheme="minorEastAsia" w:eastAsiaTheme="minorEastAsia" w:hAnsiTheme="minorEastAsia"/>
                <w:color w:val="000000" w:themeColor="text1"/>
                <w:szCs w:val="24"/>
              </w:rPr>
              <w:t>(</w:t>
            </w:r>
            <w:r w:rsidRPr="00687B52">
              <w:rPr>
                <w:rFonts w:asciiTheme="minorEastAsia" w:eastAsiaTheme="minorEastAsia" w:hAnsiTheme="minorEastAsia" w:hint="eastAsia"/>
                <w:color w:val="000000" w:themeColor="text1"/>
                <w:szCs w:val="24"/>
              </w:rPr>
              <w:t>栏</w:t>
            </w:r>
            <w:r w:rsidRPr="00687B52">
              <w:rPr>
                <w:rFonts w:asciiTheme="minorEastAsia" w:eastAsiaTheme="minorEastAsia" w:hAnsiTheme="minorEastAsia"/>
                <w:color w:val="000000" w:themeColor="text1"/>
                <w:szCs w:val="24"/>
              </w:rPr>
              <w:t>)</w:t>
            </w:r>
            <w:r w:rsidRPr="00687B52">
              <w:rPr>
                <w:rFonts w:asciiTheme="minorEastAsia" w:eastAsiaTheme="minorEastAsia" w:hAnsiTheme="minorEastAsia" w:hint="eastAsia"/>
                <w:color w:val="000000" w:themeColor="text1"/>
                <w:szCs w:val="24"/>
              </w:rPr>
              <w:t>，其高度不应小于</w:t>
            </w:r>
            <w:r w:rsidRPr="00687B52">
              <w:rPr>
                <w:rFonts w:asciiTheme="minorEastAsia" w:eastAsiaTheme="minorEastAsia" w:hAnsiTheme="minorEastAsia"/>
                <w:color w:val="000000" w:themeColor="text1"/>
                <w:szCs w:val="24"/>
              </w:rPr>
              <w:t>0.5m</w:t>
            </w:r>
            <w:r w:rsidRPr="00687B52">
              <w:rPr>
                <w:rFonts w:asciiTheme="minorEastAsia" w:eastAsiaTheme="minorEastAsia" w:hAnsiTheme="minorEastAsia" w:hint="eastAsia"/>
                <w:color w:val="000000" w:themeColor="text1"/>
                <w:szCs w:val="24"/>
              </w:rPr>
              <w:t>。</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《汽车加油加气站设计与施工规范》GB50156-2012(2014年修改版)第6.2.6</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2.2</w:t>
            </w:r>
          </w:p>
        </w:tc>
        <w:tc>
          <w:tcPr>
            <w:tcW w:w="4667" w:type="pct"/>
            <w:gridSpan w:val="3"/>
            <w:vAlign w:val="center"/>
          </w:tcPr>
          <w:p w:rsidR="003E1D2A" w:rsidRPr="00687B52" w:rsidRDefault="003E1D2A" w:rsidP="003E1D2A">
            <w:pPr>
              <w:pStyle w:val="a7"/>
              <w:jc w:val="left"/>
              <w:rPr>
                <w:rFonts w:asciiTheme="minorEastAsia" w:eastAsiaTheme="minorEastAsia" w:hAnsiTheme="minorEastAsia"/>
                <w:b/>
                <w:bCs/>
                <w:color w:val="000000" w:themeColor="text1"/>
                <w:szCs w:val="24"/>
              </w:rPr>
            </w:pPr>
            <w:r w:rsidRPr="00687B52">
              <w:rPr>
                <w:rFonts w:asciiTheme="minorEastAsia" w:eastAsiaTheme="minorEastAsia" w:hAnsiTheme="minorEastAsia" w:hint="eastAsia"/>
                <w:b/>
                <w:bCs/>
                <w:color w:val="000000" w:themeColor="text1"/>
                <w:szCs w:val="24"/>
              </w:rPr>
              <w:t>工艺管道系统</w:t>
            </w: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2.2.1</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汽油罐与柴油罐的通气管应分开设置。通气管管口高出地面的高度不应小于</w:t>
            </w:r>
            <w:r w:rsidRPr="00687B52">
              <w:rPr>
                <w:rFonts w:asciiTheme="minorEastAsia" w:eastAsiaTheme="minorEastAsia" w:hAnsiTheme="minorEastAsia"/>
                <w:color w:val="000000" w:themeColor="text1"/>
                <w:szCs w:val="24"/>
              </w:rPr>
              <w:t>4m</w:t>
            </w:r>
            <w:r w:rsidRPr="00687B52">
              <w:rPr>
                <w:rFonts w:asciiTheme="minorEastAsia" w:eastAsiaTheme="minorEastAsia" w:hAnsiTheme="minorEastAsia" w:hint="eastAsia"/>
                <w:color w:val="000000" w:themeColor="text1"/>
                <w:szCs w:val="24"/>
              </w:rPr>
              <w:t>。沿建（构）筑物的墙（柱）向上敷设的通气管，其管口应高出建筑物的顶面</w:t>
            </w:r>
            <w:r w:rsidRPr="00687B52">
              <w:rPr>
                <w:rFonts w:asciiTheme="minorEastAsia" w:eastAsiaTheme="minorEastAsia" w:hAnsiTheme="minorEastAsia"/>
                <w:color w:val="000000" w:themeColor="text1"/>
                <w:szCs w:val="24"/>
              </w:rPr>
              <w:t>1.5m</w:t>
            </w:r>
            <w:r w:rsidRPr="00687B52">
              <w:rPr>
                <w:rFonts w:asciiTheme="minorEastAsia" w:eastAsiaTheme="minorEastAsia" w:hAnsiTheme="minorEastAsia" w:hint="eastAsia"/>
                <w:color w:val="000000" w:themeColor="text1"/>
                <w:szCs w:val="24"/>
              </w:rPr>
              <w:t>及以上。通气管管口应设置阻火器。</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《汽车加油加气站设计与施工规范》GB50156-2012(2014年修改版)第6.3.8</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2.2.2</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通气管的公称直径不应小于</w:t>
            </w:r>
            <w:r w:rsidRPr="00687B52">
              <w:rPr>
                <w:rFonts w:asciiTheme="minorEastAsia" w:eastAsiaTheme="minorEastAsia" w:hAnsiTheme="minorEastAsia"/>
                <w:color w:val="000000" w:themeColor="text1"/>
                <w:szCs w:val="24"/>
              </w:rPr>
              <w:t>50mm</w:t>
            </w:r>
            <w:r w:rsidRPr="00687B52">
              <w:rPr>
                <w:rFonts w:asciiTheme="minorEastAsia" w:eastAsiaTheme="minorEastAsia" w:hAnsiTheme="minorEastAsia" w:hint="eastAsia"/>
                <w:color w:val="000000" w:themeColor="text1"/>
                <w:szCs w:val="24"/>
              </w:rPr>
              <w:t>。</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《汽车加油加气站设计与施工规范》GB50156-2012(2014年修改版)第6.3.9</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2.2.3</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当加油站采用油气回收系统时，汽油罐的通气管管口除应装设阻火器外，尚应装设呼吸阀。呼吸阀的工作正压宜为</w:t>
            </w:r>
            <w:r w:rsidRPr="00687B52">
              <w:rPr>
                <w:rFonts w:asciiTheme="minorEastAsia" w:eastAsiaTheme="minorEastAsia" w:hAnsiTheme="minorEastAsia"/>
                <w:color w:val="000000" w:themeColor="text1"/>
                <w:szCs w:val="24"/>
              </w:rPr>
              <w:t>2kPa</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3kPa</w:t>
            </w:r>
            <w:r w:rsidRPr="00687B52">
              <w:rPr>
                <w:rFonts w:asciiTheme="minorEastAsia" w:eastAsiaTheme="minorEastAsia" w:hAnsiTheme="minorEastAsia" w:hint="eastAsia"/>
                <w:color w:val="000000" w:themeColor="text1"/>
                <w:szCs w:val="24"/>
              </w:rPr>
              <w:t>，工作负压宜为</w:t>
            </w:r>
            <w:r w:rsidRPr="00687B52">
              <w:rPr>
                <w:rFonts w:asciiTheme="minorEastAsia" w:eastAsiaTheme="minorEastAsia" w:hAnsiTheme="minorEastAsia"/>
                <w:color w:val="000000" w:themeColor="text1"/>
                <w:szCs w:val="24"/>
              </w:rPr>
              <w:t>1.5kPa</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2kPa</w:t>
            </w:r>
            <w:r w:rsidRPr="00687B52">
              <w:rPr>
                <w:rFonts w:asciiTheme="minorEastAsia" w:eastAsiaTheme="minorEastAsia" w:hAnsiTheme="minorEastAsia" w:hint="eastAsia"/>
                <w:color w:val="000000" w:themeColor="text1"/>
                <w:szCs w:val="24"/>
              </w:rPr>
              <w:t>。</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《汽车加油加气站设计与施工规范》GB50156-2012(2014年修改版)第6.3.10</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2.2.4</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加油站内的工艺管道除必须露出地面的以外，均应埋地敷设。当采用管沟敷设时，管沟必须用中性沙子或细土填满、填实。</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《汽车加油加气站设计与施工规范》GB50156-2012(2014年修改版)第6.3.13</w:t>
            </w:r>
          </w:p>
        </w:tc>
        <w:tc>
          <w:tcPr>
            <w:tcW w:w="851" w:type="pct"/>
            <w:vAlign w:val="center"/>
          </w:tcPr>
          <w:p w:rsidR="003E1D2A" w:rsidRPr="00687B52" w:rsidRDefault="003E1D2A" w:rsidP="003E1D2A">
            <w:pPr>
              <w:pStyle w:val="a7"/>
              <w:rPr>
                <w:rFonts w:asciiTheme="minorEastAsia" w:eastAsiaTheme="minorEastAsia" w:hAnsiTheme="minorEastAsia"/>
                <w:b/>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2.2.5</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卸油管道、卸油油气回收管道、加油油气回收管道和油罐通气管横管，应坡向埋地油罐。卸油管道的坡度不应小于</w:t>
            </w:r>
            <w:r w:rsidRPr="00687B52">
              <w:rPr>
                <w:rFonts w:asciiTheme="minorEastAsia" w:eastAsiaTheme="minorEastAsia" w:hAnsiTheme="minorEastAsia"/>
                <w:color w:val="000000" w:themeColor="text1"/>
                <w:szCs w:val="24"/>
              </w:rPr>
              <w:t>2‰</w:t>
            </w:r>
            <w:r w:rsidRPr="00687B52">
              <w:rPr>
                <w:rFonts w:asciiTheme="minorEastAsia" w:eastAsiaTheme="minorEastAsia" w:hAnsiTheme="minorEastAsia" w:hint="eastAsia"/>
                <w:color w:val="000000" w:themeColor="text1"/>
                <w:szCs w:val="24"/>
              </w:rPr>
              <w:t>，卸油油气回收管道、加油油气回收管道和油罐通气管横管的坡度，不应小于</w:t>
            </w:r>
            <w:r w:rsidRPr="00687B52">
              <w:rPr>
                <w:rFonts w:asciiTheme="minorEastAsia" w:eastAsiaTheme="minorEastAsia" w:hAnsiTheme="minorEastAsia"/>
                <w:color w:val="000000" w:themeColor="text1"/>
                <w:szCs w:val="24"/>
              </w:rPr>
              <w:t>1%</w:t>
            </w:r>
            <w:r w:rsidRPr="00687B52">
              <w:rPr>
                <w:rFonts w:asciiTheme="minorEastAsia" w:eastAsiaTheme="minorEastAsia" w:hAnsiTheme="minorEastAsia" w:hint="eastAsia"/>
                <w:color w:val="000000" w:themeColor="text1"/>
                <w:szCs w:val="24"/>
              </w:rPr>
              <w:t>。</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《汽车加油加气站设计与施工规范》GB50156-2012(2014年修改版)第6.3.14</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2.2.6</w:t>
            </w:r>
          </w:p>
        </w:tc>
        <w:tc>
          <w:tcPr>
            <w:tcW w:w="2579" w:type="pct"/>
            <w:vAlign w:val="center"/>
          </w:tcPr>
          <w:p w:rsidR="003E1D2A" w:rsidRPr="00687B52" w:rsidRDefault="003E1D2A" w:rsidP="00ED3E9F">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受地形限制，加油油气回收管道坡向油罐的坡度不能满足第</w:t>
            </w:r>
            <w:r w:rsidR="00ED3E9F" w:rsidRPr="00687B52">
              <w:rPr>
                <w:rFonts w:asciiTheme="minorEastAsia" w:eastAsiaTheme="minorEastAsia" w:hAnsiTheme="minorEastAsia" w:hint="eastAsia"/>
                <w:color w:val="000000" w:themeColor="text1"/>
                <w:szCs w:val="24"/>
              </w:rPr>
              <w:t>第6.3.14条</w:t>
            </w:r>
            <w:r w:rsidRPr="00687B52">
              <w:rPr>
                <w:rFonts w:asciiTheme="minorEastAsia" w:eastAsiaTheme="minorEastAsia" w:hAnsiTheme="minorEastAsia" w:hint="eastAsia"/>
                <w:color w:val="000000" w:themeColor="text1"/>
                <w:szCs w:val="24"/>
              </w:rPr>
              <w:t>的要求时，可在管道靠近油罐的位置设置集液器，且管道坡向集液器的坡度不应小于</w:t>
            </w:r>
            <w:r w:rsidRPr="00687B52">
              <w:rPr>
                <w:rFonts w:asciiTheme="minorEastAsia" w:eastAsiaTheme="minorEastAsia" w:hAnsiTheme="minorEastAsia"/>
                <w:color w:val="000000" w:themeColor="text1"/>
                <w:szCs w:val="24"/>
              </w:rPr>
              <w:t>1%</w:t>
            </w:r>
            <w:r w:rsidRPr="00687B52">
              <w:rPr>
                <w:rFonts w:asciiTheme="minorEastAsia" w:eastAsiaTheme="minorEastAsia" w:hAnsiTheme="minorEastAsia" w:hint="eastAsia"/>
                <w:color w:val="000000" w:themeColor="text1"/>
                <w:szCs w:val="24"/>
              </w:rPr>
              <w:t>。</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《汽车加油加气站设计与施工规范》GB50156-2012(2014年修改版)第6.3.15</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2.2.7</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埋地工艺管道的埋设深度不得小于</w:t>
            </w:r>
            <w:r w:rsidRPr="00687B52">
              <w:rPr>
                <w:rFonts w:asciiTheme="minorEastAsia" w:eastAsiaTheme="minorEastAsia" w:hAnsiTheme="minorEastAsia"/>
                <w:color w:val="000000" w:themeColor="text1"/>
                <w:szCs w:val="24"/>
              </w:rPr>
              <w:t>0.4m</w:t>
            </w:r>
            <w:r w:rsidRPr="00687B52">
              <w:rPr>
                <w:rFonts w:asciiTheme="minorEastAsia" w:eastAsiaTheme="minorEastAsia" w:hAnsiTheme="minorEastAsia" w:hint="eastAsia"/>
                <w:color w:val="000000" w:themeColor="text1"/>
                <w:szCs w:val="24"/>
              </w:rPr>
              <w:t>。敷设在混凝土场地或道路下面的管道，管顶低于混凝土层下表面不得小于</w:t>
            </w:r>
            <w:r w:rsidRPr="00687B52">
              <w:rPr>
                <w:rFonts w:asciiTheme="minorEastAsia" w:eastAsiaTheme="minorEastAsia" w:hAnsiTheme="minorEastAsia"/>
                <w:color w:val="000000" w:themeColor="text1"/>
                <w:szCs w:val="24"/>
              </w:rPr>
              <w:t>0.2m</w:t>
            </w:r>
            <w:r w:rsidRPr="00687B52">
              <w:rPr>
                <w:rFonts w:asciiTheme="minorEastAsia" w:eastAsiaTheme="minorEastAsia" w:hAnsiTheme="minorEastAsia" w:hint="eastAsia"/>
                <w:color w:val="000000" w:themeColor="text1"/>
                <w:szCs w:val="24"/>
              </w:rPr>
              <w:t>。管道周围应回填不小于</w:t>
            </w:r>
            <w:r w:rsidRPr="00687B52">
              <w:rPr>
                <w:rFonts w:asciiTheme="minorEastAsia" w:eastAsiaTheme="minorEastAsia" w:hAnsiTheme="minorEastAsia"/>
                <w:color w:val="000000" w:themeColor="text1"/>
                <w:szCs w:val="24"/>
              </w:rPr>
              <w:t>100mm</w:t>
            </w:r>
            <w:r w:rsidRPr="00687B52">
              <w:rPr>
                <w:rFonts w:asciiTheme="minorEastAsia" w:eastAsiaTheme="minorEastAsia" w:hAnsiTheme="minorEastAsia" w:hint="eastAsia"/>
                <w:color w:val="000000" w:themeColor="text1"/>
                <w:szCs w:val="24"/>
              </w:rPr>
              <w:t>厚的中性沙子或细土。</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《汽车加油加气站设计与施工规范》GB50156-2012(2014年修改版)第6.3.16</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2.2.8</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工艺管道不应穿过或跨越站房等与其无直接关系的建（构）筑物；与管沟、电缆沟和排水沟相交叉时，应采取相应的防护措施。</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《汽车加油加气站设计与施工规范》GB50156-2012(2014年修改版)第6.3.17</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2.3</w:t>
            </w:r>
          </w:p>
        </w:tc>
        <w:tc>
          <w:tcPr>
            <w:tcW w:w="4667" w:type="pct"/>
            <w:gridSpan w:val="3"/>
            <w:vAlign w:val="center"/>
          </w:tcPr>
          <w:p w:rsidR="003E1D2A" w:rsidRPr="00687B52" w:rsidRDefault="003E1D2A" w:rsidP="003E1D2A">
            <w:pPr>
              <w:pStyle w:val="a7"/>
              <w:jc w:val="left"/>
              <w:rPr>
                <w:rFonts w:asciiTheme="minorEastAsia" w:eastAsiaTheme="minorEastAsia" w:hAnsiTheme="minorEastAsia"/>
                <w:b/>
                <w:bCs/>
                <w:color w:val="000000" w:themeColor="text1"/>
                <w:szCs w:val="24"/>
              </w:rPr>
            </w:pPr>
            <w:r w:rsidRPr="00687B52">
              <w:rPr>
                <w:rFonts w:asciiTheme="minorEastAsia" w:eastAsiaTheme="minorEastAsia" w:hAnsiTheme="minorEastAsia" w:hint="eastAsia"/>
                <w:b/>
                <w:bCs/>
                <w:color w:val="000000" w:themeColor="text1"/>
                <w:szCs w:val="24"/>
              </w:rPr>
              <w:t>防渗措施</w:t>
            </w: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2.3.1</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采取防止油品渗漏保护措施的加油站，其埋地油罐应采用下列之一的防渗方式：</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w:t>
            </w:r>
            <w:r w:rsidRPr="00687B52">
              <w:rPr>
                <w:rFonts w:asciiTheme="minorEastAsia" w:eastAsiaTheme="minorEastAsia" w:hAnsiTheme="minorEastAsia" w:hint="eastAsia"/>
                <w:color w:val="000000" w:themeColor="text1"/>
                <w:szCs w:val="24"/>
              </w:rPr>
              <w:t>单层油罐设置防渗罐池；</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w:t>
            </w:r>
            <w:r w:rsidRPr="00687B52">
              <w:rPr>
                <w:rFonts w:asciiTheme="minorEastAsia" w:eastAsiaTheme="minorEastAsia" w:hAnsiTheme="minorEastAsia" w:hint="eastAsia"/>
                <w:color w:val="000000" w:themeColor="text1"/>
                <w:szCs w:val="24"/>
              </w:rPr>
              <w:t>采用双层油罐。</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《汽车加油加气站设计与施工规范》GB50156-2012(2014年修改版)第6.5.2</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2.3.2</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防渗罐池的各隔池内应设检测立管，检测立管的设置应符合下列规定：</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1</w:t>
            </w:r>
            <w:r w:rsidRPr="00687B52">
              <w:rPr>
                <w:rFonts w:asciiTheme="minorEastAsia" w:eastAsiaTheme="minorEastAsia" w:hAnsiTheme="minorEastAsia" w:hint="eastAsia"/>
                <w:color w:val="000000" w:themeColor="text1"/>
                <w:szCs w:val="24"/>
              </w:rPr>
              <w:t>）检测立管应采用耐油、耐腐蚀的管材制作，直径宜为</w:t>
            </w:r>
            <w:r w:rsidRPr="00687B52">
              <w:rPr>
                <w:rFonts w:asciiTheme="minorEastAsia" w:eastAsiaTheme="minorEastAsia" w:hAnsiTheme="minorEastAsia"/>
                <w:color w:val="000000" w:themeColor="text1"/>
                <w:szCs w:val="24"/>
              </w:rPr>
              <w:t>100mm</w:t>
            </w:r>
            <w:r w:rsidRPr="00687B52">
              <w:rPr>
                <w:rFonts w:asciiTheme="minorEastAsia" w:eastAsiaTheme="minorEastAsia" w:hAnsiTheme="minorEastAsia" w:hint="eastAsia"/>
                <w:color w:val="000000" w:themeColor="text1"/>
                <w:szCs w:val="24"/>
              </w:rPr>
              <w:t>，壁厚不应小于</w:t>
            </w:r>
            <w:r w:rsidRPr="00687B52">
              <w:rPr>
                <w:rFonts w:asciiTheme="minorEastAsia" w:eastAsiaTheme="minorEastAsia" w:hAnsiTheme="minorEastAsia"/>
                <w:color w:val="000000" w:themeColor="text1"/>
                <w:szCs w:val="24"/>
              </w:rPr>
              <w:t>4mm</w:t>
            </w:r>
            <w:r w:rsidRPr="00687B52">
              <w:rPr>
                <w:rFonts w:asciiTheme="minorEastAsia" w:eastAsiaTheme="minorEastAsia" w:hAnsiTheme="minorEastAsia" w:hint="eastAsia"/>
                <w:color w:val="000000" w:themeColor="text1"/>
                <w:szCs w:val="24"/>
              </w:rPr>
              <w:t>。</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2</w:t>
            </w:r>
            <w:r w:rsidRPr="00687B52">
              <w:rPr>
                <w:rFonts w:asciiTheme="minorEastAsia" w:eastAsiaTheme="minorEastAsia" w:hAnsiTheme="minorEastAsia" w:hint="eastAsia"/>
                <w:color w:val="000000" w:themeColor="text1"/>
                <w:szCs w:val="24"/>
              </w:rPr>
              <w:t>）检测立管的下端应置于防渗罐池的最低处，上部管口应高出罐区设计地面</w:t>
            </w:r>
            <w:r w:rsidRPr="00687B52">
              <w:rPr>
                <w:rFonts w:asciiTheme="minorEastAsia" w:eastAsiaTheme="minorEastAsia" w:hAnsiTheme="minorEastAsia"/>
                <w:color w:val="000000" w:themeColor="text1"/>
                <w:szCs w:val="24"/>
              </w:rPr>
              <w:t>200mm</w:t>
            </w:r>
            <w:r w:rsidRPr="00687B52">
              <w:rPr>
                <w:rFonts w:asciiTheme="minorEastAsia" w:eastAsiaTheme="minorEastAsia" w:hAnsiTheme="minorEastAsia" w:hint="eastAsia"/>
                <w:color w:val="000000" w:themeColor="text1"/>
                <w:szCs w:val="24"/>
              </w:rPr>
              <w:t>（油罐设置在车道下的除外）。</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3</w:t>
            </w:r>
            <w:r w:rsidRPr="00687B52">
              <w:rPr>
                <w:rFonts w:asciiTheme="minorEastAsia" w:eastAsiaTheme="minorEastAsia" w:hAnsiTheme="minorEastAsia" w:hint="eastAsia"/>
                <w:color w:val="000000" w:themeColor="text1"/>
                <w:szCs w:val="24"/>
              </w:rPr>
              <w:t>）检测立管与池内罐顶标高以下范围应为过滤管段。过滤管段应能允许池内任何层面的渗漏液体（油或水）进入检测管，并应能阻止泥沙侵入。</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4</w:t>
            </w:r>
            <w:r w:rsidRPr="00687B52">
              <w:rPr>
                <w:rFonts w:asciiTheme="minorEastAsia" w:eastAsiaTheme="minorEastAsia" w:hAnsiTheme="minorEastAsia" w:hint="eastAsia"/>
                <w:color w:val="000000" w:themeColor="text1"/>
                <w:szCs w:val="24"/>
              </w:rPr>
              <w:t>）检测立管周围应回填粒径为</w:t>
            </w:r>
            <w:r w:rsidRPr="00687B52">
              <w:rPr>
                <w:rFonts w:asciiTheme="minorEastAsia" w:eastAsiaTheme="minorEastAsia" w:hAnsiTheme="minorEastAsia"/>
                <w:color w:val="000000" w:themeColor="text1"/>
                <w:szCs w:val="24"/>
              </w:rPr>
              <w:t>10mm</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30mm</w:t>
            </w:r>
            <w:r w:rsidRPr="00687B52">
              <w:rPr>
                <w:rFonts w:asciiTheme="minorEastAsia" w:eastAsiaTheme="minorEastAsia" w:hAnsiTheme="minorEastAsia" w:hint="eastAsia"/>
                <w:color w:val="000000" w:themeColor="text1"/>
                <w:szCs w:val="24"/>
              </w:rPr>
              <w:t>的砾石。</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5</w:t>
            </w:r>
            <w:r w:rsidRPr="00687B52">
              <w:rPr>
                <w:rFonts w:asciiTheme="minorEastAsia" w:eastAsiaTheme="minorEastAsia" w:hAnsiTheme="minorEastAsia" w:hint="eastAsia"/>
                <w:color w:val="000000" w:themeColor="text1"/>
                <w:szCs w:val="24"/>
              </w:rPr>
              <w:t>）检测口应有防止雨水、油污、杂物侵入的保护盖和标识。</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《汽车加油加气站设计与施工规范》GB50156-2012(2014年修改版)第6.5.4</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2.3.3</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装有潜油泵的油罐人孔操作井、卸油口井、加油机底槽等可能发生油品渗漏的部位，也应采取相应的防渗措施。</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《汽车加油加气站设计与施工规范》GB50156-2012(2014年修改版)第6.5.5</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2.3.4</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采取防渗漏措施的加油站，其埋地加油管道应采用双层管道。双层管道的设计，应符合下列规定：</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1）采用双层非金属管道时，外层管应满足耐油、耐腐蚀、耐老化和系统试验压力的要求。</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2）采用双层钢质管道时，外层管的壁厚不应小于</w:t>
            </w:r>
            <w:r w:rsidRPr="00687B52">
              <w:rPr>
                <w:rFonts w:asciiTheme="minorEastAsia" w:eastAsiaTheme="minorEastAsia" w:hAnsiTheme="minorEastAsia"/>
                <w:color w:val="000000" w:themeColor="text1"/>
                <w:szCs w:val="24"/>
              </w:rPr>
              <w:t>5mm</w:t>
            </w:r>
            <w:r w:rsidRPr="00687B52">
              <w:rPr>
                <w:rFonts w:asciiTheme="minorEastAsia" w:eastAsiaTheme="minorEastAsia" w:hAnsiTheme="minorEastAsia" w:hint="eastAsia"/>
                <w:color w:val="000000" w:themeColor="text1"/>
                <w:szCs w:val="24"/>
              </w:rPr>
              <w:t>。</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3)双层管道系统的内层管与外层管之间的缝隙应贯通。</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4)双层管道系统的最低点应设检漏点。</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5)双层管道坡向检漏点的坡度，不应小于</w:t>
            </w:r>
            <w:r w:rsidRPr="00687B52">
              <w:rPr>
                <w:rFonts w:asciiTheme="minorEastAsia" w:eastAsiaTheme="minorEastAsia" w:hAnsiTheme="minorEastAsia"/>
                <w:color w:val="000000" w:themeColor="text1"/>
                <w:szCs w:val="24"/>
              </w:rPr>
              <w:t>5</w:t>
            </w:r>
            <w:r w:rsidRPr="00687B52">
              <w:rPr>
                <w:rFonts w:asciiTheme="minorEastAsia" w:eastAsiaTheme="minorEastAsia" w:hAnsiTheme="minorEastAsia" w:hint="eastAsia"/>
                <w:color w:val="000000" w:themeColor="text1"/>
                <w:szCs w:val="24"/>
              </w:rPr>
              <w:t>‰，并应保证内层管和外层管任何部位出现渗漏均能在检漏点处被发现。</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6)管道系统的渗漏检测宜采用在线监测系统。</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《汽车加油加气站设计与施工规范》GB50156-2012(2014年修改版)第6.5.6</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3</w:t>
            </w:r>
          </w:p>
        </w:tc>
        <w:tc>
          <w:tcPr>
            <w:tcW w:w="4667" w:type="pct"/>
            <w:gridSpan w:val="3"/>
            <w:vAlign w:val="center"/>
          </w:tcPr>
          <w:p w:rsidR="003E1D2A" w:rsidRPr="00687B52" w:rsidRDefault="003E1D2A" w:rsidP="003E1D2A">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设备设施</w:t>
            </w:r>
          </w:p>
        </w:tc>
      </w:tr>
      <w:tr w:rsidR="003E1D2A" w:rsidRPr="00687B52" w:rsidTr="008B4454">
        <w:trPr>
          <w:trHeight w:val="327"/>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w:t>
            </w:r>
          </w:p>
        </w:tc>
        <w:tc>
          <w:tcPr>
            <w:tcW w:w="4667" w:type="pct"/>
            <w:gridSpan w:val="3"/>
            <w:vAlign w:val="center"/>
          </w:tcPr>
          <w:p w:rsidR="003E1D2A" w:rsidRPr="00687B52" w:rsidRDefault="003E1D2A" w:rsidP="003E1D2A">
            <w:pPr>
              <w:pStyle w:val="a7"/>
              <w:jc w:val="left"/>
              <w:rPr>
                <w:rFonts w:asciiTheme="minorEastAsia" w:eastAsiaTheme="minorEastAsia" w:hAnsiTheme="minorEastAsia"/>
                <w:b/>
                <w:bCs/>
                <w:color w:val="000000" w:themeColor="text1"/>
                <w:szCs w:val="24"/>
              </w:rPr>
            </w:pPr>
            <w:r w:rsidRPr="00687B52">
              <w:rPr>
                <w:rFonts w:asciiTheme="minorEastAsia" w:eastAsiaTheme="minorEastAsia" w:hAnsiTheme="minorEastAsia" w:hint="eastAsia"/>
                <w:b/>
                <w:bCs/>
                <w:color w:val="000000" w:themeColor="text1"/>
                <w:szCs w:val="24"/>
              </w:rPr>
              <w:t>油罐</w:t>
            </w: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3.1.1</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除橇装式加油装置所配置的防火防爆油罐外，加油站的汽油罐和柴油罐应埋地设置，严禁设在室内或地下室内。</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《汽车加油加气站设计与施工规范》GB50156-2012(2014年修改版)第6.1.1</w:t>
            </w:r>
          </w:p>
        </w:tc>
        <w:tc>
          <w:tcPr>
            <w:tcW w:w="851" w:type="pct"/>
            <w:vAlign w:val="center"/>
          </w:tcPr>
          <w:p w:rsidR="003E1D2A" w:rsidRPr="00687B52" w:rsidRDefault="003E1D2A" w:rsidP="003E1D2A">
            <w:pPr>
              <w:pStyle w:val="a7"/>
              <w:rPr>
                <w:rFonts w:asciiTheme="minorEastAsia" w:eastAsiaTheme="minorEastAsia" w:hAnsiTheme="minorEastAsia"/>
                <w:b/>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3.1.2</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汽车加油站的储油罐，应采用卧式油罐。</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《汽车加油加气站设计与施工规范》GB50156-2012(2014年修改版)第6.1.2</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3.1.3</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双层玻璃纤维增强塑料油罐的内、外层壁厚，以及内钢外玻璃纤维增强塑料双层油罐的外层壁厚，均不应小于</w:t>
            </w:r>
            <w:r w:rsidRPr="00687B52">
              <w:rPr>
                <w:rFonts w:asciiTheme="minorEastAsia" w:eastAsiaTheme="minorEastAsia" w:hAnsiTheme="minorEastAsia"/>
                <w:color w:val="000000" w:themeColor="text1"/>
                <w:szCs w:val="24"/>
              </w:rPr>
              <w:t>4mm</w:t>
            </w:r>
            <w:r w:rsidRPr="00687B52">
              <w:rPr>
                <w:rFonts w:asciiTheme="minorEastAsia" w:eastAsiaTheme="minorEastAsia" w:hAnsiTheme="minorEastAsia" w:hint="eastAsia"/>
                <w:color w:val="000000" w:themeColor="text1"/>
                <w:szCs w:val="24"/>
              </w:rPr>
              <w:t>。</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《汽车加油加气站设计与施工规范》GB50156-2012(2014年修改版)第6.1.5</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3.1.4</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双层钢制油罐、内钢外玻璃纤维增强塑料双层油罐和玻璃纤维增强塑料等非金属防渗衬里的双层油罐，应设渗漏检测立管，并应符合下列规定：</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1</w:t>
            </w:r>
            <w:r w:rsidRPr="00687B52">
              <w:rPr>
                <w:rFonts w:asciiTheme="minorEastAsia" w:eastAsiaTheme="minorEastAsia" w:hAnsiTheme="minorEastAsia" w:hint="eastAsia"/>
                <w:color w:val="000000" w:themeColor="text1"/>
                <w:szCs w:val="24"/>
              </w:rPr>
              <w:t>）检测立管应采用钢管，直径宜为</w:t>
            </w:r>
            <w:r w:rsidRPr="00687B52">
              <w:rPr>
                <w:rFonts w:asciiTheme="minorEastAsia" w:eastAsiaTheme="minorEastAsia" w:hAnsiTheme="minorEastAsia"/>
                <w:color w:val="000000" w:themeColor="text1"/>
                <w:szCs w:val="24"/>
              </w:rPr>
              <w:t>80mm</w:t>
            </w:r>
            <w:r w:rsidRPr="00687B52">
              <w:rPr>
                <w:rFonts w:asciiTheme="minorEastAsia" w:eastAsiaTheme="minorEastAsia" w:hAnsiTheme="minorEastAsia" w:hint="eastAsia"/>
                <w:color w:val="000000" w:themeColor="text1"/>
                <w:szCs w:val="24"/>
              </w:rPr>
              <w:t>，壁厚不宜小于</w:t>
            </w:r>
            <w:r w:rsidRPr="00687B52">
              <w:rPr>
                <w:rFonts w:asciiTheme="minorEastAsia" w:eastAsiaTheme="minorEastAsia" w:hAnsiTheme="minorEastAsia"/>
                <w:color w:val="000000" w:themeColor="text1"/>
                <w:szCs w:val="24"/>
              </w:rPr>
              <w:t>4mm</w:t>
            </w:r>
            <w:r w:rsidRPr="00687B52">
              <w:rPr>
                <w:rFonts w:asciiTheme="minorEastAsia" w:eastAsiaTheme="minorEastAsia" w:hAnsiTheme="minorEastAsia" w:hint="eastAsia"/>
                <w:color w:val="000000" w:themeColor="text1"/>
                <w:szCs w:val="24"/>
              </w:rPr>
              <w:t>。</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2</w:t>
            </w:r>
            <w:r w:rsidRPr="00687B52">
              <w:rPr>
                <w:rFonts w:asciiTheme="minorEastAsia" w:eastAsiaTheme="minorEastAsia" w:hAnsiTheme="minorEastAsia" w:hint="eastAsia"/>
                <w:color w:val="000000" w:themeColor="text1"/>
                <w:szCs w:val="24"/>
              </w:rPr>
              <w:t>）检测立管应位于油罐顶部的纵向中心线上。</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3</w:t>
            </w:r>
            <w:r w:rsidRPr="00687B52">
              <w:rPr>
                <w:rFonts w:asciiTheme="minorEastAsia" w:eastAsiaTheme="minorEastAsia" w:hAnsiTheme="minorEastAsia" w:hint="eastAsia"/>
                <w:color w:val="000000" w:themeColor="text1"/>
                <w:szCs w:val="24"/>
              </w:rPr>
              <w:t>）检测立管的底部管口应与油罐内、外壁间隙相连通，顶部管口应装防尘盖。</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4</w:t>
            </w:r>
            <w:r w:rsidRPr="00687B52">
              <w:rPr>
                <w:rFonts w:asciiTheme="minorEastAsia" w:eastAsiaTheme="minorEastAsia" w:hAnsiTheme="minorEastAsia" w:hint="eastAsia"/>
                <w:color w:val="000000" w:themeColor="text1"/>
                <w:szCs w:val="24"/>
              </w:rPr>
              <w:t>）检测立管应满足人工检测和在线监测的要求，并应保证油罐内、外壁任何部位出现渗漏均能被发现。</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《汽车加油加气站设计与施工规范》GB50156-2012(2014年修改版)第6.1.8</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3.1.5</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油罐应采用钢制人孔盖。</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《汽车加油加气站设计与施工规范》GB50156-2012(2014年修改版)第6.1.9</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3.1.6</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油罐设在非车行道下面时，罐顶的覆土厚度不应小于</w:t>
            </w:r>
            <w:r w:rsidRPr="00687B52">
              <w:rPr>
                <w:rFonts w:asciiTheme="minorEastAsia" w:eastAsiaTheme="minorEastAsia" w:hAnsiTheme="minorEastAsia"/>
                <w:color w:val="000000" w:themeColor="text1"/>
                <w:szCs w:val="24"/>
              </w:rPr>
              <w:t>0.5m</w:t>
            </w:r>
            <w:r w:rsidRPr="00687B52">
              <w:rPr>
                <w:rFonts w:asciiTheme="minorEastAsia" w:eastAsiaTheme="minorEastAsia" w:hAnsiTheme="minorEastAsia" w:hint="eastAsia"/>
                <w:color w:val="000000" w:themeColor="text1"/>
                <w:szCs w:val="24"/>
              </w:rPr>
              <w:t>；设在车行道下面时，罐顶低于路面不宜小于</w:t>
            </w:r>
            <w:r w:rsidRPr="00687B52">
              <w:rPr>
                <w:rFonts w:asciiTheme="minorEastAsia" w:eastAsiaTheme="minorEastAsia" w:hAnsiTheme="minorEastAsia"/>
                <w:color w:val="000000" w:themeColor="text1"/>
                <w:szCs w:val="24"/>
              </w:rPr>
              <w:t>0.9m</w:t>
            </w:r>
            <w:r w:rsidRPr="00687B52">
              <w:rPr>
                <w:rFonts w:asciiTheme="minorEastAsia" w:eastAsiaTheme="minorEastAsia" w:hAnsiTheme="minorEastAsia" w:hint="eastAsia"/>
                <w:color w:val="000000" w:themeColor="text1"/>
                <w:szCs w:val="24"/>
              </w:rPr>
              <w:t>。钢制油罐的周围应回填中性沙或细土，其厚度不应小于</w:t>
            </w:r>
            <w:r w:rsidRPr="00687B52">
              <w:rPr>
                <w:rFonts w:asciiTheme="minorEastAsia" w:eastAsiaTheme="minorEastAsia" w:hAnsiTheme="minorEastAsia"/>
                <w:color w:val="000000" w:themeColor="text1"/>
                <w:szCs w:val="24"/>
              </w:rPr>
              <w:t>0.3m</w:t>
            </w:r>
            <w:r w:rsidRPr="00687B52">
              <w:rPr>
                <w:rFonts w:asciiTheme="minorEastAsia" w:eastAsiaTheme="minorEastAsia" w:hAnsiTheme="minorEastAsia" w:hint="eastAsia"/>
                <w:color w:val="000000" w:themeColor="text1"/>
                <w:szCs w:val="24"/>
              </w:rPr>
              <w:t>；外层为玻璃纤维增强塑料材料的油罐，其回填料应符合产品说明书的要求。</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《汽车加油加气站设计与施工规范》GB50156-2012(2014年修改版)第6.1.10</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3.1.7</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hint="eastAsia"/>
                <w:color w:val="000000" w:themeColor="text1"/>
                <w:spacing w:val="10"/>
                <w:szCs w:val="24"/>
              </w:rPr>
              <w:t>当埋地油罐受地下水或雨水作用有上浮的可能时，应采取防止油罐上浮的措施。</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《汽车加油加气站设计与施工规范》GB50156-2012(2014年修改版)第6.1.11</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3.1.8</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埋地油罐的人孔应设操作井。设在行车道下面的人孔井应采用加油站车行道下专用的密闭井盖和井座。</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《汽车加油加气站设计与施工规范》GB50156-2012(2014年修改版)第6.1.12</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3.1.9</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油罐应采取卸油时的防满溢措施。油料达到油罐容量90%时，应能触动高液位报警装置；油料达到油罐容量95%时，应能自动停止油料继续进罐。高液位报警装置应位于工作人员便于觉察的地点。</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《汽车加油加气站设计与施工规范》GB50156-2012(2014年修改版)第6.1.13</w:t>
            </w:r>
          </w:p>
        </w:tc>
        <w:tc>
          <w:tcPr>
            <w:tcW w:w="851"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3.1.10</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设有油气回收系统的加油站，其站内油罐应设带有高液位报警功能的液位监测系统。单层油罐的液位监测系统尚应具备渗漏检测功能，其渗漏检测分辨率不宜大于</w:t>
            </w:r>
            <w:r w:rsidRPr="00687B52">
              <w:rPr>
                <w:rFonts w:asciiTheme="minorEastAsia" w:eastAsiaTheme="minorEastAsia" w:hAnsiTheme="minorEastAsia"/>
                <w:color w:val="000000" w:themeColor="text1"/>
                <w:szCs w:val="24"/>
              </w:rPr>
              <w:t>0.8 L/h</w:t>
            </w:r>
            <w:r w:rsidRPr="00687B52">
              <w:rPr>
                <w:rFonts w:asciiTheme="minorEastAsia" w:eastAsiaTheme="minorEastAsia" w:hAnsiTheme="minorEastAsia" w:hint="eastAsia"/>
                <w:color w:val="000000" w:themeColor="text1"/>
                <w:szCs w:val="24"/>
              </w:rPr>
              <w:t>。</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《汽车加油加气站设计与施工规范》GB50156-2012(2014年修改版)第6.1.14</w:t>
            </w:r>
          </w:p>
        </w:tc>
        <w:tc>
          <w:tcPr>
            <w:tcW w:w="851"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w:t>
            </w:r>
          </w:p>
        </w:tc>
        <w:tc>
          <w:tcPr>
            <w:tcW w:w="4667" w:type="pct"/>
            <w:gridSpan w:val="3"/>
            <w:vAlign w:val="center"/>
          </w:tcPr>
          <w:p w:rsidR="003E1D2A" w:rsidRPr="00687B52" w:rsidRDefault="003E1D2A" w:rsidP="008B4454">
            <w:pPr>
              <w:pStyle w:val="a7"/>
              <w:jc w:val="left"/>
              <w:rPr>
                <w:rFonts w:asciiTheme="minorEastAsia" w:eastAsiaTheme="minorEastAsia" w:hAnsiTheme="minorEastAsia"/>
                <w:b/>
                <w:bCs/>
                <w:color w:val="000000" w:themeColor="text1"/>
                <w:szCs w:val="24"/>
              </w:rPr>
            </w:pPr>
            <w:r w:rsidRPr="00687B52">
              <w:rPr>
                <w:rFonts w:asciiTheme="minorEastAsia" w:eastAsiaTheme="minorEastAsia" w:hAnsiTheme="minorEastAsia" w:hint="eastAsia"/>
                <w:b/>
                <w:bCs/>
                <w:color w:val="000000" w:themeColor="text1"/>
                <w:szCs w:val="24"/>
              </w:rPr>
              <w:t>自助加油站（区）</w:t>
            </w: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3.2.1</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自助加油站（区）应明显标示加油车辆引导线，并应在加油站车辆入口和加油岛处设置醒目的“自助”标识。</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《汽车加油加气站设计与施工规范》GB50156-2012(2014年修改版)第6.6.1</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3.2.2</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在加油岛和加油机附近的明显位置，应标示油品类别、标号以及安全警示。</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《汽车加油加气站设计与施工规范》GB50156-2012(2014年修改版)第6.6.2</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3.2.3</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不宜在同一加油车位上同时设置汽油、柴油两种加油功能。</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《汽车加油加气站设计与施工规范》GB50156-2012(2014年修改版)第6.6.3</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3.2.4</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自助加油机应符合下列规定：</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1</w:t>
            </w:r>
            <w:r w:rsidRPr="00687B52">
              <w:rPr>
                <w:rFonts w:asciiTheme="minorEastAsia" w:eastAsiaTheme="minorEastAsia" w:hAnsiTheme="minorEastAsia" w:hint="eastAsia"/>
                <w:color w:val="000000" w:themeColor="text1"/>
                <w:szCs w:val="24"/>
              </w:rPr>
              <w:t>）应设置释放静电装置。</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2</w:t>
            </w:r>
            <w:r w:rsidRPr="00687B52">
              <w:rPr>
                <w:rFonts w:asciiTheme="minorEastAsia" w:eastAsiaTheme="minorEastAsia" w:hAnsiTheme="minorEastAsia" w:hint="eastAsia"/>
                <w:color w:val="000000" w:themeColor="text1"/>
                <w:szCs w:val="24"/>
              </w:rPr>
              <w:t>）应标示自助加油操作说明。</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3</w:t>
            </w:r>
            <w:r w:rsidRPr="00687B52">
              <w:rPr>
                <w:rFonts w:asciiTheme="minorEastAsia" w:eastAsiaTheme="minorEastAsia" w:hAnsiTheme="minorEastAsia" w:hint="eastAsia"/>
                <w:color w:val="000000" w:themeColor="text1"/>
                <w:szCs w:val="24"/>
              </w:rPr>
              <w:t>）应具备音频提示系统，在提起加油枪后可提示油品品种、标号并进行操作指导。</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4</w:t>
            </w:r>
            <w:r w:rsidRPr="00687B52">
              <w:rPr>
                <w:rFonts w:asciiTheme="minorEastAsia" w:eastAsiaTheme="minorEastAsia" w:hAnsiTheme="minorEastAsia" w:hint="eastAsia"/>
                <w:color w:val="000000" w:themeColor="text1"/>
                <w:szCs w:val="24"/>
              </w:rPr>
              <w:t>）加油枪应设置当跌落时即自动停止加油作业的功能</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5</w:t>
            </w:r>
            <w:r w:rsidRPr="00687B52">
              <w:rPr>
                <w:rFonts w:asciiTheme="minorEastAsia" w:eastAsiaTheme="minorEastAsia" w:hAnsiTheme="minorEastAsia" w:hint="eastAsia"/>
                <w:color w:val="000000" w:themeColor="text1"/>
                <w:szCs w:val="24"/>
              </w:rPr>
              <w:t>）应设置紧急停机开关。</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《汽车加油加气站设计与施工规范》GB50156-2012(2014年修改版)第6.6.4</w:t>
            </w:r>
          </w:p>
        </w:tc>
        <w:tc>
          <w:tcPr>
            <w:tcW w:w="851"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3.2.5</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自助加油站应设置视频监视系统，该系统应能覆盖加油区、卸油区、人孔井、收银区、便利店等区域。视频设备不应因车辆遮挡而影响监视。</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《汽车加油加气站设计与施工规范》GB50156-2012(2014年修改版)第6.6.5</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3.2.6</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营业室内应设监控系统，该系统应具备下列监控功能：</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1</w:t>
            </w:r>
            <w:r w:rsidRPr="00687B52">
              <w:rPr>
                <w:rFonts w:asciiTheme="minorEastAsia" w:eastAsiaTheme="minorEastAsia" w:hAnsiTheme="minorEastAsia" w:hint="eastAsia"/>
                <w:color w:val="000000" w:themeColor="text1"/>
                <w:szCs w:val="24"/>
              </w:rPr>
              <w:t>）营业员可通过监控系统确认每台自助加油机的使用情况。</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2</w:t>
            </w:r>
            <w:r w:rsidRPr="00687B52">
              <w:rPr>
                <w:rFonts w:asciiTheme="minorEastAsia" w:eastAsiaTheme="minorEastAsia" w:hAnsiTheme="minorEastAsia" w:hint="eastAsia"/>
                <w:color w:val="000000" w:themeColor="text1"/>
                <w:szCs w:val="24"/>
              </w:rPr>
              <w:t>）可分别控制每台自助加油机的加油和停止状态。</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3</w:t>
            </w:r>
            <w:r w:rsidRPr="00687B52">
              <w:rPr>
                <w:rFonts w:asciiTheme="minorEastAsia" w:eastAsiaTheme="minorEastAsia" w:hAnsiTheme="minorEastAsia" w:hint="eastAsia"/>
                <w:color w:val="000000" w:themeColor="text1"/>
                <w:szCs w:val="24"/>
              </w:rPr>
              <w:t>）发生紧急情况可启动紧急切断开关停止所有加油机运行。</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4</w:t>
            </w:r>
            <w:r w:rsidRPr="00687B52">
              <w:rPr>
                <w:rFonts w:asciiTheme="minorEastAsia" w:eastAsiaTheme="minorEastAsia" w:hAnsiTheme="minorEastAsia" w:hint="eastAsia"/>
                <w:color w:val="000000" w:themeColor="text1"/>
                <w:szCs w:val="24"/>
              </w:rPr>
              <w:t>）可与顾客进行单独对话，指导其操作。</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5</w:t>
            </w:r>
            <w:r w:rsidRPr="00687B52">
              <w:rPr>
                <w:rFonts w:asciiTheme="minorEastAsia" w:eastAsiaTheme="minorEastAsia" w:hAnsiTheme="minorEastAsia" w:hint="eastAsia"/>
                <w:color w:val="000000" w:themeColor="text1"/>
                <w:szCs w:val="24"/>
              </w:rPr>
              <w:t>）对整个加油场地进行广播。</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《汽车加油加气站设计与施工规范》GB50156-2012(2014年修改版)第6.6.6</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3.2.7</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经营汽油的自助加油站，应设置加油油气回收系统。</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《汽车加油加气站设计与施工规范》GB50156-2012(2014年修改版)第6.6.7</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4</w:t>
            </w:r>
          </w:p>
        </w:tc>
        <w:tc>
          <w:tcPr>
            <w:tcW w:w="4667" w:type="pct"/>
            <w:gridSpan w:val="3"/>
            <w:vAlign w:val="center"/>
          </w:tcPr>
          <w:p w:rsidR="003E1D2A" w:rsidRPr="00687B52" w:rsidRDefault="003E1D2A" w:rsidP="003E1D2A">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电气系统</w:t>
            </w: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4.1</w:t>
            </w:r>
          </w:p>
        </w:tc>
        <w:tc>
          <w:tcPr>
            <w:tcW w:w="4667" w:type="pct"/>
            <w:gridSpan w:val="3"/>
            <w:vAlign w:val="center"/>
          </w:tcPr>
          <w:p w:rsidR="003E1D2A" w:rsidRPr="00687B52" w:rsidRDefault="003E1D2A" w:rsidP="003E1D2A">
            <w:pPr>
              <w:pStyle w:val="a7"/>
              <w:jc w:val="left"/>
              <w:rPr>
                <w:b/>
                <w:color w:val="000000" w:themeColor="text1"/>
                <w:sz w:val="28"/>
              </w:rPr>
            </w:pPr>
            <w:r w:rsidRPr="00687B52">
              <w:rPr>
                <w:rFonts w:hint="eastAsia"/>
                <w:b/>
                <w:color w:val="000000" w:themeColor="text1"/>
                <w:sz w:val="28"/>
              </w:rPr>
              <w:t>供配电</w:t>
            </w: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4.1.1</w:t>
            </w:r>
          </w:p>
        </w:tc>
        <w:tc>
          <w:tcPr>
            <w:tcW w:w="2579" w:type="pct"/>
            <w:vAlign w:val="center"/>
          </w:tcPr>
          <w:p w:rsidR="003E1D2A" w:rsidRPr="00687B52" w:rsidRDefault="003E1D2A" w:rsidP="003E1D2A">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color w:val="000000" w:themeColor="text1"/>
                <w:szCs w:val="24"/>
              </w:rPr>
              <w:t>加油站的供电负荷等级可为三级，信息系统应设不间断供电电源。</w:t>
            </w:r>
          </w:p>
        </w:tc>
        <w:tc>
          <w:tcPr>
            <w:tcW w:w="1237" w:type="pct"/>
            <w:vAlign w:val="center"/>
          </w:tcPr>
          <w:p w:rsidR="003E1D2A" w:rsidRPr="00687B52" w:rsidRDefault="003E1D2A" w:rsidP="003E1D2A">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《汽车加油加气站设计与施工规范》GB50156-2012(2014年修改版)第11.1.1</w:t>
            </w:r>
          </w:p>
        </w:tc>
        <w:tc>
          <w:tcPr>
            <w:tcW w:w="851" w:type="pct"/>
            <w:vAlign w:val="center"/>
          </w:tcPr>
          <w:p w:rsidR="003E1D2A" w:rsidRPr="00687B52" w:rsidRDefault="003E1D2A" w:rsidP="003E1D2A">
            <w:pPr>
              <w:pStyle w:val="a7"/>
              <w:rPr>
                <w:rFonts w:asciiTheme="minorEastAsia" w:eastAsiaTheme="minorEastAsia" w:hAnsiTheme="minorEastAsia"/>
                <w:b/>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4.1.2</w:t>
            </w:r>
          </w:p>
        </w:tc>
        <w:tc>
          <w:tcPr>
            <w:tcW w:w="2579" w:type="pct"/>
            <w:vAlign w:val="center"/>
          </w:tcPr>
          <w:p w:rsidR="003E1D2A" w:rsidRPr="00687B52" w:rsidRDefault="003E1D2A" w:rsidP="003E1D2A">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color w:val="000000" w:themeColor="text1"/>
                <w:szCs w:val="24"/>
              </w:rPr>
              <w:t>加油站的供电系统应设独立的计量装置。</w:t>
            </w:r>
          </w:p>
        </w:tc>
        <w:tc>
          <w:tcPr>
            <w:tcW w:w="1237" w:type="pct"/>
            <w:vAlign w:val="center"/>
          </w:tcPr>
          <w:p w:rsidR="003E1D2A" w:rsidRPr="00687B52" w:rsidRDefault="003E1D2A" w:rsidP="003E1D2A">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《汽车加油加气站设计与施工规范》GB50156-2012(2014年修改版)第11.1.2</w:t>
            </w:r>
          </w:p>
        </w:tc>
        <w:tc>
          <w:tcPr>
            <w:tcW w:w="851" w:type="pct"/>
            <w:vAlign w:val="center"/>
          </w:tcPr>
          <w:p w:rsidR="003E1D2A" w:rsidRPr="00687B52" w:rsidRDefault="003E1D2A" w:rsidP="003E1D2A">
            <w:pPr>
              <w:pStyle w:val="a7"/>
              <w:rPr>
                <w:rFonts w:asciiTheme="minorEastAsia" w:eastAsiaTheme="minorEastAsia" w:hAnsiTheme="minorEastAsia"/>
                <w:b/>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4.1.3</w:t>
            </w:r>
          </w:p>
        </w:tc>
        <w:tc>
          <w:tcPr>
            <w:tcW w:w="2579"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加油站及加油加气合建站的消防泵房、罩棚、营业室、压缩机间等处，均应设事故照明。</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《汽车加油加气站设计与施工规范》GB50156-2012(2014年修改版)第11.1.3</w:t>
            </w:r>
          </w:p>
        </w:tc>
        <w:tc>
          <w:tcPr>
            <w:tcW w:w="851" w:type="pct"/>
            <w:vAlign w:val="center"/>
          </w:tcPr>
          <w:p w:rsidR="003E1D2A" w:rsidRPr="00687B52" w:rsidRDefault="003E1D2A" w:rsidP="003E1D2A">
            <w:pPr>
              <w:pStyle w:val="a7"/>
              <w:rPr>
                <w:rFonts w:asciiTheme="minorEastAsia" w:eastAsiaTheme="minorEastAsia" w:hAnsiTheme="minorEastAsia"/>
                <w:b/>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4.1.4</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当引用外电源有困难时，加油站可设置小型内燃发电机组。内燃机的排烟管口，应安装阻火器。排烟管口至各爆炸危险区域边界的水平距离，应符合下列规定：</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1）排烟口高出地面4.5m以下时，不应小于5m。</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2）排烟口高出地面4.5m及以上时，不应小于3m。</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《汽车加油加气站设计与施工规范》GB50156-2012(2014年修改版)第11.1.4</w:t>
            </w:r>
          </w:p>
        </w:tc>
        <w:tc>
          <w:tcPr>
            <w:tcW w:w="851"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4.1.5</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加油站的电力线路宜采用电缆并直埋敷设。电缆穿越行车道部分，应穿钢管保护。</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《汽车加油加气站设计与施工规范》GB50156-2012(2014年修改版)第11.1.5</w:t>
            </w:r>
          </w:p>
        </w:tc>
        <w:tc>
          <w:tcPr>
            <w:tcW w:w="851"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4.1.6</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当采用电缆沟敷设电缆时，加油加气作业区内的电缆沟内必须充沙填实。电缆不得与油品管道以及热力管道敷设在同一沟内。</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《汽车加油加气站设计与施工规范》GB50156-2012(2014年修改版)第11.1.6</w:t>
            </w:r>
          </w:p>
        </w:tc>
        <w:tc>
          <w:tcPr>
            <w:tcW w:w="851" w:type="pct"/>
            <w:vAlign w:val="center"/>
          </w:tcPr>
          <w:p w:rsidR="003E1D2A" w:rsidRPr="00687B52" w:rsidRDefault="003E1D2A" w:rsidP="003E1D2A">
            <w:pPr>
              <w:pStyle w:val="a7"/>
              <w:rPr>
                <w:rFonts w:asciiTheme="minorEastAsia" w:eastAsiaTheme="minorEastAsia" w:hAnsiTheme="minorEastAsia"/>
                <w:b/>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4.1.7</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加油站内爆炸危险区域以外的照明灯具，可选用非防爆型。罩棚下处于非爆炸危险区域的灯具，应选用防护等级不低于IP44级的照明灯具。</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《汽车加油加气站设计与施工规范》GB50156-2012(2014年修改版)第11.1.8</w:t>
            </w:r>
          </w:p>
        </w:tc>
        <w:tc>
          <w:tcPr>
            <w:tcW w:w="851"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p>
        </w:tc>
      </w:tr>
      <w:tr w:rsidR="003E1D2A" w:rsidRPr="00687B52" w:rsidTr="008B4454">
        <w:trPr>
          <w:trHeight w:val="667"/>
          <w:jc w:val="center"/>
        </w:trPr>
        <w:tc>
          <w:tcPr>
            <w:tcW w:w="333" w:type="pct"/>
            <w:vAlign w:val="center"/>
          </w:tcPr>
          <w:p w:rsidR="003E1D2A" w:rsidRPr="00687B52" w:rsidRDefault="003E1D2A" w:rsidP="008B4454">
            <w:pPr>
              <w:pStyle w:val="a7"/>
              <w:rPr>
                <w:rFonts w:asciiTheme="minorEastAsia" w:eastAsiaTheme="minorEastAsia" w:hAnsiTheme="minorEastAsia"/>
                <w:b/>
                <w:bCs/>
                <w:color w:val="000000" w:themeColor="text1"/>
                <w:szCs w:val="24"/>
              </w:rPr>
            </w:pPr>
            <w:r w:rsidRPr="00687B52">
              <w:rPr>
                <w:rFonts w:asciiTheme="minorEastAsia" w:eastAsiaTheme="minorEastAsia" w:hAnsiTheme="minorEastAsia" w:hint="eastAsia"/>
                <w:b/>
                <w:bCs/>
                <w:color w:val="000000" w:themeColor="text1"/>
                <w:szCs w:val="24"/>
              </w:rPr>
              <w:t>4.2</w:t>
            </w:r>
          </w:p>
        </w:tc>
        <w:tc>
          <w:tcPr>
            <w:tcW w:w="4667" w:type="pct"/>
            <w:gridSpan w:val="3"/>
            <w:vAlign w:val="center"/>
          </w:tcPr>
          <w:p w:rsidR="003E1D2A" w:rsidRPr="00687B52" w:rsidRDefault="003E1D2A" w:rsidP="003E1D2A">
            <w:pPr>
              <w:pStyle w:val="a7"/>
              <w:jc w:val="left"/>
              <w:rPr>
                <w:b/>
                <w:color w:val="000000" w:themeColor="text1"/>
                <w:sz w:val="28"/>
              </w:rPr>
            </w:pPr>
            <w:r w:rsidRPr="00687B52">
              <w:rPr>
                <w:rFonts w:hint="eastAsia"/>
                <w:b/>
                <w:color w:val="000000" w:themeColor="text1"/>
                <w:sz w:val="28"/>
              </w:rPr>
              <w:t>防雷、防静电</w:t>
            </w: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4.2.1</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钢制油罐必须进行防雷接地，接地点不应少于两处。</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《汽车加油加气站设计与施工规范》GB50156-2012(2014年修改版)第11.2.1</w:t>
            </w:r>
          </w:p>
        </w:tc>
        <w:tc>
          <w:tcPr>
            <w:tcW w:w="851" w:type="pct"/>
            <w:vAlign w:val="center"/>
          </w:tcPr>
          <w:p w:rsidR="003E1D2A" w:rsidRPr="00687B52" w:rsidRDefault="003E1D2A" w:rsidP="003E1D2A">
            <w:pPr>
              <w:pStyle w:val="a7"/>
              <w:rPr>
                <w:rFonts w:asciiTheme="minorEastAsia" w:eastAsiaTheme="minorEastAsia" w:hAnsiTheme="minorEastAsia"/>
                <w:b/>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4.2.2</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加油站的电气接地应符合下列规定：</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1）防雷接地、防静电接地、电气设备的工作接地、保护接地及信息系统的接地等，宜共用接地装置，其接地电阻应按其中接地电阻值要求最小的接地电阻值确定。</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2）当各自单独设置接地装置时，油罐的防雷接地装置的接地电阻、配线电缆金属外皮两端和保护钢管两端的接地装置的接地电阻，不应大于10Ω，电气系统的工作和保护接地电阻不应大于4Ω，地上油品的接地装置的接地电阻，不应大于30Ω。</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《汽车加油加气站设计与施工规范》GB50156-2012(2014年修改版)第11.2.2</w:t>
            </w:r>
          </w:p>
        </w:tc>
        <w:tc>
          <w:tcPr>
            <w:tcW w:w="851"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4.2.3</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埋地钢制油罐以及非金属油罐顶部的金属部件和罐内的各金属部件，应与非埋地部分的工艺金属管道相互做电气连接并接地。</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《汽车加油加气站设计与施工规范》GB50156-2012(2014年修改版)第11.2.4</w:t>
            </w:r>
          </w:p>
        </w:tc>
        <w:tc>
          <w:tcPr>
            <w:tcW w:w="851" w:type="pct"/>
            <w:vAlign w:val="center"/>
          </w:tcPr>
          <w:p w:rsidR="003E1D2A" w:rsidRPr="00687B52" w:rsidRDefault="003E1D2A" w:rsidP="003E1D2A">
            <w:pPr>
              <w:pStyle w:val="a7"/>
              <w:rPr>
                <w:rFonts w:asciiTheme="minorEastAsia" w:eastAsiaTheme="minorEastAsia" w:hAnsiTheme="minorEastAsia"/>
                <w:b/>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4.2.4</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加油站内油气放散管在接入全站共用接地装置后，可不单独做防雷接地。</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《汽车加油加气站设计与施工规范》GB50156-2012(2014年修改版)第11.2.5</w:t>
            </w:r>
          </w:p>
        </w:tc>
        <w:tc>
          <w:tcPr>
            <w:tcW w:w="851"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4.2.5</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当加油站内的站房和罩棚等建筑物需要防直击雷时，应采用避雷带（网）保护。当罩棚采用金属屋面时,宜利用屋面作为接闪器，但应符合下列规定：</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1）板间的连接应是持久的电气贯通，可采用铜锌合金焊、熔焊、卷边压接、缝接、螺钉或螺栓连接。</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2）金属板下面不应有易燃物品，热镀锌钢板的厚度不应小于0.5mm,铝板的厚度不应小于0.65mm, 锌板的厚度不应小于0.7mm。</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3）金属板应无绝缘被覆层。</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《汽车加油加气站设计与施工规范》GB50156-2012(2014年修改版)第11.2.6</w:t>
            </w:r>
          </w:p>
        </w:tc>
        <w:tc>
          <w:tcPr>
            <w:tcW w:w="851"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4.2.6</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加油站的信息系统应采用铠装电缆或导线穿钢管配线。配线电缆金属外皮两端、保护钢管两端均应接地。</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《汽车加油加气站设计与施工规范》GB50156-2012(2014年修改版)第11.2.7</w:t>
            </w:r>
          </w:p>
        </w:tc>
        <w:tc>
          <w:tcPr>
            <w:tcW w:w="851"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4.2.7</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加油站信息系统的配电线路首、末端与电子器件连接时，应装设与电子器件耐压水平相适应的过电压（电涌）保护器。</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《汽车加油加气站设计与施工规范》GB50156-2012(2014年修改版)第11.2.8</w:t>
            </w:r>
          </w:p>
        </w:tc>
        <w:tc>
          <w:tcPr>
            <w:tcW w:w="851"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4.2.8</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380/220V供配电系统宜采用TN—S系统，当外供电源为380V时，可采用TN—C—S系统。供电系统的电缆金属外皮或电缆金属保护管两端均应接地，在供配电系统的电源端应安装与设备耐压水平相适应的过电压（电涌）保护器。</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《汽车加油加气站设计与施工规范》GB50156-2012(2014年修改版)第11.2.9</w:t>
            </w:r>
          </w:p>
        </w:tc>
        <w:tc>
          <w:tcPr>
            <w:tcW w:w="851"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4.2.9</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地上或管沟敷设的油品管道，应设防静电和防感应雷的共用接地装置，其接地电阻不应大于30Ω。</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《汽车加油加气站设计与施工规范》GB50156-2012(2014年修改版)第11.2.10</w:t>
            </w:r>
          </w:p>
        </w:tc>
        <w:tc>
          <w:tcPr>
            <w:tcW w:w="851"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4.2.10</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加油站的汽油罐车卸车场地，应设卸车或卸气时用的防静电接地装置，并应设置能检测跨接线及监视接地装置状态的静电接地仪。</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《汽车加油加气站设计与施工规范》GB50156-2012(2014年修改版)第11.2.11</w:t>
            </w:r>
          </w:p>
        </w:tc>
        <w:tc>
          <w:tcPr>
            <w:tcW w:w="851"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4.2.11</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在爆炸危险区域内工艺管道上的法兰、胶管两端等连接处，应用金属线跨接。当法兰的连接螺栓不少于5根时，在非腐蚀环境下可不跨接。</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《汽车加油加气站设计与施工规范》GB50156-2012(2014年修改版)第11.2.12</w:t>
            </w:r>
          </w:p>
        </w:tc>
        <w:tc>
          <w:tcPr>
            <w:tcW w:w="851"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4.2.12</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油罐车卸油用的卸油软管、油气回收软管与两端接头，应保证可靠的电气连接。</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《汽车加油加气站设计与施工规范》GB50156-2012(2014年修改版)第11.2.13</w:t>
            </w:r>
          </w:p>
        </w:tc>
        <w:tc>
          <w:tcPr>
            <w:tcW w:w="851"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4.2.13</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采用导静电的热塑性塑料管道时，导电内衬应接地；采用不导静电的热塑性塑料管道时，不埋地部分的热熔连接件应保证长期可靠的接地，也可采用专用的密封帽将连接管件的电熔插孔密封，管道或接头的其他导电部件也应接地。</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《汽车加油加气站设计与施工规范》GB50156-2012(2014年修改版)第11.2.14</w:t>
            </w:r>
          </w:p>
        </w:tc>
        <w:tc>
          <w:tcPr>
            <w:tcW w:w="851"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4.2.14</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防静电接地装置的接地电阻不应大于100Ω。</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《汽车加油加气站设计与施工规范》GB50156-2012(2014年修改版)第11.2.15</w:t>
            </w:r>
          </w:p>
        </w:tc>
        <w:tc>
          <w:tcPr>
            <w:tcW w:w="851"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4.2.15</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油品罐车卸车场地内用于防静电跨接的固定接地装置，不应设置在爆炸危险1区。</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《汽车加油加气站设计与施工规范》GB50156-2012(2014年修改版)第11.2.16</w:t>
            </w:r>
          </w:p>
        </w:tc>
        <w:tc>
          <w:tcPr>
            <w:tcW w:w="851"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
                <w:bCs/>
                <w:color w:val="000000" w:themeColor="text1"/>
                <w:szCs w:val="24"/>
              </w:rPr>
            </w:pPr>
            <w:r w:rsidRPr="00687B52">
              <w:rPr>
                <w:rFonts w:asciiTheme="minorEastAsia" w:eastAsiaTheme="minorEastAsia" w:hAnsiTheme="minorEastAsia" w:hint="eastAsia"/>
                <w:b/>
                <w:bCs/>
                <w:color w:val="000000" w:themeColor="text1"/>
                <w:szCs w:val="24"/>
              </w:rPr>
              <w:t>4.3</w:t>
            </w:r>
          </w:p>
        </w:tc>
        <w:tc>
          <w:tcPr>
            <w:tcW w:w="4667" w:type="pct"/>
            <w:gridSpan w:val="3"/>
            <w:vAlign w:val="center"/>
          </w:tcPr>
          <w:p w:rsidR="003E1D2A" w:rsidRPr="00687B52" w:rsidRDefault="003E1D2A" w:rsidP="003E1D2A">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充电设施</w:t>
            </w: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4.3.1</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户外安装的充电设备的基础应高于所在地坪200mm。</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《汽车加油加气站设计与施工规范》GB50156-2012(2014年修改版)第11.3.1</w:t>
            </w:r>
          </w:p>
        </w:tc>
        <w:tc>
          <w:tcPr>
            <w:tcW w:w="851"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4.3.2</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户外安装的直流充电机、直流充电桩和交流充电桩的防护等级，应为IP54。</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《汽车加油加气站设计与施工规范》GB50156-2012(2014年修改版)第11.3.2</w:t>
            </w:r>
          </w:p>
        </w:tc>
        <w:tc>
          <w:tcPr>
            <w:tcW w:w="851"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4.3.3</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直流充电机、直流或交流充电桩与站内汽车通道（或充电车位）相邻一侧，应设置车挡或防撞（柱）栏，防撞（柱）栏的高度不应小于0.5m。</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《汽车加油加气站设计与施工规范》GB50156-2012(2014年修改版)第11.3.3</w:t>
            </w:r>
          </w:p>
        </w:tc>
        <w:tc>
          <w:tcPr>
            <w:tcW w:w="851"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5</w:t>
            </w:r>
          </w:p>
        </w:tc>
        <w:tc>
          <w:tcPr>
            <w:tcW w:w="4667" w:type="pct"/>
            <w:gridSpan w:val="3"/>
            <w:vAlign w:val="center"/>
          </w:tcPr>
          <w:p w:rsidR="003E1D2A" w:rsidRPr="00687B52" w:rsidRDefault="003E1D2A" w:rsidP="003E1D2A">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仪表系统</w:t>
            </w: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5.1</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双层油罐、防渗罐池的渗漏检测宜采用在线监测系统。采用液体传感器监测时，传感器的检测精度不应大于</w:t>
            </w:r>
            <w:r w:rsidRPr="00687B52">
              <w:rPr>
                <w:rFonts w:asciiTheme="minorEastAsia" w:eastAsiaTheme="minorEastAsia" w:hAnsiTheme="minorEastAsia"/>
                <w:color w:val="000000" w:themeColor="text1"/>
                <w:szCs w:val="24"/>
              </w:rPr>
              <w:t>3.5mm</w:t>
            </w:r>
            <w:r w:rsidRPr="00687B52">
              <w:rPr>
                <w:rFonts w:asciiTheme="minorEastAsia" w:eastAsiaTheme="minorEastAsia" w:hAnsiTheme="minorEastAsia" w:hint="eastAsia"/>
                <w:color w:val="000000" w:themeColor="text1"/>
                <w:szCs w:val="24"/>
              </w:rPr>
              <w:t>。</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《汽车加油加气站设计与施工规范》GB50156-2012(2014年修改版)第6.5.7</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6</w:t>
            </w:r>
          </w:p>
        </w:tc>
        <w:tc>
          <w:tcPr>
            <w:tcW w:w="4667" w:type="pct"/>
            <w:gridSpan w:val="3"/>
            <w:vAlign w:val="center"/>
          </w:tcPr>
          <w:p w:rsidR="003E1D2A" w:rsidRPr="00687B52" w:rsidRDefault="003E1D2A" w:rsidP="003E1D2A">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储运系统</w:t>
            </w: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6.1</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油罐车卸油必须采用密闭卸油方式。</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《汽车加油加气站设计与施工规范》GB50156-2012(2014年修改版)第6.3.1</w:t>
            </w:r>
          </w:p>
        </w:tc>
        <w:tc>
          <w:tcPr>
            <w:tcW w:w="851" w:type="pct"/>
            <w:vAlign w:val="center"/>
          </w:tcPr>
          <w:p w:rsidR="003E1D2A" w:rsidRPr="00687B52" w:rsidRDefault="003E1D2A" w:rsidP="003E1D2A">
            <w:pPr>
              <w:pStyle w:val="a7"/>
              <w:rPr>
                <w:rFonts w:asciiTheme="minorEastAsia" w:eastAsiaTheme="minorEastAsia" w:hAnsiTheme="minorEastAsia"/>
                <w:b/>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6.2</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每个油罐应各自设置卸油管道和卸油接口。各卸油接口及油气回收接口，应有明显的标识。</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《汽车加油加气站设计与施工规范》GB50156-2012(2014年修改版)第6.3.2</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6.3</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卸油接口应装设快速接头及密封盖。</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《汽车加油加气站设计与施工规范》GB50156-2012(2014年修改版)第6.3.3</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6.4</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加油站采用卸油油气回收系统时，其设计应符合下列规定：</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1</w:t>
            </w:r>
            <w:r w:rsidRPr="00687B52">
              <w:rPr>
                <w:rFonts w:asciiTheme="minorEastAsia" w:eastAsiaTheme="minorEastAsia" w:hAnsiTheme="minorEastAsia" w:hint="eastAsia"/>
                <w:color w:val="000000" w:themeColor="text1"/>
                <w:szCs w:val="24"/>
              </w:rPr>
              <w:t>)汽油罐车向站内油罐卸油应采用平衡式密闭油气回收系统。</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2</w:t>
            </w:r>
            <w:r w:rsidRPr="00687B52">
              <w:rPr>
                <w:rFonts w:asciiTheme="minorEastAsia" w:eastAsiaTheme="minorEastAsia" w:hAnsiTheme="minorEastAsia" w:hint="eastAsia"/>
                <w:color w:val="000000" w:themeColor="text1"/>
                <w:szCs w:val="24"/>
              </w:rPr>
              <w:t>)各汽油罐可共用一根卸油油气回收主管，回收主管的公称直径不宜小于</w:t>
            </w:r>
            <w:r w:rsidRPr="00687B52">
              <w:rPr>
                <w:rFonts w:asciiTheme="minorEastAsia" w:eastAsiaTheme="minorEastAsia" w:hAnsiTheme="minorEastAsia"/>
                <w:color w:val="000000" w:themeColor="text1"/>
                <w:szCs w:val="24"/>
              </w:rPr>
              <w:t>80mm</w:t>
            </w:r>
            <w:r w:rsidRPr="00687B52">
              <w:rPr>
                <w:rFonts w:asciiTheme="minorEastAsia" w:eastAsiaTheme="minorEastAsia" w:hAnsiTheme="minorEastAsia" w:hint="eastAsia"/>
                <w:color w:val="000000" w:themeColor="text1"/>
                <w:szCs w:val="24"/>
              </w:rPr>
              <w:t>。</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3</w:t>
            </w:r>
            <w:r w:rsidRPr="00687B52">
              <w:rPr>
                <w:rFonts w:asciiTheme="minorEastAsia" w:eastAsiaTheme="minorEastAsia" w:hAnsiTheme="minorEastAsia" w:hint="eastAsia"/>
                <w:color w:val="000000" w:themeColor="text1"/>
                <w:szCs w:val="24"/>
              </w:rPr>
              <w:t>)卸油油气回收管道的接口宜采用自闭式快速接头。采用非自闭式快速接头时，应在靠近快速接头的连接管道上装设阀门。</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《汽车加油加气站设计与施工规范》GB50156-2012(2014年修改版)第6.3.4</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6.5</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加油站宜采用油罐装设潜油泵的一泵供多机（枪）的加油工艺。采用自吸式加油机时，每台加油机应按加油品种单独设置进油管和罐内底阀。</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《汽车加油加气站设计与施工规范》GB50156-2012(2014年修改版)第6.3.5</w:t>
            </w:r>
          </w:p>
        </w:tc>
        <w:tc>
          <w:tcPr>
            <w:tcW w:w="851"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6.6</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加油站采用加油油气回收系统时，其设计应符合下列规定：</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1</w:t>
            </w:r>
            <w:r w:rsidRPr="00687B52">
              <w:rPr>
                <w:rFonts w:asciiTheme="minorEastAsia" w:eastAsiaTheme="minorEastAsia" w:hAnsiTheme="minorEastAsia" w:hint="eastAsia"/>
                <w:color w:val="000000" w:themeColor="text1"/>
                <w:szCs w:val="24"/>
              </w:rPr>
              <w:t>）应采用真空辅助式油气回收系统。</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2</w:t>
            </w:r>
            <w:r w:rsidRPr="00687B52">
              <w:rPr>
                <w:rFonts w:asciiTheme="minorEastAsia" w:eastAsiaTheme="minorEastAsia" w:hAnsiTheme="minorEastAsia" w:hint="eastAsia"/>
                <w:color w:val="000000" w:themeColor="text1"/>
                <w:szCs w:val="24"/>
              </w:rPr>
              <w:t>）汽油加油机与油罐之间应设油气回收管道，多台汽油加油机可共用</w:t>
            </w:r>
            <w:r w:rsidRPr="00687B52">
              <w:rPr>
                <w:rFonts w:asciiTheme="minorEastAsia" w:eastAsiaTheme="minorEastAsia" w:hAnsiTheme="minorEastAsia"/>
                <w:color w:val="000000" w:themeColor="text1"/>
                <w:szCs w:val="24"/>
              </w:rPr>
              <w:t>1</w:t>
            </w:r>
            <w:r w:rsidRPr="00687B52">
              <w:rPr>
                <w:rFonts w:asciiTheme="minorEastAsia" w:eastAsiaTheme="minorEastAsia" w:hAnsiTheme="minorEastAsia" w:hint="eastAsia"/>
                <w:color w:val="000000" w:themeColor="text1"/>
                <w:szCs w:val="24"/>
              </w:rPr>
              <w:t>根油气回收主管，油气回收主管的公称直径不应小于</w:t>
            </w:r>
            <w:r w:rsidRPr="00687B52">
              <w:rPr>
                <w:rFonts w:asciiTheme="minorEastAsia" w:eastAsiaTheme="minorEastAsia" w:hAnsiTheme="minorEastAsia"/>
                <w:color w:val="000000" w:themeColor="text1"/>
                <w:szCs w:val="24"/>
              </w:rPr>
              <w:t>50mm</w:t>
            </w:r>
            <w:r w:rsidRPr="00687B52">
              <w:rPr>
                <w:rFonts w:asciiTheme="minorEastAsia" w:eastAsiaTheme="minorEastAsia" w:hAnsiTheme="minorEastAsia" w:hint="eastAsia"/>
                <w:color w:val="000000" w:themeColor="text1"/>
                <w:szCs w:val="24"/>
              </w:rPr>
              <w:t>。</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3</w:t>
            </w:r>
            <w:r w:rsidRPr="00687B52">
              <w:rPr>
                <w:rFonts w:asciiTheme="minorEastAsia" w:eastAsiaTheme="minorEastAsia" w:hAnsiTheme="minorEastAsia" w:hint="eastAsia"/>
                <w:color w:val="000000" w:themeColor="text1"/>
                <w:szCs w:val="24"/>
              </w:rPr>
              <w:t>）加油油气回收系统应采取防止油气反向流至加油枪的措施。</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4</w:t>
            </w:r>
            <w:r w:rsidRPr="00687B52">
              <w:rPr>
                <w:rFonts w:asciiTheme="minorEastAsia" w:eastAsiaTheme="minorEastAsia" w:hAnsiTheme="minorEastAsia" w:hint="eastAsia"/>
                <w:color w:val="000000" w:themeColor="text1"/>
                <w:szCs w:val="24"/>
              </w:rPr>
              <w:t>）加油机应具备回收油气功能，其气液比宜设定为</w:t>
            </w:r>
            <w:r w:rsidRPr="00687B52">
              <w:rPr>
                <w:rFonts w:asciiTheme="minorEastAsia" w:eastAsiaTheme="minorEastAsia" w:hAnsiTheme="minorEastAsia"/>
                <w:color w:val="000000" w:themeColor="text1"/>
                <w:szCs w:val="24"/>
              </w:rPr>
              <w:t>1.0</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1.2</w:t>
            </w:r>
            <w:r w:rsidRPr="00687B52">
              <w:rPr>
                <w:rFonts w:asciiTheme="minorEastAsia" w:eastAsiaTheme="minorEastAsia" w:hAnsiTheme="minorEastAsia" w:hint="eastAsia"/>
                <w:color w:val="000000" w:themeColor="text1"/>
                <w:szCs w:val="24"/>
              </w:rPr>
              <w:t>。</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5</w:t>
            </w:r>
            <w:r w:rsidRPr="00687B52">
              <w:rPr>
                <w:rFonts w:asciiTheme="minorEastAsia" w:eastAsiaTheme="minorEastAsia" w:hAnsiTheme="minorEastAsia" w:hint="eastAsia"/>
                <w:color w:val="000000" w:themeColor="text1"/>
                <w:szCs w:val="24"/>
              </w:rPr>
              <w:t>）在加油机底部与油气回收立管的连接处</w:t>
            </w:r>
            <w:r w:rsidRPr="00687B52">
              <w:rPr>
                <w:rFonts w:asciiTheme="minorEastAsia" w:eastAsiaTheme="minorEastAsia" w:hAnsiTheme="minorEastAsia"/>
                <w:color w:val="000000" w:themeColor="text1"/>
                <w:szCs w:val="24"/>
              </w:rPr>
              <w:t>,</w:t>
            </w:r>
            <w:r w:rsidRPr="00687B52">
              <w:rPr>
                <w:rFonts w:asciiTheme="minorEastAsia" w:eastAsiaTheme="minorEastAsia" w:hAnsiTheme="minorEastAsia" w:hint="eastAsia"/>
                <w:color w:val="000000" w:themeColor="text1"/>
                <w:szCs w:val="24"/>
              </w:rPr>
              <w:t>应安装一个用于检测液阻和系统密闭性的丝接三通，其旁通短管上应设公称直径为</w:t>
            </w:r>
            <w:r w:rsidRPr="00687B52">
              <w:rPr>
                <w:rFonts w:asciiTheme="minorEastAsia" w:eastAsiaTheme="minorEastAsia" w:hAnsiTheme="minorEastAsia"/>
                <w:color w:val="000000" w:themeColor="text1"/>
                <w:szCs w:val="24"/>
              </w:rPr>
              <w:t>25mm</w:t>
            </w:r>
            <w:r w:rsidRPr="00687B52">
              <w:rPr>
                <w:rFonts w:asciiTheme="minorEastAsia" w:eastAsiaTheme="minorEastAsia" w:hAnsiTheme="minorEastAsia" w:hint="eastAsia"/>
                <w:color w:val="000000" w:themeColor="text1"/>
                <w:szCs w:val="24"/>
              </w:rPr>
              <w:t>的球阀及丝堵。</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《汽车加油加气站设计与施工规范》GB50156-2012(2014年修改版)第6.3.6</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6.7</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油罐的接合管设置应符合下列规定：</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1</w:t>
            </w:r>
            <w:r w:rsidRPr="00687B52">
              <w:rPr>
                <w:rFonts w:asciiTheme="minorEastAsia" w:eastAsiaTheme="minorEastAsia" w:hAnsiTheme="minorEastAsia" w:hint="eastAsia"/>
                <w:color w:val="000000" w:themeColor="text1"/>
                <w:szCs w:val="24"/>
              </w:rPr>
              <w:t>)接合管应为金属材质。</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2</w:t>
            </w:r>
            <w:r w:rsidRPr="00687B52">
              <w:rPr>
                <w:rFonts w:asciiTheme="minorEastAsia" w:eastAsiaTheme="minorEastAsia" w:hAnsiTheme="minorEastAsia" w:hint="eastAsia"/>
                <w:color w:val="000000" w:themeColor="text1"/>
                <w:szCs w:val="24"/>
              </w:rPr>
              <w:t>)接合管应设在油罐的顶部，其中进油接合管、出油接合管或潜油泵安装口，应设在人孔盖上。</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3</w:t>
            </w:r>
            <w:r w:rsidRPr="00687B52">
              <w:rPr>
                <w:rFonts w:asciiTheme="minorEastAsia" w:eastAsiaTheme="minorEastAsia" w:hAnsiTheme="minorEastAsia" w:hint="eastAsia"/>
                <w:color w:val="000000" w:themeColor="text1"/>
                <w:szCs w:val="24"/>
              </w:rPr>
              <w:t>)进油管应伸至罐内距罐底</w:t>
            </w:r>
            <w:r w:rsidRPr="00687B52">
              <w:rPr>
                <w:rFonts w:asciiTheme="minorEastAsia" w:eastAsiaTheme="minorEastAsia" w:hAnsiTheme="minorEastAsia"/>
                <w:color w:val="000000" w:themeColor="text1"/>
                <w:szCs w:val="24"/>
              </w:rPr>
              <w:t>50mm</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 xml:space="preserve">100mm </w:t>
            </w:r>
            <w:r w:rsidRPr="00687B52">
              <w:rPr>
                <w:rFonts w:asciiTheme="minorEastAsia" w:eastAsiaTheme="minorEastAsia" w:hAnsiTheme="minorEastAsia" w:hint="eastAsia"/>
                <w:color w:val="000000" w:themeColor="text1"/>
                <w:szCs w:val="24"/>
              </w:rPr>
              <w:t>处。进油立管的底端应为</w:t>
            </w:r>
            <w:r w:rsidRPr="00687B52">
              <w:rPr>
                <w:rFonts w:asciiTheme="minorEastAsia" w:eastAsiaTheme="minorEastAsia" w:hAnsiTheme="minorEastAsia"/>
                <w:color w:val="000000" w:themeColor="text1"/>
                <w:szCs w:val="24"/>
              </w:rPr>
              <w:t>45</w:t>
            </w:r>
            <w:r w:rsidRPr="00687B52">
              <w:rPr>
                <w:rFonts w:asciiTheme="minorEastAsia" w:eastAsiaTheme="minorEastAsia" w:hAnsiTheme="minorEastAsia" w:hint="eastAsia"/>
                <w:color w:val="000000" w:themeColor="text1"/>
                <w:szCs w:val="24"/>
              </w:rPr>
              <w:t>°斜管口或</w:t>
            </w:r>
            <w:r w:rsidRPr="00687B52">
              <w:rPr>
                <w:rFonts w:asciiTheme="minorEastAsia" w:eastAsiaTheme="minorEastAsia" w:hAnsiTheme="minorEastAsia"/>
                <w:color w:val="000000" w:themeColor="text1"/>
                <w:szCs w:val="24"/>
              </w:rPr>
              <w:t>T</w:t>
            </w:r>
            <w:r w:rsidRPr="00687B52">
              <w:rPr>
                <w:rFonts w:asciiTheme="minorEastAsia" w:eastAsiaTheme="minorEastAsia" w:hAnsiTheme="minorEastAsia" w:hint="eastAsia"/>
                <w:color w:val="000000" w:themeColor="text1"/>
                <w:szCs w:val="24"/>
              </w:rPr>
              <w:t>形管口。进油管管壁上不得有与油罐气相空间相通的开口。</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4</w:t>
            </w:r>
            <w:r w:rsidRPr="00687B52">
              <w:rPr>
                <w:rFonts w:asciiTheme="minorEastAsia" w:eastAsiaTheme="minorEastAsia" w:hAnsiTheme="minorEastAsia" w:hint="eastAsia"/>
                <w:color w:val="000000" w:themeColor="text1"/>
                <w:szCs w:val="24"/>
              </w:rPr>
              <w:t>)罐内潜油泵的入油口或通往自吸式加油机管道的罐内底阀，应高于罐底</w:t>
            </w:r>
            <w:r w:rsidRPr="00687B52">
              <w:rPr>
                <w:rFonts w:asciiTheme="minorEastAsia" w:eastAsiaTheme="minorEastAsia" w:hAnsiTheme="minorEastAsia"/>
                <w:color w:val="000000" w:themeColor="text1"/>
                <w:szCs w:val="24"/>
              </w:rPr>
              <w:t>150mm</w:t>
            </w:r>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200mm</w:t>
            </w:r>
            <w:r w:rsidRPr="00687B52">
              <w:rPr>
                <w:rFonts w:asciiTheme="minorEastAsia" w:eastAsiaTheme="minorEastAsia" w:hAnsiTheme="minorEastAsia" w:hint="eastAsia"/>
                <w:color w:val="000000" w:themeColor="text1"/>
                <w:szCs w:val="24"/>
              </w:rPr>
              <w:t>。</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5</w:t>
            </w:r>
            <w:r w:rsidRPr="00687B52">
              <w:rPr>
                <w:rFonts w:asciiTheme="minorEastAsia" w:eastAsiaTheme="minorEastAsia" w:hAnsiTheme="minorEastAsia" w:hint="eastAsia"/>
                <w:color w:val="000000" w:themeColor="text1"/>
                <w:szCs w:val="24"/>
              </w:rPr>
              <w:t>)油罐的量油孔应设带锁的量油帽。量油孔下部的接合管宜向下伸至罐内距罐底</w:t>
            </w:r>
            <w:r w:rsidRPr="00687B52">
              <w:rPr>
                <w:rFonts w:asciiTheme="minorEastAsia" w:eastAsiaTheme="minorEastAsia" w:hAnsiTheme="minorEastAsia"/>
                <w:color w:val="000000" w:themeColor="text1"/>
                <w:szCs w:val="24"/>
              </w:rPr>
              <w:t>200mm</w:t>
            </w:r>
            <w:r w:rsidRPr="00687B52">
              <w:rPr>
                <w:rFonts w:asciiTheme="minorEastAsia" w:eastAsiaTheme="minorEastAsia" w:hAnsiTheme="minorEastAsia" w:hint="eastAsia"/>
                <w:color w:val="000000" w:themeColor="text1"/>
                <w:szCs w:val="24"/>
              </w:rPr>
              <w:t>处，并应有检尺时使接合管内液位与罐内液位相一致的技术措施。</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6</w:t>
            </w:r>
            <w:r w:rsidRPr="00687B52">
              <w:rPr>
                <w:rFonts w:asciiTheme="minorEastAsia" w:eastAsiaTheme="minorEastAsia" w:hAnsiTheme="minorEastAsia" w:hint="eastAsia"/>
                <w:color w:val="000000" w:themeColor="text1"/>
                <w:szCs w:val="24"/>
              </w:rPr>
              <w:t>)油罐人孔井内的管道及设备，应保证油罐人孔盖的可拆装性。</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7</w:t>
            </w:r>
            <w:r w:rsidRPr="00687B52">
              <w:rPr>
                <w:rFonts w:asciiTheme="minorEastAsia" w:eastAsiaTheme="minorEastAsia" w:hAnsiTheme="minorEastAsia" w:hint="eastAsia"/>
                <w:color w:val="000000" w:themeColor="text1"/>
                <w:szCs w:val="24"/>
              </w:rPr>
              <w:t>)人孔盖上的接合管与引出井外管道的连接，宜采用金属软管过渡连接（包括潜油泵出油管）。</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《汽车加油加气站设计与施工规范》GB50156-2012(2014年修改版)第6.3.7</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7</w:t>
            </w:r>
          </w:p>
        </w:tc>
        <w:tc>
          <w:tcPr>
            <w:tcW w:w="4667" w:type="pct"/>
            <w:gridSpan w:val="3"/>
            <w:vAlign w:val="center"/>
          </w:tcPr>
          <w:p w:rsidR="003E1D2A" w:rsidRPr="00687B52" w:rsidRDefault="003E1D2A" w:rsidP="003E1D2A">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消防系统与应急设施</w:t>
            </w: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7.1</w:t>
            </w:r>
          </w:p>
        </w:tc>
        <w:tc>
          <w:tcPr>
            <w:tcW w:w="4667" w:type="pct"/>
            <w:gridSpan w:val="3"/>
            <w:vAlign w:val="center"/>
          </w:tcPr>
          <w:p w:rsidR="003E1D2A" w:rsidRPr="00687B52" w:rsidRDefault="003E1D2A" w:rsidP="003E1D2A">
            <w:pPr>
              <w:pStyle w:val="a7"/>
              <w:jc w:val="left"/>
              <w:rPr>
                <w:rFonts w:asciiTheme="minorEastAsia" w:eastAsiaTheme="minorEastAsia" w:hAnsiTheme="minorEastAsia"/>
                <w:b/>
                <w:bCs/>
                <w:color w:val="000000" w:themeColor="text1"/>
                <w:szCs w:val="24"/>
              </w:rPr>
            </w:pPr>
            <w:r w:rsidRPr="00687B52">
              <w:rPr>
                <w:rFonts w:asciiTheme="minorEastAsia" w:eastAsiaTheme="minorEastAsia" w:hAnsiTheme="minorEastAsia" w:hint="eastAsia"/>
                <w:b/>
                <w:bCs/>
                <w:color w:val="000000" w:themeColor="text1"/>
                <w:szCs w:val="24"/>
              </w:rPr>
              <w:t>消防设施</w:t>
            </w: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7.1.1</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加油站工艺设备应配置灭火器材，并应符合下列规定：</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bCs/>
                <w:color w:val="000000" w:themeColor="text1"/>
                <w:szCs w:val="24"/>
              </w:rPr>
              <w:t>1</w:t>
            </w:r>
            <w:r w:rsidRPr="00687B52">
              <w:rPr>
                <w:rFonts w:asciiTheme="minorEastAsia" w:eastAsiaTheme="minorEastAsia" w:hAnsiTheme="minorEastAsia" w:hint="eastAsia"/>
                <w:bCs/>
                <w:color w:val="000000" w:themeColor="text1"/>
                <w:szCs w:val="24"/>
              </w:rPr>
              <w:t>）每</w:t>
            </w:r>
            <w:r w:rsidRPr="00687B52">
              <w:rPr>
                <w:rFonts w:asciiTheme="minorEastAsia" w:eastAsiaTheme="minorEastAsia" w:hAnsiTheme="minorEastAsia"/>
                <w:bCs/>
                <w:color w:val="000000" w:themeColor="text1"/>
                <w:szCs w:val="24"/>
              </w:rPr>
              <w:t>2</w:t>
            </w:r>
            <w:r w:rsidRPr="00687B52">
              <w:rPr>
                <w:rFonts w:asciiTheme="minorEastAsia" w:eastAsiaTheme="minorEastAsia" w:hAnsiTheme="minorEastAsia" w:hint="eastAsia"/>
                <w:bCs/>
                <w:color w:val="000000" w:themeColor="text1"/>
                <w:szCs w:val="24"/>
              </w:rPr>
              <w:t>台加气机应配置不少于</w:t>
            </w:r>
            <w:r w:rsidRPr="00687B52">
              <w:rPr>
                <w:rFonts w:asciiTheme="minorEastAsia" w:eastAsiaTheme="minorEastAsia" w:hAnsiTheme="minorEastAsia"/>
                <w:bCs/>
                <w:color w:val="000000" w:themeColor="text1"/>
                <w:szCs w:val="24"/>
              </w:rPr>
              <w:t>2</w:t>
            </w:r>
            <w:r w:rsidRPr="00687B52">
              <w:rPr>
                <w:rFonts w:asciiTheme="minorEastAsia" w:eastAsiaTheme="minorEastAsia" w:hAnsiTheme="minorEastAsia" w:hint="eastAsia"/>
                <w:bCs/>
                <w:color w:val="000000" w:themeColor="text1"/>
                <w:szCs w:val="24"/>
              </w:rPr>
              <w:t>具</w:t>
            </w:r>
            <w:r w:rsidRPr="00687B52">
              <w:rPr>
                <w:rFonts w:asciiTheme="minorEastAsia" w:eastAsiaTheme="minorEastAsia" w:hAnsiTheme="minorEastAsia"/>
                <w:bCs/>
                <w:color w:val="000000" w:themeColor="text1"/>
                <w:szCs w:val="24"/>
              </w:rPr>
              <w:t>4kg</w:t>
            </w:r>
            <w:r w:rsidRPr="00687B52">
              <w:rPr>
                <w:rFonts w:asciiTheme="minorEastAsia" w:eastAsiaTheme="minorEastAsia" w:hAnsiTheme="minorEastAsia" w:hint="eastAsia"/>
                <w:bCs/>
                <w:color w:val="000000" w:themeColor="text1"/>
                <w:szCs w:val="24"/>
              </w:rPr>
              <w:t>手提式干粉灭火器，加气机不足</w:t>
            </w:r>
            <w:r w:rsidRPr="00687B52">
              <w:rPr>
                <w:rFonts w:asciiTheme="minorEastAsia" w:eastAsiaTheme="minorEastAsia" w:hAnsiTheme="minorEastAsia"/>
                <w:bCs/>
                <w:color w:val="000000" w:themeColor="text1"/>
                <w:szCs w:val="24"/>
              </w:rPr>
              <w:t>2</w:t>
            </w:r>
            <w:r w:rsidRPr="00687B52">
              <w:rPr>
                <w:rFonts w:asciiTheme="minorEastAsia" w:eastAsiaTheme="minorEastAsia" w:hAnsiTheme="minorEastAsia" w:hint="eastAsia"/>
                <w:bCs/>
                <w:color w:val="000000" w:themeColor="text1"/>
                <w:szCs w:val="24"/>
              </w:rPr>
              <w:t>台应按</w:t>
            </w:r>
            <w:r w:rsidRPr="00687B52">
              <w:rPr>
                <w:rFonts w:asciiTheme="minorEastAsia" w:eastAsiaTheme="minorEastAsia" w:hAnsiTheme="minorEastAsia"/>
                <w:bCs/>
                <w:color w:val="000000" w:themeColor="text1"/>
                <w:szCs w:val="24"/>
              </w:rPr>
              <w:t>2</w:t>
            </w:r>
            <w:r w:rsidRPr="00687B52">
              <w:rPr>
                <w:rFonts w:asciiTheme="minorEastAsia" w:eastAsiaTheme="minorEastAsia" w:hAnsiTheme="minorEastAsia" w:hint="eastAsia"/>
                <w:bCs/>
                <w:color w:val="000000" w:themeColor="text1"/>
                <w:szCs w:val="24"/>
              </w:rPr>
              <w:t>台配置。</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bCs/>
                <w:color w:val="000000" w:themeColor="text1"/>
                <w:szCs w:val="24"/>
              </w:rPr>
              <w:t>2</w:t>
            </w:r>
            <w:r w:rsidRPr="00687B52">
              <w:rPr>
                <w:rFonts w:asciiTheme="minorEastAsia" w:eastAsiaTheme="minorEastAsia" w:hAnsiTheme="minorEastAsia" w:hint="eastAsia"/>
                <w:bCs/>
                <w:color w:val="000000" w:themeColor="text1"/>
                <w:szCs w:val="24"/>
              </w:rPr>
              <w:t>）每</w:t>
            </w:r>
            <w:r w:rsidRPr="00687B52">
              <w:rPr>
                <w:rFonts w:asciiTheme="minorEastAsia" w:eastAsiaTheme="minorEastAsia" w:hAnsiTheme="minorEastAsia"/>
                <w:bCs/>
                <w:color w:val="000000" w:themeColor="text1"/>
                <w:szCs w:val="24"/>
              </w:rPr>
              <w:t>2</w:t>
            </w:r>
            <w:r w:rsidRPr="00687B52">
              <w:rPr>
                <w:rFonts w:asciiTheme="minorEastAsia" w:eastAsiaTheme="minorEastAsia" w:hAnsiTheme="minorEastAsia" w:hint="eastAsia"/>
                <w:bCs/>
                <w:color w:val="000000" w:themeColor="text1"/>
                <w:szCs w:val="24"/>
              </w:rPr>
              <w:t>台加油机应配置不少于</w:t>
            </w:r>
            <w:r w:rsidRPr="00687B52">
              <w:rPr>
                <w:rFonts w:asciiTheme="minorEastAsia" w:eastAsiaTheme="minorEastAsia" w:hAnsiTheme="minorEastAsia"/>
                <w:bCs/>
                <w:color w:val="000000" w:themeColor="text1"/>
                <w:szCs w:val="24"/>
              </w:rPr>
              <w:t>2</w:t>
            </w:r>
            <w:r w:rsidRPr="00687B52">
              <w:rPr>
                <w:rFonts w:asciiTheme="minorEastAsia" w:eastAsiaTheme="minorEastAsia" w:hAnsiTheme="minorEastAsia" w:hint="eastAsia"/>
                <w:bCs/>
                <w:color w:val="000000" w:themeColor="text1"/>
                <w:szCs w:val="24"/>
              </w:rPr>
              <w:t>具</w:t>
            </w:r>
            <w:r w:rsidRPr="00687B52">
              <w:rPr>
                <w:rFonts w:asciiTheme="minorEastAsia" w:eastAsiaTheme="minorEastAsia" w:hAnsiTheme="minorEastAsia"/>
                <w:bCs/>
                <w:color w:val="000000" w:themeColor="text1"/>
                <w:szCs w:val="24"/>
              </w:rPr>
              <w:t>4kg</w:t>
            </w:r>
            <w:r w:rsidRPr="00687B52">
              <w:rPr>
                <w:rFonts w:asciiTheme="minorEastAsia" w:eastAsiaTheme="minorEastAsia" w:hAnsiTheme="minorEastAsia" w:hint="eastAsia"/>
                <w:bCs/>
                <w:color w:val="000000" w:themeColor="text1"/>
                <w:szCs w:val="24"/>
              </w:rPr>
              <w:t>手提式干粉灭火器，或</w:t>
            </w:r>
            <w:r w:rsidRPr="00687B52">
              <w:rPr>
                <w:rFonts w:asciiTheme="minorEastAsia" w:eastAsiaTheme="minorEastAsia" w:hAnsiTheme="minorEastAsia"/>
                <w:bCs/>
                <w:color w:val="000000" w:themeColor="text1"/>
                <w:szCs w:val="24"/>
              </w:rPr>
              <w:t>1</w:t>
            </w:r>
            <w:r w:rsidRPr="00687B52">
              <w:rPr>
                <w:rFonts w:asciiTheme="minorEastAsia" w:eastAsiaTheme="minorEastAsia" w:hAnsiTheme="minorEastAsia" w:hint="eastAsia"/>
                <w:bCs/>
                <w:color w:val="000000" w:themeColor="text1"/>
                <w:szCs w:val="24"/>
              </w:rPr>
              <w:t>具</w:t>
            </w:r>
            <w:r w:rsidRPr="00687B52">
              <w:rPr>
                <w:rFonts w:asciiTheme="minorEastAsia" w:eastAsiaTheme="minorEastAsia" w:hAnsiTheme="minorEastAsia"/>
                <w:bCs/>
                <w:color w:val="000000" w:themeColor="text1"/>
                <w:szCs w:val="24"/>
              </w:rPr>
              <w:t>4kg</w:t>
            </w:r>
            <w:r w:rsidRPr="00687B52">
              <w:rPr>
                <w:rFonts w:asciiTheme="minorEastAsia" w:eastAsiaTheme="minorEastAsia" w:hAnsiTheme="minorEastAsia" w:hint="eastAsia"/>
                <w:bCs/>
                <w:color w:val="000000" w:themeColor="text1"/>
                <w:szCs w:val="24"/>
              </w:rPr>
              <w:t>手提式干粉灭火器和</w:t>
            </w:r>
            <w:r w:rsidRPr="00687B52">
              <w:rPr>
                <w:rFonts w:asciiTheme="minorEastAsia" w:eastAsiaTheme="minorEastAsia" w:hAnsiTheme="minorEastAsia"/>
                <w:bCs/>
                <w:color w:val="000000" w:themeColor="text1"/>
                <w:szCs w:val="24"/>
              </w:rPr>
              <w:t>1</w:t>
            </w:r>
            <w:r w:rsidRPr="00687B52">
              <w:rPr>
                <w:rFonts w:asciiTheme="minorEastAsia" w:eastAsiaTheme="minorEastAsia" w:hAnsiTheme="minorEastAsia" w:hint="eastAsia"/>
                <w:bCs/>
                <w:color w:val="000000" w:themeColor="text1"/>
                <w:szCs w:val="24"/>
              </w:rPr>
              <w:t>具</w:t>
            </w:r>
            <w:r w:rsidRPr="00687B52">
              <w:rPr>
                <w:rFonts w:asciiTheme="minorEastAsia" w:eastAsiaTheme="minorEastAsia" w:hAnsiTheme="minorEastAsia"/>
                <w:bCs/>
                <w:color w:val="000000" w:themeColor="text1"/>
                <w:szCs w:val="24"/>
              </w:rPr>
              <w:t>6L</w:t>
            </w:r>
            <w:r w:rsidRPr="00687B52">
              <w:rPr>
                <w:rFonts w:asciiTheme="minorEastAsia" w:eastAsiaTheme="minorEastAsia" w:hAnsiTheme="minorEastAsia" w:hint="eastAsia"/>
                <w:bCs/>
                <w:color w:val="000000" w:themeColor="text1"/>
                <w:szCs w:val="24"/>
              </w:rPr>
              <w:t>泡沫灭火器。加油机不足</w:t>
            </w:r>
            <w:r w:rsidRPr="00687B52">
              <w:rPr>
                <w:rFonts w:asciiTheme="minorEastAsia" w:eastAsiaTheme="minorEastAsia" w:hAnsiTheme="minorEastAsia"/>
                <w:bCs/>
                <w:color w:val="000000" w:themeColor="text1"/>
                <w:szCs w:val="24"/>
              </w:rPr>
              <w:t>2</w:t>
            </w:r>
            <w:r w:rsidRPr="00687B52">
              <w:rPr>
                <w:rFonts w:asciiTheme="minorEastAsia" w:eastAsiaTheme="minorEastAsia" w:hAnsiTheme="minorEastAsia" w:hint="eastAsia"/>
                <w:bCs/>
                <w:color w:val="000000" w:themeColor="text1"/>
                <w:szCs w:val="24"/>
              </w:rPr>
              <w:t>台应按</w:t>
            </w:r>
            <w:r w:rsidRPr="00687B52">
              <w:rPr>
                <w:rFonts w:asciiTheme="minorEastAsia" w:eastAsiaTheme="minorEastAsia" w:hAnsiTheme="minorEastAsia"/>
                <w:bCs/>
                <w:color w:val="000000" w:themeColor="text1"/>
                <w:szCs w:val="24"/>
              </w:rPr>
              <w:t>2</w:t>
            </w:r>
            <w:r w:rsidRPr="00687B52">
              <w:rPr>
                <w:rFonts w:asciiTheme="minorEastAsia" w:eastAsiaTheme="minorEastAsia" w:hAnsiTheme="minorEastAsia" w:hint="eastAsia"/>
                <w:bCs/>
                <w:color w:val="000000" w:themeColor="text1"/>
                <w:szCs w:val="24"/>
              </w:rPr>
              <w:t>台配置。</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3）地下储罐应配置</w:t>
            </w:r>
            <w:r w:rsidRPr="00687B52">
              <w:rPr>
                <w:rFonts w:asciiTheme="minorEastAsia" w:eastAsiaTheme="minorEastAsia" w:hAnsiTheme="minorEastAsia"/>
                <w:bCs/>
                <w:color w:val="000000" w:themeColor="text1"/>
                <w:szCs w:val="24"/>
              </w:rPr>
              <w:t>1</w:t>
            </w:r>
            <w:r w:rsidRPr="00687B52">
              <w:rPr>
                <w:rFonts w:asciiTheme="minorEastAsia" w:eastAsiaTheme="minorEastAsia" w:hAnsiTheme="minorEastAsia" w:hint="eastAsia"/>
                <w:bCs/>
                <w:color w:val="000000" w:themeColor="text1"/>
                <w:szCs w:val="24"/>
              </w:rPr>
              <w:t>台不小于</w:t>
            </w:r>
            <w:r w:rsidRPr="00687B52">
              <w:rPr>
                <w:rFonts w:asciiTheme="minorEastAsia" w:eastAsiaTheme="minorEastAsia" w:hAnsiTheme="minorEastAsia"/>
                <w:bCs/>
                <w:color w:val="000000" w:themeColor="text1"/>
                <w:szCs w:val="24"/>
              </w:rPr>
              <w:t>35kg</w:t>
            </w:r>
            <w:r w:rsidRPr="00687B52">
              <w:rPr>
                <w:rFonts w:asciiTheme="minorEastAsia" w:eastAsiaTheme="minorEastAsia" w:hAnsiTheme="minorEastAsia" w:hint="eastAsia"/>
                <w:bCs/>
                <w:color w:val="000000" w:themeColor="text1"/>
                <w:szCs w:val="24"/>
              </w:rPr>
              <w:t>推车式干粉灭火器。当两种介质储罐之间的距离超过</w:t>
            </w:r>
            <w:r w:rsidRPr="00687B52">
              <w:rPr>
                <w:rFonts w:asciiTheme="minorEastAsia" w:eastAsiaTheme="minorEastAsia" w:hAnsiTheme="minorEastAsia"/>
                <w:bCs/>
                <w:color w:val="000000" w:themeColor="text1"/>
                <w:szCs w:val="24"/>
              </w:rPr>
              <w:t>15m</w:t>
            </w:r>
            <w:r w:rsidRPr="00687B52">
              <w:rPr>
                <w:rFonts w:asciiTheme="minorEastAsia" w:eastAsiaTheme="minorEastAsia" w:hAnsiTheme="minorEastAsia" w:hint="eastAsia"/>
                <w:bCs/>
                <w:color w:val="000000" w:themeColor="text1"/>
                <w:szCs w:val="24"/>
              </w:rPr>
              <w:t>时，应分别配置。</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4）一、二级加油站应配置灭火毯</w:t>
            </w:r>
            <w:r w:rsidRPr="00687B52">
              <w:rPr>
                <w:rFonts w:asciiTheme="minorEastAsia" w:eastAsiaTheme="minorEastAsia" w:hAnsiTheme="minorEastAsia"/>
                <w:bCs/>
                <w:color w:val="000000" w:themeColor="text1"/>
                <w:szCs w:val="24"/>
              </w:rPr>
              <w:t>5</w:t>
            </w:r>
            <w:r w:rsidRPr="00687B52">
              <w:rPr>
                <w:rFonts w:asciiTheme="minorEastAsia" w:eastAsiaTheme="minorEastAsia" w:hAnsiTheme="minorEastAsia" w:hint="eastAsia"/>
                <w:bCs/>
                <w:color w:val="000000" w:themeColor="text1"/>
                <w:szCs w:val="24"/>
              </w:rPr>
              <w:t>块、沙子</w:t>
            </w:r>
            <w:r w:rsidRPr="00687B52">
              <w:rPr>
                <w:rFonts w:asciiTheme="minorEastAsia" w:eastAsiaTheme="minorEastAsia" w:hAnsiTheme="minorEastAsia"/>
                <w:bCs/>
                <w:color w:val="000000" w:themeColor="text1"/>
                <w:szCs w:val="24"/>
              </w:rPr>
              <w:t>2m3</w:t>
            </w:r>
            <w:r w:rsidRPr="00687B52">
              <w:rPr>
                <w:rFonts w:asciiTheme="minorEastAsia" w:eastAsiaTheme="minorEastAsia" w:hAnsiTheme="minorEastAsia" w:hint="eastAsia"/>
                <w:bCs/>
                <w:color w:val="000000" w:themeColor="text1"/>
                <w:szCs w:val="24"/>
              </w:rPr>
              <w:t>；三级加油站应配置灭火毯不少于</w:t>
            </w:r>
            <w:r w:rsidRPr="00687B52">
              <w:rPr>
                <w:rFonts w:asciiTheme="minorEastAsia" w:eastAsiaTheme="minorEastAsia" w:hAnsiTheme="minorEastAsia"/>
                <w:bCs/>
                <w:color w:val="000000" w:themeColor="text1"/>
                <w:szCs w:val="24"/>
              </w:rPr>
              <w:t>2</w:t>
            </w:r>
            <w:r w:rsidRPr="00687B52">
              <w:rPr>
                <w:rFonts w:asciiTheme="minorEastAsia" w:eastAsiaTheme="minorEastAsia" w:hAnsiTheme="minorEastAsia" w:hint="eastAsia"/>
                <w:bCs/>
                <w:color w:val="000000" w:themeColor="text1"/>
                <w:szCs w:val="24"/>
              </w:rPr>
              <w:t>块、沙子</w:t>
            </w:r>
            <w:r w:rsidRPr="00687B52">
              <w:rPr>
                <w:rFonts w:asciiTheme="minorEastAsia" w:eastAsiaTheme="minorEastAsia" w:hAnsiTheme="minorEastAsia"/>
                <w:bCs/>
                <w:color w:val="000000" w:themeColor="text1"/>
                <w:szCs w:val="24"/>
              </w:rPr>
              <w:t>2m3</w:t>
            </w:r>
            <w:r w:rsidRPr="00687B52">
              <w:rPr>
                <w:rFonts w:asciiTheme="minorEastAsia" w:eastAsiaTheme="minorEastAsia" w:hAnsiTheme="minorEastAsia" w:hint="eastAsia"/>
                <w:bCs/>
                <w:color w:val="000000" w:themeColor="text1"/>
                <w:szCs w:val="24"/>
              </w:rPr>
              <w:t>。加油加气合建站应按同级别的加油站配置灭火毯和沙子。</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《汽车加油加气站设计与施工规范》GB50156-2012(2014年修改版)第10.1.1</w:t>
            </w:r>
          </w:p>
        </w:tc>
        <w:tc>
          <w:tcPr>
            <w:tcW w:w="851" w:type="pct"/>
            <w:vAlign w:val="center"/>
          </w:tcPr>
          <w:p w:rsidR="003E1D2A" w:rsidRPr="00687B52" w:rsidRDefault="003E1D2A" w:rsidP="003E1D2A">
            <w:pPr>
              <w:pStyle w:val="a7"/>
              <w:rPr>
                <w:rFonts w:asciiTheme="minorEastAsia" w:eastAsiaTheme="minorEastAsia" w:hAnsiTheme="minorEastAsia"/>
                <w:b/>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7.1.2</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灭火器不应设置在不易被发现和黑暗的地点。且不得影响安全疏散。</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对有视线障碍的灭火器设置点，应设置指示其位置的发光标志。</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灭火器的摆放应稳固，其铭牌应朝外。手提式灭火器宜设置在灭火器箱内或挂钩、托架上，其顶部离地面高度不应大于1.50m；底部离地面高度不宜小于0.08m。灭火器箱不应上锁。</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《建筑灭火器配置设计规范》</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GB50140-2005第5.1.1/5.1.2/5.1.3</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7.2</w:t>
            </w:r>
          </w:p>
        </w:tc>
        <w:tc>
          <w:tcPr>
            <w:tcW w:w="4667" w:type="pct"/>
            <w:gridSpan w:val="3"/>
            <w:vAlign w:val="center"/>
          </w:tcPr>
          <w:p w:rsidR="003E1D2A" w:rsidRPr="00687B52" w:rsidRDefault="003E1D2A" w:rsidP="003E1D2A">
            <w:pPr>
              <w:pStyle w:val="a7"/>
              <w:jc w:val="left"/>
              <w:rPr>
                <w:rFonts w:asciiTheme="minorEastAsia" w:eastAsiaTheme="minorEastAsia" w:hAnsiTheme="minorEastAsia"/>
                <w:b/>
                <w:bCs/>
                <w:color w:val="000000" w:themeColor="text1"/>
                <w:szCs w:val="24"/>
              </w:rPr>
            </w:pPr>
            <w:r w:rsidRPr="00687B52">
              <w:rPr>
                <w:rFonts w:asciiTheme="minorEastAsia" w:eastAsiaTheme="minorEastAsia" w:hAnsiTheme="minorEastAsia" w:hint="eastAsia"/>
                <w:b/>
                <w:bCs/>
                <w:color w:val="000000" w:themeColor="text1"/>
                <w:szCs w:val="24"/>
              </w:rPr>
              <w:t>报警系统</w:t>
            </w: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7.2.1</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加油加气合建站应设置可燃气体检测报警系统。</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《汽车加油加气站设计与施工规范》GB50156-2012(2014年修改版)第11.4.1</w:t>
            </w:r>
          </w:p>
        </w:tc>
        <w:tc>
          <w:tcPr>
            <w:tcW w:w="851" w:type="pct"/>
            <w:vAlign w:val="center"/>
          </w:tcPr>
          <w:p w:rsidR="003E1D2A" w:rsidRPr="00687B52" w:rsidRDefault="003E1D2A" w:rsidP="003E1D2A">
            <w:pPr>
              <w:pStyle w:val="a7"/>
              <w:rPr>
                <w:rFonts w:asciiTheme="minorEastAsia" w:eastAsiaTheme="minorEastAsia" w:hAnsiTheme="minorEastAsia"/>
                <w:b/>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7.2.2</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可燃气体检测器一级报警设定值应小于或等于可燃气体爆炸下限的</w:t>
            </w:r>
            <w:r w:rsidRPr="00687B52">
              <w:rPr>
                <w:rFonts w:asciiTheme="minorEastAsia" w:eastAsiaTheme="minorEastAsia" w:hAnsiTheme="minorEastAsia"/>
                <w:color w:val="000000" w:themeColor="text1"/>
                <w:szCs w:val="24"/>
              </w:rPr>
              <w:t>25%</w:t>
            </w:r>
            <w:r w:rsidRPr="00687B52">
              <w:rPr>
                <w:rFonts w:asciiTheme="minorEastAsia" w:eastAsiaTheme="minorEastAsia" w:hAnsiTheme="minorEastAsia" w:hint="eastAsia"/>
                <w:color w:val="000000" w:themeColor="text1"/>
                <w:szCs w:val="24"/>
              </w:rPr>
              <w:t>。</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《汽车加油加气站设计与施工规范》GB50156-2012(2014年修改版)第11.4.3</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7.2.3</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报警器宜集中设置在控制室或值班室内。</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《汽车加油加气站设计与施工规范》GB50156-2012(2014年修改版)第11.4.5</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7.2.4</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报警系统应配有不间断电源。</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《汽车加油加气站设计与施工规范》GB50156-2012(2014年修改版)第11.4.6</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7.3</w:t>
            </w:r>
          </w:p>
        </w:tc>
        <w:tc>
          <w:tcPr>
            <w:tcW w:w="4667" w:type="pct"/>
            <w:gridSpan w:val="3"/>
            <w:vAlign w:val="center"/>
          </w:tcPr>
          <w:p w:rsidR="003E1D2A" w:rsidRPr="00687B52" w:rsidRDefault="003E1D2A" w:rsidP="003E1D2A">
            <w:pPr>
              <w:pStyle w:val="a7"/>
              <w:jc w:val="left"/>
              <w:rPr>
                <w:rFonts w:hAnsi="黑体"/>
                <w:b/>
                <w:bCs/>
                <w:color w:val="000000" w:themeColor="text1"/>
                <w:sz w:val="28"/>
              </w:rPr>
            </w:pPr>
            <w:r w:rsidRPr="00687B52">
              <w:rPr>
                <w:rFonts w:hAnsi="黑体" w:hint="eastAsia"/>
                <w:b/>
                <w:bCs/>
                <w:color w:val="000000" w:themeColor="text1"/>
                <w:sz w:val="28"/>
              </w:rPr>
              <w:t>紧急切断系统</w:t>
            </w: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7.3.1</w:t>
            </w:r>
          </w:p>
        </w:tc>
        <w:tc>
          <w:tcPr>
            <w:tcW w:w="2579"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加油站应设置紧急切断系统，该系统应能在事故状态下迅速切断加油泵的电源。紧急切断系统应具有失效保护功能。</w:t>
            </w:r>
          </w:p>
        </w:tc>
        <w:tc>
          <w:tcPr>
            <w:tcW w:w="1237" w:type="pct"/>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《汽车加油加气站设计与施工规范》GB50156-2012(2014年修改版)第11.5.1</w:t>
            </w:r>
          </w:p>
        </w:tc>
        <w:tc>
          <w:tcPr>
            <w:tcW w:w="851" w:type="pct"/>
            <w:vAlign w:val="center"/>
          </w:tcPr>
          <w:p w:rsidR="003E1D2A" w:rsidRPr="00687B52" w:rsidRDefault="003E1D2A" w:rsidP="003E1D2A">
            <w:pPr>
              <w:pStyle w:val="a7"/>
              <w:rPr>
                <w:rFonts w:asciiTheme="minorEastAsia" w:eastAsiaTheme="minorEastAsia" w:hAnsiTheme="minorEastAsia"/>
                <w:b/>
                <w:bCs/>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7.3.2</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加油泵的电源，应能由手动启动的远程控制切断系统操纵关闭。</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《汽车加油加气站设计与施工规范》GB50156-2012(2014年修改版)第11.5.2</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7.3.3</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紧急切断系统应至少在下列位置设置启动开关：</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1）距加气站卸车点5m以内。</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2）在加油加气现场工作人员容易接近的位置。</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3）在控制室或值班室内。</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《汽车加油加气站设计与施工规范》GB50156-2012(2014年修改版)第11.5.3</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7.3.4</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紧急切断系统应只能手动复位。</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《汽车加油加气站设计与施工规范》GB50156-2012(2014年修改版)第11.5.4</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8</w:t>
            </w:r>
          </w:p>
        </w:tc>
        <w:tc>
          <w:tcPr>
            <w:tcW w:w="4667" w:type="pct"/>
            <w:gridSpan w:val="3"/>
            <w:vAlign w:val="center"/>
          </w:tcPr>
          <w:p w:rsidR="003E1D2A" w:rsidRPr="00687B52" w:rsidRDefault="003E1D2A" w:rsidP="003E1D2A">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公用工程</w:t>
            </w: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8.1</w:t>
            </w:r>
          </w:p>
        </w:tc>
        <w:tc>
          <w:tcPr>
            <w:tcW w:w="4667" w:type="pct"/>
            <w:gridSpan w:val="3"/>
            <w:vAlign w:val="center"/>
          </w:tcPr>
          <w:p w:rsidR="003E1D2A" w:rsidRPr="00687B52" w:rsidRDefault="003E1D2A" w:rsidP="003E1D2A">
            <w:pPr>
              <w:pStyle w:val="a7"/>
              <w:jc w:val="left"/>
              <w:rPr>
                <w:rFonts w:asciiTheme="minorEastAsia" w:eastAsiaTheme="minorEastAsia" w:hAnsiTheme="minorEastAsia"/>
                <w:b/>
                <w:bCs/>
                <w:color w:val="000000" w:themeColor="text1"/>
                <w:szCs w:val="24"/>
              </w:rPr>
            </w:pPr>
            <w:r w:rsidRPr="00687B52">
              <w:rPr>
                <w:rFonts w:asciiTheme="minorEastAsia" w:eastAsiaTheme="minorEastAsia" w:hAnsiTheme="minorEastAsia" w:hint="eastAsia"/>
                <w:b/>
                <w:bCs/>
                <w:color w:val="000000" w:themeColor="text1"/>
                <w:szCs w:val="24"/>
              </w:rPr>
              <w:t>给排水系统</w:t>
            </w: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8.1.1</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加油站的排水应符合下列规定：</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1</w:t>
            </w:r>
            <w:r w:rsidRPr="00687B52">
              <w:rPr>
                <w:rFonts w:asciiTheme="minorEastAsia" w:eastAsiaTheme="minorEastAsia" w:hAnsiTheme="minorEastAsia" w:hint="eastAsia"/>
                <w:color w:val="000000" w:themeColor="text1"/>
                <w:szCs w:val="24"/>
              </w:rPr>
              <w:t>）站内地面雨水可散流排出站外。当雨水由明沟排到站外时，应在围墙内设置水封装置。</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2</w:t>
            </w:r>
            <w:r w:rsidRPr="00687B52">
              <w:rPr>
                <w:rFonts w:asciiTheme="minorEastAsia" w:eastAsiaTheme="minorEastAsia" w:hAnsiTheme="minorEastAsia" w:hint="eastAsia"/>
                <w:color w:val="000000" w:themeColor="text1"/>
                <w:szCs w:val="24"/>
              </w:rPr>
              <w:t>）加油站或加油与</w:t>
            </w:r>
            <w:r w:rsidRPr="00687B52">
              <w:rPr>
                <w:rFonts w:asciiTheme="minorEastAsia" w:eastAsiaTheme="minorEastAsia" w:hAnsiTheme="minorEastAsia"/>
                <w:color w:val="000000" w:themeColor="text1"/>
                <w:szCs w:val="24"/>
              </w:rPr>
              <w:t>LPG</w:t>
            </w:r>
            <w:r w:rsidRPr="00687B52">
              <w:rPr>
                <w:rFonts w:asciiTheme="minorEastAsia" w:eastAsiaTheme="minorEastAsia" w:hAnsiTheme="minorEastAsia" w:hint="eastAsia"/>
                <w:color w:val="000000" w:themeColor="text1"/>
                <w:szCs w:val="24"/>
              </w:rPr>
              <w:t>加气合建站排出建筑物或围墙的污水，在建筑物墙外或围墙内应分别设水封井（独立的生活污水除外）。水封井的水封高度不应小于</w:t>
            </w:r>
            <w:r w:rsidRPr="00687B52">
              <w:rPr>
                <w:rFonts w:asciiTheme="minorEastAsia" w:eastAsiaTheme="minorEastAsia" w:hAnsiTheme="minorEastAsia"/>
                <w:color w:val="000000" w:themeColor="text1"/>
                <w:szCs w:val="24"/>
              </w:rPr>
              <w:t>0.25m</w:t>
            </w:r>
            <w:r w:rsidRPr="00687B52">
              <w:rPr>
                <w:rFonts w:asciiTheme="minorEastAsia" w:eastAsiaTheme="minorEastAsia" w:hAnsiTheme="minorEastAsia" w:hint="eastAsia"/>
                <w:color w:val="000000" w:themeColor="text1"/>
                <w:szCs w:val="24"/>
              </w:rPr>
              <w:t>；水封井应设沉泥段，沉泥段高度不应小于</w:t>
            </w:r>
            <w:r w:rsidRPr="00687B52">
              <w:rPr>
                <w:rFonts w:asciiTheme="minorEastAsia" w:eastAsiaTheme="minorEastAsia" w:hAnsiTheme="minorEastAsia"/>
                <w:color w:val="000000" w:themeColor="text1"/>
                <w:szCs w:val="24"/>
              </w:rPr>
              <w:t>0.25m</w:t>
            </w:r>
            <w:r w:rsidRPr="00687B52">
              <w:rPr>
                <w:rFonts w:asciiTheme="minorEastAsia" w:eastAsiaTheme="minorEastAsia" w:hAnsiTheme="minorEastAsia" w:hint="eastAsia"/>
                <w:color w:val="000000" w:themeColor="text1"/>
                <w:szCs w:val="24"/>
              </w:rPr>
              <w:t>。</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3</w:t>
            </w:r>
            <w:r w:rsidRPr="00687B52">
              <w:rPr>
                <w:rFonts w:asciiTheme="minorEastAsia" w:eastAsiaTheme="minorEastAsia" w:hAnsiTheme="minorEastAsia" w:hint="eastAsia"/>
                <w:color w:val="000000" w:themeColor="text1"/>
                <w:szCs w:val="24"/>
              </w:rPr>
              <w:t>）清洗油罐的污水应集中收集处理，不应直接进入排水管道。</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4</w:t>
            </w:r>
            <w:r w:rsidRPr="00687B52">
              <w:rPr>
                <w:rFonts w:asciiTheme="minorEastAsia" w:eastAsiaTheme="minorEastAsia" w:hAnsiTheme="minorEastAsia" w:hint="eastAsia"/>
                <w:color w:val="000000" w:themeColor="text1"/>
                <w:szCs w:val="24"/>
              </w:rPr>
              <w:t>）排出站外的污水应符合国家先行有关污水排放标准的规定。</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5</w:t>
            </w:r>
            <w:r w:rsidRPr="00687B52">
              <w:rPr>
                <w:rFonts w:asciiTheme="minorEastAsia" w:eastAsiaTheme="minorEastAsia" w:hAnsiTheme="minorEastAsia" w:hint="eastAsia"/>
                <w:color w:val="000000" w:themeColor="text1"/>
                <w:szCs w:val="24"/>
              </w:rPr>
              <w:t>）加油站不应采用暗沟排水。</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《汽车加油加气站设计与施工规范》GB50156-2012(2014年修改版)第10.3.2</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8.2</w:t>
            </w:r>
          </w:p>
        </w:tc>
        <w:tc>
          <w:tcPr>
            <w:tcW w:w="4667" w:type="pct"/>
            <w:gridSpan w:val="3"/>
            <w:vAlign w:val="center"/>
          </w:tcPr>
          <w:p w:rsidR="003E1D2A" w:rsidRPr="00687B52" w:rsidRDefault="003E1D2A" w:rsidP="003E1D2A">
            <w:pPr>
              <w:pStyle w:val="a7"/>
              <w:jc w:val="left"/>
              <w:rPr>
                <w:rFonts w:asciiTheme="minorEastAsia" w:eastAsiaTheme="minorEastAsia" w:hAnsiTheme="minorEastAsia"/>
                <w:b/>
                <w:bCs/>
                <w:color w:val="000000" w:themeColor="text1"/>
                <w:szCs w:val="24"/>
              </w:rPr>
            </w:pPr>
            <w:r w:rsidRPr="00687B52">
              <w:rPr>
                <w:rFonts w:asciiTheme="minorEastAsia" w:eastAsiaTheme="minorEastAsia" w:hAnsiTheme="minorEastAsia" w:hint="eastAsia"/>
                <w:b/>
                <w:bCs/>
                <w:color w:val="000000" w:themeColor="text1"/>
                <w:szCs w:val="24"/>
              </w:rPr>
              <w:t>采暖通风</w:t>
            </w: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8.2.1</w:t>
            </w:r>
          </w:p>
        </w:tc>
        <w:tc>
          <w:tcPr>
            <w:tcW w:w="2579" w:type="pct"/>
            <w:vAlign w:val="center"/>
          </w:tcPr>
          <w:p w:rsidR="003E1D2A" w:rsidRPr="00687B52" w:rsidRDefault="003E1D2A" w:rsidP="003E1D2A">
            <w:pPr>
              <w:pStyle w:val="a7"/>
              <w:jc w:val="left"/>
              <w:rPr>
                <w:color w:val="000000" w:themeColor="text1"/>
                <w:spacing w:val="20"/>
              </w:rPr>
            </w:pPr>
            <w:r w:rsidRPr="00687B52">
              <w:rPr>
                <w:rFonts w:hint="eastAsia"/>
                <w:color w:val="000000" w:themeColor="text1"/>
                <w:spacing w:val="20"/>
              </w:rPr>
              <w:t>设置在站房内的热水锅炉房（间），应符合下列规定：</w:t>
            </w:r>
          </w:p>
          <w:p w:rsidR="003E1D2A" w:rsidRPr="00687B52" w:rsidRDefault="003E1D2A" w:rsidP="003E1D2A">
            <w:pPr>
              <w:pStyle w:val="a7"/>
              <w:jc w:val="left"/>
              <w:rPr>
                <w:color w:val="000000" w:themeColor="text1"/>
                <w:spacing w:val="20"/>
              </w:rPr>
            </w:pPr>
            <w:r w:rsidRPr="00687B52">
              <w:rPr>
                <w:rFonts w:hint="eastAsia"/>
                <w:color w:val="000000" w:themeColor="text1"/>
                <w:spacing w:val="20"/>
              </w:rPr>
              <w:t>1</w:t>
            </w:r>
            <w:r w:rsidRPr="00687B52">
              <w:rPr>
                <w:rFonts w:hint="eastAsia"/>
                <w:color w:val="000000" w:themeColor="text1"/>
                <w:spacing w:val="20"/>
              </w:rPr>
              <w:t>）锅炉宜选用额定供热量不大于</w:t>
            </w:r>
            <w:r w:rsidRPr="00687B52">
              <w:rPr>
                <w:rFonts w:hint="eastAsia"/>
                <w:color w:val="000000" w:themeColor="text1"/>
                <w:spacing w:val="20"/>
              </w:rPr>
              <w:t>140kW</w:t>
            </w:r>
            <w:r w:rsidRPr="00687B52">
              <w:rPr>
                <w:rFonts w:hint="eastAsia"/>
                <w:color w:val="000000" w:themeColor="text1"/>
                <w:spacing w:val="20"/>
              </w:rPr>
              <w:t>的小型锅炉。</w:t>
            </w:r>
          </w:p>
          <w:p w:rsidR="003E1D2A" w:rsidRPr="00687B52" w:rsidRDefault="003E1D2A" w:rsidP="003E1D2A">
            <w:pPr>
              <w:pStyle w:val="a7"/>
              <w:jc w:val="left"/>
              <w:rPr>
                <w:color w:val="000000" w:themeColor="text1"/>
                <w:spacing w:val="20"/>
              </w:rPr>
            </w:pPr>
            <w:r w:rsidRPr="00687B52">
              <w:rPr>
                <w:rFonts w:hint="eastAsia"/>
                <w:color w:val="000000" w:themeColor="text1"/>
                <w:spacing w:val="20"/>
              </w:rPr>
              <w:t>2</w:t>
            </w:r>
            <w:r w:rsidRPr="00687B52">
              <w:rPr>
                <w:rFonts w:hint="eastAsia"/>
                <w:color w:val="000000" w:themeColor="text1"/>
                <w:spacing w:val="20"/>
              </w:rPr>
              <w:t>）当采用燃煤锅炉时，宜选用具有除尘功能的自然通风型锅炉。锅炉烟囱出口应高出屋顶</w:t>
            </w:r>
            <w:r w:rsidRPr="00687B52">
              <w:rPr>
                <w:rFonts w:hint="eastAsia"/>
                <w:color w:val="000000" w:themeColor="text1"/>
                <w:spacing w:val="20"/>
              </w:rPr>
              <w:t>2m</w:t>
            </w:r>
            <w:r w:rsidRPr="00687B52">
              <w:rPr>
                <w:rFonts w:hint="eastAsia"/>
                <w:color w:val="000000" w:themeColor="text1"/>
                <w:spacing w:val="20"/>
              </w:rPr>
              <w:t>及以上，且应采取防止火星外逸的有效措施。</w:t>
            </w:r>
          </w:p>
          <w:p w:rsidR="003E1D2A" w:rsidRPr="00687B52" w:rsidRDefault="003E1D2A" w:rsidP="003E1D2A">
            <w:pPr>
              <w:pStyle w:val="a7"/>
              <w:jc w:val="left"/>
              <w:rPr>
                <w:color w:val="000000" w:themeColor="text1"/>
                <w:spacing w:val="20"/>
              </w:rPr>
            </w:pPr>
            <w:r w:rsidRPr="00687B52">
              <w:rPr>
                <w:rFonts w:hint="eastAsia"/>
                <w:color w:val="000000" w:themeColor="text1"/>
                <w:spacing w:val="20"/>
              </w:rPr>
              <w:t>3</w:t>
            </w:r>
            <w:r w:rsidRPr="00687B52">
              <w:rPr>
                <w:rFonts w:hint="eastAsia"/>
                <w:color w:val="000000" w:themeColor="text1"/>
                <w:spacing w:val="20"/>
              </w:rPr>
              <w:t>）当采用燃气热水器采暖时，热水器应设有排烟系统和熄火保护等安全装置。</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《汽车加油加气站设计与施工规范》GB50156-2012(2014年修改版)第12.1.3</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8.2.2</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加油站内，爆炸危险区域内的房间或箱体应采取通风措施，并应符合下列规定：</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1）采用强制通风时，通风设备的通风能力在工艺设备工作期间应按每小时换气</w:t>
            </w:r>
            <w:r w:rsidRPr="00687B52">
              <w:rPr>
                <w:rFonts w:asciiTheme="minorEastAsia" w:eastAsiaTheme="minorEastAsia" w:hAnsiTheme="minorEastAsia"/>
                <w:color w:val="000000" w:themeColor="text1"/>
                <w:szCs w:val="24"/>
              </w:rPr>
              <w:t>12</w:t>
            </w:r>
            <w:r w:rsidRPr="00687B52">
              <w:rPr>
                <w:rFonts w:asciiTheme="minorEastAsia" w:eastAsiaTheme="minorEastAsia" w:hAnsiTheme="minorEastAsia" w:hint="eastAsia"/>
                <w:color w:val="000000" w:themeColor="text1"/>
                <w:szCs w:val="24"/>
              </w:rPr>
              <w:t>次计算，在工艺设备非工作期间应按每小时换气</w:t>
            </w:r>
            <w:r w:rsidRPr="00687B52">
              <w:rPr>
                <w:rFonts w:asciiTheme="minorEastAsia" w:eastAsiaTheme="minorEastAsia" w:hAnsiTheme="minorEastAsia"/>
                <w:color w:val="000000" w:themeColor="text1"/>
                <w:szCs w:val="24"/>
              </w:rPr>
              <w:t>5</w:t>
            </w:r>
            <w:r w:rsidRPr="00687B52">
              <w:rPr>
                <w:rFonts w:asciiTheme="minorEastAsia" w:eastAsiaTheme="minorEastAsia" w:hAnsiTheme="minorEastAsia" w:hint="eastAsia"/>
                <w:color w:val="000000" w:themeColor="text1"/>
                <w:szCs w:val="24"/>
              </w:rPr>
              <w:t>次计算。通风设备应防爆并应与可燃气体浓度报警器联锁。</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2）采用自然通风时，通风口总面积不应小于</w:t>
            </w:r>
            <w:r w:rsidRPr="00687B52">
              <w:rPr>
                <w:rFonts w:asciiTheme="minorEastAsia" w:eastAsiaTheme="minorEastAsia" w:hAnsiTheme="minorEastAsia"/>
                <w:color w:val="000000" w:themeColor="text1"/>
                <w:szCs w:val="24"/>
              </w:rPr>
              <w:t>300cm2/m2</w:t>
            </w:r>
            <w:r w:rsidRPr="00687B52">
              <w:rPr>
                <w:rFonts w:asciiTheme="minorEastAsia" w:eastAsiaTheme="minorEastAsia" w:hAnsiTheme="minorEastAsia" w:hint="eastAsia"/>
                <w:color w:val="000000" w:themeColor="text1"/>
                <w:szCs w:val="24"/>
              </w:rPr>
              <w:t>（地面），通风口不应少于</w:t>
            </w:r>
            <w:r w:rsidRPr="00687B52">
              <w:rPr>
                <w:rFonts w:asciiTheme="minorEastAsia" w:eastAsiaTheme="minorEastAsia" w:hAnsiTheme="minorEastAsia"/>
                <w:color w:val="000000" w:themeColor="text1"/>
                <w:szCs w:val="24"/>
              </w:rPr>
              <w:t>2</w:t>
            </w:r>
            <w:r w:rsidRPr="00687B52">
              <w:rPr>
                <w:rFonts w:asciiTheme="minorEastAsia" w:eastAsiaTheme="minorEastAsia" w:hAnsiTheme="minorEastAsia" w:hint="eastAsia"/>
                <w:color w:val="000000" w:themeColor="text1"/>
                <w:szCs w:val="24"/>
              </w:rPr>
              <w:t>个，且应靠近可燃气体积聚的部位设置。</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《汽车加油加气站设计与施工规范》GB50156-2012(2014年修改版)第12.1.4</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8B4454">
        <w:trPr>
          <w:jc w:val="center"/>
        </w:trPr>
        <w:tc>
          <w:tcPr>
            <w:tcW w:w="333"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8.2.3</w:t>
            </w:r>
          </w:p>
        </w:tc>
        <w:tc>
          <w:tcPr>
            <w:tcW w:w="25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加油站室内外采暖管道宜直埋敷设，当采用管沟敷设时，管沟应充沙填实，进出建筑物处应采取隔断措施。</w:t>
            </w:r>
          </w:p>
        </w:tc>
        <w:tc>
          <w:tcPr>
            <w:tcW w:w="1237"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《汽车加油加气站设计与施工规范》GB50156-2012(2014年修改版)第12.1.5</w:t>
            </w:r>
          </w:p>
        </w:tc>
        <w:tc>
          <w:tcPr>
            <w:tcW w:w="851" w:type="pct"/>
            <w:vAlign w:val="center"/>
          </w:tcPr>
          <w:p w:rsidR="003E1D2A" w:rsidRPr="00687B52" w:rsidRDefault="003E1D2A" w:rsidP="003E1D2A">
            <w:pPr>
              <w:pStyle w:val="a7"/>
              <w:rPr>
                <w:rFonts w:asciiTheme="minorEastAsia" w:eastAsiaTheme="minorEastAsia" w:hAnsiTheme="minorEastAsia"/>
                <w:color w:val="000000" w:themeColor="text1"/>
                <w:szCs w:val="24"/>
              </w:rPr>
            </w:pPr>
          </w:p>
        </w:tc>
      </w:tr>
    </w:tbl>
    <w:p w:rsidR="003E1D2A" w:rsidRPr="00687B52" w:rsidRDefault="003E1D2A" w:rsidP="003E1D2A">
      <w:pPr>
        <w:spacing w:line="400" w:lineRule="exact"/>
        <w:ind w:left="711" w:hanging="711"/>
        <w:jc w:val="left"/>
        <w:rPr>
          <w:rFonts w:ascii="宋体" w:eastAsia="黑体"/>
          <w:color w:val="000000" w:themeColor="text1"/>
          <w:spacing w:val="10"/>
          <w:szCs w:val="21"/>
        </w:rPr>
      </w:pPr>
    </w:p>
    <w:p w:rsidR="003E1D2A" w:rsidRPr="00687B52" w:rsidRDefault="003E1D2A" w:rsidP="003110C0">
      <w:pPr>
        <w:spacing w:line="480" w:lineRule="exact"/>
        <w:jc w:val="left"/>
        <w:rPr>
          <w:color w:val="000000" w:themeColor="text1"/>
          <w:sz w:val="28"/>
          <w:szCs w:val="28"/>
        </w:rPr>
        <w:sectPr w:rsidR="003E1D2A" w:rsidRPr="00687B52" w:rsidSect="00D22E6D">
          <w:footerReference w:type="default" r:id="rId37"/>
          <w:pgSz w:w="16838" w:h="11906" w:orient="landscape"/>
          <w:pgMar w:top="1457" w:right="1780" w:bottom="1457" w:left="1780" w:header="851" w:footer="992" w:gutter="0"/>
          <w:cols w:space="425"/>
          <w:docGrid w:type="lines" w:linePitch="312"/>
        </w:sectPr>
      </w:pPr>
    </w:p>
    <w:p w:rsidR="003E1D2A" w:rsidRPr="00687B52" w:rsidRDefault="008B4454" w:rsidP="008B4454">
      <w:pPr>
        <w:pStyle w:val="aff3"/>
        <w:numPr>
          <w:ilvl w:val="0"/>
          <w:numId w:val="0"/>
        </w:numPr>
        <w:rPr>
          <w:color w:val="000000" w:themeColor="text1"/>
          <w:szCs w:val="28"/>
        </w:rPr>
      </w:pPr>
      <w:bookmarkStart w:id="49" w:name="_Toc492634903"/>
      <w:r w:rsidRPr="00687B52">
        <w:rPr>
          <w:rFonts w:hint="eastAsia"/>
          <w:color w:val="000000" w:themeColor="text1"/>
        </w:rPr>
        <w:t>表</w:t>
      </w:r>
      <w:r w:rsidRPr="00687B52">
        <w:rPr>
          <w:rFonts w:hint="eastAsia"/>
          <w:color w:val="000000" w:themeColor="text1"/>
        </w:rPr>
        <w:t xml:space="preserve">3-2 </w:t>
      </w:r>
      <w:r w:rsidRPr="00687B52">
        <w:rPr>
          <w:rFonts w:hint="eastAsia"/>
          <w:color w:val="000000" w:themeColor="text1"/>
        </w:rPr>
        <w:t>危险化学品储存、经营企业专业检查表（</w:t>
      </w:r>
      <w:r w:rsidR="003E1D2A" w:rsidRPr="00687B52">
        <w:rPr>
          <w:rFonts w:hint="eastAsia"/>
          <w:color w:val="000000" w:themeColor="text1"/>
          <w:szCs w:val="28"/>
        </w:rPr>
        <w:t>危险化学品仓库</w:t>
      </w:r>
      <w:r w:rsidRPr="00687B52">
        <w:rPr>
          <w:rFonts w:hint="eastAsia"/>
          <w:color w:val="000000" w:themeColor="text1"/>
        </w:rPr>
        <w:t>）</w:t>
      </w:r>
      <w:bookmarkEnd w:id="49"/>
    </w:p>
    <w:tbl>
      <w:tblPr>
        <w:tblW w:w="14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7849"/>
        <w:gridCol w:w="2977"/>
        <w:gridCol w:w="2787"/>
      </w:tblGrid>
      <w:tr w:rsidR="003E1D2A" w:rsidRPr="00687B52" w:rsidTr="00A0611B">
        <w:trPr>
          <w:trHeight w:val="137"/>
          <w:tblHeader/>
          <w:jc w:val="center"/>
        </w:trPr>
        <w:tc>
          <w:tcPr>
            <w:tcW w:w="96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序号</w:t>
            </w:r>
          </w:p>
        </w:tc>
        <w:tc>
          <w:tcPr>
            <w:tcW w:w="7849"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检查内容</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检查依据</w:t>
            </w:r>
          </w:p>
        </w:tc>
        <w:tc>
          <w:tcPr>
            <w:tcW w:w="278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检查情况</w:t>
            </w:r>
          </w:p>
        </w:tc>
      </w:tr>
      <w:tr w:rsidR="003E1D2A" w:rsidRPr="00687B52" w:rsidTr="00A0611B">
        <w:trPr>
          <w:trHeight w:val="137"/>
          <w:jc w:val="center"/>
        </w:trPr>
        <w:tc>
          <w:tcPr>
            <w:tcW w:w="967" w:type="dxa"/>
            <w:vAlign w:val="center"/>
          </w:tcPr>
          <w:p w:rsidR="003E1D2A" w:rsidRPr="00687B52" w:rsidRDefault="003E1D2A" w:rsidP="003E1D2A">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1</w:t>
            </w:r>
          </w:p>
        </w:tc>
        <w:tc>
          <w:tcPr>
            <w:tcW w:w="13613" w:type="dxa"/>
            <w:gridSpan w:val="3"/>
            <w:vAlign w:val="center"/>
          </w:tcPr>
          <w:p w:rsidR="003E1D2A" w:rsidRPr="00687B52" w:rsidRDefault="003E1D2A" w:rsidP="00563F92">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选址与总图布置</w:t>
            </w:r>
          </w:p>
        </w:tc>
      </w:tr>
      <w:tr w:rsidR="003E1D2A" w:rsidRPr="00687B52" w:rsidTr="00A0611B">
        <w:trPr>
          <w:trHeight w:val="403"/>
          <w:jc w:val="center"/>
        </w:trPr>
        <w:tc>
          <w:tcPr>
            <w:tcW w:w="967" w:type="dxa"/>
            <w:vAlign w:val="center"/>
          </w:tcPr>
          <w:p w:rsidR="003E1D2A" w:rsidRPr="00687B52" w:rsidRDefault="008B4454" w:rsidP="008B4454">
            <w:pPr>
              <w:pStyle w:val="a7"/>
              <w:rPr>
                <w:rFonts w:ascii="宋体" w:hAnsi="宋体"/>
                <w:color w:val="000000" w:themeColor="text1"/>
                <w:szCs w:val="24"/>
              </w:rPr>
            </w:pPr>
            <w:r w:rsidRPr="00687B52">
              <w:rPr>
                <w:rFonts w:ascii="宋体" w:hAnsi="宋体" w:hint="eastAsia"/>
                <w:color w:val="000000" w:themeColor="text1"/>
                <w:szCs w:val="24"/>
              </w:rPr>
              <w:t>1.1</w:t>
            </w:r>
          </w:p>
        </w:tc>
        <w:tc>
          <w:tcPr>
            <w:tcW w:w="7849" w:type="dxa"/>
            <w:vAlign w:val="center"/>
          </w:tcPr>
          <w:p w:rsidR="003E1D2A" w:rsidRPr="00687B52" w:rsidRDefault="001655A7" w:rsidP="00547806">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库</w:t>
            </w:r>
            <w:r w:rsidR="003E1D2A" w:rsidRPr="00687B52">
              <w:rPr>
                <w:rFonts w:asciiTheme="minorEastAsia" w:eastAsiaTheme="minorEastAsia" w:hAnsiTheme="minorEastAsia"/>
                <w:color w:val="000000" w:themeColor="text1"/>
                <w:szCs w:val="24"/>
              </w:rPr>
              <w:t>址应位于不受洪水、潮水或内涝威胁的地带，并应符合下列规定：</w:t>
            </w:r>
          </w:p>
          <w:p w:rsidR="003E1D2A" w:rsidRPr="00687B52" w:rsidRDefault="003E1D2A" w:rsidP="00866EA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当厂址不可避免不受洪水、潮水、或内涝威胁的地带时，必须采取防洪、排涝措施</w:t>
            </w:r>
            <w:r w:rsidR="00866EAA" w:rsidRPr="00687B52">
              <w:rPr>
                <w:rFonts w:asciiTheme="minorEastAsia" w:eastAsiaTheme="minorEastAsia" w:hAnsiTheme="minorEastAsia" w:hint="eastAsia"/>
                <w:color w:val="000000" w:themeColor="text1"/>
                <w:szCs w:val="24"/>
              </w:rPr>
              <w:t>。</w:t>
            </w:r>
          </w:p>
        </w:tc>
        <w:tc>
          <w:tcPr>
            <w:tcW w:w="2977" w:type="dxa"/>
            <w:vAlign w:val="center"/>
          </w:tcPr>
          <w:p w:rsidR="003E1D2A" w:rsidRPr="00687B52" w:rsidRDefault="003E1D2A" w:rsidP="00547806">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《工业企业总平面设计规范》</w:t>
            </w:r>
            <w:r w:rsidRPr="00687B52">
              <w:rPr>
                <w:rFonts w:asciiTheme="minorEastAsia" w:eastAsiaTheme="minorEastAsia" w:hAnsiTheme="minorEastAsia"/>
                <w:color w:val="000000" w:themeColor="text1"/>
                <w:szCs w:val="24"/>
              </w:rPr>
              <w:br w:type="column"/>
              <w:t>GB50187-2012</w:t>
            </w:r>
            <w:r w:rsidRPr="00687B52">
              <w:rPr>
                <w:rFonts w:asciiTheme="minorEastAsia" w:eastAsiaTheme="minorEastAsia" w:hAnsiTheme="minorEastAsia" w:hint="eastAsia"/>
                <w:color w:val="000000" w:themeColor="text1"/>
                <w:szCs w:val="24"/>
              </w:rPr>
              <w:t>第</w:t>
            </w:r>
            <w:r w:rsidRPr="00687B52">
              <w:rPr>
                <w:rFonts w:asciiTheme="minorEastAsia" w:eastAsiaTheme="minorEastAsia" w:hAnsiTheme="minorEastAsia"/>
                <w:color w:val="000000" w:themeColor="text1"/>
                <w:szCs w:val="24"/>
              </w:rPr>
              <w:t xml:space="preserve">3.0.12 </w:t>
            </w:r>
            <w:r w:rsidRPr="00687B52">
              <w:rPr>
                <w:rFonts w:asciiTheme="minorEastAsia" w:eastAsiaTheme="minorEastAsia" w:hAnsiTheme="minorEastAsia" w:hint="eastAsia"/>
                <w:color w:val="000000" w:themeColor="text1"/>
                <w:szCs w:val="24"/>
              </w:rPr>
              <w:t>条</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410"/>
          <w:jc w:val="center"/>
        </w:trPr>
        <w:tc>
          <w:tcPr>
            <w:tcW w:w="967" w:type="dxa"/>
            <w:vAlign w:val="center"/>
          </w:tcPr>
          <w:p w:rsidR="003E1D2A" w:rsidRPr="00687B52" w:rsidRDefault="003E1D2A" w:rsidP="003E1D2A">
            <w:pPr>
              <w:pStyle w:val="a7"/>
              <w:rPr>
                <w:rFonts w:ascii="宋体" w:hAnsi="宋体"/>
                <w:color w:val="000000" w:themeColor="text1"/>
                <w:szCs w:val="24"/>
              </w:rPr>
            </w:pPr>
            <w:r w:rsidRPr="00687B52">
              <w:rPr>
                <w:rFonts w:ascii="宋体" w:hAnsi="宋体" w:hint="eastAsia"/>
                <w:color w:val="000000" w:themeColor="text1"/>
                <w:szCs w:val="24"/>
              </w:rPr>
              <w:t>1.2</w:t>
            </w:r>
          </w:p>
        </w:tc>
        <w:tc>
          <w:tcPr>
            <w:tcW w:w="7849" w:type="dxa"/>
            <w:vAlign w:val="center"/>
          </w:tcPr>
          <w:p w:rsidR="003E1D2A" w:rsidRPr="00687B52" w:rsidRDefault="003E1D2A" w:rsidP="00547806">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山区建</w:t>
            </w:r>
            <w:r w:rsidR="001655A7" w:rsidRPr="00687B52">
              <w:rPr>
                <w:rFonts w:asciiTheme="minorEastAsia" w:eastAsiaTheme="minorEastAsia" w:hAnsiTheme="minorEastAsia" w:hint="eastAsia"/>
                <w:color w:val="000000" w:themeColor="text1"/>
                <w:szCs w:val="24"/>
              </w:rPr>
              <w:t>库</w:t>
            </w:r>
            <w:r w:rsidRPr="00687B52">
              <w:rPr>
                <w:rFonts w:asciiTheme="minorEastAsia" w:eastAsiaTheme="minorEastAsia" w:hAnsiTheme="minorEastAsia" w:hint="eastAsia"/>
                <w:color w:val="000000" w:themeColor="text1"/>
                <w:szCs w:val="24"/>
              </w:rPr>
              <w:t>，当</w:t>
            </w:r>
            <w:r w:rsidR="001655A7" w:rsidRPr="00687B52">
              <w:rPr>
                <w:rFonts w:asciiTheme="minorEastAsia" w:eastAsiaTheme="minorEastAsia" w:hAnsiTheme="minorEastAsia" w:hint="eastAsia"/>
                <w:color w:val="000000" w:themeColor="text1"/>
                <w:szCs w:val="24"/>
              </w:rPr>
              <w:t>库</w:t>
            </w:r>
            <w:r w:rsidRPr="00687B52">
              <w:rPr>
                <w:rFonts w:asciiTheme="minorEastAsia" w:eastAsiaTheme="minorEastAsia" w:hAnsiTheme="minorEastAsia" w:hint="eastAsia"/>
                <w:color w:val="000000" w:themeColor="text1"/>
                <w:szCs w:val="24"/>
              </w:rPr>
              <w:t>址位于山坡或山脚处时，应采取防止山洪、泥石流等自然灾害的危害的加固措施，应对山坡的稳定性等作出地质灾害的危险性评估</w:t>
            </w:r>
          </w:p>
          <w:p w:rsidR="003E1D2A" w:rsidRPr="00687B52" w:rsidRDefault="003E1D2A" w:rsidP="00547806">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报告。</w:t>
            </w:r>
          </w:p>
        </w:tc>
        <w:tc>
          <w:tcPr>
            <w:tcW w:w="2977" w:type="dxa"/>
            <w:vAlign w:val="center"/>
          </w:tcPr>
          <w:p w:rsidR="003E1D2A" w:rsidRPr="00687B52" w:rsidRDefault="003E1D2A" w:rsidP="00547806">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《工业企业总平面设计规范》</w:t>
            </w:r>
            <w:r w:rsidRPr="00687B52">
              <w:rPr>
                <w:rFonts w:asciiTheme="minorEastAsia" w:eastAsiaTheme="minorEastAsia" w:hAnsiTheme="minorEastAsia"/>
                <w:color w:val="000000" w:themeColor="text1"/>
                <w:szCs w:val="24"/>
              </w:rPr>
              <w:br w:type="column"/>
              <w:t>GB50187-2012</w:t>
            </w:r>
            <w:r w:rsidRPr="00687B52">
              <w:rPr>
                <w:rFonts w:asciiTheme="minorEastAsia" w:eastAsiaTheme="minorEastAsia" w:hAnsiTheme="minorEastAsia" w:hint="eastAsia"/>
                <w:color w:val="000000" w:themeColor="text1"/>
                <w:szCs w:val="24"/>
              </w:rPr>
              <w:t>第</w:t>
            </w:r>
            <w:r w:rsidRPr="00687B52">
              <w:rPr>
                <w:rFonts w:asciiTheme="minorEastAsia" w:eastAsiaTheme="minorEastAsia" w:hAnsiTheme="minorEastAsia"/>
                <w:color w:val="000000" w:themeColor="text1"/>
                <w:szCs w:val="24"/>
              </w:rPr>
              <w:t xml:space="preserve">3.0.13 </w:t>
            </w:r>
            <w:r w:rsidRPr="00687B52">
              <w:rPr>
                <w:rFonts w:asciiTheme="minorEastAsia" w:eastAsiaTheme="minorEastAsia" w:hAnsiTheme="minorEastAsia" w:hint="eastAsia"/>
                <w:color w:val="000000" w:themeColor="text1"/>
                <w:szCs w:val="24"/>
              </w:rPr>
              <w:t>条</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1457"/>
          <w:jc w:val="center"/>
        </w:trPr>
        <w:tc>
          <w:tcPr>
            <w:tcW w:w="967" w:type="dxa"/>
            <w:vAlign w:val="center"/>
          </w:tcPr>
          <w:p w:rsidR="003E1D2A" w:rsidRPr="00687B52" w:rsidRDefault="003E1D2A" w:rsidP="003E1D2A">
            <w:pPr>
              <w:pStyle w:val="a7"/>
              <w:rPr>
                <w:rFonts w:ascii="宋体" w:hAnsi="宋体"/>
                <w:color w:val="000000" w:themeColor="text1"/>
                <w:szCs w:val="24"/>
              </w:rPr>
            </w:pPr>
            <w:r w:rsidRPr="00687B52">
              <w:rPr>
                <w:rFonts w:ascii="宋体" w:hAnsi="宋体" w:hint="eastAsia"/>
                <w:color w:val="000000" w:themeColor="text1"/>
                <w:szCs w:val="24"/>
              </w:rPr>
              <w:t>1.3</w:t>
            </w:r>
          </w:p>
        </w:tc>
        <w:tc>
          <w:tcPr>
            <w:tcW w:w="7849" w:type="dxa"/>
            <w:vAlign w:val="center"/>
          </w:tcPr>
          <w:p w:rsidR="003E1D2A" w:rsidRPr="00687B52" w:rsidRDefault="003E1D2A" w:rsidP="00547806">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下列地段和地区不应选为</w:t>
            </w:r>
            <w:r w:rsidR="001655A7" w:rsidRPr="00687B52">
              <w:rPr>
                <w:rFonts w:asciiTheme="minorEastAsia" w:eastAsiaTheme="minorEastAsia" w:hAnsiTheme="minorEastAsia" w:hint="eastAsia"/>
                <w:color w:val="000000" w:themeColor="text1"/>
                <w:szCs w:val="24"/>
              </w:rPr>
              <w:t>库</w:t>
            </w:r>
            <w:r w:rsidRPr="00687B52">
              <w:rPr>
                <w:rFonts w:asciiTheme="minorEastAsia" w:eastAsiaTheme="minorEastAsia" w:hAnsiTheme="minorEastAsia"/>
                <w:color w:val="000000" w:themeColor="text1"/>
                <w:szCs w:val="24"/>
              </w:rPr>
              <w:t>址：</w:t>
            </w:r>
          </w:p>
          <w:p w:rsidR="003E1D2A" w:rsidRPr="00687B52" w:rsidRDefault="003E1D2A" w:rsidP="00547806">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1）发震断层和抗震设防烈度为9度及高于9度的地震区； </w:t>
            </w:r>
          </w:p>
          <w:p w:rsidR="003E1D2A" w:rsidRPr="00687B52" w:rsidRDefault="003E1D2A" w:rsidP="00547806">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2）有泥石流、滑坡、流沙、溶洞等直接危害的地段； </w:t>
            </w:r>
          </w:p>
          <w:p w:rsidR="003E1D2A" w:rsidRPr="00687B52" w:rsidRDefault="003E1D2A" w:rsidP="00547806">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3）采矿陷落（错动）区地表界限内； </w:t>
            </w:r>
          </w:p>
          <w:p w:rsidR="003E1D2A" w:rsidRPr="00687B52" w:rsidRDefault="003E1D2A" w:rsidP="00547806">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4）爆破危险界限内；</w:t>
            </w:r>
          </w:p>
          <w:p w:rsidR="003E1D2A" w:rsidRPr="00687B52" w:rsidRDefault="003E1D2A" w:rsidP="00547806">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5）坝或堤决溃后可能淹没的地区；</w:t>
            </w:r>
          </w:p>
          <w:p w:rsidR="003E1D2A" w:rsidRPr="00687B52" w:rsidRDefault="003E1D2A" w:rsidP="00547806">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6）有严重放射性物质污染影响区；</w:t>
            </w:r>
          </w:p>
          <w:p w:rsidR="003E1D2A" w:rsidRPr="00687B52" w:rsidRDefault="003E1D2A" w:rsidP="00547806">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7）生活居住区、文教区、水源保护区、名胜古迹、风景游览区、温泉、疗养区、自然保护区和其它需要特别保护的区域； </w:t>
            </w:r>
          </w:p>
          <w:p w:rsidR="003E1D2A" w:rsidRPr="00687B52" w:rsidRDefault="003E1D2A" w:rsidP="00547806">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8）对飞机起落、电台通讯、电视转播、雷达导航和重要的天文、气象、地震观察以及军事设施等规定有影响的范围内；</w:t>
            </w:r>
          </w:p>
          <w:p w:rsidR="003E1D2A" w:rsidRPr="00687B52" w:rsidRDefault="003E1D2A" w:rsidP="00547806">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9）受海啸或湖涌危害的地区。</w:t>
            </w:r>
          </w:p>
        </w:tc>
        <w:tc>
          <w:tcPr>
            <w:tcW w:w="2977" w:type="dxa"/>
            <w:vAlign w:val="center"/>
          </w:tcPr>
          <w:p w:rsidR="003E1D2A" w:rsidRPr="00687B52" w:rsidRDefault="003E1D2A" w:rsidP="00547806">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《工业企业总平面设计规范》</w:t>
            </w:r>
            <w:r w:rsidRPr="00687B52">
              <w:rPr>
                <w:rFonts w:asciiTheme="minorEastAsia" w:eastAsiaTheme="minorEastAsia" w:hAnsiTheme="minorEastAsia"/>
                <w:color w:val="000000" w:themeColor="text1"/>
                <w:szCs w:val="24"/>
              </w:rPr>
              <w:br w:type="column"/>
              <w:t>GB50187-2012</w:t>
            </w:r>
            <w:r w:rsidRPr="00687B52">
              <w:rPr>
                <w:rFonts w:asciiTheme="minorEastAsia" w:eastAsiaTheme="minorEastAsia" w:hAnsiTheme="minorEastAsia" w:hint="eastAsia"/>
                <w:color w:val="000000" w:themeColor="text1"/>
                <w:szCs w:val="24"/>
              </w:rPr>
              <w:t>第</w:t>
            </w:r>
            <w:r w:rsidRPr="00687B52">
              <w:rPr>
                <w:rFonts w:asciiTheme="minorEastAsia" w:eastAsiaTheme="minorEastAsia" w:hAnsiTheme="minorEastAsia"/>
                <w:color w:val="000000" w:themeColor="text1"/>
                <w:szCs w:val="24"/>
              </w:rPr>
              <w:t xml:space="preserve">3.0.14 </w:t>
            </w:r>
            <w:r w:rsidRPr="00687B52">
              <w:rPr>
                <w:rFonts w:asciiTheme="minorEastAsia" w:eastAsiaTheme="minorEastAsia" w:hAnsiTheme="minorEastAsia" w:hint="eastAsia"/>
                <w:color w:val="000000" w:themeColor="text1"/>
                <w:szCs w:val="24"/>
              </w:rPr>
              <w:t>条</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1598"/>
          <w:jc w:val="center"/>
        </w:trPr>
        <w:tc>
          <w:tcPr>
            <w:tcW w:w="96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1.4</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场所</w:t>
            </w:r>
            <w:r w:rsidR="001655A7" w:rsidRPr="00687B52">
              <w:rPr>
                <w:rFonts w:asciiTheme="minorEastAsia" w:eastAsiaTheme="minorEastAsia" w:hAnsiTheme="minorEastAsia" w:hint="eastAsia"/>
                <w:color w:val="000000" w:themeColor="text1"/>
                <w:szCs w:val="24"/>
              </w:rPr>
              <w:t>应</w:t>
            </w:r>
            <w:r w:rsidRPr="00687B52">
              <w:rPr>
                <w:rFonts w:asciiTheme="minorEastAsia" w:eastAsiaTheme="minorEastAsia" w:hAnsiTheme="minorEastAsia" w:hint="eastAsia"/>
                <w:color w:val="000000" w:themeColor="text1"/>
                <w:szCs w:val="24"/>
              </w:rPr>
              <w:t>按《危险化学品重大危险源监督管理暂行规定》（安监总局令第40号令发布，第79号修订)）确定外部安全防护距离，并计算风险；下列敏感目标是否在安全防护距离之外，个人风险和社会风险是否可接受：</w:t>
            </w:r>
          </w:p>
          <w:p w:rsidR="003E1D2A" w:rsidRPr="00687B52" w:rsidRDefault="003E1D2A" w:rsidP="00D9787F">
            <w:pPr>
              <w:pStyle w:val="a7"/>
              <w:numPr>
                <w:ilvl w:val="0"/>
                <w:numId w:val="134"/>
              </w:numPr>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居民区、商业中心、公园等人口密集区域；</w:t>
            </w:r>
          </w:p>
          <w:p w:rsidR="003E1D2A" w:rsidRPr="00687B52" w:rsidRDefault="003E1D2A" w:rsidP="00D9787F">
            <w:pPr>
              <w:pStyle w:val="a7"/>
              <w:numPr>
                <w:ilvl w:val="0"/>
                <w:numId w:val="134"/>
              </w:numPr>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学校、医院、影剧院、体育场（馆）等公共设施；</w:t>
            </w:r>
          </w:p>
          <w:p w:rsidR="003E1D2A" w:rsidRPr="00687B52" w:rsidRDefault="003E1D2A" w:rsidP="00D9787F">
            <w:pPr>
              <w:pStyle w:val="a7"/>
              <w:numPr>
                <w:ilvl w:val="0"/>
                <w:numId w:val="134"/>
              </w:numPr>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供水水源、水厂及水源保护区；</w:t>
            </w:r>
          </w:p>
          <w:p w:rsidR="003E1D2A" w:rsidRPr="00687B52" w:rsidRDefault="003E1D2A" w:rsidP="00D9787F">
            <w:pPr>
              <w:pStyle w:val="a7"/>
              <w:numPr>
                <w:ilvl w:val="0"/>
                <w:numId w:val="134"/>
              </w:numPr>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车站、码头（按照国家规定，经批准专门从事危险化学品装卸作业的除外）、机场以及公路、铁路、水路交通干线、地铁风亭及出入口；</w:t>
            </w:r>
          </w:p>
          <w:p w:rsidR="003E1D2A" w:rsidRPr="00687B52" w:rsidRDefault="003E1D2A" w:rsidP="00D9787F">
            <w:pPr>
              <w:pStyle w:val="a7"/>
              <w:numPr>
                <w:ilvl w:val="0"/>
                <w:numId w:val="134"/>
              </w:numPr>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基本农田保护区、畜牧区、渔业水域和种子、种畜、水产苗种生产基；</w:t>
            </w:r>
          </w:p>
          <w:p w:rsidR="003E1D2A" w:rsidRPr="00687B52" w:rsidRDefault="003E1D2A" w:rsidP="00D9787F">
            <w:pPr>
              <w:pStyle w:val="a7"/>
              <w:numPr>
                <w:ilvl w:val="0"/>
                <w:numId w:val="134"/>
              </w:numPr>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河流、湖泊、风景名胜区和自然保护区；</w:t>
            </w:r>
          </w:p>
          <w:p w:rsidR="003E1D2A" w:rsidRPr="00687B52" w:rsidRDefault="003E1D2A" w:rsidP="00D9787F">
            <w:pPr>
              <w:pStyle w:val="a7"/>
              <w:numPr>
                <w:ilvl w:val="0"/>
                <w:numId w:val="134"/>
              </w:numPr>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军事禁区、军事管理区；</w:t>
            </w:r>
          </w:p>
          <w:p w:rsidR="003E1D2A" w:rsidRPr="00687B52" w:rsidRDefault="003E1D2A" w:rsidP="00D9787F">
            <w:pPr>
              <w:pStyle w:val="a7"/>
              <w:numPr>
                <w:ilvl w:val="0"/>
                <w:numId w:val="134"/>
              </w:numPr>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法律、行政法规规定予以保护的其他区域。</w:t>
            </w:r>
          </w:p>
        </w:tc>
        <w:tc>
          <w:tcPr>
            <w:tcW w:w="2977" w:type="dxa"/>
            <w:vAlign w:val="center"/>
          </w:tcPr>
          <w:p w:rsidR="003E1D2A" w:rsidRPr="00687B52" w:rsidRDefault="003E1D2A" w:rsidP="003E1D2A">
            <w:pPr>
              <w:pStyle w:val="a7"/>
              <w:jc w:val="both"/>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《危险化学品安全管理条例》第十九条</w:t>
            </w:r>
          </w:p>
        </w:tc>
        <w:tc>
          <w:tcPr>
            <w:tcW w:w="2787" w:type="dxa"/>
            <w:vAlign w:val="center"/>
          </w:tcPr>
          <w:p w:rsidR="003E1D2A" w:rsidRPr="00687B52" w:rsidRDefault="003E1D2A" w:rsidP="003E1D2A">
            <w:pPr>
              <w:pStyle w:val="a7"/>
              <w:ind w:firstLineChars="150" w:firstLine="360"/>
              <w:jc w:val="left"/>
              <w:rPr>
                <w:rFonts w:asciiTheme="minorEastAsia" w:eastAsiaTheme="minorEastAsia" w:hAnsiTheme="minorEastAsia"/>
                <w:color w:val="000000" w:themeColor="text1"/>
                <w:szCs w:val="24"/>
              </w:rPr>
            </w:pPr>
          </w:p>
        </w:tc>
      </w:tr>
      <w:tr w:rsidR="003E1D2A" w:rsidRPr="00687B52" w:rsidTr="00A0611B">
        <w:trPr>
          <w:trHeight w:val="1465"/>
          <w:jc w:val="center"/>
        </w:trPr>
        <w:tc>
          <w:tcPr>
            <w:tcW w:w="96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1.5</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地点设置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 危险化学品仓库按其使用性质和经营规模分为三种类型：大型仓库（库房或货场总面大于9000m</w:t>
            </w:r>
            <w:r w:rsidRPr="00687B52">
              <w:rPr>
                <w:rFonts w:asciiTheme="minorEastAsia" w:eastAsiaTheme="minorEastAsia" w:hAnsiTheme="minorEastAsia" w:hint="eastAsia"/>
                <w:color w:val="000000" w:themeColor="text1"/>
                <w:szCs w:val="24"/>
                <w:vertAlign w:val="superscript"/>
              </w:rPr>
              <w:t>2</w:t>
            </w:r>
            <w:r w:rsidRPr="00687B52">
              <w:rPr>
                <w:rFonts w:asciiTheme="minorEastAsia" w:eastAsiaTheme="minorEastAsia" w:hAnsiTheme="minorEastAsia" w:hint="eastAsia"/>
                <w:color w:val="000000" w:themeColor="text1"/>
                <w:szCs w:val="24"/>
              </w:rPr>
              <w:t>）；中型仓库（库房或货场总面积在550m2~9000m</w:t>
            </w:r>
            <w:r w:rsidRPr="00687B52">
              <w:rPr>
                <w:rFonts w:asciiTheme="minorEastAsia" w:eastAsiaTheme="minorEastAsia" w:hAnsiTheme="minorEastAsia" w:hint="eastAsia"/>
                <w:color w:val="000000" w:themeColor="text1"/>
                <w:szCs w:val="24"/>
                <w:vertAlign w:val="superscript"/>
              </w:rPr>
              <w:t>2</w:t>
            </w:r>
            <w:r w:rsidRPr="00687B52">
              <w:rPr>
                <w:rFonts w:asciiTheme="minorEastAsia" w:eastAsiaTheme="minorEastAsia" w:hAnsiTheme="minorEastAsia" w:hint="eastAsia"/>
                <w:color w:val="000000" w:themeColor="text1"/>
                <w:szCs w:val="24"/>
              </w:rPr>
              <w:t>之间）；小型仓库（库房或货场总面积小于550m</w:t>
            </w:r>
            <w:r w:rsidRPr="00687B52">
              <w:rPr>
                <w:rFonts w:asciiTheme="minorEastAsia" w:eastAsiaTheme="minorEastAsia" w:hAnsiTheme="minorEastAsia" w:hint="eastAsia"/>
                <w:color w:val="000000" w:themeColor="text1"/>
                <w:szCs w:val="24"/>
                <w:vertAlign w:val="superscript"/>
              </w:rPr>
              <w:t>2</w:t>
            </w:r>
            <w:r w:rsidRPr="00687B52">
              <w:rPr>
                <w:rFonts w:asciiTheme="minorEastAsia" w:eastAsiaTheme="minorEastAsia" w:hAnsiTheme="minorEastAsia" w:hint="eastAsia"/>
                <w:color w:val="000000" w:themeColor="text1"/>
                <w:szCs w:val="24"/>
              </w:rPr>
              <w:t xml:space="preserve">）；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2) 大中型危险化学品仓库应选址在远离市区和居民区的当在主导风向的下风向和河流下游的地域；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3) 大中型危险化学品仓库应与周围公共建筑物、交通干线（公路、铁路、水路）、工矿企业等距离至少保持1000m；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 xml:space="preserve">4) 大中型危险化学品仓库内应设库区和生活区，两区之间应有2m以上的实体围墙，围墙与库区内建筑的距离不宜小于5m，并应满足围墙建筑物之间的防火距离要求；  </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《危险化学品经营企业开业条件和技术要求》GB18265-2000第6.1.1条</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137"/>
          <w:jc w:val="center"/>
        </w:trPr>
        <w:tc>
          <w:tcPr>
            <w:tcW w:w="96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1.6</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毒害性商品仓库应远离居民区和水源。</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《毒害性商品储存养护技术条件》GB17916-2013第4.2.1</w:t>
            </w:r>
          </w:p>
        </w:tc>
        <w:tc>
          <w:tcPr>
            <w:tcW w:w="2787" w:type="dxa"/>
            <w:vAlign w:val="center"/>
          </w:tcPr>
          <w:p w:rsidR="003E1D2A" w:rsidRPr="00687B52" w:rsidRDefault="003E1D2A" w:rsidP="003E1D2A">
            <w:pPr>
              <w:pStyle w:val="a7"/>
              <w:rPr>
                <w:rFonts w:asciiTheme="minorEastAsia" w:hAnsiTheme="minorEastAsia"/>
                <w:color w:val="000000" w:themeColor="text1"/>
                <w:szCs w:val="24"/>
              </w:rPr>
            </w:pPr>
          </w:p>
        </w:tc>
      </w:tr>
      <w:tr w:rsidR="003E1D2A" w:rsidRPr="00687B52" w:rsidTr="00A0611B">
        <w:trPr>
          <w:trHeight w:val="2539"/>
          <w:jc w:val="center"/>
        </w:trPr>
        <w:tc>
          <w:tcPr>
            <w:tcW w:w="96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1.7</w:t>
            </w:r>
          </w:p>
        </w:tc>
        <w:tc>
          <w:tcPr>
            <w:tcW w:w="7849" w:type="dxa"/>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甲类仓库之间及与其他建筑、明火或散发火花地点、铁路、道路等的防火间距不应小于下表的规定。</w:t>
            </w:r>
          </w:p>
          <w:tbl>
            <w:tblPr>
              <w:tblW w:w="7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240"/>
              <w:gridCol w:w="1253"/>
              <w:gridCol w:w="1044"/>
              <w:gridCol w:w="835"/>
              <w:gridCol w:w="1149"/>
              <w:gridCol w:w="1143"/>
            </w:tblGrid>
            <w:tr w:rsidR="003E1D2A" w:rsidRPr="00687B52" w:rsidTr="003E1D2A">
              <w:trPr>
                <w:trHeight w:val="218"/>
              </w:trPr>
              <w:tc>
                <w:tcPr>
                  <w:tcW w:w="3129" w:type="dxa"/>
                  <w:gridSpan w:val="3"/>
                  <w:vMerge w:val="restart"/>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名称</w:t>
                  </w:r>
                </w:p>
              </w:tc>
              <w:tc>
                <w:tcPr>
                  <w:tcW w:w="4171" w:type="dxa"/>
                  <w:gridSpan w:val="4"/>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甲类仓库（储量，t）</w:t>
                  </w:r>
                </w:p>
              </w:tc>
            </w:tr>
            <w:tr w:rsidR="003E1D2A" w:rsidRPr="00687B52" w:rsidTr="003E1D2A">
              <w:trPr>
                <w:trHeight w:val="426"/>
              </w:trPr>
              <w:tc>
                <w:tcPr>
                  <w:tcW w:w="3129" w:type="dxa"/>
                  <w:gridSpan w:val="3"/>
                  <w:vMerge/>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p>
              </w:tc>
              <w:tc>
                <w:tcPr>
                  <w:tcW w:w="1879" w:type="dxa"/>
                  <w:gridSpan w:val="2"/>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甲类储存物品第3、4项</w:t>
                  </w:r>
                </w:p>
              </w:tc>
              <w:tc>
                <w:tcPr>
                  <w:tcW w:w="2292" w:type="dxa"/>
                  <w:gridSpan w:val="2"/>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甲类储存物品第1、2、</w:t>
                  </w:r>
                  <w:r w:rsidRPr="00687B52">
                    <w:rPr>
                      <w:rFonts w:ascii="仿宋_GB2312" w:eastAsia="仿宋_GB2312" w:hAnsi="黑体" w:cs="Segoe UI" w:hint="eastAsia"/>
                      <w:bCs/>
                      <w:iCs/>
                      <w:color w:val="000000" w:themeColor="text1"/>
                      <w:sz w:val="18"/>
                      <w:szCs w:val="18"/>
                    </w:rPr>
                    <w:t>5</w:t>
                  </w:r>
                  <w:r w:rsidRPr="00687B52">
                    <w:rPr>
                      <w:rFonts w:ascii="仿宋_GB2312" w:eastAsia="仿宋_GB2312" w:hAnsi="黑体" w:cs="Segoe UI" w:hint="eastAsia"/>
                      <w:bCs/>
                      <w:i/>
                      <w:iCs/>
                      <w:color w:val="000000" w:themeColor="text1"/>
                      <w:sz w:val="18"/>
                      <w:szCs w:val="18"/>
                    </w:rPr>
                    <w:t>、</w:t>
                  </w:r>
                  <w:r w:rsidRPr="00687B52">
                    <w:rPr>
                      <w:rFonts w:ascii="仿宋_GB2312" w:eastAsia="仿宋_GB2312" w:hAnsi="黑体" w:cs="Segoe UI" w:hint="eastAsia"/>
                      <w:bCs/>
                      <w:color w:val="000000" w:themeColor="text1"/>
                      <w:sz w:val="18"/>
                      <w:szCs w:val="18"/>
                    </w:rPr>
                    <w:t>6项</w:t>
                  </w:r>
                </w:p>
              </w:tc>
            </w:tr>
            <w:tr w:rsidR="003E1D2A" w:rsidRPr="00687B52" w:rsidTr="003E1D2A">
              <w:trPr>
                <w:trHeight w:val="218"/>
              </w:trPr>
              <w:tc>
                <w:tcPr>
                  <w:tcW w:w="3129" w:type="dxa"/>
                  <w:gridSpan w:val="3"/>
                  <w:vMerge/>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p>
              </w:tc>
              <w:tc>
                <w:tcPr>
                  <w:tcW w:w="1044"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≤5</w:t>
                  </w:r>
                </w:p>
              </w:tc>
              <w:tc>
                <w:tcPr>
                  <w:tcW w:w="835"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＞5</w:t>
                  </w:r>
                </w:p>
              </w:tc>
              <w:tc>
                <w:tcPr>
                  <w:tcW w:w="1149"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≤10</w:t>
                  </w:r>
                </w:p>
              </w:tc>
              <w:tc>
                <w:tcPr>
                  <w:tcW w:w="1143"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＞10</w:t>
                  </w:r>
                </w:p>
              </w:tc>
            </w:tr>
            <w:tr w:rsidR="003E1D2A" w:rsidRPr="00687B52" w:rsidTr="003E1D2A">
              <w:trPr>
                <w:trHeight w:val="218"/>
              </w:trPr>
              <w:tc>
                <w:tcPr>
                  <w:tcW w:w="3129" w:type="dxa"/>
                  <w:gridSpan w:val="3"/>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高层民用建筑、重要公共建筑</w:t>
                  </w:r>
                </w:p>
              </w:tc>
              <w:tc>
                <w:tcPr>
                  <w:tcW w:w="4171" w:type="dxa"/>
                  <w:gridSpan w:val="4"/>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50</w:t>
                  </w:r>
                </w:p>
              </w:tc>
            </w:tr>
            <w:tr w:rsidR="003E1D2A" w:rsidRPr="00687B52" w:rsidTr="003E1D2A">
              <w:trPr>
                <w:trHeight w:val="426"/>
              </w:trPr>
              <w:tc>
                <w:tcPr>
                  <w:tcW w:w="3129" w:type="dxa"/>
                  <w:gridSpan w:val="3"/>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裙房、其他民用建筑、明火或散发火花地点</w:t>
                  </w:r>
                </w:p>
              </w:tc>
              <w:tc>
                <w:tcPr>
                  <w:tcW w:w="1044"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30</w:t>
                  </w:r>
                </w:p>
              </w:tc>
              <w:tc>
                <w:tcPr>
                  <w:tcW w:w="835"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40</w:t>
                  </w:r>
                </w:p>
              </w:tc>
              <w:tc>
                <w:tcPr>
                  <w:tcW w:w="1149"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25</w:t>
                  </w:r>
                </w:p>
              </w:tc>
              <w:tc>
                <w:tcPr>
                  <w:tcW w:w="1143"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30</w:t>
                  </w:r>
                </w:p>
              </w:tc>
            </w:tr>
            <w:tr w:rsidR="003E1D2A" w:rsidRPr="00687B52" w:rsidTr="003E1D2A">
              <w:trPr>
                <w:trHeight w:val="218"/>
              </w:trPr>
              <w:tc>
                <w:tcPr>
                  <w:tcW w:w="3129" w:type="dxa"/>
                  <w:gridSpan w:val="3"/>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甲类仓库</w:t>
                  </w:r>
                </w:p>
              </w:tc>
              <w:tc>
                <w:tcPr>
                  <w:tcW w:w="1044"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20</w:t>
                  </w:r>
                </w:p>
              </w:tc>
              <w:tc>
                <w:tcPr>
                  <w:tcW w:w="835"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20</w:t>
                  </w:r>
                </w:p>
              </w:tc>
              <w:tc>
                <w:tcPr>
                  <w:tcW w:w="1149"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20</w:t>
                  </w:r>
                </w:p>
              </w:tc>
              <w:tc>
                <w:tcPr>
                  <w:tcW w:w="1143"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20</w:t>
                  </w:r>
                </w:p>
              </w:tc>
            </w:tr>
            <w:tr w:rsidR="003E1D2A" w:rsidRPr="00687B52" w:rsidTr="003E1D2A">
              <w:trPr>
                <w:trHeight w:val="218"/>
              </w:trPr>
              <w:tc>
                <w:tcPr>
                  <w:tcW w:w="1876" w:type="dxa"/>
                  <w:gridSpan w:val="2"/>
                  <w:vMerge w:val="restart"/>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厂房和乙、丙、丁、戊类仓库</w:t>
                  </w:r>
                </w:p>
              </w:tc>
              <w:tc>
                <w:tcPr>
                  <w:tcW w:w="1253"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―、二级</w:t>
                  </w:r>
                </w:p>
              </w:tc>
              <w:tc>
                <w:tcPr>
                  <w:tcW w:w="1044"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15</w:t>
                  </w:r>
                </w:p>
              </w:tc>
              <w:tc>
                <w:tcPr>
                  <w:tcW w:w="835"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20</w:t>
                  </w:r>
                </w:p>
              </w:tc>
              <w:tc>
                <w:tcPr>
                  <w:tcW w:w="1149"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12</w:t>
                  </w:r>
                </w:p>
              </w:tc>
              <w:tc>
                <w:tcPr>
                  <w:tcW w:w="1143"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15</w:t>
                  </w:r>
                </w:p>
              </w:tc>
            </w:tr>
            <w:tr w:rsidR="003E1D2A" w:rsidRPr="00687B52" w:rsidTr="003E1D2A">
              <w:trPr>
                <w:trHeight w:val="218"/>
              </w:trPr>
              <w:tc>
                <w:tcPr>
                  <w:tcW w:w="1876" w:type="dxa"/>
                  <w:gridSpan w:val="2"/>
                  <w:vMerge/>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p>
              </w:tc>
              <w:tc>
                <w:tcPr>
                  <w:tcW w:w="1253"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三级</w:t>
                  </w:r>
                </w:p>
              </w:tc>
              <w:tc>
                <w:tcPr>
                  <w:tcW w:w="1044"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20</w:t>
                  </w:r>
                </w:p>
              </w:tc>
              <w:tc>
                <w:tcPr>
                  <w:tcW w:w="835"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25</w:t>
                  </w:r>
                </w:p>
              </w:tc>
              <w:tc>
                <w:tcPr>
                  <w:tcW w:w="1149"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15</w:t>
                  </w:r>
                </w:p>
              </w:tc>
              <w:tc>
                <w:tcPr>
                  <w:tcW w:w="1143"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20</w:t>
                  </w:r>
                </w:p>
              </w:tc>
            </w:tr>
            <w:tr w:rsidR="003E1D2A" w:rsidRPr="00687B52" w:rsidTr="003E1D2A">
              <w:trPr>
                <w:trHeight w:val="218"/>
              </w:trPr>
              <w:tc>
                <w:tcPr>
                  <w:tcW w:w="1876" w:type="dxa"/>
                  <w:gridSpan w:val="2"/>
                  <w:vMerge/>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p>
              </w:tc>
              <w:tc>
                <w:tcPr>
                  <w:tcW w:w="1253"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四级</w:t>
                  </w:r>
                </w:p>
              </w:tc>
              <w:tc>
                <w:tcPr>
                  <w:tcW w:w="1044"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25</w:t>
                  </w:r>
                </w:p>
              </w:tc>
              <w:tc>
                <w:tcPr>
                  <w:tcW w:w="835"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30</w:t>
                  </w:r>
                </w:p>
              </w:tc>
              <w:tc>
                <w:tcPr>
                  <w:tcW w:w="1149"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20</w:t>
                  </w:r>
                </w:p>
              </w:tc>
              <w:tc>
                <w:tcPr>
                  <w:tcW w:w="1143"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25</w:t>
                  </w:r>
                </w:p>
              </w:tc>
            </w:tr>
            <w:tr w:rsidR="003E1D2A" w:rsidRPr="00687B52" w:rsidTr="003E1D2A">
              <w:trPr>
                <w:trHeight w:val="843"/>
              </w:trPr>
              <w:tc>
                <w:tcPr>
                  <w:tcW w:w="3129" w:type="dxa"/>
                  <w:gridSpan w:val="3"/>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电力系统电压为35kV</w:t>
                  </w:r>
                  <w:r w:rsidRPr="00687B52">
                    <w:rPr>
                      <w:rFonts w:ascii="仿宋_GB2312" w:eastAsia="仿宋_GB2312" w:hAnsi="微软雅黑" w:cs="微软雅黑" w:hint="eastAsia"/>
                      <w:bCs/>
                      <w:color w:val="000000" w:themeColor="text1"/>
                      <w:sz w:val="18"/>
                      <w:szCs w:val="18"/>
                    </w:rPr>
                    <w:t>-</w:t>
                  </w:r>
                  <w:r w:rsidRPr="00687B52">
                    <w:rPr>
                      <w:rFonts w:ascii="仿宋_GB2312" w:eastAsia="仿宋_GB2312" w:hAnsi="黑体" w:cs="Segoe UI" w:hint="eastAsia"/>
                      <w:bCs/>
                      <w:color w:val="000000" w:themeColor="text1"/>
                      <w:sz w:val="18"/>
                      <w:szCs w:val="18"/>
                    </w:rPr>
                    <w:t>500kV且每台变压器容量不小于10MVA的室外变、配电站，工业企业的变压器总油量大于5t的室外降压变电站</w:t>
                  </w:r>
                </w:p>
              </w:tc>
              <w:tc>
                <w:tcPr>
                  <w:tcW w:w="1044"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30</w:t>
                  </w:r>
                </w:p>
              </w:tc>
              <w:tc>
                <w:tcPr>
                  <w:tcW w:w="835"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40</w:t>
                  </w:r>
                </w:p>
              </w:tc>
              <w:tc>
                <w:tcPr>
                  <w:tcW w:w="1149"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25</w:t>
                  </w:r>
                </w:p>
              </w:tc>
              <w:tc>
                <w:tcPr>
                  <w:tcW w:w="1143" w:type="dxa"/>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30</w:t>
                  </w:r>
                </w:p>
              </w:tc>
            </w:tr>
            <w:tr w:rsidR="003E1D2A" w:rsidRPr="00687B52" w:rsidTr="003E1D2A">
              <w:trPr>
                <w:trHeight w:val="218"/>
              </w:trPr>
              <w:tc>
                <w:tcPr>
                  <w:tcW w:w="3129" w:type="dxa"/>
                  <w:gridSpan w:val="3"/>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厂外铁路线中心线</w:t>
                  </w:r>
                </w:p>
              </w:tc>
              <w:tc>
                <w:tcPr>
                  <w:tcW w:w="4171" w:type="dxa"/>
                  <w:gridSpan w:val="4"/>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40</w:t>
                  </w:r>
                </w:p>
              </w:tc>
            </w:tr>
            <w:tr w:rsidR="003E1D2A" w:rsidRPr="00687B52" w:rsidTr="003E1D2A">
              <w:trPr>
                <w:trHeight w:val="218"/>
              </w:trPr>
              <w:tc>
                <w:tcPr>
                  <w:tcW w:w="3129" w:type="dxa"/>
                  <w:gridSpan w:val="3"/>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厂内铁路线中心线</w:t>
                  </w:r>
                </w:p>
              </w:tc>
              <w:tc>
                <w:tcPr>
                  <w:tcW w:w="4171" w:type="dxa"/>
                  <w:gridSpan w:val="4"/>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30</w:t>
                  </w:r>
                </w:p>
              </w:tc>
            </w:tr>
            <w:tr w:rsidR="003E1D2A" w:rsidRPr="00687B52" w:rsidTr="003E1D2A">
              <w:trPr>
                <w:trHeight w:val="218"/>
              </w:trPr>
              <w:tc>
                <w:tcPr>
                  <w:tcW w:w="3129" w:type="dxa"/>
                  <w:gridSpan w:val="3"/>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厂外道路路边</w:t>
                  </w:r>
                </w:p>
              </w:tc>
              <w:tc>
                <w:tcPr>
                  <w:tcW w:w="4171" w:type="dxa"/>
                  <w:gridSpan w:val="4"/>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20</w:t>
                  </w:r>
                </w:p>
              </w:tc>
            </w:tr>
            <w:tr w:rsidR="003E1D2A" w:rsidRPr="00687B52" w:rsidTr="003E1D2A">
              <w:trPr>
                <w:trHeight w:val="218"/>
              </w:trPr>
              <w:tc>
                <w:tcPr>
                  <w:tcW w:w="1636" w:type="dxa"/>
                  <w:vMerge w:val="restart"/>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厂内道路路边</w:t>
                  </w:r>
                </w:p>
              </w:tc>
              <w:tc>
                <w:tcPr>
                  <w:tcW w:w="1493" w:type="dxa"/>
                  <w:gridSpan w:val="2"/>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主要</w:t>
                  </w:r>
                </w:p>
              </w:tc>
              <w:tc>
                <w:tcPr>
                  <w:tcW w:w="4171" w:type="dxa"/>
                  <w:gridSpan w:val="4"/>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10</w:t>
                  </w:r>
                </w:p>
              </w:tc>
            </w:tr>
            <w:tr w:rsidR="003E1D2A" w:rsidRPr="00687B52" w:rsidTr="003E1D2A">
              <w:trPr>
                <w:trHeight w:val="227"/>
              </w:trPr>
              <w:tc>
                <w:tcPr>
                  <w:tcW w:w="1636" w:type="dxa"/>
                  <w:vMerge/>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p>
              </w:tc>
              <w:tc>
                <w:tcPr>
                  <w:tcW w:w="1493" w:type="dxa"/>
                  <w:gridSpan w:val="2"/>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次要</w:t>
                  </w:r>
                </w:p>
              </w:tc>
              <w:tc>
                <w:tcPr>
                  <w:tcW w:w="4171" w:type="dxa"/>
                  <w:gridSpan w:val="4"/>
                  <w:vAlign w:val="center"/>
                </w:tcPr>
                <w:p w:rsidR="003E1D2A" w:rsidRPr="00687B52" w:rsidRDefault="003E1D2A" w:rsidP="003E1D2A">
                  <w:pPr>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5</w:t>
                  </w:r>
                </w:p>
              </w:tc>
            </w:tr>
          </w:tbl>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 w:val="18"/>
                <w:szCs w:val="18"/>
              </w:rPr>
              <w:t>注：甲类仓库之间的防火间距，当第3、4项物品储量不大于2t，第1、2、5、6项物品储量不大于5t时，不应小于12m，甲类仓库与高层仓库的防火间距不应小于13m。</w:t>
            </w:r>
          </w:p>
        </w:tc>
        <w:tc>
          <w:tcPr>
            <w:tcW w:w="297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《建筑设计防火规范》GB50016-2014第3.5.1</w:t>
            </w:r>
          </w:p>
        </w:tc>
        <w:tc>
          <w:tcPr>
            <w:tcW w:w="2787" w:type="dxa"/>
            <w:vAlign w:val="center"/>
          </w:tcPr>
          <w:p w:rsidR="003E1D2A" w:rsidRPr="00687B52" w:rsidRDefault="003E1D2A" w:rsidP="003E1D2A">
            <w:pPr>
              <w:jc w:val="center"/>
              <w:rPr>
                <w:rFonts w:asciiTheme="minorEastAsia" w:hAnsiTheme="minorEastAsia"/>
                <w:b/>
                <w:bCs/>
                <w:color w:val="000000" w:themeColor="text1"/>
                <w:sz w:val="24"/>
              </w:rPr>
            </w:pPr>
          </w:p>
        </w:tc>
      </w:tr>
      <w:tr w:rsidR="003E1D2A" w:rsidRPr="00687B52" w:rsidTr="00A0611B">
        <w:trPr>
          <w:trHeight w:val="792"/>
          <w:jc w:val="center"/>
        </w:trPr>
        <w:tc>
          <w:tcPr>
            <w:tcW w:w="96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1.8</w:t>
            </w:r>
          </w:p>
        </w:tc>
        <w:tc>
          <w:tcPr>
            <w:tcW w:w="7849" w:type="dxa"/>
            <w:vAlign w:val="center"/>
          </w:tcPr>
          <w:p w:rsidR="00866EAA" w:rsidRPr="00687B52" w:rsidRDefault="00866EAA" w:rsidP="003E1D2A">
            <w:pPr>
              <w:pStyle w:val="a7"/>
              <w:jc w:val="left"/>
              <w:rPr>
                <w:rFonts w:asciiTheme="minorEastAsia" w:eastAsiaTheme="minorEastAsia" w:hAnsiTheme="minorEastAsia"/>
                <w:color w:val="000000" w:themeColor="text1"/>
                <w:szCs w:val="24"/>
              </w:rPr>
            </w:pP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乙、丙、丁、戊类仓库之间及与民用建筑的防火间距，不应小于下表的规定。</w:t>
            </w:r>
          </w:p>
          <w:p w:rsidR="00547806" w:rsidRPr="00687B52" w:rsidRDefault="00547806" w:rsidP="003E1D2A">
            <w:pPr>
              <w:pStyle w:val="a7"/>
              <w:jc w:val="left"/>
              <w:rPr>
                <w:rFonts w:asciiTheme="minorEastAsia" w:eastAsiaTheme="minorEastAsia" w:hAnsiTheme="minorEastAsia"/>
                <w:color w:val="000000" w:themeColor="text1"/>
                <w:szCs w:val="24"/>
              </w:rPr>
            </w:pPr>
          </w:p>
          <w:tbl>
            <w:tblPr>
              <w:tblW w:w="7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728"/>
              <w:gridCol w:w="729"/>
              <w:gridCol w:w="522"/>
              <w:gridCol w:w="414"/>
              <w:gridCol w:w="522"/>
              <w:gridCol w:w="439"/>
              <w:gridCol w:w="497"/>
              <w:gridCol w:w="511"/>
              <w:gridCol w:w="427"/>
              <w:gridCol w:w="474"/>
              <w:gridCol w:w="462"/>
              <w:gridCol w:w="485"/>
              <w:gridCol w:w="449"/>
            </w:tblGrid>
            <w:tr w:rsidR="003E1D2A" w:rsidRPr="00687B52" w:rsidTr="003E1D2A">
              <w:trPr>
                <w:trHeight w:val="90"/>
              </w:trPr>
              <w:tc>
                <w:tcPr>
                  <w:tcW w:w="2078" w:type="dxa"/>
                  <w:gridSpan w:val="3"/>
                  <w:vMerge w:val="restart"/>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名称</w:t>
                  </w:r>
                </w:p>
              </w:tc>
              <w:tc>
                <w:tcPr>
                  <w:tcW w:w="1458" w:type="dxa"/>
                  <w:gridSpan w:val="3"/>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乙类仓库</w:t>
                  </w:r>
                </w:p>
              </w:tc>
              <w:tc>
                <w:tcPr>
                  <w:tcW w:w="1874" w:type="dxa"/>
                  <w:gridSpan w:val="4"/>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丙类仓库</w:t>
                  </w:r>
                </w:p>
              </w:tc>
              <w:tc>
                <w:tcPr>
                  <w:tcW w:w="1870" w:type="dxa"/>
                  <w:gridSpan w:val="4"/>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丁、戊类仓库</w:t>
                  </w:r>
                  <w:r w:rsidRPr="00687B52">
                    <w:rPr>
                      <w:rFonts w:ascii="仿宋_GB2312" w:eastAsia="仿宋_GB2312" w:hAnsi="黑体" w:cs="Segoe UI" w:hint="eastAsia"/>
                      <w:color w:val="000000" w:themeColor="text1"/>
                      <w:sz w:val="18"/>
                      <w:szCs w:val="18"/>
                    </w:rPr>
                    <w:t>,</w:t>
                  </w:r>
                </w:p>
              </w:tc>
            </w:tr>
            <w:tr w:rsidR="003E1D2A" w:rsidRPr="00687B52" w:rsidTr="003E1D2A">
              <w:trPr>
                <w:trHeight w:val="147"/>
              </w:trPr>
              <w:tc>
                <w:tcPr>
                  <w:tcW w:w="2078" w:type="dxa"/>
                  <w:gridSpan w:val="3"/>
                  <w:vMerge/>
                  <w:vAlign w:val="center"/>
                </w:tcPr>
                <w:p w:rsidR="003E1D2A" w:rsidRPr="00687B52" w:rsidRDefault="003E1D2A" w:rsidP="003E1D2A">
                  <w:pPr>
                    <w:jc w:val="center"/>
                    <w:rPr>
                      <w:rFonts w:ascii="仿宋_GB2312" w:eastAsia="仿宋_GB2312" w:hAnsi="黑体" w:cs="Segoe UI"/>
                      <w:bCs/>
                      <w:color w:val="000000" w:themeColor="text1"/>
                      <w:sz w:val="18"/>
                      <w:szCs w:val="18"/>
                    </w:rPr>
                  </w:pPr>
                </w:p>
              </w:tc>
              <w:tc>
                <w:tcPr>
                  <w:tcW w:w="936" w:type="dxa"/>
                  <w:gridSpan w:val="2"/>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单、多层</w:t>
                  </w:r>
                </w:p>
              </w:tc>
              <w:tc>
                <w:tcPr>
                  <w:tcW w:w="522" w:type="dxa"/>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高层</w:t>
                  </w:r>
                </w:p>
              </w:tc>
              <w:tc>
                <w:tcPr>
                  <w:tcW w:w="1447" w:type="dxa"/>
                  <w:gridSpan w:val="3"/>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bCs/>
                      <w:color w:val="000000" w:themeColor="text1"/>
                      <w:sz w:val="18"/>
                      <w:szCs w:val="18"/>
                    </w:rPr>
                    <w:t>单、多层</w:t>
                  </w:r>
                </w:p>
              </w:tc>
              <w:tc>
                <w:tcPr>
                  <w:tcW w:w="427" w:type="dxa"/>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高层</w:t>
                  </w:r>
                </w:p>
              </w:tc>
              <w:tc>
                <w:tcPr>
                  <w:tcW w:w="1421" w:type="dxa"/>
                  <w:gridSpan w:val="3"/>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单、多层</w:t>
                  </w:r>
                </w:p>
              </w:tc>
              <w:tc>
                <w:tcPr>
                  <w:tcW w:w="449" w:type="dxa"/>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高层</w:t>
                  </w:r>
                </w:p>
              </w:tc>
            </w:tr>
            <w:tr w:rsidR="003E1D2A" w:rsidRPr="00687B52" w:rsidTr="003E1D2A">
              <w:trPr>
                <w:trHeight w:val="292"/>
              </w:trPr>
              <w:tc>
                <w:tcPr>
                  <w:tcW w:w="2078" w:type="dxa"/>
                  <w:gridSpan w:val="3"/>
                  <w:vMerge/>
                  <w:vAlign w:val="center"/>
                </w:tcPr>
                <w:p w:rsidR="003E1D2A" w:rsidRPr="00687B52" w:rsidRDefault="003E1D2A" w:rsidP="003E1D2A">
                  <w:pPr>
                    <w:jc w:val="center"/>
                    <w:rPr>
                      <w:rFonts w:ascii="仿宋_GB2312" w:eastAsia="仿宋_GB2312" w:hAnsi="黑体" w:cs="Segoe UI"/>
                      <w:bCs/>
                      <w:color w:val="000000" w:themeColor="text1"/>
                      <w:sz w:val="18"/>
                      <w:szCs w:val="18"/>
                    </w:rPr>
                  </w:pPr>
                </w:p>
              </w:tc>
              <w:tc>
                <w:tcPr>
                  <w:tcW w:w="522" w:type="dxa"/>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一、二级</w:t>
                  </w:r>
                </w:p>
              </w:tc>
              <w:tc>
                <w:tcPr>
                  <w:tcW w:w="414" w:type="dxa"/>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三级</w:t>
                  </w:r>
                </w:p>
              </w:tc>
              <w:tc>
                <w:tcPr>
                  <w:tcW w:w="522" w:type="dxa"/>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―、二级</w:t>
                  </w:r>
                </w:p>
              </w:tc>
              <w:tc>
                <w:tcPr>
                  <w:tcW w:w="439"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w:t>
                  </w:r>
                  <w:r w:rsidRPr="00687B52">
                    <w:rPr>
                      <w:rFonts w:ascii="仿宋_GB2312" w:eastAsia="仿宋_GB2312" w:hAnsi="黑体" w:cs="Segoe UI" w:hint="eastAsia"/>
                      <w:bCs/>
                      <w:color w:val="000000" w:themeColor="text1"/>
                      <w:sz w:val="18"/>
                      <w:szCs w:val="18"/>
                    </w:rPr>
                    <w:t>、二级</w:t>
                  </w:r>
                </w:p>
              </w:tc>
              <w:tc>
                <w:tcPr>
                  <w:tcW w:w="497" w:type="dxa"/>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三级</w:t>
                  </w:r>
                </w:p>
              </w:tc>
              <w:tc>
                <w:tcPr>
                  <w:tcW w:w="511" w:type="dxa"/>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四级</w:t>
                  </w:r>
                </w:p>
              </w:tc>
              <w:tc>
                <w:tcPr>
                  <w:tcW w:w="427"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一</w:t>
                  </w:r>
                  <w:r w:rsidRPr="00687B52">
                    <w:rPr>
                      <w:rFonts w:ascii="仿宋_GB2312" w:eastAsia="仿宋_GB2312" w:hAnsi="黑体" w:cs="Segoe UI" w:hint="eastAsia"/>
                      <w:bCs/>
                      <w:color w:val="000000" w:themeColor="text1"/>
                      <w:sz w:val="18"/>
                      <w:szCs w:val="18"/>
                    </w:rPr>
                    <w:t>、</w:t>
                  </w:r>
                  <w:r w:rsidRPr="00687B52">
                    <w:rPr>
                      <w:rFonts w:ascii="仿宋_GB2312" w:eastAsia="仿宋_GB2312" w:hAnsi="黑体" w:cs="Segoe UI" w:hint="eastAsia"/>
                      <w:color w:val="000000" w:themeColor="text1"/>
                      <w:sz w:val="18"/>
                      <w:szCs w:val="18"/>
                    </w:rPr>
                    <w:t>二</w:t>
                  </w:r>
                  <w:r w:rsidRPr="00687B52">
                    <w:rPr>
                      <w:rFonts w:ascii="仿宋_GB2312" w:eastAsia="仿宋_GB2312" w:hAnsi="黑体" w:cs="Segoe UI" w:hint="eastAsia"/>
                      <w:bCs/>
                      <w:color w:val="000000" w:themeColor="text1"/>
                      <w:sz w:val="18"/>
                      <w:szCs w:val="18"/>
                    </w:rPr>
                    <w:t>级</w:t>
                  </w:r>
                </w:p>
              </w:tc>
              <w:tc>
                <w:tcPr>
                  <w:tcW w:w="474" w:type="dxa"/>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一、二级</w:t>
                  </w:r>
                </w:p>
              </w:tc>
              <w:tc>
                <w:tcPr>
                  <w:tcW w:w="462" w:type="dxa"/>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三级</w:t>
                  </w:r>
                </w:p>
              </w:tc>
              <w:tc>
                <w:tcPr>
                  <w:tcW w:w="485" w:type="dxa"/>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四级</w:t>
                  </w:r>
                </w:p>
              </w:tc>
              <w:tc>
                <w:tcPr>
                  <w:tcW w:w="449" w:type="dxa"/>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一、二级</w:t>
                  </w:r>
                </w:p>
              </w:tc>
            </w:tr>
            <w:tr w:rsidR="003E1D2A" w:rsidRPr="00687B52" w:rsidTr="003E1D2A">
              <w:trPr>
                <w:trHeight w:val="147"/>
              </w:trPr>
              <w:tc>
                <w:tcPr>
                  <w:tcW w:w="621" w:type="dxa"/>
                  <w:vMerge w:val="restart"/>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乙、丙、丁、戊类仓库</w:t>
                  </w:r>
                </w:p>
              </w:tc>
              <w:tc>
                <w:tcPr>
                  <w:tcW w:w="728" w:type="dxa"/>
                  <w:vMerge w:val="restart"/>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单、多层</w:t>
                  </w:r>
                </w:p>
              </w:tc>
              <w:tc>
                <w:tcPr>
                  <w:tcW w:w="729" w:type="dxa"/>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一、二级</w:t>
                  </w:r>
                </w:p>
              </w:tc>
              <w:tc>
                <w:tcPr>
                  <w:tcW w:w="522"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10</w:t>
                  </w:r>
                </w:p>
              </w:tc>
              <w:tc>
                <w:tcPr>
                  <w:tcW w:w="414"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12</w:t>
                  </w:r>
                </w:p>
              </w:tc>
              <w:tc>
                <w:tcPr>
                  <w:tcW w:w="522"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13</w:t>
                  </w:r>
                </w:p>
              </w:tc>
              <w:tc>
                <w:tcPr>
                  <w:tcW w:w="439"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10</w:t>
                  </w:r>
                </w:p>
              </w:tc>
              <w:tc>
                <w:tcPr>
                  <w:tcW w:w="497"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12</w:t>
                  </w:r>
                </w:p>
              </w:tc>
              <w:tc>
                <w:tcPr>
                  <w:tcW w:w="511"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14</w:t>
                  </w:r>
                </w:p>
              </w:tc>
              <w:tc>
                <w:tcPr>
                  <w:tcW w:w="427"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13</w:t>
                  </w:r>
                </w:p>
              </w:tc>
              <w:tc>
                <w:tcPr>
                  <w:tcW w:w="474"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10</w:t>
                  </w:r>
                </w:p>
              </w:tc>
              <w:tc>
                <w:tcPr>
                  <w:tcW w:w="462"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12</w:t>
                  </w:r>
                </w:p>
              </w:tc>
              <w:tc>
                <w:tcPr>
                  <w:tcW w:w="485"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14</w:t>
                  </w:r>
                </w:p>
              </w:tc>
              <w:tc>
                <w:tcPr>
                  <w:tcW w:w="449"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13</w:t>
                  </w:r>
                </w:p>
              </w:tc>
            </w:tr>
            <w:tr w:rsidR="003E1D2A" w:rsidRPr="00687B52" w:rsidTr="003E1D2A">
              <w:trPr>
                <w:trHeight w:val="116"/>
              </w:trPr>
              <w:tc>
                <w:tcPr>
                  <w:tcW w:w="621" w:type="dxa"/>
                  <w:vMerge/>
                  <w:vAlign w:val="center"/>
                </w:tcPr>
                <w:p w:rsidR="003E1D2A" w:rsidRPr="00687B52" w:rsidRDefault="003E1D2A" w:rsidP="003E1D2A">
                  <w:pPr>
                    <w:jc w:val="center"/>
                    <w:rPr>
                      <w:rFonts w:ascii="仿宋_GB2312" w:eastAsia="仿宋_GB2312" w:hAnsi="黑体" w:cs="Segoe UI"/>
                      <w:bCs/>
                      <w:color w:val="000000" w:themeColor="text1"/>
                      <w:sz w:val="18"/>
                      <w:szCs w:val="18"/>
                    </w:rPr>
                  </w:pPr>
                </w:p>
              </w:tc>
              <w:tc>
                <w:tcPr>
                  <w:tcW w:w="728" w:type="dxa"/>
                  <w:vMerge/>
                  <w:vAlign w:val="center"/>
                </w:tcPr>
                <w:p w:rsidR="003E1D2A" w:rsidRPr="00687B52" w:rsidRDefault="003E1D2A" w:rsidP="003E1D2A">
                  <w:pPr>
                    <w:jc w:val="center"/>
                    <w:rPr>
                      <w:rFonts w:ascii="仿宋_GB2312" w:eastAsia="仿宋_GB2312" w:hAnsi="黑体" w:cs="Segoe UI"/>
                      <w:bCs/>
                      <w:color w:val="000000" w:themeColor="text1"/>
                      <w:sz w:val="18"/>
                      <w:szCs w:val="18"/>
                    </w:rPr>
                  </w:pPr>
                </w:p>
              </w:tc>
              <w:tc>
                <w:tcPr>
                  <w:tcW w:w="729" w:type="dxa"/>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三级</w:t>
                  </w:r>
                </w:p>
              </w:tc>
              <w:tc>
                <w:tcPr>
                  <w:tcW w:w="522"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12</w:t>
                  </w:r>
                </w:p>
              </w:tc>
              <w:tc>
                <w:tcPr>
                  <w:tcW w:w="414"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14</w:t>
                  </w:r>
                </w:p>
              </w:tc>
              <w:tc>
                <w:tcPr>
                  <w:tcW w:w="522"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15</w:t>
                  </w:r>
                </w:p>
              </w:tc>
              <w:tc>
                <w:tcPr>
                  <w:tcW w:w="439"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12</w:t>
                  </w:r>
                </w:p>
              </w:tc>
              <w:tc>
                <w:tcPr>
                  <w:tcW w:w="497"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14</w:t>
                  </w:r>
                </w:p>
              </w:tc>
              <w:tc>
                <w:tcPr>
                  <w:tcW w:w="511"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16</w:t>
                  </w:r>
                </w:p>
              </w:tc>
              <w:tc>
                <w:tcPr>
                  <w:tcW w:w="427"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15</w:t>
                  </w:r>
                </w:p>
              </w:tc>
              <w:tc>
                <w:tcPr>
                  <w:tcW w:w="474"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12</w:t>
                  </w:r>
                </w:p>
              </w:tc>
              <w:tc>
                <w:tcPr>
                  <w:tcW w:w="462"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14</w:t>
                  </w:r>
                </w:p>
              </w:tc>
              <w:tc>
                <w:tcPr>
                  <w:tcW w:w="485"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16</w:t>
                  </w:r>
                </w:p>
              </w:tc>
              <w:tc>
                <w:tcPr>
                  <w:tcW w:w="449"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15</w:t>
                  </w:r>
                </w:p>
              </w:tc>
            </w:tr>
            <w:tr w:rsidR="003E1D2A" w:rsidRPr="00687B52" w:rsidTr="003E1D2A">
              <w:trPr>
                <w:trHeight w:val="116"/>
              </w:trPr>
              <w:tc>
                <w:tcPr>
                  <w:tcW w:w="621" w:type="dxa"/>
                  <w:vMerge/>
                  <w:vAlign w:val="center"/>
                </w:tcPr>
                <w:p w:rsidR="003E1D2A" w:rsidRPr="00687B52" w:rsidRDefault="003E1D2A" w:rsidP="003E1D2A">
                  <w:pPr>
                    <w:jc w:val="center"/>
                    <w:rPr>
                      <w:rFonts w:ascii="仿宋_GB2312" w:eastAsia="仿宋_GB2312" w:hAnsi="黑体" w:cs="Segoe UI"/>
                      <w:bCs/>
                      <w:color w:val="000000" w:themeColor="text1"/>
                      <w:sz w:val="18"/>
                      <w:szCs w:val="18"/>
                    </w:rPr>
                  </w:pPr>
                </w:p>
              </w:tc>
              <w:tc>
                <w:tcPr>
                  <w:tcW w:w="728" w:type="dxa"/>
                  <w:vMerge/>
                  <w:vAlign w:val="center"/>
                </w:tcPr>
                <w:p w:rsidR="003E1D2A" w:rsidRPr="00687B52" w:rsidRDefault="003E1D2A" w:rsidP="003E1D2A">
                  <w:pPr>
                    <w:jc w:val="center"/>
                    <w:rPr>
                      <w:rFonts w:ascii="仿宋_GB2312" w:eastAsia="仿宋_GB2312" w:hAnsi="黑体" w:cs="Segoe UI"/>
                      <w:bCs/>
                      <w:color w:val="000000" w:themeColor="text1"/>
                      <w:sz w:val="18"/>
                      <w:szCs w:val="18"/>
                    </w:rPr>
                  </w:pPr>
                </w:p>
              </w:tc>
              <w:tc>
                <w:tcPr>
                  <w:tcW w:w="729" w:type="dxa"/>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四级</w:t>
                  </w:r>
                </w:p>
              </w:tc>
              <w:tc>
                <w:tcPr>
                  <w:tcW w:w="522"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14</w:t>
                  </w:r>
                </w:p>
              </w:tc>
              <w:tc>
                <w:tcPr>
                  <w:tcW w:w="414"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16</w:t>
                  </w:r>
                </w:p>
              </w:tc>
              <w:tc>
                <w:tcPr>
                  <w:tcW w:w="522"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17</w:t>
                  </w:r>
                </w:p>
              </w:tc>
              <w:tc>
                <w:tcPr>
                  <w:tcW w:w="439"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14</w:t>
                  </w:r>
                </w:p>
              </w:tc>
              <w:tc>
                <w:tcPr>
                  <w:tcW w:w="497"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16</w:t>
                  </w:r>
                </w:p>
              </w:tc>
              <w:tc>
                <w:tcPr>
                  <w:tcW w:w="511"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18</w:t>
                  </w:r>
                </w:p>
              </w:tc>
              <w:tc>
                <w:tcPr>
                  <w:tcW w:w="427"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17</w:t>
                  </w:r>
                </w:p>
              </w:tc>
              <w:tc>
                <w:tcPr>
                  <w:tcW w:w="474"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14</w:t>
                  </w:r>
                </w:p>
              </w:tc>
              <w:tc>
                <w:tcPr>
                  <w:tcW w:w="462"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16</w:t>
                  </w:r>
                </w:p>
              </w:tc>
              <w:tc>
                <w:tcPr>
                  <w:tcW w:w="485"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18</w:t>
                  </w:r>
                </w:p>
              </w:tc>
              <w:tc>
                <w:tcPr>
                  <w:tcW w:w="449"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17</w:t>
                  </w:r>
                </w:p>
              </w:tc>
            </w:tr>
            <w:tr w:rsidR="003E1D2A" w:rsidRPr="00687B52" w:rsidTr="003E1D2A">
              <w:trPr>
                <w:trHeight w:val="147"/>
              </w:trPr>
              <w:tc>
                <w:tcPr>
                  <w:tcW w:w="621" w:type="dxa"/>
                  <w:vMerge/>
                  <w:vAlign w:val="center"/>
                </w:tcPr>
                <w:p w:rsidR="003E1D2A" w:rsidRPr="00687B52" w:rsidRDefault="003E1D2A" w:rsidP="003E1D2A">
                  <w:pPr>
                    <w:jc w:val="center"/>
                    <w:rPr>
                      <w:rFonts w:ascii="仿宋_GB2312" w:eastAsia="仿宋_GB2312" w:hAnsi="黑体" w:cs="Segoe UI"/>
                      <w:bCs/>
                      <w:color w:val="000000" w:themeColor="text1"/>
                      <w:sz w:val="18"/>
                      <w:szCs w:val="18"/>
                    </w:rPr>
                  </w:pPr>
                </w:p>
              </w:tc>
              <w:tc>
                <w:tcPr>
                  <w:tcW w:w="728" w:type="dxa"/>
                  <w:vAlign w:val="center"/>
                </w:tcPr>
                <w:p w:rsidR="003E1D2A" w:rsidRPr="00687B52" w:rsidRDefault="003E1D2A" w:rsidP="003E1D2A">
                  <w:pPr>
                    <w:jc w:val="center"/>
                    <w:rPr>
                      <w:rFonts w:ascii="仿宋_GB2312" w:eastAsia="仿宋_GB2312" w:hAnsi="黑体" w:cs="Segoe UI"/>
                      <w:iCs/>
                      <w:color w:val="000000" w:themeColor="text1"/>
                      <w:sz w:val="18"/>
                      <w:szCs w:val="18"/>
                    </w:rPr>
                  </w:pPr>
                  <w:r w:rsidRPr="00687B52">
                    <w:rPr>
                      <w:rFonts w:ascii="仿宋_GB2312" w:eastAsia="仿宋_GB2312" w:hAnsi="黑体" w:cs="Segoe UI" w:hint="eastAsia"/>
                      <w:iCs/>
                      <w:color w:val="000000" w:themeColor="text1"/>
                      <w:sz w:val="18"/>
                      <w:szCs w:val="18"/>
                    </w:rPr>
                    <w:t>高层</w:t>
                  </w:r>
                </w:p>
              </w:tc>
              <w:tc>
                <w:tcPr>
                  <w:tcW w:w="729"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bCs/>
                      <w:color w:val="000000" w:themeColor="text1"/>
                      <w:sz w:val="18"/>
                      <w:szCs w:val="18"/>
                    </w:rPr>
                    <w:t>一、二级</w:t>
                  </w:r>
                </w:p>
              </w:tc>
              <w:tc>
                <w:tcPr>
                  <w:tcW w:w="522"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13</w:t>
                  </w:r>
                </w:p>
              </w:tc>
              <w:tc>
                <w:tcPr>
                  <w:tcW w:w="414"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15</w:t>
                  </w:r>
                </w:p>
              </w:tc>
              <w:tc>
                <w:tcPr>
                  <w:tcW w:w="522"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13</w:t>
                  </w:r>
                </w:p>
              </w:tc>
              <w:tc>
                <w:tcPr>
                  <w:tcW w:w="439"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13</w:t>
                  </w:r>
                </w:p>
              </w:tc>
              <w:tc>
                <w:tcPr>
                  <w:tcW w:w="497"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15</w:t>
                  </w:r>
                </w:p>
              </w:tc>
              <w:tc>
                <w:tcPr>
                  <w:tcW w:w="511"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17</w:t>
                  </w:r>
                </w:p>
              </w:tc>
              <w:tc>
                <w:tcPr>
                  <w:tcW w:w="427"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13</w:t>
                  </w:r>
                </w:p>
              </w:tc>
              <w:tc>
                <w:tcPr>
                  <w:tcW w:w="474"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13</w:t>
                  </w:r>
                </w:p>
              </w:tc>
              <w:tc>
                <w:tcPr>
                  <w:tcW w:w="462"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15</w:t>
                  </w:r>
                </w:p>
              </w:tc>
              <w:tc>
                <w:tcPr>
                  <w:tcW w:w="485"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17</w:t>
                  </w:r>
                </w:p>
              </w:tc>
              <w:tc>
                <w:tcPr>
                  <w:tcW w:w="449"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13</w:t>
                  </w:r>
                </w:p>
              </w:tc>
            </w:tr>
            <w:tr w:rsidR="003E1D2A" w:rsidRPr="00687B52" w:rsidTr="003E1D2A">
              <w:trPr>
                <w:trHeight w:val="147"/>
              </w:trPr>
              <w:tc>
                <w:tcPr>
                  <w:tcW w:w="621" w:type="dxa"/>
                  <w:vMerge w:val="restart"/>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民用建筑</w:t>
                  </w:r>
                </w:p>
              </w:tc>
              <w:tc>
                <w:tcPr>
                  <w:tcW w:w="728" w:type="dxa"/>
                  <w:vMerge w:val="restart"/>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裙房，单、多</w:t>
                  </w:r>
                  <w:r w:rsidRPr="00687B52">
                    <w:rPr>
                      <w:rFonts w:ascii="仿宋_GB2312" w:eastAsia="仿宋_GB2312" w:hAnsi="黑体" w:cs="Segoe UI" w:hint="eastAsia"/>
                      <w:iCs/>
                      <w:color w:val="000000" w:themeColor="text1"/>
                      <w:sz w:val="18"/>
                      <w:szCs w:val="18"/>
                    </w:rPr>
                    <w:t>层</w:t>
                  </w:r>
                </w:p>
              </w:tc>
              <w:tc>
                <w:tcPr>
                  <w:tcW w:w="729" w:type="dxa"/>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一、二级</w:t>
                  </w:r>
                </w:p>
              </w:tc>
              <w:tc>
                <w:tcPr>
                  <w:tcW w:w="1458" w:type="dxa"/>
                  <w:gridSpan w:val="3"/>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25</w:t>
                  </w:r>
                </w:p>
              </w:tc>
              <w:tc>
                <w:tcPr>
                  <w:tcW w:w="439"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10</w:t>
                  </w:r>
                </w:p>
              </w:tc>
              <w:tc>
                <w:tcPr>
                  <w:tcW w:w="497"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12</w:t>
                  </w:r>
                </w:p>
              </w:tc>
              <w:tc>
                <w:tcPr>
                  <w:tcW w:w="511"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14</w:t>
                  </w:r>
                </w:p>
              </w:tc>
              <w:tc>
                <w:tcPr>
                  <w:tcW w:w="427"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13</w:t>
                  </w:r>
                </w:p>
              </w:tc>
              <w:tc>
                <w:tcPr>
                  <w:tcW w:w="474"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10</w:t>
                  </w:r>
                </w:p>
              </w:tc>
              <w:tc>
                <w:tcPr>
                  <w:tcW w:w="462"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12</w:t>
                  </w:r>
                </w:p>
              </w:tc>
              <w:tc>
                <w:tcPr>
                  <w:tcW w:w="485"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14</w:t>
                  </w:r>
                </w:p>
              </w:tc>
              <w:tc>
                <w:tcPr>
                  <w:tcW w:w="449"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13</w:t>
                  </w:r>
                </w:p>
              </w:tc>
            </w:tr>
            <w:tr w:rsidR="003E1D2A" w:rsidRPr="00687B52" w:rsidTr="003E1D2A">
              <w:trPr>
                <w:trHeight w:val="90"/>
              </w:trPr>
              <w:tc>
                <w:tcPr>
                  <w:tcW w:w="621" w:type="dxa"/>
                  <w:vMerge/>
                  <w:vAlign w:val="center"/>
                </w:tcPr>
                <w:p w:rsidR="003E1D2A" w:rsidRPr="00687B52" w:rsidRDefault="003E1D2A" w:rsidP="003E1D2A">
                  <w:pPr>
                    <w:jc w:val="center"/>
                    <w:rPr>
                      <w:rFonts w:ascii="仿宋_GB2312" w:eastAsia="仿宋_GB2312" w:hAnsi="黑体" w:cs="Segoe UI"/>
                      <w:bCs/>
                      <w:color w:val="000000" w:themeColor="text1"/>
                      <w:sz w:val="18"/>
                      <w:szCs w:val="18"/>
                    </w:rPr>
                  </w:pPr>
                </w:p>
              </w:tc>
              <w:tc>
                <w:tcPr>
                  <w:tcW w:w="728" w:type="dxa"/>
                  <w:vMerge/>
                  <w:vAlign w:val="center"/>
                </w:tcPr>
                <w:p w:rsidR="003E1D2A" w:rsidRPr="00687B52" w:rsidRDefault="003E1D2A" w:rsidP="003E1D2A">
                  <w:pPr>
                    <w:jc w:val="center"/>
                    <w:rPr>
                      <w:rFonts w:ascii="仿宋_GB2312" w:eastAsia="仿宋_GB2312" w:hAnsi="黑体" w:cs="Segoe UI"/>
                      <w:iCs/>
                      <w:color w:val="000000" w:themeColor="text1"/>
                      <w:sz w:val="18"/>
                      <w:szCs w:val="18"/>
                    </w:rPr>
                  </w:pPr>
                </w:p>
              </w:tc>
              <w:tc>
                <w:tcPr>
                  <w:tcW w:w="729" w:type="dxa"/>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三级</w:t>
                  </w:r>
                </w:p>
              </w:tc>
              <w:tc>
                <w:tcPr>
                  <w:tcW w:w="1458" w:type="dxa"/>
                  <w:gridSpan w:val="3"/>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25</w:t>
                  </w:r>
                </w:p>
              </w:tc>
              <w:tc>
                <w:tcPr>
                  <w:tcW w:w="439" w:type="dxa"/>
                  <w:vAlign w:val="center"/>
                </w:tcPr>
                <w:p w:rsidR="003E1D2A" w:rsidRPr="00687B52" w:rsidRDefault="003E1D2A" w:rsidP="003E1D2A">
                  <w:pPr>
                    <w:jc w:val="center"/>
                    <w:rPr>
                      <w:rFonts w:ascii="仿宋_GB2312" w:eastAsia="仿宋_GB2312" w:hAnsi="黑体" w:cs="Segoe UI"/>
                      <w:iCs/>
                      <w:color w:val="000000" w:themeColor="text1"/>
                      <w:sz w:val="18"/>
                      <w:szCs w:val="18"/>
                    </w:rPr>
                  </w:pPr>
                  <w:r w:rsidRPr="00687B52">
                    <w:rPr>
                      <w:rFonts w:ascii="仿宋_GB2312" w:eastAsia="仿宋_GB2312" w:hAnsi="黑体" w:cs="Segoe UI" w:hint="eastAsia"/>
                      <w:iCs/>
                      <w:color w:val="000000" w:themeColor="text1"/>
                      <w:sz w:val="18"/>
                      <w:szCs w:val="18"/>
                    </w:rPr>
                    <w:t>12</w:t>
                  </w:r>
                </w:p>
              </w:tc>
              <w:tc>
                <w:tcPr>
                  <w:tcW w:w="497"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14</w:t>
                  </w:r>
                </w:p>
              </w:tc>
              <w:tc>
                <w:tcPr>
                  <w:tcW w:w="511"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16</w:t>
                  </w:r>
                </w:p>
              </w:tc>
              <w:tc>
                <w:tcPr>
                  <w:tcW w:w="427"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15</w:t>
                  </w:r>
                </w:p>
              </w:tc>
              <w:tc>
                <w:tcPr>
                  <w:tcW w:w="474"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12</w:t>
                  </w:r>
                </w:p>
              </w:tc>
              <w:tc>
                <w:tcPr>
                  <w:tcW w:w="462"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14</w:t>
                  </w:r>
                </w:p>
              </w:tc>
              <w:tc>
                <w:tcPr>
                  <w:tcW w:w="485"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16</w:t>
                  </w:r>
                </w:p>
              </w:tc>
              <w:tc>
                <w:tcPr>
                  <w:tcW w:w="449"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15</w:t>
                  </w:r>
                </w:p>
              </w:tc>
            </w:tr>
            <w:tr w:rsidR="003E1D2A" w:rsidRPr="00687B52" w:rsidTr="003E1D2A">
              <w:trPr>
                <w:trHeight w:val="90"/>
              </w:trPr>
              <w:tc>
                <w:tcPr>
                  <w:tcW w:w="621" w:type="dxa"/>
                  <w:vMerge/>
                  <w:vAlign w:val="center"/>
                </w:tcPr>
                <w:p w:rsidR="003E1D2A" w:rsidRPr="00687B52" w:rsidRDefault="003E1D2A" w:rsidP="003E1D2A">
                  <w:pPr>
                    <w:jc w:val="center"/>
                    <w:rPr>
                      <w:rFonts w:ascii="仿宋_GB2312" w:eastAsia="仿宋_GB2312" w:hAnsi="黑体" w:cs="Segoe UI"/>
                      <w:color w:val="000000" w:themeColor="text1"/>
                      <w:sz w:val="18"/>
                      <w:szCs w:val="18"/>
                    </w:rPr>
                  </w:pPr>
                </w:p>
              </w:tc>
              <w:tc>
                <w:tcPr>
                  <w:tcW w:w="728" w:type="dxa"/>
                  <w:vMerge/>
                  <w:vAlign w:val="center"/>
                </w:tcPr>
                <w:p w:rsidR="003E1D2A" w:rsidRPr="00687B52" w:rsidRDefault="003E1D2A" w:rsidP="003E1D2A">
                  <w:pPr>
                    <w:jc w:val="center"/>
                    <w:rPr>
                      <w:rFonts w:ascii="仿宋_GB2312" w:eastAsia="仿宋_GB2312" w:hAnsi="黑体" w:cs="Segoe UI"/>
                      <w:color w:val="000000" w:themeColor="text1"/>
                      <w:sz w:val="18"/>
                      <w:szCs w:val="18"/>
                    </w:rPr>
                  </w:pPr>
                </w:p>
              </w:tc>
              <w:tc>
                <w:tcPr>
                  <w:tcW w:w="729" w:type="dxa"/>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四级</w:t>
                  </w:r>
                </w:p>
              </w:tc>
              <w:tc>
                <w:tcPr>
                  <w:tcW w:w="1458" w:type="dxa"/>
                  <w:gridSpan w:val="3"/>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25</w:t>
                  </w:r>
                </w:p>
              </w:tc>
              <w:tc>
                <w:tcPr>
                  <w:tcW w:w="439"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14</w:t>
                  </w:r>
                </w:p>
              </w:tc>
              <w:tc>
                <w:tcPr>
                  <w:tcW w:w="497"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16</w:t>
                  </w:r>
                </w:p>
              </w:tc>
              <w:tc>
                <w:tcPr>
                  <w:tcW w:w="511"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18</w:t>
                  </w:r>
                </w:p>
              </w:tc>
              <w:tc>
                <w:tcPr>
                  <w:tcW w:w="427"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17</w:t>
                  </w:r>
                </w:p>
              </w:tc>
              <w:tc>
                <w:tcPr>
                  <w:tcW w:w="474"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14</w:t>
                  </w:r>
                </w:p>
              </w:tc>
              <w:tc>
                <w:tcPr>
                  <w:tcW w:w="462"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16</w:t>
                  </w:r>
                </w:p>
              </w:tc>
              <w:tc>
                <w:tcPr>
                  <w:tcW w:w="485"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18</w:t>
                  </w:r>
                </w:p>
              </w:tc>
              <w:tc>
                <w:tcPr>
                  <w:tcW w:w="449"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17</w:t>
                  </w:r>
                </w:p>
              </w:tc>
            </w:tr>
            <w:tr w:rsidR="003E1D2A" w:rsidRPr="00687B52" w:rsidTr="003E1D2A">
              <w:trPr>
                <w:trHeight w:val="90"/>
              </w:trPr>
              <w:tc>
                <w:tcPr>
                  <w:tcW w:w="621" w:type="dxa"/>
                  <w:vMerge/>
                  <w:vAlign w:val="center"/>
                </w:tcPr>
                <w:p w:rsidR="003E1D2A" w:rsidRPr="00687B52" w:rsidRDefault="003E1D2A" w:rsidP="003E1D2A">
                  <w:pPr>
                    <w:jc w:val="center"/>
                    <w:rPr>
                      <w:rFonts w:ascii="仿宋_GB2312" w:eastAsia="仿宋_GB2312" w:hAnsi="黑体" w:cs="Segoe UI"/>
                      <w:color w:val="000000" w:themeColor="text1"/>
                      <w:sz w:val="18"/>
                      <w:szCs w:val="18"/>
                    </w:rPr>
                  </w:pPr>
                </w:p>
              </w:tc>
              <w:tc>
                <w:tcPr>
                  <w:tcW w:w="728" w:type="dxa"/>
                  <w:vMerge w:val="restart"/>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高层</w:t>
                  </w:r>
                </w:p>
              </w:tc>
              <w:tc>
                <w:tcPr>
                  <w:tcW w:w="729" w:type="dxa"/>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一类</w:t>
                  </w:r>
                </w:p>
              </w:tc>
              <w:tc>
                <w:tcPr>
                  <w:tcW w:w="1458" w:type="dxa"/>
                  <w:gridSpan w:val="3"/>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50</w:t>
                  </w:r>
                </w:p>
              </w:tc>
              <w:tc>
                <w:tcPr>
                  <w:tcW w:w="439"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20</w:t>
                  </w:r>
                </w:p>
              </w:tc>
              <w:tc>
                <w:tcPr>
                  <w:tcW w:w="497"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25</w:t>
                  </w:r>
                </w:p>
              </w:tc>
              <w:tc>
                <w:tcPr>
                  <w:tcW w:w="511"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25</w:t>
                  </w:r>
                </w:p>
              </w:tc>
              <w:tc>
                <w:tcPr>
                  <w:tcW w:w="427"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20</w:t>
                  </w:r>
                </w:p>
              </w:tc>
              <w:tc>
                <w:tcPr>
                  <w:tcW w:w="474"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15</w:t>
                  </w:r>
                </w:p>
              </w:tc>
              <w:tc>
                <w:tcPr>
                  <w:tcW w:w="462"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18</w:t>
                  </w:r>
                </w:p>
              </w:tc>
              <w:tc>
                <w:tcPr>
                  <w:tcW w:w="485"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18</w:t>
                  </w:r>
                </w:p>
              </w:tc>
              <w:tc>
                <w:tcPr>
                  <w:tcW w:w="449"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15</w:t>
                  </w:r>
                </w:p>
              </w:tc>
            </w:tr>
            <w:tr w:rsidR="003E1D2A" w:rsidRPr="00687B52" w:rsidTr="003E1D2A">
              <w:trPr>
                <w:trHeight w:val="90"/>
              </w:trPr>
              <w:tc>
                <w:tcPr>
                  <w:tcW w:w="621" w:type="dxa"/>
                  <w:vMerge/>
                  <w:vAlign w:val="center"/>
                </w:tcPr>
                <w:p w:rsidR="003E1D2A" w:rsidRPr="00687B52" w:rsidRDefault="003E1D2A" w:rsidP="003E1D2A">
                  <w:pPr>
                    <w:jc w:val="center"/>
                    <w:rPr>
                      <w:rFonts w:ascii="仿宋_GB2312" w:eastAsia="仿宋_GB2312" w:hAnsi="黑体" w:cs="Segoe UI"/>
                      <w:color w:val="000000" w:themeColor="text1"/>
                      <w:sz w:val="18"/>
                      <w:szCs w:val="18"/>
                    </w:rPr>
                  </w:pPr>
                </w:p>
              </w:tc>
              <w:tc>
                <w:tcPr>
                  <w:tcW w:w="728" w:type="dxa"/>
                  <w:vMerge/>
                  <w:vAlign w:val="center"/>
                </w:tcPr>
                <w:p w:rsidR="003E1D2A" w:rsidRPr="00687B52" w:rsidRDefault="003E1D2A" w:rsidP="003E1D2A">
                  <w:pPr>
                    <w:jc w:val="center"/>
                    <w:rPr>
                      <w:rFonts w:ascii="仿宋_GB2312" w:eastAsia="仿宋_GB2312" w:hAnsi="黑体" w:cs="Segoe UI"/>
                      <w:bCs/>
                      <w:color w:val="000000" w:themeColor="text1"/>
                      <w:sz w:val="18"/>
                      <w:szCs w:val="18"/>
                    </w:rPr>
                  </w:pPr>
                </w:p>
              </w:tc>
              <w:tc>
                <w:tcPr>
                  <w:tcW w:w="729" w:type="dxa"/>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二类</w:t>
                  </w:r>
                </w:p>
              </w:tc>
              <w:tc>
                <w:tcPr>
                  <w:tcW w:w="1458" w:type="dxa"/>
                  <w:gridSpan w:val="3"/>
                  <w:vAlign w:val="center"/>
                </w:tcPr>
                <w:p w:rsidR="003E1D2A" w:rsidRPr="00687B52" w:rsidRDefault="003E1D2A" w:rsidP="003E1D2A">
                  <w:pPr>
                    <w:jc w:val="center"/>
                    <w:rPr>
                      <w:rFonts w:ascii="仿宋_GB2312" w:eastAsia="仿宋_GB2312" w:hAnsi="黑体" w:cs="Segoe UI"/>
                      <w:iCs/>
                      <w:color w:val="000000" w:themeColor="text1"/>
                      <w:sz w:val="18"/>
                      <w:szCs w:val="18"/>
                    </w:rPr>
                  </w:pPr>
                  <w:r w:rsidRPr="00687B52">
                    <w:rPr>
                      <w:rFonts w:ascii="仿宋_GB2312" w:eastAsia="仿宋_GB2312" w:hAnsi="黑体" w:cs="Segoe UI" w:hint="eastAsia"/>
                      <w:iCs/>
                      <w:color w:val="000000" w:themeColor="text1"/>
                      <w:sz w:val="18"/>
                      <w:szCs w:val="18"/>
                    </w:rPr>
                    <w:t>50</w:t>
                  </w:r>
                </w:p>
              </w:tc>
              <w:tc>
                <w:tcPr>
                  <w:tcW w:w="439" w:type="dxa"/>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15</w:t>
                  </w:r>
                </w:p>
              </w:tc>
              <w:tc>
                <w:tcPr>
                  <w:tcW w:w="497" w:type="dxa"/>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20</w:t>
                  </w:r>
                </w:p>
              </w:tc>
              <w:tc>
                <w:tcPr>
                  <w:tcW w:w="511" w:type="dxa"/>
                  <w:vAlign w:val="center"/>
                </w:tcPr>
                <w:p w:rsidR="003E1D2A" w:rsidRPr="00687B52" w:rsidRDefault="003E1D2A" w:rsidP="003E1D2A">
                  <w:pPr>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20</w:t>
                  </w:r>
                </w:p>
              </w:tc>
              <w:tc>
                <w:tcPr>
                  <w:tcW w:w="427"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15</w:t>
                  </w:r>
                </w:p>
              </w:tc>
              <w:tc>
                <w:tcPr>
                  <w:tcW w:w="474"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13</w:t>
                  </w:r>
                </w:p>
              </w:tc>
              <w:tc>
                <w:tcPr>
                  <w:tcW w:w="462"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15</w:t>
                  </w:r>
                </w:p>
              </w:tc>
              <w:tc>
                <w:tcPr>
                  <w:tcW w:w="485"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15</w:t>
                  </w:r>
                </w:p>
              </w:tc>
              <w:tc>
                <w:tcPr>
                  <w:tcW w:w="449" w:type="dxa"/>
                  <w:vAlign w:val="center"/>
                </w:tcPr>
                <w:p w:rsidR="003E1D2A" w:rsidRPr="00687B52" w:rsidRDefault="003E1D2A" w:rsidP="003E1D2A">
                  <w:pPr>
                    <w:jc w:val="center"/>
                    <w:rPr>
                      <w:rFonts w:ascii="仿宋_GB2312" w:eastAsia="仿宋_GB2312" w:hAnsi="黑体" w:cs="Segoe UI"/>
                      <w:color w:val="000000" w:themeColor="text1"/>
                      <w:sz w:val="18"/>
                      <w:szCs w:val="18"/>
                    </w:rPr>
                  </w:pPr>
                  <w:r w:rsidRPr="00687B52">
                    <w:rPr>
                      <w:rFonts w:ascii="仿宋_GB2312" w:eastAsia="仿宋_GB2312" w:hAnsi="黑体" w:cs="Segoe UI" w:hint="eastAsia"/>
                      <w:color w:val="000000" w:themeColor="text1"/>
                      <w:sz w:val="18"/>
                      <w:szCs w:val="18"/>
                    </w:rPr>
                    <w:t>13</w:t>
                  </w:r>
                </w:p>
              </w:tc>
            </w:tr>
          </w:tbl>
          <w:p w:rsidR="003E1D2A" w:rsidRPr="00687B52" w:rsidRDefault="003E1D2A" w:rsidP="003E1D2A">
            <w:pPr>
              <w:pStyle w:val="a7"/>
              <w:jc w:val="left"/>
              <w:rPr>
                <w:rFonts w:asciiTheme="minorEastAsia" w:eastAsiaTheme="minorEastAsia" w:hAnsiTheme="minorEastAsia"/>
                <w:color w:val="000000" w:themeColor="text1"/>
                <w:sz w:val="18"/>
                <w:szCs w:val="18"/>
              </w:rPr>
            </w:pPr>
            <w:r w:rsidRPr="00687B52">
              <w:rPr>
                <w:rFonts w:asciiTheme="minorEastAsia" w:eastAsiaTheme="minorEastAsia" w:hAnsiTheme="minorEastAsia" w:hint="eastAsia"/>
                <w:color w:val="000000" w:themeColor="text1"/>
                <w:sz w:val="18"/>
                <w:szCs w:val="18"/>
              </w:rPr>
              <w:t>注：1单、多层戊类仓库之间的防火间距，可按本表的规定减少2m。</w:t>
            </w:r>
          </w:p>
          <w:p w:rsidR="003E1D2A" w:rsidRPr="00687B52" w:rsidRDefault="003E1D2A" w:rsidP="003E1D2A">
            <w:pPr>
              <w:pStyle w:val="a7"/>
              <w:jc w:val="left"/>
              <w:rPr>
                <w:rFonts w:asciiTheme="minorEastAsia" w:eastAsiaTheme="minorEastAsia" w:hAnsiTheme="minorEastAsia"/>
                <w:color w:val="000000" w:themeColor="text1"/>
                <w:sz w:val="18"/>
                <w:szCs w:val="18"/>
              </w:rPr>
            </w:pPr>
            <w:r w:rsidRPr="00687B52">
              <w:rPr>
                <w:rFonts w:asciiTheme="minorEastAsia" w:eastAsiaTheme="minorEastAsia" w:hAnsiTheme="minorEastAsia" w:hint="eastAsia"/>
                <w:color w:val="000000" w:themeColor="text1"/>
                <w:sz w:val="18"/>
                <w:szCs w:val="18"/>
              </w:rPr>
              <w:t xml:space="preserve">    2两座仓库相邻外墙均为防火墙时，防火间距可以减小，但丙类仓库，不应小于6m；丁、戊类仓库，不应小于4m。两座仓库相邻较高一面外墙为防火墙，且总占地面积不大于一座仓库的最大允许占地面积规定时，其防火间距不限。</w:t>
            </w:r>
          </w:p>
          <w:p w:rsidR="003E1D2A" w:rsidRPr="00687B52" w:rsidRDefault="003E1D2A" w:rsidP="003E1D2A">
            <w:pPr>
              <w:pStyle w:val="a7"/>
              <w:jc w:val="left"/>
              <w:rPr>
                <w:rFonts w:asciiTheme="minorEastAsia" w:eastAsiaTheme="minorEastAsia" w:hAnsiTheme="minorEastAsia"/>
                <w:color w:val="000000" w:themeColor="text1"/>
                <w:sz w:val="21"/>
              </w:rPr>
            </w:pPr>
            <w:r w:rsidRPr="00687B52">
              <w:rPr>
                <w:rFonts w:asciiTheme="minorEastAsia" w:eastAsiaTheme="minorEastAsia" w:hAnsiTheme="minorEastAsia" w:hint="eastAsia"/>
                <w:color w:val="000000" w:themeColor="text1"/>
                <w:sz w:val="18"/>
                <w:szCs w:val="18"/>
              </w:rPr>
              <w:t xml:space="preserve">    3除乙类第6项物品外的乙类仓库，与民用建筑的防火间距不宜小于25m，与重要公共建筑的防火间距不应小于50m，与铁路、道路等的防火间距不宜小于表3.5.1中甲类仓库与铁路、道路等的防火间距。</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《建筑设计防火规范》GB50016-2014第3.5.2</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270"/>
          <w:jc w:val="center"/>
        </w:trPr>
        <w:tc>
          <w:tcPr>
            <w:tcW w:w="96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1.9</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 w:val="18"/>
                <w:szCs w:val="18"/>
              </w:rPr>
            </w:pPr>
            <w:r w:rsidRPr="00687B52">
              <w:rPr>
                <w:rFonts w:asciiTheme="minorEastAsia" w:eastAsiaTheme="minorEastAsia" w:hAnsiTheme="minorEastAsia" w:hint="eastAsia"/>
                <w:bCs/>
                <w:color w:val="000000" w:themeColor="text1"/>
                <w:szCs w:val="24"/>
              </w:rPr>
              <w:t>库区围墙与库区内建筑的间距不宜小于5cm，围墙两侧建筑的间距应满足相应建筑的防火间距要求。</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《建筑设计防火规范》GB50016-2014第3.5.5</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1655A7">
        <w:trPr>
          <w:trHeight w:val="733"/>
          <w:jc w:val="center"/>
        </w:trPr>
        <w:tc>
          <w:tcPr>
            <w:tcW w:w="96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1.10</w:t>
            </w:r>
          </w:p>
        </w:tc>
        <w:tc>
          <w:tcPr>
            <w:tcW w:w="7849" w:type="dxa"/>
            <w:vAlign w:val="center"/>
          </w:tcPr>
          <w:p w:rsidR="003E1D2A" w:rsidRPr="00687B52" w:rsidRDefault="007A48E1" w:rsidP="007A48E1">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架空电力线与甲、乙类仓库，</w:t>
            </w:r>
            <w:r w:rsidR="001655A7" w:rsidRPr="00687B52">
              <w:rPr>
                <w:rFonts w:asciiTheme="minorEastAsia" w:eastAsiaTheme="minorEastAsia" w:hAnsiTheme="minorEastAsia" w:hint="eastAsia"/>
                <w:bCs/>
                <w:color w:val="000000" w:themeColor="text1"/>
                <w:szCs w:val="24"/>
              </w:rPr>
              <w:t>可燃材料堆垛</w:t>
            </w:r>
            <w:r w:rsidR="003E1D2A" w:rsidRPr="00687B52">
              <w:rPr>
                <w:rFonts w:asciiTheme="minorEastAsia" w:eastAsiaTheme="minorEastAsia" w:hAnsiTheme="minorEastAsia" w:hint="eastAsia"/>
                <w:bCs/>
                <w:color w:val="000000" w:themeColor="text1"/>
                <w:szCs w:val="24"/>
              </w:rPr>
              <w:t>的最近水平距离应</w:t>
            </w:r>
            <w:r w:rsidR="001655A7" w:rsidRPr="00687B52">
              <w:rPr>
                <w:rFonts w:asciiTheme="minorEastAsia" w:eastAsiaTheme="minorEastAsia" w:hAnsiTheme="minorEastAsia" w:hint="eastAsia"/>
                <w:bCs/>
                <w:color w:val="000000" w:themeColor="text1"/>
                <w:szCs w:val="24"/>
              </w:rPr>
              <w:t>不小于电杆（塔）高度的1.5倍。</w:t>
            </w:r>
          </w:p>
        </w:tc>
        <w:tc>
          <w:tcPr>
            <w:tcW w:w="297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《建筑设计防火规范》GB50016-2014第10.2.1</w:t>
            </w:r>
          </w:p>
        </w:tc>
        <w:tc>
          <w:tcPr>
            <w:tcW w:w="2787" w:type="dxa"/>
            <w:vAlign w:val="center"/>
          </w:tcPr>
          <w:p w:rsidR="003E1D2A" w:rsidRPr="00687B52" w:rsidRDefault="003E1D2A" w:rsidP="003E1D2A">
            <w:pPr>
              <w:pStyle w:val="a7"/>
              <w:rPr>
                <w:rFonts w:asciiTheme="minorEastAsia" w:eastAsiaTheme="minorEastAsia" w:hAnsiTheme="minorEastAsia"/>
                <w:b/>
                <w:bCs/>
                <w:color w:val="000000" w:themeColor="text1"/>
                <w:szCs w:val="24"/>
              </w:rPr>
            </w:pPr>
          </w:p>
        </w:tc>
      </w:tr>
      <w:tr w:rsidR="003E1D2A" w:rsidRPr="00687B52" w:rsidTr="008B4454">
        <w:trPr>
          <w:trHeight w:val="137"/>
          <w:jc w:val="center"/>
        </w:trPr>
        <w:tc>
          <w:tcPr>
            <w:tcW w:w="96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b/>
                <w:bCs/>
                <w:color w:val="000000" w:themeColor="text1"/>
                <w:szCs w:val="24"/>
              </w:rPr>
              <w:t>2</w:t>
            </w:r>
          </w:p>
        </w:tc>
        <w:tc>
          <w:tcPr>
            <w:tcW w:w="13613" w:type="dxa"/>
            <w:gridSpan w:val="3"/>
            <w:vAlign w:val="center"/>
          </w:tcPr>
          <w:p w:rsidR="003E1D2A" w:rsidRPr="00687B52" w:rsidRDefault="003E1D2A" w:rsidP="00563F92">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b/>
                <w:bCs/>
                <w:color w:val="000000" w:themeColor="text1"/>
                <w:szCs w:val="24"/>
              </w:rPr>
              <w:t>储存条件</w:t>
            </w:r>
          </w:p>
        </w:tc>
      </w:tr>
      <w:tr w:rsidR="003E1D2A" w:rsidRPr="00687B52" w:rsidTr="00A0611B">
        <w:trPr>
          <w:trHeight w:val="2297"/>
          <w:jc w:val="center"/>
        </w:trPr>
        <w:tc>
          <w:tcPr>
            <w:tcW w:w="96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2.1</w:t>
            </w:r>
          </w:p>
        </w:tc>
        <w:tc>
          <w:tcPr>
            <w:tcW w:w="7849" w:type="dxa"/>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仓库的层数和面积应符合下表的规定。</w:t>
            </w:r>
          </w:p>
          <w:tbl>
            <w:tblPr>
              <w:tblW w:w="7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
              <w:gridCol w:w="848"/>
              <w:gridCol w:w="1011"/>
              <w:gridCol w:w="627"/>
              <w:gridCol w:w="658"/>
              <w:gridCol w:w="582"/>
              <w:gridCol w:w="582"/>
              <w:gridCol w:w="599"/>
              <w:gridCol w:w="594"/>
              <w:gridCol w:w="644"/>
              <w:gridCol w:w="741"/>
            </w:tblGrid>
            <w:tr w:rsidR="003E1D2A" w:rsidRPr="00687B52" w:rsidTr="003E1D2A">
              <w:trPr>
                <w:trHeight w:val="369"/>
              </w:trPr>
              <w:tc>
                <w:tcPr>
                  <w:tcW w:w="1262" w:type="dxa"/>
                  <w:gridSpan w:val="2"/>
                  <w:vMerge w:val="restart"/>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储存物品的火灾危险性类别</w:t>
                  </w:r>
                </w:p>
              </w:tc>
              <w:tc>
                <w:tcPr>
                  <w:tcW w:w="1011" w:type="dxa"/>
                  <w:vMerge w:val="restart"/>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仓库的耐火等级</w:t>
                  </w:r>
                </w:p>
              </w:tc>
              <w:tc>
                <w:tcPr>
                  <w:tcW w:w="627" w:type="dxa"/>
                  <w:vMerge w:val="restart"/>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最多允许层数</w:t>
                  </w:r>
                </w:p>
              </w:tc>
              <w:tc>
                <w:tcPr>
                  <w:tcW w:w="4400" w:type="dxa"/>
                  <w:gridSpan w:val="7"/>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每座仓库的最大允许占地面积和每个防火分区的最大允许建筑面积（m</w:t>
                  </w:r>
                  <w:r w:rsidRPr="00687B52">
                    <w:rPr>
                      <w:rFonts w:ascii="仿宋_GB2312" w:eastAsia="仿宋_GB2312" w:hAnsi="黑体" w:cs="Segoe UI" w:hint="eastAsia"/>
                      <w:bCs/>
                      <w:color w:val="000000" w:themeColor="text1"/>
                      <w:sz w:val="18"/>
                      <w:szCs w:val="18"/>
                      <w:vertAlign w:val="superscript"/>
                    </w:rPr>
                    <w:t>2</w:t>
                  </w:r>
                  <w:r w:rsidRPr="00687B52">
                    <w:rPr>
                      <w:rFonts w:ascii="仿宋_GB2312" w:eastAsia="仿宋_GB2312" w:hAnsi="黑体" w:cs="Segoe UI" w:hint="eastAsia"/>
                      <w:bCs/>
                      <w:color w:val="000000" w:themeColor="text1"/>
                      <w:sz w:val="18"/>
                      <w:szCs w:val="18"/>
                    </w:rPr>
                    <w:t>）</w:t>
                  </w:r>
                </w:p>
              </w:tc>
            </w:tr>
            <w:tr w:rsidR="003E1D2A" w:rsidRPr="00687B52" w:rsidTr="003E1D2A">
              <w:trPr>
                <w:trHeight w:val="188"/>
              </w:trPr>
              <w:tc>
                <w:tcPr>
                  <w:tcW w:w="1262" w:type="dxa"/>
                  <w:gridSpan w:val="2"/>
                  <w:vMerge/>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p>
              </w:tc>
              <w:tc>
                <w:tcPr>
                  <w:tcW w:w="1011" w:type="dxa"/>
                  <w:vMerge/>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p>
              </w:tc>
              <w:tc>
                <w:tcPr>
                  <w:tcW w:w="627" w:type="dxa"/>
                  <w:vMerge/>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p>
              </w:tc>
              <w:tc>
                <w:tcPr>
                  <w:tcW w:w="1240" w:type="dxa"/>
                  <w:gridSpan w:val="2"/>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单层仓库</w:t>
                  </w:r>
                </w:p>
              </w:tc>
              <w:tc>
                <w:tcPr>
                  <w:tcW w:w="1181" w:type="dxa"/>
                  <w:gridSpan w:val="2"/>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多层仓库</w:t>
                  </w:r>
                </w:p>
              </w:tc>
              <w:tc>
                <w:tcPr>
                  <w:tcW w:w="1238" w:type="dxa"/>
                  <w:gridSpan w:val="2"/>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高层仓库</w:t>
                  </w:r>
                </w:p>
              </w:tc>
              <w:tc>
                <w:tcPr>
                  <w:tcW w:w="741" w:type="dxa"/>
                  <w:vMerge w:val="restart"/>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地下或半地下仓库（包括地下或半地下室）</w:t>
                  </w:r>
                </w:p>
              </w:tc>
            </w:tr>
            <w:tr w:rsidR="003E1D2A" w:rsidRPr="00687B52" w:rsidTr="003E1D2A">
              <w:trPr>
                <w:trHeight w:val="1444"/>
              </w:trPr>
              <w:tc>
                <w:tcPr>
                  <w:tcW w:w="1262" w:type="dxa"/>
                  <w:gridSpan w:val="2"/>
                  <w:vMerge/>
                  <w:tcBorders>
                    <w:bottom w:val="single" w:sz="4" w:space="0" w:color="auto"/>
                  </w:tcBorders>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p>
              </w:tc>
              <w:tc>
                <w:tcPr>
                  <w:tcW w:w="1011" w:type="dxa"/>
                  <w:vMerge/>
                  <w:tcBorders>
                    <w:bottom w:val="single" w:sz="4" w:space="0" w:color="auto"/>
                  </w:tcBorders>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p>
              </w:tc>
              <w:tc>
                <w:tcPr>
                  <w:tcW w:w="627" w:type="dxa"/>
                  <w:vMerge/>
                  <w:tcBorders>
                    <w:bottom w:val="single" w:sz="4" w:space="0" w:color="auto"/>
                  </w:tcBorders>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p>
              </w:tc>
              <w:tc>
                <w:tcPr>
                  <w:tcW w:w="658" w:type="dxa"/>
                  <w:tcBorders>
                    <w:bottom w:val="single" w:sz="4" w:space="0" w:color="auto"/>
                  </w:tcBorders>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每座</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仓库</w:t>
                  </w:r>
                </w:p>
              </w:tc>
              <w:tc>
                <w:tcPr>
                  <w:tcW w:w="582" w:type="dxa"/>
                  <w:tcBorders>
                    <w:bottom w:val="single" w:sz="4" w:space="0" w:color="auto"/>
                  </w:tcBorders>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防火</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分区</w:t>
                  </w:r>
                </w:p>
              </w:tc>
              <w:tc>
                <w:tcPr>
                  <w:tcW w:w="582" w:type="dxa"/>
                  <w:tcBorders>
                    <w:bottom w:val="single" w:sz="4" w:space="0" w:color="auto"/>
                  </w:tcBorders>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每座</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仓库</w:t>
                  </w:r>
                </w:p>
              </w:tc>
              <w:tc>
                <w:tcPr>
                  <w:tcW w:w="599" w:type="dxa"/>
                  <w:tcBorders>
                    <w:bottom w:val="single" w:sz="4" w:space="0" w:color="auto"/>
                  </w:tcBorders>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防火</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分区</w:t>
                  </w:r>
                </w:p>
              </w:tc>
              <w:tc>
                <w:tcPr>
                  <w:tcW w:w="594" w:type="dxa"/>
                  <w:tcBorders>
                    <w:bottom w:val="single" w:sz="4" w:space="0" w:color="auto"/>
                  </w:tcBorders>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每座</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仓库</w:t>
                  </w:r>
                </w:p>
              </w:tc>
              <w:tc>
                <w:tcPr>
                  <w:tcW w:w="644" w:type="dxa"/>
                  <w:tcBorders>
                    <w:bottom w:val="single" w:sz="4" w:space="0" w:color="auto"/>
                  </w:tcBorders>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防火</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分区</w:t>
                  </w:r>
                </w:p>
              </w:tc>
              <w:tc>
                <w:tcPr>
                  <w:tcW w:w="741" w:type="dxa"/>
                  <w:vMerge/>
                  <w:tcBorders>
                    <w:bottom w:val="single" w:sz="4" w:space="0" w:color="auto"/>
                  </w:tcBorders>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p>
              </w:tc>
            </w:tr>
            <w:tr w:rsidR="003E1D2A" w:rsidRPr="00687B52" w:rsidTr="003E1D2A">
              <w:trPr>
                <w:trHeight w:val="549"/>
              </w:trPr>
              <w:tc>
                <w:tcPr>
                  <w:tcW w:w="414"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甲</w:t>
                  </w:r>
                </w:p>
              </w:tc>
              <w:tc>
                <w:tcPr>
                  <w:tcW w:w="848"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3、4项</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1、2、</w:t>
                  </w:r>
                  <w:r w:rsidRPr="00687B52">
                    <w:rPr>
                      <w:rFonts w:ascii="仿宋_GB2312" w:eastAsia="仿宋_GB2312" w:hAnsi="黑体" w:cs="Segoe UI" w:hint="eastAsia"/>
                      <w:bCs/>
                      <w:iCs/>
                      <w:color w:val="000000" w:themeColor="text1"/>
                      <w:sz w:val="18"/>
                      <w:szCs w:val="18"/>
                    </w:rPr>
                    <w:t>5、</w:t>
                  </w:r>
                  <w:r w:rsidRPr="00687B52">
                    <w:rPr>
                      <w:rFonts w:ascii="仿宋_GB2312" w:eastAsia="仿宋_GB2312" w:hAnsi="黑体" w:cs="Segoe UI" w:hint="eastAsia"/>
                      <w:bCs/>
                      <w:color w:val="000000" w:themeColor="text1"/>
                      <w:sz w:val="18"/>
                      <w:szCs w:val="18"/>
                    </w:rPr>
                    <w:t>6项</w:t>
                  </w:r>
                </w:p>
              </w:tc>
              <w:tc>
                <w:tcPr>
                  <w:tcW w:w="1011"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一级</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黑体" w:eastAsia="仿宋_GB2312" w:hAnsi="黑体" w:cs="Segoe UI" w:hint="eastAsia"/>
                      <w:bCs/>
                      <w:color w:val="000000" w:themeColor="text1"/>
                      <w:sz w:val="18"/>
                      <w:szCs w:val="18"/>
                    </w:rPr>
                    <w:t>―</w:t>
                  </w:r>
                  <w:r w:rsidRPr="00687B52">
                    <w:rPr>
                      <w:rFonts w:ascii="仿宋_GB2312" w:eastAsia="仿宋_GB2312" w:hAnsi="黑体" w:cs="Segoe UI" w:hint="eastAsia"/>
                      <w:bCs/>
                      <w:color w:val="000000" w:themeColor="text1"/>
                      <w:sz w:val="18"/>
                      <w:szCs w:val="18"/>
                    </w:rPr>
                    <w:t>、二级</w:t>
                  </w:r>
                </w:p>
              </w:tc>
              <w:tc>
                <w:tcPr>
                  <w:tcW w:w="627"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w:t>
                  </w:r>
                </w:p>
              </w:tc>
              <w:tc>
                <w:tcPr>
                  <w:tcW w:w="658"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180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750</w:t>
                  </w:r>
                </w:p>
              </w:tc>
              <w:tc>
                <w:tcPr>
                  <w:tcW w:w="582"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60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250</w:t>
                  </w:r>
                </w:p>
              </w:tc>
              <w:tc>
                <w:tcPr>
                  <w:tcW w:w="582"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黑体" w:eastAsia="仿宋_GB2312" w:hAnsi="黑体" w:cs="Segoe UI" w:hint="eastAsia"/>
                      <w:bCs/>
                      <w:color w:val="000000" w:themeColor="text1"/>
                      <w:sz w:val="18"/>
                      <w:szCs w:val="18"/>
                    </w:rPr>
                    <w:t>―</w:t>
                  </w:r>
                </w:p>
              </w:tc>
              <w:tc>
                <w:tcPr>
                  <w:tcW w:w="599"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黑体" w:eastAsia="仿宋_GB2312" w:hAnsi="黑体" w:cs="Segoe UI" w:hint="eastAsia"/>
                      <w:bCs/>
                      <w:color w:val="000000" w:themeColor="text1"/>
                      <w:sz w:val="18"/>
                      <w:szCs w:val="18"/>
                    </w:rPr>
                    <w:t>―</w:t>
                  </w:r>
                </w:p>
              </w:tc>
              <w:tc>
                <w:tcPr>
                  <w:tcW w:w="594"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黑体" w:eastAsia="仿宋_GB2312" w:hAnsi="黑体" w:cs="Segoe UI" w:hint="eastAsia"/>
                      <w:bCs/>
                      <w:color w:val="000000" w:themeColor="text1"/>
                      <w:sz w:val="18"/>
                      <w:szCs w:val="18"/>
                    </w:rPr>
                    <w:t>―</w:t>
                  </w:r>
                </w:p>
              </w:tc>
              <w:tc>
                <w:tcPr>
                  <w:tcW w:w="644"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黑体" w:eastAsia="仿宋_GB2312" w:hAnsi="黑体" w:cs="Segoe UI" w:hint="eastAsia"/>
                      <w:bCs/>
                      <w:color w:val="000000" w:themeColor="text1"/>
                      <w:sz w:val="18"/>
                      <w:szCs w:val="18"/>
                    </w:rPr>
                    <w:t>―</w:t>
                  </w:r>
                </w:p>
              </w:tc>
              <w:tc>
                <w:tcPr>
                  <w:tcW w:w="741"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黑体" w:eastAsia="仿宋_GB2312" w:hAnsi="黑体" w:cs="Segoe UI" w:hint="eastAsia"/>
                      <w:bCs/>
                      <w:color w:val="000000" w:themeColor="text1"/>
                      <w:sz w:val="18"/>
                      <w:szCs w:val="18"/>
                    </w:rPr>
                    <w:t>―</w:t>
                  </w:r>
                </w:p>
              </w:tc>
            </w:tr>
            <w:tr w:rsidR="003E1D2A" w:rsidRPr="00687B52" w:rsidTr="003E1D2A">
              <w:trPr>
                <w:trHeight w:val="188"/>
              </w:trPr>
              <w:tc>
                <w:tcPr>
                  <w:tcW w:w="414" w:type="dxa"/>
                  <w:vMerge w:val="restart"/>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乙</w:t>
                  </w:r>
                </w:p>
              </w:tc>
              <w:tc>
                <w:tcPr>
                  <w:tcW w:w="848"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1、3、4项</w:t>
                  </w:r>
                </w:p>
              </w:tc>
              <w:tc>
                <w:tcPr>
                  <w:tcW w:w="1011"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―、二级</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三级</w:t>
                  </w:r>
                </w:p>
              </w:tc>
              <w:tc>
                <w:tcPr>
                  <w:tcW w:w="627"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3</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w:t>
                  </w:r>
                </w:p>
              </w:tc>
              <w:tc>
                <w:tcPr>
                  <w:tcW w:w="658"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2000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500</w:t>
                  </w:r>
                </w:p>
              </w:tc>
              <w:tc>
                <w:tcPr>
                  <w:tcW w:w="582"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500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250</w:t>
                  </w:r>
                </w:p>
              </w:tc>
              <w:tc>
                <w:tcPr>
                  <w:tcW w:w="582"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900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c>
                <w:tcPr>
                  <w:tcW w:w="599"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300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c>
                <w:tcPr>
                  <w:tcW w:w="594"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c>
                <w:tcPr>
                  <w:tcW w:w="644"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c>
                <w:tcPr>
                  <w:tcW w:w="741"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r>
            <w:tr w:rsidR="003E1D2A" w:rsidRPr="00687B52" w:rsidTr="003E1D2A">
              <w:trPr>
                <w:trHeight w:val="369"/>
              </w:trPr>
              <w:tc>
                <w:tcPr>
                  <w:tcW w:w="414" w:type="dxa"/>
                  <w:vMerge/>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p>
              </w:tc>
              <w:tc>
                <w:tcPr>
                  <w:tcW w:w="848" w:type="dxa"/>
                  <w:vAlign w:val="center"/>
                </w:tcPr>
                <w:p w:rsidR="003E1D2A" w:rsidRPr="00687B52" w:rsidRDefault="003E1D2A" w:rsidP="003E1D2A">
                  <w:pPr>
                    <w:adjustRightInd w:val="0"/>
                    <w:snapToGrid w:val="0"/>
                    <w:jc w:val="center"/>
                    <w:rPr>
                      <w:rFonts w:ascii="仿宋_GB2312" w:eastAsia="仿宋_GB2312" w:hAnsi="黑体" w:cs="Segoe UI"/>
                      <w:bCs/>
                      <w:iCs/>
                      <w:color w:val="000000" w:themeColor="text1"/>
                      <w:sz w:val="18"/>
                      <w:szCs w:val="18"/>
                    </w:rPr>
                  </w:pPr>
                  <w:r w:rsidRPr="00687B52">
                    <w:rPr>
                      <w:rFonts w:ascii="仿宋_GB2312" w:eastAsia="仿宋_GB2312" w:hAnsi="黑体" w:cs="Segoe UI" w:hint="eastAsia"/>
                      <w:bCs/>
                      <w:iCs/>
                      <w:color w:val="000000" w:themeColor="text1"/>
                      <w:sz w:val="18"/>
                      <w:szCs w:val="18"/>
                    </w:rPr>
                    <w:t>2、</w:t>
                  </w:r>
                  <w:r w:rsidRPr="00687B52">
                    <w:rPr>
                      <w:rFonts w:ascii="仿宋_GB2312" w:eastAsia="仿宋_GB2312" w:hAnsi="黑体" w:cs="Segoe UI" w:hint="eastAsia"/>
                      <w:bCs/>
                      <w:color w:val="000000" w:themeColor="text1"/>
                      <w:sz w:val="18"/>
                      <w:szCs w:val="18"/>
                    </w:rPr>
                    <w:t>5、6项</w:t>
                  </w:r>
                </w:p>
              </w:tc>
              <w:tc>
                <w:tcPr>
                  <w:tcW w:w="1011"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―、二级</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三级</w:t>
                  </w:r>
                </w:p>
              </w:tc>
              <w:tc>
                <w:tcPr>
                  <w:tcW w:w="627"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5</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w:t>
                  </w:r>
                </w:p>
              </w:tc>
              <w:tc>
                <w:tcPr>
                  <w:tcW w:w="658"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2800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900</w:t>
                  </w:r>
                </w:p>
              </w:tc>
              <w:tc>
                <w:tcPr>
                  <w:tcW w:w="582"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700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300</w:t>
                  </w:r>
                </w:p>
              </w:tc>
              <w:tc>
                <w:tcPr>
                  <w:tcW w:w="582"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1500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c>
                <w:tcPr>
                  <w:tcW w:w="599"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500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c>
                <w:tcPr>
                  <w:tcW w:w="594"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c>
                <w:tcPr>
                  <w:tcW w:w="644"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c>
                <w:tcPr>
                  <w:tcW w:w="741"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r>
            <w:tr w:rsidR="003E1D2A" w:rsidRPr="00687B52" w:rsidTr="003E1D2A">
              <w:trPr>
                <w:trHeight w:val="369"/>
              </w:trPr>
              <w:tc>
                <w:tcPr>
                  <w:tcW w:w="414" w:type="dxa"/>
                  <w:vMerge w:val="restart"/>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丙</w:t>
                  </w:r>
                </w:p>
              </w:tc>
              <w:tc>
                <w:tcPr>
                  <w:tcW w:w="848"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1项</w:t>
                  </w:r>
                </w:p>
              </w:tc>
              <w:tc>
                <w:tcPr>
                  <w:tcW w:w="1011"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―、二级</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三级</w:t>
                  </w:r>
                </w:p>
              </w:tc>
              <w:tc>
                <w:tcPr>
                  <w:tcW w:w="627"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5</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w:t>
                  </w:r>
                </w:p>
              </w:tc>
              <w:tc>
                <w:tcPr>
                  <w:tcW w:w="658"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4000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1200</w:t>
                  </w:r>
                </w:p>
              </w:tc>
              <w:tc>
                <w:tcPr>
                  <w:tcW w:w="582"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1000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400</w:t>
                  </w:r>
                </w:p>
              </w:tc>
              <w:tc>
                <w:tcPr>
                  <w:tcW w:w="582"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2800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c>
                <w:tcPr>
                  <w:tcW w:w="599"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700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c>
                <w:tcPr>
                  <w:tcW w:w="594"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c>
                <w:tcPr>
                  <w:tcW w:w="644"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c>
                <w:tcPr>
                  <w:tcW w:w="741"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150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r>
            <w:tr w:rsidR="003E1D2A" w:rsidRPr="00687B52" w:rsidTr="003E1D2A">
              <w:trPr>
                <w:trHeight w:val="369"/>
              </w:trPr>
              <w:tc>
                <w:tcPr>
                  <w:tcW w:w="414" w:type="dxa"/>
                  <w:vMerge/>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p>
              </w:tc>
              <w:tc>
                <w:tcPr>
                  <w:tcW w:w="848"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2项</w:t>
                  </w:r>
                </w:p>
              </w:tc>
              <w:tc>
                <w:tcPr>
                  <w:tcW w:w="1011"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―、二级</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三级</w:t>
                  </w:r>
                </w:p>
              </w:tc>
              <w:tc>
                <w:tcPr>
                  <w:tcW w:w="627"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不限</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3</w:t>
                  </w:r>
                </w:p>
              </w:tc>
              <w:tc>
                <w:tcPr>
                  <w:tcW w:w="658" w:type="dxa"/>
                  <w:vAlign w:val="center"/>
                </w:tcPr>
                <w:p w:rsidR="003E1D2A" w:rsidRPr="00687B52" w:rsidRDefault="003E1D2A" w:rsidP="003E1D2A">
                  <w:pPr>
                    <w:adjustRightInd w:val="0"/>
                    <w:snapToGrid w:val="0"/>
                    <w:jc w:val="center"/>
                    <w:rPr>
                      <w:rFonts w:ascii="仿宋_GB2312" w:eastAsia="仿宋_GB2312" w:hAnsi="黑体" w:cs="Segoe UI"/>
                      <w:bCs/>
                      <w:iCs/>
                      <w:color w:val="000000" w:themeColor="text1"/>
                      <w:sz w:val="18"/>
                      <w:szCs w:val="18"/>
                    </w:rPr>
                  </w:pPr>
                  <w:r w:rsidRPr="00687B52">
                    <w:rPr>
                      <w:rFonts w:ascii="仿宋_GB2312" w:eastAsia="仿宋_GB2312" w:hAnsi="黑体" w:cs="Segoe UI" w:hint="eastAsia"/>
                      <w:bCs/>
                      <w:iCs/>
                      <w:color w:val="000000" w:themeColor="text1"/>
                      <w:sz w:val="18"/>
                      <w:szCs w:val="18"/>
                    </w:rPr>
                    <w:t>6000</w:t>
                  </w:r>
                </w:p>
                <w:p w:rsidR="003E1D2A" w:rsidRPr="00687B52" w:rsidRDefault="003E1D2A" w:rsidP="003E1D2A">
                  <w:pPr>
                    <w:adjustRightInd w:val="0"/>
                    <w:snapToGrid w:val="0"/>
                    <w:jc w:val="center"/>
                    <w:rPr>
                      <w:rFonts w:ascii="仿宋_GB2312" w:eastAsia="仿宋_GB2312" w:hAnsi="黑体" w:cs="Segoe UI"/>
                      <w:bCs/>
                      <w:iCs/>
                      <w:color w:val="000000" w:themeColor="text1"/>
                      <w:sz w:val="18"/>
                      <w:szCs w:val="18"/>
                    </w:rPr>
                  </w:pPr>
                  <w:r w:rsidRPr="00687B52">
                    <w:rPr>
                      <w:rFonts w:ascii="仿宋_GB2312" w:eastAsia="仿宋_GB2312" w:hAnsi="黑体" w:cs="Segoe UI" w:hint="eastAsia"/>
                      <w:bCs/>
                      <w:color w:val="000000" w:themeColor="text1"/>
                      <w:sz w:val="18"/>
                      <w:szCs w:val="18"/>
                    </w:rPr>
                    <w:t>2100</w:t>
                  </w:r>
                </w:p>
              </w:tc>
              <w:tc>
                <w:tcPr>
                  <w:tcW w:w="582" w:type="dxa"/>
                  <w:vAlign w:val="center"/>
                </w:tcPr>
                <w:p w:rsidR="003E1D2A" w:rsidRPr="00687B52" w:rsidRDefault="003E1D2A" w:rsidP="003E1D2A">
                  <w:pPr>
                    <w:adjustRightInd w:val="0"/>
                    <w:snapToGrid w:val="0"/>
                    <w:jc w:val="center"/>
                    <w:rPr>
                      <w:rFonts w:ascii="仿宋_GB2312" w:eastAsia="仿宋_GB2312" w:hAnsi="黑体" w:cs="Segoe UI"/>
                      <w:bCs/>
                      <w:iCs/>
                      <w:color w:val="000000" w:themeColor="text1"/>
                      <w:sz w:val="18"/>
                      <w:szCs w:val="18"/>
                    </w:rPr>
                  </w:pPr>
                  <w:r w:rsidRPr="00687B52">
                    <w:rPr>
                      <w:rFonts w:ascii="仿宋_GB2312" w:eastAsia="仿宋_GB2312" w:hAnsi="黑体" w:cs="Segoe UI" w:hint="eastAsia"/>
                      <w:bCs/>
                      <w:iCs/>
                      <w:color w:val="000000" w:themeColor="text1"/>
                      <w:sz w:val="18"/>
                      <w:szCs w:val="18"/>
                    </w:rPr>
                    <w:t>1500</w:t>
                  </w:r>
                </w:p>
                <w:p w:rsidR="003E1D2A" w:rsidRPr="00687B52" w:rsidRDefault="003E1D2A" w:rsidP="003E1D2A">
                  <w:pPr>
                    <w:adjustRightInd w:val="0"/>
                    <w:snapToGrid w:val="0"/>
                    <w:jc w:val="center"/>
                    <w:rPr>
                      <w:rFonts w:ascii="仿宋_GB2312" w:eastAsia="仿宋_GB2312" w:hAnsi="黑体" w:cs="Segoe UI"/>
                      <w:bCs/>
                      <w:iCs/>
                      <w:color w:val="000000" w:themeColor="text1"/>
                      <w:sz w:val="18"/>
                      <w:szCs w:val="18"/>
                    </w:rPr>
                  </w:pPr>
                  <w:r w:rsidRPr="00687B52">
                    <w:rPr>
                      <w:rFonts w:ascii="仿宋_GB2312" w:eastAsia="仿宋_GB2312" w:hAnsi="黑体" w:cs="Segoe UI" w:hint="eastAsia"/>
                      <w:bCs/>
                      <w:color w:val="000000" w:themeColor="text1"/>
                      <w:sz w:val="18"/>
                      <w:szCs w:val="18"/>
                    </w:rPr>
                    <w:t>700</w:t>
                  </w:r>
                </w:p>
              </w:tc>
              <w:tc>
                <w:tcPr>
                  <w:tcW w:w="582"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4800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1200</w:t>
                  </w:r>
                </w:p>
              </w:tc>
              <w:tc>
                <w:tcPr>
                  <w:tcW w:w="599" w:type="dxa"/>
                  <w:vAlign w:val="center"/>
                </w:tcPr>
                <w:p w:rsidR="003E1D2A" w:rsidRPr="00687B52" w:rsidRDefault="003E1D2A" w:rsidP="003E1D2A">
                  <w:pPr>
                    <w:adjustRightInd w:val="0"/>
                    <w:snapToGrid w:val="0"/>
                    <w:jc w:val="center"/>
                    <w:rPr>
                      <w:rFonts w:ascii="仿宋_GB2312" w:eastAsia="仿宋_GB2312" w:hAnsi="黑体" w:cs="Segoe UI"/>
                      <w:bCs/>
                      <w:iCs/>
                      <w:color w:val="000000" w:themeColor="text1"/>
                      <w:sz w:val="18"/>
                      <w:szCs w:val="18"/>
                    </w:rPr>
                  </w:pPr>
                  <w:r w:rsidRPr="00687B52">
                    <w:rPr>
                      <w:rFonts w:ascii="仿宋_GB2312" w:eastAsia="仿宋_GB2312" w:hAnsi="黑体" w:cs="Segoe UI" w:hint="eastAsia"/>
                      <w:bCs/>
                      <w:iCs/>
                      <w:color w:val="000000" w:themeColor="text1"/>
                      <w:sz w:val="18"/>
                      <w:szCs w:val="18"/>
                    </w:rPr>
                    <w:t>1200</w:t>
                  </w:r>
                </w:p>
                <w:p w:rsidR="003E1D2A" w:rsidRPr="00687B52" w:rsidRDefault="003E1D2A" w:rsidP="003E1D2A">
                  <w:pPr>
                    <w:adjustRightInd w:val="0"/>
                    <w:snapToGrid w:val="0"/>
                    <w:jc w:val="center"/>
                    <w:rPr>
                      <w:rFonts w:ascii="仿宋_GB2312" w:eastAsia="仿宋_GB2312" w:hAnsi="黑体" w:cs="Segoe UI"/>
                      <w:bCs/>
                      <w:iCs/>
                      <w:color w:val="000000" w:themeColor="text1"/>
                      <w:sz w:val="18"/>
                      <w:szCs w:val="18"/>
                    </w:rPr>
                  </w:pPr>
                  <w:r w:rsidRPr="00687B52">
                    <w:rPr>
                      <w:rFonts w:ascii="仿宋_GB2312" w:eastAsia="仿宋_GB2312" w:hAnsi="黑体" w:cs="Segoe UI" w:hint="eastAsia"/>
                      <w:bCs/>
                      <w:color w:val="000000" w:themeColor="text1"/>
                      <w:sz w:val="18"/>
                      <w:szCs w:val="18"/>
                    </w:rPr>
                    <w:t>400</w:t>
                  </w:r>
                </w:p>
              </w:tc>
              <w:tc>
                <w:tcPr>
                  <w:tcW w:w="594"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4000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c>
                <w:tcPr>
                  <w:tcW w:w="644" w:type="dxa"/>
                  <w:vAlign w:val="center"/>
                </w:tcPr>
                <w:p w:rsidR="003E1D2A" w:rsidRPr="00687B52" w:rsidRDefault="003E1D2A" w:rsidP="003E1D2A">
                  <w:pPr>
                    <w:adjustRightInd w:val="0"/>
                    <w:snapToGrid w:val="0"/>
                    <w:jc w:val="center"/>
                    <w:rPr>
                      <w:rFonts w:ascii="仿宋_GB2312" w:eastAsia="仿宋_GB2312" w:hAnsi="黑体" w:cs="Segoe UI"/>
                      <w:bCs/>
                      <w:iCs/>
                      <w:color w:val="000000" w:themeColor="text1"/>
                      <w:sz w:val="18"/>
                      <w:szCs w:val="18"/>
                    </w:rPr>
                  </w:pPr>
                  <w:r w:rsidRPr="00687B52">
                    <w:rPr>
                      <w:rFonts w:ascii="仿宋_GB2312" w:eastAsia="仿宋_GB2312" w:hAnsi="黑体" w:cs="Segoe UI" w:hint="eastAsia"/>
                      <w:bCs/>
                      <w:iCs/>
                      <w:color w:val="000000" w:themeColor="text1"/>
                      <w:sz w:val="18"/>
                      <w:szCs w:val="18"/>
                    </w:rPr>
                    <w:t>1000</w:t>
                  </w:r>
                  <w:r w:rsidRPr="00687B52">
                    <w:rPr>
                      <w:rFonts w:ascii="仿宋_GB2312" w:eastAsia="仿宋_GB2312" w:hAnsi="黑体" w:cs="Segoe UI" w:hint="eastAsia"/>
                      <w:bCs/>
                      <w:color w:val="000000" w:themeColor="text1"/>
                      <w:sz w:val="18"/>
                      <w:szCs w:val="18"/>
                    </w:rPr>
                    <w:t>―</w:t>
                  </w:r>
                </w:p>
              </w:tc>
              <w:tc>
                <w:tcPr>
                  <w:tcW w:w="741"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300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r>
            <w:tr w:rsidR="003E1D2A" w:rsidRPr="00687B52" w:rsidTr="003E1D2A">
              <w:trPr>
                <w:trHeight w:val="549"/>
              </w:trPr>
              <w:tc>
                <w:tcPr>
                  <w:tcW w:w="1262" w:type="dxa"/>
                  <w:gridSpan w:val="2"/>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丁</w:t>
                  </w:r>
                </w:p>
              </w:tc>
              <w:tc>
                <w:tcPr>
                  <w:tcW w:w="1011"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―、二级</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三级</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四级</w:t>
                  </w:r>
                </w:p>
              </w:tc>
              <w:tc>
                <w:tcPr>
                  <w:tcW w:w="627"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不限</w:t>
                  </w:r>
                </w:p>
                <w:p w:rsidR="003E1D2A" w:rsidRPr="00687B52" w:rsidRDefault="003E1D2A" w:rsidP="003E1D2A">
                  <w:pPr>
                    <w:adjustRightInd w:val="0"/>
                    <w:snapToGrid w:val="0"/>
                    <w:jc w:val="center"/>
                    <w:rPr>
                      <w:rFonts w:ascii="仿宋_GB2312" w:eastAsia="仿宋_GB2312" w:hAnsi="黑体" w:cs="Segoe UI"/>
                      <w:bCs/>
                      <w:iCs/>
                      <w:color w:val="000000" w:themeColor="text1"/>
                      <w:sz w:val="18"/>
                      <w:szCs w:val="18"/>
                    </w:rPr>
                  </w:pPr>
                  <w:r w:rsidRPr="00687B52">
                    <w:rPr>
                      <w:rFonts w:ascii="仿宋_GB2312" w:eastAsia="仿宋_GB2312" w:hAnsi="黑体" w:cs="Segoe UI" w:hint="eastAsia"/>
                      <w:bCs/>
                      <w:iCs/>
                      <w:color w:val="000000" w:themeColor="text1"/>
                      <w:sz w:val="18"/>
                      <w:szCs w:val="18"/>
                    </w:rPr>
                    <w:t>3</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w:t>
                  </w:r>
                </w:p>
              </w:tc>
              <w:tc>
                <w:tcPr>
                  <w:tcW w:w="658"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不限</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3000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2100</w:t>
                  </w:r>
                </w:p>
              </w:tc>
              <w:tc>
                <w:tcPr>
                  <w:tcW w:w="582"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3000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1000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700</w:t>
                  </w:r>
                </w:p>
              </w:tc>
              <w:tc>
                <w:tcPr>
                  <w:tcW w:w="582"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不限</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1500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c>
                <w:tcPr>
                  <w:tcW w:w="599"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1500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500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c>
                <w:tcPr>
                  <w:tcW w:w="594"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4800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c>
                <w:tcPr>
                  <w:tcW w:w="644"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1200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c>
                <w:tcPr>
                  <w:tcW w:w="741"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500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r>
            <w:tr w:rsidR="003E1D2A" w:rsidRPr="00687B52" w:rsidTr="003E1D2A">
              <w:trPr>
                <w:trHeight w:val="557"/>
              </w:trPr>
              <w:tc>
                <w:tcPr>
                  <w:tcW w:w="1262" w:type="dxa"/>
                  <w:gridSpan w:val="2"/>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戊</w:t>
                  </w:r>
                </w:p>
              </w:tc>
              <w:tc>
                <w:tcPr>
                  <w:tcW w:w="1011"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―、二级</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三级</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四级</w:t>
                  </w:r>
                </w:p>
              </w:tc>
              <w:tc>
                <w:tcPr>
                  <w:tcW w:w="627"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不限</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3</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w:t>
                  </w:r>
                </w:p>
              </w:tc>
              <w:tc>
                <w:tcPr>
                  <w:tcW w:w="658"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不限</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3000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2100</w:t>
                  </w:r>
                </w:p>
              </w:tc>
              <w:tc>
                <w:tcPr>
                  <w:tcW w:w="582"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不限</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1000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700</w:t>
                  </w:r>
                </w:p>
              </w:tc>
              <w:tc>
                <w:tcPr>
                  <w:tcW w:w="582"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不限</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2100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c>
                <w:tcPr>
                  <w:tcW w:w="599"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2000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700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c>
                <w:tcPr>
                  <w:tcW w:w="594"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6000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c>
                <w:tcPr>
                  <w:tcW w:w="644"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1500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c>
                <w:tcPr>
                  <w:tcW w:w="741" w:type="dxa"/>
                  <w:vAlign w:val="center"/>
                </w:tcPr>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1000</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p w:rsidR="003E1D2A" w:rsidRPr="00687B52" w:rsidRDefault="003E1D2A" w:rsidP="003E1D2A">
                  <w:pPr>
                    <w:adjustRightInd w:val="0"/>
                    <w:snapToGrid w:val="0"/>
                    <w:jc w:val="center"/>
                    <w:rPr>
                      <w:rFonts w:ascii="仿宋_GB2312" w:eastAsia="仿宋_GB2312" w:hAnsi="黑体" w:cs="Segoe UI"/>
                      <w:bCs/>
                      <w:color w:val="000000" w:themeColor="text1"/>
                      <w:sz w:val="18"/>
                      <w:szCs w:val="18"/>
                    </w:rPr>
                  </w:pPr>
                  <w:r w:rsidRPr="00687B52">
                    <w:rPr>
                      <w:rFonts w:ascii="仿宋_GB2312" w:eastAsia="仿宋_GB2312" w:hAnsi="黑体" w:cs="Segoe UI" w:hint="eastAsia"/>
                      <w:bCs/>
                      <w:color w:val="000000" w:themeColor="text1"/>
                      <w:sz w:val="18"/>
                      <w:szCs w:val="18"/>
                    </w:rPr>
                    <w:t>―</w:t>
                  </w:r>
                </w:p>
              </w:tc>
            </w:tr>
          </w:tbl>
          <w:p w:rsidR="003E1D2A" w:rsidRPr="00687B52" w:rsidRDefault="003E1D2A" w:rsidP="003E1D2A">
            <w:pPr>
              <w:pStyle w:val="a7"/>
              <w:jc w:val="left"/>
              <w:rPr>
                <w:rFonts w:asciiTheme="minorEastAsia" w:eastAsiaTheme="minorEastAsia" w:hAnsiTheme="minorEastAsia"/>
                <w:bCs/>
                <w:color w:val="000000" w:themeColor="text1"/>
                <w:sz w:val="18"/>
                <w:szCs w:val="18"/>
              </w:rPr>
            </w:pPr>
            <w:r w:rsidRPr="00687B52">
              <w:rPr>
                <w:rFonts w:asciiTheme="minorEastAsia" w:eastAsiaTheme="minorEastAsia" w:hAnsiTheme="minorEastAsia" w:hint="eastAsia"/>
                <w:bCs/>
                <w:color w:val="000000" w:themeColor="text1"/>
                <w:sz w:val="18"/>
                <w:szCs w:val="18"/>
              </w:rPr>
              <w:t>注：1仓库内的防火分区之间必须采用防火墙分隔，甲、乙类仓库内防火分区之间的防火墙不应开设门、窗、洞口；地下或半地下仓库（包括地下或半地下室）的最大允许占地面积，不应大于相应类别地上仓库的最大允许占地面积。</w:t>
            </w:r>
          </w:p>
          <w:p w:rsidR="003E1D2A" w:rsidRPr="00687B52" w:rsidRDefault="003E1D2A" w:rsidP="003E1D2A">
            <w:pPr>
              <w:pStyle w:val="a7"/>
              <w:jc w:val="left"/>
              <w:rPr>
                <w:rFonts w:asciiTheme="minorEastAsia" w:eastAsiaTheme="minorEastAsia" w:hAnsiTheme="minorEastAsia"/>
                <w:bCs/>
                <w:color w:val="000000" w:themeColor="text1"/>
                <w:sz w:val="18"/>
                <w:szCs w:val="18"/>
              </w:rPr>
            </w:pPr>
            <w:r w:rsidRPr="00687B52">
              <w:rPr>
                <w:rFonts w:asciiTheme="minorEastAsia" w:eastAsiaTheme="minorEastAsia" w:hAnsiTheme="minorEastAsia" w:hint="eastAsia"/>
                <w:bCs/>
                <w:color w:val="000000" w:themeColor="text1"/>
                <w:sz w:val="18"/>
                <w:szCs w:val="18"/>
              </w:rPr>
              <w:t>2石油库区内的桶装油品仓库应符合现行国家标准《石油库设计规范》GB50074的规定。</w:t>
            </w:r>
          </w:p>
          <w:p w:rsidR="003E1D2A" w:rsidRPr="00687B52" w:rsidRDefault="003E1D2A" w:rsidP="003E1D2A">
            <w:pPr>
              <w:pStyle w:val="a7"/>
              <w:jc w:val="left"/>
              <w:rPr>
                <w:rFonts w:asciiTheme="minorEastAsia" w:eastAsiaTheme="minorEastAsia" w:hAnsiTheme="minorEastAsia"/>
                <w:bCs/>
                <w:color w:val="000000" w:themeColor="text1"/>
                <w:sz w:val="18"/>
                <w:szCs w:val="18"/>
              </w:rPr>
            </w:pPr>
            <w:r w:rsidRPr="00687B52">
              <w:rPr>
                <w:rFonts w:asciiTheme="minorEastAsia" w:eastAsiaTheme="minorEastAsia" w:hAnsiTheme="minorEastAsia" w:hint="eastAsia"/>
                <w:bCs/>
                <w:color w:val="000000" w:themeColor="text1"/>
                <w:sz w:val="18"/>
                <w:szCs w:val="18"/>
              </w:rPr>
              <w:t>3独立建造的硝酸铵仓库、电石仓库、聚乙烯等高分子制品仓库、尿素仓库、配煤仓库、造纸厂的独立成品仓库，当建筑的耐火等级不低于二级时，每座仓库的最大允许占地面积和每个防火分区的最大允许建筑面积可按本表的规定增加1.0倍。</w:t>
            </w:r>
          </w:p>
          <w:p w:rsidR="003E1D2A" w:rsidRPr="00687B52" w:rsidRDefault="003E1D2A" w:rsidP="003E1D2A">
            <w:pPr>
              <w:pStyle w:val="a7"/>
              <w:jc w:val="left"/>
              <w:rPr>
                <w:rFonts w:asciiTheme="minorEastAsia" w:eastAsiaTheme="minorEastAsia" w:hAnsiTheme="minorEastAsia"/>
                <w:bCs/>
                <w:color w:val="000000" w:themeColor="text1"/>
                <w:sz w:val="18"/>
                <w:szCs w:val="18"/>
              </w:rPr>
            </w:pPr>
            <w:r w:rsidRPr="00687B52">
              <w:rPr>
                <w:rFonts w:asciiTheme="minorEastAsia" w:eastAsiaTheme="minorEastAsia" w:hAnsiTheme="minorEastAsia" w:hint="eastAsia"/>
                <w:bCs/>
                <w:color w:val="000000" w:themeColor="text1"/>
                <w:sz w:val="18"/>
                <w:szCs w:val="18"/>
              </w:rPr>
              <w:t>4一、二级耐火等级冷库的最大允许占地面积和防火分区的最大允许建筑面积，应符合现行国家标准《冷库设计规范》GB50072的规定。</w:t>
            </w:r>
          </w:p>
          <w:p w:rsidR="003E1D2A" w:rsidRPr="00687B52" w:rsidRDefault="003E1D2A" w:rsidP="003E1D2A">
            <w:pPr>
              <w:pStyle w:val="a7"/>
              <w:jc w:val="left"/>
              <w:rPr>
                <w:rFonts w:asciiTheme="minorEastAsia" w:eastAsiaTheme="minorEastAsia" w:hAnsiTheme="minorEastAsia"/>
                <w:bCs/>
                <w:color w:val="000000" w:themeColor="text1"/>
                <w:sz w:val="18"/>
                <w:szCs w:val="18"/>
              </w:rPr>
            </w:pPr>
            <w:r w:rsidRPr="00687B52">
              <w:rPr>
                <w:rFonts w:asciiTheme="minorEastAsia" w:eastAsiaTheme="minorEastAsia" w:hAnsiTheme="minorEastAsia" w:hint="eastAsia"/>
                <w:bCs/>
                <w:color w:val="000000" w:themeColor="text1"/>
                <w:sz w:val="18"/>
                <w:szCs w:val="18"/>
              </w:rPr>
              <w:t>5“一”表示不允许。</w:t>
            </w:r>
          </w:p>
          <w:p w:rsidR="007A48E1" w:rsidRPr="00687B52" w:rsidRDefault="007A48E1"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 w:val="18"/>
                <w:szCs w:val="18"/>
              </w:rPr>
              <w:t>6仓库内设置自动灭火系统时，除冷库的防火分区外，每座仓库的最大允许占地面积和每个防火分区的最大允许建筑面积可按本规范3.3.2条的规定增加1.0倍。</w:t>
            </w:r>
          </w:p>
        </w:tc>
        <w:tc>
          <w:tcPr>
            <w:tcW w:w="297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《建筑设计防火规范》GB50016-2014第3.3.2</w:t>
            </w:r>
          </w:p>
        </w:tc>
        <w:tc>
          <w:tcPr>
            <w:tcW w:w="2787" w:type="dxa"/>
            <w:vAlign w:val="center"/>
          </w:tcPr>
          <w:p w:rsidR="003E1D2A" w:rsidRPr="00687B52" w:rsidRDefault="003E1D2A" w:rsidP="003E1D2A">
            <w:pPr>
              <w:jc w:val="center"/>
              <w:rPr>
                <w:rFonts w:asciiTheme="minorEastAsia" w:hAnsiTheme="minorEastAsia"/>
                <w:b/>
                <w:bCs/>
                <w:color w:val="000000" w:themeColor="text1"/>
                <w:sz w:val="24"/>
              </w:rPr>
            </w:pPr>
          </w:p>
        </w:tc>
      </w:tr>
      <w:tr w:rsidR="003E1D2A" w:rsidRPr="00687B52" w:rsidTr="00A0611B">
        <w:trPr>
          <w:trHeight w:val="669"/>
          <w:jc w:val="center"/>
        </w:trPr>
        <w:tc>
          <w:tcPr>
            <w:tcW w:w="967" w:type="dxa"/>
            <w:vAlign w:val="center"/>
          </w:tcPr>
          <w:p w:rsidR="003E1D2A" w:rsidRPr="00687B52" w:rsidRDefault="003E1D2A" w:rsidP="007A48E1">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2.</w:t>
            </w:r>
            <w:r w:rsidR="007A48E1" w:rsidRPr="00687B52">
              <w:rPr>
                <w:rFonts w:asciiTheme="minorEastAsia" w:eastAsiaTheme="minorEastAsia" w:hAnsiTheme="minorEastAsia" w:hint="eastAsia"/>
                <w:bCs/>
                <w:color w:val="000000" w:themeColor="text1"/>
                <w:szCs w:val="24"/>
              </w:rPr>
              <w:t>2</w:t>
            </w:r>
          </w:p>
        </w:tc>
        <w:tc>
          <w:tcPr>
            <w:tcW w:w="7849" w:type="dxa"/>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员工宿舍严禁设置在仓库内。</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办公室、休息室等严禁设置在甲、乙类仓库内，也不应贴邻。</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办公室、休息室设置在丙、丁类仓库内时，应采用耐火极限不低于2.50h的防火隔墙和1.00h的楼板与其他部位分隔，并应设置独立的安全出口。隔墙上需开设相互连通的门时，应采用乙级防火门。</w:t>
            </w:r>
          </w:p>
        </w:tc>
        <w:tc>
          <w:tcPr>
            <w:tcW w:w="297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《建筑设计防火规范》GB50016-2014第3.3.9</w:t>
            </w:r>
          </w:p>
        </w:tc>
        <w:tc>
          <w:tcPr>
            <w:tcW w:w="2787" w:type="dxa"/>
            <w:vAlign w:val="center"/>
          </w:tcPr>
          <w:p w:rsidR="003E1D2A" w:rsidRPr="00687B52" w:rsidRDefault="003E1D2A" w:rsidP="003E1D2A">
            <w:pPr>
              <w:jc w:val="center"/>
              <w:rPr>
                <w:rFonts w:asciiTheme="minorEastAsia" w:hAnsiTheme="minorEastAsia"/>
                <w:b/>
                <w:bCs/>
                <w:color w:val="000000" w:themeColor="text1"/>
                <w:sz w:val="24"/>
              </w:rPr>
            </w:pPr>
          </w:p>
        </w:tc>
      </w:tr>
      <w:tr w:rsidR="003E1D2A" w:rsidRPr="00687B52" w:rsidTr="00A0611B">
        <w:trPr>
          <w:trHeight w:val="403"/>
          <w:jc w:val="center"/>
        </w:trPr>
        <w:tc>
          <w:tcPr>
            <w:tcW w:w="967" w:type="dxa"/>
            <w:vAlign w:val="center"/>
          </w:tcPr>
          <w:p w:rsidR="003E1D2A" w:rsidRPr="00687B52" w:rsidRDefault="003E1D2A" w:rsidP="007A48E1">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w:t>
            </w:r>
            <w:r w:rsidR="007A48E1" w:rsidRPr="00687B52">
              <w:rPr>
                <w:rFonts w:asciiTheme="minorEastAsia" w:eastAsiaTheme="minorEastAsia" w:hAnsiTheme="minorEastAsia" w:hint="eastAsia"/>
                <w:color w:val="000000" w:themeColor="text1"/>
                <w:szCs w:val="24"/>
              </w:rPr>
              <w:t>3</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甲、乙类仓库内不应设置铁路线。</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需要出入蒸汽机车和内燃机车的丙、丁、戊类仓库，其屋顶应釆用不燃材料或釆取其他防火措施。</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《建筑设计防火规范》GB50016-2014第3.3.11</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270"/>
          <w:jc w:val="center"/>
        </w:trPr>
        <w:tc>
          <w:tcPr>
            <w:tcW w:w="967" w:type="dxa"/>
            <w:vAlign w:val="center"/>
          </w:tcPr>
          <w:p w:rsidR="003E1D2A" w:rsidRPr="00687B52" w:rsidRDefault="003E1D2A" w:rsidP="007A48E1">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w:t>
            </w:r>
            <w:r w:rsidR="007A48E1" w:rsidRPr="00687B52">
              <w:rPr>
                <w:rFonts w:asciiTheme="minorEastAsia" w:eastAsiaTheme="minorEastAsia" w:hAnsiTheme="minorEastAsia" w:hint="eastAsia"/>
                <w:color w:val="000000" w:themeColor="text1"/>
                <w:szCs w:val="24"/>
              </w:rPr>
              <w:t>4</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仓库的安全出口应分散布置。每个防火分区或一个防火分区的每个楼层，其相邻2个安全出口最近边缘之间的水平距离不应小于5m</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《建筑设计防火规范》GB50016-2014第3.8.1</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536"/>
          <w:jc w:val="center"/>
        </w:trPr>
        <w:tc>
          <w:tcPr>
            <w:tcW w:w="967" w:type="dxa"/>
            <w:vAlign w:val="center"/>
          </w:tcPr>
          <w:p w:rsidR="003E1D2A" w:rsidRPr="00687B52" w:rsidRDefault="003E1D2A" w:rsidP="007A48E1">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2.</w:t>
            </w:r>
            <w:r w:rsidR="007A48E1" w:rsidRPr="00687B52">
              <w:rPr>
                <w:rFonts w:asciiTheme="minorEastAsia" w:eastAsiaTheme="minorEastAsia" w:hAnsiTheme="minorEastAsia" w:hint="eastAsia"/>
                <w:bCs/>
                <w:color w:val="000000" w:themeColor="text1"/>
                <w:szCs w:val="24"/>
              </w:rPr>
              <w:t>5</w:t>
            </w:r>
          </w:p>
        </w:tc>
        <w:tc>
          <w:tcPr>
            <w:tcW w:w="7849" w:type="dxa"/>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每座仓库的安全出口不应少于2个，当一座仓库的占地面积不大于300m</w:t>
            </w:r>
            <w:r w:rsidRPr="00687B52">
              <w:rPr>
                <w:rFonts w:asciiTheme="minorEastAsia" w:eastAsiaTheme="minorEastAsia" w:hAnsiTheme="minorEastAsia" w:hint="eastAsia"/>
                <w:bCs/>
                <w:color w:val="000000" w:themeColor="text1"/>
                <w:szCs w:val="24"/>
                <w:vertAlign w:val="superscript"/>
              </w:rPr>
              <w:t>2</w:t>
            </w:r>
            <w:r w:rsidRPr="00687B52">
              <w:rPr>
                <w:rFonts w:asciiTheme="minorEastAsia" w:eastAsiaTheme="minorEastAsia" w:hAnsiTheme="minorEastAsia" w:hint="eastAsia"/>
                <w:bCs/>
                <w:color w:val="000000" w:themeColor="text1"/>
                <w:szCs w:val="24"/>
              </w:rPr>
              <w:t>时，可设置1个安全出口。仓库内每个防火分区通向疏散走道、楼梯或室外的出口不宜少于2个，当防火分区的建筑面积不大于100m</w:t>
            </w:r>
            <w:r w:rsidRPr="00687B52">
              <w:rPr>
                <w:rFonts w:asciiTheme="minorEastAsia" w:eastAsiaTheme="minorEastAsia" w:hAnsiTheme="minorEastAsia" w:hint="eastAsia"/>
                <w:bCs/>
                <w:color w:val="000000" w:themeColor="text1"/>
                <w:szCs w:val="24"/>
                <w:vertAlign w:val="superscript"/>
              </w:rPr>
              <w:t>2</w:t>
            </w:r>
            <w:r w:rsidRPr="00687B52">
              <w:rPr>
                <w:rFonts w:asciiTheme="minorEastAsia" w:eastAsiaTheme="minorEastAsia" w:hAnsiTheme="minorEastAsia" w:hint="eastAsia"/>
                <w:bCs/>
                <w:color w:val="000000" w:themeColor="text1"/>
                <w:szCs w:val="24"/>
              </w:rPr>
              <w:t>时，可设置1个出口。通向疏散走道或楼梯两门应为乙级防火门。</w:t>
            </w:r>
          </w:p>
        </w:tc>
        <w:tc>
          <w:tcPr>
            <w:tcW w:w="297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《建筑设计防火规范》GB50016-2014第3.8.2</w:t>
            </w:r>
          </w:p>
        </w:tc>
        <w:tc>
          <w:tcPr>
            <w:tcW w:w="2787" w:type="dxa"/>
            <w:vAlign w:val="center"/>
          </w:tcPr>
          <w:p w:rsidR="003E1D2A" w:rsidRPr="00687B52" w:rsidRDefault="003E1D2A" w:rsidP="003E1D2A">
            <w:pPr>
              <w:jc w:val="center"/>
              <w:rPr>
                <w:rFonts w:asciiTheme="minorEastAsia" w:hAnsiTheme="minorEastAsia"/>
                <w:b/>
                <w:bCs/>
                <w:color w:val="000000" w:themeColor="text1"/>
                <w:sz w:val="24"/>
              </w:rPr>
            </w:pPr>
          </w:p>
        </w:tc>
      </w:tr>
      <w:tr w:rsidR="003E1D2A" w:rsidRPr="00687B52" w:rsidTr="00A0611B">
        <w:trPr>
          <w:trHeight w:val="270"/>
          <w:jc w:val="center"/>
        </w:trPr>
        <w:tc>
          <w:tcPr>
            <w:tcW w:w="967" w:type="dxa"/>
            <w:vAlign w:val="center"/>
          </w:tcPr>
          <w:p w:rsidR="003E1D2A" w:rsidRPr="00687B52" w:rsidRDefault="003E1D2A" w:rsidP="007A48E1">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2.</w:t>
            </w:r>
            <w:r w:rsidR="007A48E1" w:rsidRPr="00687B52">
              <w:rPr>
                <w:rFonts w:asciiTheme="minorEastAsia" w:eastAsiaTheme="minorEastAsia" w:hAnsiTheme="minorEastAsia" w:hint="eastAsia"/>
                <w:bCs/>
                <w:color w:val="000000" w:themeColor="text1"/>
                <w:szCs w:val="24"/>
              </w:rPr>
              <w:t>6</w:t>
            </w:r>
          </w:p>
        </w:tc>
        <w:tc>
          <w:tcPr>
            <w:tcW w:w="7849" w:type="dxa"/>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有爆炸危险的仓库或仓库内有爆炸危险的部位应设置泄压设施。</w:t>
            </w:r>
          </w:p>
        </w:tc>
        <w:tc>
          <w:tcPr>
            <w:tcW w:w="297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《建筑设计防火规范》GB50016-2014第3.6.2</w:t>
            </w:r>
          </w:p>
        </w:tc>
        <w:tc>
          <w:tcPr>
            <w:tcW w:w="2787" w:type="dxa"/>
            <w:vAlign w:val="center"/>
          </w:tcPr>
          <w:p w:rsidR="003E1D2A" w:rsidRPr="00687B52" w:rsidRDefault="003E1D2A" w:rsidP="003E1D2A">
            <w:pPr>
              <w:jc w:val="center"/>
              <w:rPr>
                <w:rFonts w:asciiTheme="minorEastAsia" w:hAnsiTheme="minorEastAsia"/>
                <w:b/>
                <w:bCs/>
                <w:color w:val="000000" w:themeColor="text1"/>
                <w:sz w:val="24"/>
              </w:rPr>
            </w:pPr>
          </w:p>
        </w:tc>
      </w:tr>
      <w:tr w:rsidR="003E1D2A" w:rsidRPr="00687B52" w:rsidTr="00A0611B">
        <w:trPr>
          <w:trHeight w:val="801"/>
          <w:jc w:val="center"/>
        </w:trPr>
        <w:tc>
          <w:tcPr>
            <w:tcW w:w="967" w:type="dxa"/>
            <w:vAlign w:val="center"/>
          </w:tcPr>
          <w:p w:rsidR="003E1D2A" w:rsidRPr="00687B52" w:rsidRDefault="003E1D2A" w:rsidP="007A48E1">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w:t>
            </w:r>
            <w:r w:rsidR="007A48E1" w:rsidRPr="00687B52">
              <w:rPr>
                <w:rFonts w:asciiTheme="minorEastAsia" w:eastAsiaTheme="minorEastAsia" w:hAnsiTheme="minorEastAsia" w:hint="eastAsia"/>
                <w:color w:val="000000" w:themeColor="text1"/>
                <w:szCs w:val="24"/>
              </w:rPr>
              <w:t>7</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泄压设施宜釆用轻质屋面板、轻质墙体和易于泄压的门、窗等，应采用安全玻璃等在爆炸时不产生尖锐碎片的材料。</w:t>
            </w:r>
          </w:p>
          <w:p w:rsidR="003E1D2A" w:rsidRPr="00687B52" w:rsidRDefault="003E1D2A" w:rsidP="003E1D2A">
            <w:pPr>
              <w:pStyle w:val="a7"/>
              <w:ind w:firstLine="48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泄压设施的设置应避开人员密集场所和主要交通道路，并宜靠近有爆炸危险的部位。</w:t>
            </w:r>
          </w:p>
          <w:p w:rsidR="003E1D2A" w:rsidRPr="00687B52" w:rsidRDefault="003E1D2A" w:rsidP="003E1D2A">
            <w:pPr>
              <w:pStyle w:val="a7"/>
              <w:ind w:firstLine="48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作为泄压设施的轻质屋面板和墙体的质量不宜大60kg/m</w:t>
            </w:r>
            <w:r w:rsidRPr="00687B52">
              <w:rPr>
                <w:rFonts w:asciiTheme="minorEastAsia" w:eastAsiaTheme="minorEastAsia" w:hAnsiTheme="minorEastAsia" w:hint="eastAsia"/>
                <w:color w:val="000000" w:themeColor="text1"/>
                <w:szCs w:val="24"/>
                <w:vertAlign w:val="superscript"/>
              </w:rPr>
              <w:t>2</w:t>
            </w:r>
            <w:r w:rsidRPr="00687B52">
              <w:rPr>
                <w:rFonts w:asciiTheme="minorEastAsia" w:eastAsiaTheme="minorEastAsia" w:hAnsiTheme="minorEastAsia" w:hint="eastAsia"/>
                <w:color w:val="000000" w:themeColor="text1"/>
                <w:szCs w:val="24"/>
              </w:rPr>
              <w:t>。</w:t>
            </w:r>
          </w:p>
          <w:p w:rsidR="003E1D2A" w:rsidRPr="00687B52" w:rsidRDefault="003E1D2A" w:rsidP="003E1D2A">
            <w:pPr>
              <w:pStyle w:val="a7"/>
              <w:ind w:firstLine="480"/>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屋顶上的泄压设施应采取防冰雪积聚措施。</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《建筑设计防火规范》GB50016-2014第3.6.3</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403"/>
          <w:jc w:val="center"/>
        </w:trPr>
        <w:tc>
          <w:tcPr>
            <w:tcW w:w="967" w:type="dxa"/>
            <w:vAlign w:val="center"/>
          </w:tcPr>
          <w:p w:rsidR="003E1D2A" w:rsidRPr="00687B52" w:rsidRDefault="003E1D2A" w:rsidP="007A48E1">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w:t>
            </w:r>
            <w:r w:rsidR="007A48E1" w:rsidRPr="00687B52">
              <w:rPr>
                <w:rFonts w:asciiTheme="minorEastAsia" w:eastAsiaTheme="minorEastAsia" w:hAnsiTheme="minorEastAsia" w:hint="eastAsia"/>
                <w:color w:val="000000" w:themeColor="text1"/>
                <w:szCs w:val="24"/>
              </w:rPr>
              <w:t>8</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bCs/>
                <w:color w:val="000000" w:themeColor="text1"/>
                <w:szCs w:val="24"/>
              </w:rPr>
              <w:t>甲、乙、丙类液体仓库应设置防止液体流散的设施。遇湿会发生燃烧爆炸的物品仓库应采取防止水浸渍的措施。</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bCs/>
                <w:color w:val="000000" w:themeColor="text1"/>
                <w:szCs w:val="24"/>
              </w:rPr>
              <w:t>《建筑设计防火规范》GB50016-2014第3.6.12</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270"/>
          <w:jc w:val="center"/>
        </w:trPr>
        <w:tc>
          <w:tcPr>
            <w:tcW w:w="967" w:type="dxa"/>
            <w:vAlign w:val="center"/>
          </w:tcPr>
          <w:p w:rsidR="003E1D2A" w:rsidRPr="00687B52" w:rsidRDefault="003E1D2A" w:rsidP="007A48E1">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2.</w:t>
            </w:r>
            <w:r w:rsidR="007A48E1" w:rsidRPr="00687B52">
              <w:rPr>
                <w:rFonts w:asciiTheme="minorEastAsia" w:eastAsiaTheme="minorEastAsia" w:hAnsiTheme="minorEastAsia" w:hint="eastAsia"/>
                <w:bCs/>
                <w:color w:val="000000" w:themeColor="text1"/>
                <w:szCs w:val="24"/>
              </w:rPr>
              <w:t>9</w:t>
            </w:r>
          </w:p>
        </w:tc>
        <w:tc>
          <w:tcPr>
            <w:tcW w:w="7849" w:type="dxa"/>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甲、乙类仓库内严禁采用明火和电热散热器供暖。</w:t>
            </w:r>
          </w:p>
        </w:tc>
        <w:tc>
          <w:tcPr>
            <w:tcW w:w="297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《建筑设计防火规范》GB50016-2014第9.2.2</w:t>
            </w:r>
          </w:p>
        </w:tc>
        <w:tc>
          <w:tcPr>
            <w:tcW w:w="2787" w:type="dxa"/>
            <w:vAlign w:val="center"/>
          </w:tcPr>
          <w:p w:rsidR="003E1D2A" w:rsidRPr="00687B52" w:rsidRDefault="003E1D2A" w:rsidP="003E1D2A">
            <w:pPr>
              <w:jc w:val="center"/>
              <w:rPr>
                <w:rFonts w:asciiTheme="minorEastAsia" w:hAnsiTheme="minorEastAsia"/>
                <w:b/>
                <w:bCs/>
                <w:color w:val="000000" w:themeColor="text1"/>
                <w:sz w:val="24"/>
              </w:rPr>
            </w:pPr>
          </w:p>
        </w:tc>
      </w:tr>
      <w:tr w:rsidR="003E1D2A" w:rsidRPr="00687B52" w:rsidTr="00A0611B">
        <w:trPr>
          <w:trHeight w:val="669"/>
          <w:jc w:val="center"/>
        </w:trPr>
        <w:tc>
          <w:tcPr>
            <w:tcW w:w="967" w:type="dxa"/>
            <w:vAlign w:val="center"/>
          </w:tcPr>
          <w:p w:rsidR="003E1D2A" w:rsidRPr="00687B52" w:rsidRDefault="003E1D2A" w:rsidP="007A48E1">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w:t>
            </w:r>
            <w:r w:rsidR="007A48E1" w:rsidRPr="00687B52">
              <w:rPr>
                <w:rFonts w:asciiTheme="minorEastAsia" w:eastAsiaTheme="minorEastAsia" w:hAnsiTheme="minorEastAsia" w:hint="eastAsia"/>
                <w:color w:val="000000" w:themeColor="text1"/>
                <w:szCs w:val="24"/>
              </w:rPr>
              <w:t>0</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贮存场所通风或温度调节</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1）贮存危险化学品的建筑必须安装通风设备，并注意设备的防护措施。</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2）贮存危险化学品的建筑通排风系统应设有导除静电的接地装置。</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3）通风管应采用非燃烧材料制作。</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4）通风管道不宜穿过</w:t>
            </w:r>
            <w:hyperlink r:id="rId38" w:tgtFrame="_blank" w:history="1">
              <w:r w:rsidRPr="00687B52">
                <w:rPr>
                  <w:rFonts w:asciiTheme="minorEastAsia" w:eastAsiaTheme="minorEastAsia" w:hAnsiTheme="minorEastAsia" w:hint="eastAsia"/>
                  <w:color w:val="000000" w:themeColor="text1"/>
                  <w:szCs w:val="24"/>
                </w:rPr>
                <w:t>防火墙</w:t>
              </w:r>
            </w:hyperlink>
            <w:r w:rsidRPr="00687B52">
              <w:rPr>
                <w:rFonts w:asciiTheme="minorEastAsia" w:eastAsiaTheme="minorEastAsia" w:hAnsiTheme="minorEastAsia" w:hint="eastAsia"/>
                <w:color w:val="000000" w:themeColor="text1"/>
                <w:szCs w:val="24"/>
              </w:rPr>
              <w:t>等防火分隔物，如必须穿过时应用非燃烧材料分隔。</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5）贮存危险品化学建筑采暖的热媒温度不应过高，热水采暖不应超过80℃，不得使用蒸汽采暖和机械采暖。</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6）采暖管道和设备的保温材料，必须采用非燃烧材料。</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15603-1995第5.4</w:t>
            </w:r>
          </w:p>
        </w:tc>
        <w:tc>
          <w:tcPr>
            <w:tcW w:w="2787" w:type="dxa"/>
            <w:vAlign w:val="center"/>
          </w:tcPr>
          <w:p w:rsidR="003E1D2A" w:rsidRPr="00687B52" w:rsidRDefault="003E1D2A" w:rsidP="003E1D2A">
            <w:pPr>
              <w:jc w:val="center"/>
              <w:rPr>
                <w:rFonts w:asciiTheme="minorEastAsia" w:hAnsiTheme="minorEastAsia"/>
                <w:color w:val="000000" w:themeColor="text1"/>
              </w:rPr>
            </w:pPr>
          </w:p>
        </w:tc>
      </w:tr>
      <w:tr w:rsidR="003E1D2A" w:rsidRPr="00687B52" w:rsidTr="00A0611B">
        <w:trPr>
          <w:trHeight w:val="403"/>
          <w:jc w:val="center"/>
        </w:trPr>
        <w:tc>
          <w:tcPr>
            <w:tcW w:w="967" w:type="dxa"/>
            <w:vAlign w:val="center"/>
          </w:tcPr>
          <w:p w:rsidR="003E1D2A" w:rsidRPr="00687B52" w:rsidRDefault="003E1D2A" w:rsidP="007A48E1">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w:t>
            </w:r>
            <w:r w:rsidR="007A48E1" w:rsidRPr="00687B52">
              <w:rPr>
                <w:rFonts w:asciiTheme="minorEastAsia" w:eastAsiaTheme="minorEastAsia" w:hAnsiTheme="minorEastAsia" w:hint="eastAsia"/>
                <w:color w:val="000000" w:themeColor="text1"/>
                <w:szCs w:val="24"/>
              </w:rPr>
              <w:t>1</w:t>
            </w:r>
          </w:p>
        </w:tc>
        <w:tc>
          <w:tcPr>
            <w:tcW w:w="7849" w:type="dxa"/>
            <w:vAlign w:val="center"/>
          </w:tcPr>
          <w:p w:rsidR="003E1D2A" w:rsidRPr="00687B52" w:rsidRDefault="003E1D2A" w:rsidP="003E1D2A">
            <w:pPr>
              <w:spacing w:line="320" w:lineRule="exact"/>
              <w:rPr>
                <w:rFonts w:asciiTheme="minorEastAsia" w:hAnsiTheme="minorEastAsia" w:cs="Arial"/>
                <w:color w:val="000000" w:themeColor="text1"/>
                <w:sz w:val="24"/>
              </w:rPr>
            </w:pPr>
            <w:r w:rsidRPr="00687B52">
              <w:rPr>
                <w:rFonts w:asciiTheme="minorEastAsia" w:hAnsiTheme="minorEastAsia" w:cs="Arial" w:hint="eastAsia"/>
                <w:color w:val="000000" w:themeColor="text1"/>
                <w:sz w:val="24"/>
              </w:rPr>
              <w:t>根据危险品性能分区、分类、分库贮存。各类危险品不得与禁忌物料混合贮存。</w:t>
            </w:r>
          </w:p>
          <w:p w:rsidR="003E1D2A" w:rsidRPr="00687B52" w:rsidRDefault="003E1D2A" w:rsidP="003E1D2A">
            <w:pPr>
              <w:spacing w:line="320" w:lineRule="exact"/>
              <w:rPr>
                <w:rFonts w:asciiTheme="minorEastAsia" w:hAnsiTheme="minorEastAsia" w:cs="Arial"/>
                <w:color w:val="000000" w:themeColor="text1"/>
                <w:sz w:val="24"/>
              </w:rPr>
            </w:pPr>
            <w:r w:rsidRPr="00687B52">
              <w:rPr>
                <w:rFonts w:asciiTheme="minorEastAsia" w:hAnsiTheme="minorEastAsia" w:cs="Arial" w:hint="eastAsia"/>
                <w:color w:val="000000" w:themeColor="text1"/>
                <w:sz w:val="24"/>
              </w:rPr>
              <w:t>易燃液体、遇湿易燃物品、易燃固体不得与氧化剂混合贮存，具有还原性的氧化剂应单独存放。化学危险物品混存性能互抵情况见GB17914-2013表A.1。</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《常用危险化学品贮存通则》GB15603-1995</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第4.8、6.7条</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《易燃易爆性商品储存养护技术条件》GB17914-2013</w:t>
            </w:r>
          </w:p>
        </w:tc>
        <w:tc>
          <w:tcPr>
            <w:tcW w:w="2787" w:type="dxa"/>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A0611B">
        <w:trPr>
          <w:trHeight w:val="403"/>
          <w:jc w:val="center"/>
        </w:trPr>
        <w:tc>
          <w:tcPr>
            <w:tcW w:w="967" w:type="dxa"/>
            <w:vAlign w:val="center"/>
          </w:tcPr>
          <w:p w:rsidR="003E1D2A" w:rsidRPr="00687B52" w:rsidRDefault="003E1D2A" w:rsidP="007A48E1">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w:t>
            </w:r>
            <w:r w:rsidR="007A48E1" w:rsidRPr="00687B52">
              <w:rPr>
                <w:rFonts w:asciiTheme="minorEastAsia" w:eastAsiaTheme="minorEastAsia" w:hAnsiTheme="minorEastAsia" w:hint="eastAsia"/>
                <w:color w:val="000000" w:themeColor="text1"/>
                <w:szCs w:val="24"/>
              </w:rPr>
              <w:t>2</w:t>
            </w:r>
          </w:p>
        </w:tc>
        <w:tc>
          <w:tcPr>
            <w:tcW w:w="7849" w:type="dxa"/>
            <w:vAlign w:val="center"/>
          </w:tcPr>
          <w:p w:rsidR="003E1D2A" w:rsidRPr="00687B52" w:rsidRDefault="003E1D2A" w:rsidP="003E1D2A">
            <w:pPr>
              <w:spacing w:line="320" w:lineRule="exact"/>
              <w:rPr>
                <w:rFonts w:asciiTheme="minorEastAsia" w:hAnsiTheme="minorEastAsia" w:cs="Arial"/>
                <w:color w:val="000000" w:themeColor="text1"/>
                <w:sz w:val="24"/>
              </w:rPr>
            </w:pPr>
            <w:r w:rsidRPr="00687B52">
              <w:rPr>
                <w:rFonts w:asciiTheme="minorEastAsia" w:hAnsiTheme="minorEastAsia" w:cs="Arial" w:hint="eastAsia"/>
                <w:color w:val="000000" w:themeColor="text1"/>
                <w:sz w:val="24"/>
              </w:rPr>
              <w:t>危险化学品贮存区域或建筑物内输配电线路、灯具、火灾事故照明和疏散指示标志，都应符合安全要求。</w:t>
            </w:r>
          </w:p>
          <w:p w:rsidR="003E1D2A" w:rsidRPr="00687B52" w:rsidRDefault="003E1D2A" w:rsidP="003E1D2A">
            <w:pPr>
              <w:spacing w:line="320" w:lineRule="exact"/>
              <w:rPr>
                <w:rFonts w:asciiTheme="minorEastAsia" w:hAnsiTheme="minorEastAsia" w:cs="Arial"/>
                <w:color w:val="000000" w:themeColor="text1"/>
                <w:sz w:val="24"/>
              </w:rPr>
            </w:pPr>
            <w:r w:rsidRPr="00687B52">
              <w:rPr>
                <w:rFonts w:asciiTheme="minorEastAsia" w:hAnsiTheme="minorEastAsia" w:cs="Arial" w:hint="eastAsia"/>
                <w:color w:val="000000" w:themeColor="text1"/>
                <w:sz w:val="24"/>
              </w:rPr>
              <w:t>贮存易燃、易爆化学危险品的建筑，必须安装避雷设备。</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《常用危险化学品贮存通则》GB15603-1995</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第5.3.2/5.3.3条</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403"/>
          <w:jc w:val="center"/>
        </w:trPr>
        <w:tc>
          <w:tcPr>
            <w:tcW w:w="967" w:type="dxa"/>
            <w:vAlign w:val="center"/>
          </w:tcPr>
          <w:p w:rsidR="003E1D2A" w:rsidRPr="00687B52" w:rsidRDefault="003E1D2A" w:rsidP="007A48E1">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w:t>
            </w:r>
            <w:r w:rsidR="007A48E1" w:rsidRPr="00687B52">
              <w:rPr>
                <w:rFonts w:asciiTheme="minorEastAsia" w:eastAsiaTheme="minorEastAsia" w:hAnsiTheme="minorEastAsia" w:hint="eastAsia"/>
                <w:color w:val="000000" w:themeColor="text1"/>
                <w:szCs w:val="24"/>
              </w:rPr>
              <w:t>3</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遇火、遇热、遇潮能引起燃烧、爆炸或发生</w:t>
            </w:r>
            <w:hyperlink r:id="rId39" w:tgtFrame="_blank" w:history="1">
              <w:r w:rsidRPr="00687B52">
                <w:rPr>
                  <w:rFonts w:asciiTheme="minorEastAsia" w:eastAsiaTheme="minorEastAsia" w:hAnsiTheme="minorEastAsia" w:hint="eastAsia"/>
                  <w:color w:val="000000" w:themeColor="text1"/>
                  <w:szCs w:val="24"/>
                </w:rPr>
                <w:t>化学反应</w:t>
              </w:r>
            </w:hyperlink>
            <w:r w:rsidRPr="00687B52">
              <w:rPr>
                <w:rFonts w:asciiTheme="minorEastAsia" w:eastAsiaTheme="minorEastAsia" w:hAnsiTheme="minorEastAsia" w:hint="eastAsia"/>
                <w:color w:val="000000" w:themeColor="text1"/>
                <w:szCs w:val="24"/>
              </w:rPr>
              <w:t>，产生有毒气体的危险化学品不得在露天或在潮湿、积水的建筑物中贮存。</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15603-1995第6.3</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934"/>
          <w:jc w:val="center"/>
        </w:trPr>
        <w:tc>
          <w:tcPr>
            <w:tcW w:w="967" w:type="dxa"/>
            <w:vAlign w:val="center"/>
          </w:tcPr>
          <w:p w:rsidR="003E1D2A" w:rsidRPr="00687B52" w:rsidRDefault="003E1D2A" w:rsidP="007A48E1">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w:t>
            </w:r>
            <w:r w:rsidR="007A48E1" w:rsidRPr="00687B52">
              <w:rPr>
                <w:rFonts w:asciiTheme="minorEastAsia" w:eastAsiaTheme="minorEastAsia" w:hAnsiTheme="minorEastAsia" w:hint="eastAsia"/>
                <w:color w:val="000000" w:themeColor="text1"/>
                <w:szCs w:val="24"/>
              </w:rPr>
              <w:t>4</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受日光照射能发生化学反应引起燃烧、</w:t>
            </w:r>
            <w:hyperlink r:id="rId40" w:tgtFrame="_blank" w:history="1">
              <w:r w:rsidRPr="00687B52">
                <w:rPr>
                  <w:rFonts w:asciiTheme="minorEastAsia" w:eastAsiaTheme="minorEastAsia" w:hAnsiTheme="minorEastAsia" w:hint="eastAsia"/>
                  <w:color w:val="000000" w:themeColor="text1"/>
                  <w:szCs w:val="24"/>
                </w:rPr>
                <w:t>爆炸</w:t>
              </w:r>
            </w:hyperlink>
            <w:r w:rsidRPr="00687B52">
              <w:rPr>
                <w:rFonts w:asciiTheme="minorEastAsia" w:eastAsiaTheme="minorEastAsia" w:hAnsiTheme="minorEastAsia" w:hint="eastAsia"/>
                <w:color w:val="000000" w:themeColor="text1"/>
                <w:szCs w:val="24"/>
              </w:rPr>
              <w:t>、分解、化合或能产生有毒气体的危险化学品，如低、中闪点液体、一级易燃固体、自燃物品、压缩气体和液化气体类应贮存在一级建筑物中。其包装应采取避光措施。</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15603-1995第6.4《易燃易爆性商品储存养护技术条件》GB17914-2013第4.2.2.2</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403"/>
          <w:jc w:val="center"/>
        </w:trPr>
        <w:tc>
          <w:tcPr>
            <w:tcW w:w="967" w:type="dxa"/>
            <w:vAlign w:val="center"/>
          </w:tcPr>
          <w:p w:rsidR="003E1D2A" w:rsidRPr="00687B52" w:rsidRDefault="003E1D2A" w:rsidP="007A48E1">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w:t>
            </w:r>
            <w:r w:rsidR="007A48E1" w:rsidRPr="00687B52">
              <w:rPr>
                <w:rFonts w:asciiTheme="minorEastAsia" w:eastAsiaTheme="minorEastAsia" w:hAnsiTheme="minorEastAsia" w:hint="eastAsia"/>
                <w:color w:val="000000" w:themeColor="text1"/>
                <w:szCs w:val="24"/>
              </w:rPr>
              <w:t>5</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爆炸物品不准和其他类物品同贮，必须单独隔离限量贮存，仓库不准建在城镇，还应与周围建筑、交通干道、</w:t>
            </w:r>
            <w:hyperlink r:id="rId41" w:tgtFrame="_blank" w:history="1">
              <w:r w:rsidRPr="00687B52">
                <w:rPr>
                  <w:rFonts w:asciiTheme="minorEastAsia" w:eastAsiaTheme="minorEastAsia" w:hAnsiTheme="minorEastAsia" w:hint="eastAsia"/>
                  <w:color w:val="000000" w:themeColor="text1"/>
                  <w:szCs w:val="24"/>
                </w:rPr>
                <w:t>输电线路</w:t>
              </w:r>
            </w:hyperlink>
            <w:r w:rsidRPr="00687B52">
              <w:rPr>
                <w:rFonts w:asciiTheme="minorEastAsia" w:eastAsiaTheme="minorEastAsia" w:hAnsiTheme="minorEastAsia" w:hint="eastAsia"/>
                <w:color w:val="000000" w:themeColor="text1"/>
                <w:szCs w:val="24"/>
              </w:rPr>
              <w:t>保持一定安全距离。</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15603-1995第6.5</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270"/>
          <w:jc w:val="center"/>
        </w:trPr>
        <w:tc>
          <w:tcPr>
            <w:tcW w:w="967" w:type="dxa"/>
            <w:vAlign w:val="center"/>
          </w:tcPr>
          <w:p w:rsidR="003E1D2A" w:rsidRPr="00687B52" w:rsidRDefault="003E1D2A" w:rsidP="007A48E1">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w:t>
            </w:r>
            <w:r w:rsidR="007A48E1" w:rsidRPr="00687B52">
              <w:rPr>
                <w:rFonts w:asciiTheme="minorEastAsia" w:eastAsiaTheme="minorEastAsia" w:hAnsiTheme="minorEastAsia" w:hint="eastAsia"/>
                <w:color w:val="000000" w:themeColor="text1"/>
                <w:szCs w:val="24"/>
              </w:rPr>
              <w:t>6</w:t>
            </w:r>
          </w:p>
        </w:tc>
        <w:tc>
          <w:tcPr>
            <w:tcW w:w="7849" w:type="dxa"/>
            <w:vAlign w:val="center"/>
          </w:tcPr>
          <w:p w:rsidR="003E1D2A" w:rsidRPr="00687B52" w:rsidRDefault="00F54DF7" w:rsidP="003E1D2A">
            <w:pPr>
              <w:pStyle w:val="a7"/>
              <w:jc w:val="left"/>
              <w:rPr>
                <w:rFonts w:asciiTheme="minorEastAsia" w:eastAsiaTheme="minorEastAsia" w:hAnsiTheme="minorEastAsia"/>
                <w:color w:val="000000" w:themeColor="text1"/>
                <w:szCs w:val="24"/>
              </w:rPr>
            </w:pPr>
            <w:hyperlink r:id="rId42" w:tgtFrame="_blank" w:history="1">
              <w:r w:rsidR="003E1D2A" w:rsidRPr="00687B52">
                <w:rPr>
                  <w:rFonts w:asciiTheme="minorEastAsia" w:eastAsiaTheme="minorEastAsia" w:hAnsiTheme="minorEastAsia" w:hint="eastAsia"/>
                  <w:color w:val="000000" w:themeColor="text1"/>
                  <w:szCs w:val="24"/>
                </w:rPr>
                <w:t>压缩气体</w:t>
              </w:r>
            </w:hyperlink>
            <w:r w:rsidR="003E1D2A" w:rsidRPr="00687B52">
              <w:rPr>
                <w:rFonts w:asciiTheme="minorEastAsia" w:eastAsiaTheme="minorEastAsia" w:hAnsiTheme="minorEastAsia" w:hint="eastAsia"/>
                <w:color w:val="000000" w:themeColor="text1"/>
                <w:szCs w:val="24"/>
              </w:rPr>
              <w:t>和</w:t>
            </w:r>
            <w:hyperlink r:id="rId43" w:tgtFrame="_blank" w:history="1">
              <w:r w:rsidR="003E1D2A" w:rsidRPr="00687B52">
                <w:rPr>
                  <w:rFonts w:asciiTheme="minorEastAsia" w:eastAsiaTheme="minorEastAsia" w:hAnsiTheme="minorEastAsia" w:hint="eastAsia"/>
                  <w:color w:val="000000" w:themeColor="text1"/>
                  <w:szCs w:val="24"/>
                </w:rPr>
                <w:t>液化气体</w:t>
              </w:r>
            </w:hyperlink>
            <w:r w:rsidR="003E1D2A" w:rsidRPr="00687B52">
              <w:rPr>
                <w:rFonts w:asciiTheme="minorEastAsia" w:eastAsiaTheme="minorEastAsia" w:hAnsiTheme="minorEastAsia" w:hint="eastAsia"/>
                <w:color w:val="000000" w:themeColor="text1"/>
                <w:szCs w:val="24"/>
              </w:rPr>
              <w:t>必须与爆炸物品、</w:t>
            </w:r>
            <w:hyperlink r:id="rId44" w:tgtFrame="_blank" w:history="1">
              <w:r w:rsidR="003E1D2A" w:rsidRPr="00687B52">
                <w:rPr>
                  <w:rFonts w:asciiTheme="minorEastAsia" w:eastAsiaTheme="minorEastAsia" w:hAnsiTheme="minorEastAsia" w:hint="eastAsia"/>
                  <w:color w:val="000000" w:themeColor="text1"/>
                  <w:szCs w:val="24"/>
                </w:rPr>
                <w:t>氧化剂</w:t>
              </w:r>
            </w:hyperlink>
            <w:r w:rsidR="003E1D2A" w:rsidRPr="00687B52">
              <w:rPr>
                <w:rFonts w:asciiTheme="minorEastAsia" w:eastAsiaTheme="minorEastAsia" w:hAnsiTheme="minorEastAsia" w:hint="eastAsia"/>
                <w:color w:val="000000" w:themeColor="text1"/>
                <w:szCs w:val="24"/>
              </w:rPr>
              <w:t>、易燃物品、</w:t>
            </w:r>
            <w:hyperlink r:id="rId45" w:tgtFrame="_blank" w:history="1">
              <w:r w:rsidR="003E1D2A" w:rsidRPr="00687B52">
                <w:rPr>
                  <w:rFonts w:asciiTheme="minorEastAsia" w:eastAsiaTheme="minorEastAsia" w:hAnsiTheme="minorEastAsia" w:hint="eastAsia"/>
                  <w:color w:val="000000" w:themeColor="text1"/>
                  <w:szCs w:val="24"/>
                </w:rPr>
                <w:t>自燃物品</w:t>
              </w:r>
            </w:hyperlink>
            <w:r w:rsidR="003E1D2A" w:rsidRPr="00687B52">
              <w:rPr>
                <w:rFonts w:asciiTheme="minorEastAsia" w:eastAsiaTheme="minorEastAsia" w:hAnsiTheme="minorEastAsia" w:hint="eastAsia"/>
                <w:color w:val="000000" w:themeColor="text1"/>
                <w:szCs w:val="24"/>
              </w:rPr>
              <w:t>、腐蚀性物品隔离贮存。易燃气体不得与助燃气体、剧毒气体同贮；氧气不得与油脂混合贮存，盛装</w:t>
            </w:r>
            <w:hyperlink r:id="rId46" w:tgtFrame="_blank" w:history="1">
              <w:r w:rsidR="003E1D2A" w:rsidRPr="00687B52">
                <w:rPr>
                  <w:rFonts w:asciiTheme="minorEastAsia" w:eastAsiaTheme="minorEastAsia" w:hAnsiTheme="minorEastAsia" w:hint="eastAsia"/>
                  <w:color w:val="000000" w:themeColor="text1"/>
                  <w:szCs w:val="24"/>
                </w:rPr>
                <w:t>液化气体</w:t>
              </w:r>
            </w:hyperlink>
            <w:r w:rsidR="003E1D2A" w:rsidRPr="00687B52">
              <w:rPr>
                <w:rFonts w:asciiTheme="minorEastAsia" w:eastAsiaTheme="minorEastAsia" w:hAnsiTheme="minorEastAsia" w:hint="eastAsia"/>
                <w:color w:val="000000" w:themeColor="text1"/>
                <w:szCs w:val="24"/>
              </w:rPr>
              <w:t>的容器属压力容器的，必须有压力表、安全阀、紧急切断装置，并定期检查，不得超装。</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15603-1995第6.6</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403"/>
          <w:jc w:val="center"/>
        </w:trPr>
        <w:tc>
          <w:tcPr>
            <w:tcW w:w="967" w:type="dxa"/>
            <w:vAlign w:val="center"/>
          </w:tcPr>
          <w:p w:rsidR="003E1D2A" w:rsidRPr="00687B52" w:rsidRDefault="003E1D2A" w:rsidP="007A48E1">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w:t>
            </w:r>
            <w:r w:rsidR="007A48E1" w:rsidRPr="00687B52">
              <w:rPr>
                <w:rFonts w:asciiTheme="minorEastAsia" w:eastAsiaTheme="minorEastAsia" w:hAnsiTheme="minorEastAsia" w:hint="eastAsia"/>
                <w:color w:val="000000" w:themeColor="text1"/>
                <w:szCs w:val="24"/>
              </w:rPr>
              <w:t>7</w:t>
            </w:r>
          </w:p>
        </w:tc>
        <w:tc>
          <w:tcPr>
            <w:tcW w:w="7849" w:type="dxa"/>
            <w:vAlign w:val="center"/>
          </w:tcPr>
          <w:p w:rsidR="003E1D2A" w:rsidRPr="00687B52" w:rsidRDefault="00F54DF7" w:rsidP="003E1D2A">
            <w:pPr>
              <w:pStyle w:val="a7"/>
              <w:jc w:val="left"/>
              <w:rPr>
                <w:rFonts w:asciiTheme="minorEastAsia" w:eastAsiaTheme="minorEastAsia" w:hAnsiTheme="minorEastAsia"/>
                <w:color w:val="000000" w:themeColor="text1"/>
                <w:szCs w:val="24"/>
              </w:rPr>
            </w:pPr>
            <w:hyperlink r:id="rId47" w:tgtFrame="_blank" w:history="1">
              <w:r w:rsidR="003E1D2A" w:rsidRPr="00687B52">
                <w:rPr>
                  <w:rFonts w:asciiTheme="minorEastAsia" w:eastAsiaTheme="minorEastAsia" w:hAnsiTheme="minorEastAsia" w:hint="eastAsia"/>
                  <w:color w:val="000000" w:themeColor="text1"/>
                  <w:szCs w:val="24"/>
                </w:rPr>
                <w:t>易燃液体</w:t>
              </w:r>
            </w:hyperlink>
            <w:r w:rsidR="003E1D2A" w:rsidRPr="00687B52">
              <w:rPr>
                <w:rFonts w:asciiTheme="minorEastAsia" w:eastAsiaTheme="minorEastAsia" w:hAnsiTheme="minorEastAsia" w:hint="eastAsia"/>
                <w:color w:val="000000" w:themeColor="text1"/>
                <w:szCs w:val="24"/>
              </w:rPr>
              <w:t>、</w:t>
            </w:r>
            <w:hyperlink r:id="rId48" w:tgtFrame="_blank" w:history="1">
              <w:r w:rsidR="003E1D2A" w:rsidRPr="00687B52">
                <w:rPr>
                  <w:rFonts w:asciiTheme="minorEastAsia" w:eastAsiaTheme="minorEastAsia" w:hAnsiTheme="minorEastAsia" w:hint="eastAsia"/>
                  <w:color w:val="000000" w:themeColor="text1"/>
                  <w:szCs w:val="24"/>
                </w:rPr>
                <w:t>遇湿易燃物品</w:t>
              </w:r>
            </w:hyperlink>
            <w:r w:rsidR="003E1D2A" w:rsidRPr="00687B52">
              <w:rPr>
                <w:rFonts w:asciiTheme="minorEastAsia" w:eastAsiaTheme="minorEastAsia" w:hAnsiTheme="minorEastAsia" w:hint="eastAsia"/>
                <w:color w:val="000000" w:themeColor="text1"/>
                <w:szCs w:val="24"/>
              </w:rPr>
              <w:t>、易燃固体不得与氧化剂混合贮存，具有</w:t>
            </w:r>
            <w:hyperlink r:id="rId49" w:tgtFrame="_blank" w:history="1">
              <w:r w:rsidR="003E1D2A" w:rsidRPr="00687B52">
                <w:rPr>
                  <w:rFonts w:asciiTheme="minorEastAsia" w:eastAsiaTheme="minorEastAsia" w:hAnsiTheme="minorEastAsia" w:hint="eastAsia"/>
                  <w:color w:val="000000" w:themeColor="text1"/>
                  <w:szCs w:val="24"/>
                </w:rPr>
                <w:t>还原性</w:t>
              </w:r>
            </w:hyperlink>
            <w:r w:rsidR="003E1D2A" w:rsidRPr="00687B52">
              <w:rPr>
                <w:rFonts w:asciiTheme="minorEastAsia" w:eastAsiaTheme="minorEastAsia" w:hAnsiTheme="minorEastAsia" w:hint="eastAsia"/>
                <w:color w:val="000000" w:themeColor="text1"/>
                <w:szCs w:val="24"/>
              </w:rPr>
              <w:t>氧化剂应单独存放。</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15603-1995第6.7</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403"/>
          <w:jc w:val="center"/>
        </w:trPr>
        <w:tc>
          <w:tcPr>
            <w:tcW w:w="967" w:type="dxa"/>
            <w:vAlign w:val="center"/>
          </w:tcPr>
          <w:p w:rsidR="003E1D2A" w:rsidRPr="00687B52" w:rsidRDefault="003E1D2A" w:rsidP="007A48E1">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w:t>
            </w:r>
            <w:r w:rsidR="007A48E1" w:rsidRPr="00687B52">
              <w:rPr>
                <w:rFonts w:asciiTheme="minorEastAsia" w:eastAsiaTheme="minorEastAsia" w:hAnsiTheme="minorEastAsia" w:hint="eastAsia"/>
                <w:color w:val="000000" w:themeColor="text1"/>
                <w:szCs w:val="24"/>
              </w:rPr>
              <w:t>8</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有毒物品应贮存在阴凉、通风、干燥的场所，不要露天存放，不要接近酸类物质。</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15603-1995第6.8</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403"/>
          <w:jc w:val="center"/>
        </w:trPr>
        <w:tc>
          <w:tcPr>
            <w:tcW w:w="967" w:type="dxa"/>
            <w:vAlign w:val="center"/>
          </w:tcPr>
          <w:p w:rsidR="003E1D2A" w:rsidRPr="00687B52" w:rsidRDefault="003E1D2A" w:rsidP="007A48E1">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w:t>
            </w:r>
            <w:r w:rsidR="007A48E1" w:rsidRPr="00687B52">
              <w:rPr>
                <w:rFonts w:asciiTheme="minorEastAsia" w:eastAsiaTheme="minorEastAsia" w:hAnsiTheme="minorEastAsia" w:hint="eastAsia"/>
                <w:color w:val="000000" w:themeColor="text1"/>
                <w:szCs w:val="24"/>
              </w:rPr>
              <w:t>19</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腐蚀性物品，包装必须严密，不允许泄漏，严禁与</w:t>
            </w:r>
            <w:hyperlink r:id="rId50" w:tgtFrame="_blank" w:history="1">
              <w:r w:rsidRPr="00687B52">
                <w:rPr>
                  <w:rFonts w:asciiTheme="minorEastAsia" w:eastAsiaTheme="minorEastAsia" w:hAnsiTheme="minorEastAsia" w:hint="eastAsia"/>
                  <w:color w:val="000000" w:themeColor="text1"/>
                  <w:szCs w:val="24"/>
                </w:rPr>
                <w:t>液化气体</w:t>
              </w:r>
            </w:hyperlink>
            <w:r w:rsidRPr="00687B52">
              <w:rPr>
                <w:rFonts w:asciiTheme="minorEastAsia" w:eastAsiaTheme="minorEastAsia" w:hAnsiTheme="minorEastAsia" w:hint="eastAsia"/>
                <w:color w:val="000000" w:themeColor="text1"/>
                <w:szCs w:val="24"/>
              </w:rPr>
              <w:t>和其他物品共存。</w:t>
            </w:r>
          </w:p>
        </w:tc>
        <w:tc>
          <w:tcPr>
            <w:tcW w:w="2977" w:type="dxa"/>
            <w:vAlign w:val="center"/>
          </w:tcPr>
          <w:p w:rsidR="003E1D2A" w:rsidRPr="00687B52" w:rsidRDefault="003E1D2A" w:rsidP="00866EA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《常用危险化学品贮存通则》GB 15603-1995第6.9</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403"/>
          <w:jc w:val="center"/>
        </w:trPr>
        <w:tc>
          <w:tcPr>
            <w:tcW w:w="967" w:type="dxa"/>
            <w:vAlign w:val="center"/>
          </w:tcPr>
          <w:p w:rsidR="003E1D2A" w:rsidRPr="00687B52" w:rsidRDefault="003E1D2A" w:rsidP="007A48E1">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2.2</w:t>
            </w:r>
            <w:r w:rsidR="007A48E1" w:rsidRPr="00687B52">
              <w:rPr>
                <w:rFonts w:asciiTheme="minorEastAsia" w:eastAsiaTheme="minorEastAsia" w:hAnsiTheme="minorEastAsia" w:hint="eastAsia"/>
                <w:color w:val="000000" w:themeColor="text1"/>
                <w:szCs w:val="24"/>
              </w:rPr>
              <w:t>0</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危险化学品露天堆放，应符合防火、防爆的安全要求，爆炸物品、一级易燃物品、遇湿燃烧物品、</w:t>
            </w:r>
            <w:hyperlink r:id="rId51" w:tgtFrame="_blank" w:history="1">
              <w:r w:rsidRPr="00687B52">
                <w:rPr>
                  <w:rFonts w:asciiTheme="minorEastAsia" w:eastAsiaTheme="minorEastAsia" w:hAnsiTheme="minorEastAsia" w:hint="eastAsia"/>
                  <w:color w:val="000000" w:themeColor="text1"/>
                  <w:szCs w:val="24"/>
                </w:rPr>
                <w:t>剧毒物品</w:t>
              </w:r>
            </w:hyperlink>
            <w:r w:rsidRPr="00687B52">
              <w:rPr>
                <w:rFonts w:asciiTheme="minorEastAsia" w:eastAsiaTheme="minorEastAsia" w:hAnsiTheme="minorEastAsia" w:hint="eastAsia"/>
                <w:color w:val="000000" w:themeColor="text1"/>
                <w:szCs w:val="24"/>
              </w:rPr>
              <w:t>不得露天堆放。</w:t>
            </w:r>
          </w:p>
        </w:tc>
        <w:tc>
          <w:tcPr>
            <w:tcW w:w="2977" w:type="dxa"/>
            <w:vAlign w:val="center"/>
          </w:tcPr>
          <w:p w:rsidR="003E1D2A" w:rsidRPr="00687B52" w:rsidRDefault="003E1D2A" w:rsidP="00866EA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《常用危险化学品贮存通则》GB 15603-1995第4.3</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403"/>
          <w:jc w:val="center"/>
        </w:trPr>
        <w:tc>
          <w:tcPr>
            <w:tcW w:w="967" w:type="dxa"/>
            <w:vAlign w:val="center"/>
          </w:tcPr>
          <w:p w:rsidR="003E1D2A" w:rsidRPr="00687B52" w:rsidRDefault="003E1D2A" w:rsidP="007A48E1">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2.2</w:t>
            </w:r>
            <w:r w:rsidR="007A48E1" w:rsidRPr="00687B52">
              <w:rPr>
                <w:rFonts w:asciiTheme="minorEastAsia" w:eastAsiaTheme="minorEastAsia" w:hAnsiTheme="minorEastAsia" w:hint="eastAsia"/>
                <w:bCs/>
                <w:color w:val="000000" w:themeColor="text1"/>
                <w:szCs w:val="24"/>
              </w:rPr>
              <w:t>1</w:t>
            </w:r>
          </w:p>
        </w:tc>
        <w:tc>
          <w:tcPr>
            <w:tcW w:w="7849" w:type="dxa"/>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溴氢酸、碘氢酸应避光储存，溴素应专库储存。</w:t>
            </w:r>
          </w:p>
        </w:tc>
        <w:tc>
          <w:tcPr>
            <w:tcW w:w="297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《腐蚀性商品储存养护技术条件》GB17915-2013第4.1.3</w:t>
            </w:r>
          </w:p>
        </w:tc>
        <w:tc>
          <w:tcPr>
            <w:tcW w:w="2787" w:type="dxa"/>
            <w:vAlign w:val="center"/>
          </w:tcPr>
          <w:p w:rsidR="003E1D2A" w:rsidRPr="00687B52" w:rsidRDefault="003E1D2A" w:rsidP="003E1D2A">
            <w:pPr>
              <w:pStyle w:val="a7"/>
              <w:rPr>
                <w:rFonts w:asciiTheme="minorEastAsia" w:hAnsiTheme="minorEastAsia"/>
                <w:b/>
                <w:bCs/>
                <w:color w:val="000000" w:themeColor="text1"/>
                <w:szCs w:val="24"/>
              </w:rPr>
            </w:pPr>
          </w:p>
        </w:tc>
      </w:tr>
      <w:tr w:rsidR="003E1D2A" w:rsidRPr="00687B52" w:rsidTr="00A0611B">
        <w:trPr>
          <w:trHeight w:val="934"/>
          <w:jc w:val="center"/>
        </w:trPr>
        <w:tc>
          <w:tcPr>
            <w:tcW w:w="967" w:type="dxa"/>
            <w:vAlign w:val="center"/>
          </w:tcPr>
          <w:p w:rsidR="003E1D2A" w:rsidRPr="00687B52" w:rsidRDefault="003E1D2A" w:rsidP="007A48E1">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2.2</w:t>
            </w:r>
            <w:r w:rsidR="007A48E1" w:rsidRPr="00687B52">
              <w:rPr>
                <w:rFonts w:asciiTheme="minorEastAsia" w:eastAsiaTheme="minorEastAsia" w:hAnsiTheme="minorEastAsia" w:hint="eastAsia"/>
                <w:bCs/>
                <w:color w:val="000000" w:themeColor="text1"/>
                <w:szCs w:val="24"/>
              </w:rPr>
              <w:t>2</w:t>
            </w:r>
          </w:p>
        </w:tc>
        <w:tc>
          <w:tcPr>
            <w:tcW w:w="7849" w:type="dxa"/>
            <w:vAlign w:val="center"/>
          </w:tcPr>
          <w:p w:rsidR="003E1D2A" w:rsidRPr="00687B52" w:rsidRDefault="007A48E1"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腐蚀性商品</w:t>
            </w:r>
            <w:r w:rsidR="003E1D2A" w:rsidRPr="00687B52">
              <w:rPr>
                <w:rFonts w:asciiTheme="minorEastAsia" w:eastAsiaTheme="minorEastAsia" w:hAnsiTheme="minorEastAsia" w:hint="eastAsia"/>
                <w:bCs/>
                <w:color w:val="000000" w:themeColor="text1"/>
                <w:szCs w:val="24"/>
              </w:rPr>
              <w:t>库房、货棚或露天货场储存的商品，货垛下应有隔潮设施，货架与库房地面距离一般不低于15cm，货场的垛堆与地面距离不低于30 cm。</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堆垛高度应控制在:</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a)大铁桶液体:立码;固体:平放，不应超过3 m;</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b)大箱(内装坛、桶)不应超过1.5 m;</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c)化学试剂木箱不应超过3 m;纸箱不应超过2.5 m;</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d)袋装3m-3.5m；</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堆垛间距应保持在:</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a)主通道≥180 cm;</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6)支通道≥80cm ;</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c)墙距≥30 cm;</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d)柱距≥10 cm;</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e)垛距≥10 cm;</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f)顶距≥30cm；</w:t>
            </w:r>
          </w:p>
        </w:tc>
        <w:tc>
          <w:tcPr>
            <w:tcW w:w="297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《腐蚀性商品储存养护技术条件》GB17915-2013第5.2.2.1/5.2.3/5.2.4</w:t>
            </w:r>
          </w:p>
        </w:tc>
        <w:tc>
          <w:tcPr>
            <w:tcW w:w="2787" w:type="dxa"/>
            <w:vAlign w:val="center"/>
          </w:tcPr>
          <w:p w:rsidR="003E1D2A" w:rsidRPr="00687B52" w:rsidRDefault="003E1D2A" w:rsidP="003E1D2A">
            <w:pPr>
              <w:pStyle w:val="a7"/>
              <w:rPr>
                <w:rFonts w:asciiTheme="minorEastAsia" w:hAnsiTheme="minorEastAsia"/>
                <w:b/>
                <w:bCs/>
                <w:color w:val="000000" w:themeColor="text1"/>
                <w:szCs w:val="24"/>
              </w:rPr>
            </w:pPr>
          </w:p>
        </w:tc>
      </w:tr>
      <w:tr w:rsidR="003E1D2A" w:rsidRPr="00687B52" w:rsidTr="00A0611B">
        <w:trPr>
          <w:trHeight w:val="403"/>
          <w:jc w:val="center"/>
        </w:trPr>
        <w:tc>
          <w:tcPr>
            <w:tcW w:w="967" w:type="dxa"/>
            <w:vAlign w:val="center"/>
          </w:tcPr>
          <w:p w:rsidR="003E1D2A" w:rsidRPr="00687B52" w:rsidRDefault="003E1D2A" w:rsidP="007A48E1">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2.2</w:t>
            </w:r>
            <w:r w:rsidR="007A48E1" w:rsidRPr="00687B52">
              <w:rPr>
                <w:rFonts w:asciiTheme="minorEastAsia" w:eastAsiaTheme="minorEastAsia" w:hAnsiTheme="minorEastAsia" w:hint="eastAsia"/>
                <w:bCs/>
                <w:color w:val="000000" w:themeColor="text1"/>
                <w:szCs w:val="24"/>
              </w:rPr>
              <w:t>3</w:t>
            </w:r>
          </w:p>
        </w:tc>
        <w:tc>
          <w:tcPr>
            <w:tcW w:w="7849" w:type="dxa"/>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在</w:t>
            </w:r>
            <w:r w:rsidR="007A48E1" w:rsidRPr="00687B52">
              <w:rPr>
                <w:rFonts w:asciiTheme="minorEastAsia" w:eastAsiaTheme="minorEastAsia" w:hAnsiTheme="minorEastAsia" w:hint="eastAsia"/>
                <w:bCs/>
                <w:color w:val="000000" w:themeColor="text1"/>
                <w:szCs w:val="24"/>
              </w:rPr>
              <w:t>毒害性商品</w:t>
            </w:r>
            <w:r w:rsidRPr="00687B52">
              <w:rPr>
                <w:rFonts w:asciiTheme="minorEastAsia" w:eastAsiaTheme="minorEastAsia" w:hAnsiTheme="minorEastAsia" w:hint="eastAsia"/>
                <w:bCs/>
                <w:color w:val="000000" w:themeColor="text1"/>
                <w:szCs w:val="24"/>
              </w:rPr>
              <w:t>库内(区)固定和方便的位置配备与毒害性商品性质相匹配的消防器材、报警装置和急救药箱。</w:t>
            </w:r>
          </w:p>
        </w:tc>
        <w:tc>
          <w:tcPr>
            <w:tcW w:w="297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《毒害性商品储存养护技术条件》GB17916-2013第4.2.2</w:t>
            </w:r>
          </w:p>
        </w:tc>
        <w:tc>
          <w:tcPr>
            <w:tcW w:w="2787" w:type="dxa"/>
            <w:vAlign w:val="center"/>
          </w:tcPr>
          <w:p w:rsidR="003E1D2A" w:rsidRPr="00687B52" w:rsidRDefault="003E1D2A" w:rsidP="003E1D2A">
            <w:pPr>
              <w:pStyle w:val="a7"/>
              <w:rPr>
                <w:rFonts w:asciiTheme="minorEastAsia" w:hAnsiTheme="minorEastAsia"/>
                <w:b/>
                <w:bCs/>
                <w:color w:val="000000" w:themeColor="text1"/>
                <w:szCs w:val="24"/>
              </w:rPr>
            </w:pPr>
          </w:p>
        </w:tc>
      </w:tr>
      <w:tr w:rsidR="003E1D2A" w:rsidRPr="00687B52" w:rsidTr="00A0611B">
        <w:trPr>
          <w:trHeight w:val="403"/>
          <w:jc w:val="center"/>
        </w:trPr>
        <w:tc>
          <w:tcPr>
            <w:tcW w:w="967" w:type="dxa"/>
            <w:vAlign w:val="center"/>
          </w:tcPr>
          <w:p w:rsidR="003E1D2A" w:rsidRPr="00687B52" w:rsidRDefault="003E1D2A" w:rsidP="007A48E1">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2.2</w:t>
            </w:r>
            <w:r w:rsidR="007A48E1" w:rsidRPr="00687B52">
              <w:rPr>
                <w:rFonts w:asciiTheme="minorEastAsia" w:eastAsiaTheme="minorEastAsia" w:hAnsiTheme="minorEastAsia" w:hint="eastAsia"/>
                <w:bCs/>
                <w:color w:val="000000" w:themeColor="text1"/>
                <w:szCs w:val="24"/>
              </w:rPr>
              <w:t>4</w:t>
            </w:r>
          </w:p>
        </w:tc>
        <w:tc>
          <w:tcPr>
            <w:tcW w:w="7849" w:type="dxa"/>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剧毒性商品应专库储存或存放在彼此间隔的单间内，并安装防盗报警器和监控系统，库门装双锁，实行双人收发、双人保管制度。</w:t>
            </w:r>
          </w:p>
        </w:tc>
        <w:tc>
          <w:tcPr>
            <w:tcW w:w="297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《毒害性商品储存养护技术条件》GB17916-2013第4.2.4</w:t>
            </w:r>
          </w:p>
        </w:tc>
        <w:tc>
          <w:tcPr>
            <w:tcW w:w="2787" w:type="dxa"/>
            <w:vAlign w:val="center"/>
          </w:tcPr>
          <w:p w:rsidR="003E1D2A" w:rsidRPr="00687B52" w:rsidRDefault="003E1D2A" w:rsidP="003E1D2A">
            <w:pPr>
              <w:pStyle w:val="a7"/>
              <w:rPr>
                <w:rFonts w:asciiTheme="minorEastAsia" w:hAnsiTheme="minorEastAsia"/>
                <w:b/>
                <w:bCs/>
                <w:color w:val="000000" w:themeColor="text1"/>
                <w:szCs w:val="24"/>
              </w:rPr>
            </w:pPr>
          </w:p>
        </w:tc>
      </w:tr>
      <w:tr w:rsidR="003E1D2A" w:rsidRPr="00687B52" w:rsidTr="00A0611B">
        <w:trPr>
          <w:trHeight w:val="403"/>
          <w:jc w:val="center"/>
        </w:trPr>
        <w:tc>
          <w:tcPr>
            <w:tcW w:w="967" w:type="dxa"/>
            <w:vAlign w:val="center"/>
          </w:tcPr>
          <w:p w:rsidR="003E1D2A" w:rsidRPr="00687B52" w:rsidRDefault="003E1D2A" w:rsidP="007A48E1">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2.2</w:t>
            </w:r>
            <w:r w:rsidR="007A48E1" w:rsidRPr="00687B52">
              <w:rPr>
                <w:rFonts w:asciiTheme="minorEastAsia" w:eastAsiaTheme="minorEastAsia" w:hAnsiTheme="minorEastAsia" w:hint="eastAsia"/>
                <w:bCs/>
                <w:color w:val="000000" w:themeColor="text1"/>
                <w:szCs w:val="24"/>
              </w:rPr>
              <w:t>5</w:t>
            </w:r>
          </w:p>
        </w:tc>
        <w:tc>
          <w:tcPr>
            <w:tcW w:w="7849" w:type="dxa"/>
            <w:vAlign w:val="center"/>
          </w:tcPr>
          <w:p w:rsidR="003E1D2A" w:rsidRPr="00687B52" w:rsidRDefault="007A48E1"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毒害性商品</w:t>
            </w:r>
            <w:r w:rsidR="003E1D2A" w:rsidRPr="00687B52">
              <w:rPr>
                <w:rFonts w:asciiTheme="minorEastAsia" w:eastAsiaTheme="minorEastAsia" w:hAnsiTheme="minorEastAsia" w:hint="eastAsia"/>
                <w:bCs/>
                <w:color w:val="000000" w:themeColor="text1"/>
                <w:szCs w:val="24"/>
              </w:rPr>
              <w:t>库房温度不宜超过35℃。易挥发的毒害性商品，库房温度应控制在32℃以下，相对湿度应在85%以下。对于易潮解的毒害性商品，库房相对湿度应控制在80%以下。</w:t>
            </w:r>
          </w:p>
        </w:tc>
        <w:tc>
          <w:tcPr>
            <w:tcW w:w="297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《毒害性商品储存养护技术条件》GB17916-2013第4.4</w:t>
            </w:r>
          </w:p>
        </w:tc>
        <w:tc>
          <w:tcPr>
            <w:tcW w:w="2787" w:type="dxa"/>
            <w:vAlign w:val="center"/>
          </w:tcPr>
          <w:p w:rsidR="003E1D2A" w:rsidRPr="00687B52" w:rsidRDefault="003E1D2A" w:rsidP="003E1D2A">
            <w:pPr>
              <w:pStyle w:val="a7"/>
              <w:rPr>
                <w:rFonts w:asciiTheme="minorEastAsia" w:hAnsiTheme="minorEastAsia"/>
                <w:b/>
                <w:bCs/>
                <w:color w:val="000000" w:themeColor="text1"/>
                <w:szCs w:val="24"/>
              </w:rPr>
            </w:pPr>
          </w:p>
        </w:tc>
      </w:tr>
      <w:tr w:rsidR="003E1D2A" w:rsidRPr="00687B52" w:rsidTr="00A0611B">
        <w:trPr>
          <w:trHeight w:val="669"/>
          <w:jc w:val="center"/>
        </w:trPr>
        <w:tc>
          <w:tcPr>
            <w:tcW w:w="967" w:type="dxa"/>
            <w:vAlign w:val="center"/>
          </w:tcPr>
          <w:p w:rsidR="003E1D2A" w:rsidRPr="00687B52" w:rsidRDefault="003E1D2A" w:rsidP="007A48E1">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2.2</w:t>
            </w:r>
            <w:r w:rsidR="007A48E1" w:rsidRPr="00687B52">
              <w:rPr>
                <w:rFonts w:asciiTheme="minorEastAsia" w:eastAsiaTheme="minorEastAsia" w:hAnsiTheme="minorEastAsia" w:hint="eastAsia"/>
                <w:bCs/>
                <w:color w:val="000000" w:themeColor="text1"/>
                <w:szCs w:val="24"/>
              </w:rPr>
              <w:t>6</w:t>
            </w:r>
          </w:p>
        </w:tc>
        <w:tc>
          <w:tcPr>
            <w:tcW w:w="7849" w:type="dxa"/>
            <w:vAlign w:val="center"/>
          </w:tcPr>
          <w:p w:rsidR="003E1D2A" w:rsidRPr="00687B52" w:rsidRDefault="007A48E1"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毒害性商品</w:t>
            </w:r>
            <w:r w:rsidR="003E1D2A" w:rsidRPr="00687B52">
              <w:rPr>
                <w:rFonts w:asciiTheme="minorEastAsia" w:eastAsiaTheme="minorEastAsia" w:hAnsiTheme="minorEastAsia" w:hint="eastAsia"/>
                <w:bCs/>
                <w:color w:val="000000" w:themeColor="text1"/>
                <w:szCs w:val="24"/>
              </w:rPr>
              <w:t>货垛下应有防潮设施，垛底距地面距离不小于15cm。</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货垛应牢固、整齐、通风，垛高不超过3m。</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间距应保持：  </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a）主通道≥180cm；b）支通道≥80cm；c）墙距≥30cm；d）柱距≥10cm；e）垛距≥10cm；f）顶距≥10cm</w:t>
            </w:r>
          </w:p>
        </w:tc>
        <w:tc>
          <w:tcPr>
            <w:tcW w:w="297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《毒害性商品储存养护技术条件》GB17916-2013第6.2.1/6.2.2/6.3</w:t>
            </w:r>
          </w:p>
        </w:tc>
        <w:tc>
          <w:tcPr>
            <w:tcW w:w="2787" w:type="dxa"/>
            <w:vAlign w:val="center"/>
          </w:tcPr>
          <w:p w:rsidR="003E1D2A" w:rsidRPr="00687B52" w:rsidRDefault="003E1D2A" w:rsidP="003E1D2A">
            <w:pPr>
              <w:pStyle w:val="a7"/>
              <w:rPr>
                <w:rFonts w:asciiTheme="minorEastAsia" w:hAnsiTheme="minorEastAsia"/>
                <w:b/>
                <w:bCs/>
                <w:color w:val="000000" w:themeColor="text1"/>
                <w:szCs w:val="24"/>
              </w:rPr>
            </w:pPr>
          </w:p>
        </w:tc>
      </w:tr>
      <w:tr w:rsidR="003E1D2A" w:rsidRPr="00687B52" w:rsidTr="00A0611B">
        <w:trPr>
          <w:trHeight w:val="403"/>
          <w:jc w:val="center"/>
        </w:trPr>
        <w:tc>
          <w:tcPr>
            <w:tcW w:w="967" w:type="dxa"/>
            <w:vAlign w:val="center"/>
          </w:tcPr>
          <w:p w:rsidR="003E1D2A" w:rsidRPr="00687B52" w:rsidRDefault="003E1D2A" w:rsidP="007A48E1">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2.2</w:t>
            </w:r>
            <w:r w:rsidR="007A48E1" w:rsidRPr="00687B52">
              <w:rPr>
                <w:rFonts w:asciiTheme="minorEastAsia" w:eastAsiaTheme="minorEastAsia" w:hAnsiTheme="minorEastAsia" w:hint="eastAsia"/>
                <w:bCs/>
                <w:color w:val="000000" w:themeColor="text1"/>
                <w:szCs w:val="24"/>
              </w:rPr>
              <w:t>7</w:t>
            </w:r>
          </w:p>
        </w:tc>
        <w:tc>
          <w:tcPr>
            <w:tcW w:w="7849" w:type="dxa"/>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库房内可能散发（或泄漏）可燃气体、可燃蒸汽的场所应安装可燃气体检测报警装置。</w:t>
            </w:r>
          </w:p>
        </w:tc>
        <w:tc>
          <w:tcPr>
            <w:tcW w:w="297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《易燃易爆性商品储存养护技术条件》GB17914-2013第4.2.1</w:t>
            </w:r>
          </w:p>
        </w:tc>
        <w:tc>
          <w:tcPr>
            <w:tcW w:w="2787" w:type="dxa"/>
            <w:vAlign w:val="center"/>
          </w:tcPr>
          <w:p w:rsidR="003E1D2A" w:rsidRPr="00687B52" w:rsidRDefault="003E1D2A" w:rsidP="003E1D2A">
            <w:pPr>
              <w:pStyle w:val="a7"/>
              <w:rPr>
                <w:rFonts w:asciiTheme="minorEastAsia" w:hAnsiTheme="minorEastAsia"/>
                <w:b/>
                <w:bCs/>
                <w:color w:val="000000" w:themeColor="text1"/>
                <w:szCs w:val="24"/>
              </w:rPr>
            </w:pPr>
          </w:p>
        </w:tc>
      </w:tr>
      <w:tr w:rsidR="003E1D2A" w:rsidRPr="00687B52" w:rsidTr="00A0611B">
        <w:trPr>
          <w:trHeight w:val="1332"/>
          <w:jc w:val="center"/>
        </w:trPr>
        <w:tc>
          <w:tcPr>
            <w:tcW w:w="967" w:type="dxa"/>
            <w:vAlign w:val="center"/>
          </w:tcPr>
          <w:p w:rsidR="003E1D2A" w:rsidRPr="00687B52" w:rsidRDefault="003E1D2A" w:rsidP="007A48E1">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2.2</w:t>
            </w:r>
            <w:r w:rsidR="007A48E1" w:rsidRPr="00687B52">
              <w:rPr>
                <w:rFonts w:asciiTheme="minorEastAsia" w:eastAsiaTheme="minorEastAsia" w:hAnsiTheme="minorEastAsia" w:hint="eastAsia"/>
                <w:bCs/>
                <w:color w:val="000000" w:themeColor="text1"/>
                <w:szCs w:val="24"/>
              </w:rPr>
              <w:t>8</w:t>
            </w:r>
          </w:p>
        </w:tc>
        <w:tc>
          <w:tcPr>
            <w:tcW w:w="7849" w:type="dxa"/>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以下品种应专库储存：</w:t>
            </w:r>
          </w:p>
          <w:p w:rsidR="003E1D2A" w:rsidRPr="00687B52" w:rsidRDefault="003E1D2A" w:rsidP="00D9787F">
            <w:pPr>
              <w:pStyle w:val="a7"/>
              <w:numPr>
                <w:ilvl w:val="0"/>
                <w:numId w:val="105"/>
              </w:numPr>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爆炸品：黑色火药类、爆炸类化合物应专库储存；</w:t>
            </w:r>
          </w:p>
          <w:p w:rsidR="003E1D2A" w:rsidRPr="00687B52" w:rsidRDefault="003E1D2A" w:rsidP="00D9787F">
            <w:pPr>
              <w:pStyle w:val="a7"/>
              <w:numPr>
                <w:ilvl w:val="0"/>
                <w:numId w:val="105"/>
              </w:numPr>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压缩气体和液化气体：易燃气体、助燃气体和有毒气体应专库储存；</w:t>
            </w:r>
          </w:p>
          <w:p w:rsidR="003E1D2A" w:rsidRPr="00687B52" w:rsidRDefault="003E1D2A" w:rsidP="00D9787F">
            <w:pPr>
              <w:pStyle w:val="a7"/>
              <w:numPr>
                <w:ilvl w:val="0"/>
                <w:numId w:val="105"/>
              </w:numPr>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易燃液体可同库储存；但灭火方法不同的商品应分库储存；</w:t>
            </w:r>
          </w:p>
          <w:p w:rsidR="003E1D2A" w:rsidRPr="00687B52" w:rsidRDefault="003E1D2A" w:rsidP="00D9787F">
            <w:pPr>
              <w:pStyle w:val="a7"/>
              <w:numPr>
                <w:ilvl w:val="0"/>
                <w:numId w:val="105"/>
              </w:numPr>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易燃固体可同库储存；但发乳剂H与酸或酸性商品应分库储存；</w:t>
            </w:r>
          </w:p>
          <w:p w:rsidR="003E1D2A" w:rsidRPr="00687B52" w:rsidRDefault="003E1D2A" w:rsidP="00D9787F">
            <w:pPr>
              <w:pStyle w:val="a7"/>
              <w:numPr>
                <w:ilvl w:val="0"/>
                <w:numId w:val="105"/>
              </w:numPr>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硝酸纤维酯、安全火柴、红磷、及硫化磷、铝粉等金属粉类应分库储存；</w:t>
            </w:r>
          </w:p>
          <w:p w:rsidR="003E1D2A" w:rsidRPr="00687B52" w:rsidRDefault="003E1D2A" w:rsidP="00D9787F">
            <w:pPr>
              <w:pStyle w:val="a7"/>
              <w:numPr>
                <w:ilvl w:val="0"/>
                <w:numId w:val="105"/>
              </w:numPr>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自燃商品：黄磷、烃基金属化合物，浸动、植物油的制品应分库储存；</w:t>
            </w:r>
          </w:p>
          <w:p w:rsidR="003E1D2A" w:rsidRPr="00687B52" w:rsidRDefault="003E1D2A" w:rsidP="00D9787F">
            <w:pPr>
              <w:pStyle w:val="a7"/>
              <w:numPr>
                <w:ilvl w:val="0"/>
                <w:numId w:val="105"/>
              </w:numPr>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遇湿易燃商品应专库储存；</w:t>
            </w:r>
          </w:p>
          <w:p w:rsidR="003E1D2A" w:rsidRPr="00687B52" w:rsidRDefault="003E1D2A" w:rsidP="00D9787F">
            <w:pPr>
              <w:pStyle w:val="a7"/>
              <w:numPr>
                <w:ilvl w:val="0"/>
                <w:numId w:val="105"/>
              </w:numPr>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氧化剂和有机过氧化物，一、二级无机氧化剂与一、二有机氧化剂应分库储存；氯酸盐类。</w:t>
            </w:r>
          </w:p>
        </w:tc>
        <w:tc>
          <w:tcPr>
            <w:tcW w:w="297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《易燃易爆性商品储存养护技术条件》GB17914-2013第4.3.2</w:t>
            </w:r>
          </w:p>
        </w:tc>
        <w:tc>
          <w:tcPr>
            <w:tcW w:w="2787" w:type="dxa"/>
            <w:vAlign w:val="center"/>
          </w:tcPr>
          <w:p w:rsidR="003E1D2A" w:rsidRPr="00687B52" w:rsidRDefault="003E1D2A" w:rsidP="003E1D2A">
            <w:pPr>
              <w:pStyle w:val="a7"/>
              <w:rPr>
                <w:rFonts w:asciiTheme="minorEastAsia" w:hAnsiTheme="minorEastAsia"/>
                <w:b/>
                <w:bCs/>
                <w:color w:val="000000" w:themeColor="text1"/>
                <w:szCs w:val="24"/>
              </w:rPr>
            </w:pPr>
          </w:p>
        </w:tc>
      </w:tr>
      <w:tr w:rsidR="003E1D2A" w:rsidRPr="00687B52" w:rsidTr="00A0611B">
        <w:trPr>
          <w:trHeight w:val="1465"/>
          <w:jc w:val="center"/>
        </w:trPr>
        <w:tc>
          <w:tcPr>
            <w:tcW w:w="967" w:type="dxa"/>
            <w:vAlign w:val="center"/>
          </w:tcPr>
          <w:p w:rsidR="003E1D2A" w:rsidRPr="00687B52" w:rsidRDefault="003E1D2A" w:rsidP="007A48E1">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2.</w:t>
            </w:r>
            <w:r w:rsidR="007A48E1" w:rsidRPr="00687B52">
              <w:rPr>
                <w:rFonts w:asciiTheme="minorEastAsia" w:eastAsiaTheme="minorEastAsia" w:hAnsiTheme="minorEastAsia" w:hint="eastAsia"/>
                <w:bCs/>
                <w:color w:val="000000" w:themeColor="text1"/>
                <w:szCs w:val="24"/>
              </w:rPr>
              <w:t>29</w:t>
            </w:r>
          </w:p>
        </w:tc>
        <w:tc>
          <w:tcPr>
            <w:tcW w:w="7849" w:type="dxa"/>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各种商品（气瓶装除外）不应直接落地存放，一般应垫15cm以上。遇湿易燃物品、易吸潮溶化和吸潮分解的商品应适当增加下垫高度。</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各种商品应码行列式压缝货垛，做到牢固、整齐、出入库方便，无货架的垛高不应超过3cm。</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堆垛间距应保持：</w:t>
            </w:r>
          </w:p>
          <w:p w:rsidR="003E1D2A" w:rsidRPr="00687B52" w:rsidRDefault="003E1D2A" w:rsidP="00D9787F">
            <w:pPr>
              <w:pStyle w:val="a7"/>
              <w:numPr>
                <w:ilvl w:val="0"/>
                <w:numId w:val="106"/>
              </w:numPr>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主要通道大于或等于180cm；</w:t>
            </w:r>
          </w:p>
          <w:p w:rsidR="003E1D2A" w:rsidRPr="00687B52" w:rsidRDefault="003E1D2A" w:rsidP="00D9787F">
            <w:pPr>
              <w:pStyle w:val="a7"/>
              <w:numPr>
                <w:ilvl w:val="0"/>
                <w:numId w:val="106"/>
              </w:numPr>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支通道大于或等于80cm；</w:t>
            </w:r>
          </w:p>
          <w:p w:rsidR="003E1D2A" w:rsidRPr="00687B52" w:rsidRDefault="003E1D2A" w:rsidP="00D9787F">
            <w:pPr>
              <w:pStyle w:val="a7"/>
              <w:numPr>
                <w:ilvl w:val="0"/>
                <w:numId w:val="106"/>
              </w:numPr>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墙距离大于或等于30cm；</w:t>
            </w:r>
          </w:p>
          <w:p w:rsidR="003E1D2A" w:rsidRPr="00687B52" w:rsidRDefault="003E1D2A" w:rsidP="00D9787F">
            <w:pPr>
              <w:pStyle w:val="a7"/>
              <w:numPr>
                <w:ilvl w:val="0"/>
                <w:numId w:val="106"/>
              </w:numPr>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柱距大于或等于10cm；</w:t>
            </w:r>
          </w:p>
          <w:p w:rsidR="003E1D2A" w:rsidRPr="00687B52" w:rsidRDefault="003E1D2A" w:rsidP="00D9787F">
            <w:pPr>
              <w:pStyle w:val="a7"/>
              <w:numPr>
                <w:ilvl w:val="0"/>
                <w:numId w:val="106"/>
              </w:numPr>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垛距大于或等于10cm；</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f)顶距大于或等于50cm.</w:t>
            </w:r>
          </w:p>
        </w:tc>
        <w:tc>
          <w:tcPr>
            <w:tcW w:w="297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《易燃易爆性商品储存养护技术条件》GB17914-2013第6.1.2/6.1.3/6.2</w:t>
            </w:r>
          </w:p>
        </w:tc>
        <w:tc>
          <w:tcPr>
            <w:tcW w:w="2787" w:type="dxa"/>
            <w:vAlign w:val="center"/>
          </w:tcPr>
          <w:p w:rsidR="003E1D2A" w:rsidRPr="00687B52" w:rsidRDefault="003E1D2A" w:rsidP="003E1D2A">
            <w:pPr>
              <w:pStyle w:val="a7"/>
              <w:rPr>
                <w:rFonts w:asciiTheme="minorEastAsia" w:hAnsiTheme="minorEastAsia"/>
                <w:b/>
                <w:bCs/>
                <w:color w:val="000000" w:themeColor="text1"/>
                <w:szCs w:val="24"/>
              </w:rPr>
            </w:pPr>
          </w:p>
        </w:tc>
      </w:tr>
      <w:tr w:rsidR="003E1D2A" w:rsidRPr="00687B52" w:rsidTr="008B4454">
        <w:trPr>
          <w:trHeight w:val="137"/>
          <w:jc w:val="center"/>
        </w:trPr>
        <w:tc>
          <w:tcPr>
            <w:tcW w:w="967" w:type="dxa"/>
            <w:vAlign w:val="center"/>
          </w:tcPr>
          <w:p w:rsidR="003E1D2A" w:rsidRPr="00687B52" w:rsidRDefault="003E1D2A" w:rsidP="003E1D2A">
            <w:pPr>
              <w:pStyle w:val="a7"/>
              <w:rPr>
                <w:rFonts w:asciiTheme="minorEastAsia" w:eastAsiaTheme="minorEastAsia" w:hAnsiTheme="minorEastAsia"/>
                <w:b/>
                <w:bCs/>
                <w:color w:val="000000" w:themeColor="text1"/>
                <w:szCs w:val="24"/>
              </w:rPr>
            </w:pPr>
            <w:r w:rsidRPr="00687B52">
              <w:rPr>
                <w:rFonts w:asciiTheme="minorEastAsia" w:eastAsiaTheme="minorEastAsia" w:hAnsiTheme="minorEastAsia" w:hint="eastAsia"/>
                <w:b/>
                <w:bCs/>
                <w:color w:val="000000" w:themeColor="text1"/>
                <w:szCs w:val="24"/>
              </w:rPr>
              <w:t>3</w:t>
            </w:r>
          </w:p>
        </w:tc>
        <w:tc>
          <w:tcPr>
            <w:tcW w:w="13613" w:type="dxa"/>
            <w:gridSpan w:val="3"/>
            <w:vAlign w:val="center"/>
          </w:tcPr>
          <w:p w:rsidR="003E1D2A" w:rsidRPr="00687B52" w:rsidRDefault="003E1D2A" w:rsidP="00563F92">
            <w:pPr>
              <w:pStyle w:val="a7"/>
              <w:jc w:val="left"/>
              <w:rPr>
                <w:rFonts w:asciiTheme="minorEastAsia" w:eastAsiaTheme="minorEastAsia" w:hAnsiTheme="minorEastAsia"/>
                <w:b/>
                <w:bCs/>
                <w:color w:val="000000" w:themeColor="text1"/>
                <w:szCs w:val="24"/>
              </w:rPr>
            </w:pPr>
            <w:r w:rsidRPr="00687B52">
              <w:rPr>
                <w:rFonts w:asciiTheme="minorEastAsia" w:eastAsiaTheme="minorEastAsia" w:hAnsiTheme="minorEastAsia" w:hint="eastAsia"/>
                <w:b/>
                <w:bCs/>
                <w:color w:val="000000" w:themeColor="text1"/>
                <w:szCs w:val="24"/>
              </w:rPr>
              <w:t>作业管理</w:t>
            </w:r>
          </w:p>
        </w:tc>
      </w:tr>
      <w:tr w:rsidR="003E1D2A" w:rsidRPr="00687B52" w:rsidTr="00A0611B">
        <w:trPr>
          <w:trHeight w:val="2129"/>
          <w:jc w:val="center"/>
        </w:trPr>
        <w:tc>
          <w:tcPr>
            <w:tcW w:w="96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安全操作</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装卸毒害品人员应具有操作毒品一般知识。操作时轻拿轻放，不得碰撞、倒置，防止包装破损，商品外溢。作业人员应佩带手套和相应的防毒口罩或面具，穿防护服。作业中不得饮食，不得用手擦嘴、脸、眼睛。每次作业完毕，应及时用肥皂（或专用洗涤剂）洗净面部、手部，用清水漱口，防护用具应及时清洗，集中存放。</w:t>
            </w:r>
          </w:p>
          <w:p w:rsidR="003E1D2A" w:rsidRPr="00687B52" w:rsidRDefault="00866EA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w:t>
            </w:r>
            <w:r w:rsidR="003E1D2A" w:rsidRPr="00687B52">
              <w:rPr>
                <w:rFonts w:asciiTheme="minorEastAsia" w:eastAsiaTheme="minorEastAsia" w:hAnsiTheme="minorEastAsia" w:hint="eastAsia"/>
                <w:color w:val="000000" w:themeColor="text1"/>
                <w:szCs w:val="24"/>
              </w:rPr>
              <w:t xml:space="preserve">装卸易燃易爆品人员应穿工作服,带手套、口罩等必需的防护用具，操作中轻搬轻放、防止摩擦和撞击。各项操作不得使用能产生火花的工具，作业现场应远离热源和火源。装卸易燃液体须穿防静电工作服。禁止穿带钉鞋。大桶不得在水泥地面滚动。桶装各种氧化剂不得在水泥地面滚动。 </w:t>
            </w:r>
          </w:p>
          <w:p w:rsidR="003E1D2A" w:rsidRPr="00687B52" w:rsidRDefault="00866EA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r w:rsidR="003E1D2A" w:rsidRPr="00687B52">
              <w:rPr>
                <w:rFonts w:asciiTheme="minorEastAsia" w:eastAsiaTheme="minorEastAsia" w:hAnsiTheme="minorEastAsia" w:hint="eastAsia"/>
                <w:color w:val="000000" w:themeColor="text1"/>
                <w:szCs w:val="24"/>
              </w:rPr>
              <w:t xml:space="preserve">装卸腐蚀人员应穿工作服、戴护目镜、胶皮手套、胶皮围裙等必需的防护用具。操作时，应轻搬轻放，严禁背负肩扛，防止磨擦震动和撞击。不能使用沾染异物和能产生火花机具，作业现场须远离热源和火源。 </w:t>
            </w:r>
          </w:p>
          <w:p w:rsidR="003E1D2A" w:rsidRPr="00687B52" w:rsidRDefault="00866EA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w:t>
            </w:r>
            <w:r w:rsidR="003E1D2A" w:rsidRPr="00687B52">
              <w:rPr>
                <w:rFonts w:asciiTheme="minorEastAsia" w:eastAsiaTheme="minorEastAsia" w:hAnsiTheme="minorEastAsia" w:hint="eastAsia"/>
                <w:color w:val="000000" w:themeColor="text1"/>
                <w:szCs w:val="24"/>
              </w:rPr>
              <w:t xml:space="preserve">各类危险化学品分装、改装、开箱（桶）检查等应在库房外进行。 </w:t>
            </w:r>
          </w:p>
          <w:p w:rsidR="003E1D2A" w:rsidRPr="00687B52" w:rsidRDefault="00866EA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5)</w:t>
            </w:r>
            <w:r w:rsidR="003E1D2A" w:rsidRPr="00687B52">
              <w:rPr>
                <w:rFonts w:asciiTheme="minorEastAsia" w:eastAsiaTheme="minorEastAsia" w:hAnsiTheme="minorEastAsia" w:hint="eastAsia"/>
                <w:color w:val="000000" w:themeColor="text1"/>
                <w:szCs w:val="24"/>
              </w:rPr>
              <w:t>在操作各类危险化学品时，企业应在经营店面和仓库，针对各类危险化学品的性质，准备相应的急救药品和制定急救预案。</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《危险化学品经营企业开业条件和技术要求》GB18265-2000第6.3.4</w:t>
            </w:r>
          </w:p>
        </w:tc>
        <w:tc>
          <w:tcPr>
            <w:tcW w:w="2787" w:type="dxa"/>
            <w:vAlign w:val="center"/>
          </w:tcPr>
          <w:p w:rsidR="003E1D2A" w:rsidRPr="00687B52" w:rsidRDefault="003E1D2A" w:rsidP="003E1D2A">
            <w:pPr>
              <w:pStyle w:val="a7"/>
              <w:rPr>
                <w:rFonts w:asciiTheme="minorEastAsia" w:hAnsiTheme="minorEastAsia"/>
                <w:color w:val="000000" w:themeColor="text1"/>
                <w:szCs w:val="24"/>
              </w:rPr>
            </w:pPr>
          </w:p>
        </w:tc>
      </w:tr>
      <w:tr w:rsidR="003E1D2A" w:rsidRPr="00687B52" w:rsidTr="00A0611B">
        <w:trPr>
          <w:trHeight w:val="403"/>
          <w:jc w:val="center"/>
        </w:trPr>
        <w:tc>
          <w:tcPr>
            <w:tcW w:w="96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贮存危险化学品的仓库必须配备有专业知识的技术人员，其库房及场所应设专人管理，管理人员必须配备可靠的个人安全防护用品</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15603-1995第4.4</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403"/>
          <w:jc w:val="center"/>
        </w:trPr>
        <w:tc>
          <w:tcPr>
            <w:tcW w:w="96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贮存的危险化学品应有明显的标志，标志应符合GB 190的规定。同一区域贮存两种或两种以上不同级别的危险品时，应按最高等级危险物品的性能标志。</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15603-1995第4.6</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270"/>
          <w:jc w:val="center"/>
        </w:trPr>
        <w:tc>
          <w:tcPr>
            <w:tcW w:w="96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3.4</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贮存危险化学品的建筑物、区域内严禁吸烟和使用明火。</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15603-1995第4.9</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403"/>
          <w:jc w:val="center"/>
        </w:trPr>
        <w:tc>
          <w:tcPr>
            <w:tcW w:w="96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3.5</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贮存危险化学品的仓库，必须建立严格的出入库</w:t>
            </w:r>
            <w:hyperlink r:id="rId52" w:tgtFrame="_blank" w:history="1">
              <w:r w:rsidRPr="00687B52">
                <w:rPr>
                  <w:rFonts w:asciiTheme="minorEastAsia" w:eastAsiaTheme="minorEastAsia" w:hAnsiTheme="minorEastAsia" w:hint="eastAsia"/>
                  <w:color w:val="000000" w:themeColor="text1"/>
                  <w:szCs w:val="24"/>
                </w:rPr>
                <w:t>管理制度</w:t>
              </w:r>
            </w:hyperlink>
            <w:r w:rsidRPr="00687B52">
              <w:rPr>
                <w:rFonts w:asciiTheme="minorEastAsia" w:eastAsiaTheme="minorEastAsia" w:hAnsiTheme="minorEastAsia" w:hint="eastAsia"/>
                <w:color w:val="000000" w:themeColor="text1"/>
                <w:szCs w:val="24"/>
              </w:rPr>
              <w:t>。</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15603-1995第8.1</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537"/>
          <w:jc w:val="center"/>
        </w:trPr>
        <w:tc>
          <w:tcPr>
            <w:tcW w:w="96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3.6</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危险化学品出入库前均应按合同进行检查验收、登记、验收内容包括：a.数量；b.包装；c.危险标志。经核对后方可入库、出库，当物品性质未弄清时不得入库。</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15603-1995第8.2</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403"/>
          <w:jc w:val="center"/>
        </w:trPr>
        <w:tc>
          <w:tcPr>
            <w:tcW w:w="96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3.7</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进入危险化学品贮存区域的人员、机动车辆和作业车辆，必须采取防火措施。</w:t>
            </w:r>
          </w:p>
          <w:p w:rsidR="003E1D2A" w:rsidRPr="00687B52" w:rsidRDefault="003E1D2A" w:rsidP="003E1D2A">
            <w:pPr>
              <w:pStyle w:val="a7"/>
              <w:jc w:val="left"/>
              <w:rPr>
                <w:rFonts w:asciiTheme="minorEastAsia" w:eastAsiaTheme="minorEastAsia" w:hAnsiTheme="minorEastAsia"/>
                <w:color w:val="000000" w:themeColor="text1"/>
                <w:szCs w:val="24"/>
              </w:rPr>
            </w:pP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15603-1995第8.3</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403"/>
          <w:jc w:val="center"/>
        </w:trPr>
        <w:tc>
          <w:tcPr>
            <w:tcW w:w="96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3.8</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装卸、搬运危险化学品时应按有关规定进行，做到轻装、轻卸。严禁摔、碰、撞、击、拖拉、倾倒和滚动。</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15603-1995第8.4</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403"/>
          <w:jc w:val="center"/>
        </w:trPr>
        <w:tc>
          <w:tcPr>
            <w:tcW w:w="96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3.9</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装卸对人身有毒害及腐蚀性的物品时，操作人员应根据危险性，穿戴相应的防护用品。</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15603-1995第8.5</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403"/>
          <w:jc w:val="center"/>
        </w:trPr>
        <w:tc>
          <w:tcPr>
            <w:tcW w:w="96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3.10</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不得用同一车辆运输互为禁忌的物料。</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15603-1995第8.6</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475"/>
          <w:jc w:val="center"/>
        </w:trPr>
        <w:tc>
          <w:tcPr>
            <w:tcW w:w="96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3.11</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修补、换装、清扫、装卸易燃、易爆物料时，应使用不产生火花的铜制、合金制或其他工具。</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15603-1995第8.7</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8B4454">
        <w:trPr>
          <w:trHeight w:val="137"/>
          <w:jc w:val="center"/>
        </w:trPr>
        <w:tc>
          <w:tcPr>
            <w:tcW w:w="967" w:type="dxa"/>
            <w:vAlign w:val="center"/>
          </w:tcPr>
          <w:p w:rsidR="003E1D2A" w:rsidRPr="00687B52" w:rsidRDefault="003E1D2A" w:rsidP="003E1D2A">
            <w:pPr>
              <w:pStyle w:val="a7"/>
              <w:rPr>
                <w:rFonts w:asciiTheme="minorEastAsia" w:eastAsiaTheme="minorEastAsia" w:hAnsiTheme="minorEastAsia"/>
                <w:b/>
                <w:bCs/>
                <w:color w:val="000000" w:themeColor="text1"/>
                <w:szCs w:val="24"/>
              </w:rPr>
            </w:pPr>
            <w:r w:rsidRPr="00687B52">
              <w:rPr>
                <w:rFonts w:asciiTheme="minorEastAsia" w:eastAsiaTheme="minorEastAsia" w:hAnsiTheme="minorEastAsia" w:hint="eastAsia"/>
                <w:b/>
                <w:bCs/>
                <w:color w:val="000000" w:themeColor="text1"/>
                <w:szCs w:val="24"/>
              </w:rPr>
              <w:t>4</w:t>
            </w:r>
          </w:p>
        </w:tc>
        <w:tc>
          <w:tcPr>
            <w:tcW w:w="13613" w:type="dxa"/>
            <w:gridSpan w:val="3"/>
            <w:vAlign w:val="center"/>
          </w:tcPr>
          <w:p w:rsidR="003E1D2A" w:rsidRPr="00687B52" w:rsidRDefault="003E1D2A" w:rsidP="00563F92">
            <w:pPr>
              <w:pStyle w:val="a7"/>
              <w:jc w:val="left"/>
              <w:rPr>
                <w:rFonts w:asciiTheme="minorEastAsia" w:eastAsiaTheme="minorEastAsia" w:hAnsiTheme="minorEastAsia"/>
                <w:b/>
                <w:bCs/>
                <w:color w:val="000000" w:themeColor="text1"/>
                <w:szCs w:val="24"/>
              </w:rPr>
            </w:pPr>
            <w:r w:rsidRPr="00687B52">
              <w:rPr>
                <w:rFonts w:asciiTheme="minorEastAsia" w:eastAsiaTheme="minorEastAsia" w:hAnsiTheme="minorEastAsia" w:hint="eastAsia"/>
                <w:b/>
                <w:bCs/>
                <w:color w:val="000000" w:themeColor="text1"/>
                <w:szCs w:val="24"/>
              </w:rPr>
              <w:t>公用工程</w:t>
            </w:r>
          </w:p>
        </w:tc>
      </w:tr>
      <w:tr w:rsidR="003E1D2A" w:rsidRPr="00687B52" w:rsidTr="00A0611B">
        <w:trPr>
          <w:trHeight w:val="270"/>
          <w:jc w:val="center"/>
        </w:trPr>
        <w:tc>
          <w:tcPr>
            <w:tcW w:w="96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4.1</w:t>
            </w:r>
          </w:p>
        </w:tc>
        <w:tc>
          <w:tcPr>
            <w:tcW w:w="7849" w:type="dxa"/>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占地面积大于1500m</w:t>
            </w:r>
            <w:r w:rsidRPr="00687B52">
              <w:rPr>
                <w:rFonts w:asciiTheme="minorEastAsia" w:eastAsiaTheme="minorEastAsia" w:hAnsiTheme="minorEastAsia" w:hint="eastAsia"/>
                <w:bCs/>
                <w:color w:val="000000" w:themeColor="text1"/>
                <w:szCs w:val="24"/>
                <w:vertAlign w:val="superscript"/>
              </w:rPr>
              <w:t>2</w:t>
            </w:r>
            <w:r w:rsidRPr="00687B52">
              <w:rPr>
                <w:rFonts w:asciiTheme="minorEastAsia" w:eastAsiaTheme="minorEastAsia" w:hAnsiTheme="minorEastAsia" w:hint="eastAsia"/>
                <w:bCs/>
                <w:color w:val="000000" w:themeColor="text1"/>
                <w:szCs w:val="24"/>
              </w:rPr>
              <w:t>的甲、乙、丙类仓库，应设置环形消防车道，确有困难时，应沿建筑物的两个长边设置消防车道。</w:t>
            </w:r>
          </w:p>
        </w:tc>
        <w:tc>
          <w:tcPr>
            <w:tcW w:w="297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《建筑设计防火规范》GB50016-2014第7.1.3</w:t>
            </w:r>
          </w:p>
        </w:tc>
        <w:tc>
          <w:tcPr>
            <w:tcW w:w="2787" w:type="dxa"/>
            <w:vAlign w:val="center"/>
          </w:tcPr>
          <w:p w:rsidR="003E1D2A" w:rsidRPr="00687B52" w:rsidRDefault="003E1D2A" w:rsidP="003E1D2A">
            <w:pPr>
              <w:pStyle w:val="a7"/>
              <w:rPr>
                <w:rFonts w:asciiTheme="minorEastAsia" w:hAnsiTheme="minorEastAsia"/>
                <w:b/>
                <w:bCs/>
                <w:color w:val="000000" w:themeColor="text1"/>
                <w:szCs w:val="24"/>
              </w:rPr>
            </w:pPr>
          </w:p>
        </w:tc>
      </w:tr>
      <w:tr w:rsidR="003E1D2A" w:rsidRPr="00687B52" w:rsidTr="00A0611B">
        <w:trPr>
          <w:trHeight w:val="801"/>
          <w:jc w:val="center"/>
        </w:trPr>
        <w:tc>
          <w:tcPr>
            <w:tcW w:w="96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4.2</w:t>
            </w:r>
          </w:p>
        </w:tc>
        <w:tc>
          <w:tcPr>
            <w:tcW w:w="7849" w:type="dxa"/>
            <w:vAlign w:val="center"/>
          </w:tcPr>
          <w:p w:rsidR="003E1D2A" w:rsidRPr="00687B52" w:rsidRDefault="00A95E6F"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仓库和</w:t>
            </w:r>
            <w:r w:rsidR="003E1D2A" w:rsidRPr="00687B52">
              <w:rPr>
                <w:rFonts w:asciiTheme="minorEastAsia" w:eastAsiaTheme="minorEastAsia" w:hAnsiTheme="minorEastAsia" w:hint="eastAsia"/>
                <w:bCs/>
                <w:color w:val="000000" w:themeColor="text1"/>
                <w:szCs w:val="24"/>
              </w:rPr>
              <w:t>堆场周围应设置室外消火栓系统。</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用于消防救援和消防车停靠的屋面上，应设置室外消火栓系统。</w:t>
            </w:r>
          </w:p>
        </w:tc>
        <w:tc>
          <w:tcPr>
            <w:tcW w:w="297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《建筑设计防火规范》GB50016-2014第8.1.2</w:t>
            </w:r>
          </w:p>
        </w:tc>
        <w:tc>
          <w:tcPr>
            <w:tcW w:w="2787" w:type="dxa"/>
            <w:vAlign w:val="center"/>
          </w:tcPr>
          <w:p w:rsidR="003E1D2A" w:rsidRPr="00687B52" w:rsidRDefault="003E1D2A" w:rsidP="003E1D2A">
            <w:pPr>
              <w:pStyle w:val="a7"/>
              <w:rPr>
                <w:rFonts w:asciiTheme="minorEastAsia" w:hAnsiTheme="minorEastAsia"/>
                <w:b/>
                <w:bCs/>
                <w:color w:val="000000" w:themeColor="text1"/>
                <w:szCs w:val="24"/>
              </w:rPr>
            </w:pPr>
          </w:p>
        </w:tc>
      </w:tr>
      <w:tr w:rsidR="003E1D2A" w:rsidRPr="00687B52" w:rsidTr="00A0611B">
        <w:trPr>
          <w:trHeight w:val="859"/>
          <w:jc w:val="center"/>
        </w:trPr>
        <w:tc>
          <w:tcPr>
            <w:tcW w:w="96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4.3</w:t>
            </w:r>
          </w:p>
        </w:tc>
        <w:tc>
          <w:tcPr>
            <w:tcW w:w="7849" w:type="dxa"/>
            <w:vAlign w:val="center"/>
          </w:tcPr>
          <w:p w:rsidR="003E1D2A" w:rsidRPr="00687B52" w:rsidRDefault="00801495" w:rsidP="00801495">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超过4层的仓库</w:t>
            </w:r>
            <w:r w:rsidR="003E1D2A" w:rsidRPr="00687B52">
              <w:rPr>
                <w:rFonts w:asciiTheme="minorEastAsia" w:eastAsiaTheme="minorEastAsia" w:hAnsiTheme="minorEastAsia" w:hint="eastAsia"/>
                <w:bCs/>
                <w:color w:val="000000" w:themeColor="text1"/>
                <w:szCs w:val="24"/>
              </w:rPr>
              <w:t>室内消火栓给水系统应设置消防水泵接合器</w:t>
            </w:r>
            <w:r w:rsidRPr="00687B52">
              <w:rPr>
                <w:rFonts w:asciiTheme="minorEastAsia" w:eastAsiaTheme="minorEastAsia" w:hAnsiTheme="minorEastAsia" w:hint="eastAsia"/>
                <w:bCs/>
                <w:color w:val="000000" w:themeColor="text1"/>
                <w:szCs w:val="24"/>
              </w:rPr>
              <w:t>。</w:t>
            </w:r>
          </w:p>
        </w:tc>
        <w:tc>
          <w:tcPr>
            <w:tcW w:w="297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《建筑设计防火规范》GB50016-2014第8.1.3</w:t>
            </w:r>
          </w:p>
        </w:tc>
        <w:tc>
          <w:tcPr>
            <w:tcW w:w="2787" w:type="dxa"/>
            <w:vAlign w:val="center"/>
          </w:tcPr>
          <w:p w:rsidR="003E1D2A" w:rsidRPr="00687B52" w:rsidRDefault="003E1D2A" w:rsidP="003E1D2A">
            <w:pPr>
              <w:pStyle w:val="a7"/>
              <w:rPr>
                <w:rFonts w:asciiTheme="minorEastAsia" w:hAnsiTheme="minorEastAsia"/>
                <w:b/>
                <w:bCs/>
                <w:color w:val="000000" w:themeColor="text1"/>
                <w:szCs w:val="24"/>
              </w:rPr>
            </w:pPr>
          </w:p>
        </w:tc>
      </w:tr>
      <w:tr w:rsidR="003E1D2A" w:rsidRPr="00687B52" w:rsidTr="00A0611B">
        <w:trPr>
          <w:trHeight w:val="482"/>
          <w:jc w:val="center"/>
        </w:trPr>
        <w:tc>
          <w:tcPr>
            <w:tcW w:w="96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4.4</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高层住宅建筑的公共部位和公共建筑内应设置灭火器，其他住宅建筑的公共部位宜设置灭火器。</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厂房、仓库、储罐（区）和堆场，应设置灭火器。</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《建筑设计防火规范》GB50016-2014第8.1.9</w:t>
            </w:r>
          </w:p>
        </w:tc>
        <w:tc>
          <w:tcPr>
            <w:tcW w:w="2787" w:type="dxa"/>
            <w:vAlign w:val="center"/>
          </w:tcPr>
          <w:p w:rsidR="003E1D2A" w:rsidRPr="00687B52" w:rsidRDefault="003E1D2A" w:rsidP="003E1D2A">
            <w:pPr>
              <w:pStyle w:val="a7"/>
              <w:rPr>
                <w:rFonts w:asciiTheme="minorEastAsia" w:hAnsiTheme="minorEastAsia"/>
                <w:color w:val="000000" w:themeColor="text1"/>
                <w:szCs w:val="24"/>
              </w:rPr>
            </w:pPr>
          </w:p>
        </w:tc>
      </w:tr>
      <w:tr w:rsidR="003E1D2A" w:rsidRPr="00687B52" w:rsidTr="00A0611B">
        <w:trPr>
          <w:trHeight w:val="403"/>
          <w:jc w:val="center"/>
        </w:trPr>
        <w:tc>
          <w:tcPr>
            <w:tcW w:w="96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4.5</w:t>
            </w:r>
          </w:p>
        </w:tc>
        <w:tc>
          <w:tcPr>
            <w:tcW w:w="7849" w:type="dxa"/>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建筑高度大于50m的乙、丙类厂房和丙类仓库消防用电应按一级负荷供电。</w:t>
            </w:r>
          </w:p>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室外消防用水量大于30L/s的仓库消防用电应按二级负荷供电。</w:t>
            </w:r>
          </w:p>
        </w:tc>
        <w:tc>
          <w:tcPr>
            <w:tcW w:w="2977" w:type="dxa"/>
            <w:vAlign w:val="center"/>
          </w:tcPr>
          <w:p w:rsidR="003E1D2A" w:rsidRPr="00687B52" w:rsidRDefault="003E1D2A" w:rsidP="003E1D2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《建筑设计防火规范》GB50016-2014第10.1.1/10.1.2</w:t>
            </w:r>
          </w:p>
        </w:tc>
        <w:tc>
          <w:tcPr>
            <w:tcW w:w="2787" w:type="dxa"/>
            <w:vAlign w:val="center"/>
          </w:tcPr>
          <w:p w:rsidR="003E1D2A" w:rsidRPr="00687B52" w:rsidRDefault="003E1D2A" w:rsidP="003E1D2A">
            <w:pPr>
              <w:pStyle w:val="a7"/>
              <w:rPr>
                <w:rFonts w:asciiTheme="minorEastAsia" w:hAnsiTheme="minorEastAsia"/>
                <w:b/>
                <w:bCs/>
                <w:color w:val="000000" w:themeColor="text1"/>
                <w:szCs w:val="24"/>
              </w:rPr>
            </w:pPr>
          </w:p>
        </w:tc>
      </w:tr>
      <w:tr w:rsidR="003E1D2A" w:rsidRPr="00687B52" w:rsidTr="00A0611B">
        <w:trPr>
          <w:trHeight w:val="440"/>
          <w:jc w:val="center"/>
        </w:trPr>
        <w:tc>
          <w:tcPr>
            <w:tcW w:w="96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4.6</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根据危险品特性和仓库条件，必须配置相应的消防设备、设施和灭火药剂。并配备经过培训的兼职和专职的消防人员。</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15603-1995第9.1</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403"/>
          <w:jc w:val="center"/>
        </w:trPr>
        <w:tc>
          <w:tcPr>
            <w:tcW w:w="96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4.7</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贮存危险化学品建筑物内应根据仓库条件安装自动监测和</w:t>
            </w:r>
            <w:hyperlink r:id="rId53" w:tgtFrame="_blank" w:history="1">
              <w:r w:rsidRPr="00687B52">
                <w:rPr>
                  <w:rFonts w:asciiTheme="minorEastAsia" w:eastAsiaTheme="minorEastAsia" w:hAnsiTheme="minorEastAsia" w:hint="eastAsia"/>
                  <w:color w:val="000000" w:themeColor="text1"/>
                  <w:szCs w:val="24"/>
                </w:rPr>
                <w:t>火灾报警系统</w:t>
              </w:r>
            </w:hyperlink>
            <w:r w:rsidRPr="00687B52">
              <w:rPr>
                <w:rFonts w:asciiTheme="minorEastAsia" w:eastAsiaTheme="minorEastAsia" w:hAnsiTheme="minorEastAsia" w:hint="eastAsia"/>
                <w:color w:val="000000" w:themeColor="text1"/>
                <w:szCs w:val="24"/>
              </w:rPr>
              <w:t>。</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15603-1995第9.2</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r w:rsidR="003E1D2A" w:rsidRPr="00687B52" w:rsidTr="00A0611B">
        <w:trPr>
          <w:trHeight w:val="407"/>
          <w:jc w:val="center"/>
        </w:trPr>
        <w:tc>
          <w:tcPr>
            <w:tcW w:w="96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4.8</w:t>
            </w:r>
          </w:p>
        </w:tc>
        <w:tc>
          <w:tcPr>
            <w:tcW w:w="7849" w:type="dxa"/>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贮存危险化学品的建筑物内，如条件允许，应安装灭火喷淋系统（遇水燃烧危险化学品，不可用水扑救的火灾除外），其喷淋强度和供水时间如下：喷淋强度 15 L /（min·m</w:t>
            </w:r>
            <w:r w:rsidRPr="00687B52">
              <w:rPr>
                <w:rFonts w:asciiTheme="minorEastAsia" w:eastAsiaTheme="minorEastAsia" w:hAnsiTheme="minorEastAsia" w:hint="eastAsia"/>
                <w:color w:val="000000" w:themeColor="text1"/>
                <w:szCs w:val="24"/>
                <w:vertAlign w:val="superscript"/>
              </w:rPr>
              <w:t>2</w:t>
            </w:r>
            <w:r w:rsidRPr="00687B52">
              <w:rPr>
                <w:rFonts w:asciiTheme="minorEastAsia" w:eastAsiaTheme="minorEastAsia" w:hAnsiTheme="minorEastAsia" w:hint="eastAsia"/>
                <w:color w:val="000000" w:themeColor="text1"/>
                <w:szCs w:val="24"/>
              </w:rPr>
              <w:t>）；持续时间90min。</w:t>
            </w:r>
          </w:p>
        </w:tc>
        <w:tc>
          <w:tcPr>
            <w:tcW w:w="2977" w:type="dxa"/>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《常用危险化学品贮存通则》</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GB 15603-1995第9.3</w:t>
            </w:r>
          </w:p>
        </w:tc>
        <w:tc>
          <w:tcPr>
            <w:tcW w:w="2787" w:type="dxa"/>
            <w:vAlign w:val="center"/>
          </w:tcPr>
          <w:p w:rsidR="003E1D2A" w:rsidRPr="00687B52" w:rsidRDefault="003E1D2A" w:rsidP="003E1D2A">
            <w:pPr>
              <w:jc w:val="center"/>
              <w:rPr>
                <w:rFonts w:asciiTheme="minorEastAsia" w:hAnsiTheme="minorEastAsia"/>
                <w:color w:val="000000" w:themeColor="text1"/>
                <w:sz w:val="24"/>
              </w:rPr>
            </w:pPr>
          </w:p>
        </w:tc>
      </w:tr>
    </w:tbl>
    <w:p w:rsidR="003E1D2A" w:rsidRPr="00687B52" w:rsidRDefault="003E1D2A" w:rsidP="003E1D2A">
      <w:pPr>
        <w:rPr>
          <w:rFonts w:ascii="黑体" w:eastAsia="黑体" w:hAnsi="黑体"/>
          <w:color w:val="000000" w:themeColor="text1"/>
          <w:sz w:val="28"/>
          <w:szCs w:val="28"/>
        </w:rPr>
      </w:pPr>
    </w:p>
    <w:p w:rsidR="003E1D2A" w:rsidRPr="00687B52" w:rsidRDefault="003E1D2A" w:rsidP="003110C0">
      <w:pPr>
        <w:spacing w:line="480" w:lineRule="exact"/>
        <w:jc w:val="left"/>
        <w:rPr>
          <w:color w:val="000000" w:themeColor="text1"/>
          <w:sz w:val="28"/>
          <w:szCs w:val="28"/>
        </w:rPr>
        <w:sectPr w:rsidR="003E1D2A" w:rsidRPr="00687B52" w:rsidSect="00D22E6D">
          <w:footerReference w:type="default" r:id="rId54"/>
          <w:pgSz w:w="16838" w:h="11906" w:orient="landscape"/>
          <w:pgMar w:top="1797" w:right="1440" w:bottom="1797" w:left="1440" w:header="851" w:footer="907" w:gutter="0"/>
          <w:cols w:space="425"/>
          <w:docGrid w:type="lines" w:linePitch="312"/>
        </w:sectPr>
      </w:pPr>
    </w:p>
    <w:p w:rsidR="003E1D2A" w:rsidRPr="00687B52" w:rsidRDefault="008B4454" w:rsidP="008B4454">
      <w:pPr>
        <w:pStyle w:val="aff3"/>
        <w:numPr>
          <w:ilvl w:val="0"/>
          <w:numId w:val="0"/>
        </w:numPr>
        <w:rPr>
          <w:color w:val="000000" w:themeColor="text1"/>
          <w:szCs w:val="28"/>
        </w:rPr>
      </w:pPr>
      <w:bookmarkStart w:id="50" w:name="_Toc492634904"/>
      <w:r w:rsidRPr="00687B52">
        <w:rPr>
          <w:rFonts w:hint="eastAsia"/>
          <w:color w:val="000000" w:themeColor="text1"/>
        </w:rPr>
        <w:t>表</w:t>
      </w:r>
      <w:r w:rsidRPr="00687B52">
        <w:rPr>
          <w:rFonts w:hint="eastAsia"/>
          <w:color w:val="000000" w:themeColor="text1"/>
        </w:rPr>
        <w:t xml:space="preserve">3-3 </w:t>
      </w:r>
      <w:r w:rsidRPr="00687B52">
        <w:rPr>
          <w:rFonts w:hint="eastAsia"/>
          <w:color w:val="000000" w:themeColor="text1"/>
        </w:rPr>
        <w:t>危险化学品储存、经营企业专业检查表（</w:t>
      </w:r>
      <w:r w:rsidR="003E1D2A" w:rsidRPr="00687B52">
        <w:rPr>
          <w:rFonts w:hint="eastAsia"/>
          <w:color w:val="000000" w:themeColor="text1"/>
          <w:szCs w:val="28"/>
        </w:rPr>
        <w:t>油库</w:t>
      </w:r>
      <w:r w:rsidRPr="00687B52">
        <w:rPr>
          <w:rFonts w:hint="eastAsia"/>
          <w:color w:val="000000" w:themeColor="text1"/>
        </w:rPr>
        <w:t>）</w:t>
      </w:r>
      <w:bookmarkEnd w:id="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6608"/>
        <w:gridCol w:w="2999"/>
        <w:gridCol w:w="3609"/>
      </w:tblGrid>
      <w:tr w:rsidR="003E1D2A" w:rsidRPr="00687B52" w:rsidTr="007F37C0">
        <w:trPr>
          <w:tblHeade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序号</w:t>
            </w:r>
          </w:p>
        </w:tc>
        <w:tc>
          <w:tcPr>
            <w:tcW w:w="2331"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标准要求</w:t>
            </w:r>
          </w:p>
        </w:tc>
        <w:tc>
          <w:tcPr>
            <w:tcW w:w="1058"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检查依据</w:t>
            </w:r>
          </w:p>
        </w:tc>
        <w:tc>
          <w:tcPr>
            <w:tcW w:w="1273"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实际情况</w:t>
            </w: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1</w:t>
            </w:r>
          </w:p>
        </w:tc>
        <w:tc>
          <w:tcPr>
            <w:tcW w:w="4662" w:type="pct"/>
            <w:gridSpan w:val="3"/>
            <w:vAlign w:val="center"/>
          </w:tcPr>
          <w:p w:rsidR="003E1D2A" w:rsidRPr="00687B52" w:rsidRDefault="003E1D2A" w:rsidP="003E1D2A">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库址选择与库区布置</w:t>
            </w:r>
          </w:p>
        </w:tc>
      </w:tr>
      <w:tr w:rsidR="003E1D2A" w:rsidRPr="00687B52" w:rsidTr="007F37C0">
        <w:trPr>
          <w:jc w:val="center"/>
        </w:trPr>
        <w:tc>
          <w:tcPr>
            <w:tcW w:w="338" w:type="pct"/>
            <w:vAlign w:val="center"/>
          </w:tcPr>
          <w:p w:rsidR="003E1D2A" w:rsidRPr="00687B52" w:rsidRDefault="003E1D2A" w:rsidP="00802A34">
            <w:pPr>
              <w:pStyle w:val="a7"/>
              <w:rPr>
                <w:color w:val="000000" w:themeColor="text1"/>
              </w:rPr>
            </w:pPr>
            <w:r w:rsidRPr="00687B52">
              <w:rPr>
                <w:rFonts w:hint="eastAsia"/>
                <w:color w:val="000000" w:themeColor="text1"/>
              </w:rPr>
              <w:t>1.</w:t>
            </w:r>
            <w:r w:rsidR="00802A34" w:rsidRPr="00687B52">
              <w:rPr>
                <w:rFonts w:hint="eastAsia"/>
                <w:color w:val="000000" w:themeColor="text1"/>
              </w:rPr>
              <w:t>1</w:t>
            </w:r>
          </w:p>
        </w:tc>
        <w:tc>
          <w:tcPr>
            <w:tcW w:w="2331" w:type="pct"/>
            <w:vAlign w:val="center"/>
          </w:tcPr>
          <w:p w:rsidR="003E1D2A" w:rsidRPr="00687B52" w:rsidRDefault="003E1D2A" w:rsidP="003E1D2A">
            <w:pPr>
              <w:widowControl/>
              <w:spacing w:before="80" w:line="220" w:lineRule="atLeast"/>
              <w:jc w:val="left"/>
              <w:rPr>
                <w:color w:val="000000" w:themeColor="text1"/>
                <w:kern w:val="0"/>
                <w:sz w:val="24"/>
                <w:szCs w:val="24"/>
              </w:rPr>
            </w:pPr>
            <w:r w:rsidRPr="00687B52">
              <w:rPr>
                <w:rFonts w:hint="eastAsia"/>
                <w:color w:val="000000" w:themeColor="text1"/>
                <w:kern w:val="0"/>
                <w:sz w:val="24"/>
                <w:szCs w:val="24"/>
              </w:rPr>
              <w:t>石油库的库址应具备良好的地质条件，不得选择在有土崩、断层、滑坡、沼泽、流沙及泥石流的地区和地下矿藏开采后可能塌陷的地区。</w:t>
            </w:r>
          </w:p>
        </w:tc>
        <w:tc>
          <w:tcPr>
            <w:tcW w:w="1058" w:type="pct"/>
            <w:vAlign w:val="center"/>
          </w:tcPr>
          <w:p w:rsidR="003E1D2A" w:rsidRPr="00687B52" w:rsidRDefault="003E1D2A" w:rsidP="003E1D2A">
            <w:pPr>
              <w:widowControl/>
              <w:spacing w:before="80" w:line="220" w:lineRule="atLeast"/>
              <w:jc w:val="left"/>
              <w:rPr>
                <w:color w:val="000000" w:themeColor="text1"/>
                <w:kern w:val="0"/>
                <w:sz w:val="24"/>
                <w:szCs w:val="24"/>
              </w:rPr>
            </w:pPr>
            <w:r w:rsidRPr="00687B52">
              <w:rPr>
                <w:rFonts w:hint="eastAsia"/>
                <w:color w:val="000000" w:themeColor="text1"/>
                <w:kern w:val="0"/>
                <w:sz w:val="24"/>
                <w:szCs w:val="24"/>
              </w:rPr>
              <w:t>《石油库设计规范》</w:t>
            </w:r>
            <w:r w:rsidRPr="00687B52">
              <w:rPr>
                <w:rFonts w:hint="eastAsia"/>
                <w:color w:val="000000" w:themeColor="text1"/>
                <w:kern w:val="0"/>
                <w:sz w:val="24"/>
                <w:szCs w:val="24"/>
              </w:rPr>
              <w:t>GB50074-2014</w:t>
            </w:r>
            <w:r w:rsidRPr="00687B52">
              <w:rPr>
                <w:rFonts w:hint="eastAsia"/>
                <w:color w:val="000000" w:themeColor="text1"/>
                <w:kern w:val="0"/>
                <w:sz w:val="24"/>
                <w:szCs w:val="24"/>
              </w:rPr>
              <w:t>第</w:t>
            </w:r>
            <w:r w:rsidRPr="00687B52">
              <w:rPr>
                <w:rFonts w:hint="eastAsia"/>
                <w:color w:val="000000" w:themeColor="text1"/>
                <w:kern w:val="0"/>
                <w:sz w:val="24"/>
                <w:szCs w:val="24"/>
              </w:rPr>
              <w:t>4.0.3</w:t>
            </w:r>
            <w:r w:rsidRPr="00687B52">
              <w:rPr>
                <w:rFonts w:hint="eastAsia"/>
                <w:color w:val="000000" w:themeColor="text1"/>
                <w:kern w:val="0"/>
                <w:sz w:val="24"/>
                <w:szCs w:val="24"/>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color w:val="000000" w:themeColor="text1"/>
              </w:rPr>
            </w:pPr>
            <w:r w:rsidRPr="00687B52">
              <w:rPr>
                <w:rFonts w:hint="eastAsia"/>
                <w:color w:val="000000" w:themeColor="text1"/>
              </w:rPr>
              <w:t>1.</w:t>
            </w:r>
            <w:r w:rsidR="00802A34" w:rsidRPr="00687B52">
              <w:rPr>
                <w:rFonts w:hint="eastAsia"/>
                <w:color w:val="000000" w:themeColor="text1"/>
              </w:rPr>
              <w:t>2</w:t>
            </w:r>
          </w:p>
        </w:tc>
        <w:tc>
          <w:tcPr>
            <w:tcW w:w="2331" w:type="pct"/>
            <w:vAlign w:val="center"/>
          </w:tcPr>
          <w:p w:rsidR="003E1D2A" w:rsidRPr="00687B52" w:rsidRDefault="003E1D2A" w:rsidP="003E1D2A">
            <w:pPr>
              <w:widowControl/>
              <w:spacing w:before="80" w:line="220" w:lineRule="atLeast"/>
              <w:jc w:val="left"/>
              <w:rPr>
                <w:color w:val="000000" w:themeColor="text1"/>
                <w:kern w:val="0"/>
                <w:sz w:val="24"/>
                <w:szCs w:val="24"/>
              </w:rPr>
            </w:pPr>
            <w:r w:rsidRPr="00687B52">
              <w:rPr>
                <w:rFonts w:hint="eastAsia"/>
                <w:color w:val="000000" w:themeColor="text1"/>
                <w:kern w:val="0"/>
                <w:sz w:val="24"/>
                <w:szCs w:val="24"/>
              </w:rPr>
              <w:t>一、二、三级石油库的库址，不得选在地震基本烈度为</w:t>
            </w:r>
            <w:r w:rsidRPr="00687B52">
              <w:rPr>
                <w:rFonts w:hint="eastAsia"/>
                <w:color w:val="000000" w:themeColor="text1"/>
                <w:kern w:val="0"/>
                <w:sz w:val="24"/>
                <w:szCs w:val="24"/>
              </w:rPr>
              <w:t>9</w:t>
            </w:r>
            <w:r w:rsidRPr="00687B52">
              <w:rPr>
                <w:rFonts w:hint="eastAsia"/>
                <w:color w:val="000000" w:themeColor="text1"/>
                <w:kern w:val="0"/>
                <w:sz w:val="24"/>
                <w:szCs w:val="24"/>
              </w:rPr>
              <w:t>度及以上的地区。</w:t>
            </w:r>
          </w:p>
        </w:tc>
        <w:tc>
          <w:tcPr>
            <w:tcW w:w="1058" w:type="pct"/>
            <w:vAlign w:val="center"/>
          </w:tcPr>
          <w:p w:rsidR="003E1D2A" w:rsidRPr="00687B52" w:rsidRDefault="003E1D2A" w:rsidP="003E1D2A">
            <w:pPr>
              <w:widowControl/>
              <w:spacing w:before="80" w:line="220" w:lineRule="atLeast"/>
              <w:jc w:val="left"/>
              <w:rPr>
                <w:color w:val="000000" w:themeColor="text1"/>
                <w:kern w:val="0"/>
                <w:sz w:val="24"/>
                <w:szCs w:val="24"/>
              </w:rPr>
            </w:pPr>
            <w:r w:rsidRPr="00687B52">
              <w:rPr>
                <w:rFonts w:hint="eastAsia"/>
                <w:color w:val="000000" w:themeColor="text1"/>
                <w:kern w:val="0"/>
                <w:sz w:val="24"/>
                <w:szCs w:val="24"/>
              </w:rPr>
              <w:t>《石油库设计规范》</w:t>
            </w:r>
            <w:r w:rsidRPr="00687B52">
              <w:rPr>
                <w:rFonts w:hint="eastAsia"/>
                <w:color w:val="000000" w:themeColor="text1"/>
                <w:kern w:val="0"/>
                <w:sz w:val="24"/>
                <w:szCs w:val="24"/>
              </w:rPr>
              <w:t>GB50074-2014</w:t>
            </w:r>
            <w:r w:rsidRPr="00687B52">
              <w:rPr>
                <w:rFonts w:hint="eastAsia"/>
                <w:color w:val="000000" w:themeColor="text1"/>
                <w:kern w:val="0"/>
                <w:sz w:val="24"/>
                <w:szCs w:val="24"/>
              </w:rPr>
              <w:t>第</w:t>
            </w:r>
            <w:r w:rsidRPr="00687B52">
              <w:rPr>
                <w:rFonts w:hint="eastAsia"/>
                <w:color w:val="000000" w:themeColor="text1"/>
                <w:kern w:val="0"/>
                <w:sz w:val="24"/>
                <w:szCs w:val="24"/>
              </w:rPr>
              <w:t>4.0.4</w:t>
            </w:r>
            <w:r w:rsidRPr="00687B52">
              <w:rPr>
                <w:rFonts w:hint="eastAsia"/>
                <w:color w:val="000000" w:themeColor="text1"/>
                <w:kern w:val="0"/>
                <w:sz w:val="24"/>
                <w:szCs w:val="24"/>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color w:val="000000" w:themeColor="text1"/>
              </w:rPr>
            </w:pPr>
            <w:r w:rsidRPr="00687B52">
              <w:rPr>
                <w:rFonts w:hint="eastAsia"/>
                <w:color w:val="000000" w:themeColor="text1"/>
              </w:rPr>
              <w:t>1.</w:t>
            </w:r>
            <w:r w:rsidR="00802A34" w:rsidRPr="00687B52">
              <w:rPr>
                <w:rFonts w:hint="eastAsia"/>
                <w:color w:val="000000" w:themeColor="text1"/>
              </w:rPr>
              <w:t>3</w:t>
            </w:r>
          </w:p>
        </w:tc>
        <w:tc>
          <w:tcPr>
            <w:tcW w:w="2331" w:type="pct"/>
            <w:vAlign w:val="center"/>
          </w:tcPr>
          <w:p w:rsidR="003E1D2A" w:rsidRPr="00687B52" w:rsidRDefault="003E1D2A" w:rsidP="003E1D2A">
            <w:pPr>
              <w:widowControl/>
              <w:spacing w:before="80" w:line="220" w:lineRule="atLeast"/>
              <w:jc w:val="left"/>
              <w:rPr>
                <w:color w:val="000000" w:themeColor="text1"/>
                <w:kern w:val="0"/>
                <w:sz w:val="24"/>
                <w:szCs w:val="24"/>
              </w:rPr>
            </w:pPr>
            <w:r w:rsidRPr="00687B52">
              <w:rPr>
                <w:rFonts w:hint="eastAsia"/>
                <w:color w:val="000000" w:themeColor="text1"/>
                <w:kern w:val="0"/>
                <w:sz w:val="24"/>
                <w:szCs w:val="24"/>
              </w:rPr>
              <w:t>石油库应选在不受洪水、潮水或内涝的地带，当不可避免时，应采取可靠的防洪、排洪措施。</w:t>
            </w:r>
          </w:p>
        </w:tc>
        <w:tc>
          <w:tcPr>
            <w:tcW w:w="1058" w:type="pct"/>
            <w:vAlign w:val="center"/>
          </w:tcPr>
          <w:p w:rsidR="003E1D2A" w:rsidRPr="00687B52" w:rsidRDefault="003E1D2A" w:rsidP="003E1D2A">
            <w:pPr>
              <w:widowControl/>
              <w:spacing w:before="80" w:line="220" w:lineRule="atLeast"/>
              <w:jc w:val="left"/>
              <w:rPr>
                <w:color w:val="000000" w:themeColor="text1"/>
                <w:kern w:val="0"/>
                <w:sz w:val="24"/>
                <w:szCs w:val="24"/>
              </w:rPr>
            </w:pPr>
            <w:r w:rsidRPr="00687B52">
              <w:rPr>
                <w:rFonts w:hint="eastAsia"/>
                <w:color w:val="000000" w:themeColor="text1"/>
                <w:kern w:val="0"/>
                <w:sz w:val="24"/>
                <w:szCs w:val="24"/>
              </w:rPr>
              <w:t>《石油库设计规范》</w:t>
            </w:r>
            <w:r w:rsidRPr="00687B52">
              <w:rPr>
                <w:rFonts w:hint="eastAsia"/>
                <w:color w:val="000000" w:themeColor="text1"/>
                <w:kern w:val="0"/>
                <w:sz w:val="24"/>
                <w:szCs w:val="24"/>
              </w:rPr>
              <w:t>GB50074-2014</w:t>
            </w:r>
            <w:r w:rsidRPr="00687B52">
              <w:rPr>
                <w:color w:val="000000" w:themeColor="text1"/>
                <w:kern w:val="0"/>
                <w:sz w:val="24"/>
                <w:szCs w:val="24"/>
              </w:rPr>
              <w:t>第</w:t>
            </w:r>
            <w:r w:rsidRPr="00687B52">
              <w:rPr>
                <w:rFonts w:hint="eastAsia"/>
                <w:color w:val="000000" w:themeColor="text1"/>
                <w:kern w:val="0"/>
                <w:sz w:val="24"/>
                <w:szCs w:val="24"/>
              </w:rPr>
              <w:t>4.0.7</w:t>
            </w:r>
            <w:r w:rsidRPr="00687B52">
              <w:rPr>
                <w:color w:val="000000" w:themeColor="text1"/>
                <w:kern w:val="0"/>
                <w:sz w:val="24"/>
                <w:szCs w:val="24"/>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color w:val="000000" w:themeColor="text1"/>
              </w:rPr>
            </w:pPr>
            <w:r w:rsidRPr="00687B52">
              <w:rPr>
                <w:rFonts w:hint="eastAsia"/>
                <w:color w:val="000000" w:themeColor="text1"/>
              </w:rPr>
              <w:t>1.</w:t>
            </w:r>
            <w:r w:rsidR="00802A34" w:rsidRPr="00687B52">
              <w:rPr>
                <w:rFonts w:hint="eastAsia"/>
                <w:color w:val="000000" w:themeColor="text1"/>
              </w:rPr>
              <w:t>4</w:t>
            </w:r>
          </w:p>
        </w:tc>
        <w:tc>
          <w:tcPr>
            <w:tcW w:w="2331" w:type="pct"/>
            <w:vAlign w:val="center"/>
          </w:tcPr>
          <w:p w:rsidR="003E1D2A" w:rsidRPr="00687B52" w:rsidRDefault="003E1D2A" w:rsidP="003E1D2A">
            <w:pPr>
              <w:pStyle w:val="afd"/>
              <w:jc w:val="left"/>
              <w:rPr>
                <w:rFonts w:asciiTheme="minorEastAsia" w:eastAsiaTheme="minorEastAsia" w:hAnsiTheme="minorEastAsia"/>
                <w:b w:val="0"/>
                <w:color w:val="000000" w:themeColor="text1"/>
                <w:szCs w:val="24"/>
              </w:rPr>
            </w:pPr>
            <w:bookmarkStart w:id="51" w:name="_Toc492545095"/>
            <w:bookmarkStart w:id="52" w:name="_Toc492562322"/>
            <w:bookmarkStart w:id="53" w:name="_Toc492563458"/>
            <w:bookmarkStart w:id="54" w:name="_Toc492563791"/>
            <w:bookmarkStart w:id="55" w:name="_Toc492563975"/>
            <w:bookmarkStart w:id="56" w:name="_Toc492564964"/>
            <w:bookmarkStart w:id="57" w:name="_Toc492644878"/>
            <w:bookmarkStart w:id="58" w:name="_Toc492647590"/>
            <w:bookmarkStart w:id="59" w:name="_Toc493856949"/>
            <w:bookmarkStart w:id="60" w:name="_Toc493857059"/>
            <w:r w:rsidRPr="00687B52">
              <w:rPr>
                <w:rFonts w:eastAsia="宋体" w:hint="eastAsia"/>
                <w:b w:val="0"/>
                <w:bCs/>
                <w:color w:val="000000" w:themeColor="text1"/>
                <w:szCs w:val="21"/>
              </w:rPr>
              <w:t>石油库与库外居住区、公共建筑物、工矿企业、交通线等的安全距离，不得小于表</w:t>
            </w:r>
            <w:r w:rsidRPr="00687B52">
              <w:rPr>
                <w:rFonts w:eastAsia="宋体" w:hint="eastAsia"/>
                <w:b w:val="0"/>
                <w:bCs/>
                <w:color w:val="000000" w:themeColor="text1"/>
                <w:szCs w:val="21"/>
              </w:rPr>
              <w:t>4.0.10</w:t>
            </w:r>
            <w:r w:rsidRPr="00687B52">
              <w:rPr>
                <w:rFonts w:eastAsia="宋体" w:hint="eastAsia"/>
                <w:b w:val="0"/>
                <w:bCs/>
                <w:color w:val="000000" w:themeColor="text1"/>
                <w:szCs w:val="21"/>
              </w:rPr>
              <w:t>的规定</w:t>
            </w:r>
            <w:r w:rsidRPr="00687B52">
              <w:rPr>
                <w:rFonts w:eastAsia="宋体" w:hint="eastAsia"/>
                <w:b w:val="0"/>
                <w:color w:val="000000" w:themeColor="text1"/>
                <w:szCs w:val="21"/>
              </w:rPr>
              <w:t>。</w:t>
            </w:r>
            <w:bookmarkEnd w:id="51"/>
            <w:bookmarkEnd w:id="52"/>
            <w:bookmarkEnd w:id="53"/>
            <w:bookmarkEnd w:id="54"/>
            <w:bookmarkEnd w:id="55"/>
            <w:bookmarkEnd w:id="56"/>
            <w:bookmarkEnd w:id="57"/>
            <w:bookmarkEnd w:id="58"/>
            <w:bookmarkEnd w:id="59"/>
            <w:bookmarkEnd w:id="60"/>
          </w:p>
        </w:tc>
        <w:tc>
          <w:tcPr>
            <w:tcW w:w="1058" w:type="pct"/>
            <w:vAlign w:val="center"/>
          </w:tcPr>
          <w:p w:rsidR="003E1D2A" w:rsidRPr="00687B52" w:rsidRDefault="003E1D2A" w:rsidP="003E1D2A">
            <w:pPr>
              <w:pStyle w:val="a7"/>
              <w:jc w:val="left"/>
              <w:rPr>
                <w:rFonts w:asciiTheme="minorEastAsia" w:eastAsiaTheme="minorEastAsia" w:hAnsiTheme="minorEastAsia" w:cs="宋体"/>
                <w:bCs/>
                <w:color w:val="000000" w:themeColor="text1"/>
                <w:kern w:val="0"/>
                <w:sz w:val="22"/>
                <w:szCs w:val="24"/>
              </w:rPr>
            </w:pPr>
            <w:r w:rsidRPr="00687B52">
              <w:rPr>
                <w:rFonts w:asciiTheme="minorEastAsia" w:eastAsiaTheme="minorEastAsia" w:hAnsiTheme="minorEastAsia" w:cs="宋体" w:hint="eastAsia"/>
                <w:bCs/>
                <w:color w:val="000000" w:themeColor="text1"/>
                <w:kern w:val="0"/>
                <w:sz w:val="22"/>
                <w:szCs w:val="24"/>
              </w:rPr>
              <w:t>《石油库设计规范》GB50074-2014第4.0.10条</w:t>
            </w:r>
          </w:p>
        </w:tc>
        <w:tc>
          <w:tcPr>
            <w:tcW w:w="1273" w:type="pct"/>
            <w:vAlign w:val="center"/>
          </w:tcPr>
          <w:p w:rsidR="003E1D2A" w:rsidRPr="00687B52" w:rsidRDefault="003E1D2A" w:rsidP="003E1D2A">
            <w:pPr>
              <w:pStyle w:val="a7"/>
              <w:jc w:val="both"/>
              <w:rPr>
                <w:rFonts w:asciiTheme="minorEastAsia" w:eastAsiaTheme="minorEastAsia" w:hAnsiTheme="minorEastAsia"/>
                <w:color w:val="000000" w:themeColor="text1"/>
                <w:szCs w:val="24"/>
              </w:rPr>
            </w:pPr>
          </w:p>
        </w:tc>
      </w:tr>
      <w:tr w:rsidR="003E1D2A" w:rsidRPr="00687B52" w:rsidTr="007F37C0">
        <w:trPr>
          <w:jc w:val="center"/>
        </w:trPr>
        <w:tc>
          <w:tcPr>
            <w:tcW w:w="338" w:type="pct"/>
            <w:vAlign w:val="center"/>
          </w:tcPr>
          <w:p w:rsidR="003E1D2A" w:rsidRPr="00687B52" w:rsidRDefault="003E1D2A" w:rsidP="00802A34">
            <w:pPr>
              <w:pStyle w:val="a7"/>
              <w:rPr>
                <w:color w:val="000000" w:themeColor="text1"/>
              </w:rPr>
            </w:pPr>
            <w:r w:rsidRPr="00687B52">
              <w:rPr>
                <w:rFonts w:hint="eastAsia"/>
                <w:color w:val="000000" w:themeColor="text1"/>
              </w:rPr>
              <w:t>1.</w:t>
            </w:r>
            <w:r w:rsidR="00802A34" w:rsidRPr="00687B52">
              <w:rPr>
                <w:rFonts w:hint="eastAsia"/>
                <w:color w:val="000000" w:themeColor="text1"/>
              </w:rPr>
              <w:t>5</w:t>
            </w:r>
          </w:p>
        </w:tc>
        <w:tc>
          <w:tcPr>
            <w:tcW w:w="2331" w:type="pct"/>
            <w:vAlign w:val="center"/>
          </w:tcPr>
          <w:p w:rsidR="003E1D2A" w:rsidRPr="00687B52" w:rsidRDefault="003E1D2A" w:rsidP="00802A34">
            <w:pPr>
              <w:pStyle w:val="af8"/>
              <w:spacing w:before="0" w:beforeAutospacing="0" w:after="0" w:afterAutospacing="0"/>
              <w:rPr>
                <w:rFonts w:asciiTheme="minorEastAsia" w:hAnsiTheme="minorEastAsia"/>
                <w:color w:val="000000" w:themeColor="text1"/>
              </w:rPr>
            </w:pPr>
            <w:r w:rsidRPr="00687B52">
              <w:rPr>
                <w:rFonts w:asciiTheme="minorEastAsia" w:hAnsiTheme="minorEastAsia" w:hint="eastAsia"/>
                <w:bCs/>
                <w:color w:val="000000" w:themeColor="text1"/>
              </w:rPr>
              <w:t>石油库的储罐区、水运装卸码头与架空电力线路（通信发射塔）、架空电力线路的安全距离，不应小于1.5倍杆（塔）高；石</w:t>
            </w:r>
            <w:r w:rsidR="00802A34" w:rsidRPr="00687B52">
              <w:rPr>
                <w:rFonts w:asciiTheme="minorEastAsia" w:hAnsiTheme="minorEastAsia" w:hint="eastAsia"/>
                <w:bCs/>
                <w:color w:val="000000" w:themeColor="text1"/>
              </w:rPr>
              <w:t>油</w:t>
            </w:r>
            <w:r w:rsidRPr="00687B52">
              <w:rPr>
                <w:rFonts w:asciiTheme="minorEastAsia" w:hAnsiTheme="minorEastAsia" w:hint="eastAsia"/>
                <w:bCs/>
                <w:color w:val="000000" w:themeColor="text1"/>
              </w:rPr>
              <w:t>库的铁路罐车和汽车罐装卸设施、其他易燃可燃液体设施与架空通信线路（或通信发射塔）、架空电力线路的安全距离，不应小于1.0倍杆（塔）高；以上各设施与电压不小于35kv的架空电力线路的安全距离不应小于30m。</w:t>
            </w:r>
          </w:p>
        </w:tc>
        <w:tc>
          <w:tcPr>
            <w:tcW w:w="1058" w:type="pct"/>
            <w:vAlign w:val="center"/>
          </w:tcPr>
          <w:p w:rsidR="003E1D2A" w:rsidRPr="00687B52" w:rsidRDefault="003E1D2A" w:rsidP="003E1D2A">
            <w:pPr>
              <w:pStyle w:val="a7"/>
              <w:rPr>
                <w:rFonts w:asciiTheme="minorEastAsia" w:eastAsiaTheme="minorEastAsia" w:hAnsiTheme="minorEastAsia" w:cs="宋体"/>
                <w:bCs/>
                <w:color w:val="000000" w:themeColor="text1"/>
                <w:kern w:val="0"/>
                <w:sz w:val="22"/>
                <w:szCs w:val="24"/>
              </w:rPr>
            </w:pPr>
            <w:r w:rsidRPr="00687B52">
              <w:rPr>
                <w:rFonts w:asciiTheme="minorEastAsia" w:eastAsiaTheme="minorEastAsia" w:hAnsiTheme="minorEastAsia" w:cs="宋体" w:hint="eastAsia"/>
                <w:bCs/>
                <w:color w:val="000000" w:themeColor="text1"/>
                <w:kern w:val="0"/>
                <w:sz w:val="22"/>
                <w:szCs w:val="24"/>
              </w:rPr>
              <w:t>《石油库设计规范》GB50074-2014第4.0.11条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color w:val="000000" w:themeColor="text1"/>
              </w:rPr>
            </w:pPr>
            <w:r w:rsidRPr="00687B52">
              <w:rPr>
                <w:rFonts w:hint="eastAsia"/>
                <w:color w:val="000000" w:themeColor="text1"/>
              </w:rPr>
              <w:t>1.</w:t>
            </w:r>
            <w:r w:rsidR="00802A34" w:rsidRPr="00687B52">
              <w:rPr>
                <w:rFonts w:hint="eastAsia"/>
                <w:color w:val="000000" w:themeColor="text1"/>
              </w:rPr>
              <w:t>6</w:t>
            </w:r>
          </w:p>
        </w:tc>
        <w:tc>
          <w:tcPr>
            <w:tcW w:w="2331" w:type="pct"/>
            <w:vAlign w:val="center"/>
          </w:tcPr>
          <w:p w:rsidR="003E1D2A" w:rsidRPr="00687B52" w:rsidRDefault="003E1D2A" w:rsidP="003E1D2A">
            <w:pPr>
              <w:pStyle w:val="af8"/>
              <w:spacing w:before="0" w:beforeAutospacing="0" w:after="0" w:afterAutospacing="0"/>
              <w:rPr>
                <w:rFonts w:asciiTheme="minorEastAsia" w:hAnsiTheme="minorEastAsia" w:cs="Arial"/>
                <w:color w:val="000000" w:themeColor="text1"/>
                <w:kern w:val="2"/>
              </w:rPr>
            </w:pPr>
            <w:r w:rsidRPr="00687B52">
              <w:rPr>
                <w:rFonts w:asciiTheme="minorEastAsia" w:hAnsiTheme="minorEastAsia" w:cs="Arial" w:hint="eastAsia"/>
                <w:bCs/>
                <w:color w:val="000000" w:themeColor="text1"/>
                <w:kern w:val="2"/>
              </w:rPr>
              <w:t>石油库的围墙与爆破作业场地（如采石场）的安全距离不应小于300m。</w:t>
            </w:r>
          </w:p>
        </w:tc>
        <w:tc>
          <w:tcPr>
            <w:tcW w:w="1058" w:type="pct"/>
            <w:vAlign w:val="center"/>
          </w:tcPr>
          <w:p w:rsidR="003E1D2A" w:rsidRPr="00687B52" w:rsidRDefault="003E1D2A" w:rsidP="003E1D2A">
            <w:pPr>
              <w:pStyle w:val="a7"/>
              <w:rPr>
                <w:rFonts w:asciiTheme="minorEastAsia" w:eastAsiaTheme="minorEastAsia" w:hAnsiTheme="minorEastAsia" w:cs="宋体"/>
                <w:bCs/>
                <w:color w:val="000000" w:themeColor="text1"/>
                <w:kern w:val="0"/>
                <w:sz w:val="22"/>
                <w:szCs w:val="24"/>
              </w:rPr>
            </w:pPr>
            <w:r w:rsidRPr="00687B52">
              <w:rPr>
                <w:rFonts w:asciiTheme="minorEastAsia" w:eastAsiaTheme="minorEastAsia" w:hAnsiTheme="minorEastAsia" w:cs="宋体" w:hint="eastAsia"/>
                <w:bCs/>
                <w:color w:val="000000" w:themeColor="text1"/>
                <w:kern w:val="0"/>
                <w:sz w:val="22"/>
                <w:szCs w:val="24"/>
              </w:rPr>
              <w:t>《石油库设计规范》GB50074-2014第4.0.12条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color w:val="000000" w:themeColor="text1"/>
              </w:rPr>
            </w:pPr>
            <w:r w:rsidRPr="00687B52">
              <w:rPr>
                <w:rFonts w:hint="eastAsia"/>
                <w:color w:val="000000" w:themeColor="text1"/>
              </w:rPr>
              <w:t>1.</w:t>
            </w:r>
            <w:r w:rsidR="00802A34" w:rsidRPr="00687B52">
              <w:rPr>
                <w:rFonts w:hint="eastAsia"/>
                <w:color w:val="000000" w:themeColor="text1"/>
              </w:rPr>
              <w:t>7</w:t>
            </w:r>
          </w:p>
        </w:tc>
        <w:tc>
          <w:tcPr>
            <w:tcW w:w="2331" w:type="pct"/>
            <w:vAlign w:val="center"/>
          </w:tcPr>
          <w:p w:rsidR="003E1D2A" w:rsidRPr="00687B52" w:rsidRDefault="003E1D2A" w:rsidP="003E1D2A">
            <w:pPr>
              <w:pStyle w:val="af8"/>
              <w:spacing w:before="0" w:beforeAutospacing="0" w:after="0" w:afterAutospacing="0"/>
              <w:rPr>
                <w:rFonts w:asciiTheme="minorEastAsia" w:hAnsiTheme="minorEastAsia" w:cs="Arial"/>
                <w:color w:val="000000" w:themeColor="text1"/>
                <w:kern w:val="2"/>
              </w:rPr>
            </w:pPr>
            <w:r w:rsidRPr="00687B52">
              <w:rPr>
                <w:rFonts w:asciiTheme="minorEastAsia" w:hAnsiTheme="minorEastAsia" w:cs="Arial" w:hint="eastAsia"/>
                <w:color w:val="000000" w:themeColor="text1"/>
                <w:kern w:val="2"/>
              </w:rPr>
              <w:t>非石油库用的库外埋地电缆与石油库围墙的距离不应小于3m。</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color w:val="000000" w:themeColor="text1"/>
              </w:rPr>
              <w:t>第</w:t>
            </w:r>
            <w:r w:rsidRPr="00687B52">
              <w:rPr>
                <w:rFonts w:hint="eastAsia"/>
                <w:color w:val="000000" w:themeColor="text1"/>
              </w:rPr>
              <w:t>4.0.13</w:t>
            </w:r>
            <w:r w:rsidRPr="00687B52">
              <w:rPr>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color w:val="000000" w:themeColor="text1"/>
              </w:rPr>
            </w:pPr>
            <w:r w:rsidRPr="00687B52">
              <w:rPr>
                <w:rFonts w:hint="eastAsia"/>
                <w:color w:val="000000" w:themeColor="text1"/>
              </w:rPr>
              <w:t>1.</w:t>
            </w:r>
            <w:r w:rsidR="00802A34" w:rsidRPr="00687B52">
              <w:rPr>
                <w:rFonts w:hint="eastAsia"/>
                <w:color w:val="000000" w:themeColor="text1"/>
              </w:rPr>
              <w:t>8</w:t>
            </w:r>
          </w:p>
        </w:tc>
        <w:tc>
          <w:tcPr>
            <w:tcW w:w="2331" w:type="pct"/>
            <w:vAlign w:val="center"/>
          </w:tcPr>
          <w:p w:rsidR="003E1D2A" w:rsidRPr="00687B52" w:rsidRDefault="003E1D2A" w:rsidP="003E1D2A">
            <w:pPr>
              <w:pStyle w:val="af8"/>
              <w:spacing w:before="0" w:beforeAutospacing="0" w:after="0" w:afterAutospacing="0"/>
              <w:rPr>
                <w:rFonts w:asciiTheme="minorEastAsia" w:hAnsiTheme="minorEastAsia" w:cs="Arial"/>
                <w:bCs/>
                <w:color w:val="000000" w:themeColor="text1"/>
                <w:kern w:val="2"/>
              </w:rPr>
            </w:pPr>
            <w:r w:rsidRPr="00687B52">
              <w:rPr>
                <w:rFonts w:asciiTheme="minorEastAsia" w:hAnsiTheme="minorEastAsia" w:cs="Arial" w:hint="eastAsia"/>
                <w:bCs/>
                <w:color w:val="000000" w:themeColor="text1"/>
                <w:kern w:val="2"/>
              </w:rPr>
              <w:t>相邻两个石油库之间的安全距离应符合下列规定：1.当两个石油库的相邻储罐中较大罐直径大于53m时，两个石油库的相邻储罐之间的安全距离不应小于其中相邻储罐中较大罐直径，且不应小于80m。2.当两个石油库的相邻储罐直径小于或等于53m时，两个石油库的任意两个储罐之间的安全距离不应小于其中较大罐直径的1.5倍，对覆土罐且不应小于60m，对储存其他易燃和可燃液体的储罐且不应小于30m。3.两个石油库除储罐之外的建（构）筑物、设施之间的安全距离应按本规范5.1.3的规定增加50%。</w:t>
            </w:r>
          </w:p>
        </w:tc>
        <w:tc>
          <w:tcPr>
            <w:tcW w:w="1058" w:type="pct"/>
            <w:vAlign w:val="center"/>
          </w:tcPr>
          <w:p w:rsidR="003E1D2A" w:rsidRPr="00687B52" w:rsidRDefault="003E1D2A" w:rsidP="003E1D2A">
            <w:pPr>
              <w:pStyle w:val="a7"/>
              <w:rPr>
                <w:color w:val="000000" w:themeColor="text1"/>
              </w:rPr>
            </w:pPr>
            <w:r w:rsidRPr="00687B52">
              <w:rPr>
                <w:rFonts w:asciiTheme="minorEastAsia" w:eastAsiaTheme="minorEastAsia" w:hAnsiTheme="minorEastAsia" w:hint="eastAsia"/>
                <w:bCs/>
                <w:color w:val="000000" w:themeColor="text1"/>
                <w:szCs w:val="24"/>
              </w:rPr>
              <w:t>《石油库设计规范》GB50074-2014第4.0.15条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rFonts w:asciiTheme="minorEastAsia" w:eastAsiaTheme="minorEastAsia" w:hAnsiTheme="minorEastAsia"/>
                <w:color w:val="000000" w:themeColor="text1"/>
                <w:szCs w:val="24"/>
              </w:rPr>
            </w:pPr>
            <w:r w:rsidRPr="00687B52">
              <w:rPr>
                <w:rFonts w:hint="eastAsia"/>
                <w:color w:val="000000" w:themeColor="text1"/>
              </w:rPr>
              <w:t>1.</w:t>
            </w:r>
            <w:r w:rsidR="00802A34" w:rsidRPr="00687B52">
              <w:rPr>
                <w:rFonts w:hint="eastAsia"/>
                <w:color w:val="000000" w:themeColor="text1"/>
              </w:rPr>
              <w:t>9</w:t>
            </w:r>
          </w:p>
        </w:tc>
        <w:tc>
          <w:tcPr>
            <w:tcW w:w="2331" w:type="pct"/>
            <w:vAlign w:val="center"/>
          </w:tcPr>
          <w:p w:rsidR="003E1D2A" w:rsidRPr="00687B52" w:rsidRDefault="003E1D2A" w:rsidP="003E1D2A">
            <w:pPr>
              <w:pStyle w:val="af8"/>
              <w:spacing w:before="0" w:beforeAutospacing="0" w:after="0" w:afterAutospacing="0"/>
              <w:rPr>
                <w:rFonts w:asciiTheme="minorEastAsia" w:hAnsiTheme="minorEastAsia" w:cs="Arial"/>
                <w:bCs/>
                <w:color w:val="000000" w:themeColor="text1"/>
                <w:kern w:val="2"/>
              </w:rPr>
            </w:pPr>
            <w:r w:rsidRPr="00687B52">
              <w:rPr>
                <w:rFonts w:asciiTheme="minorEastAsia" w:hAnsiTheme="minorEastAsia" w:cs="Arial" w:hint="eastAsia"/>
                <w:bCs/>
                <w:color w:val="000000" w:themeColor="text1"/>
                <w:kern w:val="2"/>
              </w:rPr>
              <w:t>企业附属石油库与本企业建（构）筑物、交通线等的安全距离，不得小于表4.0.16的规定。</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color w:val="000000" w:themeColor="text1"/>
              </w:rPr>
              <w:t>第</w:t>
            </w:r>
            <w:r w:rsidRPr="00687B52">
              <w:rPr>
                <w:rFonts w:hint="eastAsia"/>
                <w:color w:val="000000" w:themeColor="text1"/>
              </w:rPr>
              <w:t>4.0.16</w:t>
            </w:r>
            <w:r w:rsidRPr="00687B52">
              <w:rPr>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w:t>
            </w:r>
            <w:r w:rsidR="00802A34" w:rsidRPr="00687B52">
              <w:rPr>
                <w:rFonts w:asciiTheme="minorEastAsia" w:eastAsiaTheme="minorEastAsia" w:hAnsiTheme="minorEastAsia" w:hint="eastAsia"/>
                <w:color w:val="000000" w:themeColor="text1"/>
                <w:szCs w:val="24"/>
              </w:rPr>
              <w:t>0</w:t>
            </w:r>
          </w:p>
        </w:tc>
        <w:tc>
          <w:tcPr>
            <w:tcW w:w="2331" w:type="pct"/>
            <w:vAlign w:val="center"/>
          </w:tcPr>
          <w:p w:rsidR="003E1D2A" w:rsidRPr="00687B52" w:rsidRDefault="003E1D2A" w:rsidP="003E1D2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石油库内建（构）筑物、设施之间的防火距离（储罐与储罐之间的距离除外），不应小于表5.1.3的规定。</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5.1.3</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w:t>
            </w:r>
            <w:r w:rsidR="00802A34" w:rsidRPr="00687B52">
              <w:rPr>
                <w:rFonts w:asciiTheme="minorEastAsia" w:eastAsiaTheme="minorEastAsia" w:hAnsiTheme="minorEastAsia" w:hint="eastAsia"/>
                <w:color w:val="000000" w:themeColor="text1"/>
                <w:szCs w:val="24"/>
              </w:rPr>
              <w:t>1</w:t>
            </w:r>
          </w:p>
        </w:tc>
        <w:tc>
          <w:tcPr>
            <w:tcW w:w="2331" w:type="pct"/>
            <w:vAlign w:val="center"/>
          </w:tcPr>
          <w:p w:rsidR="003E1D2A" w:rsidRPr="00687B52" w:rsidRDefault="003E1D2A" w:rsidP="003E1D2A">
            <w:pPr>
              <w:pStyle w:val="a7"/>
              <w:jc w:val="left"/>
              <w:rPr>
                <w:rFonts w:asciiTheme="minorEastAsia" w:hAnsiTheme="minorEastAsia"/>
                <w:color w:val="000000" w:themeColor="text1"/>
                <w:szCs w:val="24"/>
              </w:rPr>
            </w:pPr>
            <w:r w:rsidRPr="00687B52">
              <w:rPr>
                <w:rFonts w:hint="eastAsia"/>
                <w:color w:val="000000" w:themeColor="text1"/>
              </w:rPr>
              <w:t>储罐应集中布置，当储罐区地面高于邻近居民点、工业企业或铁路线时，应加强防止事故状态下库内易燃和可燃液体外流的安全防护措施。</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5.1.4</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w:t>
            </w:r>
            <w:r w:rsidR="00802A34" w:rsidRPr="00687B52">
              <w:rPr>
                <w:rFonts w:asciiTheme="minorEastAsia" w:eastAsiaTheme="minorEastAsia" w:hAnsiTheme="minorEastAsia" w:hint="eastAsia"/>
                <w:color w:val="000000" w:themeColor="text1"/>
                <w:szCs w:val="24"/>
              </w:rPr>
              <w:t>2</w:t>
            </w:r>
          </w:p>
        </w:tc>
        <w:tc>
          <w:tcPr>
            <w:tcW w:w="2331" w:type="pct"/>
            <w:vAlign w:val="center"/>
          </w:tcPr>
          <w:p w:rsidR="003E1D2A" w:rsidRPr="00687B52" w:rsidRDefault="003E1D2A" w:rsidP="003E1D2A">
            <w:pPr>
              <w:pStyle w:val="a7"/>
              <w:jc w:val="left"/>
              <w:rPr>
                <w:rFonts w:asciiTheme="minorEastAsia" w:hAnsiTheme="minorEastAsia"/>
                <w:color w:val="000000" w:themeColor="text1"/>
                <w:szCs w:val="24"/>
              </w:rPr>
            </w:pPr>
            <w:r w:rsidRPr="00687B52">
              <w:rPr>
                <w:rFonts w:hint="eastAsia"/>
                <w:color w:val="000000" w:themeColor="text1"/>
              </w:rPr>
              <w:t>石油库的储罐应地上露天设置。</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5.1.5</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w:t>
            </w:r>
            <w:r w:rsidR="00802A34" w:rsidRPr="00687B52">
              <w:rPr>
                <w:rFonts w:asciiTheme="minorEastAsia" w:eastAsiaTheme="minorEastAsia" w:hAnsiTheme="minorEastAsia" w:hint="eastAsia"/>
                <w:color w:val="000000" w:themeColor="text1"/>
                <w:szCs w:val="24"/>
              </w:rPr>
              <w:t>3</w:t>
            </w:r>
          </w:p>
        </w:tc>
        <w:tc>
          <w:tcPr>
            <w:tcW w:w="2331" w:type="pct"/>
            <w:vAlign w:val="center"/>
          </w:tcPr>
          <w:p w:rsidR="003E1D2A" w:rsidRPr="00687B52" w:rsidRDefault="003E1D2A" w:rsidP="003E1D2A">
            <w:pPr>
              <w:pStyle w:val="af8"/>
              <w:spacing w:before="0" w:beforeAutospacing="0" w:after="0" w:afterAutospacing="0"/>
              <w:rPr>
                <w:rFonts w:asciiTheme="minorEastAsia" w:hAnsiTheme="minorEastAsia" w:cs="Arial"/>
                <w:color w:val="000000" w:themeColor="text1"/>
                <w:kern w:val="2"/>
              </w:rPr>
            </w:pPr>
            <w:r w:rsidRPr="00687B52">
              <w:rPr>
                <w:rFonts w:asciiTheme="minorEastAsia" w:hAnsiTheme="minorEastAsia" w:cs="Arial" w:hint="eastAsia"/>
                <w:bCs/>
                <w:color w:val="000000" w:themeColor="text1"/>
                <w:kern w:val="2"/>
              </w:rPr>
              <w:t>相邻储罐区储罐之间的防火距离，应符合下列规定：1.地上储罐区与覆土立式油罐相邻储罐之间的防火距离不应小于60m；2.储存</w:t>
            </w:r>
            <w:r w:rsidR="003912E3" w:rsidRPr="00687B52">
              <w:rPr>
                <w:rFonts w:asciiTheme="minorEastAsia" w:hAnsiTheme="minorEastAsia" w:cs="Arial" w:hint="eastAsia"/>
                <w:bCs/>
                <w:color w:val="000000" w:themeColor="text1"/>
                <w:kern w:val="2"/>
              </w:rPr>
              <w:fldChar w:fldCharType="begin"/>
            </w:r>
            <w:r w:rsidRPr="00687B52">
              <w:rPr>
                <w:rFonts w:asciiTheme="minorEastAsia" w:hAnsiTheme="minorEastAsia" w:cs="Arial" w:hint="eastAsia"/>
                <w:bCs/>
                <w:color w:val="000000" w:themeColor="text1"/>
                <w:kern w:val="2"/>
              </w:rPr>
              <w:instrText xml:space="preserve"> = 1 \* ROMAN \* MERGEFORMAT </w:instrText>
            </w:r>
            <w:r w:rsidR="003912E3" w:rsidRPr="00687B52">
              <w:rPr>
                <w:rFonts w:asciiTheme="minorEastAsia" w:hAnsiTheme="minorEastAsia" w:cs="Arial" w:hint="eastAsia"/>
                <w:bCs/>
                <w:color w:val="000000" w:themeColor="text1"/>
                <w:kern w:val="2"/>
              </w:rPr>
              <w:fldChar w:fldCharType="separate"/>
            </w:r>
            <w:r w:rsidRPr="00687B52">
              <w:rPr>
                <w:bCs/>
                <w:color w:val="000000" w:themeColor="text1"/>
              </w:rPr>
              <w:t>I</w:t>
            </w:r>
            <w:r w:rsidR="003912E3" w:rsidRPr="00687B52">
              <w:rPr>
                <w:rFonts w:asciiTheme="minorEastAsia" w:hAnsiTheme="minorEastAsia" w:cs="Arial" w:hint="eastAsia"/>
                <w:bCs/>
                <w:color w:val="000000" w:themeColor="text1"/>
                <w:kern w:val="2"/>
              </w:rPr>
              <w:fldChar w:fldCharType="end"/>
            </w:r>
            <w:r w:rsidRPr="00687B52">
              <w:rPr>
                <w:rFonts w:asciiTheme="minorEastAsia" w:hAnsiTheme="minorEastAsia" w:cs="Arial" w:hint="eastAsia"/>
                <w:bCs/>
                <w:color w:val="000000" w:themeColor="text1"/>
                <w:kern w:val="2"/>
              </w:rPr>
              <w:t>、</w:t>
            </w:r>
            <w:r w:rsidR="003912E3" w:rsidRPr="00687B52">
              <w:rPr>
                <w:rFonts w:asciiTheme="minorEastAsia" w:hAnsiTheme="minorEastAsia" w:cs="Arial" w:hint="eastAsia"/>
                <w:bCs/>
                <w:color w:val="000000" w:themeColor="text1"/>
                <w:kern w:val="2"/>
              </w:rPr>
              <w:fldChar w:fldCharType="begin"/>
            </w:r>
            <w:r w:rsidRPr="00687B52">
              <w:rPr>
                <w:rFonts w:asciiTheme="minorEastAsia" w:hAnsiTheme="minorEastAsia" w:cs="Arial" w:hint="eastAsia"/>
                <w:bCs/>
                <w:color w:val="000000" w:themeColor="text1"/>
                <w:kern w:val="2"/>
              </w:rPr>
              <w:instrText xml:space="preserve"> = 2 \* ROMAN \* MERGEFORMAT </w:instrText>
            </w:r>
            <w:r w:rsidR="003912E3" w:rsidRPr="00687B52">
              <w:rPr>
                <w:rFonts w:asciiTheme="minorEastAsia" w:hAnsiTheme="minorEastAsia" w:cs="Arial" w:hint="eastAsia"/>
                <w:bCs/>
                <w:color w:val="000000" w:themeColor="text1"/>
                <w:kern w:val="2"/>
              </w:rPr>
              <w:fldChar w:fldCharType="separate"/>
            </w:r>
            <w:r w:rsidRPr="00687B52">
              <w:rPr>
                <w:bCs/>
                <w:color w:val="000000" w:themeColor="text1"/>
              </w:rPr>
              <w:t>II</w:t>
            </w:r>
            <w:r w:rsidR="003912E3" w:rsidRPr="00687B52">
              <w:rPr>
                <w:rFonts w:asciiTheme="minorEastAsia" w:hAnsiTheme="minorEastAsia" w:cs="Arial" w:hint="eastAsia"/>
                <w:bCs/>
                <w:color w:val="000000" w:themeColor="text1"/>
                <w:kern w:val="2"/>
              </w:rPr>
              <w:fldChar w:fldCharType="end"/>
            </w:r>
            <w:r w:rsidRPr="00687B52">
              <w:rPr>
                <w:rFonts w:asciiTheme="minorEastAsia" w:hAnsiTheme="minorEastAsia" w:cs="Arial" w:hint="eastAsia"/>
                <w:bCs/>
                <w:color w:val="000000" w:themeColor="text1"/>
                <w:kern w:val="2"/>
              </w:rPr>
              <w:t>级毒性液体的储罐与其他储罐区相邻储罐之间的防火距离，不应小于相邻储罐中较大罐直径的1.5倍，且不应小于50m；3.其他易燃、可燃液体的储罐区相邻储罐之间的防火距离，不应小于相邻储罐中较大罐直径的1.0倍，且不应小于30m。</w:t>
            </w:r>
          </w:p>
        </w:tc>
        <w:tc>
          <w:tcPr>
            <w:tcW w:w="1058" w:type="pct"/>
            <w:vAlign w:val="center"/>
          </w:tcPr>
          <w:p w:rsidR="003E1D2A" w:rsidRPr="00687B52" w:rsidRDefault="003E1D2A" w:rsidP="003E1D2A">
            <w:pPr>
              <w:pStyle w:val="a7"/>
              <w:rPr>
                <w:color w:val="000000" w:themeColor="text1"/>
              </w:rPr>
            </w:pPr>
            <w:r w:rsidRPr="00687B52">
              <w:rPr>
                <w:rFonts w:asciiTheme="minorEastAsia" w:eastAsiaTheme="minorEastAsia" w:hAnsiTheme="minorEastAsia" w:hint="eastAsia"/>
                <w:bCs/>
                <w:color w:val="000000" w:themeColor="text1"/>
                <w:szCs w:val="24"/>
              </w:rPr>
              <w:t>《石油库设计规范》GB50074-2014第5.1.7条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w:t>
            </w:r>
            <w:r w:rsidR="00802A34" w:rsidRPr="00687B52">
              <w:rPr>
                <w:rFonts w:asciiTheme="minorEastAsia" w:eastAsiaTheme="minorEastAsia" w:hAnsiTheme="minorEastAsia" w:hint="eastAsia"/>
                <w:color w:val="000000" w:themeColor="text1"/>
                <w:szCs w:val="24"/>
              </w:rPr>
              <w:t>4</w:t>
            </w:r>
          </w:p>
        </w:tc>
        <w:tc>
          <w:tcPr>
            <w:tcW w:w="2331" w:type="pct"/>
            <w:vAlign w:val="center"/>
          </w:tcPr>
          <w:p w:rsidR="003E1D2A" w:rsidRPr="00687B52" w:rsidRDefault="003E1D2A" w:rsidP="003E1D2A">
            <w:pPr>
              <w:pStyle w:val="af8"/>
              <w:spacing w:before="0" w:beforeAutospacing="0" w:after="0" w:afterAutospacing="0"/>
              <w:rPr>
                <w:rFonts w:asciiTheme="minorEastAsia" w:hAnsiTheme="minorEastAsia" w:cs="Arial"/>
                <w:color w:val="000000" w:themeColor="text1"/>
                <w:kern w:val="2"/>
              </w:rPr>
            </w:pPr>
            <w:r w:rsidRPr="00687B52">
              <w:rPr>
                <w:rFonts w:asciiTheme="minorEastAsia" w:hAnsiTheme="minorEastAsia" w:cs="Arial" w:hint="eastAsia"/>
                <w:bCs/>
                <w:color w:val="000000" w:themeColor="text1"/>
                <w:kern w:val="2"/>
              </w:rPr>
              <w:t>同一个地上储罐区内，相邻罐组储罐之间的防火距离，应符合下列规定：1.储存甲B、乙类液体的固定顶储罐和浮顶采用易熔材料制作的内浮顶储罐与其他罐组相邻储罐之间的防火距离，不应小于相邻储罐中较大罐直径的1.0倍；2.外浮顶储罐、采用钢制浮顶的内浮顶储罐、储存丙类液体的固定顶储罐与其他罐组储罐之间的防火距离，不应小于相邻储罐中较大罐直径的0.8倍。</w:t>
            </w:r>
          </w:p>
        </w:tc>
        <w:tc>
          <w:tcPr>
            <w:tcW w:w="1058" w:type="pct"/>
            <w:vAlign w:val="center"/>
          </w:tcPr>
          <w:p w:rsidR="003E1D2A" w:rsidRPr="00687B52" w:rsidRDefault="003E1D2A" w:rsidP="003E1D2A">
            <w:pPr>
              <w:pStyle w:val="a7"/>
              <w:rPr>
                <w:color w:val="000000" w:themeColor="text1"/>
              </w:rPr>
            </w:pPr>
            <w:r w:rsidRPr="00687B52">
              <w:rPr>
                <w:rFonts w:asciiTheme="minorEastAsia" w:eastAsiaTheme="minorEastAsia" w:hAnsiTheme="minorEastAsia" w:hint="eastAsia"/>
                <w:bCs/>
                <w:color w:val="000000" w:themeColor="text1"/>
                <w:szCs w:val="24"/>
              </w:rPr>
              <w:t>《石油库设计规范》GB50074-2014第5.1.8条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w:t>
            </w:r>
            <w:r w:rsidR="00802A34" w:rsidRPr="00687B52">
              <w:rPr>
                <w:rFonts w:asciiTheme="minorEastAsia" w:eastAsiaTheme="minorEastAsia" w:hAnsiTheme="minorEastAsia" w:hint="eastAsia"/>
                <w:color w:val="000000" w:themeColor="text1"/>
                <w:szCs w:val="24"/>
              </w:rPr>
              <w:t>5</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储罐区易燃和可燃液体泵站的布置，应符合下列规定：</w:t>
            </w:r>
            <w:r w:rsidRPr="00687B52">
              <w:rPr>
                <w:rFonts w:hint="eastAsia"/>
                <w:color w:val="000000" w:themeColor="text1"/>
              </w:rPr>
              <w:t>1.</w:t>
            </w:r>
            <w:r w:rsidRPr="00687B52">
              <w:rPr>
                <w:rFonts w:hint="eastAsia"/>
                <w:color w:val="000000" w:themeColor="text1"/>
              </w:rPr>
              <w:t>甲、乙、丙</w:t>
            </w:r>
            <w:r w:rsidRPr="00687B52">
              <w:rPr>
                <w:rFonts w:hint="eastAsia"/>
                <w:color w:val="000000" w:themeColor="text1"/>
              </w:rPr>
              <w:t>A</w:t>
            </w:r>
            <w:r w:rsidRPr="00687B52">
              <w:rPr>
                <w:rFonts w:hint="eastAsia"/>
                <w:color w:val="000000" w:themeColor="text1"/>
              </w:rPr>
              <w:t>类液体泵站应布置在地上立式储罐的防火提外；</w:t>
            </w:r>
            <w:r w:rsidRPr="00687B52">
              <w:rPr>
                <w:rFonts w:hint="eastAsia"/>
                <w:color w:val="000000" w:themeColor="text1"/>
              </w:rPr>
              <w:t>2.</w:t>
            </w:r>
            <w:r w:rsidRPr="00687B52">
              <w:rPr>
                <w:rFonts w:hint="eastAsia"/>
                <w:color w:val="000000" w:themeColor="text1"/>
              </w:rPr>
              <w:t>丙</w:t>
            </w:r>
            <w:r w:rsidRPr="00687B52">
              <w:rPr>
                <w:rFonts w:hint="eastAsia"/>
                <w:color w:val="000000" w:themeColor="text1"/>
              </w:rPr>
              <w:t>B</w:t>
            </w:r>
            <w:r w:rsidRPr="00687B52">
              <w:rPr>
                <w:rFonts w:hint="eastAsia"/>
                <w:color w:val="000000" w:themeColor="text1"/>
              </w:rPr>
              <w:t>类液体泵、抽底油泵、卧式储罐输送泵和储罐油品检测用泵，可与储罐露天布置在同一防火堤内；</w:t>
            </w:r>
            <w:r w:rsidRPr="00687B52">
              <w:rPr>
                <w:rFonts w:hint="eastAsia"/>
                <w:color w:val="000000" w:themeColor="text1"/>
              </w:rPr>
              <w:t>3.</w:t>
            </w:r>
            <w:r w:rsidRPr="00687B52">
              <w:rPr>
                <w:rFonts w:hint="eastAsia"/>
                <w:color w:val="000000" w:themeColor="text1"/>
              </w:rPr>
              <w:t>当易燃和可燃液体泵站采用棚式或露天式时，其与储罐的间距可不受限制，与其他建（构）筑物或设施的间距，应以泵外援按本规范表</w:t>
            </w:r>
            <w:r w:rsidRPr="00687B52">
              <w:rPr>
                <w:rFonts w:hint="eastAsia"/>
                <w:color w:val="000000" w:themeColor="text1"/>
              </w:rPr>
              <w:t>5.1.3</w:t>
            </w:r>
            <w:r w:rsidRPr="00687B52">
              <w:rPr>
                <w:rFonts w:hint="eastAsia"/>
                <w:color w:val="000000" w:themeColor="text1"/>
              </w:rPr>
              <w:t>中易燃和可燃液体泵房与其他建（构）筑物、设施的间距确定。</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5.1.14</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w:t>
            </w:r>
            <w:r w:rsidR="00802A34" w:rsidRPr="00687B52">
              <w:rPr>
                <w:rFonts w:asciiTheme="minorEastAsia" w:eastAsiaTheme="minorEastAsia" w:hAnsiTheme="minorEastAsia" w:hint="eastAsia"/>
                <w:color w:val="000000" w:themeColor="text1"/>
                <w:szCs w:val="24"/>
              </w:rPr>
              <w:t>6</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与储罐区无关的管道、埋地输电线不得穿越防火堤。</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5.1.15</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w:t>
            </w:r>
            <w:r w:rsidR="00802A34" w:rsidRPr="00687B52">
              <w:rPr>
                <w:rFonts w:asciiTheme="minorEastAsia" w:eastAsiaTheme="minorEastAsia" w:hAnsiTheme="minorEastAsia" w:hint="eastAsia"/>
                <w:color w:val="000000" w:themeColor="text1"/>
                <w:szCs w:val="24"/>
              </w:rPr>
              <w:t>17</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石油库储罐区应设环形消防车道，位于山区或丘陵地带设置环形消防车道有困难的下列罐区或罐组，可设尽头式消防车道：</w:t>
            </w:r>
            <w:r w:rsidRPr="00687B52">
              <w:rPr>
                <w:rFonts w:hint="eastAsia"/>
                <w:color w:val="000000" w:themeColor="text1"/>
              </w:rPr>
              <w:t> </w:t>
            </w:r>
            <w:r w:rsidRPr="00687B52">
              <w:rPr>
                <w:rFonts w:hint="eastAsia"/>
                <w:color w:val="000000" w:themeColor="text1"/>
              </w:rPr>
              <w:t>1</w:t>
            </w:r>
            <w:r w:rsidRPr="00687B52">
              <w:rPr>
                <w:rFonts w:hint="eastAsia"/>
                <w:color w:val="000000" w:themeColor="text1"/>
              </w:rPr>
              <w:t> </w:t>
            </w:r>
            <w:r w:rsidRPr="00687B52">
              <w:rPr>
                <w:rFonts w:hint="eastAsia"/>
                <w:color w:val="000000" w:themeColor="text1"/>
              </w:rPr>
              <w:t>覆土油罐区；</w:t>
            </w:r>
            <w:r w:rsidRPr="00687B52">
              <w:rPr>
                <w:rFonts w:hint="eastAsia"/>
                <w:color w:val="000000" w:themeColor="text1"/>
              </w:rPr>
              <w:t> </w:t>
            </w:r>
            <w:r w:rsidRPr="00687B52">
              <w:rPr>
                <w:rFonts w:hint="eastAsia"/>
                <w:color w:val="000000" w:themeColor="text1"/>
              </w:rPr>
              <w:t>2</w:t>
            </w:r>
            <w:r w:rsidRPr="00687B52">
              <w:rPr>
                <w:rFonts w:hint="eastAsia"/>
                <w:color w:val="000000" w:themeColor="text1"/>
              </w:rPr>
              <w:t>储罐单排布置，且储罐单罐容量不大于</w:t>
            </w:r>
            <w:r w:rsidRPr="00687B52">
              <w:rPr>
                <w:rFonts w:hint="eastAsia"/>
                <w:color w:val="000000" w:themeColor="text1"/>
              </w:rPr>
              <w:t>5000m</w:t>
            </w:r>
            <w:r w:rsidRPr="00687B52">
              <w:rPr>
                <w:rFonts w:hint="eastAsia"/>
                <w:color w:val="000000" w:themeColor="text1"/>
                <w:vertAlign w:val="superscript"/>
              </w:rPr>
              <w:t>3</w:t>
            </w:r>
            <w:r w:rsidRPr="00687B52">
              <w:rPr>
                <w:rFonts w:hint="eastAsia"/>
                <w:color w:val="000000" w:themeColor="text1"/>
              </w:rPr>
              <w:t>的地上罐组；</w:t>
            </w:r>
            <w:r w:rsidRPr="00687B52">
              <w:rPr>
                <w:rFonts w:hint="eastAsia"/>
                <w:color w:val="000000" w:themeColor="text1"/>
              </w:rPr>
              <w:t> </w:t>
            </w:r>
            <w:r w:rsidRPr="00687B52">
              <w:rPr>
                <w:rFonts w:hint="eastAsia"/>
                <w:color w:val="000000" w:themeColor="text1"/>
              </w:rPr>
              <w:t>3</w:t>
            </w:r>
            <w:r w:rsidRPr="00687B52">
              <w:rPr>
                <w:rFonts w:hint="eastAsia"/>
                <w:color w:val="000000" w:themeColor="text1"/>
              </w:rPr>
              <w:t>四、五级石油库储罐区。</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5.2.1</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w:t>
            </w:r>
            <w:r w:rsidR="00802A34" w:rsidRPr="00687B52">
              <w:rPr>
                <w:rFonts w:asciiTheme="minorEastAsia" w:eastAsiaTheme="minorEastAsia" w:hAnsiTheme="minorEastAsia" w:hint="eastAsia"/>
                <w:color w:val="000000" w:themeColor="text1"/>
                <w:szCs w:val="24"/>
              </w:rPr>
              <w:t>18</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地上储罐组消防车道的设置，应符合下列规定：</w:t>
            </w:r>
          </w:p>
          <w:p w:rsidR="003E1D2A" w:rsidRPr="00687B52" w:rsidRDefault="003E1D2A" w:rsidP="00D9787F">
            <w:pPr>
              <w:pStyle w:val="a7"/>
              <w:numPr>
                <w:ilvl w:val="0"/>
                <w:numId w:val="107"/>
              </w:numPr>
              <w:jc w:val="left"/>
              <w:rPr>
                <w:color w:val="000000" w:themeColor="text1"/>
              </w:rPr>
            </w:pPr>
            <w:r w:rsidRPr="00687B52">
              <w:rPr>
                <w:rFonts w:hint="eastAsia"/>
                <w:color w:val="000000" w:themeColor="text1"/>
              </w:rPr>
              <w:t>、储罐总容量大于或等于</w:t>
            </w:r>
            <w:r w:rsidRPr="00687B52">
              <w:rPr>
                <w:rFonts w:hint="eastAsia"/>
                <w:color w:val="000000" w:themeColor="text1"/>
              </w:rPr>
              <w:t>120000m</w:t>
            </w:r>
            <w:r w:rsidRPr="00687B52">
              <w:rPr>
                <w:rFonts w:hint="eastAsia"/>
                <w:color w:val="000000" w:themeColor="text1"/>
              </w:rPr>
              <w:t>³的单个罐组应设环形消防车道。</w:t>
            </w:r>
          </w:p>
          <w:p w:rsidR="003E1D2A" w:rsidRPr="00687B52" w:rsidRDefault="003E1D2A" w:rsidP="00D9787F">
            <w:pPr>
              <w:pStyle w:val="a7"/>
              <w:numPr>
                <w:ilvl w:val="0"/>
                <w:numId w:val="107"/>
              </w:numPr>
              <w:jc w:val="left"/>
              <w:rPr>
                <w:color w:val="000000" w:themeColor="text1"/>
              </w:rPr>
            </w:pPr>
            <w:r w:rsidRPr="00687B52">
              <w:rPr>
                <w:rFonts w:hint="eastAsia"/>
                <w:color w:val="000000" w:themeColor="text1"/>
              </w:rPr>
              <w:t>多个罐组共用</w:t>
            </w:r>
            <w:r w:rsidRPr="00687B52">
              <w:rPr>
                <w:rFonts w:hint="eastAsia"/>
                <w:color w:val="000000" w:themeColor="text1"/>
              </w:rPr>
              <w:t>1</w:t>
            </w:r>
            <w:r w:rsidRPr="00687B52">
              <w:rPr>
                <w:rFonts w:hint="eastAsia"/>
                <w:color w:val="000000" w:themeColor="text1"/>
              </w:rPr>
              <w:t>个环形消防车道时，环形消防车道内的罐组储罐总容量不应大于</w:t>
            </w:r>
            <w:r w:rsidRPr="00687B52">
              <w:rPr>
                <w:rFonts w:hint="eastAsia"/>
                <w:color w:val="000000" w:themeColor="text1"/>
              </w:rPr>
              <w:t>120000m</w:t>
            </w:r>
            <w:r w:rsidRPr="00687B52">
              <w:rPr>
                <w:rFonts w:hint="eastAsia"/>
                <w:color w:val="000000" w:themeColor="text1"/>
              </w:rPr>
              <w:t>³。</w:t>
            </w:r>
          </w:p>
          <w:p w:rsidR="003E1D2A" w:rsidRPr="00687B52" w:rsidRDefault="003E1D2A" w:rsidP="00D9787F">
            <w:pPr>
              <w:pStyle w:val="a7"/>
              <w:numPr>
                <w:ilvl w:val="0"/>
                <w:numId w:val="107"/>
              </w:numPr>
              <w:jc w:val="left"/>
              <w:rPr>
                <w:color w:val="000000" w:themeColor="text1"/>
              </w:rPr>
            </w:pPr>
            <w:r w:rsidRPr="00687B52">
              <w:rPr>
                <w:rFonts w:hint="eastAsia"/>
                <w:color w:val="000000" w:themeColor="text1"/>
              </w:rPr>
              <w:t>同一个环形消防车道内相邻罐组防火堤外堤脚线之间应留有宽度不小于</w:t>
            </w:r>
            <w:r w:rsidRPr="00687B52">
              <w:rPr>
                <w:rFonts w:hint="eastAsia"/>
                <w:color w:val="000000" w:themeColor="text1"/>
              </w:rPr>
              <w:t>7m</w:t>
            </w:r>
            <w:r w:rsidRPr="00687B52">
              <w:rPr>
                <w:rFonts w:hint="eastAsia"/>
                <w:color w:val="000000" w:themeColor="text1"/>
              </w:rPr>
              <w:t>的消防空地。</w:t>
            </w:r>
          </w:p>
          <w:p w:rsidR="003E1D2A" w:rsidRPr="00687B52" w:rsidRDefault="003E1D2A" w:rsidP="00D9787F">
            <w:pPr>
              <w:pStyle w:val="a7"/>
              <w:numPr>
                <w:ilvl w:val="0"/>
                <w:numId w:val="107"/>
              </w:numPr>
              <w:jc w:val="left"/>
              <w:rPr>
                <w:color w:val="000000" w:themeColor="text1"/>
              </w:rPr>
            </w:pPr>
            <w:r w:rsidRPr="00687B52">
              <w:rPr>
                <w:rFonts w:hint="eastAsia"/>
                <w:color w:val="000000" w:themeColor="text1"/>
              </w:rPr>
              <w:t>总容量大于或等于</w:t>
            </w:r>
            <w:r w:rsidRPr="00687B52">
              <w:rPr>
                <w:rFonts w:hint="eastAsia"/>
                <w:color w:val="000000" w:themeColor="text1"/>
              </w:rPr>
              <w:t>120000m</w:t>
            </w:r>
            <w:r w:rsidRPr="00687B52">
              <w:rPr>
                <w:rFonts w:hint="eastAsia"/>
                <w:color w:val="000000" w:themeColor="text1"/>
              </w:rPr>
              <w:t>³的罐组，至少应有</w:t>
            </w:r>
            <w:r w:rsidRPr="00687B52">
              <w:rPr>
                <w:rFonts w:hint="eastAsia"/>
                <w:color w:val="000000" w:themeColor="text1"/>
              </w:rPr>
              <w:t>2</w:t>
            </w:r>
            <w:r w:rsidRPr="00687B52">
              <w:rPr>
                <w:rFonts w:hint="eastAsia"/>
                <w:color w:val="000000" w:themeColor="text1"/>
              </w:rPr>
              <w:t>个路口能使消防车辆进入环形消防车道，并宜设在不同方位上。</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5.2.2</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w:t>
            </w:r>
            <w:r w:rsidR="00802A34" w:rsidRPr="00687B52">
              <w:rPr>
                <w:rFonts w:asciiTheme="minorEastAsia" w:eastAsiaTheme="minorEastAsia" w:hAnsiTheme="minorEastAsia" w:hint="eastAsia"/>
                <w:color w:val="000000" w:themeColor="text1"/>
                <w:szCs w:val="24"/>
              </w:rPr>
              <w:t>19</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除丙</w:t>
            </w:r>
            <w:r w:rsidRPr="00687B52">
              <w:rPr>
                <w:rFonts w:hint="eastAsia"/>
                <w:color w:val="000000" w:themeColor="text1"/>
              </w:rPr>
              <w:t>B</w:t>
            </w:r>
            <w:r w:rsidRPr="00687B52">
              <w:rPr>
                <w:rFonts w:hint="eastAsia"/>
                <w:color w:val="000000" w:themeColor="text1"/>
              </w:rPr>
              <w:t>类液体储罐和当罐容量小于或等于</w:t>
            </w:r>
            <w:r w:rsidRPr="00687B52">
              <w:rPr>
                <w:rFonts w:hint="eastAsia"/>
                <w:color w:val="000000" w:themeColor="text1"/>
              </w:rPr>
              <w:t>1000m</w:t>
            </w:r>
            <w:r w:rsidRPr="00687B52">
              <w:rPr>
                <w:rFonts w:hint="eastAsia"/>
                <w:color w:val="000000" w:themeColor="text1"/>
                <w:vertAlign w:val="superscript"/>
              </w:rPr>
              <w:t>3</w:t>
            </w:r>
            <w:r w:rsidRPr="00687B52">
              <w:rPr>
                <w:rFonts w:hint="eastAsia"/>
                <w:color w:val="000000" w:themeColor="text1"/>
              </w:rPr>
              <w:t>的储罐外，储罐至少应有与</w:t>
            </w:r>
            <w:r w:rsidRPr="00687B52">
              <w:rPr>
                <w:rFonts w:hint="eastAsia"/>
                <w:color w:val="000000" w:themeColor="text1"/>
              </w:rPr>
              <w:t>1</w:t>
            </w:r>
            <w:r w:rsidRPr="00687B52">
              <w:rPr>
                <w:rFonts w:hint="eastAsia"/>
                <w:color w:val="000000" w:themeColor="text1"/>
              </w:rPr>
              <w:t>条消防车道相邻，储罐中心至少与</w:t>
            </w:r>
            <w:r w:rsidRPr="00687B52">
              <w:rPr>
                <w:rFonts w:hint="eastAsia"/>
                <w:color w:val="000000" w:themeColor="text1"/>
              </w:rPr>
              <w:t>2</w:t>
            </w:r>
            <w:r w:rsidRPr="00687B52">
              <w:rPr>
                <w:rFonts w:hint="eastAsia"/>
                <w:color w:val="000000" w:themeColor="text1"/>
              </w:rPr>
              <w:t>条消防车道的距离不应大于</w:t>
            </w:r>
            <w:r w:rsidRPr="00687B52">
              <w:rPr>
                <w:rFonts w:hint="eastAsia"/>
                <w:color w:val="000000" w:themeColor="text1"/>
              </w:rPr>
              <w:t>120m</w:t>
            </w:r>
            <w:r w:rsidRPr="00687B52">
              <w:rPr>
                <w:rFonts w:hint="eastAsia"/>
                <w:color w:val="000000" w:themeColor="text1"/>
              </w:rPr>
              <w:t>；条件受限时，储罐中心与最近一条消防车道的距离不应大于</w:t>
            </w:r>
            <w:r w:rsidRPr="00687B52">
              <w:rPr>
                <w:rFonts w:hint="eastAsia"/>
                <w:color w:val="000000" w:themeColor="text1"/>
              </w:rPr>
              <w:t>80m</w:t>
            </w:r>
            <w:r w:rsidRPr="00687B52">
              <w:rPr>
                <w:rFonts w:hint="eastAsia"/>
                <w:color w:val="000000" w:themeColor="text1"/>
              </w:rPr>
              <w:t>。</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5.2.3</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w:t>
            </w:r>
            <w:r w:rsidR="00802A34" w:rsidRPr="00687B52">
              <w:rPr>
                <w:rFonts w:asciiTheme="minorEastAsia" w:eastAsiaTheme="minorEastAsia" w:hAnsiTheme="minorEastAsia" w:hint="eastAsia"/>
                <w:color w:val="000000" w:themeColor="text1"/>
                <w:szCs w:val="24"/>
              </w:rPr>
              <w:t>0</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铁路装卸区应设消防车道，并应平行于铁路装卸线，且宜与库内道路构成环形道路。消防</w:t>
            </w:r>
          </w:p>
          <w:p w:rsidR="003E1D2A" w:rsidRPr="00687B52" w:rsidRDefault="003E1D2A" w:rsidP="003E1D2A">
            <w:pPr>
              <w:pStyle w:val="a7"/>
              <w:jc w:val="left"/>
              <w:rPr>
                <w:color w:val="000000" w:themeColor="text1"/>
              </w:rPr>
            </w:pPr>
            <w:r w:rsidRPr="00687B52">
              <w:rPr>
                <w:rFonts w:hint="eastAsia"/>
                <w:color w:val="000000" w:themeColor="text1"/>
              </w:rPr>
              <w:t>车道与铁路罐车装卸线距离不应大于</w:t>
            </w:r>
            <w:r w:rsidRPr="00687B52">
              <w:rPr>
                <w:rFonts w:hint="eastAsia"/>
                <w:color w:val="000000" w:themeColor="text1"/>
              </w:rPr>
              <w:t>80m</w:t>
            </w:r>
            <w:r w:rsidRPr="00687B52">
              <w:rPr>
                <w:rFonts w:hint="eastAsia"/>
                <w:color w:val="000000" w:themeColor="text1"/>
              </w:rPr>
              <w:t>。</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5.2.4</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w:t>
            </w:r>
            <w:r w:rsidR="00802A34" w:rsidRPr="00687B52">
              <w:rPr>
                <w:rFonts w:asciiTheme="minorEastAsia" w:eastAsiaTheme="minorEastAsia" w:hAnsiTheme="minorEastAsia" w:hint="eastAsia"/>
                <w:color w:val="000000" w:themeColor="text1"/>
                <w:szCs w:val="24"/>
              </w:rPr>
              <w:t>1</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汽车罐车装卸设施和罐桶设施，应设置能保证消防车辆顺利接近火灾场地的消防车道。</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5.2.5</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w:t>
            </w:r>
            <w:r w:rsidR="00802A34" w:rsidRPr="00687B52">
              <w:rPr>
                <w:rFonts w:asciiTheme="minorEastAsia" w:eastAsiaTheme="minorEastAsia" w:hAnsiTheme="minorEastAsia" w:hint="eastAsia"/>
                <w:color w:val="000000" w:themeColor="text1"/>
                <w:szCs w:val="24"/>
              </w:rPr>
              <w:t>22</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消防车道与防火堤脚线之间的距离，不应小于</w:t>
            </w:r>
            <w:r w:rsidRPr="00687B52">
              <w:rPr>
                <w:rFonts w:hint="eastAsia"/>
                <w:color w:val="000000" w:themeColor="text1"/>
              </w:rPr>
              <w:t>3m</w:t>
            </w:r>
            <w:r w:rsidRPr="00687B52">
              <w:rPr>
                <w:rFonts w:hint="eastAsia"/>
                <w:color w:val="000000" w:themeColor="text1"/>
              </w:rPr>
              <w:t>。</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5.2.7</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w:t>
            </w:r>
            <w:r w:rsidR="00802A34" w:rsidRPr="00687B52">
              <w:rPr>
                <w:rFonts w:asciiTheme="minorEastAsia" w:eastAsiaTheme="minorEastAsia" w:hAnsiTheme="minorEastAsia" w:hint="eastAsia"/>
                <w:color w:val="000000" w:themeColor="text1"/>
                <w:szCs w:val="24"/>
              </w:rPr>
              <w:t>3</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消防车道的净空高度不应小于</w:t>
            </w:r>
            <w:r w:rsidRPr="00687B52">
              <w:rPr>
                <w:rFonts w:hint="eastAsia"/>
                <w:color w:val="000000" w:themeColor="text1"/>
              </w:rPr>
              <w:t>5.</w:t>
            </w:r>
            <w:r w:rsidRPr="00687B52">
              <w:rPr>
                <w:rFonts w:hint="eastAsia"/>
                <w:color w:val="000000" w:themeColor="text1"/>
              </w:rPr>
              <w:t> </w:t>
            </w:r>
            <w:r w:rsidRPr="00687B52">
              <w:rPr>
                <w:rFonts w:hint="eastAsia"/>
                <w:color w:val="000000" w:themeColor="text1"/>
              </w:rPr>
              <w:t>0m,</w:t>
            </w:r>
            <w:r w:rsidRPr="00687B52">
              <w:rPr>
                <w:rFonts w:hint="eastAsia"/>
                <w:color w:val="000000" w:themeColor="text1"/>
              </w:rPr>
              <w:t>转弯半径不宜小于</w:t>
            </w:r>
            <w:r w:rsidRPr="00687B52">
              <w:rPr>
                <w:rFonts w:hint="eastAsia"/>
                <w:color w:val="000000" w:themeColor="text1"/>
              </w:rPr>
              <w:t>12m</w:t>
            </w:r>
            <w:r w:rsidRPr="00687B52">
              <w:rPr>
                <w:rFonts w:hint="eastAsia"/>
                <w:color w:val="000000" w:themeColor="text1"/>
              </w:rPr>
              <w:t>。</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5.2.9</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w:t>
            </w:r>
            <w:r w:rsidR="00802A34" w:rsidRPr="00687B52">
              <w:rPr>
                <w:rFonts w:asciiTheme="minorEastAsia" w:eastAsiaTheme="minorEastAsia" w:hAnsiTheme="minorEastAsia" w:hint="eastAsia"/>
                <w:color w:val="000000" w:themeColor="text1"/>
                <w:szCs w:val="24"/>
              </w:rPr>
              <w:t>4</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尽头式消防车道应设置回车场。两个路口间的消防车道长度大于</w:t>
            </w:r>
            <w:r w:rsidRPr="00687B52">
              <w:rPr>
                <w:rFonts w:hint="eastAsia"/>
                <w:color w:val="000000" w:themeColor="text1"/>
              </w:rPr>
              <w:t>300m</w:t>
            </w:r>
            <w:r w:rsidRPr="00687B52">
              <w:rPr>
                <w:rFonts w:hint="eastAsia"/>
                <w:color w:val="000000" w:themeColor="text1"/>
              </w:rPr>
              <w:t>时，应在该消防车道的中段设置回车场。</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5.2.10</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w:t>
            </w:r>
            <w:r w:rsidR="00802A34" w:rsidRPr="00687B52">
              <w:rPr>
                <w:rFonts w:asciiTheme="minorEastAsia" w:eastAsiaTheme="minorEastAsia" w:hAnsiTheme="minorEastAsia" w:hint="eastAsia"/>
                <w:color w:val="000000" w:themeColor="text1"/>
                <w:szCs w:val="24"/>
              </w:rPr>
              <w:t>5</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石油库通向公路的库外道路和车辆出人口的设计，应符合下列规定：</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1</w:t>
            </w:r>
            <w:r w:rsidRPr="00687B52">
              <w:rPr>
                <w:rFonts w:hint="eastAsia"/>
                <w:color w:val="000000" w:themeColor="text1"/>
              </w:rPr>
              <w:t>）石油库应设与公路连接的库外道路，其路面宽度不应小于相应级别石油库储罐区的消防车道。</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2</w:t>
            </w:r>
            <w:r w:rsidRPr="00687B52">
              <w:rPr>
                <w:rFonts w:hint="eastAsia"/>
                <w:color w:val="000000" w:themeColor="text1"/>
              </w:rPr>
              <w:t>）石油库通向库外道路的车辆出人口不应少于</w:t>
            </w:r>
            <w:r w:rsidRPr="00687B52">
              <w:rPr>
                <w:rFonts w:hint="eastAsia"/>
                <w:color w:val="000000" w:themeColor="text1"/>
              </w:rPr>
              <w:t>2</w:t>
            </w:r>
            <w:r w:rsidRPr="00687B52">
              <w:rPr>
                <w:rFonts w:hint="eastAsia"/>
                <w:color w:val="000000" w:themeColor="text1"/>
              </w:rPr>
              <w:t>处，且宜位于不同的方位。受地域、地形等条件限制时，覆土油罐区和四、五级石油库可只设</w:t>
            </w:r>
            <w:r w:rsidRPr="00687B52">
              <w:rPr>
                <w:rFonts w:hint="eastAsia"/>
                <w:color w:val="000000" w:themeColor="text1"/>
              </w:rPr>
              <w:t>1</w:t>
            </w:r>
            <w:r w:rsidRPr="00687B52">
              <w:rPr>
                <w:rFonts w:hint="eastAsia"/>
                <w:color w:val="000000" w:themeColor="text1"/>
              </w:rPr>
              <w:t>处车辆出人口。</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3</w:t>
            </w:r>
            <w:r w:rsidRPr="00687B52">
              <w:rPr>
                <w:rFonts w:hint="eastAsia"/>
                <w:color w:val="000000" w:themeColor="text1"/>
              </w:rPr>
              <w:t>）储罐区的车辆出人口不应少于</w:t>
            </w:r>
            <w:r w:rsidRPr="00687B52">
              <w:rPr>
                <w:rFonts w:hint="eastAsia"/>
                <w:color w:val="000000" w:themeColor="text1"/>
              </w:rPr>
              <w:t>2</w:t>
            </w:r>
            <w:r w:rsidRPr="00687B52">
              <w:rPr>
                <w:rFonts w:hint="eastAsia"/>
                <w:color w:val="000000" w:themeColor="text1"/>
              </w:rPr>
              <w:t>处，且应位于不同的方位。受地域、地形等条件限制时，覆土油罐区和四、五级石油库的储罐区可只设</w:t>
            </w:r>
            <w:r w:rsidRPr="00687B52">
              <w:rPr>
                <w:rFonts w:hint="eastAsia"/>
                <w:color w:val="000000" w:themeColor="text1"/>
              </w:rPr>
              <w:t>1</w:t>
            </w:r>
            <w:r w:rsidRPr="00687B52">
              <w:rPr>
                <w:rFonts w:hint="eastAsia"/>
                <w:color w:val="000000" w:themeColor="text1"/>
              </w:rPr>
              <w:t>处车辆出人口。储罐区的车辆出人口宜直接通向库外道路，也可通向行政管理区或公路装卸区。</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4</w:t>
            </w:r>
            <w:r w:rsidRPr="00687B52">
              <w:rPr>
                <w:rFonts w:hint="eastAsia"/>
                <w:color w:val="000000" w:themeColor="text1"/>
              </w:rPr>
              <w:t>）行政管理区、公路装卸区应设直接通往库外道路的车辆出人口。</w:t>
            </w:r>
            <w:r w:rsidRPr="00687B52">
              <w:rPr>
                <w:rFonts w:hint="eastAsia"/>
                <w:color w:val="000000" w:themeColor="text1"/>
              </w:rPr>
              <w:t> </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5.2.11</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w:t>
            </w:r>
            <w:r w:rsidR="00802A34" w:rsidRPr="00687B52">
              <w:rPr>
                <w:rFonts w:asciiTheme="minorEastAsia" w:eastAsiaTheme="minorEastAsia" w:hAnsiTheme="minorEastAsia" w:hint="eastAsia"/>
                <w:color w:val="000000" w:themeColor="text1"/>
                <w:szCs w:val="24"/>
              </w:rPr>
              <w:t>6</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石油库的围墙设置，应符合下列规定：</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1</w:t>
            </w:r>
            <w:r w:rsidRPr="00687B52">
              <w:rPr>
                <w:rFonts w:hint="eastAsia"/>
                <w:color w:val="000000" w:themeColor="text1"/>
              </w:rPr>
              <w:t>）石油库四周应设高度不低于</w:t>
            </w:r>
            <w:r w:rsidRPr="00687B52">
              <w:rPr>
                <w:rFonts w:hint="eastAsia"/>
                <w:color w:val="000000" w:themeColor="text1"/>
              </w:rPr>
              <w:t>2.5m</w:t>
            </w:r>
            <w:r w:rsidRPr="00687B52">
              <w:rPr>
                <w:rFonts w:hint="eastAsia"/>
                <w:color w:val="000000" w:themeColor="text1"/>
              </w:rPr>
              <w:t>的实体围墙。企业附属石油库与本企业毗邻一侧的围墙高度可不低于</w:t>
            </w:r>
            <w:r w:rsidRPr="00687B52">
              <w:rPr>
                <w:rFonts w:hint="eastAsia"/>
                <w:color w:val="000000" w:themeColor="text1"/>
              </w:rPr>
              <w:t>1.8m.</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2</w:t>
            </w:r>
            <w:r w:rsidRPr="00687B52">
              <w:rPr>
                <w:rFonts w:hint="eastAsia"/>
                <w:color w:val="000000" w:themeColor="text1"/>
              </w:rPr>
              <w:t>）山区或丘陵地带的石油库，当四周均设实体围墙有困难时，可只在漏油可能流经的低洼处设实体围墙，在地势较高处可设置镀锌铁丝网等非实体围墙。</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3</w:t>
            </w:r>
            <w:r w:rsidRPr="00687B52">
              <w:rPr>
                <w:rFonts w:hint="eastAsia"/>
                <w:color w:val="000000" w:themeColor="text1"/>
              </w:rPr>
              <w:t>）石油库临海、邻水侧的围墙，其</w:t>
            </w:r>
            <w:r w:rsidRPr="00687B52">
              <w:rPr>
                <w:rFonts w:hint="eastAsia"/>
                <w:color w:val="000000" w:themeColor="text1"/>
              </w:rPr>
              <w:t>lm</w:t>
            </w:r>
            <w:r w:rsidRPr="00687B52">
              <w:rPr>
                <w:rFonts w:hint="eastAsia"/>
                <w:color w:val="000000" w:themeColor="text1"/>
              </w:rPr>
              <w:t>高度以上可为铁栅栏围墙。</w:t>
            </w:r>
            <w:r w:rsidRPr="00687B52">
              <w:rPr>
                <w:rFonts w:hint="eastAsia"/>
                <w:color w:val="000000" w:themeColor="text1"/>
              </w:rPr>
              <w:t> </w:t>
            </w:r>
          </w:p>
          <w:p w:rsidR="002C24E0"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4</w:t>
            </w:r>
            <w:r w:rsidRPr="00687B52">
              <w:rPr>
                <w:rFonts w:hint="eastAsia"/>
                <w:color w:val="000000" w:themeColor="text1"/>
              </w:rPr>
              <w:t>）行政管理区与储罐区、易燃和可燃液体装卸区之间应设围墙。当采用非实体围墙时，围墙下部</w:t>
            </w:r>
            <w:r w:rsidRPr="00687B52">
              <w:rPr>
                <w:rFonts w:hint="eastAsia"/>
                <w:color w:val="000000" w:themeColor="text1"/>
              </w:rPr>
              <w:t>0.</w:t>
            </w:r>
            <w:r w:rsidRPr="00687B52">
              <w:rPr>
                <w:rFonts w:hint="eastAsia"/>
                <w:color w:val="000000" w:themeColor="text1"/>
              </w:rPr>
              <w:t> </w:t>
            </w:r>
            <w:r w:rsidRPr="00687B52">
              <w:rPr>
                <w:rFonts w:hint="eastAsia"/>
                <w:color w:val="000000" w:themeColor="text1"/>
              </w:rPr>
              <w:t>5m</w:t>
            </w:r>
            <w:r w:rsidRPr="00687B52">
              <w:rPr>
                <w:rFonts w:hint="eastAsia"/>
                <w:color w:val="000000" w:themeColor="text1"/>
              </w:rPr>
              <w:t>高度以下范围内应为实体墙。</w:t>
            </w:r>
          </w:p>
          <w:p w:rsidR="003E1D2A" w:rsidRPr="00687B52" w:rsidRDefault="003E1D2A" w:rsidP="003E1D2A">
            <w:pPr>
              <w:pStyle w:val="a7"/>
              <w:jc w:val="left"/>
              <w:rPr>
                <w:rFonts w:asciiTheme="minorEastAsia" w:hAnsiTheme="minorEastAsia"/>
                <w:color w:val="000000" w:themeColor="text1"/>
                <w:szCs w:val="24"/>
              </w:rPr>
            </w:pPr>
            <w:r w:rsidRPr="00687B52">
              <w:rPr>
                <w:rFonts w:hint="eastAsia"/>
                <w:color w:val="000000" w:themeColor="text1"/>
              </w:rPr>
              <w:t>5</w:t>
            </w:r>
            <w:r w:rsidRPr="00687B52">
              <w:rPr>
                <w:rFonts w:hint="eastAsia"/>
                <w:color w:val="000000" w:themeColor="text1"/>
              </w:rPr>
              <w:t>围墙不得采用燃烧材料建造。围墙实体部分的下部不应留有孔洞（集中排水口除外）。</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5.3.3</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w:t>
            </w:r>
            <w:r w:rsidR="00802A34" w:rsidRPr="00687B52">
              <w:rPr>
                <w:rFonts w:asciiTheme="minorEastAsia" w:eastAsiaTheme="minorEastAsia" w:hAnsiTheme="minorEastAsia" w:hint="eastAsia"/>
                <w:color w:val="000000" w:themeColor="text1"/>
                <w:szCs w:val="24"/>
              </w:rPr>
              <w:t>27</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石油库的绿化应符合下列规定：</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1</w:t>
            </w:r>
            <w:r w:rsidRPr="00687B52">
              <w:rPr>
                <w:rFonts w:hint="eastAsia"/>
                <w:color w:val="000000" w:themeColor="text1"/>
              </w:rPr>
              <w:t>）防火堤内不应植树；</w:t>
            </w:r>
          </w:p>
          <w:p w:rsidR="002C24E0" w:rsidRPr="00687B52" w:rsidRDefault="003E1D2A" w:rsidP="002C24E0">
            <w:pPr>
              <w:pStyle w:val="a7"/>
              <w:jc w:val="left"/>
              <w:rPr>
                <w:color w:val="000000" w:themeColor="text1"/>
              </w:rPr>
            </w:pPr>
            <w:r w:rsidRPr="00687B52">
              <w:rPr>
                <w:rFonts w:hint="eastAsia"/>
                <w:color w:val="000000" w:themeColor="text1"/>
              </w:rPr>
              <w:t>2</w:t>
            </w:r>
            <w:r w:rsidRPr="00687B52">
              <w:rPr>
                <w:rFonts w:hint="eastAsia"/>
                <w:color w:val="000000" w:themeColor="text1"/>
              </w:rPr>
              <w:t>）消防车道与防火堤之间不宜植树；</w:t>
            </w:r>
          </w:p>
          <w:p w:rsidR="003E1D2A" w:rsidRPr="00687B52" w:rsidRDefault="003E1D2A" w:rsidP="002C24E0">
            <w:pPr>
              <w:pStyle w:val="a7"/>
              <w:jc w:val="left"/>
              <w:rPr>
                <w:color w:val="000000" w:themeColor="text1"/>
              </w:rPr>
            </w:pPr>
            <w:r w:rsidRPr="00687B52">
              <w:rPr>
                <w:rFonts w:hint="eastAsia"/>
                <w:color w:val="000000" w:themeColor="text1"/>
              </w:rPr>
              <w:t>3</w:t>
            </w:r>
            <w:r w:rsidRPr="00687B52">
              <w:rPr>
                <w:rFonts w:hint="eastAsia"/>
                <w:color w:val="000000" w:themeColor="text1"/>
              </w:rPr>
              <w:t>绿化不应妨碍消防作业。</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5.3.4</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02A3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w:t>
            </w:r>
            <w:r w:rsidR="00802A34" w:rsidRPr="00687B52">
              <w:rPr>
                <w:rFonts w:asciiTheme="minorEastAsia" w:eastAsiaTheme="minorEastAsia" w:hAnsiTheme="minorEastAsia" w:hint="eastAsia"/>
                <w:color w:val="000000" w:themeColor="text1"/>
                <w:szCs w:val="24"/>
              </w:rPr>
              <w:t>28</w:t>
            </w:r>
          </w:p>
        </w:tc>
        <w:tc>
          <w:tcPr>
            <w:tcW w:w="2331" w:type="pct"/>
            <w:vAlign w:val="center"/>
          </w:tcPr>
          <w:p w:rsidR="003E1D2A" w:rsidRPr="00687B52" w:rsidRDefault="003E1D2A" w:rsidP="002C24E0">
            <w:pPr>
              <w:widowControl/>
              <w:jc w:val="left"/>
              <w:rPr>
                <w:bCs/>
                <w:color w:val="000000" w:themeColor="text1"/>
              </w:rPr>
            </w:pPr>
            <w:r w:rsidRPr="00687B52">
              <w:rPr>
                <w:rFonts w:ascii="宋体" w:eastAsia="宋体" w:hAnsi="宋体" w:cs="宋体"/>
                <w:bCs/>
                <w:color w:val="000000" w:themeColor="text1"/>
                <w:kern w:val="0"/>
                <w:sz w:val="24"/>
                <w:szCs w:val="24"/>
              </w:rPr>
              <w:t>构成重大危险源的场所</w:t>
            </w:r>
            <w:r w:rsidR="002C24E0" w:rsidRPr="00687B52">
              <w:rPr>
                <w:rFonts w:ascii="宋体" w:eastAsia="宋体" w:hAnsi="宋体" w:cs="宋体" w:hint="eastAsia"/>
                <w:bCs/>
                <w:color w:val="000000" w:themeColor="text1"/>
                <w:kern w:val="0"/>
                <w:sz w:val="24"/>
                <w:szCs w:val="24"/>
              </w:rPr>
              <w:t>应</w:t>
            </w:r>
            <w:r w:rsidRPr="00687B52">
              <w:rPr>
                <w:rFonts w:ascii="宋体" w:eastAsia="宋体" w:hAnsi="宋体" w:cs="宋体"/>
                <w:bCs/>
                <w:color w:val="000000" w:themeColor="text1"/>
                <w:kern w:val="0"/>
                <w:sz w:val="24"/>
                <w:szCs w:val="24"/>
              </w:rPr>
              <w:t>按《危险化学品重大危险源监督管理暂行规定》（安监总局令第40号令发布，第79号修订)）确定外部安全防护距离，并计算风险；下列敏感目标是否在安全防护距离之外，个人风险和社会风险是否可接受：</w:t>
            </w:r>
            <w:r w:rsidRPr="00687B52">
              <w:rPr>
                <w:rFonts w:ascii="宋体" w:eastAsia="宋体" w:hAnsi="宋体" w:cs="宋体"/>
                <w:bCs/>
                <w:color w:val="000000" w:themeColor="text1"/>
                <w:kern w:val="0"/>
                <w:sz w:val="24"/>
                <w:szCs w:val="24"/>
              </w:rPr>
              <w:br/>
              <w:t>① 居民区、商业中心、公园等人口密集区域；</w:t>
            </w:r>
            <w:r w:rsidRPr="00687B52">
              <w:rPr>
                <w:rFonts w:ascii="宋体" w:eastAsia="宋体" w:hAnsi="宋体" w:cs="宋体"/>
                <w:bCs/>
                <w:color w:val="000000" w:themeColor="text1"/>
                <w:kern w:val="0"/>
                <w:sz w:val="24"/>
                <w:szCs w:val="24"/>
              </w:rPr>
              <w:br/>
              <w:t>② 学校、医院、影剧院、体育场（馆）等公共设施；</w:t>
            </w:r>
            <w:r w:rsidRPr="00687B52">
              <w:rPr>
                <w:rFonts w:ascii="宋体" w:eastAsia="宋体" w:hAnsi="宋体" w:cs="宋体"/>
                <w:bCs/>
                <w:color w:val="000000" w:themeColor="text1"/>
                <w:kern w:val="0"/>
                <w:sz w:val="24"/>
                <w:szCs w:val="24"/>
              </w:rPr>
              <w:br/>
              <w:t>③ 供水水源、水厂及水源保护区；</w:t>
            </w:r>
            <w:r w:rsidRPr="00687B52">
              <w:rPr>
                <w:rFonts w:ascii="宋体" w:eastAsia="宋体" w:hAnsi="宋体" w:cs="宋体"/>
                <w:bCs/>
                <w:color w:val="000000" w:themeColor="text1"/>
                <w:kern w:val="0"/>
                <w:sz w:val="24"/>
                <w:szCs w:val="24"/>
              </w:rPr>
              <w:br/>
              <w:t>④ 车站、码头（按照国家规定，经批准专门从事危险化学品装卸作业的除外）、机场以及公路、铁路、水路交通干线、地铁风亭及出入口；</w:t>
            </w:r>
            <w:r w:rsidRPr="00687B52">
              <w:rPr>
                <w:rFonts w:ascii="宋体" w:eastAsia="宋体" w:hAnsi="宋体" w:cs="宋体"/>
                <w:bCs/>
                <w:color w:val="000000" w:themeColor="text1"/>
                <w:kern w:val="0"/>
                <w:sz w:val="24"/>
                <w:szCs w:val="24"/>
              </w:rPr>
              <w:br/>
              <w:t>⑤ 基本农田保护区、畜牧区、渔业水域和种子、种畜、水产苗种生产基；</w:t>
            </w:r>
            <w:r w:rsidRPr="00687B52">
              <w:rPr>
                <w:rFonts w:ascii="宋体" w:eastAsia="宋体" w:hAnsi="宋体" w:cs="宋体"/>
                <w:bCs/>
                <w:color w:val="000000" w:themeColor="text1"/>
                <w:kern w:val="0"/>
                <w:sz w:val="24"/>
                <w:szCs w:val="24"/>
              </w:rPr>
              <w:br/>
              <w:t>⑥ 河流、湖泊、风景名胜区和自然保护区；</w:t>
            </w:r>
            <w:r w:rsidRPr="00687B52">
              <w:rPr>
                <w:rFonts w:ascii="宋体" w:eastAsia="宋体" w:hAnsi="宋体" w:cs="宋体"/>
                <w:bCs/>
                <w:color w:val="000000" w:themeColor="text1"/>
                <w:kern w:val="0"/>
                <w:sz w:val="24"/>
                <w:szCs w:val="24"/>
              </w:rPr>
              <w:br/>
              <w:t>⑦ 军事禁区、军事管理区；</w:t>
            </w:r>
            <w:r w:rsidRPr="00687B52">
              <w:rPr>
                <w:rFonts w:ascii="宋体" w:eastAsia="宋体" w:hAnsi="宋体" w:cs="宋体"/>
                <w:bCs/>
                <w:color w:val="000000" w:themeColor="text1"/>
                <w:kern w:val="0"/>
                <w:sz w:val="24"/>
                <w:szCs w:val="24"/>
              </w:rPr>
              <w:br/>
              <w:t xml:space="preserve">⑧ 法律、行政法规规定予以保护的其他区域。 </w:t>
            </w:r>
          </w:p>
        </w:tc>
        <w:tc>
          <w:tcPr>
            <w:tcW w:w="1058" w:type="pct"/>
            <w:vAlign w:val="center"/>
          </w:tcPr>
          <w:p w:rsidR="003E1D2A" w:rsidRPr="00687B52" w:rsidRDefault="003E1D2A" w:rsidP="003E1D2A">
            <w:pPr>
              <w:pStyle w:val="a7"/>
              <w:rPr>
                <w:bCs/>
                <w:color w:val="000000" w:themeColor="text1"/>
              </w:rPr>
            </w:pPr>
            <w:r w:rsidRPr="00687B52">
              <w:rPr>
                <w:rFonts w:ascii="宋体" w:hAnsi="宋体" w:cs="宋体" w:hint="eastAsia"/>
                <w:bCs/>
                <w:color w:val="000000" w:themeColor="text1"/>
                <w:kern w:val="0"/>
                <w:szCs w:val="24"/>
              </w:rPr>
              <w:t>《危险化学品安全管理条例》第十九条</w:t>
            </w:r>
          </w:p>
        </w:tc>
        <w:tc>
          <w:tcPr>
            <w:tcW w:w="1273" w:type="pct"/>
            <w:vAlign w:val="center"/>
          </w:tcPr>
          <w:p w:rsidR="003E1D2A" w:rsidRPr="00687B52" w:rsidRDefault="003E1D2A" w:rsidP="003E1D2A">
            <w:pPr>
              <w:rPr>
                <w:rFonts w:asciiTheme="minorEastAsia" w:hAnsiTheme="minorEastAsia"/>
                <w:bCs/>
                <w:color w:val="000000" w:themeColor="text1"/>
                <w:sz w:val="24"/>
                <w:szCs w:val="24"/>
              </w:rPr>
            </w:pPr>
          </w:p>
        </w:tc>
      </w:tr>
      <w:tr w:rsidR="008B4454" w:rsidRPr="00687B52" w:rsidTr="007F37C0">
        <w:trPr>
          <w:jc w:val="center"/>
        </w:trPr>
        <w:tc>
          <w:tcPr>
            <w:tcW w:w="338" w:type="pct"/>
            <w:vAlign w:val="center"/>
          </w:tcPr>
          <w:p w:rsidR="008B4454" w:rsidRPr="00687B52" w:rsidRDefault="008B4454"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w:t>
            </w:r>
          </w:p>
        </w:tc>
        <w:tc>
          <w:tcPr>
            <w:tcW w:w="2331" w:type="pct"/>
            <w:vAlign w:val="center"/>
          </w:tcPr>
          <w:p w:rsidR="008B4454" w:rsidRPr="00687B52" w:rsidRDefault="008B4454" w:rsidP="003E1D2A">
            <w:pPr>
              <w:widowControl/>
              <w:jc w:val="left"/>
              <w:rPr>
                <w:rFonts w:ascii="宋体" w:eastAsia="宋体" w:hAnsi="宋体" w:cs="宋体"/>
                <w:bCs/>
                <w:color w:val="000000" w:themeColor="text1"/>
                <w:kern w:val="0"/>
                <w:sz w:val="24"/>
                <w:szCs w:val="24"/>
              </w:rPr>
            </w:pPr>
            <w:r w:rsidRPr="00687B52">
              <w:rPr>
                <w:rFonts w:asciiTheme="minorEastAsia" w:hAnsiTheme="minorEastAsia" w:hint="eastAsia"/>
                <w:b/>
                <w:bCs/>
                <w:color w:val="000000" w:themeColor="text1"/>
                <w:szCs w:val="24"/>
              </w:rPr>
              <w:t>工艺设备、设施、储运</w:t>
            </w:r>
          </w:p>
        </w:tc>
        <w:tc>
          <w:tcPr>
            <w:tcW w:w="1058" w:type="pct"/>
            <w:vAlign w:val="center"/>
          </w:tcPr>
          <w:p w:rsidR="008B4454" w:rsidRPr="00687B52" w:rsidRDefault="008B4454" w:rsidP="003E1D2A">
            <w:pPr>
              <w:pStyle w:val="a7"/>
              <w:rPr>
                <w:rFonts w:ascii="宋体" w:hAnsi="宋体" w:cs="宋体"/>
                <w:bCs/>
                <w:color w:val="000000" w:themeColor="text1"/>
                <w:kern w:val="0"/>
                <w:szCs w:val="24"/>
              </w:rPr>
            </w:pPr>
          </w:p>
        </w:tc>
        <w:tc>
          <w:tcPr>
            <w:tcW w:w="1273" w:type="pct"/>
            <w:vAlign w:val="center"/>
          </w:tcPr>
          <w:p w:rsidR="008B4454" w:rsidRPr="00687B52" w:rsidRDefault="008B4454" w:rsidP="003E1D2A">
            <w:pPr>
              <w:rPr>
                <w:rFonts w:asciiTheme="minorEastAsia" w:hAnsiTheme="minorEastAsia"/>
                <w:bCs/>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w:t>
            </w:r>
          </w:p>
        </w:tc>
        <w:tc>
          <w:tcPr>
            <w:tcW w:w="2331" w:type="pct"/>
            <w:vAlign w:val="center"/>
          </w:tcPr>
          <w:p w:rsidR="003E1D2A" w:rsidRPr="00687B52" w:rsidRDefault="003E1D2A" w:rsidP="003E1D2A">
            <w:pPr>
              <w:pStyle w:val="a7"/>
              <w:jc w:val="left"/>
              <w:rPr>
                <w:rFonts w:asciiTheme="minorEastAsia" w:hAnsiTheme="minorEastAsia"/>
                <w:color w:val="000000" w:themeColor="text1"/>
                <w:szCs w:val="24"/>
              </w:rPr>
            </w:pPr>
            <w:r w:rsidRPr="00687B52">
              <w:rPr>
                <w:rFonts w:asciiTheme="minorEastAsia" w:hAnsiTheme="minorEastAsia" w:hint="eastAsia"/>
                <w:bCs/>
                <w:color w:val="000000" w:themeColor="text1"/>
                <w:szCs w:val="24"/>
              </w:rPr>
              <w:t>地上储罐应采用钢制储罐。</w:t>
            </w:r>
          </w:p>
        </w:tc>
        <w:tc>
          <w:tcPr>
            <w:tcW w:w="1058" w:type="pct"/>
            <w:vAlign w:val="center"/>
          </w:tcPr>
          <w:p w:rsidR="003E1D2A" w:rsidRPr="00687B52" w:rsidRDefault="003E1D2A" w:rsidP="003E1D2A">
            <w:pPr>
              <w:pStyle w:val="a7"/>
              <w:rPr>
                <w:color w:val="000000" w:themeColor="text1"/>
              </w:rPr>
            </w:pPr>
            <w:r w:rsidRPr="00687B52">
              <w:rPr>
                <w:rFonts w:asciiTheme="minorEastAsia" w:hAnsiTheme="minorEastAsia" w:hint="eastAsia"/>
                <w:bCs/>
                <w:color w:val="000000" w:themeColor="text1"/>
                <w:szCs w:val="24"/>
              </w:rPr>
              <w:t>《石油库设计规范》GB50074-2014第6.1.1条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2.2</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储存甲</w:t>
            </w:r>
            <w:r w:rsidRPr="00687B52">
              <w:rPr>
                <w:rFonts w:hint="eastAsia"/>
                <w:color w:val="000000" w:themeColor="text1"/>
              </w:rPr>
              <w:t>B</w:t>
            </w:r>
            <w:r w:rsidRPr="00687B52">
              <w:rPr>
                <w:rFonts w:hint="eastAsia"/>
                <w:color w:val="000000" w:themeColor="text1"/>
              </w:rPr>
              <w:t>、乙</w:t>
            </w:r>
            <w:r w:rsidRPr="00687B52">
              <w:rPr>
                <w:rFonts w:hint="eastAsia"/>
                <w:color w:val="000000" w:themeColor="text1"/>
              </w:rPr>
              <w:t>A</w:t>
            </w:r>
            <w:r w:rsidRPr="00687B52">
              <w:rPr>
                <w:rFonts w:hint="eastAsia"/>
                <w:color w:val="000000" w:themeColor="text1"/>
              </w:rPr>
              <w:t>类原油和成品油，应采用外浮顶储罐、内浮顶储罐和卧式储罐。</w:t>
            </w:r>
            <w:r w:rsidRPr="00687B52">
              <w:rPr>
                <w:rFonts w:hint="eastAsia"/>
                <w:color w:val="000000" w:themeColor="text1"/>
              </w:rPr>
              <w:t>3</w:t>
            </w:r>
            <w:r w:rsidRPr="00687B52">
              <w:rPr>
                <w:rFonts w:hint="eastAsia"/>
                <w:color w:val="000000" w:themeColor="text1"/>
              </w:rPr>
              <w:t>号喷气燃料的最高储存温度低于油品闪点</w:t>
            </w:r>
            <w:r w:rsidRPr="00687B52">
              <w:rPr>
                <w:rFonts w:hint="eastAsia"/>
                <w:color w:val="000000" w:themeColor="text1"/>
              </w:rPr>
              <w:t>5</w:t>
            </w:r>
            <w:r w:rsidRPr="00687B52">
              <w:rPr>
                <w:rFonts w:hint="eastAsia"/>
                <w:color w:val="000000" w:themeColor="text1"/>
              </w:rPr>
              <w:t>℃及以下时，可采用容量小于或等于</w:t>
            </w:r>
            <w:r w:rsidRPr="00687B52">
              <w:rPr>
                <w:rFonts w:hint="eastAsia"/>
                <w:color w:val="000000" w:themeColor="text1"/>
              </w:rPr>
              <w:t>10000m</w:t>
            </w:r>
            <w:r w:rsidRPr="00687B52">
              <w:rPr>
                <w:rFonts w:hint="eastAsia"/>
                <w:color w:val="000000" w:themeColor="text1"/>
                <w:vertAlign w:val="superscript"/>
              </w:rPr>
              <w:t>3</w:t>
            </w:r>
            <w:r w:rsidRPr="00687B52">
              <w:rPr>
                <w:rFonts w:hint="eastAsia"/>
                <w:color w:val="000000" w:themeColor="text1"/>
              </w:rPr>
              <w:t>的固定顶储罐。</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6.1.4</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2.3</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内浮顶储罐的内浮顶选用，应符合下列规定：</w:t>
            </w:r>
          </w:p>
          <w:p w:rsidR="003E1D2A" w:rsidRPr="00687B52" w:rsidRDefault="003E1D2A" w:rsidP="003E1D2A">
            <w:pPr>
              <w:pStyle w:val="a7"/>
              <w:jc w:val="left"/>
              <w:rPr>
                <w:color w:val="000000" w:themeColor="text1"/>
              </w:rPr>
            </w:pPr>
            <w:r w:rsidRPr="00687B52">
              <w:rPr>
                <w:rFonts w:hint="eastAsia"/>
                <w:color w:val="000000" w:themeColor="text1"/>
              </w:rPr>
              <w:t>1</w:t>
            </w:r>
            <w:r w:rsidRPr="00687B52">
              <w:rPr>
                <w:rFonts w:hint="eastAsia"/>
                <w:color w:val="000000" w:themeColor="text1"/>
              </w:rPr>
              <w:t>）内浮顶应采用金属内浮顶，且不得采用浅盘式或敞口隔舱式内浮顶。</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2</w:t>
            </w:r>
            <w:r w:rsidRPr="00687B52">
              <w:rPr>
                <w:rFonts w:hint="eastAsia"/>
                <w:color w:val="000000" w:themeColor="text1"/>
              </w:rPr>
              <w:t>）储存</w:t>
            </w:r>
            <w:r w:rsidRPr="00687B52">
              <w:rPr>
                <w:rFonts w:hint="eastAsia"/>
                <w:color w:val="000000" w:themeColor="text1"/>
              </w:rPr>
              <w:t> </w:t>
            </w:r>
            <w:r w:rsidRPr="00687B52">
              <w:rPr>
                <w:rFonts w:hint="eastAsia"/>
                <w:color w:val="000000" w:themeColor="text1"/>
              </w:rPr>
              <w:t>Ⅰ、Ⅱ级毒性液体的内浮顶储罐和直径大于</w:t>
            </w:r>
            <w:r w:rsidRPr="00687B52">
              <w:rPr>
                <w:rFonts w:hint="eastAsia"/>
                <w:color w:val="000000" w:themeColor="text1"/>
              </w:rPr>
              <w:t>40m</w:t>
            </w:r>
            <w:r w:rsidRPr="00687B52">
              <w:rPr>
                <w:rFonts w:hint="eastAsia"/>
                <w:color w:val="000000" w:themeColor="text1"/>
              </w:rPr>
              <w:t>的储存甲</w:t>
            </w:r>
            <w:r w:rsidRPr="00687B52">
              <w:rPr>
                <w:rFonts w:hint="eastAsia"/>
                <w:color w:val="000000" w:themeColor="text1"/>
              </w:rPr>
              <w:t>B</w:t>
            </w:r>
            <w:r w:rsidRPr="00687B52">
              <w:rPr>
                <w:rFonts w:hint="eastAsia"/>
                <w:color w:val="000000" w:themeColor="text1"/>
              </w:rPr>
              <w:t>、乙</w:t>
            </w:r>
            <w:r w:rsidRPr="00687B52">
              <w:rPr>
                <w:rFonts w:hint="eastAsia"/>
                <w:color w:val="000000" w:themeColor="text1"/>
              </w:rPr>
              <w:t>A</w:t>
            </w:r>
            <w:r w:rsidRPr="00687B52">
              <w:rPr>
                <w:rFonts w:hint="eastAsia"/>
                <w:color w:val="000000" w:themeColor="text1"/>
              </w:rPr>
              <w:t>类液体的内浮顶储罐，不得采用用易熔材料制作的内浮顶。</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3</w:t>
            </w:r>
            <w:r w:rsidRPr="00687B52">
              <w:rPr>
                <w:rFonts w:hint="eastAsia"/>
                <w:color w:val="000000" w:themeColor="text1"/>
              </w:rPr>
              <w:t>）直径大于</w:t>
            </w:r>
            <w:r w:rsidRPr="00687B52">
              <w:rPr>
                <w:rFonts w:hint="eastAsia"/>
                <w:color w:val="000000" w:themeColor="text1"/>
              </w:rPr>
              <w:t>48m</w:t>
            </w:r>
            <w:r w:rsidRPr="00687B52">
              <w:rPr>
                <w:rFonts w:hint="eastAsia"/>
                <w:color w:val="000000" w:themeColor="text1"/>
              </w:rPr>
              <w:t>的内浮顶储罐，应选用钢制单盘式或双盘式内浮顶。</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4</w:t>
            </w:r>
            <w:r w:rsidRPr="00687B52">
              <w:rPr>
                <w:rFonts w:hint="eastAsia"/>
                <w:color w:val="000000" w:themeColor="text1"/>
              </w:rPr>
              <w:t>）新结构内浮顶的采用应通过安全性评估。</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6.1.7</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2.4</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储存</w:t>
            </w:r>
            <w:r w:rsidRPr="00687B52">
              <w:rPr>
                <w:rFonts w:hint="eastAsia"/>
                <w:color w:val="000000" w:themeColor="text1"/>
              </w:rPr>
              <w:t> </w:t>
            </w:r>
            <w:r w:rsidRPr="00687B52">
              <w:rPr>
                <w:rFonts w:hint="eastAsia"/>
                <w:color w:val="000000" w:themeColor="text1"/>
              </w:rPr>
              <w:t>Ⅰ、Ⅱ级毒性的甲</w:t>
            </w:r>
            <w:r w:rsidRPr="00687B52">
              <w:rPr>
                <w:rFonts w:hint="eastAsia"/>
                <w:color w:val="000000" w:themeColor="text1"/>
              </w:rPr>
              <w:t>B</w:t>
            </w:r>
            <w:r w:rsidRPr="00687B52">
              <w:rPr>
                <w:rFonts w:hint="eastAsia"/>
                <w:color w:val="000000" w:themeColor="text1"/>
              </w:rPr>
              <w:t>、乙</w:t>
            </w:r>
            <w:r w:rsidRPr="00687B52">
              <w:rPr>
                <w:rFonts w:hint="eastAsia"/>
                <w:color w:val="000000" w:themeColor="text1"/>
              </w:rPr>
              <w:t>A</w:t>
            </w:r>
            <w:r w:rsidRPr="00687B52">
              <w:rPr>
                <w:rFonts w:hint="eastAsia"/>
                <w:color w:val="000000" w:themeColor="text1"/>
              </w:rPr>
              <w:t>类液体储罐的单罐容量不应大于</w:t>
            </w:r>
            <w:r w:rsidRPr="00687B52">
              <w:rPr>
                <w:rFonts w:hint="eastAsia"/>
                <w:color w:val="000000" w:themeColor="text1"/>
              </w:rPr>
              <w:t>5000m</w:t>
            </w:r>
            <w:r w:rsidRPr="00687B52">
              <w:rPr>
                <w:rFonts w:hint="eastAsia"/>
                <w:color w:val="000000" w:themeColor="text1"/>
              </w:rPr>
              <w:t>³，且应设置氮封保护系统。</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6.1.8</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2.5</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地上储罐应按下列规定成组布置：</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1</w:t>
            </w:r>
            <w:r w:rsidRPr="00687B52">
              <w:rPr>
                <w:rFonts w:hint="eastAsia"/>
                <w:color w:val="000000" w:themeColor="text1"/>
              </w:rPr>
              <w:t>）甲</w:t>
            </w:r>
            <w:r w:rsidRPr="00687B52">
              <w:rPr>
                <w:rFonts w:hint="eastAsia"/>
                <w:color w:val="000000" w:themeColor="text1"/>
              </w:rPr>
              <w:t>B</w:t>
            </w:r>
            <w:r w:rsidRPr="00687B52">
              <w:rPr>
                <w:rFonts w:hint="eastAsia"/>
                <w:color w:val="000000" w:themeColor="text1"/>
              </w:rPr>
              <w:t>、乙和丙</w:t>
            </w:r>
            <w:r w:rsidRPr="00687B52">
              <w:rPr>
                <w:rFonts w:hint="eastAsia"/>
                <w:color w:val="000000" w:themeColor="text1"/>
              </w:rPr>
              <w:t>A</w:t>
            </w:r>
            <w:r w:rsidRPr="00687B52">
              <w:rPr>
                <w:rFonts w:hint="eastAsia"/>
                <w:color w:val="000000" w:themeColor="text1"/>
              </w:rPr>
              <w:t>类液体储罐可布置在同一罐组内；丙</w:t>
            </w:r>
            <w:r w:rsidRPr="00687B52">
              <w:rPr>
                <w:rFonts w:hint="eastAsia"/>
                <w:color w:val="000000" w:themeColor="text1"/>
              </w:rPr>
              <w:t>B</w:t>
            </w:r>
            <w:r w:rsidRPr="00687B52">
              <w:rPr>
                <w:rFonts w:hint="eastAsia"/>
                <w:color w:val="000000" w:themeColor="text1"/>
              </w:rPr>
              <w:t>类</w:t>
            </w:r>
            <w:r w:rsidRPr="00687B52">
              <w:rPr>
                <w:rFonts w:hint="eastAsia"/>
                <w:color w:val="000000" w:themeColor="text1"/>
              </w:rPr>
              <w:t>   </w:t>
            </w:r>
            <w:r w:rsidRPr="00687B52">
              <w:rPr>
                <w:rFonts w:hint="eastAsia"/>
                <w:color w:val="000000" w:themeColor="text1"/>
              </w:rPr>
              <w:t>液体储罐宜独立设置罐组。</w:t>
            </w:r>
            <w:r w:rsidRPr="00687B52">
              <w:rPr>
                <w:rFonts w:hint="eastAsia"/>
                <w:color w:val="000000" w:themeColor="text1"/>
              </w:rPr>
              <w:t> </w:t>
            </w:r>
          </w:p>
          <w:p w:rsidR="003E1D2A" w:rsidRPr="00687B52" w:rsidRDefault="003E1D2A" w:rsidP="00D9787F">
            <w:pPr>
              <w:pStyle w:val="a7"/>
              <w:numPr>
                <w:ilvl w:val="0"/>
                <w:numId w:val="108"/>
              </w:numPr>
              <w:jc w:val="left"/>
              <w:rPr>
                <w:color w:val="000000" w:themeColor="text1"/>
              </w:rPr>
            </w:pPr>
            <w:r w:rsidRPr="00687B52">
              <w:rPr>
                <w:rFonts w:hint="eastAsia"/>
                <w:color w:val="000000" w:themeColor="text1"/>
              </w:rPr>
              <w:t>沸溢性液体储罐不应与非沸溢性液体储罐同组布置。</w:t>
            </w:r>
            <w:r w:rsidRPr="00687B52">
              <w:rPr>
                <w:rFonts w:hint="eastAsia"/>
                <w:color w:val="000000" w:themeColor="text1"/>
              </w:rPr>
              <w:t> </w:t>
            </w:r>
          </w:p>
          <w:p w:rsidR="003E1D2A" w:rsidRPr="00687B52" w:rsidRDefault="003E1D2A" w:rsidP="00D9787F">
            <w:pPr>
              <w:pStyle w:val="a7"/>
              <w:numPr>
                <w:ilvl w:val="0"/>
                <w:numId w:val="108"/>
              </w:numPr>
              <w:jc w:val="left"/>
              <w:rPr>
                <w:color w:val="000000" w:themeColor="text1"/>
              </w:rPr>
            </w:pPr>
            <w:r w:rsidRPr="00687B52">
              <w:rPr>
                <w:rFonts w:hint="eastAsia"/>
                <w:color w:val="000000" w:themeColor="text1"/>
              </w:rPr>
              <w:t>立式储罐不宜与卧式储罐布置在同一个储罐组内。</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4</w:t>
            </w:r>
            <w:r w:rsidRPr="00687B52">
              <w:rPr>
                <w:rFonts w:hint="eastAsia"/>
                <w:color w:val="000000" w:themeColor="text1"/>
              </w:rPr>
              <w:t>）储存Ⅰ、Ⅱ级毒性液体的储罐不应与其他易燃和可燃液体储罐布置在同一个罐组内。</w:t>
            </w:r>
            <w:r w:rsidRPr="00687B52">
              <w:rPr>
                <w:rFonts w:hint="eastAsia"/>
                <w:color w:val="000000" w:themeColor="text1"/>
              </w:rPr>
              <w:t> </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6.1.10</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2.6</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同一罐组内储罐的总容量应符合下列规定：</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1</w:t>
            </w:r>
            <w:r w:rsidRPr="00687B52">
              <w:rPr>
                <w:rFonts w:hint="eastAsia"/>
                <w:color w:val="000000" w:themeColor="text1"/>
              </w:rPr>
              <w:t>）固定顶储罐组及固定顶储罐和外浮顶、内浮顶储罐的混合罐组的容量不应大于</w:t>
            </w:r>
            <w:r w:rsidRPr="00687B52">
              <w:rPr>
                <w:rFonts w:hint="eastAsia"/>
                <w:color w:val="000000" w:themeColor="text1"/>
              </w:rPr>
              <w:t>120000m</w:t>
            </w:r>
            <w:r w:rsidRPr="00687B52">
              <w:rPr>
                <w:rFonts w:hint="eastAsia"/>
                <w:color w:val="000000" w:themeColor="text1"/>
                <w:vertAlign w:val="superscript"/>
              </w:rPr>
              <w:t>3</w:t>
            </w:r>
            <w:r w:rsidRPr="00687B52">
              <w:rPr>
                <w:rFonts w:hint="eastAsia"/>
                <w:color w:val="000000" w:themeColor="text1"/>
              </w:rPr>
              <w:t>，其中浮顶用钢质材料制作的外浮</w:t>
            </w:r>
            <w:r w:rsidRPr="00687B52">
              <w:rPr>
                <w:rFonts w:hint="eastAsia"/>
                <w:color w:val="000000" w:themeColor="text1"/>
              </w:rPr>
              <w:t>   </w:t>
            </w:r>
            <w:r w:rsidRPr="00687B52">
              <w:rPr>
                <w:rFonts w:hint="eastAsia"/>
                <w:color w:val="000000" w:themeColor="text1"/>
              </w:rPr>
              <w:t>顶储罐、内浮顶储罐的容量可按</w:t>
            </w:r>
            <w:r w:rsidRPr="00687B52">
              <w:rPr>
                <w:rFonts w:hint="eastAsia"/>
                <w:color w:val="000000" w:themeColor="text1"/>
              </w:rPr>
              <w:t>50</w:t>
            </w:r>
            <w:r w:rsidRPr="00687B52">
              <w:rPr>
                <w:rFonts w:hint="eastAsia"/>
                <w:color w:val="000000" w:themeColor="text1"/>
              </w:rPr>
              <w:t>％计入混合罐组的总容量。</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2</w:t>
            </w:r>
            <w:r w:rsidRPr="00687B52">
              <w:rPr>
                <w:rFonts w:hint="eastAsia"/>
                <w:color w:val="000000" w:themeColor="text1"/>
              </w:rPr>
              <w:t>）浮顶用钢质材料制作的内浮顶储罐组的容量不应大于</w:t>
            </w:r>
            <w:r w:rsidRPr="00687B52">
              <w:rPr>
                <w:rFonts w:hint="eastAsia"/>
                <w:color w:val="000000" w:themeColor="text1"/>
              </w:rPr>
              <w:t>360000m</w:t>
            </w:r>
            <w:r w:rsidRPr="00687B52">
              <w:rPr>
                <w:rFonts w:hint="eastAsia"/>
                <w:color w:val="000000" w:themeColor="text1"/>
                <w:vertAlign w:val="superscript"/>
              </w:rPr>
              <w:t>3</w:t>
            </w:r>
            <w:r w:rsidRPr="00687B52">
              <w:rPr>
                <w:rFonts w:hint="eastAsia"/>
                <w:color w:val="000000" w:themeColor="text1"/>
              </w:rPr>
              <w:t>；浮顶用易熔材料制作的内浮顶储罐组的容量不应大于</w:t>
            </w:r>
            <w:r w:rsidRPr="00687B52">
              <w:rPr>
                <w:rFonts w:hint="eastAsia"/>
                <w:color w:val="000000" w:themeColor="text1"/>
              </w:rPr>
              <w:t>240000m</w:t>
            </w:r>
            <w:r w:rsidRPr="00687B52">
              <w:rPr>
                <w:rFonts w:hint="eastAsia"/>
                <w:color w:val="000000" w:themeColor="text1"/>
              </w:rPr>
              <w:t>³。</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3</w:t>
            </w:r>
            <w:r w:rsidRPr="00687B52">
              <w:rPr>
                <w:rFonts w:hint="eastAsia"/>
                <w:color w:val="000000" w:themeColor="text1"/>
              </w:rPr>
              <w:t>）外浮顶储罐组的容量不应大于</w:t>
            </w:r>
            <w:r w:rsidRPr="00687B52">
              <w:rPr>
                <w:rFonts w:hint="eastAsia"/>
                <w:color w:val="000000" w:themeColor="text1"/>
              </w:rPr>
              <w:t>600000m</w:t>
            </w:r>
            <w:r w:rsidRPr="00687B52">
              <w:rPr>
                <w:rFonts w:hint="eastAsia"/>
                <w:color w:val="000000" w:themeColor="text1"/>
                <w:vertAlign w:val="superscript"/>
              </w:rPr>
              <w:t>3</w:t>
            </w:r>
            <w:r w:rsidRPr="00687B52">
              <w:rPr>
                <w:rFonts w:hint="eastAsia"/>
                <w:color w:val="000000" w:themeColor="text1"/>
              </w:rPr>
              <w:t>。</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6.1.11</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2.7</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同一个罐组内的储罐数量应符合下列规定：</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1</w:t>
            </w:r>
            <w:r w:rsidRPr="00687B52">
              <w:rPr>
                <w:rFonts w:hint="eastAsia"/>
                <w:color w:val="000000" w:themeColor="text1"/>
              </w:rPr>
              <w:t>）当最大单罐容量大于或等于</w:t>
            </w:r>
            <w:r w:rsidRPr="00687B52">
              <w:rPr>
                <w:rFonts w:hint="eastAsia"/>
                <w:color w:val="000000" w:themeColor="text1"/>
              </w:rPr>
              <w:t>10000m</w:t>
            </w:r>
            <w:r w:rsidRPr="00687B52">
              <w:rPr>
                <w:rFonts w:hint="eastAsia"/>
                <w:color w:val="000000" w:themeColor="text1"/>
              </w:rPr>
              <w:t>³时，储罐数量不应多于</w:t>
            </w:r>
            <w:r w:rsidRPr="00687B52">
              <w:rPr>
                <w:rFonts w:hint="eastAsia"/>
                <w:color w:val="000000" w:themeColor="text1"/>
              </w:rPr>
              <w:t>12</w:t>
            </w:r>
            <w:r w:rsidRPr="00687B52">
              <w:rPr>
                <w:rFonts w:hint="eastAsia"/>
                <w:color w:val="000000" w:themeColor="text1"/>
              </w:rPr>
              <w:t>座。</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2</w:t>
            </w:r>
            <w:r w:rsidRPr="00687B52">
              <w:rPr>
                <w:rFonts w:hint="eastAsia"/>
                <w:color w:val="000000" w:themeColor="text1"/>
              </w:rPr>
              <w:t>）当最大单罐容量大于或等于</w:t>
            </w:r>
            <w:r w:rsidRPr="00687B52">
              <w:rPr>
                <w:rFonts w:hint="eastAsia"/>
                <w:color w:val="000000" w:themeColor="text1"/>
              </w:rPr>
              <w:t>1000m</w:t>
            </w:r>
            <w:r w:rsidRPr="00687B52">
              <w:rPr>
                <w:rFonts w:hint="eastAsia"/>
                <w:color w:val="000000" w:themeColor="text1"/>
                <w:vertAlign w:val="superscript"/>
              </w:rPr>
              <w:t>3</w:t>
            </w:r>
            <w:r w:rsidRPr="00687B52">
              <w:rPr>
                <w:rFonts w:hint="eastAsia"/>
                <w:color w:val="000000" w:themeColor="text1"/>
              </w:rPr>
              <w:t>时，储罐数量不应多于</w:t>
            </w:r>
            <w:r w:rsidRPr="00687B52">
              <w:rPr>
                <w:rFonts w:hint="eastAsia"/>
                <w:color w:val="000000" w:themeColor="text1"/>
              </w:rPr>
              <w:t>16</w:t>
            </w:r>
            <w:r w:rsidRPr="00687B52">
              <w:rPr>
                <w:rFonts w:hint="eastAsia"/>
                <w:color w:val="000000" w:themeColor="text1"/>
              </w:rPr>
              <w:t>座。</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3</w:t>
            </w:r>
            <w:r w:rsidRPr="00687B52">
              <w:rPr>
                <w:rFonts w:hint="eastAsia"/>
                <w:color w:val="000000" w:themeColor="text1"/>
              </w:rPr>
              <w:t>）单罐容量小于</w:t>
            </w:r>
            <w:r w:rsidRPr="00687B52">
              <w:rPr>
                <w:rFonts w:hint="eastAsia"/>
                <w:color w:val="000000" w:themeColor="text1"/>
              </w:rPr>
              <w:t>1000m</w:t>
            </w:r>
            <w:r w:rsidRPr="00687B52">
              <w:rPr>
                <w:rFonts w:hint="eastAsia"/>
                <w:color w:val="000000" w:themeColor="text1"/>
                <w:vertAlign w:val="superscript"/>
              </w:rPr>
              <w:t>3</w:t>
            </w:r>
            <w:r w:rsidRPr="00687B52">
              <w:rPr>
                <w:rFonts w:hint="eastAsia"/>
                <w:color w:val="000000" w:themeColor="text1"/>
              </w:rPr>
              <w:t>或仅储存丙</w:t>
            </w:r>
            <w:r w:rsidRPr="00687B52">
              <w:rPr>
                <w:rFonts w:hint="eastAsia"/>
                <w:color w:val="000000" w:themeColor="text1"/>
              </w:rPr>
              <w:t>B</w:t>
            </w:r>
            <w:r w:rsidRPr="00687B52">
              <w:rPr>
                <w:rFonts w:hint="eastAsia"/>
                <w:color w:val="000000" w:themeColor="text1"/>
              </w:rPr>
              <w:t>类液体的罐组，可不限储罐数量。</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6.1.12</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2.8</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地上立式储罐的基础面标高，应高于储罐周围设计地坪</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0.</w:t>
            </w:r>
            <w:r w:rsidRPr="00687B52">
              <w:rPr>
                <w:rFonts w:hint="eastAsia"/>
                <w:color w:val="000000" w:themeColor="text1"/>
              </w:rPr>
              <w:t> </w:t>
            </w:r>
            <w:r w:rsidRPr="00687B52">
              <w:rPr>
                <w:rFonts w:hint="eastAsia"/>
                <w:color w:val="000000" w:themeColor="text1"/>
              </w:rPr>
              <w:t>5m</w:t>
            </w:r>
            <w:r w:rsidRPr="00687B52">
              <w:rPr>
                <w:rFonts w:hint="eastAsia"/>
                <w:color w:val="000000" w:themeColor="text1"/>
              </w:rPr>
              <w:t>及以上。</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6.1.14</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2.9</w:t>
            </w:r>
          </w:p>
        </w:tc>
        <w:tc>
          <w:tcPr>
            <w:tcW w:w="2331" w:type="pct"/>
            <w:vAlign w:val="center"/>
          </w:tcPr>
          <w:p w:rsidR="003E1D2A" w:rsidRPr="00687B52" w:rsidRDefault="003E1D2A" w:rsidP="003E1D2A">
            <w:pPr>
              <w:pStyle w:val="a7"/>
              <w:jc w:val="left"/>
              <w:rPr>
                <w:bCs/>
                <w:color w:val="000000" w:themeColor="text1"/>
              </w:rPr>
            </w:pPr>
            <w:r w:rsidRPr="00687B52">
              <w:rPr>
                <w:rFonts w:hint="eastAsia"/>
                <w:bCs/>
                <w:color w:val="000000" w:themeColor="text1"/>
              </w:rPr>
              <w:t>地上储罐组内相邻储罐之间的防火距离不应小于表</w:t>
            </w:r>
            <w:r w:rsidRPr="00687B52">
              <w:rPr>
                <w:rFonts w:hint="eastAsia"/>
                <w:bCs/>
                <w:color w:val="000000" w:themeColor="text1"/>
              </w:rPr>
              <w:t>6.1.15</w:t>
            </w:r>
            <w:r w:rsidRPr="00687B52">
              <w:rPr>
                <w:rFonts w:hint="eastAsia"/>
                <w:bCs/>
                <w:color w:val="000000" w:themeColor="text1"/>
              </w:rPr>
              <w:t>的规定。</w:t>
            </w:r>
          </w:p>
        </w:tc>
        <w:tc>
          <w:tcPr>
            <w:tcW w:w="1058" w:type="pct"/>
            <w:vAlign w:val="center"/>
          </w:tcPr>
          <w:p w:rsidR="003E1D2A" w:rsidRPr="00687B52" w:rsidRDefault="003E1D2A" w:rsidP="003E1D2A">
            <w:pPr>
              <w:pStyle w:val="a7"/>
              <w:rPr>
                <w:color w:val="000000" w:themeColor="text1"/>
              </w:rPr>
            </w:pPr>
            <w:r w:rsidRPr="00687B52">
              <w:rPr>
                <w:rFonts w:hint="eastAsia"/>
                <w:bCs/>
                <w:color w:val="000000" w:themeColor="text1"/>
              </w:rPr>
              <w:t>《石油库设计规范》</w:t>
            </w:r>
            <w:r w:rsidRPr="00687B52">
              <w:rPr>
                <w:rFonts w:hint="eastAsia"/>
                <w:bCs/>
                <w:color w:val="000000" w:themeColor="text1"/>
              </w:rPr>
              <w:t>GB50074-2014</w:t>
            </w:r>
            <w:r w:rsidRPr="00687B52">
              <w:rPr>
                <w:rFonts w:hint="eastAsia"/>
                <w:bCs/>
                <w:color w:val="000000" w:themeColor="text1"/>
              </w:rPr>
              <w:t>第</w:t>
            </w:r>
            <w:r w:rsidRPr="00687B52">
              <w:rPr>
                <w:rFonts w:hint="eastAsia"/>
                <w:bCs/>
                <w:color w:val="000000" w:themeColor="text1"/>
              </w:rPr>
              <w:t>6.1.15</w:t>
            </w:r>
            <w:r w:rsidRPr="00687B52">
              <w:rPr>
                <w:rFonts w:hint="eastAsia"/>
                <w:bCs/>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2.10</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立式储罐应设上罐的梯子、平合和栏杆：高度大于</w:t>
            </w:r>
            <w:r w:rsidRPr="00687B52">
              <w:rPr>
                <w:rFonts w:hint="eastAsia"/>
                <w:color w:val="000000" w:themeColor="text1"/>
              </w:rPr>
              <w:t>5m</w:t>
            </w:r>
            <w:r w:rsidRPr="00687B52">
              <w:rPr>
                <w:rFonts w:hint="eastAsia"/>
                <w:color w:val="000000" w:themeColor="text1"/>
              </w:rPr>
              <w:t>的立式储罐，应采用盘梯。覆土立式油罐高于罐室环形通道地面</w:t>
            </w:r>
            <w:r w:rsidRPr="00687B52">
              <w:rPr>
                <w:rFonts w:hint="eastAsia"/>
                <w:color w:val="000000" w:themeColor="text1"/>
              </w:rPr>
              <w:t>2.</w:t>
            </w:r>
            <w:r w:rsidRPr="00687B52">
              <w:rPr>
                <w:rFonts w:hint="eastAsia"/>
                <w:color w:val="000000" w:themeColor="text1"/>
              </w:rPr>
              <w:t> </w:t>
            </w:r>
            <w:r w:rsidRPr="00687B52">
              <w:rPr>
                <w:rFonts w:hint="eastAsia"/>
                <w:color w:val="000000" w:themeColor="text1"/>
              </w:rPr>
              <w:t>2m</w:t>
            </w:r>
            <w:r w:rsidRPr="00687B52">
              <w:rPr>
                <w:rFonts w:hint="eastAsia"/>
                <w:color w:val="000000" w:themeColor="text1"/>
              </w:rPr>
              <w:t>以下的高度应采用活动斜梯，并应有防止磕碰发生火花的措施。</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6.4.1</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2.11</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储罐罐顶上经常走人的地方，应设防滑踏步和护栏；测量孔处应设测量平台。</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6.4.2</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trHeight w:val="90"/>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2.12</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呼吸阀的排气压力应小于储罐的设计正压力，呼吸阀的进气压力应大于储罐的设计负压力。当呼吸阀所处的环境温度可能小于或等于</w:t>
            </w:r>
            <w:r w:rsidRPr="00687B52">
              <w:rPr>
                <w:rFonts w:hint="eastAsia"/>
                <w:color w:val="000000" w:themeColor="text1"/>
              </w:rPr>
              <w:t>0</w:t>
            </w:r>
            <w:r w:rsidRPr="00687B52">
              <w:rPr>
                <w:rFonts w:hint="eastAsia"/>
                <w:color w:val="000000" w:themeColor="text1"/>
              </w:rPr>
              <w:t>℃时，应选用全天候式呼吸阀。</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6.4.5</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2.13</w:t>
            </w:r>
          </w:p>
        </w:tc>
        <w:tc>
          <w:tcPr>
            <w:tcW w:w="2331" w:type="pct"/>
            <w:vAlign w:val="center"/>
          </w:tcPr>
          <w:p w:rsidR="003E1D2A" w:rsidRPr="00687B52" w:rsidRDefault="003E1D2A" w:rsidP="003E1D2A">
            <w:pPr>
              <w:pStyle w:val="a7"/>
              <w:jc w:val="left"/>
              <w:rPr>
                <w:bCs/>
                <w:color w:val="000000" w:themeColor="text1"/>
              </w:rPr>
            </w:pPr>
            <w:r w:rsidRPr="00687B52">
              <w:rPr>
                <w:rFonts w:hint="eastAsia"/>
                <w:bCs/>
                <w:color w:val="000000" w:themeColor="text1"/>
              </w:rPr>
              <w:t>下列储罐的通气管上必须装设阻火器：</w:t>
            </w:r>
            <w:r w:rsidRPr="00687B52">
              <w:rPr>
                <w:rFonts w:hint="eastAsia"/>
                <w:bCs/>
                <w:color w:val="000000" w:themeColor="text1"/>
              </w:rPr>
              <w:t> </w:t>
            </w:r>
          </w:p>
          <w:p w:rsidR="003E1D2A" w:rsidRPr="00687B52" w:rsidRDefault="003E1D2A" w:rsidP="003E1D2A">
            <w:pPr>
              <w:pStyle w:val="a7"/>
              <w:jc w:val="left"/>
              <w:rPr>
                <w:bCs/>
                <w:color w:val="000000" w:themeColor="text1"/>
              </w:rPr>
            </w:pPr>
            <w:r w:rsidRPr="00687B52">
              <w:rPr>
                <w:rFonts w:hint="eastAsia"/>
                <w:bCs/>
                <w:color w:val="000000" w:themeColor="text1"/>
              </w:rPr>
              <w:t> </w:t>
            </w:r>
            <w:r w:rsidRPr="00687B52">
              <w:rPr>
                <w:rFonts w:hint="eastAsia"/>
                <w:bCs/>
                <w:color w:val="000000" w:themeColor="text1"/>
              </w:rPr>
              <w:t>1</w:t>
            </w:r>
            <w:r w:rsidRPr="00687B52">
              <w:rPr>
                <w:rFonts w:hint="eastAsia"/>
                <w:bCs/>
                <w:color w:val="000000" w:themeColor="text1"/>
              </w:rPr>
              <w:t>）储存甲</w:t>
            </w:r>
            <w:r w:rsidRPr="00687B52">
              <w:rPr>
                <w:rFonts w:hint="eastAsia"/>
                <w:bCs/>
                <w:color w:val="000000" w:themeColor="text1"/>
              </w:rPr>
              <w:t>B</w:t>
            </w:r>
            <w:r w:rsidRPr="00687B52">
              <w:rPr>
                <w:rFonts w:hint="eastAsia"/>
                <w:bCs/>
                <w:color w:val="000000" w:themeColor="text1"/>
              </w:rPr>
              <w:t>类、乙类、丙</w:t>
            </w:r>
            <w:r w:rsidRPr="00687B52">
              <w:rPr>
                <w:rFonts w:hint="eastAsia"/>
                <w:bCs/>
                <w:color w:val="000000" w:themeColor="text1"/>
              </w:rPr>
              <w:t>A</w:t>
            </w:r>
            <w:r w:rsidRPr="00687B52">
              <w:rPr>
                <w:rFonts w:hint="eastAsia"/>
                <w:bCs/>
                <w:color w:val="000000" w:themeColor="text1"/>
              </w:rPr>
              <w:t>类液体的固定顶储罐和地上卧式</w:t>
            </w:r>
            <w:r w:rsidRPr="00687B52">
              <w:rPr>
                <w:rFonts w:hint="eastAsia"/>
                <w:bCs/>
                <w:color w:val="000000" w:themeColor="text1"/>
              </w:rPr>
              <w:t>   </w:t>
            </w:r>
            <w:r w:rsidRPr="00687B52">
              <w:rPr>
                <w:rFonts w:hint="eastAsia"/>
                <w:bCs/>
                <w:color w:val="000000" w:themeColor="text1"/>
              </w:rPr>
              <w:t>储罐；</w:t>
            </w:r>
            <w:r w:rsidRPr="00687B52">
              <w:rPr>
                <w:rFonts w:hint="eastAsia"/>
                <w:bCs/>
                <w:color w:val="000000" w:themeColor="text1"/>
              </w:rPr>
              <w:t> </w:t>
            </w:r>
          </w:p>
          <w:p w:rsidR="003E1D2A" w:rsidRPr="00687B52" w:rsidRDefault="003E1D2A" w:rsidP="003E1D2A">
            <w:pPr>
              <w:pStyle w:val="a7"/>
              <w:jc w:val="left"/>
              <w:rPr>
                <w:bCs/>
                <w:color w:val="000000" w:themeColor="text1"/>
              </w:rPr>
            </w:pPr>
            <w:r w:rsidRPr="00687B52">
              <w:rPr>
                <w:rFonts w:hint="eastAsia"/>
                <w:bCs/>
                <w:color w:val="000000" w:themeColor="text1"/>
              </w:rPr>
              <w:t> </w:t>
            </w:r>
            <w:r w:rsidRPr="00687B52">
              <w:rPr>
                <w:rFonts w:hint="eastAsia"/>
                <w:bCs/>
                <w:color w:val="000000" w:themeColor="text1"/>
              </w:rPr>
              <w:t>2</w:t>
            </w:r>
            <w:r w:rsidRPr="00687B52">
              <w:rPr>
                <w:rFonts w:hint="eastAsia"/>
                <w:bCs/>
                <w:color w:val="000000" w:themeColor="text1"/>
              </w:rPr>
              <w:t>）储存甲</w:t>
            </w:r>
            <w:r w:rsidRPr="00687B52">
              <w:rPr>
                <w:rFonts w:hint="eastAsia"/>
                <w:bCs/>
                <w:color w:val="000000" w:themeColor="text1"/>
              </w:rPr>
              <w:t>B</w:t>
            </w:r>
            <w:r w:rsidRPr="00687B52">
              <w:rPr>
                <w:rFonts w:hint="eastAsia"/>
                <w:bCs/>
                <w:color w:val="000000" w:themeColor="text1"/>
              </w:rPr>
              <w:t>类和乙类液体的覆土卧式油罐；</w:t>
            </w:r>
            <w:r w:rsidRPr="00687B52">
              <w:rPr>
                <w:rFonts w:hint="eastAsia"/>
                <w:bCs/>
                <w:color w:val="000000" w:themeColor="text1"/>
              </w:rPr>
              <w:t> </w:t>
            </w:r>
          </w:p>
          <w:p w:rsidR="003E1D2A" w:rsidRPr="00687B52" w:rsidRDefault="003E1D2A" w:rsidP="003E1D2A">
            <w:pPr>
              <w:pStyle w:val="a7"/>
              <w:jc w:val="left"/>
              <w:rPr>
                <w:color w:val="000000" w:themeColor="text1"/>
              </w:rPr>
            </w:pPr>
            <w:r w:rsidRPr="00687B52">
              <w:rPr>
                <w:rFonts w:hint="eastAsia"/>
                <w:bCs/>
                <w:color w:val="000000" w:themeColor="text1"/>
              </w:rPr>
              <w:t> </w:t>
            </w:r>
            <w:r w:rsidRPr="00687B52">
              <w:rPr>
                <w:rFonts w:hint="eastAsia"/>
                <w:bCs/>
                <w:color w:val="000000" w:themeColor="text1"/>
              </w:rPr>
              <w:t>3</w:t>
            </w:r>
            <w:r w:rsidRPr="00687B52">
              <w:rPr>
                <w:rFonts w:hint="eastAsia"/>
                <w:bCs/>
                <w:color w:val="000000" w:themeColor="text1"/>
              </w:rPr>
              <w:t>）储存甲</w:t>
            </w:r>
            <w:r w:rsidRPr="00687B52">
              <w:rPr>
                <w:rFonts w:hint="eastAsia"/>
                <w:bCs/>
                <w:color w:val="000000" w:themeColor="text1"/>
              </w:rPr>
              <w:t>B</w:t>
            </w:r>
            <w:r w:rsidRPr="00687B52">
              <w:rPr>
                <w:rFonts w:hint="eastAsia"/>
                <w:bCs/>
                <w:color w:val="000000" w:themeColor="text1"/>
              </w:rPr>
              <w:t>类、乙类、丙</w:t>
            </w:r>
            <w:r w:rsidRPr="00687B52">
              <w:rPr>
                <w:rFonts w:hint="eastAsia"/>
                <w:bCs/>
                <w:color w:val="000000" w:themeColor="text1"/>
              </w:rPr>
              <w:t>A</w:t>
            </w:r>
            <w:r w:rsidRPr="00687B52">
              <w:rPr>
                <w:rFonts w:hint="eastAsia"/>
                <w:bCs/>
                <w:color w:val="000000" w:themeColor="text1"/>
              </w:rPr>
              <w:t>类液体并采用氮气密封保护系统的内浮顶储罐。</w:t>
            </w:r>
          </w:p>
        </w:tc>
        <w:tc>
          <w:tcPr>
            <w:tcW w:w="1058" w:type="pct"/>
            <w:vAlign w:val="center"/>
          </w:tcPr>
          <w:p w:rsidR="003E1D2A" w:rsidRPr="00687B52" w:rsidRDefault="003E1D2A" w:rsidP="003E1D2A">
            <w:pPr>
              <w:pStyle w:val="a7"/>
              <w:rPr>
                <w:bCs/>
                <w:color w:val="000000" w:themeColor="text1"/>
              </w:rPr>
            </w:pPr>
            <w:r w:rsidRPr="00687B52">
              <w:rPr>
                <w:rFonts w:hint="eastAsia"/>
                <w:bCs/>
                <w:color w:val="000000" w:themeColor="text1"/>
              </w:rPr>
              <w:t>《石油库设计规范》</w:t>
            </w:r>
            <w:r w:rsidRPr="00687B52">
              <w:rPr>
                <w:rFonts w:hint="eastAsia"/>
                <w:bCs/>
                <w:color w:val="000000" w:themeColor="text1"/>
              </w:rPr>
              <w:t>GB50074-2014</w:t>
            </w:r>
            <w:r w:rsidRPr="00687B52">
              <w:rPr>
                <w:rFonts w:hint="eastAsia"/>
                <w:bCs/>
                <w:color w:val="000000" w:themeColor="text1"/>
              </w:rPr>
              <w:t>第</w:t>
            </w:r>
            <w:r w:rsidRPr="00687B52">
              <w:rPr>
                <w:rFonts w:hint="eastAsia"/>
                <w:bCs/>
                <w:color w:val="000000" w:themeColor="text1"/>
              </w:rPr>
              <w:t>6.4.7</w:t>
            </w:r>
            <w:r w:rsidRPr="00687B52">
              <w:rPr>
                <w:rFonts w:hint="eastAsia"/>
                <w:bCs/>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2.14</w:t>
            </w:r>
          </w:p>
        </w:tc>
        <w:tc>
          <w:tcPr>
            <w:tcW w:w="2331" w:type="pct"/>
            <w:vAlign w:val="center"/>
          </w:tcPr>
          <w:p w:rsidR="003E1D2A" w:rsidRPr="00687B52" w:rsidRDefault="003E1D2A" w:rsidP="003E1D2A">
            <w:pPr>
              <w:pStyle w:val="a7"/>
              <w:jc w:val="left"/>
              <w:rPr>
                <w:color w:val="000000" w:themeColor="text1"/>
              </w:rPr>
            </w:pPr>
            <w:r w:rsidRPr="00687B52">
              <w:rPr>
                <w:rFonts w:hint="eastAsia"/>
                <w:bCs/>
                <w:color w:val="000000" w:themeColor="text1"/>
              </w:rPr>
              <w:t>储罐进液不得采用喷溅方式。甲</w:t>
            </w:r>
            <w:r w:rsidRPr="00687B52">
              <w:rPr>
                <w:rFonts w:hint="eastAsia"/>
                <w:bCs/>
                <w:color w:val="000000" w:themeColor="text1"/>
              </w:rPr>
              <w:t>B,</w:t>
            </w:r>
            <w:r w:rsidRPr="00687B52">
              <w:rPr>
                <w:rFonts w:hint="eastAsia"/>
                <w:bCs/>
                <w:color w:val="000000" w:themeColor="text1"/>
              </w:rPr>
              <w:t> </w:t>
            </w:r>
            <w:r w:rsidRPr="00687B52">
              <w:rPr>
                <w:rFonts w:hint="eastAsia"/>
                <w:bCs/>
                <w:color w:val="000000" w:themeColor="text1"/>
              </w:rPr>
              <w:t>乙类、丙</w:t>
            </w:r>
            <w:r w:rsidRPr="00687B52">
              <w:rPr>
                <w:rFonts w:hint="eastAsia"/>
                <w:bCs/>
                <w:color w:val="000000" w:themeColor="text1"/>
              </w:rPr>
              <w:t>A</w:t>
            </w:r>
            <w:r w:rsidRPr="00687B52">
              <w:rPr>
                <w:rFonts w:hint="eastAsia"/>
                <w:bCs/>
                <w:color w:val="000000" w:themeColor="text1"/>
              </w:rPr>
              <w:t>类液体储罐的进液管从储罐上部接入时，进液管应延伸到储罐的底部。</w:t>
            </w:r>
          </w:p>
        </w:tc>
        <w:tc>
          <w:tcPr>
            <w:tcW w:w="1058" w:type="pct"/>
            <w:vAlign w:val="center"/>
          </w:tcPr>
          <w:p w:rsidR="003E1D2A" w:rsidRPr="00687B52" w:rsidRDefault="003E1D2A" w:rsidP="003E1D2A">
            <w:pPr>
              <w:pStyle w:val="a7"/>
              <w:rPr>
                <w:bCs/>
                <w:color w:val="000000" w:themeColor="text1"/>
              </w:rPr>
            </w:pPr>
            <w:r w:rsidRPr="00687B52">
              <w:rPr>
                <w:rFonts w:hint="eastAsia"/>
                <w:bCs/>
                <w:color w:val="000000" w:themeColor="text1"/>
              </w:rPr>
              <w:t>《石油库设计规范》</w:t>
            </w:r>
            <w:r w:rsidRPr="00687B52">
              <w:rPr>
                <w:rFonts w:hint="eastAsia"/>
                <w:bCs/>
                <w:color w:val="000000" w:themeColor="text1"/>
              </w:rPr>
              <w:t>GB50074-2014</w:t>
            </w:r>
            <w:r w:rsidRPr="00687B52">
              <w:rPr>
                <w:rFonts w:hint="eastAsia"/>
                <w:bCs/>
                <w:color w:val="000000" w:themeColor="text1"/>
              </w:rPr>
              <w:t>第</w:t>
            </w:r>
            <w:r w:rsidRPr="00687B52">
              <w:rPr>
                <w:rFonts w:hint="eastAsia"/>
                <w:bCs/>
                <w:color w:val="000000" w:themeColor="text1"/>
              </w:rPr>
              <w:t>6.4.9</w:t>
            </w:r>
            <w:r w:rsidRPr="00687B52">
              <w:rPr>
                <w:rFonts w:hint="eastAsia"/>
                <w:bCs/>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2.15</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地上储罐组应设防火堤，防火堤的有效容量，不应小于罐组内一个最大储罐的容量。</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6.5.1</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2.16</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地上立式储罐的罐壁至防火堤內堤脚线的距离，不应小于罐壁高度的一半。卧式储罐的罐壁至防火堤內堤脚线的距离，不应小于</w:t>
            </w:r>
            <w:r w:rsidRPr="00687B52">
              <w:rPr>
                <w:rFonts w:hint="eastAsia"/>
                <w:color w:val="000000" w:themeColor="text1"/>
              </w:rPr>
              <w:t>3m</w:t>
            </w:r>
            <w:r w:rsidRPr="00687B52">
              <w:rPr>
                <w:rFonts w:hint="eastAsia"/>
                <w:color w:val="000000" w:themeColor="text1"/>
              </w:rPr>
              <w:t>，依山建设的储罐，可利用山体兼作防火堤，储罐的罐壁至山体的距离最小可为</w:t>
            </w:r>
            <w:r w:rsidRPr="00687B52">
              <w:rPr>
                <w:rFonts w:hint="eastAsia"/>
                <w:color w:val="000000" w:themeColor="text1"/>
              </w:rPr>
              <w:t>1.</w:t>
            </w:r>
            <w:r w:rsidRPr="00687B52">
              <w:rPr>
                <w:rFonts w:hint="eastAsia"/>
                <w:color w:val="000000" w:themeColor="text1"/>
              </w:rPr>
              <w:t> </w:t>
            </w:r>
            <w:r w:rsidRPr="00687B52">
              <w:rPr>
                <w:rFonts w:hint="eastAsia"/>
                <w:color w:val="000000" w:themeColor="text1"/>
              </w:rPr>
              <w:t>5m</w:t>
            </w:r>
            <w:r w:rsidRPr="00687B52">
              <w:rPr>
                <w:rFonts w:hint="eastAsia"/>
                <w:color w:val="000000" w:themeColor="text1"/>
              </w:rPr>
              <w:t>。</w:t>
            </w:r>
            <w:r w:rsidRPr="00687B52">
              <w:rPr>
                <w:rFonts w:hint="eastAsia"/>
                <w:color w:val="000000" w:themeColor="text1"/>
              </w:rPr>
              <w:t> </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6.5.2</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2.17</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地上储罐组的防火堤实高应高于计算高度</w:t>
            </w:r>
            <w:r w:rsidRPr="00687B52">
              <w:rPr>
                <w:rFonts w:hint="eastAsia"/>
                <w:color w:val="000000" w:themeColor="text1"/>
              </w:rPr>
              <w:t>0.</w:t>
            </w:r>
            <w:r w:rsidRPr="00687B52">
              <w:rPr>
                <w:rFonts w:hint="eastAsia"/>
                <w:color w:val="000000" w:themeColor="text1"/>
              </w:rPr>
              <w:t> </w:t>
            </w:r>
            <w:r w:rsidRPr="00687B52">
              <w:rPr>
                <w:rFonts w:hint="eastAsia"/>
                <w:color w:val="000000" w:themeColor="text1"/>
              </w:rPr>
              <w:t>2m</w:t>
            </w:r>
            <w:r w:rsidRPr="00687B52">
              <w:rPr>
                <w:rFonts w:hint="eastAsia"/>
                <w:color w:val="000000" w:themeColor="text1"/>
              </w:rPr>
              <w:t>防火堤高于堤内设计地坪不应小于</w:t>
            </w:r>
            <w:r w:rsidRPr="00687B52">
              <w:rPr>
                <w:rFonts w:hint="eastAsia"/>
                <w:color w:val="000000" w:themeColor="text1"/>
              </w:rPr>
              <w:t>1.</w:t>
            </w:r>
            <w:r w:rsidRPr="00687B52">
              <w:rPr>
                <w:rFonts w:hint="eastAsia"/>
                <w:color w:val="000000" w:themeColor="text1"/>
              </w:rPr>
              <w:t> </w:t>
            </w:r>
            <w:r w:rsidRPr="00687B52">
              <w:rPr>
                <w:rFonts w:hint="eastAsia"/>
                <w:color w:val="000000" w:themeColor="text1"/>
              </w:rPr>
              <w:t>0m</w:t>
            </w:r>
            <w:r w:rsidRPr="00687B52">
              <w:rPr>
                <w:rFonts w:hint="eastAsia"/>
                <w:color w:val="000000" w:themeColor="text1"/>
              </w:rPr>
              <w:t>高于堤外设计地坪或消防车道路面（按较低者计）不应大于</w:t>
            </w:r>
            <w:r w:rsidRPr="00687B52">
              <w:rPr>
                <w:rFonts w:hint="eastAsia"/>
                <w:color w:val="000000" w:themeColor="text1"/>
              </w:rPr>
              <w:t>3</w:t>
            </w:r>
            <w:r w:rsidRPr="00687B52">
              <w:rPr>
                <w:rFonts w:hint="eastAsia"/>
                <w:color w:val="000000" w:themeColor="text1"/>
              </w:rPr>
              <w:t>。</w:t>
            </w:r>
            <w:r w:rsidRPr="00687B52">
              <w:rPr>
                <w:rFonts w:hint="eastAsia"/>
                <w:color w:val="000000" w:themeColor="text1"/>
              </w:rPr>
              <w:t>2m</w:t>
            </w:r>
            <w:r w:rsidRPr="00687B52">
              <w:rPr>
                <w:rFonts w:hint="eastAsia"/>
                <w:color w:val="000000" w:themeColor="text1"/>
              </w:rPr>
              <w:t>。地上卧式储罐的防火堤应高于堤内设计地坪不小于</w:t>
            </w:r>
            <w:r w:rsidRPr="00687B52">
              <w:rPr>
                <w:rFonts w:hint="eastAsia"/>
                <w:color w:val="000000" w:themeColor="text1"/>
              </w:rPr>
              <w:t>0.</w:t>
            </w:r>
            <w:r w:rsidRPr="00687B52">
              <w:rPr>
                <w:rFonts w:hint="eastAsia"/>
                <w:color w:val="000000" w:themeColor="text1"/>
              </w:rPr>
              <w:t> </w:t>
            </w:r>
            <w:r w:rsidRPr="00687B52">
              <w:rPr>
                <w:rFonts w:hint="eastAsia"/>
                <w:color w:val="000000" w:themeColor="text1"/>
              </w:rPr>
              <w:t>5m</w:t>
            </w:r>
            <w:r w:rsidRPr="00687B52">
              <w:rPr>
                <w:rFonts w:hint="eastAsia"/>
                <w:color w:val="000000" w:themeColor="text1"/>
              </w:rPr>
              <w:t>。</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6.5.3</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2.18</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管道穿越防火堤处应采用不燃烧材料严密填实。在雨水管（沟）穿越防火堤处，应采取排水控制措施。</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6.5.6</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2.19</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立式储罐罐组内应按下列规定设置隔堤：</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1</w:t>
            </w:r>
            <w:r w:rsidRPr="00687B52">
              <w:rPr>
                <w:rFonts w:hint="eastAsia"/>
                <w:color w:val="000000" w:themeColor="text1"/>
              </w:rPr>
              <w:t>多品种的罐组内下列储罐之间应设置隔堤：</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1</w:t>
            </w:r>
            <w:r w:rsidRPr="00687B52">
              <w:rPr>
                <w:rFonts w:hint="eastAsia"/>
                <w:color w:val="000000" w:themeColor="text1"/>
              </w:rPr>
              <w:t>）甲</w:t>
            </w:r>
            <w:r w:rsidRPr="00687B52">
              <w:rPr>
                <w:rFonts w:hint="eastAsia"/>
                <w:color w:val="000000" w:themeColor="text1"/>
              </w:rPr>
              <w:t>B</w:t>
            </w:r>
            <w:r w:rsidRPr="00687B52">
              <w:rPr>
                <w:rFonts w:hint="eastAsia"/>
                <w:color w:val="000000" w:themeColor="text1"/>
              </w:rPr>
              <w:t>、乙</w:t>
            </w:r>
            <w:r w:rsidRPr="00687B52">
              <w:rPr>
                <w:rFonts w:hint="eastAsia"/>
                <w:color w:val="000000" w:themeColor="text1"/>
              </w:rPr>
              <w:t>A</w:t>
            </w:r>
            <w:r w:rsidRPr="00687B52">
              <w:rPr>
                <w:rFonts w:hint="eastAsia"/>
                <w:color w:val="000000" w:themeColor="text1"/>
              </w:rPr>
              <w:t>类液体储罐与其他类可燃液体储罐之间；</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2</w:t>
            </w:r>
            <w:r w:rsidRPr="00687B52">
              <w:rPr>
                <w:rFonts w:hint="eastAsia"/>
                <w:color w:val="000000" w:themeColor="text1"/>
              </w:rPr>
              <w:t>）水溶性可燃液体储罐与非水溶性可燃液体储罐之间；</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3</w:t>
            </w:r>
            <w:r w:rsidRPr="00687B52">
              <w:rPr>
                <w:rFonts w:hint="eastAsia"/>
                <w:color w:val="000000" w:themeColor="text1"/>
              </w:rPr>
              <w:t>）相互接触能引起化学反应的可燃液体储罐之间；</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4</w:t>
            </w:r>
            <w:r w:rsidRPr="00687B52">
              <w:rPr>
                <w:rFonts w:hint="eastAsia"/>
                <w:color w:val="000000" w:themeColor="text1"/>
              </w:rPr>
              <w:t>）助燃剂、强氧化剂及具有腐蚀性液体储罐与可燃液体储罐之间。</w:t>
            </w:r>
          </w:p>
          <w:p w:rsidR="003E1D2A" w:rsidRPr="00687B52" w:rsidRDefault="003E1D2A" w:rsidP="003E1D2A">
            <w:pPr>
              <w:pStyle w:val="a7"/>
              <w:jc w:val="left"/>
              <w:rPr>
                <w:color w:val="000000" w:themeColor="text1"/>
              </w:rPr>
            </w:pPr>
            <w:r w:rsidRPr="00687B52">
              <w:rPr>
                <w:rFonts w:hint="eastAsia"/>
                <w:color w:val="000000" w:themeColor="text1"/>
              </w:rPr>
              <w:t>2</w:t>
            </w:r>
            <w:r w:rsidRPr="00687B52">
              <w:rPr>
                <w:rFonts w:hint="eastAsia"/>
                <w:color w:val="000000" w:themeColor="text1"/>
              </w:rPr>
              <w:t>非沸溢性甲</w:t>
            </w:r>
            <w:r w:rsidRPr="00687B52">
              <w:rPr>
                <w:rFonts w:hint="eastAsia"/>
                <w:color w:val="000000" w:themeColor="text1"/>
              </w:rPr>
              <w:t>B</w:t>
            </w:r>
            <w:r w:rsidRPr="00687B52">
              <w:rPr>
                <w:rFonts w:hint="eastAsia"/>
                <w:color w:val="000000" w:themeColor="text1"/>
              </w:rPr>
              <w:t>、乙、丙</w:t>
            </w:r>
            <w:r w:rsidRPr="00687B52">
              <w:rPr>
                <w:rFonts w:hint="eastAsia"/>
                <w:color w:val="000000" w:themeColor="text1"/>
              </w:rPr>
              <w:t>A</w:t>
            </w:r>
            <w:r w:rsidRPr="00687B52">
              <w:rPr>
                <w:rFonts w:hint="eastAsia"/>
                <w:color w:val="000000" w:themeColor="text1"/>
              </w:rPr>
              <w:t>类储罐组隔堤内的储罐数量，不</w:t>
            </w:r>
            <w:r w:rsidR="00D575DF" w:rsidRPr="00687B52">
              <w:rPr>
                <w:rFonts w:hint="eastAsia"/>
                <w:color w:val="000000" w:themeColor="text1"/>
              </w:rPr>
              <w:t>超</w:t>
            </w:r>
            <w:r w:rsidRPr="00687B52">
              <w:rPr>
                <w:rFonts w:hint="eastAsia"/>
                <w:color w:val="000000" w:themeColor="text1"/>
              </w:rPr>
              <w:t>过</w:t>
            </w:r>
            <w:r w:rsidR="00A269A7" w:rsidRPr="00687B52">
              <w:rPr>
                <w:rFonts w:hint="eastAsia"/>
                <w:color w:val="000000" w:themeColor="text1"/>
              </w:rPr>
              <w:t>下表</w:t>
            </w:r>
            <w:r w:rsidRPr="00687B52">
              <w:rPr>
                <w:rFonts w:hint="eastAsia"/>
                <w:color w:val="000000" w:themeColor="text1"/>
              </w:rPr>
              <w:t>的规定。</w:t>
            </w:r>
          </w:p>
          <w:tbl>
            <w:tblPr>
              <w:tblStyle w:val="a6"/>
              <w:tblW w:w="0" w:type="auto"/>
              <w:tblLook w:val="04A0" w:firstRow="1" w:lastRow="0" w:firstColumn="1" w:lastColumn="0" w:noHBand="0" w:noVBand="1"/>
            </w:tblPr>
            <w:tblGrid>
              <w:gridCol w:w="3188"/>
              <w:gridCol w:w="3189"/>
            </w:tblGrid>
            <w:tr w:rsidR="00A269A7" w:rsidRPr="00687B52" w:rsidTr="00A269A7">
              <w:tc>
                <w:tcPr>
                  <w:tcW w:w="3188" w:type="dxa"/>
                  <w:vAlign w:val="center"/>
                </w:tcPr>
                <w:p w:rsidR="00A269A7" w:rsidRPr="00687B52" w:rsidRDefault="00A269A7" w:rsidP="00A269A7">
                  <w:pPr>
                    <w:pStyle w:val="a7"/>
                    <w:rPr>
                      <w:color w:val="000000" w:themeColor="text1"/>
                    </w:rPr>
                  </w:pPr>
                  <w:r w:rsidRPr="00687B52">
                    <w:rPr>
                      <w:rFonts w:hint="eastAsia"/>
                      <w:color w:val="000000" w:themeColor="text1"/>
                    </w:rPr>
                    <w:t>单罐公称容量</w:t>
                  </w:r>
                  <w:r w:rsidRPr="00687B52">
                    <w:rPr>
                      <w:rFonts w:hint="eastAsia"/>
                      <w:color w:val="000000" w:themeColor="text1"/>
                    </w:rPr>
                    <w:t>V</w:t>
                  </w:r>
                  <w:r w:rsidRPr="00687B52">
                    <w:rPr>
                      <w:rFonts w:hint="eastAsia"/>
                      <w:color w:val="000000" w:themeColor="text1"/>
                    </w:rPr>
                    <w:t>（</w:t>
                  </w:r>
                  <w:r w:rsidRPr="00687B52">
                    <w:rPr>
                      <w:rFonts w:hint="eastAsia"/>
                      <w:color w:val="000000" w:themeColor="text1"/>
                    </w:rPr>
                    <w:t>m</w:t>
                  </w:r>
                  <w:r w:rsidRPr="00687B52">
                    <w:rPr>
                      <w:rFonts w:hint="eastAsia"/>
                      <w:color w:val="000000" w:themeColor="text1"/>
                      <w:vertAlign w:val="superscript"/>
                    </w:rPr>
                    <w:t>3</w:t>
                  </w:r>
                  <w:r w:rsidRPr="00687B52">
                    <w:rPr>
                      <w:rFonts w:hint="eastAsia"/>
                      <w:color w:val="000000" w:themeColor="text1"/>
                    </w:rPr>
                    <w:t>）</w:t>
                  </w:r>
                </w:p>
              </w:tc>
              <w:tc>
                <w:tcPr>
                  <w:tcW w:w="3189" w:type="dxa"/>
                  <w:vAlign w:val="center"/>
                </w:tcPr>
                <w:p w:rsidR="00A269A7" w:rsidRPr="00687B52" w:rsidRDefault="00A269A7" w:rsidP="00A269A7">
                  <w:pPr>
                    <w:pStyle w:val="a7"/>
                    <w:rPr>
                      <w:color w:val="000000" w:themeColor="text1"/>
                    </w:rPr>
                  </w:pPr>
                  <w:r w:rsidRPr="00687B52">
                    <w:rPr>
                      <w:rFonts w:hint="eastAsia"/>
                      <w:color w:val="000000" w:themeColor="text1"/>
                    </w:rPr>
                    <w:t>一个隔堤内的储罐数量（座）</w:t>
                  </w:r>
                </w:p>
              </w:tc>
            </w:tr>
            <w:tr w:rsidR="00A269A7" w:rsidRPr="00687B52" w:rsidTr="00A269A7">
              <w:tc>
                <w:tcPr>
                  <w:tcW w:w="3188" w:type="dxa"/>
                  <w:vAlign w:val="center"/>
                </w:tcPr>
                <w:p w:rsidR="00A269A7" w:rsidRPr="00687B52" w:rsidRDefault="00A269A7" w:rsidP="00A269A7">
                  <w:pPr>
                    <w:pStyle w:val="a7"/>
                    <w:rPr>
                      <w:color w:val="000000" w:themeColor="text1"/>
                    </w:rPr>
                  </w:pPr>
                  <w:r w:rsidRPr="00687B52">
                    <w:rPr>
                      <w:rFonts w:hint="eastAsia"/>
                      <w:color w:val="000000" w:themeColor="text1"/>
                    </w:rPr>
                    <w:t>V&lt;5000</w:t>
                  </w:r>
                </w:p>
              </w:tc>
              <w:tc>
                <w:tcPr>
                  <w:tcW w:w="3189" w:type="dxa"/>
                  <w:vAlign w:val="center"/>
                </w:tcPr>
                <w:p w:rsidR="00A269A7" w:rsidRPr="00687B52" w:rsidRDefault="00A269A7" w:rsidP="00A269A7">
                  <w:pPr>
                    <w:pStyle w:val="a7"/>
                    <w:rPr>
                      <w:color w:val="000000" w:themeColor="text1"/>
                    </w:rPr>
                  </w:pPr>
                  <w:r w:rsidRPr="00687B52">
                    <w:rPr>
                      <w:rFonts w:hint="eastAsia"/>
                      <w:color w:val="000000" w:themeColor="text1"/>
                    </w:rPr>
                    <w:t>6</w:t>
                  </w:r>
                </w:p>
              </w:tc>
            </w:tr>
            <w:tr w:rsidR="00A269A7" w:rsidRPr="00687B52" w:rsidTr="00A269A7">
              <w:tc>
                <w:tcPr>
                  <w:tcW w:w="3188" w:type="dxa"/>
                  <w:vAlign w:val="center"/>
                </w:tcPr>
                <w:p w:rsidR="00A269A7" w:rsidRPr="00687B52" w:rsidRDefault="00A269A7" w:rsidP="00A269A7">
                  <w:pPr>
                    <w:pStyle w:val="a7"/>
                    <w:rPr>
                      <w:color w:val="000000" w:themeColor="text1"/>
                    </w:rPr>
                  </w:pPr>
                  <w:r w:rsidRPr="00687B52">
                    <w:rPr>
                      <w:rFonts w:hint="eastAsia"/>
                      <w:color w:val="000000" w:themeColor="text1"/>
                    </w:rPr>
                    <w:t>5000</w:t>
                  </w:r>
                  <w:r w:rsidRPr="00687B52">
                    <w:rPr>
                      <w:rFonts w:hint="eastAsia"/>
                      <w:color w:val="000000" w:themeColor="text1"/>
                    </w:rPr>
                    <w:t>≤</w:t>
                  </w:r>
                  <w:r w:rsidRPr="00687B52">
                    <w:rPr>
                      <w:rFonts w:hint="eastAsia"/>
                      <w:color w:val="000000" w:themeColor="text1"/>
                    </w:rPr>
                    <w:t>V&lt;20000</w:t>
                  </w:r>
                </w:p>
              </w:tc>
              <w:tc>
                <w:tcPr>
                  <w:tcW w:w="3189" w:type="dxa"/>
                  <w:vAlign w:val="center"/>
                </w:tcPr>
                <w:p w:rsidR="00A269A7" w:rsidRPr="00687B52" w:rsidRDefault="00A269A7" w:rsidP="00A269A7">
                  <w:pPr>
                    <w:pStyle w:val="a7"/>
                    <w:rPr>
                      <w:color w:val="000000" w:themeColor="text1"/>
                    </w:rPr>
                  </w:pPr>
                  <w:r w:rsidRPr="00687B52">
                    <w:rPr>
                      <w:rFonts w:hint="eastAsia"/>
                      <w:color w:val="000000" w:themeColor="text1"/>
                    </w:rPr>
                    <w:t>4</w:t>
                  </w:r>
                </w:p>
              </w:tc>
            </w:tr>
            <w:tr w:rsidR="00A269A7" w:rsidRPr="00687B52" w:rsidTr="00A269A7">
              <w:tc>
                <w:tcPr>
                  <w:tcW w:w="3188" w:type="dxa"/>
                  <w:vAlign w:val="center"/>
                </w:tcPr>
                <w:p w:rsidR="00A269A7" w:rsidRPr="00687B52" w:rsidRDefault="00A269A7" w:rsidP="00A269A7">
                  <w:pPr>
                    <w:pStyle w:val="a7"/>
                    <w:rPr>
                      <w:color w:val="000000" w:themeColor="text1"/>
                    </w:rPr>
                  </w:pPr>
                  <w:r w:rsidRPr="00687B52">
                    <w:rPr>
                      <w:rFonts w:hint="eastAsia"/>
                      <w:color w:val="000000" w:themeColor="text1"/>
                    </w:rPr>
                    <w:t>20000</w:t>
                  </w:r>
                  <w:r w:rsidRPr="00687B52">
                    <w:rPr>
                      <w:rFonts w:hint="eastAsia"/>
                      <w:color w:val="000000" w:themeColor="text1"/>
                    </w:rPr>
                    <w:t>≤</w:t>
                  </w:r>
                  <w:r w:rsidRPr="00687B52">
                    <w:rPr>
                      <w:rFonts w:hint="eastAsia"/>
                      <w:color w:val="000000" w:themeColor="text1"/>
                    </w:rPr>
                    <w:t>V&lt;50000</w:t>
                  </w:r>
                </w:p>
              </w:tc>
              <w:tc>
                <w:tcPr>
                  <w:tcW w:w="3189" w:type="dxa"/>
                  <w:vAlign w:val="center"/>
                </w:tcPr>
                <w:p w:rsidR="00A269A7" w:rsidRPr="00687B52" w:rsidRDefault="00A269A7" w:rsidP="00A269A7">
                  <w:pPr>
                    <w:pStyle w:val="a7"/>
                    <w:rPr>
                      <w:color w:val="000000" w:themeColor="text1"/>
                    </w:rPr>
                  </w:pPr>
                  <w:r w:rsidRPr="00687B52">
                    <w:rPr>
                      <w:rFonts w:hint="eastAsia"/>
                      <w:color w:val="000000" w:themeColor="text1"/>
                    </w:rPr>
                    <w:t>2</w:t>
                  </w:r>
                </w:p>
              </w:tc>
            </w:tr>
            <w:tr w:rsidR="00A269A7" w:rsidRPr="00687B52" w:rsidTr="00A269A7">
              <w:tc>
                <w:tcPr>
                  <w:tcW w:w="3188" w:type="dxa"/>
                  <w:vAlign w:val="center"/>
                </w:tcPr>
                <w:p w:rsidR="00A269A7" w:rsidRPr="00687B52" w:rsidRDefault="00A269A7" w:rsidP="00A269A7">
                  <w:pPr>
                    <w:pStyle w:val="a7"/>
                    <w:rPr>
                      <w:color w:val="000000" w:themeColor="text1"/>
                    </w:rPr>
                  </w:pPr>
                  <w:r w:rsidRPr="00687B52">
                    <w:rPr>
                      <w:rFonts w:hint="eastAsia"/>
                      <w:color w:val="000000" w:themeColor="text1"/>
                    </w:rPr>
                    <w:t>V</w:t>
                  </w:r>
                  <w:r w:rsidRPr="00687B52">
                    <w:rPr>
                      <w:rFonts w:hint="eastAsia"/>
                      <w:color w:val="000000" w:themeColor="text1"/>
                    </w:rPr>
                    <w:t>≥</w:t>
                  </w:r>
                  <w:r w:rsidRPr="00687B52">
                    <w:rPr>
                      <w:rFonts w:hint="eastAsia"/>
                      <w:color w:val="000000" w:themeColor="text1"/>
                    </w:rPr>
                    <w:t>50000</w:t>
                  </w:r>
                </w:p>
              </w:tc>
              <w:tc>
                <w:tcPr>
                  <w:tcW w:w="3189" w:type="dxa"/>
                  <w:vAlign w:val="center"/>
                </w:tcPr>
                <w:p w:rsidR="00A269A7" w:rsidRPr="00687B52" w:rsidRDefault="00A269A7" w:rsidP="00A269A7">
                  <w:pPr>
                    <w:pStyle w:val="a7"/>
                    <w:rPr>
                      <w:color w:val="000000" w:themeColor="text1"/>
                    </w:rPr>
                  </w:pPr>
                  <w:r w:rsidRPr="00687B52">
                    <w:rPr>
                      <w:rFonts w:hint="eastAsia"/>
                      <w:color w:val="000000" w:themeColor="text1"/>
                    </w:rPr>
                    <w:t>1</w:t>
                  </w:r>
                </w:p>
              </w:tc>
            </w:tr>
          </w:tbl>
          <w:p w:rsidR="003E1D2A" w:rsidRPr="00687B52" w:rsidRDefault="003E1D2A" w:rsidP="003E1D2A">
            <w:pPr>
              <w:pStyle w:val="a7"/>
              <w:jc w:val="left"/>
              <w:rPr>
                <w:color w:val="000000" w:themeColor="text1"/>
              </w:rPr>
            </w:pPr>
            <w:r w:rsidRPr="00687B52">
              <w:rPr>
                <w:rFonts w:hint="eastAsia"/>
                <w:color w:val="000000" w:themeColor="text1"/>
              </w:rPr>
              <w:t>3</w:t>
            </w:r>
            <w:r w:rsidRPr="00687B52">
              <w:rPr>
                <w:rFonts w:hint="eastAsia"/>
                <w:color w:val="000000" w:themeColor="text1"/>
              </w:rPr>
              <w:t>隔堤内沸溢性液体储罐的数量不应多于</w:t>
            </w:r>
            <w:r w:rsidRPr="00687B52">
              <w:rPr>
                <w:rFonts w:hint="eastAsia"/>
                <w:color w:val="000000" w:themeColor="text1"/>
              </w:rPr>
              <w:t>2</w:t>
            </w:r>
            <w:r w:rsidRPr="00687B52">
              <w:rPr>
                <w:rFonts w:hint="eastAsia"/>
                <w:color w:val="000000" w:themeColor="text1"/>
              </w:rPr>
              <w:t>座。</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4</w:t>
            </w:r>
            <w:r w:rsidRPr="00687B52">
              <w:rPr>
                <w:rFonts w:hint="eastAsia"/>
                <w:color w:val="000000" w:themeColor="text1"/>
              </w:rPr>
              <w:t>非沸溢性的丙</w:t>
            </w:r>
            <w:r w:rsidRPr="00687B52">
              <w:rPr>
                <w:rFonts w:hint="eastAsia"/>
                <w:color w:val="000000" w:themeColor="text1"/>
              </w:rPr>
              <w:t>B</w:t>
            </w:r>
            <w:r w:rsidRPr="00687B52">
              <w:rPr>
                <w:rFonts w:hint="eastAsia"/>
                <w:color w:val="000000" w:themeColor="text1"/>
              </w:rPr>
              <w:t>类液体储罐之间，可不设置隔堤。</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5</w:t>
            </w:r>
            <w:r w:rsidRPr="00687B52">
              <w:rPr>
                <w:rFonts w:hint="eastAsia"/>
                <w:color w:val="000000" w:themeColor="text1"/>
              </w:rPr>
              <w:t>隔堤应是采用不燃烧材料建造的实体墙，隔堤高度宜为</w:t>
            </w:r>
            <w:r w:rsidRPr="00687B52">
              <w:rPr>
                <w:rFonts w:hint="eastAsia"/>
                <w:color w:val="000000" w:themeColor="text1"/>
              </w:rPr>
              <w:t>0.5m-0.8m</w:t>
            </w:r>
            <w:r w:rsidRPr="00687B52">
              <w:rPr>
                <w:rFonts w:hint="eastAsia"/>
                <w:color w:val="000000" w:themeColor="text1"/>
              </w:rPr>
              <w:t>。</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6.5.8</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2.20</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易燃和可燃液体泵站宜采用地上式。其建筑形式应根据输送介质的特点、运行工况及当地气象条件等综合考虑确定，可采采用房间式（泵房）、棚式（泵棚）或露天式。</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7.0.1</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2.21</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易燃和可燃液体泵站的建筑设计，应符合下列规定：</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1</w:t>
            </w:r>
            <w:r w:rsidRPr="00687B52">
              <w:rPr>
                <w:rFonts w:hint="eastAsia"/>
                <w:color w:val="000000" w:themeColor="text1"/>
              </w:rPr>
              <w:t>）泵房或泵棚的净空应满足设备安装、检修和操作的要求，</w:t>
            </w:r>
            <w:r w:rsidRPr="00687B52">
              <w:rPr>
                <w:rFonts w:hint="eastAsia"/>
                <w:color w:val="000000" w:themeColor="text1"/>
              </w:rPr>
              <w:t> </w:t>
            </w:r>
            <w:r w:rsidRPr="00687B52">
              <w:rPr>
                <w:rFonts w:hint="eastAsia"/>
                <w:color w:val="000000" w:themeColor="text1"/>
              </w:rPr>
              <w:t>且不应低于</w:t>
            </w:r>
            <w:r w:rsidRPr="00687B52">
              <w:rPr>
                <w:rFonts w:hint="eastAsia"/>
                <w:color w:val="000000" w:themeColor="text1"/>
              </w:rPr>
              <w:t>3.5m</w:t>
            </w:r>
            <w:r w:rsidRPr="00687B52">
              <w:rPr>
                <w:rFonts w:hint="eastAsia"/>
                <w:color w:val="000000" w:themeColor="text1"/>
              </w:rPr>
              <w:t>。</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2</w:t>
            </w:r>
            <w:r w:rsidRPr="00687B52">
              <w:rPr>
                <w:rFonts w:hint="eastAsia"/>
                <w:color w:val="000000" w:themeColor="text1"/>
              </w:rPr>
              <w:t>）泵房的门应向外开，且不应少于</w:t>
            </w:r>
            <w:r w:rsidRPr="00687B52">
              <w:rPr>
                <w:rFonts w:hint="eastAsia"/>
                <w:color w:val="000000" w:themeColor="text1"/>
              </w:rPr>
              <w:t>2</w:t>
            </w:r>
            <w:r w:rsidRPr="00687B52">
              <w:rPr>
                <w:rFonts w:hint="eastAsia"/>
                <w:color w:val="000000" w:themeColor="text1"/>
              </w:rPr>
              <w:t>个，其中一个应能满足</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泵房内最大设备的进出需要。建筑面积小于</w:t>
            </w:r>
            <w:r w:rsidRPr="00687B52">
              <w:rPr>
                <w:rFonts w:hint="eastAsia"/>
                <w:color w:val="000000" w:themeColor="text1"/>
              </w:rPr>
              <w:t>100m</w:t>
            </w:r>
            <w:r w:rsidRPr="00687B52">
              <w:rPr>
                <w:rFonts w:hint="eastAsia"/>
                <w:color w:val="000000" w:themeColor="text1"/>
                <w:vertAlign w:val="superscript"/>
              </w:rPr>
              <w:t>2</w:t>
            </w:r>
            <w:r w:rsidRPr="00687B52">
              <w:rPr>
                <w:rFonts w:hint="eastAsia"/>
                <w:color w:val="000000" w:themeColor="text1"/>
              </w:rPr>
              <w:t>时可只设</w:t>
            </w:r>
            <w:r w:rsidRPr="00687B52">
              <w:rPr>
                <w:rFonts w:hint="eastAsia"/>
                <w:color w:val="000000" w:themeColor="text1"/>
              </w:rPr>
              <w:t>1</w:t>
            </w:r>
            <w:r w:rsidRPr="00687B52">
              <w:rPr>
                <w:rFonts w:hint="eastAsia"/>
                <w:color w:val="000000" w:themeColor="text1"/>
              </w:rPr>
              <w:t>个</w:t>
            </w:r>
            <w:r w:rsidRPr="00687B52">
              <w:rPr>
                <w:rFonts w:hint="eastAsia"/>
                <w:color w:val="000000" w:themeColor="text1"/>
              </w:rPr>
              <w:t> </w:t>
            </w:r>
            <w:r w:rsidRPr="00687B52">
              <w:rPr>
                <w:rFonts w:hint="eastAsia"/>
                <w:color w:val="000000" w:themeColor="text1"/>
              </w:rPr>
              <w:t>外开门。</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3</w:t>
            </w:r>
            <w:r w:rsidRPr="00687B52">
              <w:rPr>
                <w:rFonts w:hint="eastAsia"/>
                <w:color w:val="000000" w:themeColor="text1"/>
              </w:rPr>
              <w:t>）泵房（间）的门、窗采光面积，不宜小于其建筑面积的</w:t>
            </w:r>
            <w:r w:rsidRPr="00687B52">
              <w:rPr>
                <w:rFonts w:hint="eastAsia"/>
                <w:color w:val="000000" w:themeColor="text1"/>
              </w:rPr>
              <w:t> </w:t>
            </w:r>
            <w:r w:rsidRPr="00687B52">
              <w:rPr>
                <w:rFonts w:hint="eastAsia"/>
                <w:color w:val="000000" w:themeColor="text1"/>
              </w:rPr>
              <w:t>15</w:t>
            </w:r>
            <w:r w:rsidRPr="00687B52">
              <w:rPr>
                <w:rFonts w:hint="eastAsia"/>
                <w:color w:val="000000" w:themeColor="text1"/>
              </w:rPr>
              <w:t>％。</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4</w:t>
            </w:r>
            <w:r w:rsidRPr="00687B52">
              <w:rPr>
                <w:rFonts w:hint="eastAsia"/>
                <w:color w:val="000000" w:themeColor="text1"/>
              </w:rPr>
              <w:t>）泵棚或露天泵站的设备平台，应高于其周围地坪不少于</w:t>
            </w:r>
            <w:r w:rsidRPr="00687B52">
              <w:rPr>
                <w:rFonts w:hint="eastAsia"/>
                <w:color w:val="000000" w:themeColor="text1"/>
              </w:rPr>
              <w:t> </w:t>
            </w:r>
            <w:r w:rsidRPr="00687B52">
              <w:rPr>
                <w:rFonts w:hint="eastAsia"/>
                <w:color w:val="000000" w:themeColor="text1"/>
              </w:rPr>
              <w:t>0.15m</w:t>
            </w:r>
            <w:r w:rsidRPr="00687B52">
              <w:rPr>
                <w:rFonts w:hint="eastAsia"/>
                <w:color w:val="000000" w:themeColor="text1"/>
              </w:rPr>
              <w:t>。</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5</w:t>
            </w:r>
            <w:r w:rsidRPr="00687B52">
              <w:rPr>
                <w:rFonts w:hint="eastAsia"/>
                <w:color w:val="000000" w:themeColor="text1"/>
              </w:rPr>
              <w:t>）腐蚀性介质泵站的地面、泵基础等其他可能接触到腐蚀性</w:t>
            </w:r>
            <w:r w:rsidRPr="00687B52">
              <w:rPr>
                <w:rFonts w:hint="eastAsia"/>
                <w:color w:val="000000" w:themeColor="text1"/>
              </w:rPr>
              <w:t> </w:t>
            </w:r>
            <w:r w:rsidRPr="00687B52">
              <w:rPr>
                <w:rFonts w:hint="eastAsia"/>
                <w:color w:val="000000" w:themeColor="text1"/>
              </w:rPr>
              <w:t>液体的部位，应采取防腐措施。</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6</w:t>
            </w:r>
            <w:r w:rsidRPr="00687B52">
              <w:rPr>
                <w:rFonts w:hint="eastAsia"/>
                <w:color w:val="000000" w:themeColor="text1"/>
              </w:rPr>
              <w:t>）输送液化石油气等甲</w:t>
            </w:r>
            <w:r w:rsidRPr="00687B52">
              <w:rPr>
                <w:rFonts w:hint="eastAsia"/>
                <w:color w:val="000000" w:themeColor="text1"/>
              </w:rPr>
              <w:t>A</w:t>
            </w:r>
            <w:r w:rsidRPr="00687B52">
              <w:rPr>
                <w:rFonts w:hint="eastAsia"/>
                <w:color w:val="000000" w:themeColor="text1"/>
              </w:rPr>
              <w:t>类液体的泵站，应采用不发生火花的地面。</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7.0.2</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2.22</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易燃和可燃液体输送泵的设置，应符合下列规定：</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1</w:t>
            </w:r>
            <w:r w:rsidRPr="00687B52">
              <w:rPr>
                <w:rFonts w:hint="eastAsia"/>
                <w:color w:val="000000" w:themeColor="text1"/>
              </w:rPr>
              <w:t>）输送有特殊要求的液体，应设专用泵和备用泵。</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2</w:t>
            </w:r>
            <w:r w:rsidRPr="00687B52">
              <w:rPr>
                <w:rFonts w:hint="eastAsia"/>
                <w:color w:val="000000" w:themeColor="text1"/>
              </w:rPr>
              <w:t>）连续输送同一种液体的泵，当同时操作的泵不多于</w:t>
            </w:r>
            <w:r w:rsidRPr="00687B52">
              <w:rPr>
                <w:rFonts w:hint="eastAsia"/>
                <w:color w:val="000000" w:themeColor="text1"/>
              </w:rPr>
              <w:t>3</w:t>
            </w:r>
            <w:r w:rsidRPr="00687B52">
              <w:rPr>
                <w:rFonts w:hint="eastAsia"/>
                <w:color w:val="000000" w:themeColor="text1"/>
              </w:rPr>
              <w:t>台时，宜设</w:t>
            </w:r>
            <w:r w:rsidRPr="00687B52">
              <w:rPr>
                <w:rFonts w:hint="eastAsia"/>
                <w:color w:val="000000" w:themeColor="text1"/>
              </w:rPr>
              <w:t>1</w:t>
            </w:r>
            <w:r w:rsidRPr="00687B52">
              <w:rPr>
                <w:rFonts w:hint="eastAsia"/>
                <w:color w:val="000000" w:themeColor="text1"/>
              </w:rPr>
              <w:t>台备用泵；当同时操作的泵多于</w:t>
            </w:r>
            <w:r w:rsidRPr="00687B52">
              <w:rPr>
                <w:rFonts w:hint="eastAsia"/>
                <w:color w:val="000000" w:themeColor="text1"/>
              </w:rPr>
              <w:t>3</w:t>
            </w:r>
            <w:r w:rsidRPr="00687B52">
              <w:rPr>
                <w:rFonts w:hint="eastAsia"/>
                <w:color w:val="000000" w:themeColor="text1"/>
              </w:rPr>
              <w:t>台时，备用泵不宜多于</w:t>
            </w:r>
            <w:r w:rsidRPr="00687B52">
              <w:rPr>
                <w:rFonts w:hint="eastAsia"/>
                <w:color w:val="000000" w:themeColor="text1"/>
              </w:rPr>
              <w:t>2</w:t>
            </w:r>
            <w:r w:rsidRPr="00687B52">
              <w:rPr>
                <w:rFonts w:hint="eastAsia"/>
                <w:color w:val="000000" w:themeColor="text1"/>
              </w:rPr>
              <w:t>台。</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3</w:t>
            </w:r>
            <w:r w:rsidRPr="00687B52">
              <w:rPr>
                <w:rFonts w:hint="eastAsia"/>
                <w:color w:val="000000" w:themeColor="text1"/>
              </w:rPr>
              <w:t>）经常操作但不连续运转的泵不宜单独设置备用泵，可与输送性质相近液体的泵互为备用或共设一台备用泵。</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4</w:t>
            </w:r>
            <w:r w:rsidRPr="00687B52">
              <w:rPr>
                <w:rFonts w:hint="eastAsia"/>
                <w:color w:val="000000" w:themeColor="text1"/>
              </w:rPr>
              <w:t>）不经常操作的泵，不宜设置备用油泵。</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7.0.7</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2.23</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泵的布置应满足操作、安装及检修的要求，并应排列有序。</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7.0.8</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2.24</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离心泵水平进口管需要变径时，应采用异径偏心接头。异径偏心接头应靠近泵入口安装，当泵的进口管道内的液体从下向上或水平进泵时，应采用顶平安装；当泵的进口管道内的液体从上向下进泵时，应采用底平安装。</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7.0.9</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2.25</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泵的出口管道宜设止回阀，止回阀应安装在泵出口管道的阀门与泵出口法兰之间的管段上。</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7.0.12</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2.26</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当选用容积泵作为离心泵灌泵和抽吸油罐车底油的泵时，该泵的排出口应就近接至相应的管道放空设施。</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7.0.16</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2.27</w:t>
            </w:r>
          </w:p>
        </w:tc>
        <w:tc>
          <w:tcPr>
            <w:tcW w:w="2331" w:type="pct"/>
            <w:vAlign w:val="center"/>
          </w:tcPr>
          <w:p w:rsidR="003E1D2A" w:rsidRPr="00687B52" w:rsidRDefault="003E1D2A" w:rsidP="003E1D2A">
            <w:pPr>
              <w:pStyle w:val="a7"/>
              <w:jc w:val="left"/>
              <w:rPr>
                <w:bCs/>
                <w:color w:val="000000" w:themeColor="text1"/>
              </w:rPr>
            </w:pPr>
            <w:r w:rsidRPr="00687B52">
              <w:rPr>
                <w:rFonts w:hint="eastAsia"/>
                <w:bCs/>
                <w:color w:val="000000" w:themeColor="text1"/>
              </w:rPr>
              <w:t>罐车装卸线中心线至石油库内非罐车铁路装卸线中心线的安全距离，应符合下列规定：</w:t>
            </w:r>
          </w:p>
          <w:p w:rsidR="003E1D2A" w:rsidRPr="00687B52" w:rsidRDefault="003E1D2A" w:rsidP="00D9787F">
            <w:pPr>
              <w:pStyle w:val="a7"/>
              <w:numPr>
                <w:ilvl w:val="0"/>
                <w:numId w:val="109"/>
              </w:numPr>
              <w:jc w:val="left"/>
              <w:rPr>
                <w:bCs/>
                <w:color w:val="000000" w:themeColor="text1"/>
              </w:rPr>
            </w:pPr>
            <w:r w:rsidRPr="00687B52">
              <w:rPr>
                <w:rFonts w:hint="eastAsia"/>
                <w:bCs/>
                <w:color w:val="000000" w:themeColor="text1"/>
              </w:rPr>
              <w:t>装甲</w:t>
            </w:r>
            <w:r w:rsidRPr="00687B52">
              <w:rPr>
                <w:rFonts w:hint="eastAsia"/>
                <w:bCs/>
                <w:color w:val="000000" w:themeColor="text1"/>
              </w:rPr>
              <w:t>B</w:t>
            </w:r>
            <w:r w:rsidRPr="00687B52">
              <w:rPr>
                <w:rFonts w:hint="eastAsia"/>
                <w:bCs/>
                <w:color w:val="000000" w:themeColor="text1"/>
              </w:rPr>
              <w:t>、乙类液体的不应小于</w:t>
            </w:r>
            <w:r w:rsidRPr="00687B52">
              <w:rPr>
                <w:rFonts w:hint="eastAsia"/>
                <w:bCs/>
                <w:color w:val="000000" w:themeColor="text1"/>
              </w:rPr>
              <w:t>20m</w:t>
            </w:r>
            <w:r w:rsidRPr="00687B52">
              <w:rPr>
                <w:rFonts w:hint="eastAsia"/>
                <w:bCs/>
                <w:color w:val="000000" w:themeColor="text1"/>
              </w:rPr>
              <w:t>；</w:t>
            </w:r>
          </w:p>
          <w:p w:rsidR="003E1D2A" w:rsidRPr="00687B52" w:rsidRDefault="003E1D2A" w:rsidP="00D9787F">
            <w:pPr>
              <w:pStyle w:val="a7"/>
              <w:numPr>
                <w:ilvl w:val="0"/>
                <w:numId w:val="109"/>
              </w:numPr>
              <w:jc w:val="left"/>
              <w:rPr>
                <w:bCs/>
                <w:color w:val="000000" w:themeColor="text1"/>
              </w:rPr>
            </w:pPr>
            <w:r w:rsidRPr="00687B52">
              <w:rPr>
                <w:rFonts w:hint="eastAsia"/>
                <w:bCs/>
                <w:color w:val="000000" w:themeColor="text1"/>
              </w:rPr>
              <w:t>卸甲</w:t>
            </w:r>
            <w:r w:rsidRPr="00687B52">
              <w:rPr>
                <w:rFonts w:hint="eastAsia"/>
                <w:bCs/>
                <w:color w:val="000000" w:themeColor="text1"/>
              </w:rPr>
              <w:t>B</w:t>
            </w:r>
            <w:r w:rsidRPr="00687B52">
              <w:rPr>
                <w:rFonts w:hint="eastAsia"/>
                <w:bCs/>
                <w:color w:val="000000" w:themeColor="text1"/>
              </w:rPr>
              <w:t>、乙类液体的不应小于</w:t>
            </w:r>
            <w:r w:rsidRPr="00687B52">
              <w:rPr>
                <w:rFonts w:hint="eastAsia"/>
                <w:bCs/>
                <w:color w:val="000000" w:themeColor="text1"/>
              </w:rPr>
              <w:t>15m</w:t>
            </w:r>
            <w:r w:rsidRPr="00687B52">
              <w:rPr>
                <w:rFonts w:hint="eastAsia"/>
                <w:bCs/>
                <w:color w:val="000000" w:themeColor="text1"/>
              </w:rPr>
              <w:t>；</w:t>
            </w:r>
          </w:p>
          <w:p w:rsidR="003E1D2A" w:rsidRPr="00687B52" w:rsidRDefault="003E1D2A" w:rsidP="00D9787F">
            <w:pPr>
              <w:pStyle w:val="a7"/>
              <w:numPr>
                <w:ilvl w:val="0"/>
                <w:numId w:val="109"/>
              </w:numPr>
              <w:jc w:val="left"/>
              <w:rPr>
                <w:color w:val="000000" w:themeColor="text1"/>
              </w:rPr>
            </w:pPr>
            <w:r w:rsidRPr="00687B52">
              <w:rPr>
                <w:rFonts w:hint="eastAsia"/>
                <w:bCs/>
                <w:color w:val="000000" w:themeColor="text1"/>
              </w:rPr>
              <w:t>装卸丙类液体的不应小于</w:t>
            </w:r>
            <w:r w:rsidRPr="00687B52">
              <w:rPr>
                <w:rFonts w:hint="eastAsia"/>
                <w:bCs/>
                <w:color w:val="000000" w:themeColor="text1"/>
              </w:rPr>
              <w:t>10m</w:t>
            </w:r>
            <w:r w:rsidRPr="00687B52">
              <w:rPr>
                <w:rFonts w:hint="eastAsia"/>
                <w:bCs/>
                <w:color w:val="000000" w:themeColor="text1"/>
              </w:rPr>
              <w:t>。</w:t>
            </w:r>
          </w:p>
        </w:tc>
        <w:tc>
          <w:tcPr>
            <w:tcW w:w="1058" w:type="pct"/>
            <w:vAlign w:val="center"/>
          </w:tcPr>
          <w:p w:rsidR="003E1D2A" w:rsidRPr="00687B52" w:rsidRDefault="003E1D2A" w:rsidP="003E1D2A">
            <w:pPr>
              <w:pStyle w:val="a7"/>
              <w:rPr>
                <w:color w:val="000000" w:themeColor="text1"/>
              </w:rPr>
            </w:pPr>
            <w:r w:rsidRPr="00687B52">
              <w:rPr>
                <w:rFonts w:hint="eastAsia"/>
                <w:bCs/>
                <w:color w:val="000000" w:themeColor="text1"/>
              </w:rPr>
              <w:t>《石油库设计规范》</w:t>
            </w:r>
            <w:r w:rsidRPr="00687B52">
              <w:rPr>
                <w:rFonts w:hint="eastAsia"/>
                <w:bCs/>
                <w:color w:val="000000" w:themeColor="text1"/>
              </w:rPr>
              <w:t>GB50074-2014</w:t>
            </w:r>
            <w:r w:rsidRPr="00687B52">
              <w:rPr>
                <w:rFonts w:hint="eastAsia"/>
                <w:bCs/>
                <w:color w:val="000000" w:themeColor="text1"/>
              </w:rPr>
              <w:t>第</w:t>
            </w:r>
            <w:r w:rsidRPr="00687B52">
              <w:rPr>
                <w:rFonts w:hint="eastAsia"/>
                <w:bCs/>
                <w:color w:val="000000" w:themeColor="text1"/>
              </w:rPr>
              <w:t>8.1.2</w:t>
            </w:r>
            <w:r w:rsidRPr="00687B52">
              <w:rPr>
                <w:rFonts w:hint="eastAsia"/>
                <w:bCs/>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2.28</w:t>
            </w:r>
          </w:p>
        </w:tc>
        <w:tc>
          <w:tcPr>
            <w:tcW w:w="2331" w:type="pct"/>
            <w:vAlign w:val="center"/>
          </w:tcPr>
          <w:p w:rsidR="003E1D2A" w:rsidRPr="00687B52" w:rsidRDefault="003E1D2A" w:rsidP="003E1D2A">
            <w:pPr>
              <w:pStyle w:val="a7"/>
              <w:jc w:val="left"/>
              <w:rPr>
                <w:color w:val="000000" w:themeColor="text1"/>
              </w:rPr>
            </w:pPr>
            <w:r w:rsidRPr="00687B52">
              <w:rPr>
                <w:rFonts w:hint="eastAsia"/>
                <w:bCs/>
                <w:color w:val="000000" w:themeColor="text1"/>
              </w:rPr>
              <w:t>从下部接卸铁炉罐车的卸油系统，应采用密闭管道系统。从上部向铁路罐车灌装甲</w:t>
            </w:r>
            <w:r w:rsidRPr="00687B52">
              <w:rPr>
                <w:rFonts w:hint="eastAsia"/>
                <w:bCs/>
                <w:color w:val="000000" w:themeColor="text1"/>
              </w:rPr>
              <w:t>B</w:t>
            </w:r>
            <w:r w:rsidRPr="00687B52">
              <w:rPr>
                <w:rFonts w:hint="eastAsia"/>
                <w:bCs/>
                <w:color w:val="000000" w:themeColor="text1"/>
              </w:rPr>
              <w:t>、乙、丙</w:t>
            </w:r>
            <w:r w:rsidRPr="00687B52">
              <w:rPr>
                <w:rFonts w:hint="eastAsia"/>
                <w:bCs/>
                <w:color w:val="000000" w:themeColor="text1"/>
              </w:rPr>
              <w:t>A</w:t>
            </w:r>
            <w:r w:rsidRPr="00687B52">
              <w:rPr>
                <w:rFonts w:hint="eastAsia"/>
                <w:bCs/>
                <w:color w:val="000000" w:themeColor="text1"/>
              </w:rPr>
              <w:t>类液体时，应采用插到罐车底部的鹤管。鹤管内的液体流速，在鹤管浸没于液体之前不应大于</w:t>
            </w:r>
            <w:r w:rsidRPr="00687B52">
              <w:rPr>
                <w:rFonts w:hint="eastAsia"/>
                <w:bCs/>
                <w:color w:val="000000" w:themeColor="text1"/>
              </w:rPr>
              <w:t>1m/s</w:t>
            </w:r>
            <w:r w:rsidRPr="00687B52">
              <w:rPr>
                <w:rFonts w:hint="eastAsia"/>
                <w:bCs/>
                <w:color w:val="000000" w:themeColor="text1"/>
              </w:rPr>
              <w:t>，浸没于液体之后不应大于</w:t>
            </w:r>
            <w:r w:rsidRPr="00687B52">
              <w:rPr>
                <w:rFonts w:hint="eastAsia"/>
                <w:bCs/>
                <w:color w:val="000000" w:themeColor="text1"/>
              </w:rPr>
              <w:t>4.5m/s</w:t>
            </w:r>
            <w:r w:rsidRPr="00687B52">
              <w:rPr>
                <w:rFonts w:hint="eastAsia"/>
                <w:bCs/>
                <w:color w:val="000000" w:themeColor="text1"/>
              </w:rPr>
              <w:t>。</w:t>
            </w:r>
          </w:p>
        </w:tc>
        <w:tc>
          <w:tcPr>
            <w:tcW w:w="1058" w:type="pct"/>
            <w:vAlign w:val="center"/>
          </w:tcPr>
          <w:p w:rsidR="003E1D2A" w:rsidRPr="00687B52" w:rsidRDefault="003E1D2A" w:rsidP="003E1D2A">
            <w:pPr>
              <w:pStyle w:val="a7"/>
              <w:rPr>
                <w:color w:val="000000" w:themeColor="text1"/>
              </w:rPr>
            </w:pPr>
            <w:r w:rsidRPr="00687B52">
              <w:rPr>
                <w:rFonts w:hint="eastAsia"/>
                <w:bCs/>
                <w:color w:val="000000" w:themeColor="text1"/>
              </w:rPr>
              <w:t>《石油库设计规范》</w:t>
            </w:r>
            <w:r w:rsidRPr="00687B52">
              <w:rPr>
                <w:rFonts w:hint="eastAsia"/>
                <w:bCs/>
                <w:color w:val="000000" w:themeColor="text1"/>
              </w:rPr>
              <w:t>GB50074-2014</w:t>
            </w:r>
            <w:r w:rsidRPr="00687B52">
              <w:rPr>
                <w:rFonts w:hint="eastAsia"/>
                <w:bCs/>
                <w:color w:val="000000" w:themeColor="text1"/>
              </w:rPr>
              <w:t>第</w:t>
            </w:r>
            <w:r w:rsidRPr="00687B52">
              <w:rPr>
                <w:rFonts w:hint="eastAsia"/>
                <w:bCs/>
                <w:color w:val="000000" w:themeColor="text1"/>
              </w:rPr>
              <w:t>8.1.9</w:t>
            </w:r>
            <w:r w:rsidRPr="00687B52">
              <w:rPr>
                <w:rFonts w:hint="eastAsia"/>
                <w:bCs/>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2.29</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汽车罐车的液体灌装宜采用泵送装车方式。有地形高差可供利用时，宜采用储罐直接自流装车方式。采用泵送灌装时，罐装泵可设置在灌装台下，并宜按一泵供一鹤位设置。</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8.2.3</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2.30</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当采用上装鹤管向汽车罐车灌装甲</w:t>
            </w:r>
            <w:r w:rsidRPr="00687B52">
              <w:rPr>
                <w:rFonts w:hint="eastAsia"/>
                <w:color w:val="000000" w:themeColor="text1"/>
              </w:rPr>
              <w:t>B</w:t>
            </w:r>
            <w:r w:rsidRPr="00687B52">
              <w:rPr>
                <w:rFonts w:hint="eastAsia"/>
                <w:color w:val="000000" w:themeColor="text1"/>
              </w:rPr>
              <w:t>、乙、丙</w:t>
            </w:r>
            <w:r w:rsidRPr="00687B52">
              <w:rPr>
                <w:rFonts w:hint="eastAsia"/>
                <w:color w:val="000000" w:themeColor="text1"/>
              </w:rPr>
              <w:t>A</w:t>
            </w:r>
            <w:r w:rsidRPr="00687B52">
              <w:rPr>
                <w:rFonts w:hint="eastAsia"/>
                <w:color w:val="000000" w:themeColor="text1"/>
              </w:rPr>
              <w:t>类液体时，应采用能插到罐车底部的装车鹤管。鹤管内的液体流速，在鹤管口浸没于液体之前不应大于</w:t>
            </w:r>
            <w:r w:rsidRPr="00687B52">
              <w:rPr>
                <w:rFonts w:hint="eastAsia"/>
                <w:color w:val="000000" w:themeColor="text1"/>
              </w:rPr>
              <w:t>l</w:t>
            </w:r>
            <w:r w:rsidRPr="00687B52">
              <w:rPr>
                <w:rFonts w:hint="eastAsia"/>
                <w:color w:val="000000" w:themeColor="text1"/>
              </w:rPr>
              <w:t> </w:t>
            </w:r>
            <w:r w:rsidRPr="00687B52">
              <w:rPr>
                <w:rFonts w:hint="eastAsia"/>
                <w:color w:val="000000" w:themeColor="text1"/>
              </w:rPr>
              <w:t>m/s</w:t>
            </w:r>
            <w:r w:rsidRPr="00687B52">
              <w:rPr>
                <w:rFonts w:hint="eastAsia"/>
                <w:color w:val="000000" w:themeColor="text1"/>
              </w:rPr>
              <w:t>，浸没于液体之后不应大于</w:t>
            </w:r>
            <w:r w:rsidRPr="00687B52">
              <w:rPr>
                <w:rFonts w:hint="eastAsia"/>
                <w:color w:val="000000" w:themeColor="text1"/>
              </w:rPr>
              <w:t>4.5m/s</w:t>
            </w:r>
            <w:r w:rsidRPr="00687B52">
              <w:rPr>
                <w:rFonts w:hint="eastAsia"/>
                <w:color w:val="000000" w:themeColor="text1"/>
              </w:rPr>
              <w:t>。</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8.2.8</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2.31</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石油库内工艺及热力管道宜地上敷设或采用敞口管沟敷设；根据需要局部地段可埋地敷设或采用充沙封闭管沟敷设。</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9.1.1</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2.32</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地上管道不应环绕罐组布置，且不应妨碍消防车的通行。设置在防火堤与消防车道之间的管道不应妨碍消防人员通行及作业。</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9.1.2</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2.33</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地上工艺管道不宜靠近消防泵房、专用消防站、变电所和独立变配电间、办公室、控制室以及宿舍、食堂等人员集中场所敷设，当地上工艺管道与这些建筑物之间的距离小于</w:t>
            </w:r>
            <w:r w:rsidRPr="00687B52">
              <w:rPr>
                <w:rFonts w:hint="eastAsia"/>
                <w:color w:val="000000" w:themeColor="text1"/>
              </w:rPr>
              <w:t>15m</w:t>
            </w:r>
            <w:r w:rsidRPr="00687B52">
              <w:rPr>
                <w:rFonts w:hint="eastAsia"/>
                <w:color w:val="000000" w:themeColor="text1"/>
              </w:rPr>
              <w:t>时，朝向工艺管道一侧的外墙应采用无门窗的不燃烧体实体墙。</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9.1.4</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2.34</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地上管道沿道路平行布置时，与路边的距离不应小于</w:t>
            </w:r>
            <w:r w:rsidRPr="00687B52">
              <w:rPr>
                <w:rFonts w:hint="eastAsia"/>
                <w:color w:val="000000" w:themeColor="text1"/>
              </w:rPr>
              <w:t>lm</w:t>
            </w:r>
            <w:r w:rsidRPr="00687B52">
              <w:rPr>
                <w:rFonts w:hint="eastAsia"/>
                <w:color w:val="000000" w:themeColor="text1"/>
              </w:rPr>
              <w:t>，埋地管道沿道路平行布置时，不得敷设在路面之下。</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9.1.8</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2.35</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金属工艺管道连接应符合下列规定：</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1</w:t>
            </w:r>
            <w:r w:rsidRPr="00687B52">
              <w:rPr>
                <w:rFonts w:hint="eastAsia"/>
                <w:color w:val="000000" w:themeColor="text1"/>
              </w:rPr>
              <w:t>）管道之间及管道与管件之间应采用焊接连接。</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2</w:t>
            </w:r>
            <w:r w:rsidRPr="00687B52">
              <w:rPr>
                <w:rFonts w:hint="eastAsia"/>
                <w:color w:val="000000" w:themeColor="text1"/>
              </w:rPr>
              <w:t>）管道与设备、阀门、仪表之间宜采用法兰连接，采用螺纹连接时应确保连接强度和严密性。</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9.1.9</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2.36</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工艺管道上的阀门，应选用钢制阀门。选用的电动阀门或气动阀门应具有手动操作功能。公称直径小于或等于</w:t>
            </w:r>
            <w:r w:rsidRPr="00687B52">
              <w:rPr>
                <w:rFonts w:hint="eastAsia"/>
                <w:color w:val="000000" w:themeColor="text1"/>
              </w:rPr>
              <w:t>600mm</w:t>
            </w:r>
            <w:r w:rsidRPr="00687B52">
              <w:rPr>
                <w:rFonts w:hint="eastAsia"/>
                <w:color w:val="000000" w:themeColor="text1"/>
              </w:rPr>
              <w:t>的阀门。手动关闭阀门的时间不宜超过</w:t>
            </w:r>
            <w:r w:rsidRPr="00687B52">
              <w:rPr>
                <w:rFonts w:hint="eastAsia"/>
                <w:color w:val="000000" w:themeColor="text1"/>
              </w:rPr>
              <w:t>15min</w:t>
            </w:r>
            <w:r w:rsidRPr="00687B52">
              <w:rPr>
                <w:rFonts w:hint="eastAsia"/>
                <w:color w:val="000000" w:themeColor="text1"/>
              </w:rPr>
              <w:t>；公称直径大于</w:t>
            </w:r>
            <w:r w:rsidRPr="00687B52">
              <w:rPr>
                <w:rFonts w:hint="eastAsia"/>
                <w:color w:val="000000" w:themeColor="text1"/>
              </w:rPr>
              <w:t>600mm</w:t>
            </w:r>
            <w:r w:rsidRPr="00687B52">
              <w:rPr>
                <w:rFonts w:hint="eastAsia"/>
                <w:color w:val="000000" w:themeColor="text1"/>
              </w:rPr>
              <w:t>的阀门，手动关闭阀门的时间不宜超过</w:t>
            </w:r>
            <w:r w:rsidRPr="00687B52">
              <w:rPr>
                <w:rFonts w:hint="eastAsia"/>
                <w:color w:val="000000" w:themeColor="text1"/>
              </w:rPr>
              <w:t>20min</w:t>
            </w:r>
            <w:r w:rsidRPr="00687B52">
              <w:rPr>
                <w:rFonts w:hint="eastAsia"/>
                <w:color w:val="000000" w:themeColor="text1"/>
              </w:rPr>
              <w:t>。</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9.1.12</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2.37</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管道的防护应符合下列规定：</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1</w:t>
            </w:r>
            <w:r w:rsidRPr="00687B52">
              <w:rPr>
                <w:rFonts w:hint="eastAsia"/>
                <w:color w:val="000000" w:themeColor="text1"/>
              </w:rPr>
              <w:t>）钢管及其附件的外表面，应涂刷防腐涂层，埋地钢管尚应采取防腐绝缘或其他防护措施。</w:t>
            </w:r>
            <w:r w:rsidRPr="00687B52">
              <w:rPr>
                <w:rFonts w:hint="eastAsia"/>
                <w:color w:val="000000" w:themeColor="text1"/>
              </w:rPr>
              <w:t> </w:t>
            </w:r>
            <w:r w:rsidRPr="00687B52">
              <w:rPr>
                <w:rFonts w:hint="eastAsia"/>
                <w:color w:val="000000" w:themeColor="text1"/>
              </w:rPr>
              <w:t>采取防腐绝缘或其他防护措施。</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2</w:t>
            </w:r>
            <w:r w:rsidRPr="00687B52">
              <w:rPr>
                <w:rFonts w:hint="eastAsia"/>
                <w:color w:val="000000" w:themeColor="text1"/>
              </w:rPr>
              <w:t>）管道内液体压力有超过管道设计压力可能的工艺管道，应在适当位置设置泄压装置。</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3</w:t>
            </w:r>
            <w:r w:rsidRPr="00687B52">
              <w:rPr>
                <w:rFonts w:hint="eastAsia"/>
                <w:color w:val="000000" w:themeColor="text1"/>
              </w:rPr>
              <w:t>）输送易凝液体或易自聚液体的管道，应分别采取防凝或防自聚措施。</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9.1.13</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2.38</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库外管道与相邻建（构）筑物或设施之间的距离不应小于表</w:t>
            </w:r>
            <w:r w:rsidRPr="00687B52">
              <w:rPr>
                <w:rFonts w:hint="eastAsia"/>
                <w:color w:val="000000" w:themeColor="text1"/>
              </w:rPr>
              <w:t>9.2.3</w:t>
            </w:r>
            <w:r w:rsidRPr="00687B52">
              <w:rPr>
                <w:rFonts w:hint="eastAsia"/>
                <w:color w:val="000000" w:themeColor="text1"/>
              </w:rPr>
              <w:t>的规定。</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9.2.3</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8B4454" w:rsidRPr="00687B52" w:rsidTr="007F37C0">
        <w:trPr>
          <w:jc w:val="center"/>
        </w:trPr>
        <w:tc>
          <w:tcPr>
            <w:tcW w:w="338" w:type="pct"/>
            <w:vAlign w:val="center"/>
          </w:tcPr>
          <w:p w:rsidR="008B4454" w:rsidRPr="00687B52" w:rsidRDefault="008B4454" w:rsidP="008B4454">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bCs/>
                <w:color w:val="000000" w:themeColor="text1"/>
                <w:szCs w:val="24"/>
              </w:rPr>
              <w:t>3</w:t>
            </w:r>
          </w:p>
        </w:tc>
        <w:tc>
          <w:tcPr>
            <w:tcW w:w="2331" w:type="pct"/>
            <w:vAlign w:val="center"/>
          </w:tcPr>
          <w:p w:rsidR="008B4454" w:rsidRPr="00687B52" w:rsidRDefault="008B4454" w:rsidP="003E1D2A">
            <w:pPr>
              <w:pStyle w:val="a7"/>
              <w:jc w:val="left"/>
              <w:rPr>
                <w:b/>
                <w:color w:val="000000" w:themeColor="text1"/>
              </w:rPr>
            </w:pPr>
            <w:r w:rsidRPr="00687B52">
              <w:rPr>
                <w:rFonts w:asciiTheme="minorEastAsia" w:eastAsiaTheme="minorEastAsia" w:hAnsiTheme="minorEastAsia" w:hint="eastAsia"/>
                <w:b/>
                <w:color w:val="000000" w:themeColor="text1"/>
                <w:szCs w:val="24"/>
              </w:rPr>
              <w:t>公用工程</w:t>
            </w:r>
          </w:p>
        </w:tc>
        <w:tc>
          <w:tcPr>
            <w:tcW w:w="1058" w:type="pct"/>
            <w:vAlign w:val="center"/>
          </w:tcPr>
          <w:p w:rsidR="008B4454" w:rsidRPr="00687B52" w:rsidRDefault="008B4454" w:rsidP="003E1D2A">
            <w:pPr>
              <w:pStyle w:val="a7"/>
              <w:rPr>
                <w:color w:val="000000" w:themeColor="text1"/>
              </w:rPr>
            </w:pPr>
          </w:p>
        </w:tc>
        <w:tc>
          <w:tcPr>
            <w:tcW w:w="1273" w:type="pct"/>
            <w:vAlign w:val="center"/>
          </w:tcPr>
          <w:p w:rsidR="008B4454" w:rsidRPr="00687B52" w:rsidRDefault="008B4454"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石油库应设消防设施。石油库的消防设施设置，应根据石油库等级、储罐型式、液体火灾危险性及与邻近单位的消防协作条件因素综合考虑确定。</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12.1.1</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石油库的易燃和可燃液体储罐灭火设施的设置，应符合下列规定：</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1</w:t>
            </w:r>
            <w:r w:rsidRPr="00687B52">
              <w:rPr>
                <w:rFonts w:hint="eastAsia"/>
                <w:color w:val="000000" w:themeColor="text1"/>
              </w:rPr>
              <w:t>）覆土卧式油罐和储存丙</w:t>
            </w:r>
            <w:r w:rsidRPr="00687B52">
              <w:rPr>
                <w:rFonts w:hint="eastAsia"/>
                <w:color w:val="000000" w:themeColor="text1"/>
              </w:rPr>
              <w:t>B</w:t>
            </w:r>
            <w:r w:rsidRPr="00687B52">
              <w:rPr>
                <w:rFonts w:hint="eastAsia"/>
                <w:color w:val="000000" w:themeColor="text1"/>
              </w:rPr>
              <w:t>类油品的覆土立式油罐，可不设泡沫灭火系统，但应按本规范第</w:t>
            </w:r>
            <w:r w:rsidRPr="00687B52">
              <w:rPr>
                <w:rFonts w:hint="eastAsia"/>
                <w:color w:val="000000" w:themeColor="text1"/>
              </w:rPr>
              <w:t>12</w:t>
            </w:r>
            <w:r w:rsidR="00A256A4" w:rsidRPr="00687B52">
              <w:rPr>
                <w:rFonts w:hint="eastAsia"/>
                <w:color w:val="000000" w:themeColor="text1"/>
              </w:rPr>
              <w:t>.</w:t>
            </w:r>
            <w:r w:rsidRPr="00687B52">
              <w:rPr>
                <w:rFonts w:hint="eastAsia"/>
                <w:color w:val="000000" w:themeColor="text1"/>
              </w:rPr>
              <w:t>4.2</w:t>
            </w:r>
            <w:r w:rsidRPr="00687B52">
              <w:rPr>
                <w:rFonts w:hint="eastAsia"/>
                <w:color w:val="000000" w:themeColor="text1"/>
              </w:rPr>
              <w:t>条的规定配置灭火器材。</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2</w:t>
            </w:r>
            <w:r w:rsidRPr="00687B52">
              <w:rPr>
                <w:rFonts w:hint="eastAsia"/>
                <w:color w:val="000000" w:themeColor="text1"/>
              </w:rPr>
              <w:t>）设置泡沫灭火系统有困难，且无消防协作条件的四、五级石油库，当立式储罐不多于</w:t>
            </w:r>
            <w:r w:rsidRPr="00687B52">
              <w:rPr>
                <w:rFonts w:hint="eastAsia"/>
                <w:color w:val="000000" w:themeColor="text1"/>
              </w:rPr>
              <w:t>5</w:t>
            </w:r>
            <w:r w:rsidRPr="00687B52">
              <w:rPr>
                <w:rFonts w:hint="eastAsia"/>
                <w:color w:val="000000" w:themeColor="text1"/>
              </w:rPr>
              <w:t>座，甲</w:t>
            </w:r>
            <w:r w:rsidRPr="00687B52">
              <w:rPr>
                <w:rFonts w:hint="eastAsia"/>
                <w:color w:val="000000" w:themeColor="text1"/>
              </w:rPr>
              <w:t>B</w:t>
            </w:r>
            <w:r w:rsidRPr="00687B52">
              <w:rPr>
                <w:rFonts w:hint="eastAsia"/>
                <w:color w:val="000000" w:themeColor="text1"/>
              </w:rPr>
              <w:t>类和乙</w:t>
            </w:r>
            <w:r w:rsidRPr="00687B52">
              <w:rPr>
                <w:rFonts w:hint="eastAsia"/>
                <w:color w:val="000000" w:themeColor="text1"/>
              </w:rPr>
              <w:t>A</w:t>
            </w:r>
            <w:r w:rsidRPr="00687B52">
              <w:rPr>
                <w:rFonts w:hint="eastAsia"/>
                <w:color w:val="000000" w:themeColor="text1"/>
              </w:rPr>
              <w:t>类液体储罐单罐容量不大于</w:t>
            </w:r>
            <w:r w:rsidRPr="00687B52">
              <w:rPr>
                <w:rFonts w:hint="eastAsia"/>
                <w:color w:val="000000" w:themeColor="text1"/>
              </w:rPr>
              <w:t>700m</w:t>
            </w:r>
            <w:r w:rsidRPr="00687B52">
              <w:rPr>
                <w:rFonts w:hint="eastAsia"/>
                <w:color w:val="000000" w:themeColor="text1"/>
              </w:rPr>
              <w:t>³，乙</w:t>
            </w:r>
            <w:r w:rsidRPr="00687B52">
              <w:rPr>
                <w:rFonts w:hint="eastAsia"/>
                <w:color w:val="000000" w:themeColor="text1"/>
              </w:rPr>
              <w:t>B</w:t>
            </w:r>
            <w:r w:rsidRPr="00687B52">
              <w:rPr>
                <w:rFonts w:hint="eastAsia"/>
                <w:color w:val="000000" w:themeColor="text1"/>
              </w:rPr>
              <w:t>和丙类液体储罐单罐容量不大于</w:t>
            </w:r>
            <w:r w:rsidRPr="00687B52">
              <w:rPr>
                <w:rFonts w:hint="eastAsia"/>
                <w:color w:val="000000" w:themeColor="text1"/>
              </w:rPr>
              <w:t>2000m</w:t>
            </w:r>
            <w:r w:rsidRPr="00687B52">
              <w:rPr>
                <w:rFonts w:hint="eastAsia"/>
                <w:color w:val="000000" w:themeColor="text1"/>
              </w:rPr>
              <w:t>³时，可采用烟雾灭火方式；当甲</w:t>
            </w:r>
            <w:r w:rsidRPr="00687B52">
              <w:rPr>
                <w:rFonts w:hint="eastAsia"/>
                <w:color w:val="000000" w:themeColor="text1"/>
              </w:rPr>
              <w:t>B</w:t>
            </w:r>
            <w:r w:rsidRPr="00687B52">
              <w:rPr>
                <w:rFonts w:hint="eastAsia"/>
                <w:color w:val="000000" w:themeColor="text1"/>
              </w:rPr>
              <w:t>类和乙</w:t>
            </w:r>
            <w:r w:rsidRPr="00687B52">
              <w:rPr>
                <w:rFonts w:hint="eastAsia"/>
                <w:color w:val="000000" w:themeColor="text1"/>
              </w:rPr>
              <w:t>A</w:t>
            </w:r>
            <w:r w:rsidRPr="00687B52">
              <w:rPr>
                <w:rFonts w:hint="eastAsia"/>
                <w:color w:val="000000" w:themeColor="text1"/>
              </w:rPr>
              <w:t>类液体储罐单罐容量不大于</w:t>
            </w:r>
            <w:r w:rsidRPr="00687B52">
              <w:rPr>
                <w:rFonts w:hint="eastAsia"/>
                <w:color w:val="000000" w:themeColor="text1"/>
              </w:rPr>
              <w:t>500m</w:t>
            </w:r>
            <w:r w:rsidRPr="00687B52">
              <w:rPr>
                <w:rFonts w:hint="eastAsia"/>
                <w:color w:val="000000" w:themeColor="text1"/>
              </w:rPr>
              <w:t>³，乙</w:t>
            </w:r>
            <w:r w:rsidRPr="00687B52">
              <w:rPr>
                <w:rFonts w:hint="eastAsia"/>
                <w:color w:val="000000" w:themeColor="text1"/>
              </w:rPr>
              <w:t>B</w:t>
            </w:r>
            <w:r w:rsidRPr="00687B52">
              <w:rPr>
                <w:rFonts w:hint="eastAsia"/>
                <w:color w:val="000000" w:themeColor="text1"/>
              </w:rPr>
              <w:t>类和丙类液体储罐单罐容量不大于</w:t>
            </w:r>
            <w:r w:rsidRPr="00687B52">
              <w:rPr>
                <w:rFonts w:hint="eastAsia"/>
                <w:color w:val="000000" w:themeColor="text1"/>
              </w:rPr>
              <w:t>1000m</w:t>
            </w:r>
            <w:r w:rsidRPr="00687B52">
              <w:rPr>
                <w:rFonts w:hint="eastAsia"/>
                <w:color w:val="000000" w:themeColor="text1"/>
                <w:vertAlign w:val="superscript"/>
              </w:rPr>
              <w:t>3</w:t>
            </w:r>
            <w:r w:rsidRPr="00687B52">
              <w:rPr>
                <w:rFonts w:hint="eastAsia"/>
                <w:color w:val="000000" w:themeColor="text1"/>
              </w:rPr>
              <w:t>时，可采用超细干粉等灭火方式。</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3</w:t>
            </w:r>
            <w:r w:rsidRPr="00687B52">
              <w:rPr>
                <w:rFonts w:hint="eastAsia"/>
                <w:color w:val="000000" w:themeColor="text1"/>
              </w:rPr>
              <w:t>）其他易燃和可燃液体储罐应设置泡沫灭火系统。</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12.1.2</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储罐泡沫灭火系统的设置类型，应符合下列规定：</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1</w:t>
            </w:r>
            <w:r w:rsidRPr="00687B52">
              <w:rPr>
                <w:rFonts w:hint="eastAsia"/>
                <w:color w:val="000000" w:themeColor="text1"/>
              </w:rPr>
              <w:t>）</w:t>
            </w:r>
            <w:r w:rsidRPr="00687B52">
              <w:rPr>
                <w:rFonts w:hint="eastAsia"/>
                <w:color w:val="000000" w:themeColor="text1"/>
              </w:rPr>
              <w:t> </w:t>
            </w:r>
            <w:r w:rsidRPr="00687B52">
              <w:rPr>
                <w:rFonts w:hint="eastAsia"/>
                <w:color w:val="000000" w:themeColor="text1"/>
              </w:rPr>
              <w:t>地上固定顶储罐、内浮顶储罐和地上卧式储罐应设低倍数泡沫灭火系统或中倍数泡沫灭火系统。</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2</w:t>
            </w:r>
            <w:r w:rsidRPr="00687B52">
              <w:rPr>
                <w:rFonts w:hint="eastAsia"/>
                <w:color w:val="000000" w:themeColor="text1"/>
              </w:rPr>
              <w:t>）外浮顶储罐、储存甲</w:t>
            </w:r>
            <w:r w:rsidRPr="00687B52">
              <w:rPr>
                <w:rFonts w:hint="eastAsia"/>
                <w:color w:val="000000" w:themeColor="text1"/>
              </w:rPr>
              <w:t>B</w:t>
            </w:r>
            <w:r w:rsidRPr="00687B52">
              <w:rPr>
                <w:rFonts w:hint="eastAsia"/>
                <w:color w:val="000000" w:themeColor="text1"/>
              </w:rPr>
              <w:t>、乙和丙</w:t>
            </w:r>
            <w:r w:rsidRPr="00687B52">
              <w:rPr>
                <w:rFonts w:hint="eastAsia"/>
                <w:color w:val="000000" w:themeColor="text1"/>
              </w:rPr>
              <w:t>A</w:t>
            </w:r>
            <w:r w:rsidRPr="00687B52">
              <w:rPr>
                <w:rFonts w:hint="eastAsia"/>
                <w:color w:val="000000" w:themeColor="text1"/>
              </w:rPr>
              <w:t>类油品的覆土立式油罐，应设低倍数泡沫灭火系统。</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12.1.3</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3.4</w:t>
            </w:r>
          </w:p>
        </w:tc>
        <w:tc>
          <w:tcPr>
            <w:tcW w:w="2331" w:type="pct"/>
            <w:vAlign w:val="center"/>
          </w:tcPr>
          <w:p w:rsidR="003E1D2A" w:rsidRPr="00687B52" w:rsidRDefault="003E1D2A" w:rsidP="003E1D2A">
            <w:pPr>
              <w:pStyle w:val="a7"/>
              <w:jc w:val="left"/>
              <w:rPr>
                <w:bCs/>
                <w:color w:val="000000" w:themeColor="text1"/>
              </w:rPr>
            </w:pPr>
            <w:r w:rsidRPr="00687B52">
              <w:rPr>
                <w:rFonts w:hint="eastAsia"/>
                <w:bCs/>
                <w:color w:val="000000" w:themeColor="text1"/>
              </w:rPr>
              <w:t>储罐应设消防冷却水系统。消防冷却水系统的设置应稠符合下列规定：</w:t>
            </w:r>
            <w:r w:rsidRPr="00687B52">
              <w:rPr>
                <w:rFonts w:hint="eastAsia"/>
                <w:bCs/>
                <w:color w:val="000000" w:themeColor="text1"/>
              </w:rPr>
              <w:t> </w:t>
            </w:r>
          </w:p>
          <w:p w:rsidR="003E1D2A" w:rsidRPr="00687B52" w:rsidRDefault="003E1D2A" w:rsidP="003E1D2A">
            <w:pPr>
              <w:pStyle w:val="a7"/>
              <w:jc w:val="left"/>
              <w:rPr>
                <w:color w:val="000000" w:themeColor="text1"/>
              </w:rPr>
            </w:pPr>
            <w:r w:rsidRPr="00687B52">
              <w:rPr>
                <w:rFonts w:hint="eastAsia"/>
                <w:bCs/>
                <w:color w:val="000000" w:themeColor="text1"/>
              </w:rPr>
              <w:t> </w:t>
            </w:r>
            <w:r w:rsidRPr="00687B52">
              <w:rPr>
                <w:rFonts w:hint="eastAsia"/>
                <w:bCs/>
                <w:color w:val="000000" w:themeColor="text1"/>
              </w:rPr>
              <w:t>1</w:t>
            </w:r>
            <w:r w:rsidRPr="00687B52">
              <w:rPr>
                <w:rFonts w:hint="eastAsia"/>
                <w:bCs/>
                <w:color w:val="000000" w:themeColor="text1"/>
              </w:rPr>
              <w:t>）容量大于或等于</w:t>
            </w:r>
            <w:r w:rsidRPr="00687B52">
              <w:rPr>
                <w:rFonts w:hint="eastAsia"/>
                <w:bCs/>
                <w:color w:val="000000" w:themeColor="text1"/>
              </w:rPr>
              <w:t>3000m</w:t>
            </w:r>
            <w:r w:rsidRPr="00687B52">
              <w:rPr>
                <w:rFonts w:hint="eastAsia"/>
                <w:bCs/>
                <w:color w:val="000000" w:themeColor="text1"/>
              </w:rPr>
              <w:t>³或罐壁高度大于或等于</w:t>
            </w:r>
            <w:r w:rsidRPr="00687B52">
              <w:rPr>
                <w:rFonts w:hint="eastAsia"/>
                <w:bCs/>
                <w:color w:val="000000" w:themeColor="text1"/>
              </w:rPr>
              <w:t>15m</w:t>
            </w:r>
            <w:r w:rsidRPr="00687B52">
              <w:rPr>
                <w:rFonts w:hint="eastAsia"/>
                <w:bCs/>
                <w:color w:val="000000" w:themeColor="text1"/>
              </w:rPr>
              <w:t>的地上立式储罐，应设固定式消防冷却水系统。</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2</w:t>
            </w:r>
            <w:r w:rsidRPr="00687B52">
              <w:rPr>
                <w:rFonts w:hint="eastAsia"/>
                <w:color w:val="000000" w:themeColor="text1"/>
              </w:rPr>
              <w:t>）容量小于</w:t>
            </w:r>
            <w:r w:rsidRPr="00687B52">
              <w:rPr>
                <w:rFonts w:hint="eastAsia"/>
                <w:color w:val="000000" w:themeColor="text1"/>
              </w:rPr>
              <w:t>3000m3</w:t>
            </w:r>
            <w:r w:rsidRPr="00687B52">
              <w:rPr>
                <w:rFonts w:hint="eastAsia"/>
                <w:color w:val="000000" w:themeColor="text1"/>
              </w:rPr>
              <w:t>且罐壁高度小于</w:t>
            </w:r>
            <w:r w:rsidRPr="00687B52">
              <w:rPr>
                <w:rFonts w:hint="eastAsia"/>
                <w:color w:val="000000" w:themeColor="text1"/>
              </w:rPr>
              <w:t>15m</w:t>
            </w:r>
            <w:r w:rsidRPr="00687B52">
              <w:rPr>
                <w:rFonts w:hint="eastAsia"/>
                <w:color w:val="000000" w:themeColor="text1"/>
              </w:rPr>
              <w:t>的地上立式储罐以及其他储罐，可设移动式消防冷却水系统。’</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3</w:t>
            </w:r>
            <w:r w:rsidRPr="00687B52">
              <w:rPr>
                <w:rFonts w:hint="eastAsia"/>
                <w:color w:val="000000" w:themeColor="text1"/>
              </w:rPr>
              <w:t>）五级石油库的立式储罐采用烟雾灭火或超细干粉等灭火设施时，可不设消防给水系统。</w:t>
            </w:r>
            <w:r w:rsidRPr="00687B52">
              <w:rPr>
                <w:rFonts w:hint="eastAsia"/>
                <w:color w:val="000000" w:themeColor="text1"/>
              </w:rPr>
              <w:t> </w:t>
            </w:r>
          </w:p>
        </w:tc>
        <w:tc>
          <w:tcPr>
            <w:tcW w:w="1058" w:type="pct"/>
            <w:vAlign w:val="center"/>
          </w:tcPr>
          <w:p w:rsidR="003E1D2A" w:rsidRPr="00687B52" w:rsidRDefault="003E1D2A" w:rsidP="003E1D2A">
            <w:pPr>
              <w:pStyle w:val="a7"/>
              <w:rPr>
                <w:color w:val="000000" w:themeColor="text1"/>
              </w:rPr>
            </w:pPr>
            <w:r w:rsidRPr="00687B52">
              <w:rPr>
                <w:rFonts w:hint="eastAsia"/>
                <w:bCs/>
                <w:color w:val="000000" w:themeColor="text1"/>
              </w:rPr>
              <w:t>《石油库设计规范》</w:t>
            </w:r>
            <w:r w:rsidRPr="00687B52">
              <w:rPr>
                <w:rFonts w:hint="eastAsia"/>
                <w:bCs/>
                <w:color w:val="000000" w:themeColor="text1"/>
              </w:rPr>
              <w:t>GB50074-2014</w:t>
            </w:r>
            <w:r w:rsidRPr="00687B52">
              <w:rPr>
                <w:rFonts w:hint="eastAsia"/>
                <w:bCs/>
                <w:color w:val="000000" w:themeColor="text1"/>
              </w:rPr>
              <w:t>第</w:t>
            </w:r>
            <w:r w:rsidRPr="00687B52">
              <w:rPr>
                <w:rFonts w:hint="eastAsia"/>
                <w:bCs/>
                <w:color w:val="000000" w:themeColor="text1"/>
              </w:rPr>
              <w:t>12.1.5</w:t>
            </w:r>
            <w:r w:rsidRPr="00687B52">
              <w:rPr>
                <w:rFonts w:hint="eastAsia"/>
                <w:bCs/>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3.5</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一、二、三、四级石油库应设独立消防给水系统。</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12.2.1</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3.6</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五级石油库的消防给水可与生产、生活给水系统合并设置。</w:t>
            </w:r>
            <w:r w:rsidRPr="00687B52">
              <w:rPr>
                <w:rFonts w:hint="eastAsia"/>
                <w:color w:val="000000" w:themeColor="text1"/>
              </w:rPr>
              <w:t> </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12.2.2</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3.7</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当石油库采用高压消防给水系统时，给水压力不应小于在达到设计消防水量时最不利点灭火所需要的压力；当石油库采用低压消防给水系统时，应保证每个消火栓出口处在达到设计消防水量时，给水压力不应小于</w:t>
            </w:r>
            <w:r w:rsidRPr="00687B52">
              <w:rPr>
                <w:rFonts w:hint="eastAsia"/>
                <w:color w:val="000000" w:themeColor="text1"/>
              </w:rPr>
              <w:t>0.15MPa</w:t>
            </w:r>
            <w:r w:rsidRPr="00687B52">
              <w:rPr>
                <w:rFonts w:hint="eastAsia"/>
                <w:color w:val="000000" w:themeColor="text1"/>
              </w:rPr>
              <w:t>。</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12.2.3</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8B445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3.8</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一、二、三级石油库地上储罐区的消防给水管道应环状敷设；覆土油罐区和四、五级石油库储罐区的消防给水管道可枝状敷设。山区石油库的单罐容量小于或等于</w:t>
            </w:r>
            <w:r w:rsidRPr="00687B52">
              <w:rPr>
                <w:rFonts w:hint="eastAsia"/>
                <w:color w:val="000000" w:themeColor="text1"/>
              </w:rPr>
              <w:t>5000m</w:t>
            </w:r>
            <w:r w:rsidRPr="00687B52">
              <w:rPr>
                <w:rFonts w:hint="eastAsia"/>
                <w:color w:val="000000" w:themeColor="text1"/>
              </w:rPr>
              <w:t>³且储罐单排布置的油罐区，其消防给水管道可枝状敷设。一、二、三级石油库地上储罐的消防水环形管道的进水管道不应少于</w:t>
            </w:r>
            <w:r w:rsidRPr="00687B52">
              <w:rPr>
                <w:rFonts w:hint="eastAsia"/>
                <w:color w:val="000000" w:themeColor="text1"/>
              </w:rPr>
              <w:t>2</w:t>
            </w:r>
            <w:r w:rsidRPr="00687B52">
              <w:rPr>
                <w:rFonts w:hint="eastAsia"/>
                <w:color w:val="000000" w:themeColor="text1"/>
              </w:rPr>
              <w:t>条，每条管道应能通过全部消防用水量。</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12.2.5</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r w:rsidR="00A256A4" w:rsidRPr="00687B52">
              <w:rPr>
                <w:rFonts w:asciiTheme="minorEastAsia" w:eastAsiaTheme="minorEastAsia" w:hAnsiTheme="minorEastAsia" w:hint="eastAsia"/>
                <w:color w:val="000000" w:themeColor="text1"/>
                <w:szCs w:val="24"/>
              </w:rPr>
              <w:t>9</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石油库消防水泵的设置，应符合下列规定：</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1</w:t>
            </w:r>
            <w:r w:rsidRPr="00687B52">
              <w:rPr>
                <w:rFonts w:hint="eastAsia"/>
                <w:color w:val="000000" w:themeColor="text1"/>
              </w:rPr>
              <w:t>）一级石油库的消防冷却水泵和泡沫消防水泵应至少各设置</w:t>
            </w:r>
            <w:r w:rsidRPr="00687B52">
              <w:rPr>
                <w:rFonts w:hint="eastAsia"/>
                <w:color w:val="000000" w:themeColor="text1"/>
              </w:rPr>
              <w:t>1</w:t>
            </w:r>
            <w:r w:rsidRPr="00687B52">
              <w:rPr>
                <w:rFonts w:hint="eastAsia"/>
                <w:color w:val="000000" w:themeColor="text1"/>
              </w:rPr>
              <w:t>台备用泵。二、三级石油库的消防冷却水泵和泡沫消防水泵应设置备用泵，当两者的压力、流量接近时，可共用</w:t>
            </w:r>
            <w:r w:rsidRPr="00687B52">
              <w:rPr>
                <w:rFonts w:hint="eastAsia"/>
                <w:color w:val="000000" w:themeColor="text1"/>
              </w:rPr>
              <w:t>1</w:t>
            </w:r>
            <w:r w:rsidRPr="00687B52">
              <w:rPr>
                <w:rFonts w:hint="eastAsia"/>
                <w:color w:val="000000" w:themeColor="text1"/>
              </w:rPr>
              <w:t>台备用泵。四、五压级石油库的消防冷却水泵和泡沫消防水泵可不设备用泵。备用泵的流量、扬程不应小于最大主泵的工作能力。</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2</w:t>
            </w:r>
            <w:r w:rsidRPr="00687B52">
              <w:rPr>
                <w:rFonts w:hint="eastAsia"/>
                <w:color w:val="000000" w:themeColor="text1"/>
              </w:rPr>
              <w:t>）当一、二、三级石油库的消防水泵有</w:t>
            </w:r>
            <w:r w:rsidRPr="00687B52">
              <w:rPr>
                <w:rFonts w:hint="eastAsia"/>
                <w:color w:val="000000" w:themeColor="text1"/>
              </w:rPr>
              <w:t>2</w:t>
            </w:r>
            <w:r w:rsidRPr="00687B52">
              <w:rPr>
                <w:rFonts w:hint="eastAsia"/>
                <w:color w:val="000000" w:themeColor="text1"/>
              </w:rPr>
              <w:t>个独立电源供电时，主泵应采用电动泵，备用泵可采用电动泵，也可采用柴油机泵；只有</w:t>
            </w:r>
            <w:r w:rsidRPr="00687B52">
              <w:rPr>
                <w:rFonts w:hint="eastAsia"/>
                <w:color w:val="000000" w:themeColor="text1"/>
              </w:rPr>
              <w:t>1</w:t>
            </w:r>
            <w:r w:rsidRPr="00687B52">
              <w:rPr>
                <w:rFonts w:hint="eastAsia"/>
                <w:color w:val="000000" w:themeColor="text1"/>
              </w:rPr>
              <w:t>个电源供电时，消防水泵应采用下列方式之一：</w:t>
            </w:r>
            <w:r w:rsidRPr="00687B52">
              <w:rPr>
                <w:rFonts w:hint="eastAsia"/>
                <w:color w:val="000000" w:themeColor="text1"/>
              </w:rPr>
              <w:t>  </w:t>
            </w:r>
            <w:r w:rsidRPr="00687B52">
              <w:rPr>
                <w:rFonts w:hint="eastAsia"/>
                <w:color w:val="000000" w:themeColor="text1"/>
              </w:rPr>
              <w:t>a</w:t>
            </w:r>
            <w:r w:rsidRPr="00687B52">
              <w:rPr>
                <w:rFonts w:hint="eastAsia"/>
                <w:color w:val="000000" w:themeColor="text1"/>
              </w:rPr>
              <w:t>）主泵和备用泵全部采用柴油机泵；</w:t>
            </w:r>
            <w:r w:rsidRPr="00687B52">
              <w:rPr>
                <w:rFonts w:hint="eastAsia"/>
                <w:color w:val="000000" w:themeColor="text1"/>
              </w:rPr>
              <w:t> </w:t>
            </w:r>
            <w:r w:rsidRPr="00687B52">
              <w:rPr>
                <w:rFonts w:hint="eastAsia"/>
                <w:color w:val="000000" w:themeColor="text1"/>
              </w:rPr>
              <w:t>b</w:t>
            </w:r>
            <w:r w:rsidRPr="00687B52">
              <w:rPr>
                <w:rFonts w:hint="eastAsia"/>
                <w:color w:val="000000" w:themeColor="text1"/>
              </w:rPr>
              <w:t>）主泵采用电动泵，配备规格（流量、扬程）和数量不小于主泵的柴油机泵作备用泵；</w:t>
            </w:r>
            <w:r w:rsidRPr="00687B52">
              <w:rPr>
                <w:rFonts w:hint="eastAsia"/>
                <w:color w:val="000000" w:themeColor="text1"/>
              </w:rPr>
              <w:t>c</w:t>
            </w:r>
            <w:r w:rsidRPr="00687B52">
              <w:rPr>
                <w:rFonts w:hint="eastAsia"/>
                <w:color w:val="000000" w:themeColor="text1"/>
              </w:rPr>
              <w:t>）主泵采用柴油机泵，备用泵采用电动泵。</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3</w:t>
            </w:r>
            <w:r w:rsidRPr="00687B52">
              <w:rPr>
                <w:rFonts w:hint="eastAsia"/>
                <w:color w:val="000000" w:themeColor="text1"/>
              </w:rPr>
              <w:t>）消防水泵应采用正压启动或自吸启动。当采用自吸启动时，自吸时间不宜大于</w:t>
            </w:r>
            <w:r w:rsidRPr="00687B52">
              <w:rPr>
                <w:rFonts w:hint="eastAsia"/>
                <w:color w:val="000000" w:themeColor="text1"/>
              </w:rPr>
              <w:t>45s</w:t>
            </w:r>
            <w:r w:rsidRPr="00687B52">
              <w:rPr>
                <w:rFonts w:hint="eastAsia"/>
                <w:color w:val="000000" w:themeColor="text1"/>
              </w:rPr>
              <w:t>。</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12.2.12</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w:t>
            </w:r>
            <w:r w:rsidR="00A256A4" w:rsidRPr="00687B52">
              <w:rPr>
                <w:rFonts w:asciiTheme="minorEastAsia" w:eastAsiaTheme="minorEastAsia" w:hAnsiTheme="minorEastAsia" w:hint="eastAsia"/>
                <w:color w:val="000000" w:themeColor="text1"/>
                <w:szCs w:val="24"/>
              </w:rPr>
              <w:t>0</w:t>
            </w:r>
          </w:p>
        </w:tc>
        <w:tc>
          <w:tcPr>
            <w:tcW w:w="2331" w:type="pct"/>
            <w:vAlign w:val="center"/>
          </w:tcPr>
          <w:p w:rsidR="003E1D2A" w:rsidRPr="00687B52" w:rsidRDefault="003E1D2A" w:rsidP="003E1D2A">
            <w:pPr>
              <w:pStyle w:val="a7"/>
              <w:jc w:val="left"/>
              <w:rPr>
                <w:bCs/>
                <w:color w:val="000000" w:themeColor="text1"/>
              </w:rPr>
            </w:pPr>
            <w:r w:rsidRPr="00687B52">
              <w:rPr>
                <w:rFonts w:hint="eastAsia"/>
                <w:bCs/>
                <w:color w:val="000000" w:themeColor="text1"/>
              </w:rPr>
              <w:t>消防冷却水系统应设置消火栓，消火栓的设置应符合下列规定：</w:t>
            </w:r>
            <w:r w:rsidRPr="00687B52">
              <w:rPr>
                <w:rFonts w:hint="eastAsia"/>
                <w:bCs/>
                <w:color w:val="000000" w:themeColor="text1"/>
              </w:rPr>
              <w:t> </w:t>
            </w:r>
          </w:p>
          <w:p w:rsidR="003E1D2A" w:rsidRPr="00687B52" w:rsidRDefault="003E1D2A" w:rsidP="003E1D2A">
            <w:pPr>
              <w:pStyle w:val="a7"/>
              <w:jc w:val="left"/>
              <w:rPr>
                <w:bCs/>
                <w:color w:val="000000" w:themeColor="text1"/>
              </w:rPr>
            </w:pPr>
            <w:r w:rsidRPr="00687B52">
              <w:rPr>
                <w:rFonts w:hint="eastAsia"/>
                <w:bCs/>
                <w:color w:val="000000" w:themeColor="text1"/>
              </w:rPr>
              <w:t>1</w:t>
            </w:r>
            <w:r w:rsidRPr="00687B52">
              <w:rPr>
                <w:rFonts w:hint="eastAsia"/>
                <w:bCs/>
                <w:color w:val="000000" w:themeColor="text1"/>
              </w:rPr>
              <w:t>）移动式消防冷却水系统的消火栓设置数曼，应按储罐冷却灭火所需消防水且及消火栓保护半径确定。消火栓的保护半径不应大于</w:t>
            </w:r>
            <w:r w:rsidRPr="00687B52">
              <w:rPr>
                <w:rFonts w:hint="eastAsia"/>
                <w:bCs/>
                <w:color w:val="000000" w:themeColor="text1"/>
              </w:rPr>
              <w:t>120m</w:t>
            </w:r>
            <w:r w:rsidRPr="00687B52">
              <w:rPr>
                <w:rFonts w:hint="eastAsia"/>
                <w:bCs/>
                <w:color w:val="000000" w:themeColor="text1"/>
              </w:rPr>
              <w:t>，耳距着火罐罐壁</w:t>
            </w:r>
            <w:r w:rsidRPr="00687B52">
              <w:rPr>
                <w:rFonts w:hint="eastAsia"/>
                <w:bCs/>
                <w:color w:val="000000" w:themeColor="text1"/>
              </w:rPr>
              <w:t>15m</w:t>
            </w:r>
            <w:r w:rsidRPr="00687B52">
              <w:rPr>
                <w:rFonts w:hint="eastAsia"/>
                <w:bCs/>
                <w:color w:val="000000" w:themeColor="text1"/>
              </w:rPr>
              <w:t>内的消火栓不应计算在内。</w:t>
            </w:r>
            <w:r w:rsidRPr="00687B52">
              <w:rPr>
                <w:rFonts w:hint="eastAsia"/>
                <w:bCs/>
                <w:color w:val="000000" w:themeColor="text1"/>
              </w:rPr>
              <w:t> </w:t>
            </w:r>
          </w:p>
          <w:p w:rsidR="003E1D2A" w:rsidRPr="00687B52" w:rsidRDefault="003E1D2A" w:rsidP="003E1D2A">
            <w:pPr>
              <w:pStyle w:val="a7"/>
              <w:jc w:val="left"/>
              <w:rPr>
                <w:bCs/>
                <w:color w:val="000000" w:themeColor="text1"/>
              </w:rPr>
            </w:pPr>
            <w:r w:rsidRPr="00687B52">
              <w:rPr>
                <w:rFonts w:hint="eastAsia"/>
                <w:bCs/>
                <w:color w:val="000000" w:themeColor="text1"/>
              </w:rPr>
              <w:t> </w:t>
            </w:r>
            <w:r w:rsidRPr="00687B52">
              <w:rPr>
                <w:rFonts w:hint="eastAsia"/>
                <w:bCs/>
                <w:color w:val="000000" w:themeColor="text1"/>
              </w:rPr>
              <w:t>2</w:t>
            </w:r>
            <w:r w:rsidRPr="00687B52">
              <w:rPr>
                <w:rFonts w:hint="eastAsia"/>
                <w:bCs/>
                <w:color w:val="000000" w:themeColor="text1"/>
              </w:rPr>
              <w:t>）储罐固定式消防冷却水系统所设置的消火栓间距不应大于</w:t>
            </w:r>
            <w:r w:rsidRPr="00687B52">
              <w:rPr>
                <w:rFonts w:hint="eastAsia"/>
                <w:bCs/>
                <w:color w:val="000000" w:themeColor="text1"/>
              </w:rPr>
              <w:t>60m</w:t>
            </w:r>
            <w:r w:rsidRPr="00687B52">
              <w:rPr>
                <w:rFonts w:hint="eastAsia"/>
                <w:bCs/>
                <w:color w:val="000000" w:themeColor="text1"/>
              </w:rPr>
              <w:t>。</w:t>
            </w:r>
            <w:r w:rsidRPr="00687B52">
              <w:rPr>
                <w:rFonts w:hint="eastAsia"/>
                <w:bCs/>
                <w:color w:val="000000" w:themeColor="text1"/>
              </w:rPr>
              <w:t> </w:t>
            </w:r>
          </w:p>
          <w:p w:rsidR="003E1D2A" w:rsidRPr="00687B52" w:rsidRDefault="003E1D2A" w:rsidP="003E1D2A">
            <w:pPr>
              <w:pStyle w:val="a7"/>
              <w:jc w:val="left"/>
              <w:rPr>
                <w:color w:val="000000" w:themeColor="text1"/>
              </w:rPr>
            </w:pPr>
            <w:r w:rsidRPr="00687B52">
              <w:rPr>
                <w:rFonts w:hint="eastAsia"/>
                <w:bCs/>
                <w:color w:val="000000" w:themeColor="text1"/>
              </w:rPr>
              <w:t> </w:t>
            </w:r>
            <w:r w:rsidRPr="00687B52">
              <w:rPr>
                <w:rFonts w:hint="eastAsia"/>
                <w:bCs/>
                <w:color w:val="000000" w:themeColor="text1"/>
              </w:rPr>
              <w:t>3</w:t>
            </w:r>
            <w:r w:rsidRPr="00687B52">
              <w:rPr>
                <w:rFonts w:hint="eastAsia"/>
                <w:bCs/>
                <w:color w:val="000000" w:themeColor="text1"/>
              </w:rPr>
              <w:t>）寒冷地区消防水管道上设置的消火栓应有防冻、放空措施。</w:t>
            </w:r>
          </w:p>
        </w:tc>
        <w:tc>
          <w:tcPr>
            <w:tcW w:w="1058" w:type="pct"/>
            <w:vAlign w:val="center"/>
          </w:tcPr>
          <w:p w:rsidR="003E1D2A" w:rsidRPr="00687B52" w:rsidRDefault="003E1D2A" w:rsidP="003E1D2A">
            <w:pPr>
              <w:pStyle w:val="a7"/>
              <w:rPr>
                <w:color w:val="000000" w:themeColor="text1"/>
              </w:rPr>
            </w:pPr>
            <w:r w:rsidRPr="00687B52">
              <w:rPr>
                <w:rFonts w:hint="eastAsia"/>
                <w:bCs/>
                <w:color w:val="000000" w:themeColor="text1"/>
              </w:rPr>
              <w:t>《石油库设计规范》</w:t>
            </w:r>
            <w:r w:rsidRPr="00687B52">
              <w:rPr>
                <w:rFonts w:hint="eastAsia"/>
                <w:bCs/>
                <w:color w:val="000000" w:themeColor="text1"/>
              </w:rPr>
              <w:t>GB50074-2014</w:t>
            </w:r>
            <w:r w:rsidRPr="00687B52">
              <w:rPr>
                <w:rFonts w:hint="eastAsia"/>
                <w:bCs/>
                <w:color w:val="000000" w:themeColor="text1"/>
              </w:rPr>
              <w:t>第</w:t>
            </w:r>
            <w:r w:rsidRPr="00687B52">
              <w:rPr>
                <w:rFonts w:hint="eastAsia"/>
                <w:bCs/>
                <w:color w:val="000000" w:themeColor="text1"/>
              </w:rPr>
              <w:t>12.2.15</w:t>
            </w:r>
            <w:r w:rsidRPr="00687B52">
              <w:rPr>
                <w:rFonts w:hint="eastAsia"/>
                <w:bCs/>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w:t>
            </w:r>
            <w:r w:rsidR="00A256A4" w:rsidRPr="00687B52">
              <w:rPr>
                <w:rFonts w:asciiTheme="minorEastAsia" w:eastAsiaTheme="minorEastAsia" w:hAnsiTheme="minorEastAsia" w:hint="eastAsia"/>
                <w:color w:val="000000" w:themeColor="text1"/>
                <w:szCs w:val="24"/>
              </w:rPr>
              <w:t>1</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灭火器材配置应符合现行国家标准《建筑灭火器配置设计规范</w:t>
            </w:r>
            <w:r w:rsidRPr="00687B52">
              <w:rPr>
                <w:rFonts w:hint="eastAsia"/>
                <w:color w:val="000000" w:themeColor="text1"/>
              </w:rPr>
              <w:t>))GB</w:t>
            </w:r>
            <w:r w:rsidRPr="00687B52">
              <w:rPr>
                <w:rFonts w:hint="eastAsia"/>
                <w:color w:val="000000" w:themeColor="text1"/>
              </w:rPr>
              <w:t> </w:t>
            </w:r>
            <w:r w:rsidRPr="00687B52">
              <w:rPr>
                <w:rFonts w:hint="eastAsia"/>
                <w:color w:val="000000" w:themeColor="text1"/>
              </w:rPr>
              <w:t>50140</w:t>
            </w:r>
            <w:r w:rsidRPr="00687B52">
              <w:rPr>
                <w:rFonts w:hint="eastAsia"/>
                <w:color w:val="000000" w:themeColor="text1"/>
              </w:rPr>
              <w:t>的有关规定，并应符合下列规定：</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1</w:t>
            </w:r>
            <w:r w:rsidRPr="00687B52">
              <w:rPr>
                <w:rFonts w:hint="eastAsia"/>
                <w:color w:val="000000" w:themeColor="text1"/>
              </w:rPr>
              <w:t>）储罐组按防火堤内面积每</w:t>
            </w:r>
            <w:r w:rsidRPr="00687B52">
              <w:rPr>
                <w:rFonts w:hint="eastAsia"/>
                <w:color w:val="000000" w:themeColor="text1"/>
              </w:rPr>
              <w:t>400m</w:t>
            </w:r>
            <w:r w:rsidRPr="00687B52">
              <w:rPr>
                <w:rFonts w:hint="eastAsia"/>
                <w:color w:val="000000" w:themeColor="text1"/>
              </w:rPr>
              <w:t>³应配置</w:t>
            </w:r>
            <w:r w:rsidRPr="00687B52">
              <w:rPr>
                <w:rFonts w:hint="eastAsia"/>
                <w:color w:val="000000" w:themeColor="text1"/>
              </w:rPr>
              <w:t>1</w:t>
            </w:r>
            <w:r w:rsidRPr="00687B52">
              <w:rPr>
                <w:rFonts w:hint="eastAsia"/>
                <w:color w:val="000000" w:themeColor="text1"/>
              </w:rPr>
              <w:t>具</w:t>
            </w:r>
            <w:r w:rsidRPr="00687B52">
              <w:rPr>
                <w:rFonts w:hint="eastAsia"/>
                <w:color w:val="000000" w:themeColor="text1"/>
              </w:rPr>
              <w:t>8kg</w:t>
            </w:r>
            <w:r w:rsidRPr="00687B52">
              <w:rPr>
                <w:rFonts w:hint="eastAsia"/>
                <w:color w:val="000000" w:themeColor="text1"/>
              </w:rPr>
              <w:t>手提式干粉灭火器，当计算数量超过</w:t>
            </w:r>
            <w:r w:rsidRPr="00687B52">
              <w:rPr>
                <w:rFonts w:hint="eastAsia"/>
                <w:color w:val="000000" w:themeColor="text1"/>
              </w:rPr>
              <w:t>6</w:t>
            </w:r>
            <w:r w:rsidRPr="00687B52">
              <w:rPr>
                <w:rFonts w:hint="eastAsia"/>
                <w:color w:val="000000" w:themeColor="text1"/>
              </w:rPr>
              <w:t>具时，可按</w:t>
            </w:r>
            <w:r w:rsidRPr="00687B52">
              <w:rPr>
                <w:rFonts w:hint="eastAsia"/>
                <w:color w:val="000000" w:themeColor="text1"/>
              </w:rPr>
              <w:t>6</w:t>
            </w:r>
            <w:r w:rsidRPr="00687B52">
              <w:rPr>
                <w:rFonts w:hint="eastAsia"/>
                <w:color w:val="000000" w:themeColor="text1"/>
              </w:rPr>
              <w:t>具配置。</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2</w:t>
            </w:r>
            <w:r w:rsidRPr="00687B52">
              <w:rPr>
                <w:rFonts w:hint="eastAsia"/>
                <w:color w:val="000000" w:themeColor="text1"/>
              </w:rPr>
              <w:t>）铁路装车台每间隔</w:t>
            </w:r>
            <w:r w:rsidRPr="00687B52">
              <w:rPr>
                <w:rFonts w:hint="eastAsia"/>
                <w:color w:val="000000" w:themeColor="text1"/>
              </w:rPr>
              <w:t>12m</w:t>
            </w:r>
            <w:r w:rsidRPr="00687B52">
              <w:rPr>
                <w:rFonts w:hint="eastAsia"/>
                <w:color w:val="000000" w:themeColor="text1"/>
              </w:rPr>
              <w:t>应配置</w:t>
            </w:r>
            <w:r w:rsidRPr="00687B52">
              <w:rPr>
                <w:rFonts w:hint="eastAsia"/>
                <w:color w:val="000000" w:themeColor="text1"/>
              </w:rPr>
              <w:t>2</w:t>
            </w:r>
            <w:r w:rsidRPr="00687B52">
              <w:rPr>
                <w:rFonts w:hint="eastAsia"/>
                <w:color w:val="000000" w:themeColor="text1"/>
              </w:rPr>
              <w:t>具</w:t>
            </w:r>
            <w:r w:rsidRPr="00687B52">
              <w:rPr>
                <w:rFonts w:hint="eastAsia"/>
                <w:color w:val="000000" w:themeColor="text1"/>
              </w:rPr>
              <w:t>8kg</w:t>
            </w:r>
            <w:r w:rsidRPr="00687B52">
              <w:rPr>
                <w:rFonts w:hint="eastAsia"/>
                <w:color w:val="000000" w:themeColor="text1"/>
              </w:rPr>
              <w:t>干粉灭火器；每个公路装车台应配置</w:t>
            </w:r>
            <w:r w:rsidRPr="00687B52">
              <w:rPr>
                <w:rFonts w:hint="eastAsia"/>
                <w:color w:val="000000" w:themeColor="text1"/>
              </w:rPr>
              <w:t>2</w:t>
            </w:r>
            <w:r w:rsidRPr="00687B52">
              <w:rPr>
                <w:rFonts w:hint="eastAsia"/>
                <w:color w:val="000000" w:themeColor="text1"/>
              </w:rPr>
              <w:t>具</w:t>
            </w:r>
            <w:r w:rsidRPr="00687B52">
              <w:rPr>
                <w:rFonts w:hint="eastAsia"/>
                <w:color w:val="000000" w:themeColor="text1"/>
              </w:rPr>
              <w:t>8kg</w:t>
            </w:r>
            <w:r w:rsidRPr="00687B52">
              <w:rPr>
                <w:rFonts w:hint="eastAsia"/>
                <w:color w:val="000000" w:themeColor="text1"/>
              </w:rPr>
              <w:t>干粉灭火器。</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3</w:t>
            </w:r>
            <w:r w:rsidRPr="00687B52">
              <w:rPr>
                <w:rFonts w:hint="eastAsia"/>
                <w:color w:val="000000" w:themeColor="text1"/>
              </w:rPr>
              <w:t>）石油库主要场所灭火毯、灭火沙配置数量不应少于表</w:t>
            </w:r>
            <w:r w:rsidRPr="00687B52">
              <w:rPr>
                <w:rFonts w:hint="eastAsia"/>
                <w:color w:val="000000" w:themeColor="text1"/>
              </w:rPr>
              <w:t>12.4.2</w:t>
            </w:r>
            <w:r w:rsidRPr="00687B52">
              <w:rPr>
                <w:rFonts w:hint="eastAsia"/>
                <w:color w:val="000000" w:themeColor="text1"/>
              </w:rPr>
              <w:t>的规定。</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12.4.2</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w:t>
            </w:r>
            <w:r w:rsidR="00A256A4" w:rsidRPr="00687B52">
              <w:rPr>
                <w:rFonts w:asciiTheme="minorEastAsia" w:eastAsiaTheme="minorEastAsia" w:hAnsiTheme="minorEastAsia" w:hint="eastAsia"/>
                <w:color w:val="000000" w:themeColor="text1"/>
                <w:szCs w:val="24"/>
              </w:rPr>
              <w:t>2</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石油库内应设消防值班室。消防值班室内应设专用受警录音电话。</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12.6.1</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w:t>
            </w:r>
            <w:r w:rsidR="00A256A4" w:rsidRPr="00687B52">
              <w:rPr>
                <w:rFonts w:asciiTheme="minorEastAsia" w:eastAsiaTheme="minorEastAsia" w:hAnsiTheme="minorEastAsia" w:hint="eastAsia"/>
                <w:color w:val="000000" w:themeColor="text1"/>
                <w:szCs w:val="24"/>
              </w:rPr>
              <w:t>3</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一、二、三级石油库的消防值班室应与消防泵房控制室或消防车库合并设置，四、五级石油库的消防值班室可与油库值班室合并设置。消防值班室与油库值班调度室、城镇消防站之间应设直通电话。储罐总容量大于或等于</w:t>
            </w:r>
            <w:r w:rsidRPr="00687B52">
              <w:rPr>
                <w:rFonts w:hint="eastAsia"/>
                <w:color w:val="000000" w:themeColor="text1"/>
              </w:rPr>
              <w:t>50000m</w:t>
            </w:r>
            <w:r w:rsidRPr="00687B52">
              <w:rPr>
                <w:rFonts w:hint="eastAsia"/>
                <w:color w:val="000000" w:themeColor="text1"/>
                <w:vertAlign w:val="superscript"/>
              </w:rPr>
              <w:t>3</w:t>
            </w:r>
            <w:r w:rsidRPr="00687B52">
              <w:rPr>
                <w:rFonts w:hint="eastAsia"/>
                <w:color w:val="000000" w:themeColor="text1"/>
              </w:rPr>
              <w:t>的石油库的报警信号</w:t>
            </w:r>
            <w:r w:rsidRPr="00687B52">
              <w:rPr>
                <w:rFonts w:hint="eastAsia"/>
                <w:color w:val="000000" w:themeColor="text1"/>
              </w:rPr>
              <w:t> </w:t>
            </w:r>
            <w:r w:rsidRPr="00687B52">
              <w:rPr>
                <w:rFonts w:hint="eastAsia"/>
                <w:color w:val="000000" w:themeColor="text1"/>
              </w:rPr>
              <w:t>应在消防值班室显示。</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12.6.2</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w:t>
            </w:r>
            <w:r w:rsidR="00A256A4" w:rsidRPr="00687B52">
              <w:rPr>
                <w:rFonts w:asciiTheme="minorEastAsia" w:eastAsiaTheme="minorEastAsia" w:hAnsiTheme="minorEastAsia" w:hint="eastAsia"/>
                <w:color w:val="000000" w:themeColor="text1"/>
                <w:szCs w:val="24"/>
              </w:rPr>
              <w:t>4</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储罐区、装卸区和辅助作业区的值班室内，应设火灾报警电话。</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12.6.3</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w:t>
            </w:r>
            <w:r w:rsidR="00A256A4" w:rsidRPr="00687B52">
              <w:rPr>
                <w:rFonts w:asciiTheme="minorEastAsia" w:eastAsiaTheme="minorEastAsia" w:hAnsiTheme="minorEastAsia" w:hint="eastAsia"/>
                <w:color w:val="000000" w:themeColor="text1"/>
                <w:szCs w:val="24"/>
              </w:rPr>
              <w:t>5</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石油库的含油与不含油污水，应采用分流制排放，含油污水应采用管道排放。未被易燃和可燃液体污染的地面雨水和生产废水可采用明沟排放，并宜在石油库围墙处集中设置排放口。</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13.2.1</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w:t>
            </w:r>
            <w:r w:rsidR="00A256A4" w:rsidRPr="00687B52">
              <w:rPr>
                <w:rFonts w:asciiTheme="minorEastAsia" w:eastAsiaTheme="minorEastAsia" w:hAnsiTheme="minorEastAsia" w:hint="eastAsia"/>
                <w:color w:val="000000" w:themeColor="text1"/>
                <w:szCs w:val="24"/>
              </w:rPr>
              <w:t>6</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储罐区防火堤内的含油污水管道引出防火堤时，应在堤外采取防止泄漏的易燃和可燃液体流出罐区的切断措施。</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13.2.2</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r w:rsidR="00A256A4" w:rsidRPr="00687B52">
              <w:rPr>
                <w:rFonts w:asciiTheme="minorEastAsia" w:eastAsiaTheme="minorEastAsia" w:hAnsiTheme="minorEastAsia" w:hint="eastAsia"/>
                <w:color w:val="000000" w:themeColor="text1"/>
                <w:szCs w:val="24"/>
              </w:rPr>
              <w:t>17</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含油污水管道应在储罐组防火堤处、其他建（构）筑物</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的排水管出口处、支管与干管连接处、干管每隔</w:t>
            </w:r>
            <w:r w:rsidRPr="00687B52">
              <w:rPr>
                <w:rFonts w:hint="eastAsia"/>
                <w:color w:val="000000" w:themeColor="text1"/>
              </w:rPr>
              <w:t>300m</w:t>
            </w:r>
            <w:r w:rsidRPr="00687B52">
              <w:rPr>
                <w:rFonts w:hint="eastAsia"/>
                <w:color w:val="000000" w:themeColor="text1"/>
              </w:rPr>
              <w:t>处设置水封井。</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13.2.3</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r w:rsidR="00A256A4" w:rsidRPr="00687B52">
              <w:rPr>
                <w:rFonts w:asciiTheme="minorEastAsia" w:eastAsiaTheme="minorEastAsia" w:hAnsiTheme="minorEastAsia" w:hint="eastAsia"/>
                <w:color w:val="000000" w:themeColor="text1"/>
                <w:szCs w:val="24"/>
              </w:rPr>
              <w:t>18</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石油库通向库外的排水管道和明沟，应在石油库围墙里侧设置水封井和截断装置。水封井与围墙之间的排水通道应采用暗沟或暗管。</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13.2.4</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r w:rsidR="00A256A4" w:rsidRPr="00687B52">
              <w:rPr>
                <w:rFonts w:asciiTheme="minorEastAsia" w:eastAsiaTheme="minorEastAsia" w:hAnsiTheme="minorEastAsia" w:hint="eastAsia"/>
                <w:color w:val="000000" w:themeColor="text1"/>
                <w:szCs w:val="24"/>
              </w:rPr>
              <w:t>19</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库区内应设置漏油及事故污水收集系统。收集系统可由管组防火堤、罐组周围路堤式消防车道与防火堤之间的低洼地带、雨水收集系统、漏油及事故污水收集池组成。</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13.4.1</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w:t>
            </w:r>
            <w:r w:rsidR="00A256A4" w:rsidRPr="00687B52">
              <w:rPr>
                <w:rFonts w:asciiTheme="minorEastAsia" w:eastAsiaTheme="minorEastAsia" w:hAnsiTheme="minorEastAsia" w:hint="eastAsia"/>
                <w:color w:val="000000" w:themeColor="text1"/>
                <w:szCs w:val="24"/>
              </w:rPr>
              <w:t>0</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一、二、三、四级石油库的漏油及事故污水收集池容量，分别不应小于</w:t>
            </w:r>
            <w:r w:rsidRPr="00687B52">
              <w:rPr>
                <w:rFonts w:hint="eastAsia"/>
                <w:color w:val="000000" w:themeColor="text1"/>
              </w:rPr>
              <w:t>1000m</w:t>
            </w:r>
            <w:r w:rsidRPr="00687B52">
              <w:rPr>
                <w:rFonts w:hint="eastAsia"/>
                <w:color w:val="000000" w:themeColor="text1"/>
                <w:vertAlign w:val="superscript"/>
              </w:rPr>
              <w:t>3</w:t>
            </w:r>
            <w:r w:rsidRPr="00687B52">
              <w:rPr>
                <w:rFonts w:hint="eastAsia"/>
                <w:color w:val="000000" w:themeColor="text1"/>
              </w:rPr>
              <w:t>、</w:t>
            </w:r>
            <w:r w:rsidRPr="00687B52">
              <w:rPr>
                <w:rFonts w:hint="eastAsia"/>
                <w:color w:val="000000" w:themeColor="text1"/>
              </w:rPr>
              <w:t>750m</w:t>
            </w:r>
            <w:r w:rsidRPr="00687B52">
              <w:rPr>
                <w:rFonts w:hint="eastAsia"/>
                <w:color w:val="000000" w:themeColor="text1"/>
              </w:rPr>
              <w:t>³、</w:t>
            </w:r>
            <w:r w:rsidRPr="00687B52">
              <w:rPr>
                <w:rFonts w:hint="eastAsia"/>
                <w:color w:val="000000" w:themeColor="text1"/>
              </w:rPr>
              <w:t>500m</w:t>
            </w:r>
            <w:r w:rsidRPr="00687B52">
              <w:rPr>
                <w:rFonts w:hint="eastAsia"/>
                <w:color w:val="000000" w:themeColor="text1"/>
              </w:rPr>
              <w:t>³、</w:t>
            </w:r>
            <w:r w:rsidRPr="00687B52">
              <w:rPr>
                <w:rFonts w:hint="eastAsia"/>
                <w:color w:val="000000" w:themeColor="text1"/>
              </w:rPr>
              <w:t>300m</w:t>
            </w:r>
            <w:r w:rsidRPr="00687B52">
              <w:rPr>
                <w:rFonts w:hint="eastAsia"/>
                <w:color w:val="000000" w:themeColor="text1"/>
                <w:vertAlign w:val="superscript"/>
              </w:rPr>
              <w:t>3</w:t>
            </w:r>
            <w:r w:rsidRPr="00687B52">
              <w:rPr>
                <w:rFonts w:hint="eastAsia"/>
                <w:color w:val="000000" w:themeColor="text1"/>
              </w:rPr>
              <w:t>；五级石油库可不设漏油及事故污水收集池。漏油及事故污水收集池宜布置在库区地势较低处，漏油及事故污水收集池应采取隔油措施。</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13.4.2</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w:t>
            </w:r>
            <w:r w:rsidR="00A256A4" w:rsidRPr="00687B52">
              <w:rPr>
                <w:rFonts w:asciiTheme="minorEastAsia" w:eastAsiaTheme="minorEastAsia" w:hAnsiTheme="minorEastAsia" w:hint="eastAsia"/>
                <w:color w:val="000000" w:themeColor="text1"/>
                <w:szCs w:val="24"/>
              </w:rPr>
              <w:t>1</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石油库生产作业的供电负荷等级宜为三级，不能中断生产作业的石油库供电负荷等级应为二级。一、二、三级石油库应设置供信息系统使用的应急电源。设置有电动阀门（易燃和可燃液体定量装车控制阀除外）的一、二级石油库宜配置可移动式应急动力电源装置。应急动力电源装置的专用切换电源装置宜设置在配电间处或罐组防火堤外。</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14.1.1</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w:t>
            </w:r>
            <w:r w:rsidR="00A256A4" w:rsidRPr="00687B52">
              <w:rPr>
                <w:rFonts w:asciiTheme="minorEastAsia" w:eastAsiaTheme="minorEastAsia" w:hAnsiTheme="minorEastAsia" w:hint="eastAsia"/>
                <w:color w:val="000000" w:themeColor="text1"/>
                <w:szCs w:val="24"/>
              </w:rPr>
              <w:t>2</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一、二、三级石油库的消防泵站和泡沫站应设应急照明，应急照明可采用蓄电池作为备用电源，其连续供电时间不应少于</w:t>
            </w:r>
            <w:r w:rsidRPr="00687B52">
              <w:rPr>
                <w:rFonts w:hint="eastAsia"/>
                <w:color w:val="000000" w:themeColor="text1"/>
              </w:rPr>
              <w:t>6h</w:t>
            </w:r>
            <w:r w:rsidRPr="00687B52">
              <w:rPr>
                <w:rFonts w:hint="eastAsia"/>
                <w:color w:val="000000" w:themeColor="text1"/>
              </w:rPr>
              <w:t>。</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14.1.3</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w:t>
            </w:r>
            <w:r w:rsidR="00A256A4" w:rsidRPr="00687B52">
              <w:rPr>
                <w:rFonts w:asciiTheme="minorEastAsia" w:eastAsiaTheme="minorEastAsia" w:hAnsiTheme="minorEastAsia" w:hint="eastAsia"/>
                <w:color w:val="000000" w:themeColor="text1"/>
                <w:szCs w:val="24"/>
              </w:rPr>
              <w:t>3</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10kV</w:t>
            </w:r>
            <w:r w:rsidRPr="00687B52">
              <w:rPr>
                <w:rFonts w:hint="eastAsia"/>
                <w:color w:val="000000" w:themeColor="text1"/>
              </w:rPr>
              <w:t>以上的变配电装置应独立设置。</w:t>
            </w:r>
            <w:r w:rsidRPr="00687B52">
              <w:rPr>
                <w:rFonts w:hint="eastAsia"/>
                <w:color w:val="000000" w:themeColor="text1"/>
              </w:rPr>
              <w:t>10kV</w:t>
            </w:r>
            <w:r w:rsidRPr="00687B52">
              <w:rPr>
                <w:rFonts w:hint="eastAsia"/>
                <w:color w:val="000000" w:themeColor="text1"/>
              </w:rPr>
              <w:t>及以下的变配电装置的变配电间与易燃液体泵房（棚）相毗邻时，应符合下列规定：</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1</w:t>
            </w:r>
            <w:r w:rsidRPr="00687B52">
              <w:rPr>
                <w:rFonts w:hint="eastAsia"/>
                <w:color w:val="000000" w:themeColor="text1"/>
              </w:rPr>
              <w:t>）隔墙应为不燃材料建造的实体墙。与变配电间无关的管道，不得穿过隔墙。所有穿墙的孔洞，应用不燃材料严密填实。</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2</w:t>
            </w:r>
            <w:r w:rsidRPr="00687B52">
              <w:rPr>
                <w:rFonts w:hint="eastAsia"/>
                <w:color w:val="000000" w:themeColor="text1"/>
              </w:rPr>
              <w:t>）变配电间的门窗应向外开，其门应设在泵房的爆炸危险区域以外。变配电间的窗宜设在泵房的爆炸危险区域以外；如窗设在爆炸危险区以内，应设密闭固定窗和警示标志。</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3</w:t>
            </w:r>
            <w:r w:rsidRPr="00687B52">
              <w:rPr>
                <w:rFonts w:hint="eastAsia"/>
                <w:color w:val="000000" w:themeColor="text1"/>
              </w:rPr>
              <w:t>）变配电间的地坪应高于油泵房室外地坪至少</w:t>
            </w:r>
            <w:r w:rsidRPr="00687B52">
              <w:rPr>
                <w:rFonts w:hint="eastAsia"/>
                <w:color w:val="000000" w:themeColor="text1"/>
              </w:rPr>
              <w:t>0.6m.</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14.1.4</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w:t>
            </w:r>
            <w:r w:rsidR="00A256A4" w:rsidRPr="00687B52">
              <w:rPr>
                <w:rFonts w:asciiTheme="minorEastAsia" w:eastAsiaTheme="minorEastAsia" w:hAnsiTheme="minorEastAsia" w:hint="eastAsia"/>
                <w:color w:val="000000" w:themeColor="text1"/>
                <w:szCs w:val="24"/>
              </w:rPr>
              <w:t>4</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石油库主要生产作业场所的配电电缆应采用铜芯电缆，并应采用直埋或电缆沟充砂敷设，局部地段确需在地面敷设的电缆应采用阻燃电缆。</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14.1.5</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r w:rsidR="00A256A4" w:rsidRPr="00687B52">
              <w:rPr>
                <w:rFonts w:asciiTheme="minorEastAsia" w:eastAsiaTheme="minorEastAsia" w:hAnsiTheme="minorEastAsia" w:hint="eastAsia"/>
                <w:color w:val="000000" w:themeColor="text1"/>
                <w:szCs w:val="24"/>
              </w:rPr>
              <w:t>25</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电缆不得与易燃和可燃液体管道、热力管道同沟敷设。</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14.1.6</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r w:rsidR="00A256A4" w:rsidRPr="00687B52">
              <w:rPr>
                <w:rFonts w:asciiTheme="minorEastAsia" w:eastAsiaTheme="minorEastAsia" w:hAnsiTheme="minorEastAsia" w:hint="eastAsia"/>
                <w:color w:val="000000" w:themeColor="text1"/>
                <w:szCs w:val="24"/>
              </w:rPr>
              <w:t>26</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石油库的低压配电系统接地型式应采用</w:t>
            </w:r>
            <w:r w:rsidRPr="00687B52">
              <w:rPr>
                <w:rFonts w:hint="eastAsia"/>
                <w:color w:val="000000" w:themeColor="text1"/>
              </w:rPr>
              <w:t>TN-S</w:t>
            </w:r>
            <w:r w:rsidRPr="00687B52">
              <w:rPr>
                <w:rFonts w:hint="eastAsia"/>
                <w:color w:val="000000" w:themeColor="text1"/>
              </w:rPr>
              <w:t>系统，道路照明可采用</w:t>
            </w:r>
            <w:r w:rsidRPr="00687B52">
              <w:rPr>
                <w:rFonts w:hint="eastAsia"/>
                <w:color w:val="000000" w:themeColor="text1"/>
              </w:rPr>
              <w:t>TT</w:t>
            </w:r>
            <w:r w:rsidRPr="00687B52">
              <w:rPr>
                <w:rFonts w:hint="eastAsia"/>
                <w:color w:val="000000" w:themeColor="text1"/>
              </w:rPr>
              <w:t>系统。</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14.1.8</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r w:rsidR="00A256A4" w:rsidRPr="00687B52">
              <w:rPr>
                <w:rFonts w:asciiTheme="minorEastAsia" w:eastAsiaTheme="minorEastAsia" w:hAnsiTheme="minorEastAsia" w:hint="eastAsia"/>
                <w:color w:val="000000" w:themeColor="text1"/>
                <w:szCs w:val="24"/>
              </w:rPr>
              <w:t>27</w:t>
            </w:r>
          </w:p>
        </w:tc>
        <w:tc>
          <w:tcPr>
            <w:tcW w:w="2331" w:type="pct"/>
            <w:vAlign w:val="center"/>
          </w:tcPr>
          <w:p w:rsidR="003E1D2A" w:rsidRPr="00687B52" w:rsidRDefault="003E1D2A" w:rsidP="003E1D2A">
            <w:pPr>
              <w:pStyle w:val="a7"/>
              <w:jc w:val="left"/>
              <w:rPr>
                <w:color w:val="000000" w:themeColor="text1"/>
              </w:rPr>
            </w:pPr>
            <w:r w:rsidRPr="00687B52">
              <w:rPr>
                <w:rFonts w:hint="eastAsia"/>
                <w:bCs/>
                <w:color w:val="000000" w:themeColor="text1"/>
              </w:rPr>
              <w:t>钢储罐必须做防雷接地，接地点不应少于</w:t>
            </w:r>
            <w:r w:rsidRPr="00687B52">
              <w:rPr>
                <w:rFonts w:hint="eastAsia"/>
                <w:bCs/>
                <w:color w:val="000000" w:themeColor="text1"/>
              </w:rPr>
              <w:t>2</w:t>
            </w:r>
            <w:r w:rsidRPr="00687B52">
              <w:rPr>
                <w:rFonts w:hint="eastAsia"/>
                <w:bCs/>
                <w:color w:val="000000" w:themeColor="text1"/>
              </w:rPr>
              <w:t>处。</w:t>
            </w:r>
          </w:p>
        </w:tc>
        <w:tc>
          <w:tcPr>
            <w:tcW w:w="1058" w:type="pct"/>
            <w:vAlign w:val="center"/>
          </w:tcPr>
          <w:p w:rsidR="003E1D2A" w:rsidRPr="00687B52" w:rsidRDefault="003E1D2A" w:rsidP="003E1D2A">
            <w:pPr>
              <w:pStyle w:val="a7"/>
              <w:rPr>
                <w:color w:val="000000" w:themeColor="text1"/>
              </w:rPr>
            </w:pPr>
            <w:r w:rsidRPr="00687B52">
              <w:rPr>
                <w:rFonts w:hint="eastAsia"/>
                <w:bCs/>
                <w:color w:val="000000" w:themeColor="text1"/>
              </w:rPr>
              <w:t>《石油库设计规范》</w:t>
            </w:r>
            <w:r w:rsidRPr="00687B52">
              <w:rPr>
                <w:rFonts w:hint="eastAsia"/>
                <w:bCs/>
                <w:color w:val="000000" w:themeColor="text1"/>
              </w:rPr>
              <w:t>GB50074-2014</w:t>
            </w:r>
            <w:r w:rsidRPr="00687B52">
              <w:rPr>
                <w:rFonts w:hint="eastAsia"/>
                <w:bCs/>
                <w:color w:val="000000" w:themeColor="text1"/>
              </w:rPr>
              <w:t>第</w:t>
            </w:r>
            <w:r w:rsidRPr="00687B52">
              <w:rPr>
                <w:rFonts w:hint="eastAsia"/>
                <w:bCs/>
                <w:color w:val="000000" w:themeColor="text1"/>
              </w:rPr>
              <w:t>14.2.1</w:t>
            </w:r>
            <w:r w:rsidRPr="00687B52">
              <w:rPr>
                <w:rFonts w:hint="eastAsia"/>
                <w:bCs/>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r w:rsidR="00A256A4" w:rsidRPr="00687B52">
              <w:rPr>
                <w:rFonts w:asciiTheme="minorEastAsia" w:eastAsiaTheme="minorEastAsia" w:hAnsiTheme="minorEastAsia" w:hint="eastAsia"/>
                <w:color w:val="000000" w:themeColor="text1"/>
                <w:szCs w:val="24"/>
              </w:rPr>
              <w:t>28</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储存易燃液体的储罐防雷设计，应符合下列规定：</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1</w:t>
            </w:r>
            <w:r w:rsidRPr="00687B52">
              <w:rPr>
                <w:rFonts w:hint="eastAsia"/>
                <w:color w:val="000000" w:themeColor="text1"/>
              </w:rPr>
              <w:t>）装有阻火器的地上卧式储罐的壁厚和地上固定顶钢储罐的顶板厚度大于或等于</w:t>
            </w:r>
            <w:r w:rsidRPr="00687B52">
              <w:rPr>
                <w:rFonts w:hint="eastAsia"/>
                <w:color w:val="000000" w:themeColor="text1"/>
              </w:rPr>
              <w:t>4mm</w:t>
            </w:r>
            <w:r w:rsidRPr="00687B52">
              <w:rPr>
                <w:rFonts w:hint="eastAsia"/>
                <w:color w:val="000000" w:themeColor="text1"/>
              </w:rPr>
              <w:t>时，不应装设接闪杆（网）。铝顶储罐和顶板厚度小于</w:t>
            </w:r>
            <w:r w:rsidRPr="00687B52">
              <w:rPr>
                <w:rFonts w:hint="eastAsia"/>
                <w:color w:val="000000" w:themeColor="text1"/>
              </w:rPr>
              <w:t>4mm</w:t>
            </w:r>
            <w:r w:rsidRPr="00687B52">
              <w:rPr>
                <w:rFonts w:hint="eastAsia"/>
                <w:color w:val="000000" w:themeColor="text1"/>
              </w:rPr>
              <w:t>的钢储罐，应装设接闪杆（网），接闪杆（网）应保护整个储罐。</w:t>
            </w:r>
          </w:p>
          <w:p w:rsidR="003E1D2A" w:rsidRPr="00687B52" w:rsidRDefault="003E1D2A" w:rsidP="003E1D2A">
            <w:pPr>
              <w:pStyle w:val="a7"/>
              <w:jc w:val="left"/>
              <w:rPr>
                <w:color w:val="000000" w:themeColor="text1"/>
              </w:rPr>
            </w:pPr>
            <w:r w:rsidRPr="00687B52">
              <w:rPr>
                <w:rFonts w:hint="eastAsia"/>
                <w:color w:val="000000" w:themeColor="text1"/>
              </w:rPr>
              <w:t>2</w:t>
            </w:r>
            <w:r w:rsidRPr="00687B52">
              <w:rPr>
                <w:rFonts w:hint="eastAsia"/>
                <w:color w:val="000000" w:themeColor="text1"/>
              </w:rPr>
              <w:t>）外浮顶储罐或内浮顶储罐不应装设接闪杆（网），但应采用两根导线将浮顶与罐体做电气连接。外浮顶储罐的连接导线应选用截面积不小于</w:t>
            </w:r>
            <w:r w:rsidRPr="00687B52">
              <w:rPr>
                <w:rFonts w:hint="eastAsia"/>
                <w:color w:val="000000" w:themeColor="text1"/>
              </w:rPr>
              <w:t>50mm</w:t>
            </w:r>
            <w:r w:rsidRPr="00687B52">
              <w:rPr>
                <w:rFonts w:hint="eastAsia"/>
                <w:color w:val="000000" w:themeColor="text1"/>
              </w:rPr>
              <w:t>的扁平镀锡软铜复绞线或绝缘阻燃护套软铜复绞线；内浮顶储罐的连接导线应选用直径不小于</w:t>
            </w:r>
            <w:r w:rsidRPr="00687B52">
              <w:rPr>
                <w:rFonts w:hint="eastAsia"/>
                <w:color w:val="000000" w:themeColor="text1"/>
              </w:rPr>
              <w:t>5</w:t>
            </w:r>
            <w:r w:rsidRPr="00687B52">
              <w:rPr>
                <w:rFonts w:hint="eastAsia"/>
                <w:color w:val="000000" w:themeColor="text1"/>
              </w:rPr>
              <w:t> </w:t>
            </w:r>
            <w:r w:rsidRPr="00687B52">
              <w:rPr>
                <w:rFonts w:hint="eastAsia"/>
                <w:color w:val="000000" w:themeColor="text1"/>
              </w:rPr>
              <w:t>mm</w:t>
            </w:r>
            <w:r w:rsidRPr="00687B52">
              <w:rPr>
                <w:rFonts w:hint="eastAsia"/>
                <w:color w:val="000000" w:themeColor="text1"/>
              </w:rPr>
              <w:t>的不锈钢钢丝绳。</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3</w:t>
            </w:r>
            <w:r w:rsidRPr="00687B52">
              <w:rPr>
                <w:rFonts w:hint="eastAsia"/>
                <w:color w:val="000000" w:themeColor="text1"/>
              </w:rPr>
              <w:t>）外浮顶储罐应利用浮顶排水管将罐体与浮顶做电气连接，每条排水管的跨接导线应采用一根横截面不小于</w:t>
            </w:r>
            <w:r w:rsidRPr="00687B52">
              <w:rPr>
                <w:rFonts w:hint="eastAsia"/>
                <w:color w:val="000000" w:themeColor="text1"/>
              </w:rPr>
              <w:t>50mm</w:t>
            </w:r>
            <w:r w:rsidRPr="00687B52">
              <w:rPr>
                <w:rFonts w:hint="eastAsia"/>
                <w:color w:val="000000" w:themeColor="text1"/>
                <w:vertAlign w:val="superscript"/>
              </w:rPr>
              <w:t>2</w:t>
            </w:r>
            <w:r w:rsidRPr="00687B52">
              <w:rPr>
                <w:rFonts w:hint="eastAsia"/>
                <w:color w:val="000000" w:themeColor="text1"/>
              </w:rPr>
              <w:t>扁平镀锡软铜复绞线。</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4</w:t>
            </w:r>
            <w:r w:rsidRPr="00687B52">
              <w:rPr>
                <w:rFonts w:hint="eastAsia"/>
                <w:color w:val="000000" w:themeColor="text1"/>
              </w:rPr>
              <w:t>）外浮顶储罐的转动浮梯两侧，应分别与罐体和浮顶各做两处电气连接。</w:t>
            </w:r>
            <w:r w:rsidRPr="00687B52">
              <w:rPr>
                <w:rFonts w:hint="eastAsia"/>
                <w:color w:val="000000" w:themeColor="text1"/>
              </w:rPr>
              <w:t> </w:t>
            </w:r>
          </w:p>
          <w:p w:rsidR="003E1D2A" w:rsidRPr="00687B52" w:rsidRDefault="003E1D2A" w:rsidP="003E1D2A">
            <w:pPr>
              <w:pStyle w:val="a7"/>
              <w:jc w:val="left"/>
              <w:rPr>
                <w:bCs/>
                <w:color w:val="000000" w:themeColor="text1"/>
              </w:rPr>
            </w:pPr>
            <w:r w:rsidRPr="00687B52">
              <w:rPr>
                <w:rFonts w:hint="eastAsia"/>
                <w:color w:val="000000" w:themeColor="text1"/>
              </w:rPr>
              <w:t> </w:t>
            </w:r>
            <w:r w:rsidRPr="00687B52">
              <w:rPr>
                <w:rFonts w:hint="eastAsia"/>
                <w:color w:val="000000" w:themeColor="text1"/>
              </w:rPr>
              <w:t>5</w:t>
            </w:r>
            <w:r w:rsidRPr="00687B52">
              <w:rPr>
                <w:rFonts w:hint="eastAsia"/>
                <w:color w:val="000000" w:themeColor="text1"/>
              </w:rPr>
              <w:t>）覆土储罐的呼吸阀、量油孔等法兰连接处，应做电气连接并接地，接地电阻不宜大于</w:t>
            </w:r>
            <w:r w:rsidRPr="00687B52">
              <w:rPr>
                <w:rFonts w:hint="eastAsia"/>
                <w:color w:val="000000" w:themeColor="text1"/>
              </w:rPr>
              <w:t>10</w:t>
            </w:r>
            <w:r w:rsidRPr="00687B52">
              <w:rPr>
                <w:rFonts w:hint="eastAsia"/>
                <w:color w:val="000000" w:themeColor="text1"/>
              </w:rPr>
              <w:t>欧。</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14.2.3</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r w:rsidR="00A256A4" w:rsidRPr="00687B52">
              <w:rPr>
                <w:rFonts w:asciiTheme="minorEastAsia" w:eastAsiaTheme="minorEastAsia" w:hAnsiTheme="minorEastAsia" w:hint="eastAsia"/>
                <w:color w:val="000000" w:themeColor="text1"/>
                <w:szCs w:val="24"/>
              </w:rPr>
              <w:t>29</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储存可燃液体的钢储罐，不应装设接闪杆（网），但应做防雷接地。</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14.2.4</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w:t>
            </w:r>
            <w:r w:rsidR="00A256A4" w:rsidRPr="00687B52">
              <w:rPr>
                <w:rFonts w:asciiTheme="minorEastAsia" w:eastAsiaTheme="minorEastAsia" w:hAnsiTheme="minorEastAsia" w:hint="eastAsia"/>
                <w:color w:val="000000" w:themeColor="text1"/>
                <w:szCs w:val="24"/>
              </w:rPr>
              <w:t>0</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装于地上钢储罐上的仪表及控制系统的配线电缆应采用屏蔽电缆，并应穿镀锌钢管保护管，保护管两端应与罐体做电气连接。</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14.2.5</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w:t>
            </w:r>
            <w:r w:rsidR="00A256A4" w:rsidRPr="00687B52">
              <w:rPr>
                <w:rFonts w:asciiTheme="minorEastAsia" w:eastAsiaTheme="minorEastAsia" w:hAnsiTheme="minorEastAsia" w:hint="eastAsia"/>
                <w:color w:val="000000" w:themeColor="text1"/>
                <w:szCs w:val="24"/>
              </w:rPr>
              <w:t>1</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储罐上安装的信号远传仪表，其金属外壳应与储罐体做电气连接。</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14.2.7</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w:t>
            </w:r>
            <w:r w:rsidR="00A256A4" w:rsidRPr="00687B52">
              <w:rPr>
                <w:rFonts w:asciiTheme="minorEastAsia" w:eastAsiaTheme="minorEastAsia" w:hAnsiTheme="minorEastAsia" w:hint="eastAsia"/>
                <w:color w:val="000000" w:themeColor="text1"/>
                <w:szCs w:val="24"/>
              </w:rPr>
              <w:t>2</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在爆炸危险区域内的工艺管道，应采取下列防雷措施：</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1</w:t>
            </w:r>
            <w:r w:rsidRPr="00687B52">
              <w:rPr>
                <w:rFonts w:hint="eastAsia"/>
                <w:color w:val="000000" w:themeColor="text1"/>
              </w:rPr>
              <w:t>）工艺管道的金属法兰连接处应跨接。当不少于</w:t>
            </w:r>
            <w:r w:rsidRPr="00687B52">
              <w:rPr>
                <w:rFonts w:hint="eastAsia"/>
                <w:color w:val="000000" w:themeColor="text1"/>
              </w:rPr>
              <w:t>5</w:t>
            </w:r>
            <w:r w:rsidRPr="00687B52">
              <w:rPr>
                <w:rFonts w:hint="eastAsia"/>
                <w:color w:val="000000" w:themeColor="text1"/>
              </w:rPr>
              <w:t>根螺栓连接时，在非腐蚀环境下可不跨接。</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2</w:t>
            </w:r>
            <w:r w:rsidRPr="00687B52">
              <w:rPr>
                <w:rFonts w:hint="eastAsia"/>
                <w:color w:val="000000" w:themeColor="text1"/>
              </w:rPr>
              <w:t>）平行敷设于地上或非充沙管沟内的金属管道，其净距小于</w:t>
            </w:r>
            <w:r w:rsidRPr="00687B52">
              <w:rPr>
                <w:rFonts w:hint="eastAsia"/>
                <w:color w:val="000000" w:themeColor="text1"/>
              </w:rPr>
              <w:t>100mm</w:t>
            </w:r>
            <w:r w:rsidRPr="00687B52">
              <w:rPr>
                <w:rFonts w:hint="eastAsia"/>
                <w:color w:val="000000" w:themeColor="text1"/>
              </w:rPr>
              <w:t>时，应用金属线跨接，跨接点的间距不应大于</w:t>
            </w:r>
            <w:r w:rsidRPr="00687B52">
              <w:rPr>
                <w:rFonts w:hint="eastAsia"/>
                <w:color w:val="000000" w:themeColor="text1"/>
              </w:rPr>
              <w:t>30mm</w:t>
            </w:r>
            <w:r w:rsidRPr="00687B52">
              <w:rPr>
                <w:rFonts w:hint="eastAsia"/>
                <w:color w:val="000000" w:themeColor="text1"/>
              </w:rPr>
              <w:t>管道</w:t>
            </w:r>
            <w:r w:rsidRPr="00687B52">
              <w:rPr>
                <w:rFonts w:hint="eastAsia"/>
                <w:color w:val="000000" w:themeColor="text1"/>
              </w:rPr>
              <w:t> </w:t>
            </w:r>
            <w:r w:rsidRPr="00687B52">
              <w:rPr>
                <w:rFonts w:hint="eastAsia"/>
                <w:color w:val="000000" w:themeColor="text1"/>
              </w:rPr>
              <w:t>交叉点净距小于</w:t>
            </w:r>
            <w:r w:rsidRPr="00687B52">
              <w:rPr>
                <w:rFonts w:hint="eastAsia"/>
                <w:color w:val="000000" w:themeColor="text1"/>
              </w:rPr>
              <w:t>100mm</w:t>
            </w:r>
            <w:r w:rsidRPr="00687B52">
              <w:rPr>
                <w:rFonts w:hint="eastAsia"/>
                <w:color w:val="000000" w:themeColor="text1"/>
              </w:rPr>
              <w:t>时，其交叉点应用金属线跨接。</w:t>
            </w:r>
            <w:r w:rsidRPr="00687B52">
              <w:rPr>
                <w:rFonts w:hint="eastAsia"/>
                <w:color w:val="000000" w:themeColor="text1"/>
              </w:rPr>
              <w:t> </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14.2.12</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w:t>
            </w:r>
            <w:r w:rsidR="00A256A4" w:rsidRPr="00687B52">
              <w:rPr>
                <w:rFonts w:asciiTheme="minorEastAsia" w:eastAsiaTheme="minorEastAsia" w:hAnsiTheme="minorEastAsia" w:hint="eastAsia"/>
                <w:color w:val="000000" w:themeColor="text1"/>
                <w:szCs w:val="24"/>
              </w:rPr>
              <w:t>3</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接闪杆（网、带）的接地电阻，不宜大于</w:t>
            </w:r>
            <w:r w:rsidRPr="00687B52">
              <w:rPr>
                <w:rFonts w:hint="eastAsia"/>
                <w:color w:val="000000" w:themeColor="text1"/>
              </w:rPr>
              <w:t>10</w:t>
            </w:r>
            <w:r w:rsidRPr="00687B52">
              <w:rPr>
                <w:rFonts w:hint="eastAsia"/>
                <w:color w:val="000000" w:themeColor="text1"/>
              </w:rPr>
              <w:t>欧。</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14.2.13</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w:t>
            </w:r>
            <w:r w:rsidR="00A256A4" w:rsidRPr="00687B52">
              <w:rPr>
                <w:rFonts w:asciiTheme="minorEastAsia" w:eastAsiaTheme="minorEastAsia" w:hAnsiTheme="minorEastAsia" w:hint="eastAsia"/>
                <w:color w:val="000000" w:themeColor="text1"/>
                <w:szCs w:val="24"/>
              </w:rPr>
              <w:t>4</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储存甲、乙和丙</w:t>
            </w:r>
            <w:r w:rsidRPr="00687B52">
              <w:rPr>
                <w:rFonts w:hint="eastAsia"/>
                <w:color w:val="000000" w:themeColor="text1"/>
              </w:rPr>
              <w:t>A</w:t>
            </w:r>
            <w:r w:rsidRPr="00687B52">
              <w:rPr>
                <w:rFonts w:hint="eastAsia"/>
                <w:color w:val="000000" w:themeColor="text1"/>
              </w:rPr>
              <w:t>类液体的钢储罐，应采取防静电措施。</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14.3.1</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r w:rsidR="00A256A4" w:rsidRPr="00687B52">
              <w:rPr>
                <w:rFonts w:asciiTheme="minorEastAsia" w:eastAsiaTheme="minorEastAsia" w:hAnsiTheme="minorEastAsia" w:hint="eastAsia"/>
                <w:color w:val="000000" w:themeColor="text1"/>
                <w:szCs w:val="24"/>
              </w:rPr>
              <w:t>35</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甲、乙和丙</w:t>
            </w:r>
            <w:r w:rsidRPr="00687B52">
              <w:rPr>
                <w:rFonts w:hint="eastAsia"/>
                <w:color w:val="000000" w:themeColor="text1"/>
              </w:rPr>
              <w:t>A</w:t>
            </w:r>
            <w:r w:rsidRPr="00687B52">
              <w:rPr>
                <w:rFonts w:hint="eastAsia"/>
                <w:color w:val="000000" w:themeColor="text1"/>
              </w:rPr>
              <w:t>类液体的汽车罐车或灌桶设施，应设置与罐车或桶跨接的防静电接地装置。</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14.3.8</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r w:rsidR="00A256A4" w:rsidRPr="00687B52">
              <w:rPr>
                <w:rFonts w:asciiTheme="minorEastAsia" w:eastAsiaTheme="minorEastAsia" w:hAnsiTheme="minorEastAsia" w:hint="eastAsia"/>
                <w:color w:val="000000" w:themeColor="text1"/>
                <w:szCs w:val="24"/>
              </w:rPr>
              <w:t>36</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地上或非充沙管沟敷设的工艺管道的始端、末端、分支处以及直线段每隔</w:t>
            </w:r>
            <w:r w:rsidRPr="00687B52">
              <w:rPr>
                <w:rFonts w:hint="eastAsia"/>
                <w:color w:val="000000" w:themeColor="text1"/>
              </w:rPr>
              <w:t>200m-300m</w:t>
            </w:r>
            <w:r w:rsidRPr="00687B52">
              <w:rPr>
                <w:rFonts w:hint="eastAsia"/>
                <w:color w:val="000000" w:themeColor="text1"/>
              </w:rPr>
              <w:t>处，应设置防静电和防雷击电磁脉冲的接地装置。</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14.3.10</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r w:rsidR="00A256A4" w:rsidRPr="00687B52">
              <w:rPr>
                <w:rFonts w:asciiTheme="minorEastAsia" w:eastAsiaTheme="minorEastAsia" w:hAnsiTheme="minorEastAsia" w:hint="eastAsia"/>
                <w:color w:val="000000" w:themeColor="text1"/>
                <w:szCs w:val="24"/>
              </w:rPr>
              <w:t>37</w:t>
            </w:r>
          </w:p>
        </w:tc>
        <w:tc>
          <w:tcPr>
            <w:tcW w:w="2331" w:type="pct"/>
            <w:vAlign w:val="center"/>
          </w:tcPr>
          <w:p w:rsidR="003E1D2A" w:rsidRPr="00687B52" w:rsidRDefault="003E1D2A" w:rsidP="003E1D2A">
            <w:pPr>
              <w:pStyle w:val="a7"/>
              <w:jc w:val="left"/>
              <w:rPr>
                <w:bCs/>
                <w:color w:val="000000" w:themeColor="text1"/>
              </w:rPr>
            </w:pPr>
            <w:r w:rsidRPr="00687B52">
              <w:rPr>
                <w:rFonts w:hint="eastAsia"/>
                <w:bCs/>
                <w:color w:val="000000" w:themeColor="text1"/>
              </w:rPr>
              <w:t>下列甲、乙和丙</w:t>
            </w:r>
            <w:r w:rsidRPr="00687B52">
              <w:rPr>
                <w:rFonts w:hint="eastAsia"/>
                <w:bCs/>
                <w:color w:val="000000" w:themeColor="text1"/>
              </w:rPr>
              <w:t>A</w:t>
            </w:r>
            <w:r w:rsidRPr="00687B52">
              <w:rPr>
                <w:rFonts w:hint="eastAsia"/>
                <w:bCs/>
                <w:color w:val="000000" w:themeColor="text1"/>
              </w:rPr>
              <w:t>类液体作业场所应设消除人体静电装置：</w:t>
            </w:r>
            <w:r w:rsidRPr="00687B52">
              <w:rPr>
                <w:rFonts w:hint="eastAsia"/>
                <w:bCs/>
                <w:color w:val="000000" w:themeColor="text1"/>
              </w:rPr>
              <w:t> </w:t>
            </w:r>
          </w:p>
          <w:p w:rsidR="003E1D2A" w:rsidRPr="00687B52" w:rsidRDefault="003E1D2A" w:rsidP="003E1D2A">
            <w:pPr>
              <w:pStyle w:val="a7"/>
              <w:jc w:val="left"/>
              <w:rPr>
                <w:bCs/>
                <w:color w:val="000000" w:themeColor="text1"/>
              </w:rPr>
            </w:pPr>
            <w:r w:rsidRPr="00687B52">
              <w:rPr>
                <w:rFonts w:hint="eastAsia"/>
                <w:bCs/>
                <w:color w:val="000000" w:themeColor="text1"/>
              </w:rPr>
              <w:t>1</w:t>
            </w:r>
            <w:r w:rsidRPr="00687B52">
              <w:rPr>
                <w:rFonts w:hint="eastAsia"/>
                <w:bCs/>
                <w:color w:val="000000" w:themeColor="text1"/>
              </w:rPr>
              <w:t>）泵房的门外；</w:t>
            </w:r>
            <w:r w:rsidRPr="00687B52">
              <w:rPr>
                <w:rFonts w:hint="eastAsia"/>
                <w:bCs/>
                <w:color w:val="000000" w:themeColor="text1"/>
              </w:rPr>
              <w:t> </w:t>
            </w:r>
          </w:p>
          <w:p w:rsidR="003E1D2A" w:rsidRPr="00687B52" w:rsidRDefault="003E1D2A" w:rsidP="003E1D2A">
            <w:pPr>
              <w:pStyle w:val="a7"/>
              <w:jc w:val="left"/>
              <w:rPr>
                <w:bCs/>
                <w:color w:val="000000" w:themeColor="text1"/>
              </w:rPr>
            </w:pPr>
            <w:r w:rsidRPr="00687B52">
              <w:rPr>
                <w:rFonts w:hint="eastAsia"/>
                <w:bCs/>
                <w:color w:val="000000" w:themeColor="text1"/>
              </w:rPr>
              <w:t>2</w:t>
            </w:r>
            <w:r w:rsidRPr="00687B52">
              <w:rPr>
                <w:rFonts w:hint="eastAsia"/>
                <w:bCs/>
                <w:color w:val="000000" w:themeColor="text1"/>
              </w:rPr>
              <w:t>）储罐的上罐扶梯入口处；</w:t>
            </w:r>
            <w:r w:rsidRPr="00687B52">
              <w:rPr>
                <w:rFonts w:hint="eastAsia"/>
                <w:bCs/>
                <w:color w:val="000000" w:themeColor="text1"/>
              </w:rPr>
              <w:t> </w:t>
            </w:r>
          </w:p>
          <w:p w:rsidR="003E1D2A" w:rsidRPr="00687B52" w:rsidRDefault="003E1D2A" w:rsidP="003E1D2A">
            <w:pPr>
              <w:pStyle w:val="a7"/>
              <w:jc w:val="left"/>
              <w:rPr>
                <w:bCs/>
                <w:color w:val="000000" w:themeColor="text1"/>
              </w:rPr>
            </w:pPr>
            <w:r w:rsidRPr="00687B52">
              <w:rPr>
                <w:rFonts w:hint="eastAsia"/>
                <w:bCs/>
                <w:color w:val="000000" w:themeColor="text1"/>
              </w:rPr>
              <w:t>3</w:t>
            </w:r>
            <w:r w:rsidRPr="00687B52">
              <w:rPr>
                <w:rFonts w:hint="eastAsia"/>
                <w:bCs/>
                <w:color w:val="000000" w:themeColor="text1"/>
              </w:rPr>
              <w:t>）装卸作业区内操作平台的扶梯入口处；</w:t>
            </w:r>
            <w:r w:rsidRPr="00687B52">
              <w:rPr>
                <w:rFonts w:hint="eastAsia"/>
                <w:bCs/>
                <w:color w:val="000000" w:themeColor="text1"/>
              </w:rPr>
              <w:t>    </w:t>
            </w:r>
          </w:p>
          <w:p w:rsidR="003E1D2A" w:rsidRPr="00687B52" w:rsidRDefault="003E1D2A" w:rsidP="003E1D2A">
            <w:pPr>
              <w:pStyle w:val="a7"/>
              <w:jc w:val="left"/>
              <w:rPr>
                <w:color w:val="000000" w:themeColor="text1"/>
              </w:rPr>
            </w:pPr>
            <w:r w:rsidRPr="00687B52">
              <w:rPr>
                <w:rFonts w:hint="eastAsia"/>
                <w:bCs/>
                <w:color w:val="000000" w:themeColor="text1"/>
              </w:rPr>
              <w:t>4</w:t>
            </w:r>
            <w:r w:rsidRPr="00687B52">
              <w:rPr>
                <w:rFonts w:hint="eastAsia"/>
                <w:bCs/>
                <w:color w:val="000000" w:themeColor="text1"/>
              </w:rPr>
              <w:t>）码头上下船的脚入口处。</w:t>
            </w:r>
          </w:p>
        </w:tc>
        <w:tc>
          <w:tcPr>
            <w:tcW w:w="1058" w:type="pct"/>
            <w:vAlign w:val="center"/>
          </w:tcPr>
          <w:p w:rsidR="003E1D2A" w:rsidRPr="00687B52" w:rsidRDefault="003E1D2A" w:rsidP="003E1D2A">
            <w:pPr>
              <w:pStyle w:val="a7"/>
              <w:rPr>
                <w:color w:val="000000" w:themeColor="text1"/>
              </w:rPr>
            </w:pPr>
            <w:r w:rsidRPr="00687B52">
              <w:rPr>
                <w:rFonts w:hint="eastAsia"/>
                <w:bCs/>
                <w:color w:val="000000" w:themeColor="text1"/>
              </w:rPr>
              <w:t>《石油库设计规范》</w:t>
            </w:r>
            <w:r w:rsidRPr="00687B52">
              <w:rPr>
                <w:rFonts w:hint="eastAsia"/>
                <w:bCs/>
                <w:color w:val="000000" w:themeColor="text1"/>
              </w:rPr>
              <w:t>GB50074-2014</w:t>
            </w:r>
            <w:r w:rsidRPr="00687B52">
              <w:rPr>
                <w:rFonts w:hint="eastAsia"/>
                <w:bCs/>
                <w:color w:val="000000" w:themeColor="text1"/>
              </w:rPr>
              <w:t>第</w:t>
            </w:r>
            <w:r w:rsidRPr="00687B52">
              <w:rPr>
                <w:rFonts w:hint="eastAsia"/>
                <w:bCs/>
                <w:color w:val="000000" w:themeColor="text1"/>
              </w:rPr>
              <w:t>14.3.14</w:t>
            </w:r>
            <w:r w:rsidRPr="00687B52">
              <w:rPr>
                <w:rFonts w:hint="eastAsia"/>
                <w:bCs/>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trHeight w:val="931"/>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r w:rsidR="00A256A4" w:rsidRPr="00687B52">
              <w:rPr>
                <w:rFonts w:asciiTheme="minorEastAsia" w:eastAsiaTheme="minorEastAsia" w:hAnsiTheme="minorEastAsia" w:hint="eastAsia"/>
                <w:color w:val="000000" w:themeColor="text1"/>
                <w:szCs w:val="24"/>
              </w:rPr>
              <w:t>38</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防静电接地装置的接地电阻，不宜大于</w:t>
            </w:r>
            <w:r w:rsidRPr="00687B52">
              <w:rPr>
                <w:rFonts w:hint="eastAsia"/>
                <w:color w:val="000000" w:themeColor="text1"/>
              </w:rPr>
              <w:t>100</w:t>
            </w:r>
            <w:r w:rsidRPr="00687B52">
              <w:rPr>
                <w:rFonts w:hint="eastAsia"/>
                <w:color w:val="000000" w:themeColor="text1"/>
              </w:rPr>
              <w:t>欧。</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14.3.16</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r w:rsidR="00A256A4" w:rsidRPr="00687B52">
              <w:rPr>
                <w:rFonts w:asciiTheme="minorEastAsia" w:eastAsiaTheme="minorEastAsia" w:hAnsiTheme="minorEastAsia" w:hint="eastAsia"/>
                <w:color w:val="000000" w:themeColor="text1"/>
                <w:szCs w:val="24"/>
              </w:rPr>
              <w:t>39</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防雷防静电接地电阻检测断接接头、消除人体静电装置，以及汽车罐车装卸场地的固定接地装置，不得设在爆炸危险</w:t>
            </w:r>
            <w:r w:rsidRPr="00687B52">
              <w:rPr>
                <w:rFonts w:hint="eastAsia"/>
                <w:color w:val="000000" w:themeColor="text1"/>
              </w:rPr>
              <w:t>1</w:t>
            </w:r>
            <w:r w:rsidRPr="00687B52">
              <w:rPr>
                <w:rFonts w:hint="eastAsia"/>
                <w:color w:val="000000" w:themeColor="text1"/>
              </w:rPr>
              <w:t>区。</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14.3.18</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r w:rsidR="00A256A4" w:rsidRPr="00687B52">
              <w:rPr>
                <w:rFonts w:asciiTheme="minorEastAsia" w:eastAsiaTheme="minorEastAsia" w:hAnsiTheme="minorEastAsia" w:hint="eastAsia"/>
                <w:color w:val="000000" w:themeColor="text1"/>
                <w:szCs w:val="24"/>
              </w:rPr>
              <w:t>40</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容量大于</w:t>
            </w:r>
            <w:r w:rsidRPr="00687B52">
              <w:rPr>
                <w:rFonts w:hint="eastAsia"/>
                <w:color w:val="000000" w:themeColor="text1"/>
              </w:rPr>
              <w:t>100m</w:t>
            </w:r>
            <w:r w:rsidRPr="00687B52">
              <w:rPr>
                <w:rFonts w:hint="eastAsia"/>
                <w:color w:val="000000" w:themeColor="text1"/>
                <w:vertAlign w:val="superscript"/>
              </w:rPr>
              <w:t>3</w:t>
            </w:r>
            <w:r w:rsidRPr="00687B52">
              <w:rPr>
                <w:rFonts w:hint="eastAsia"/>
                <w:color w:val="000000" w:themeColor="text1"/>
              </w:rPr>
              <w:t>的储罐应设液位测量远传仪表，并应符</w:t>
            </w:r>
            <w:r w:rsidRPr="00687B52">
              <w:rPr>
                <w:rFonts w:hint="eastAsia"/>
                <w:color w:val="000000" w:themeColor="text1"/>
              </w:rPr>
              <w:t>   </w:t>
            </w:r>
            <w:r w:rsidRPr="00687B52">
              <w:rPr>
                <w:rFonts w:hint="eastAsia"/>
                <w:color w:val="000000" w:themeColor="text1"/>
              </w:rPr>
              <w:t>合下列规定：</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1</w:t>
            </w:r>
            <w:r w:rsidRPr="00687B52">
              <w:rPr>
                <w:rFonts w:hint="eastAsia"/>
                <w:color w:val="000000" w:themeColor="text1"/>
              </w:rPr>
              <w:t>液位连续测量信号应采用模拟信号或通信方式接人自动</w:t>
            </w:r>
            <w:r w:rsidRPr="00687B52">
              <w:rPr>
                <w:rFonts w:hint="eastAsia"/>
                <w:color w:val="000000" w:themeColor="text1"/>
              </w:rPr>
              <w:t>   </w:t>
            </w:r>
            <w:r w:rsidRPr="00687B52">
              <w:rPr>
                <w:rFonts w:hint="eastAsia"/>
                <w:color w:val="000000" w:themeColor="text1"/>
              </w:rPr>
              <w:t>控制系统。</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2</w:t>
            </w:r>
            <w:r w:rsidRPr="00687B52">
              <w:rPr>
                <w:rFonts w:hint="eastAsia"/>
                <w:color w:val="000000" w:themeColor="text1"/>
              </w:rPr>
              <w:t>应在自动控制系统中设高、低液位报警。</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 </w:t>
            </w:r>
            <w:r w:rsidRPr="00687B52">
              <w:rPr>
                <w:rFonts w:hint="eastAsia"/>
                <w:color w:val="000000" w:themeColor="text1"/>
              </w:rPr>
              <w:t>3</w:t>
            </w:r>
            <w:r w:rsidRPr="00687B52">
              <w:rPr>
                <w:rFonts w:hint="eastAsia"/>
                <w:color w:val="000000" w:themeColor="text1"/>
              </w:rPr>
              <w:t>储罐低液位报警的设定高度应满足泵不发生汽蚀的要求，外浮顶储罐和内浮顶储罐的低液位报警设定高度（距罐底板）宜高</w:t>
            </w:r>
            <w:r w:rsidRPr="00687B52">
              <w:rPr>
                <w:rFonts w:hint="eastAsia"/>
                <w:color w:val="000000" w:themeColor="text1"/>
              </w:rPr>
              <w:t> </w:t>
            </w:r>
            <w:r w:rsidRPr="00687B52">
              <w:rPr>
                <w:rFonts w:hint="eastAsia"/>
                <w:color w:val="000000" w:themeColor="text1"/>
              </w:rPr>
              <w:t>于浮顶落底高度</w:t>
            </w:r>
            <w:r w:rsidRPr="00687B52">
              <w:rPr>
                <w:rFonts w:hint="eastAsia"/>
                <w:color w:val="000000" w:themeColor="text1"/>
              </w:rPr>
              <w:t>0.</w:t>
            </w:r>
            <w:r w:rsidRPr="00687B52">
              <w:rPr>
                <w:rFonts w:hint="eastAsia"/>
                <w:color w:val="000000" w:themeColor="text1"/>
              </w:rPr>
              <w:t> </w:t>
            </w:r>
            <w:r w:rsidRPr="00687B52">
              <w:rPr>
                <w:rFonts w:hint="eastAsia"/>
                <w:color w:val="000000" w:themeColor="text1"/>
              </w:rPr>
              <w:t>2m</w:t>
            </w:r>
            <w:r w:rsidRPr="00687B52">
              <w:rPr>
                <w:rFonts w:hint="eastAsia"/>
                <w:color w:val="000000" w:themeColor="text1"/>
              </w:rPr>
              <w:t>及以上。</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15.1.1</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3.4</w:t>
            </w:r>
            <w:r w:rsidR="00A256A4" w:rsidRPr="00687B52">
              <w:rPr>
                <w:rFonts w:asciiTheme="minorEastAsia" w:eastAsiaTheme="minorEastAsia" w:hAnsiTheme="minorEastAsia" w:hint="eastAsia"/>
                <w:color w:val="000000" w:themeColor="text1"/>
                <w:szCs w:val="24"/>
              </w:rPr>
              <w:t>1</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容量大于或等于</w:t>
            </w:r>
            <w:r w:rsidRPr="00687B52">
              <w:rPr>
                <w:rFonts w:hint="eastAsia"/>
                <w:color w:val="000000" w:themeColor="text1"/>
              </w:rPr>
              <w:t>50000m</w:t>
            </w:r>
            <w:r w:rsidRPr="00687B52">
              <w:rPr>
                <w:rFonts w:hint="eastAsia"/>
                <w:color w:val="000000" w:themeColor="text1"/>
              </w:rPr>
              <w:t>³，的外浮顶储罐和内浮顶储罐应设低低液位报警。低低液位报警设定高度（距罐底板）不应低于浮顶落底高度，低低液位报警应能同时联锁停泵。</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15.1.3</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3.4</w:t>
            </w:r>
            <w:r w:rsidR="00A256A4" w:rsidRPr="00687B52">
              <w:rPr>
                <w:rFonts w:asciiTheme="minorEastAsia" w:eastAsiaTheme="minorEastAsia" w:hAnsiTheme="minorEastAsia" w:hint="eastAsia"/>
                <w:color w:val="000000" w:themeColor="text1"/>
                <w:szCs w:val="24"/>
              </w:rPr>
              <w:t>2</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用于储罐高高、低低液位报警信号的液位测量仪表应采用单独的液位连续测量仪表或液位开关，并应在自动控制系统中设置报警及联锁。</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15.1.4</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3.4</w:t>
            </w:r>
            <w:r w:rsidR="00A256A4" w:rsidRPr="00687B52">
              <w:rPr>
                <w:rFonts w:asciiTheme="minorEastAsia" w:eastAsiaTheme="minorEastAsia" w:hAnsiTheme="minorEastAsia" w:hint="eastAsia"/>
                <w:color w:val="000000" w:themeColor="text1"/>
                <w:szCs w:val="24"/>
              </w:rPr>
              <w:t>3</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一级石油库的重要工艺机泵、消防泵、储罐搅拌器等电动设备和控制阀门除应能在现场操作外，尚应能在控制室进行控制和显示状态。二级石油库的重要工艺机泵、消防泵、储罐搅拌器等电动设备和控制阀门除应能在现场操作外，尚宜能在控制室进行控制和显示状态。</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15.1.7</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3.4</w:t>
            </w:r>
            <w:r w:rsidR="00A256A4" w:rsidRPr="00687B52">
              <w:rPr>
                <w:rFonts w:asciiTheme="minorEastAsia" w:eastAsiaTheme="minorEastAsia" w:hAnsiTheme="minorEastAsia" w:hint="eastAsia"/>
                <w:color w:val="000000" w:themeColor="text1"/>
                <w:szCs w:val="24"/>
              </w:rPr>
              <w:t>4</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易燃和可燃液体输送泵出口管道应设压力测量仪表，压力测量仪表应能就地显示，一级石油库尚应将压力测量信号远传至控制室。</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15.1.8</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r w:rsidR="00A256A4" w:rsidRPr="00687B52">
              <w:rPr>
                <w:rFonts w:asciiTheme="minorEastAsia" w:eastAsiaTheme="minorEastAsia" w:hAnsiTheme="minorEastAsia" w:hint="eastAsia"/>
                <w:color w:val="000000" w:themeColor="text1"/>
                <w:szCs w:val="24"/>
              </w:rPr>
              <w:t>45</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一级石油库消防部分的监测、顺序控制等操作应采用以下两种方式之一：</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1</w:t>
            </w:r>
            <w:r w:rsidRPr="00687B52">
              <w:rPr>
                <w:rFonts w:hint="eastAsia"/>
                <w:color w:val="000000" w:themeColor="text1"/>
              </w:rPr>
              <w:t>）采用专用监控系统，并经通信接口与石油库的自动控制系统通信；</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2</w:t>
            </w:r>
            <w:r w:rsidRPr="00687B52">
              <w:rPr>
                <w:rFonts w:hint="eastAsia"/>
                <w:color w:val="000000" w:themeColor="text1"/>
              </w:rPr>
              <w:t>）在石油库的自动控制系统中设置单独的</w:t>
            </w:r>
            <w:r w:rsidRPr="00687B52">
              <w:rPr>
                <w:rFonts w:hint="eastAsia"/>
                <w:color w:val="000000" w:themeColor="text1"/>
              </w:rPr>
              <w:t>I/O</w:t>
            </w:r>
            <w:r w:rsidRPr="00687B52">
              <w:rPr>
                <w:rFonts w:hint="eastAsia"/>
                <w:color w:val="000000" w:themeColor="text1"/>
              </w:rPr>
              <w:t>卡件和单独的显示操作站。</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15.1.10</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r w:rsidR="00A256A4" w:rsidRPr="00687B52">
              <w:rPr>
                <w:rFonts w:asciiTheme="minorEastAsia" w:eastAsiaTheme="minorEastAsia" w:hAnsiTheme="minorEastAsia" w:hint="eastAsia"/>
                <w:color w:val="000000" w:themeColor="text1"/>
                <w:szCs w:val="24"/>
              </w:rPr>
              <w:t>46</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一级石油库消防泵的启停、消防水管道及泡沫液管道上控制阀的开关均应在消防控制室实现远程启停控制，总控制台应显示泵运行状态和控制阀的阀位信号。</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15.1.11</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r w:rsidR="00A256A4" w:rsidRPr="00687B52">
              <w:rPr>
                <w:rFonts w:asciiTheme="minorEastAsia" w:eastAsiaTheme="minorEastAsia" w:hAnsiTheme="minorEastAsia" w:hint="eastAsia"/>
                <w:color w:val="000000" w:themeColor="text1"/>
                <w:szCs w:val="24"/>
              </w:rPr>
              <w:t>47</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仪表及计算机监控管理系统应采用</w:t>
            </w:r>
            <w:r w:rsidRPr="00687B52">
              <w:rPr>
                <w:rFonts w:hint="eastAsia"/>
                <w:color w:val="000000" w:themeColor="text1"/>
              </w:rPr>
              <w:t>UPS</w:t>
            </w:r>
            <w:r w:rsidRPr="00687B52">
              <w:rPr>
                <w:rFonts w:hint="eastAsia"/>
                <w:color w:val="000000" w:themeColor="text1"/>
              </w:rPr>
              <w:t>不间断电源供电</w:t>
            </w:r>
            <w:r w:rsidRPr="00687B52">
              <w:rPr>
                <w:rFonts w:hint="eastAsia"/>
                <w:color w:val="000000" w:themeColor="text1"/>
              </w:rPr>
              <w:t>,UPS</w:t>
            </w:r>
            <w:r w:rsidRPr="00687B52">
              <w:rPr>
                <w:rFonts w:hint="eastAsia"/>
                <w:color w:val="000000" w:themeColor="text1"/>
              </w:rPr>
              <w:t>的后备电池组应在外部电源中断后提供不少于</w:t>
            </w:r>
            <w:r w:rsidRPr="00687B52">
              <w:rPr>
                <w:rFonts w:hint="eastAsia"/>
                <w:color w:val="000000" w:themeColor="text1"/>
              </w:rPr>
              <w:t>30min</w:t>
            </w:r>
            <w:r w:rsidRPr="00687B52">
              <w:rPr>
                <w:rFonts w:hint="eastAsia"/>
                <w:color w:val="000000" w:themeColor="text1"/>
              </w:rPr>
              <w:t>的交流供电时间。</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15.1.12</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r w:rsidR="00A256A4" w:rsidRPr="00687B52">
              <w:rPr>
                <w:rFonts w:asciiTheme="minorEastAsia" w:eastAsiaTheme="minorEastAsia" w:hAnsiTheme="minorEastAsia" w:hint="eastAsia"/>
                <w:color w:val="000000" w:themeColor="text1"/>
                <w:szCs w:val="24"/>
              </w:rPr>
              <w:t>48</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自动控制系统的室外仪表电缆敷设，应符合下列规定：</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1</w:t>
            </w:r>
            <w:r w:rsidRPr="00687B52">
              <w:rPr>
                <w:rFonts w:hint="eastAsia"/>
                <w:color w:val="000000" w:themeColor="text1"/>
              </w:rPr>
              <w:t>）在生产区敷设的仪表电缆宜采用电缆沟、电缆保护管、直埋等地下敷设方式。采用电缆沟时，电缆沟应充沙填实。</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2</w:t>
            </w:r>
            <w:r w:rsidRPr="00687B52">
              <w:rPr>
                <w:rFonts w:hint="eastAsia"/>
                <w:color w:val="000000" w:themeColor="text1"/>
              </w:rPr>
              <w:t>）生产区局部地段确需在地面敷设的电缆，应采用镀锌钢保护管或带盖板的全封闭金属电缆槽等方式敷设。</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3</w:t>
            </w:r>
            <w:r w:rsidRPr="00687B52">
              <w:rPr>
                <w:rFonts w:hint="eastAsia"/>
                <w:color w:val="000000" w:themeColor="text1"/>
              </w:rPr>
              <w:t>）非生产区的仪表电缆可采用带盖板的全封闭金属电缆槽在地面以上敷设。</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15.1.13</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r w:rsidR="00A256A4" w:rsidRPr="00687B52">
              <w:rPr>
                <w:rFonts w:asciiTheme="minorEastAsia" w:eastAsiaTheme="minorEastAsia" w:hAnsiTheme="minorEastAsia" w:hint="eastAsia"/>
                <w:color w:val="000000" w:themeColor="text1"/>
                <w:szCs w:val="24"/>
              </w:rPr>
              <w:t>49</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石油库应设置火灾报警电话、行政电话系统、无线电通信系统、电视监视系统。一级石油库尚应设置计算机局域网络、人侵报警系统和出入口控制系统。根据需要可设置调度电话系统、巡更系统。</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15.2.1</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3.5</w:t>
            </w:r>
            <w:r w:rsidR="00A256A4" w:rsidRPr="00687B52">
              <w:rPr>
                <w:rFonts w:asciiTheme="minorEastAsia" w:eastAsiaTheme="minorEastAsia" w:hAnsiTheme="minorEastAsia" w:hint="eastAsia"/>
                <w:color w:val="000000" w:themeColor="text1"/>
                <w:szCs w:val="24"/>
              </w:rPr>
              <w:t>0</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石油库流动作业的岗位，应配置无线电通信设备，并宜采用无线对讲系统或集群通信系统。无线通信手持机应采用防爆型。</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15.2.5</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3.5</w:t>
            </w:r>
            <w:r w:rsidR="00A256A4" w:rsidRPr="00687B52">
              <w:rPr>
                <w:rFonts w:asciiTheme="minorEastAsia" w:eastAsiaTheme="minorEastAsia" w:hAnsiTheme="minorEastAsia" w:hint="eastAsia"/>
                <w:color w:val="000000" w:themeColor="text1"/>
                <w:szCs w:val="24"/>
              </w:rPr>
              <w:t>1</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电视监视系统的监视范围应覆盖储罐区、易燃和可燃液体泵站、易燃和可燃液体装卸设施、易燃和可燃液体灌桶设施和主要设施出入口等处。电视监控操作站宜分别设在生产控制室、消防控制室、消防站值班室和保卫值班室等地点。当设置火灾自动报警系统时，宜与电视监视系统联动控制。</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15.2.6</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3.5</w:t>
            </w:r>
            <w:r w:rsidR="00A256A4" w:rsidRPr="00687B52">
              <w:rPr>
                <w:rFonts w:asciiTheme="minorEastAsia" w:eastAsiaTheme="minorEastAsia" w:hAnsiTheme="minorEastAsia" w:hint="eastAsia"/>
                <w:color w:val="000000" w:themeColor="text1"/>
                <w:szCs w:val="24"/>
              </w:rPr>
              <w:t>2</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易燃和有毒液体泵房、灌桶间及其他有易燃和有毒液体设备的房间，应设置机械通风系统和事故排风装置。机械通风系统换气次数宜为</w:t>
            </w:r>
            <w:r w:rsidRPr="00687B52">
              <w:rPr>
                <w:rFonts w:hint="eastAsia"/>
                <w:color w:val="000000" w:themeColor="text1"/>
              </w:rPr>
              <w:t>5</w:t>
            </w:r>
            <w:r w:rsidRPr="00687B52">
              <w:rPr>
                <w:rFonts w:hint="eastAsia"/>
                <w:color w:val="000000" w:themeColor="text1"/>
              </w:rPr>
              <w:t>次</w:t>
            </w:r>
            <w:r w:rsidRPr="00687B52">
              <w:rPr>
                <w:rFonts w:hint="eastAsia"/>
                <w:color w:val="000000" w:themeColor="text1"/>
              </w:rPr>
              <w:t>/h</w:t>
            </w:r>
            <w:r w:rsidRPr="00687B52">
              <w:rPr>
                <w:rFonts w:hint="eastAsia"/>
                <w:color w:val="000000" w:themeColor="text1"/>
              </w:rPr>
              <w:t>一</w:t>
            </w:r>
            <w:r w:rsidRPr="00687B52">
              <w:rPr>
                <w:rFonts w:hint="eastAsia"/>
                <w:color w:val="000000" w:themeColor="text1"/>
              </w:rPr>
              <w:t>6</w:t>
            </w:r>
            <w:r w:rsidRPr="00687B52">
              <w:rPr>
                <w:rFonts w:hint="eastAsia"/>
                <w:color w:val="000000" w:themeColor="text1"/>
              </w:rPr>
              <w:t>次</w:t>
            </w:r>
            <w:r w:rsidRPr="00687B52">
              <w:rPr>
                <w:rFonts w:hint="eastAsia"/>
                <w:color w:val="000000" w:themeColor="text1"/>
              </w:rPr>
              <w:t>/h</w:t>
            </w:r>
            <w:r w:rsidRPr="00687B52">
              <w:rPr>
                <w:rFonts w:hint="eastAsia"/>
                <w:color w:val="000000" w:themeColor="text1"/>
              </w:rPr>
              <w:t>，事故排风换气次数不应小于</w:t>
            </w:r>
            <w:r w:rsidRPr="00687B52">
              <w:rPr>
                <w:rFonts w:hint="eastAsia"/>
                <w:color w:val="000000" w:themeColor="text1"/>
              </w:rPr>
              <w:t>12</w:t>
            </w:r>
            <w:r w:rsidRPr="00687B52">
              <w:rPr>
                <w:rFonts w:hint="eastAsia"/>
                <w:color w:val="000000" w:themeColor="text1"/>
              </w:rPr>
              <w:t>次</w:t>
            </w:r>
            <w:r w:rsidRPr="00687B52">
              <w:rPr>
                <w:rFonts w:hint="eastAsia"/>
                <w:color w:val="000000" w:themeColor="text1"/>
              </w:rPr>
              <w:t>/h</w:t>
            </w:r>
            <w:r w:rsidRPr="00687B52">
              <w:rPr>
                <w:rFonts w:hint="eastAsia"/>
                <w:color w:val="000000" w:themeColor="text1"/>
              </w:rPr>
              <w:t>。</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16.2.1</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3.5</w:t>
            </w:r>
            <w:r w:rsidR="00A256A4" w:rsidRPr="00687B52">
              <w:rPr>
                <w:rFonts w:asciiTheme="minorEastAsia" w:eastAsiaTheme="minorEastAsia" w:hAnsiTheme="minorEastAsia" w:hint="eastAsia"/>
                <w:color w:val="000000" w:themeColor="text1"/>
                <w:szCs w:val="24"/>
              </w:rPr>
              <w:t>3</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通风口的设置应避免在通风区域内产生空气流动死角。</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16.2.3</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3.5</w:t>
            </w:r>
            <w:r w:rsidR="00A256A4" w:rsidRPr="00687B52">
              <w:rPr>
                <w:rFonts w:asciiTheme="minorEastAsia" w:eastAsiaTheme="minorEastAsia" w:hAnsiTheme="minorEastAsia" w:hint="eastAsia"/>
                <w:color w:val="000000" w:themeColor="text1"/>
                <w:szCs w:val="24"/>
              </w:rPr>
              <w:t>4</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在爆炸危险区域内，风机、电机等所有活动部件应选择防爆型，其构造应能防止产生电火花。机械通风系统应采用不燃烧材料制作。风机应采用直接传动或联轴器传动。风管、风机及其安装方式均应采取防静电措施。</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16.2.4</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7F37C0">
        <w:trPr>
          <w:jc w:val="center"/>
        </w:trPr>
        <w:tc>
          <w:tcPr>
            <w:tcW w:w="338" w:type="pct"/>
            <w:vAlign w:val="center"/>
          </w:tcPr>
          <w:p w:rsidR="003E1D2A" w:rsidRPr="00687B52" w:rsidRDefault="003E1D2A" w:rsidP="00A256A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r w:rsidR="00A256A4" w:rsidRPr="00687B52">
              <w:rPr>
                <w:rFonts w:asciiTheme="minorEastAsia" w:eastAsiaTheme="minorEastAsia" w:hAnsiTheme="minorEastAsia" w:hint="eastAsia"/>
                <w:color w:val="000000" w:themeColor="text1"/>
                <w:szCs w:val="24"/>
              </w:rPr>
              <w:t>55</w:t>
            </w:r>
          </w:p>
        </w:tc>
        <w:tc>
          <w:tcPr>
            <w:tcW w:w="2331" w:type="pct"/>
            <w:vAlign w:val="center"/>
          </w:tcPr>
          <w:p w:rsidR="003E1D2A" w:rsidRPr="00687B52" w:rsidRDefault="003E1D2A" w:rsidP="003E1D2A">
            <w:pPr>
              <w:pStyle w:val="a7"/>
              <w:jc w:val="left"/>
              <w:rPr>
                <w:color w:val="000000" w:themeColor="text1"/>
              </w:rPr>
            </w:pPr>
            <w:r w:rsidRPr="00687B52">
              <w:rPr>
                <w:rFonts w:hint="eastAsia"/>
                <w:color w:val="000000" w:themeColor="text1"/>
              </w:rPr>
              <w:t>在布置有甲、乙</w:t>
            </w:r>
            <w:r w:rsidRPr="00687B52">
              <w:rPr>
                <w:rFonts w:hint="eastAsia"/>
                <w:color w:val="000000" w:themeColor="text1"/>
              </w:rPr>
              <w:t>A</w:t>
            </w:r>
            <w:r w:rsidRPr="00687B52">
              <w:rPr>
                <w:rFonts w:hint="eastAsia"/>
                <w:color w:val="000000" w:themeColor="text1"/>
              </w:rPr>
              <w:t>类易燃液体设备的房间内，所设置的机械通风设备应与可燃气体浓度自动检测报警系统联动，并应设有就地和远程手动开启装置。</w:t>
            </w:r>
          </w:p>
        </w:tc>
        <w:tc>
          <w:tcPr>
            <w:tcW w:w="1058" w:type="pct"/>
            <w:vAlign w:val="center"/>
          </w:tcPr>
          <w:p w:rsidR="003E1D2A" w:rsidRPr="00687B52" w:rsidRDefault="003E1D2A" w:rsidP="003E1D2A">
            <w:pPr>
              <w:pStyle w:val="a7"/>
              <w:rPr>
                <w:color w:val="000000" w:themeColor="text1"/>
              </w:rPr>
            </w:pP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第</w:t>
            </w:r>
            <w:r w:rsidRPr="00687B52">
              <w:rPr>
                <w:rFonts w:hint="eastAsia"/>
                <w:color w:val="000000" w:themeColor="text1"/>
              </w:rPr>
              <w:t>16.2.5</w:t>
            </w:r>
            <w:r w:rsidRPr="00687B52">
              <w:rPr>
                <w:rFonts w:hint="eastAsia"/>
                <w:color w:val="000000" w:themeColor="text1"/>
              </w:rPr>
              <w:t>条</w:t>
            </w:r>
          </w:p>
        </w:tc>
        <w:tc>
          <w:tcPr>
            <w:tcW w:w="1273" w:type="pct"/>
            <w:vAlign w:val="center"/>
          </w:tcPr>
          <w:p w:rsidR="003E1D2A" w:rsidRPr="00687B52" w:rsidRDefault="003E1D2A" w:rsidP="003E1D2A">
            <w:pPr>
              <w:rPr>
                <w:rFonts w:asciiTheme="minorEastAsia" w:hAnsiTheme="minorEastAsia"/>
                <w:color w:val="000000" w:themeColor="text1"/>
                <w:sz w:val="24"/>
                <w:szCs w:val="24"/>
              </w:rPr>
            </w:pPr>
          </w:p>
        </w:tc>
      </w:tr>
    </w:tbl>
    <w:p w:rsidR="003E1D2A" w:rsidRPr="00687B52" w:rsidRDefault="003E1D2A" w:rsidP="00F25ED0">
      <w:pPr>
        <w:adjustRightInd w:val="0"/>
        <w:snapToGrid w:val="0"/>
        <w:spacing w:afterLines="50" w:after="156" w:line="480" w:lineRule="exact"/>
        <w:jc w:val="center"/>
        <w:rPr>
          <w:rFonts w:ascii="黑体" w:eastAsia="黑体" w:hAnsi="黑体"/>
          <w:color w:val="000000" w:themeColor="text1"/>
          <w:sz w:val="28"/>
          <w:szCs w:val="28"/>
        </w:rPr>
        <w:sectPr w:rsidR="003E1D2A" w:rsidRPr="00687B52" w:rsidSect="00D22E6D">
          <w:footerReference w:type="default" r:id="rId55"/>
          <w:pgSz w:w="16838" w:h="11906" w:orient="landscape"/>
          <w:pgMar w:top="1800" w:right="1440" w:bottom="1800" w:left="1440" w:header="851" w:footer="992" w:gutter="0"/>
          <w:cols w:space="425"/>
          <w:docGrid w:type="lines" w:linePitch="312"/>
        </w:sectPr>
      </w:pPr>
    </w:p>
    <w:p w:rsidR="003E1D2A" w:rsidRPr="00687B52" w:rsidRDefault="00C76CF3" w:rsidP="00C76CF3">
      <w:pPr>
        <w:pStyle w:val="aff3"/>
        <w:numPr>
          <w:ilvl w:val="0"/>
          <w:numId w:val="0"/>
        </w:numPr>
        <w:rPr>
          <w:color w:val="000000" w:themeColor="text1"/>
          <w:szCs w:val="28"/>
        </w:rPr>
      </w:pPr>
      <w:bookmarkStart w:id="61" w:name="_Toc492634905"/>
      <w:r w:rsidRPr="00687B52">
        <w:rPr>
          <w:rFonts w:hint="eastAsia"/>
          <w:color w:val="000000" w:themeColor="text1"/>
        </w:rPr>
        <w:t>表</w:t>
      </w:r>
      <w:r w:rsidRPr="00687B52">
        <w:rPr>
          <w:rFonts w:hint="eastAsia"/>
          <w:color w:val="000000" w:themeColor="text1"/>
        </w:rPr>
        <w:t xml:space="preserve">3-4 </w:t>
      </w:r>
      <w:r w:rsidRPr="00687B52">
        <w:rPr>
          <w:rFonts w:hint="eastAsia"/>
          <w:color w:val="000000" w:themeColor="text1"/>
        </w:rPr>
        <w:t>危险化学品储存、经营企业专业检查表（</w:t>
      </w:r>
      <w:r w:rsidR="003E1D2A" w:rsidRPr="00687B52">
        <w:rPr>
          <w:rFonts w:hint="eastAsia"/>
          <w:color w:val="000000" w:themeColor="text1"/>
          <w:szCs w:val="28"/>
        </w:rPr>
        <w:t>储罐区</w:t>
      </w:r>
      <w:r w:rsidRPr="00687B52">
        <w:rPr>
          <w:rFonts w:hint="eastAsia"/>
          <w:color w:val="000000" w:themeColor="text1"/>
        </w:rPr>
        <w:t>）</w:t>
      </w:r>
      <w:bookmarkEnd w:id="61"/>
    </w:p>
    <w:p w:rsidR="003E1D2A" w:rsidRPr="00687B52" w:rsidRDefault="003E1D2A" w:rsidP="003E1D2A">
      <w:pPr>
        <w:adjustRightInd w:val="0"/>
        <w:snapToGrid w:val="0"/>
        <w:spacing w:line="480" w:lineRule="exact"/>
        <w:jc w:val="left"/>
        <w:rPr>
          <w:rFonts w:ascii="黑体" w:eastAsia="黑体" w:hAnsi="黑体"/>
          <w:color w:val="000000" w:themeColor="text1"/>
          <w:sz w:val="28"/>
          <w:szCs w:val="28"/>
        </w:rPr>
      </w:pPr>
      <w:r w:rsidRPr="00687B52">
        <w:rPr>
          <w:rFonts w:ascii="宋体" w:eastAsia="宋体" w:hAnsi="宋体" w:cs="宋体" w:hint="eastAsia"/>
          <w:bCs/>
          <w:color w:val="000000" w:themeColor="text1"/>
          <w:sz w:val="24"/>
          <w:szCs w:val="24"/>
        </w:rPr>
        <w:t>本表适用于易燃液体、酸碱性液体罐区</w:t>
      </w:r>
      <w:r w:rsidR="00911425" w:rsidRPr="00687B52">
        <w:rPr>
          <w:rFonts w:ascii="宋体" w:eastAsia="宋体" w:hAnsi="宋体" w:cs="宋体" w:hint="eastAsia"/>
          <w:bCs/>
          <w:color w:val="000000" w:themeColor="text1"/>
          <w:sz w:val="24"/>
          <w:szCs w:val="24"/>
        </w:rPr>
        <w:t>及桶装堆场</w:t>
      </w:r>
      <w:r w:rsidRPr="00687B52">
        <w:rPr>
          <w:rFonts w:ascii="宋体" w:eastAsia="宋体" w:hAnsi="宋体" w:cs="宋体" w:hint="eastAsia"/>
          <w:bCs/>
          <w:color w:val="000000" w:themeColor="text1"/>
          <w:sz w:val="24"/>
          <w:szCs w:val="24"/>
        </w:rPr>
        <w:t>（不包含企业附属罐区</w:t>
      </w:r>
      <w:r w:rsidR="00911425" w:rsidRPr="00687B52">
        <w:rPr>
          <w:rFonts w:ascii="宋体" w:eastAsia="宋体" w:hAnsi="宋体" w:cs="宋体" w:hint="eastAsia"/>
          <w:bCs/>
          <w:color w:val="000000" w:themeColor="text1"/>
          <w:sz w:val="24"/>
          <w:szCs w:val="24"/>
        </w:rPr>
        <w:t>，也不包括液化烃罐区</w:t>
      </w:r>
      <w:r w:rsidRPr="00687B52">
        <w:rPr>
          <w:rFonts w:ascii="宋体" w:eastAsia="宋体" w:hAnsi="宋体" w:cs="宋体" w:hint="eastAsia"/>
          <w:bCs/>
          <w:color w:val="000000" w:themeColor="text1"/>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1741"/>
        <w:gridCol w:w="2398"/>
        <w:gridCol w:w="2449"/>
        <w:gridCol w:w="3002"/>
        <w:gridCol w:w="3626"/>
      </w:tblGrid>
      <w:tr w:rsidR="003E1D2A" w:rsidRPr="00687B52" w:rsidTr="00C76CF3">
        <w:trPr>
          <w:tblHeader/>
          <w:jc w:val="center"/>
        </w:trPr>
        <w:tc>
          <w:tcPr>
            <w:tcW w:w="338" w:type="pct"/>
            <w:vAlign w:val="center"/>
          </w:tcPr>
          <w:p w:rsidR="003E1D2A" w:rsidRPr="00687B52" w:rsidRDefault="003E1D2A" w:rsidP="00C76CF3">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序号</w:t>
            </w:r>
          </w:p>
        </w:tc>
        <w:tc>
          <w:tcPr>
            <w:tcW w:w="2324" w:type="pct"/>
            <w:gridSpan w:val="3"/>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标准要求</w:t>
            </w:r>
          </w:p>
        </w:tc>
        <w:tc>
          <w:tcPr>
            <w:tcW w:w="1059"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检查依据</w:t>
            </w:r>
          </w:p>
        </w:tc>
        <w:tc>
          <w:tcPr>
            <w:tcW w:w="1279"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实际情况</w:t>
            </w:r>
          </w:p>
        </w:tc>
      </w:tr>
      <w:tr w:rsidR="003E1D2A" w:rsidRPr="00687B52" w:rsidTr="00C76CF3">
        <w:trPr>
          <w:jc w:val="center"/>
        </w:trPr>
        <w:tc>
          <w:tcPr>
            <w:tcW w:w="338" w:type="pct"/>
            <w:vAlign w:val="center"/>
          </w:tcPr>
          <w:p w:rsidR="003E1D2A" w:rsidRPr="00687B52" w:rsidRDefault="003E1D2A" w:rsidP="00C76CF3">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1</w:t>
            </w:r>
          </w:p>
        </w:tc>
        <w:tc>
          <w:tcPr>
            <w:tcW w:w="2324" w:type="pct"/>
            <w:gridSpan w:val="3"/>
            <w:vAlign w:val="center"/>
          </w:tcPr>
          <w:p w:rsidR="003E1D2A" w:rsidRPr="00687B52" w:rsidRDefault="003E1D2A" w:rsidP="003E1D2A">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选址与总平面布置</w:t>
            </w:r>
          </w:p>
        </w:tc>
        <w:tc>
          <w:tcPr>
            <w:tcW w:w="1059" w:type="pct"/>
            <w:vAlign w:val="center"/>
          </w:tcPr>
          <w:p w:rsidR="003E1D2A" w:rsidRPr="00687B52" w:rsidRDefault="003E1D2A" w:rsidP="003E1D2A">
            <w:pPr>
              <w:pStyle w:val="a7"/>
              <w:jc w:val="left"/>
              <w:rPr>
                <w:rFonts w:asciiTheme="minorEastAsia" w:eastAsiaTheme="minorEastAsia" w:hAnsiTheme="minorEastAsia"/>
                <w:b/>
                <w:color w:val="000000" w:themeColor="text1"/>
                <w:szCs w:val="24"/>
              </w:rPr>
            </w:pPr>
          </w:p>
        </w:tc>
        <w:tc>
          <w:tcPr>
            <w:tcW w:w="1279" w:type="pct"/>
            <w:vAlign w:val="center"/>
          </w:tcPr>
          <w:p w:rsidR="003E1D2A" w:rsidRPr="00687B52" w:rsidRDefault="003E1D2A" w:rsidP="003E1D2A">
            <w:pPr>
              <w:pStyle w:val="a7"/>
              <w:jc w:val="left"/>
              <w:rPr>
                <w:rFonts w:asciiTheme="minorEastAsia" w:eastAsiaTheme="minorEastAsia" w:hAnsiTheme="minorEastAsia"/>
                <w:b/>
                <w:color w:val="000000" w:themeColor="text1"/>
                <w:szCs w:val="24"/>
              </w:rPr>
            </w:pPr>
          </w:p>
        </w:tc>
      </w:tr>
      <w:tr w:rsidR="003E1D2A" w:rsidRPr="00687B52" w:rsidTr="00C76CF3">
        <w:trPr>
          <w:jc w:val="center"/>
        </w:trPr>
        <w:tc>
          <w:tcPr>
            <w:tcW w:w="338" w:type="pct"/>
            <w:vAlign w:val="center"/>
          </w:tcPr>
          <w:p w:rsidR="003E1D2A" w:rsidRPr="00687B52" w:rsidRDefault="003E1D2A" w:rsidP="00A0611B">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w:t>
            </w:r>
          </w:p>
        </w:tc>
        <w:tc>
          <w:tcPr>
            <w:tcW w:w="2324" w:type="pct"/>
            <w:gridSpan w:val="3"/>
            <w:vAlign w:val="center"/>
          </w:tcPr>
          <w:p w:rsidR="003E1D2A" w:rsidRPr="00687B52" w:rsidRDefault="003E1D2A" w:rsidP="00A0611B">
            <w:pPr>
              <w:widowControl/>
              <w:spacing w:before="80" w:line="320" w:lineRule="exact"/>
              <w:jc w:val="left"/>
              <w:rPr>
                <w:color w:val="000000" w:themeColor="text1"/>
                <w:kern w:val="0"/>
                <w:sz w:val="24"/>
                <w:szCs w:val="24"/>
              </w:rPr>
            </w:pPr>
            <w:r w:rsidRPr="00687B52">
              <w:rPr>
                <w:color w:val="000000" w:themeColor="text1"/>
                <w:kern w:val="0"/>
                <w:sz w:val="24"/>
                <w:szCs w:val="24"/>
              </w:rPr>
              <w:t>厂址应位于不受洪水、潮水或内涝威胁的地带，并应符合下列规定：</w:t>
            </w:r>
          </w:p>
          <w:p w:rsidR="003E1D2A" w:rsidRPr="00687B52" w:rsidRDefault="003E1D2A" w:rsidP="00A0611B">
            <w:pPr>
              <w:widowControl/>
              <w:spacing w:before="80" w:line="320" w:lineRule="exact"/>
              <w:jc w:val="left"/>
              <w:rPr>
                <w:color w:val="000000" w:themeColor="text1"/>
                <w:kern w:val="0"/>
                <w:sz w:val="24"/>
                <w:szCs w:val="24"/>
              </w:rPr>
            </w:pPr>
            <w:r w:rsidRPr="00687B52">
              <w:rPr>
                <w:color w:val="000000" w:themeColor="text1"/>
                <w:kern w:val="0"/>
                <w:sz w:val="24"/>
                <w:szCs w:val="24"/>
              </w:rPr>
              <w:t xml:space="preserve">1 </w:t>
            </w:r>
            <w:r w:rsidRPr="00687B52">
              <w:rPr>
                <w:rFonts w:hint="eastAsia"/>
                <w:color w:val="000000" w:themeColor="text1"/>
                <w:kern w:val="0"/>
                <w:sz w:val="24"/>
                <w:szCs w:val="24"/>
              </w:rPr>
              <w:t>当厂址不可避免不受洪水、潮水、或内涝威胁的地带时，必须采取防洪、排涝措施。</w:t>
            </w:r>
          </w:p>
        </w:tc>
        <w:tc>
          <w:tcPr>
            <w:tcW w:w="1059" w:type="pct"/>
            <w:vAlign w:val="center"/>
          </w:tcPr>
          <w:p w:rsidR="003E1D2A" w:rsidRPr="00687B52" w:rsidRDefault="003E1D2A" w:rsidP="00A0611B">
            <w:pPr>
              <w:pStyle w:val="a7"/>
              <w:rPr>
                <w:rFonts w:asciiTheme="minorHAnsi" w:eastAsiaTheme="minorEastAsia" w:hAnsiTheme="minorHAnsi" w:cstheme="minorBidi"/>
                <w:color w:val="000000" w:themeColor="text1"/>
                <w:kern w:val="0"/>
                <w:szCs w:val="24"/>
              </w:rPr>
            </w:pPr>
            <w:r w:rsidRPr="00687B52">
              <w:rPr>
                <w:rFonts w:asciiTheme="minorHAnsi" w:eastAsiaTheme="minorEastAsia" w:hAnsiTheme="minorHAnsi" w:cstheme="minorBidi" w:hint="eastAsia"/>
                <w:color w:val="000000" w:themeColor="text1"/>
                <w:kern w:val="0"/>
                <w:szCs w:val="24"/>
              </w:rPr>
              <w:t>《工业企业总平面布置设计规范》</w:t>
            </w:r>
            <w:r w:rsidRPr="00687B52">
              <w:rPr>
                <w:rFonts w:asciiTheme="minorHAnsi" w:eastAsiaTheme="minorEastAsia" w:hAnsiTheme="minorHAnsi" w:cstheme="minorBidi" w:hint="eastAsia"/>
                <w:color w:val="000000" w:themeColor="text1"/>
                <w:kern w:val="0"/>
                <w:szCs w:val="24"/>
              </w:rPr>
              <w:t>GB50187-2012</w:t>
            </w:r>
            <w:r w:rsidRPr="00687B52">
              <w:rPr>
                <w:rFonts w:asciiTheme="minorHAnsi" w:eastAsiaTheme="minorEastAsia" w:hAnsiTheme="minorHAnsi" w:cstheme="minorBidi" w:hint="eastAsia"/>
                <w:color w:val="000000" w:themeColor="text1"/>
                <w:kern w:val="0"/>
                <w:szCs w:val="24"/>
              </w:rPr>
              <w:t>第</w:t>
            </w:r>
            <w:r w:rsidRPr="00687B52">
              <w:rPr>
                <w:rFonts w:asciiTheme="minorHAnsi" w:eastAsiaTheme="minorEastAsia" w:hAnsiTheme="minorHAnsi" w:cstheme="minorBidi" w:hint="eastAsia"/>
                <w:color w:val="000000" w:themeColor="text1"/>
                <w:kern w:val="0"/>
                <w:szCs w:val="24"/>
              </w:rPr>
              <w:t>3.0.12</w:t>
            </w:r>
            <w:r w:rsidRPr="00687B52">
              <w:rPr>
                <w:rFonts w:asciiTheme="minorHAnsi" w:eastAsiaTheme="minorEastAsia" w:hAnsiTheme="minorHAnsi" w:cstheme="minorBidi" w:hint="eastAsia"/>
                <w:color w:val="000000" w:themeColor="text1"/>
                <w:kern w:val="0"/>
                <w:szCs w:val="24"/>
              </w:rPr>
              <w:t>条</w:t>
            </w:r>
          </w:p>
        </w:tc>
        <w:tc>
          <w:tcPr>
            <w:tcW w:w="1279"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C76CF3">
        <w:trPr>
          <w:jc w:val="center"/>
        </w:trPr>
        <w:tc>
          <w:tcPr>
            <w:tcW w:w="338" w:type="pct"/>
            <w:vAlign w:val="center"/>
          </w:tcPr>
          <w:p w:rsidR="003E1D2A" w:rsidRPr="00687B52" w:rsidRDefault="003E1D2A" w:rsidP="00A0611B">
            <w:pPr>
              <w:pStyle w:val="a7"/>
              <w:rPr>
                <w:rFonts w:asciiTheme="minorEastAsia" w:eastAsiaTheme="minorEastAsia" w:hAnsiTheme="minorEastAsia"/>
                <w:color w:val="000000" w:themeColor="text1"/>
                <w:szCs w:val="24"/>
              </w:rPr>
            </w:pPr>
            <w:r w:rsidRPr="00687B52">
              <w:rPr>
                <w:rFonts w:hint="eastAsia"/>
                <w:color w:val="000000" w:themeColor="text1"/>
              </w:rPr>
              <w:t>1.2</w:t>
            </w:r>
          </w:p>
        </w:tc>
        <w:tc>
          <w:tcPr>
            <w:tcW w:w="2324" w:type="pct"/>
            <w:gridSpan w:val="3"/>
            <w:vAlign w:val="center"/>
          </w:tcPr>
          <w:p w:rsidR="003E1D2A" w:rsidRPr="00687B52" w:rsidRDefault="003E1D2A" w:rsidP="00A0611B">
            <w:pPr>
              <w:pStyle w:val="a7"/>
              <w:jc w:val="left"/>
              <w:rPr>
                <w:rFonts w:asciiTheme="minorHAnsi" w:eastAsiaTheme="minorEastAsia" w:hAnsiTheme="minorHAnsi" w:cstheme="minorBidi"/>
                <w:color w:val="000000" w:themeColor="text1"/>
                <w:kern w:val="0"/>
                <w:szCs w:val="24"/>
              </w:rPr>
            </w:pPr>
            <w:r w:rsidRPr="00687B52">
              <w:rPr>
                <w:rFonts w:asciiTheme="minorHAnsi" w:eastAsiaTheme="minorEastAsia" w:hAnsiTheme="minorHAnsi" w:cstheme="minorBidi" w:hint="eastAsia"/>
                <w:color w:val="000000" w:themeColor="text1"/>
                <w:kern w:val="0"/>
                <w:szCs w:val="24"/>
              </w:rPr>
              <w:t>山区建厂，当厂址位于山坡或山脚处时，应采取防止山洪、泥石流等自然灾害的危害的加固措施，应对山坡的稳定性等作出地质灾害的危险性评估报告。</w:t>
            </w:r>
          </w:p>
        </w:tc>
        <w:tc>
          <w:tcPr>
            <w:tcW w:w="1059" w:type="pct"/>
            <w:vAlign w:val="center"/>
          </w:tcPr>
          <w:p w:rsidR="003E1D2A" w:rsidRPr="00687B52" w:rsidRDefault="003E1D2A" w:rsidP="00A0611B">
            <w:pPr>
              <w:pStyle w:val="a7"/>
              <w:rPr>
                <w:rFonts w:asciiTheme="minorHAnsi" w:eastAsiaTheme="minorEastAsia" w:hAnsiTheme="minorHAnsi" w:cstheme="minorBidi"/>
                <w:color w:val="000000" w:themeColor="text1"/>
                <w:kern w:val="0"/>
                <w:szCs w:val="24"/>
              </w:rPr>
            </w:pPr>
            <w:r w:rsidRPr="00687B52">
              <w:rPr>
                <w:rFonts w:asciiTheme="minorHAnsi" w:eastAsiaTheme="minorEastAsia" w:hAnsiTheme="minorHAnsi" w:cstheme="minorBidi" w:hint="eastAsia"/>
                <w:color w:val="000000" w:themeColor="text1"/>
                <w:kern w:val="0"/>
                <w:szCs w:val="24"/>
              </w:rPr>
              <w:t>《工业企业总平面布置设计规范》</w:t>
            </w:r>
            <w:r w:rsidRPr="00687B52">
              <w:rPr>
                <w:rFonts w:asciiTheme="minorHAnsi" w:eastAsiaTheme="minorEastAsia" w:hAnsiTheme="minorHAnsi" w:cstheme="minorBidi" w:hint="eastAsia"/>
                <w:color w:val="000000" w:themeColor="text1"/>
                <w:kern w:val="0"/>
                <w:szCs w:val="24"/>
              </w:rPr>
              <w:t>GB50187-2012</w:t>
            </w:r>
            <w:r w:rsidRPr="00687B52">
              <w:rPr>
                <w:rFonts w:asciiTheme="minorHAnsi" w:eastAsiaTheme="minorEastAsia" w:hAnsiTheme="minorHAnsi" w:cstheme="minorBidi" w:hint="eastAsia"/>
                <w:color w:val="000000" w:themeColor="text1"/>
                <w:kern w:val="0"/>
                <w:szCs w:val="24"/>
              </w:rPr>
              <w:t>第</w:t>
            </w:r>
            <w:r w:rsidRPr="00687B52">
              <w:rPr>
                <w:rFonts w:asciiTheme="minorHAnsi" w:eastAsiaTheme="minorEastAsia" w:hAnsiTheme="minorHAnsi" w:cstheme="minorBidi" w:hint="eastAsia"/>
                <w:color w:val="000000" w:themeColor="text1"/>
                <w:kern w:val="0"/>
                <w:szCs w:val="24"/>
              </w:rPr>
              <w:t>3.0.13</w:t>
            </w:r>
            <w:r w:rsidRPr="00687B52">
              <w:rPr>
                <w:rFonts w:asciiTheme="minorHAnsi" w:eastAsiaTheme="minorEastAsia" w:hAnsiTheme="minorHAnsi" w:cstheme="minorBidi" w:hint="eastAsia"/>
                <w:color w:val="000000" w:themeColor="text1"/>
                <w:kern w:val="0"/>
                <w:szCs w:val="24"/>
              </w:rPr>
              <w:t>条</w:t>
            </w:r>
          </w:p>
        </w:tc>
        <w:tc>
          <w:tcPr>
            <w:tcW w:w="1279"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C76CF3">
        <w:trPr>
          <w:jc w:val="center"/>
        </w:trPr>
        <w:tc>
          <w:tcPr>
            <w:tcW w:w="338" w:type="pct"/>
            <w:vAlign w:val="center"/>
          </w:tcPr>
          <w:p w:rsidR="003E1D2A" w:rsidRPr="00687B52" w:rsidRDefault="003E1D2A" w:rsidP="00A0611B">
            <w:pPr>
              <w:pStyle w:val="a7"/>
              <w:rPr>
                <w:color w:val="000000" w:themeColor="text1"/>
              </w:rPr>
            </w:pPr>
            <w:r w:rsidRPr="00687B52">
              <w:rPr>
                <w:rFonts w:hint="eastAsia"/>
                <w:color w:val="000000" w:themeColor="text1"/>
              </w:rPr>
              <w:t>1.3</w:t>
            </w:r>
          </w:p>
        </w:tc>
        <w:tc>
          <w:tcPr>
            <w:tcW w:w="2324" w:type="pct"/>
            <w:gridSpan w:val="3"/>
            <w:vAlign w:val="center"/>
          </w:tcPr>
          <w:p w:rsidR="003E1D2A" w:rsidRPr="00687B52" w:rsidRDefault="003E1D2A" w:rsidP="00A0611B">
            <w:pPr>
              <w:widowControl/>
              <w:spacing w:before="100" w:line="320" w:lineRule="exact"/>
              <w:jc w:val="left"/>
              <w:rPr>
                <w:color w:val="000000" w:themeColor="text1"/>
                <w:kern w:val="0"/>
                <w:sz w:val="24"/>
                <w:szCs w:val="24"/>
              </w:rPr>
            </w:pPr>
            <w:r w:rsidRPr="00687B52">
              <w:rPr>
                <w:color w:val="000000" w:themeColor="text1"/>
                <w:kern w:val="0"/>
                <w:sz w:val="24"/>
                <w:szCs w:val="24"/>
              </w:rPr>
              <w:t>下列地段和地区不应选为厂址：</w:t>
            </w:r>
          </w:p>
          <w:p w:rsidR="003E1D2A" w:rsidRPr="00687B52" w:rsidRDefault="003E1D2A" w:rsidP="00A0611B">
            <w:pPr>
              <w:widowControl/>
              <w:spacing w:before="100" w:line="320" w:lineRule="exact"/>
              <w:jc w:val="left"/>
              <w:rPr>
                <w:color w:val="000000" w:themeColor="text1"/>
                <w:kern w:val="0"/>
                <w:sz w:val="24"/>
                <w:szCs w:val="24"/>
              </w:rPr>
            </w:pPr>
            <w:r w:rsidRPr="00687B52">
              <w:rPr>
                <w:rFonts w:hint="eastAsia"/>
                <w:color w:val="000000" w:themeColor="text1"/>
                <w:kern w:val="0"/>
                <w:sz w:val="24"/>
                <w:szCs w:val="24"/>
              </w:rPr>
              <w:t>1</w:t>
            </w:r>
            <w:r w:rsidRPr="00687B52">
              <w:rPr>
                <w:rFonts w:hint="eastAsia"/>
                <w:color w:val="000000" w:themeColor="text1"/>
                <w:kern w:val="0"/>
                <w:sz w:val="24"/>
                <w:szCs w:val="24"/>
              </w:rPr>
              <w:t>）发震断层和抗震设防烈度为</w:t>
            </w:r>
            <w:r w:rsidRPr="00687B52">
              <w:rPr>
                <w:rFonts w:hint="eastAsia"/>
                <w:color w:val="000000" w:themeColor="text1"/>
                <w:kern w:val="0"/>
                <w:sz w:val="24"/>
                <w:szCs w:val="24"/>
              </w:rPr>
              <w:t>9</w:t>
            </w:r>
            <w:r w:rsidRPr="00687B52">
              <w:rPr>
                <w:rFonts w:hint="eastAsia"/>
                <w:color w:val="000000" w:themeColor="text1"/>
                <w:kern w:val="0"/>
                <w:sz w:val="24"/>
                <w:szCs w:val="24"/>
              </w:rPr>
              <w:t>度及高于</w:t>
            </w:r>
            <w:r w:rsidRPr="00687B52">
              <w:rPr>
                <w:rFonts w:hint="eastAsia"/>
                <w:color w:val="000000" w:themeColor="text1"/>
                <w:kern w:val="0"/>
                <w:sz w:val="24"/>
                <w:szCs w:val="24"/>
              </w:rPr>
              <w:t>9</w:t>
            </w:r>
            <w:r w:rsidRPr="00687B52">
              <w:rPr>
                <w:rFonts w:hint="eastAsia"/>
                <w:color w:val="000000" w:themeColor="text1"/>
                <w:kern w:val="0"/>
                <w:sz w:val="24"/>
                <w:szCs w:val="24"/>
              </w:rPr>
              <w:t>度的地震区；</w:t>
            </w:r>
            <w:r w:rsidRPr="00687B52">
              <w:rPr>
                <w:rFonts w:hint="eastAsia"/>
                <w:color w:val="000000" w:themeColor="text1"/>
                <w:kern w:val="0"/>
                <w:sz w:val="24"/>
                <w:szCs w:val="24"/>
              </w:rPr>
              <w:t xml:space="preserve"> </w:t>
            </w:r>
          </w:p>
          <w:p w:rsidR="003E1D2A" w:rsidRPr="00687B52" w:rsidRDefault="003E1D2A" w:rsidP="00A0611B">
            <w:pPr>
              <w:widowControl/>
              <w:spacing w:before="100" w:line="320" w:lineRule="exact"/>
              <w:jc w:val="left"/>
              <w:rPr>
                <w:color w:val="000000" w:themeColor="text1"/>
                <w:kern w:val="0"/>
                <w:sz w:val="24"/>
                <w:szCs w:val="24"/>
              </w:rPr>
            </w:pPr>
            <w:r w:rsidRPr="00687B52">
              <w:rPr>
                <w:rFonts w:hint="eastAsia"/>
                <w:color w:val="000000" w:themeColor="text1"/>
                <w:kern w:val="0"/>
                <w:sz w:val="24"/>
                <w:szCs w:val="24"/>
              </w:rPr>
              <w:t>2</w:t>
            </w:r>
            <w:r w:rsidRPr="00687B52">
              <w:rPr>
                <w:rFonts w:hint="eastAsia"/>
                <w:color w:val="000000" w:themeColor="text1"/>
                <w:kern w:val="0"/>
                <w:sz w:val="24"/>
                <w:szCs w:val="24"/>
              </w:rPr>
              <w:t>）有泥石流、滑坡、流沙、溶洞等直接危害的地段；</w:t>
            </w:r>
            <w:r w:rsidRPr="00687B52">
              <w:rPr>
                <w:rFonts w:hint="eastAsia"/>
                <w:color w:val="000000" w:themeColor="text1"/>
                <w:kern w:val="0"/>
                <w:sz w:val="24"/>
                <w:szCs w:val="24"/>
              </w:rPr>
              <w:t xml:space="preserve"> </w:t>
            </w:r>
          </w:p>
          <w:p w:rsidR="003E1D2A" w:rsidRPr="00687B52" w:rsidRDefault="003E1D2A" w:rsidP="00A0611B">
            <w:pPr>
              <w:widowControl/>
              <w:spacing w:before="100" w:line="320" w:lineRule="exact"/>
              <w:jc w:val="left"/>
              <w:rPr>
                <w:color w:val="000000" w:themeColor="text1"/>
                <w:kern w:val="0"/>
                <w:sz w:val="24"/>
                <w:szCs w:val="24"/>
              </w:rPr>
            </w:pPr>
            <w:r w:rsidRPr="00687B52">
              <w:rPr>
                <w:rFonts w:hint="eastAsia"/>
                <w:color w:val="000000" w:themeColor="text1"/>
                <w:kern w:val="0"/>
                <w:sz w:val="24"/>
                <w:szCs w:val="24"/>
              </w:rPr>
              <w:t>3</w:t>
            </w:r>
            <w:r w:rsidRPr="00687B52">
              <w:rPr>
                <w:rFonts w:hint="eastAsia"/>
                <w:color w:val="000000" w:themeColor="text1"/>
                <w:kern w:val="0"/>
                <w:sz w:val="24"/>
                <w:szCs w:val="24"/>
              </w:rPr>
              <w:t>）采矿陷落（错动）区地表界限内；</w:t>
            </w:r>
          </w:p>
          <w:p w:rsidR="003E1D2A" w:rsidRPr="00687B52" w:rsidRDefault="003E1D2A" w:rsidP="00A0611B">
            <w:pPr>
              <w:widowControl/>
              <w:spacing w:before="100" w:line="320" w:lineRule="exact"/>
              <w:jc w:val="left"/>
              <w:rPr>
                <w:color w:val="000000" w:themeColor="text1"/>
                <w:kern w:val="0"/>
                <w:sz w:val="24"/>
                <w:szCs w:val="24"/>
              </w:rPr>
            </w:pPr>
            <w:r w:rsidRPr="00687B52">
              <w:rPr>
                <w:rFonts w:hint="eastAsia"/>
                <w:color w:val="000000" w:themeColor="text1"/>
                <w:kern w:val="0"/>
                <w:sz w:val="24"/>
                <w:szCs w:val="24"/>
              </w:rPr>
              <w:t>4</w:t>
            </w:r>
            <w:r w:rsidRPr="00687B52">
              <w:rPr>
                <w:rFonts w:hint="eastAsia"/>
                <w:color w:val="000000" w:themeColor="text1"/>
                <w:kern w:val="0"/>
                <w:sz w:val="24"/>
                <w:szCs w:val="24"/>
              </w:rPr>
              <w:t>）爆破危险界限内；</w:t>
            </w:r>
            <w:r w:rsidRPr="00687B52">
              <w:rPr>
                <w:rFonts w:hint="eastAsia"/>
                <w:color w:val="000000" w:themeColor="text1"/>
                <w:kern w:val="0"/>
                <w:sz w:val="24"/>
                <w:szCs w:val="24"/>
              </w:rPr>
              <w:t xml:space="preserve"> </w:t>
            </w:r>
          </w:p>
          <w:p w:rsidR="003E1D2A" w:rsidRPr="00687B52" w:rsidRDefault="003E1D2A" w:rsidP="00A0611B">
            <w:pPr>
              <w:widowControl/>
              <w:spacing w:before="100" w:line="320" w:lineRule="exact"/>
              <w:jc w:val="left"/>
              <w:rPr>
                <w:color w:val="000000" w:themeColor="text1"/>
                <w:kern w:val="0"/>
                <w:sz w:val="24"/>
                <w:szCs w:val="24"/>
              </w:rPr>
            </w:pPr>
            <w:r w:rsidRPr="00687B52">
              <w:rPr>
                <w:rFonts w:hint="eastAsia"/>
                <w:color w:val="000000" w:themeColor="text1"/>
                <w:kern w:val="0"/>
                <w:sz w:val="24"/>
                <w:szCs w:val="24"/>
              </w:rPr>
              <w:t>5</w:t>
            </w:r>
            <w:r w:rsidRPr="00687B52">
              <w:rPr>
                <w:rFonts w:hint="eastAsia"/>
                <w:color w:val="000000" w:themeColor="text1"/>
                <w:kern w:val="0"/>
                <w:sz w:val="24"/>
                <w:szCs w:val="24"/>
              </w:rPr>
              <w:t>）坝或堤决溃后可能淹没的地区；</w:t>
            </w:r>
            <w:r w:rsidRPr="00687B52">
              <w:rPr>
                <w:rFonts w:hint="eastAsia"/>
                <w:color w:val="000000" w:themeColor="text1"/>
                <w:kern w:val="0"/>
                <w:sz w:val="24"/>
                <w:szCs w:val="24"/>
              </w:rPr>
              <w:t xml:space="preserve"> </w:t>
            </w:r>
          </w:p>
          <w:p w:rsidR="003E1D2A" w:rsidRPr="00687B52" w:rsidRDefault="003E1D2A" w:rsidP="00A0611B">
            <w:pPr>
              <w:widowControl/>
              <w:spacing w:before="100" w:line="320" w:lineRule="exact"/>
              <w:jc w:val="left"/>
              <w:rPr>
                <w:color w:val="000000" w:themeColor="text1"/>
                <w:kern w:val="0"/>
                <w:sz w:val="24"/>
                <w:szCs w:val="24"/>
              </w:rPr>
            </w:pPr>
            <w:r w:rsidRPr="00687B52">
              <w:rPr>
                <w:rFonts w:hint="eastAsia"/>
                <w:color w:val="000000" w:themeColor="text1"/>
                <w:kern w:val="0"/>
                <w:sz w:val="24"/>
                <w:szCs w:val="24"/>
              </w:rPr>
              <w:t>6</w:t>
            </w:r>
            <w:r w:rsidRPr="00687B52">
              <w:rPr>
                <w:rFonts w:hint="eastAsia"/>
                <w:color w:val="000000" w:themeColor="text1"/>
                <w:kern w:val="0"/>
                <w:sz w:val="24"/>
                <w:szCs w:val="24"/>
              </w:rPr>
              <w:t>）有严重放射性物质污染影响区；</w:t>
            </w:r>
            <w:r w:rsidRPr="00687B52">
              <w:rPr>
                <w:rFonts w:hint="eastAsia"/>
                <w:color w:val="000000" w:themeColor="text1"/>
                <w:kern w:val="0"/>
                <w:sz w:val="24"/>
                <w:szCs w:val="24"/>
              </w:rPr>
              <w:t xml:space="preserve"> </w:t>
            </w:r>
          </w:p>
          <w:p w:rsidR="003E1D2A" w:rsidRPr="00687B52" w:rsidRDefault="003E1D2A" w:rsidP="00A0611B">
            <w:pPr>
              <w:widowControl/>
              <w:spacing w:before="100" w:line="320" w:lineRule="exact"/>
              <w:jc w:val="left"/>
              <w:rPr>
                <w:color w:val="000000" w:themeColor="text1"/>
                <w:kern w:val="0"/>
                <w:sz w:val="24"/>
                <w:szCs w:val="24"/>
              </w:rPr>
            </w:pPr>
            <w:r w:rsidRPr="00687B52">
              <w:rPr>
                <w:rFonts w:hint="eastAsia"/>
                <w:color w:val="000000" w:themeColor="text1"/>
                <w:kern w:val="0"/>
                <w:sz w:val="24"/>
                <w:szCs w:val="24"/>
              </w:rPr>
              <w:t>7</w:t>
            </w:r>
            <w:r w:rsidRPr="00687B52">
              <w:rPr>
                <w:rFonts w:hint="eastAsia"/>
                <w:color w:val="000000" w:themeColor="text1"/>
                <w:kern w:val="0"/>
                <w:sz w:val="24"/>
                <w:szCs w:val="24"/>
              </w:rPr>
              <w:t>）生活居住区、文教区、水源保护区、名胜古迹、风景游览区、温泉、疗养区、自然保护区和其它需要特别保护的区域；</w:t>
            </w:r>
            <w:r w:rsidRPr="00687B52">
              <w:rPr>
                <w:rFonts w:hint="eastAsia"/>
                <w:color w:val="000000" w:themeColor="text1"/>
                <w:kern w:val="0"/>
                <w:sz w:val="24"/>
                <w:szCs w:val="24"/>
              </w:rPr>
              <w:t xml:space="preserve"> </w:t>
            </w:r>
          </w:p>
          <w:p w:rsidR="003E1D2A" w:rsidRPr="00687B52" w:rsidRDefault="003E1D2A" w:rsidP="00A0611B">
            <w:pPr>
              <w:widowControl/>
              <w:spacing w:before="100" w:line="320" w:lineRule="exact"/>
              <w:jc w:val="left"/>
              <w:rPr>
                <w:color w:val="000000" w:themeColor="text1"/>
                <w:kern w:val="0"/>
                <w:sz w:val="24"/>
                <w:szCs w:val="24"/>
              </w:rPr>
            </w:pPr>
            <w:r w:rsidRPr="00687B52">
              <w:rPr>
                <w:rFonts w:hint="eastAsia"/>
                <w:color w:val="000000" w:themeColor="text1"/>
                <w:kern w:val="0"/>
                <w:sz w:val="24"/>
                <w:szCs w:val="24"/>
              </w:rPr>
              <w:t>8</w:t>
            </w:r>
            <w:r w:rsidRPr="00687B52">
              <w:rPr>
                <w:rFonts w:hint="eastAsia"/>
                <w:color w:val="000000" w:themeColor="text1"/>
                <w:kern w:val="0"/>
                <w:sz w:val="24"/>
                <w:szCs w:val="24"/>
              </w:rPr>
              <w:t>）对飞机起落、电台通讯、电视转播、雷达导航和重要的天文、气象、地震观察以及军事设施等规定有影响的范围内；</w:t>
            </w:r>
            <w:r w:rsidRPr="00687B52">
              <w:rPr>
                <w:rFonts w:hint="eastAsia"/>
                <w:color w:val="000000" w:themeColor="text1"/>
                <w:kern w:val="0"/>
                <w:sz w:val="24"/>
                <w:szCs w:val="24"/>
              </w:rPr>
              <w:t xml:space="preserve"> </w:t>
            </w:r>
          </w:p>
          <w:p w:rsidR="003E1D2A" w:rsidRPr="00687B52" w:rsidRDefault="003E1D2A" w:rsidP="00A0611B">
            <w:pPr>
              <w:widowControl/>
              <w:spacing w:before="100" w:line="320" w:lineRule="exact"/>
              <w:jc w:val="left"/>
              <w:rPr>
                <w:color w:val="000000" w:themeColor="text1"/>
                <w:kern w:val="0"/>
                <w:sz w:val="24"/>
                <w:szCs w:val="24"/>
              </w:rPr>
            </w:pPr>
            <w:r w:rsidRPr="00687B52">
              <w:rPr>
                <w:color w:val="000000" w:themeColor="text1"/>
                <w:kern w:val="0"/>
                <w:sz w:val="24"/>
                <w:szCs w:val="24"/>
              </w:rPr>
              <w:t>9</w:t>
            </w:r>
            <w:r w:rsidRPr="00687B52">
              <w:rPr>
                <w:rFonts w:hint="eastAsia"/>
                <w:color w:val="000000" w:themeColor="text1"/>
                <w:kern w:val="0"/>
                <w:sz w:val="24"/>
                <w:szCs w:val="24"/>
              </w:rPr>
              <w:t>）</w:t>
            </w:r>
            <w:r w:rsidRPr="00687B52">
              <w:rPr>
                <w:color w:val="000000" w:themeColor="text1"/>
                <w:kern w:val="0"/>
                <w:sz w:val="24"/>
                <w:szCs w:val="24"/>
              </w:rPr>
              <w:t>很严重的自重湿陷性黄土地段，厚度大的新近堆积黄土地段和高压缩性的饱和黄土地段等地质条件恶劣地段；</w:t>
            </w:r>
          </w:p>
          <w:p w:rsidR="003E1D2A" w:rsidRPr="00687B52" w:rsidRDefault="003E1D2A" w:rsidP="00A0611B">
            <w:pPr>
              <w:widowControl/>
              <w:spacing w:before="100" w:line="320" w:lineRule="exact"/>
              <w:jc w:val="left"/>
              <w:rPr>
                <w:color w:val="000000" w:themeColor="text1"/>
                <w:kern w:val="0"/>
                <w:sz w:val="24"/>
                <w:szCs w:val="24"/>
              </w:rPr>
            </w:pPr>
            <w:r w:rsidRPr="00687B52">
              <w:rPr>
                <w:color w:val="000000" w:themeColor="text1"/>
                <w:kern w:val="0"/>
                <w:sz w:val="24"/>
                <w:szCs w:val="24"/>
              </w:rPr>
              <w:t>10</w:t>
            </w:r>
            <w:r w:rsidRPr="00687B52">
              <w:rPr>
                <w:rFonts w:hint="eastAsia"/>
                <w:color w:val="000000" w:themeColor="text1"/>
                <w:kern w:val="0"/>
                <w:sz w:val="24"/>
                <w:szCs w:val="24"/>
              </w:rPr>
              <w:t>）</w:t>
            </w:r>
            <w:r w:rsidRPr="00687B52">
              <w:rPr>
                <w:color w:val="000000" w:themeColor="text1"/>
                <w:kern w:val="0"/>
                <w:sz w:val="24"/>
                <w:szCs w:val="24"/>
              </w:rPr>
              <w:t>具有开采价值的矿藏区</w:t>
            </w:r>
            <w:r w:rsidRPr="00687B52">
              <w:rPr>
                <w:rFonts w:hint="eastAsia"/>
                <w:color w:val="000000" w:themeColor="text1"/>
                <w:kern w:val="0"/>
                <w:sz w:val="24"/>
                <w:szCs w:val="24"/>
              </w:rPr>
              <w:t>。</w:t>
            </w:r>
          </w:p>
        </w:tc>
        <w:tc>
          <w:tcPr>
            <w:tcW w:w="1059" w:type="pct"/>
            <w:vAlign w:val="center"/>
          </w:tcPr>
          <w:p w:rsidR="003E1D2A" w:rsidRPr="00687B52" w:rsidRDefault="003E1D2A" w:rsidP="00A0611B">
            <w:pPr>
              <w:pStyle w:val="a7"/>
              <w:jc w:val="left"/>
              <w:rPr>
                <w:rFonts w:asciiTheme="minorHAnsi" w:eastAsiaTheme="minorEastAsia" w:hAnsiTheme="minorHAnsi" w:cstheme="minorBidi"/>
                <w:color w:val="000000" w:themeColor="text1"/>
                <w:kern w:val="0"/>
                <w:szCs w:val="24"/>
              </w:rPr>
            </w:pPr>
            <w:r w:rsidRPr="00687B52">
              <w:rPr>
                <w:rFonts w:asciiTheme="minorHAnsi" w:eastAsiaTheme="minorEastAsia" w:hAnsiTheme="minorHAnsi" w:cstheme="minorBidi" w:hint="eastAsia"/>
                <w:color w:val="000000" w:themeColor="text1"/>
                <w:kern w:val="0"/>
                <w:szCs w:val="24"/>
              </w:rPr>
              <w:t>《工业企业总平面布置设计规范》</w:t>
            </w:r>
            <w:r w:rsidRPr="00687B52">
              <w:rPr>
                <w:rFonts w:asciiTheme="minorHAnsi" w:eastAsiaTheme="minorEastAsia" w:hAnsiTheme="minorHAnsi" w:cstheme="minorBidi" w:hint="eastAsia"/>
                <w:color w:val="000000" w:themeColor="text1"/>
                <w:kern w:val="0"/>
                <w:szCs w:val="24"/>
              </w:rPr>
              <w:t>GB50187-2012</w:t>
            </w:r>
            <w:r w:rsidRPr="00687B52">
              <w:rPr>
                <w:rFonts w:asciiTheme="minorHAnsi" w:eastAsiaTheme="minorEastAsia" w:hAnsiTheme="minorHAnsi" w:cstheme="minorBidi" w:hint="eastAsia"/>
                <w:color w:val="000000" w:themeColor="text1"/>
                <w:kern w:val="0"/>
                <w:szCs w:val="24"/>
              </w:rPr>
              <w:t>第</w:t>
            </w:r>
            <w:r w:rsidRPr="00687B52">
              <w:rPr>
                <w:rFonts w:asciiTheme="minorHAnsi" w:eastAsiaTheme="minorEastAsia" w:hAnsiTheme="minorHAnsi" w:cstheme="minorBidi" w:hint="eastAsia"/>
                <w:color w:val="000000" w:themeColor="text1"/>
                <w:kern w:val="0"/>
                <w:szCs w:val="24"/>
              </w:rPr>
              <w:t>3.0.14</w:t>
            </w:r>
            <w:r w:rsidRPr="00687B52">
              <w:rPr>
                <w:rFonts w:asciiTheme="minorHAnsi" w:eastAsiaTheme="minorEastAsia" w:hAnsiTheme="minorHAnsi" w:cstheme="minorBidi" w:hint="eastAsia"/>
                <w:color w:val="000000" w:themeColor="text1"/>
                <w:kern w:val="0"/>
                <w:szCs w:val="24"/>
              </w:rPr>
              <w:t>条</w:t>
            </w:r>
          </w:p>
        </w:tc>
        <w:tc>
          <w:tcPr>
            <w:tcW w:w="1279" w:type="pct"/>
            <w:vAlign w:val="center"/>
          </w:tcPr>
          <w:p w:rsidR="003E1D2A" w:rsidRPr="00687B52" w:rsidRDefault="003E1D2A" w:rsidP="003E1D2A">
            <w:pPr>
              <w:rPr>
                <w:rFonts w:asciiTheme="minorEastAsia" w:hAnsiTheme="minorEastAsia"/>
                <w:color w:val="000000" w:themeColor="text1"/>
                <w:sz w:val="24"/>
                <w:szCs w:val="24"/>
              </w:rPr>
            </w:pPr>
          </w:p>
        </w:tc>
      </w:tr>
      <w:tr w:rsidR="003E1D2A" w:rsidRPr="00687B52" w:rsidTr="00C76CF3">
        <w:trPr>
          <w:jc w:val="center"/>
        </w:trPr>
        <w:tc>
          <w:tcPr>
            <w:tcW w:w="338" w:type="pct"/>
            <w:vAlign w:val="center"/>
          </w:tcPr>
          <w:p w:rsidR="003E1D2A" w:rsidRPr="00687B52" w:rsidRDefault="003E1D2A" w:rsidP="00A0611B">
            <w:pPr>
              <w:pStyle w:val="a7"/>
              <w:rPr>
                <w:color w:val="000000" w:themeColor="text1"/>
              </w:rPr>
            </w:pPr>
            <w:r w:rsidRPr="00687B52">
              <w:rPr>
                <w:rFonts w:hint="eastAsia"/>
                <w:color w:val="000000" w:themeColor="text1"/>
              </w:rPr>
              <w:t>1.4</w:t>
            </w:r>
          </w:p>
        </w:tc>
        <w:tc>
          <w:tcPr>
            <w:tcW w:w="2324" w:type="pct"/>
            <w:gridSpan w:val="3"/>
            <w:vAlign w:val="center"/>
          </w:tcPr>
          <w:p w:rsidR="003E1D2A" w:rsidRPr="00687B52" w:rsidRDefault="00D10BF6" w:rsidP="00D10BF6">
            <w:pPr>
              <w:pStyle w:val="af8"/>
              <w:spacing w:before="0" w:beforeAutospacing="0" w:after="0" w:afterAutospacing="0" w:line="320" w:lineRule="exact"/>
              <w:rPr>
                <w:rFonts w:asciiTheme="minorEastAsia" w:hAnsiTheme="minorEastAsia"/>
                <w:color w:val="000000" w:themeColor="text1"/>
              </w:rPr>
            </w:pPr>
            <w:r w:rsidRPr="00687B52">
              <w:rPr>
                <w:rFonts w:asciiTheme="minorEastAsia" w:hAnsiTheme="minorEastAsia" w:cs="Arial" w:hint="eastAsia"/>
                <w:color w:val="000000" w:themeColor="text1"/>
                <w:kern w:val="2"/>
              </w:rPr>
              <w:t>甲、乙、丙类液体储罐区</w:t>
            </w:r>
            <w:r w:rsidR="003E1D2A" w:rsidRPr="00687B52">
              <w:rPr>
                <w:rFonts w:asciiTheme="minorEastAsia" w:hAnsiTheme="minorEastAsia" w:cs="Arial" w:hint="eastAsia"/>
                <w:color w:val="000000" w:themeColor="text1"/>
                <w:kern w:val="2"/>
              </w:rPr>
              <w:t>和可燃材料堆场等，应布置在城市（区域）的边缘或相对独立的安全地带，并宜布置在城市（区域）全年最小频率风向的上风侧。甲、乙、丙类液体储罐区宜布置在地势较低的地带。当布置在地势较高的地带时，应采取安全防护设施。液化石油气储罐（区）宜布置在地势平坦、开阔等不易积存液化石油气的地带。</w:t>
            </w:r>
          </w:p>
        </w:tc>
        <w:tc>
          <w:tcPr>
            <w:tcW w:w="1059" w:type="pct"/>
            <w:vAlign w:val="center"/>
          </w:tcPr>
          <w:p w:rsidR="003E1D2A" w:rsidRPr="00687B52" w:rsidRDefault="003E1D2A" w:rsidP="00A0611B">
            <w:pPr>
              <w:pStyle w:val="a7"/>
              <w:rPr>
                <w:rFonts w:asciiTheme="minorEastAsia" w:eastAsiaTheme="minorEastAsia" w:hAnsiTheme="minorEastAsia" w:cs="宋体"/>
                <w:bCs/>
                <w:color w:val="000000" w:themeColor="text1"/>
                <w:kern w:val="0"/>
                <w:sz w:val="22"/>
                <w:szCs w:val="24"/>
              </w:rPr>
            </w:pPr>
            <w:r w:rsidRPr="00687B52">
              <w:rPr>
                <w:rFonts w:hint="eastAsia"/>
                <w:color w:val="000000" w:themeColor="text1"/>
              </w:rPr>
              <w:t>《建筑设计防火规范》</w:t>
            </w:r>
            <w:r w:rsidRPr="00687B52">
              <w:rPr>
                <w:rFonts w:hint="eastAsia"/>
                <w:color w:val="000000" w:themeColor="text1"/>
              </w:rPr>
              <w:t>GB50016-2014</w:t>
            </w:r>
            <w:r w:rsidRPr="00687B52">
              <w:rPr>
                <w:rFonts w:hint="eastAsia"/>
                <w:color w:val="000000" w:themeColor="text1"/>
              </w:rPr>
              <w:t>第</w:t>
            </w:r>
            <w:r w:rsidRPr="00687B52">
              <w:rPr>
                <w:rFonts w:hint="eastAsia"/>
                <w:color w:val="000000" w:themeColor="text1"/>
              </w:rPr>
              <w:t>4.1.1</w:t>
            </w:r>
            <w:r w:rsidRPr="00687B52">
              <w:rPr>
                <w:rFonts w:hint="eastAsia"/>
                <w:color w:val="000000" w:themeColor="text1"/>
              </w:rPr>
              <w:t>条</w:t>
            </w:r>
          </w:p>
        </w:tc>
        <w:tc>
          <w:tcPr>
            <w:tcW w:w="1279" w:type="pct"/>
            <w:vAlign w:val="center"/>
          </w:tcPr>
          <w:p w:rsidR="003E1D2A" w:rsidRPr="00687B52" w:rsidRDefault="003E1D2A" w:rsidP="003E1D2A">
            <w:pPr>
              <w:rPr>
                <w:rFonts w:ascii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A0611B">
            <w:pPr>
              <w:pStyle w:val="a7"/>
              <w:rPr>
                <w:color w:val="000000" w:themeColor="text1"/>
              </w:rPr>
            </w:pPr>
            <w:r w:rsidRPr="00687B52">
              <w:rPr>
                <w:rFonts w:hint="eastAsia"/>
                <w:color w:val="000000" w:themeColor="text1"/>
              </w:rPr>
              <w:t>1.5</w:t>
            </w:r>
          </w:p>
        </w:tc>
        <w:tc>
          <w:tcPr>
            <w:tcW w:w="2324" w:type="pct"/>
            <w:gridSpan w:val="3"/>
            <w:vAlign w:val="center"/>
          </w:tcPr>
          <w:p w:rsidR="003E1D2A" w:rsidRPr="00687B52" w:rsidRDefault="003E1D2A" w:rsidP="00A0611B">
            <w:pPr>
              <w:pStyle w:val="a7"/>
              <w:jc w:val="left"/>
              <w:rPr>
                <w:rFonts w:ascii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桶装、瓶装甲类液体不应露天存放。</w:t>
            </w:r>
          </w:p>
        </w:tc>
        <w:tc>
          <w:tcPr>
            <w:tcW w:w="1059" w:type="pct"/>
            <w:vAlign w:val="center"/>
          </w:tcPr>
          <w:p w:rsidR="003E1D2A" w:rsidRPr="00687B52" w:rsidRDefault="003E1D2A" w:rsidP="00A0611B">
            <w:pPr>
              <w:pStyle w:val="a7"/>
              <w:rPr>
                <w:color w:val="000000" w:themeColor="text1"/>
              </w:rPr>
            </w:pPr>
            <w:r w:rsidRPr="00687B52">
              <w:rPr>
                <w:rFonts w:hint="eastAsia"/>
                <w:color w:val="000000" w:themeColor="text1"/>
              </w:rPr>
              <w:t>《建筑设计防火规范》</w:t>
            </w:r>
            <w:r w:rsidRPr="00687B52">
              <w:rPr>
                <w:rFonts w:hint="eastAsia"/>
                <w:color w:val="000000" w:themeColor="text1"/>
              </w:rPr>
              <w:t>GB50016-2014</w:t>
            </w:r>
            <w:r w:rsidRPr="00687B52">
              <w:rPr>
                <w:rFonts w:hint="eastAsia"/>
                <w:color w:val="000000" w:themeColor="text1"/>
              </w:rPr>
              <w:t>第</w:t>
            </w:r>
            <w:r w:rsidRPr="00687B52">
              <w:rPr>
                <w:rFonts w:hint="eastAsia"/>
                <w:color w:val="000000" w:themeColor="text1"/>
              </w:rPr>
              <w:t>4.1.2</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D10BF6">
            <w:pPr>
              <w:pStyle w:val="a7"/>
              <w:rPr>
                <w:color w:val="000000" w:themeColor="text1"/>
              </w:rPr>
            </w:pPr>
            <w:r w:rsidRPr="00687B52">
              <w:rPr>
                <w:rFonts w:hint="eastAsia"/>
                <w:color w:val="000000" w:themeColor="text1"/>
              </w:rPr>
              <w:t>1.</w:t>
            </w:r>
            <w:r w:rsidR="00D10BF6" w:rsidRPr="00687B52">
              <w:rPr>
                <w:rFonts w:hint="eastAsia"/>
                <w:color w:val="000000" w:themeColor="text1"/>
              </w:rPr>
              <w:t>6</w:t>
            </w:r>
          </w:p>
        </w:tc>
        <w:tc>
          <w:tcPr>
            <w:tcW w:w="2324" w:type="pct"/>
            <w:gridSpan w:val="3"/>
            <w:vAlign w:val="center"/>
          </w:tcPr>
          <w:p w:rsidR="003E1D2A" w:rsidRPr="00687B52" w:rsidRDefault="00D10BF6" w:rsidP="00D10BF6">
            <w:pPr>
              <w:pStyle w:val="af8"/>
              <w:spacing w:before="0" w:beforeAutospacing="0" w:after="0" w:afterAutospacing="0" w:line="320" w:lineRule="exact"/>
              <w:rPr>
                <w:rFonts w:asciiTheme="minorEastAsia" w:hAnsiTheme="minorEastAsia" w:cs="Arial"/>
                <w:color w:val="000000" w:themeColor="text1"/>
                <w:kern w:val="2"/>
              </w:rPr>
            </w:pPr>
            <w:r w:rsidRPr="00687B52">
              <w:rPr>
                <w:rFonts w:asciiTheme="minorEastAsia" w:hAnsiTheme="minorEastAsia" w:cs="Arial" w:hint="eastAsia"/>
                <w:color w:val="000000" w:themeColor="text1"/>
                <w:kern w:val="2"/>
              </w:rPr>
              <w:t>甲、乙、丙类液体储罐区</w:t>
            </w:r>
            <w:r w:rsidR="003E1D2A" w:rsidRPr="00687B52">
              <w:rPr>
                <w:rFonts w:asciiTheme="minorEastAsia" w:hAnsiTheme="minorEastAsia" w:cs="Arial" w:hint="eastAsia"/>
                <w:color w:val="000000" w:themeColor="text1"/>
                <w:kern w:val="2"/>
              </w:rPr>
              <w:t>，应与装卸区、辅助生产区及办公区分开布置。</w:t>
            </w:r>
          </w:p>
        </w:tc>
        <w:tc>
          <w:tcPr>
            <w:tcW w:w="1059" w:type="pct"/>
            <w:vAlign w:val="center"/>
          </w:tcPr>
          <w:p w:rsidR="003E1D2A" w:rsidRPr="00687B52" w:rsidRDefault="003E1D2A" w:rsidP="00A0611B">
            <w:pPr>
              <w:pStyle w:val="a7"/>
              <w:rPr>
                <w:color w:val="000000" w:themeColor="text1"/>
              </w:rPr>
            </w:pPr>
            <w:r w:rsidRPr="00687B52">
              <w:rPr>
                <w:rFonts w:hint="eastAsia"/>
                <w:color w:val="000000" w:themeColor="text1"/>
              </w:rPr>
              <w:t>《建筑设计防火规范》</w:t>
            </w:r>
            <w:r w:rsidRPr="00687B52">
              <w:rPr>
                <w:rFonts w:hint="eastAsia"/>
                <w:color w:val="000000" w:themeColor="text1"/>
              </w:rPr>
              <w:t>GB50016-2014</w:t>
            </w:r>
            <w:r w:rsidRPr="00687B52">
              <w:rPr>
                <w:rFonts w:hint="eastAsia"/>
                <w:color w:val="000000" w:themeColor="text1"/>
              </w:rPr>
              <w:t>第</w:t>
            </w:r>
            <w:r w:rsidRPr="00687B52">
              <w:rPr>
                <w:rFonts w:hint="eastAsia"/>
                <w:color w:val="000000" w:themeColor="text1"/>
              </w:rPr>
              <w:t>4.1.4</w:t>
            </w:r>
            <w:r w:rsidRPr="00687B52">
              <w:rPr>
                <w:rFonts w:hint="eastAsia"/>
                <w:color w:val="000000" w:themeColor="text1"/>
              </w:rPr>
              <w:t>条</w:t>
            </w:r>
          </w:p>
        </w:tc>
        <w:tc>
          <w:tcPr>
            <w:tcW w:w="1279" w:type="pct"/>
            <w:vAlign w:val="center"/>
          </w:tcPr>
          <w:p w:rsidR="003E1D2A" w:rsidRPr="00687B52" w:rsidRDefault="003E1D2A" w:rsidP="003E1D2A">
            <w:pPr>
              <w:rPr>
                <w:rFonts w:ascii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D10BF6">
            <w:pPr>
              <w:pStyle w:val="a7"/>
              <w:rPr>
                <w:color w:val="000000" w:themeColor="text1"/>
              </w:rPr>
            </w:pPr>
            <w:r w:rsidRPr="00687B52">
              <w:rPr>
                <w:rFonts w:hint="eastAsia"/>
                <w:color w:val="000000" w:themeColor="text1"/>
              </w:rPr>
              <w:t>1.</w:t>
            </w:r>
            <w:r w:rsidR="00D10BF6" w:rsidRPr="00687B52">
              <w:rPr>
                <w:rFonts w:hint="eastAsia"/>
                <w:color w:val="000000" w:themeColor="text1"/>
              </w:rPr>
              <w:t>7</w:t>
            </w:r>
          </w:p>
        </w:tc>
        <w:tc>
          <w:tcPr>
            <w:tcW w:w="2324" w:type="pct"/>
            <w:gridSpan w:val="3"/>
            <w:vAlign w:val="center"/>
          </w:tcPr>
          <w:p w:rsidR="003E1D2A" w:rsidRPr="00687B52" w:rsidRDefault="003E1D2A" w:rsidP="00D10BF6">
            <w:pPr>
              <w:pStyle w:val="af8"/>
              <w:spacing w:before="0" w:beforeAutospacing="0" w:after="0" w:afterAutospacing="0" w:line="320" w:lineRule="exact"/>
              <w:rPr>
                <w:rFonts w:asciiTheme="minorEastAsia" w:hAnsiTheme="minorEastAsia" w:cs="Arial"/>
                <w:color w:val="000000" w:themeColor="text1"/>
                <w:kern w:val="2"/>
              </w:rPr>
            </w:pPr>
            <w:r w:rsidRPr="00687B52">
              <w:rPr>
                <w:rFonts w:asciiTheme="minorEastAsia" w:hAnsiTheme="minorEastAsia" w:cs="Arial" w:hint="eastAsia"/>
                <w:color w:val="000000" w:themeColor="text1"/>
                <w:kern w:val="2"/>
              </w:rPr>
              <w:t>甲、乙、丙类液体储罐</w:t>
            </w:r>
            <w:r w:rsidR="00D10BF6" w:rsidRPr="00687B52">
              <w:rPr>
                <w:rFonts w:asciiTheme="minorEastAsia" w:hAnsiTheme="minorEastAsia" w:cs="Arial" w:hint="eastAsia"/>
                <w:color w:val="000000" w:themeColor="text1"/>
                <w:kern w:val="2"/>
              </w:rPr>
              <w:t>、</w:t>
            </w:r>
            <w:r w:rsidRPr="00687B52">
              <w:rPr>
                <w:rFonts w:asciiTheme="minorEastAsia" w:hAnsiTheme="minorEastAsia" w:cs="Arial" w:hint="eastAsia"/>
                <w:color w:val="000000" w:themeColor="text1"/>
                <w:kern w:val="2"/>
              </w:rPr>
              <w:t>可燃材料堆垛，与架空电力线的最近水平距离应</w:t>
            </w:r>
            <w:r w:rsidR="00D10BF6" w:rsidRPr="00687B52">
              <w:rPr>
                <w:rFonts w:asciiTheme="minorEastAsia" w:hAnsiTheme="minorEastAsia" w:cs="Arial" w:hint="eastAsia"/>
                <w:color w:val="000000" w:themeColor="text1"/>
                <w:kern w:val="2"/>
              </w:rPr>
              <w:t>不小于</w:t>
            </w:r>
            <w:r w:rsidRPr="00687B52">
              <w:rPr>
                <w:rFonts w:asciiTheme="minorEastAsia" w:hAnsiTheme="minorEastAsia" w:cs="Arial" w:hint="eastAsia"/>
                <w:bCs/>
                <w:color w:val="000000" w:themeColor="text1"/>
                <w:kern w:val="2"/>
              </w:rPr>
              <w:t>架空电力线电杆（塔）高度的1.5</w:t>
            </w:r>
            <w:r w:rsidR="00D10BF6" w:rsidRPr="00687B52">
              <w:rPr>
                <w:rFonts w:asciiTheme="minorEastAsia" w:hAnsiTheme="minorEastAsia" w:cs="Arial" w:hint="eastAsia"/>
                <w:bCs/>
                <w:color w:val="000000" w:themeColor="text1"/>
                <w:kern w:val="2"/>
              </w:rPr>
              <w:t>倍</w:t>
            </w:r>
            <w:r w:rsidRPr="00687B52">
              <w:rPr>
                <w:rFonts w:asciiTheme="minorEastAsia" w:hAnsiTheme="minorEastAsia" w:cs="Arial" w:hint="eastAsia"/>
                <w:bCs/>
                <w:color w:val="000000" w:themeColor="text1"/>
                <w:kern w:val="2"/>
              </w:rPr>
              <w:t>。</w:t>
            </w:r>
          </w:p>
        </w:tc>
        <w:tc>
          <w:tcPr>
            <w:tcW w:w="1059" w:type="pct"/>
            <w:vAlign w:val="center"/>
          </w:tcPr>
          <w:p w:rsidR="003E1D2A" w:rsidRPr="00687B52" w:rsidRDefault="003E1D2A" w:rsidP="00A0611B">
            <w:pPr>
              <w:pStyle w:val="a7"/>
              <w:rPr>
                <w:color w:val="000000" w:themeColor="text1"/>
              </w:rPr>
            </w:pPr>
            <w:r w:rsidRPr="00687B52">
              <w:rPr>
                <w:rFonts w:hint="eastAsia"/>
                <w:color w:val="000000" w:themeColor="text1"/>
              </w:rPr>
              <w:t>《建筑设计防火规范》</w:t>
            </w:r>
            <w:r w:rsidRPr="00687B52">
              <w:rPr>
                <w:rFonts w:hint="eastAsia"/>
                <w:color w:val="000000" w:themeColor="text1"/>
              </w:rPr>
              <w:t>GB50016-2014</w:t>
            </w:r>
            <w:r w:rsidRPr="00687B52">
              <w:rPr>
                <w:rFonts w:hint="eastAsia"/>
                <w:color w:val="000000" w:themeColor="text1"/>
              </w:rPr>
              <w:t>第</w:t>
            </w:r>
            <w:r w:rsidRPr="00687B52">
              <w:rPr>
                <w:rFonts w:hint="eastAsia"/>
                <w:color w:val="000000" w:themeColor="text1"/>
              </w:rPr>
              <w:t>4.1.5</w:t>
            </w:r>
            <w:r w:rsidRPr="00687B52">
              <w:rPr>
                <w:rFonts w:hint="eastAsia"/>
                <w:color w:val="000000" w:themeColor="text1"/>
              </w:rPr>
              <w:t>、</w:t>
            </w:r>
            <w:r w:rsidRPr="00687B52">
              <w:rPr>
                <w:rFonts w:hint="eastAsia"/>
                <w:bCs/>
                <w:color w:val="000000" w:themeColor="text1"/>
              </w:rPr>
              <w:t>10.2.1</w:t>
            </w:r>
            <w:r w:rsidRPr="00687B52">
              <w:rPr>
                <w:rFonts w:hint="eastAsia"/>
                <w:color w:val="000000" w:themeColor="text1"/>
              </w:rPr>
              <w:t>条</w:t>
            </w:r>
          </w:p>
        </w:tc>
        <w:tc>
          <w:tcPr>
            <w:tcW w:w="1279" w:type="pct"/>
            <w:vAlign w:val="center"/>
          </w:tcPr>
          <w:p w:rsidR="003E1D2A" w:rsidRPr="00687B52" w:rsidRDefault="003E1D2A" w:rsidP="003E1D2A">
            <w:pPr>
              <w:rPr>
                <w:rFonts w:ascii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D10BF6">
            <w:pPr>
              <w:pStyle w:val="a7"/>
              <w:rPr>
                <w:color w:val="000000" w:themeColor="text1"/>
              </w:rPr>
            </w:pPr>
            <w:r w:rsidRPr="00687B52">
              <w:rPr>
                <w:rFonts w:hint="eastAsia"/>
                <w:color w:val="000000" w:themeColor="text1"/>
              </w:rPr>
              <w:t>1.</w:t>
            </w:r>
            <w:r w:rsidR="00D10BF6" w:rsidRPr="00687B52">
              <w:rPr>
                <w:rFonts w:hint="eastAsia"/>
                <w:color w:val="000000" w:themeColor="text1"/>
              </w:rPr>
              <w:t>8</w:t>
            </w:r>
          </w:p>
        </w:tc>
        <w:tc>
          <w:tcPr>
            <w:tcW w:w="2324" w:type="pct"/>
            <w:gridSpan w:val="3"/>
            <w:vAlign w:val="center"/>
          </w:tcPr>
          <w:p w:rsidR="003E1D2A" w:rsidRPr="00687B52" w:rsidRDefault="003E1D2A" w:rsidP="00A0611B">
            <w:pPr>
              <w:pStyle w:val="af8"/>
              <w:spacing w:before="0" w:beforeAutospacing="0" w:after="0" w:afterAutospacing="0" w:line="320" w:lineRule="exact"/>
              <w:rPr>
                <w:rFonts w:asciiTheme="minorEastAsia" w:hAnsiTheme="minorEastAsia" w:cs="Arial"/>
                <w:bCs/>
                <w:color w:val="000000" w:themeColor="text1"/>
                <w:kern w:val="2"/>
              </w:rPr>
            </w:pPr>
            <w:r w:rsidRPr="00687B52">
              <w:rPr>
                <w:rFonts w:asciiTheme="minorEastAsia" w:hAnsiTheme="minorEastAsia" w:cs="Arial" w:hint="eastAsia"/>
                <w:bCs/>
                <w:color w:val="000000" w:themeColor="text1"/>
                <w:kern w:val="2"/>
              </w:rPr>
              <w:t>甲、乙、丙类液体储罐（区）和乙、丙类液体桶装堆场与其他建筑的防护间距，不应小于表4.2.1的规定。</w:t>
            </w:r>
          </w:p>
        </w:tc>
        <w:tc>
          <w:tcPr>
            <w:tcW w:w="1059" w:type="pct"/>
            <w:vAlign w:val="center"/>
          </w:tcPr>
          <w:p w:rsidR="003E1D2A" w:rsidRPr="00687B52" w:rsidRDefault="003E1D2A" w:rsidP="00A0611B">
            <w:pPr>
              <w:pStyle w:val="a7"/>
              <w:rPr>
                <w:bCs/>
                <w:color w:val="000000" w:themeColor="text1"/>
              </w:rPr>
            </w:pPr>
            <w:r w:rsidRPr="00687B52">
              <w:rPr>
                <w:rFonts w:hint="eastAsia"/>
                <w:bCs/>
                <w:color w:val="000000" w:themeColor="text1"/>
              </w:rPr>
              <w:t>《建筑设计防火规范》</w:t>
            </w:r>
            <w:r w:rsidRPr="00687B52">
              <w:rPr>
                <w:rFonts w:hint="eastAsia"/>
                <w:bCs/>
                <w:color w:val="000000" w:themeColor="text1"/>
              </w:rPr>
              <w:t>GB50016-2014</w:t>
            </w:r>
            <w:r w:rsidRPr="00687B52">
              <w:rPr>
                <w:rFonts w:hint="eastAsia"/>
                <w:bCs/>
                <w:color w:val="000000" w:themeColor="text1"/>
              </w:rPr>
              <w:t>第</w:t>
            </w:r>
            <w:r w:rsidRPr="00687B52">
              <w:rPr>
                <w:rFonts w:hint="eastAsia"/>
                <w:bCs/>
                <w:color w:val="000000" w:themeColor="text1"/>
              </w:rPr>
              <w:t>4.2.1</w:t>
            </w:r>
            <w:r w:rsidRPr="00687B52">
              <w:rPr>
                <w:rFonts w:hint="eastAsia"/>
                <w:bCs/>
                <w:color w:val="000000" w:themeColor="text1"/>
              </w:rPr>
              <w:t>条</w:t>
            </w:r>
          </w:p>
        </w:tc>
        <w:tc>
          <w:tcPr>
            <w:tcW w:w="1279" w:type="pct"/>
            <w:vAlign w:val="center"/>
          </w:tcPr>
          <w:p w:rsidR="003E1D2A" w:rsidRPr="00687B52" w:rsidRDefault="003E1D2A" w:rsidP="003E1D2A">
            <w:pPr>
              <w:rPr>
                <w:rFonts w:asciiTheme="minorEastAsia" w:hAnsiTheme="minorEastAsia"/>
                <w:b/>
                <w:bCs/>
                <w:color w:val="000000" w:themeColor="text1"/>
                <w:szCs w:val="24"/>
              </w:rPr>
            </w:pPr>
          </w:p>
        </w:tc>
      </w:tr>
      <w:tr w:rsidR="003E1D2A" w:rsidRPr="00687B52" w:rsidTr="00C76CF3">
        <w:trPr>
          <w:jc w:val="center"/>
        </w:trPr>
        <w:tc>
          <w:tcPr>
            <w:tcW w:w="338" w:type="pct"/>
            <w:vAlign w:val="center"/>
          </w:tcPr>
          <w:p w:rsidR="003E1D2A" w:rsidRPr="00687B52" w:rsidRDefault="003E1D2A" w:rsidP="00D10BF6">
            <w:pPr>
              <w:pStyle w:val="a7"/>
              <w:rPr>
                <w:color w:val="000000" w:themeColor="text1"/>
              </w:rPr>
            </w:pPr>
            <w:r w:rsidRPr="00687B52">
              <w:rPr>
                <w:rFonts w:hint="eastAsia"/>
                <w:color w:val="000000" w:themeColor="text1"/>
              </w:rPr>
              <w:t>1.</w:t>
            </w:r>
            <w:r w:rsidR="00D10BF6" w:rsidRPr="00687B52">
              <w:rPr>
                <w:rFonts w:hint="eastAsia"/>
                <w:color w:val="000000" w:themeColor="text1"/>
              </w:rPr>
              <w:t>9</w:t>
            </w:r>
          </w:p>
        </w:tc>
        <w:tc>
          <w:tcPr>
            <w:tcW w:w="2324" w:type="pct"/>
            <w:gridSpan w:val="3"/>
            <w:vAlign w:val="center"/>
          </w:tcPr>
          <w:p w:rsidR="003E1D2A" w:rsidRPr="00687B52" w:rsidRDefault="003E1D2A" w:rsidP="00A0611B">
            <w:pPr>
              <w:pStyle w:val="af8"/>
              <w:spacing w:before="0" w:beforeAutospacing="0" w:after="0" w:afterAutospacing="0" w:line="320" w:lineRule="exact"/>
              <w:rPr>
                <w:rFonts w:asciiTheme="minorEastAsia" w:hAnsiTheme="minorEastAsia" w:cs="Arial"/>
                <w:bCs/>
                <w:color w:val="000000" w:themeColor="text1"/>
                <w:kern w:val="2"/>
              </w:rPr>
            </w:pPr>
            <w:r w:rsidRPr="00687B52">
              <w:rPr>
                <w:rFonts w:asciiTheme="minorEastAsia" w:hAnsiTheme="minorEastAsia" w:cs="Arial" w:hint="eastAsia"/>
                <w:bCs/>
                <w:color w:val="000000" w:themeColor="text1"/>
                <w:kern w:val="2"/>
              </w:rPr>
              <w:t>甲、乙、丙类液体储罐之间的防火间距不应小于表4.2.2的规定。</w:t>
            </w:r>
          </w:p>
        </w:tc>
        <w:tc>
          <w:tcPr>
            <w:tcW w:w="1059" w:type="pct"/>
            <w:vAlign w:val="center"/>
          </w:tcPr>
          <w:p w:rsidR="003E1D2A" w:rsidRPr="00687B52" w:rsidRDefault="003E1D2A" w:rsidP="00A0611B">
            <w:pPr>
              <w:pStyle w:val="a7"/>
              <w:rPr>
                <w:bCs/>
                <w:color w:val="000000" w:themeColor="text1"/>
              </w:rPr>
            </w:pPr>
            <w:r w:rsidRPr="00687B52">
              <w:rPr>
                <w:rFonts w:hint="eastAsia"/>
                <w:bCs/>
                <w:color w:val="000000" w:themeColor="text1"/>
              </w:rPr>
              <w:t>《建筑设计防火规范》</w:t>
            </w:r>
            <w:r w:rsidRPr="00687B52">
              <w:rPr>
                <w:rFonts w:hint="eastAsia"/>
                <w:bCs/>
                <w:color w:val="000000" w:themeColor="text1"/>
              </w:rPr>
              <w:t>GB50016-2014</w:t>
            </w:r>
            <w:r w:rsidRPr="00687B52">
              <w:rPr>
                <w:rFonts w:hint="eastAsia"/>
                <w:bCs/>
                <w:color w:val="000000" w:themeColor="text1"/>
              </w:rPr>
              <w:t>第</w:t>
            </w:r>
            <w:r w:rsidRPr="00687B52">
              <w:rPr>
                <w:rFonts w:hint="eastAsia"/>
                <w:bCs/>
                <w:color w:val="000000" w:themeColor="text1"/>
              </w:rPr>
              <w:t>4.2.2</w:t>
            </w:r>
            <w:r w:rsidRPr="00687B52">
              <w:rPr>
                <w:rFonts w:hint="eastAsia"/>
                <w:bCs/>
                <w:color w:val="000000" w:themeColor="text1"/>
              </w:rPr>
              <w:t>条</w:t>
            </w:r>
          </w:p>
        </w:tc>
        <w:tc>
          <w:tcPr>
            <w:tcW w:w="1279" w:type="pct"/>
            <w:vAlign w:val="center"/>
          </w:tcPr>
          <w:p w:rsidR="003E1D2A" w:rsidRPr="00687B52" w:rsidRDefault="003E1D2A" w:rsidP="003E1D2A">
            <w:pPr>
              <w:rPr>
                <w:rFonts w:asciiTheme="minorEastAsia" w:hAnsiTheme="minorEastAsia"/>
                <w:b/>
                <w:bCs/>
                <w:color w:val="000000" w:themeColor="text1"/>
                <w:szCs w:val="24"/>
              </w:rPr>
            </w:pPr>
          </w:p>
        </w:tc>
      </w:tr>
      <w:tr w:rsidR="003E1D2A" w:rsidRPr="00687B52" w:rsidTr="00C76CF3">
        <w:trPr>
          <w:trHeight w:val="965"/>
          <w:jc w:val="center"/>
        </w:trPr>
        <w:tc>
          <w:tcPr>
            <w:tcW w:w="338" w:type="pct"/>
            <w:vMerge w:val="restart"/>
            <w:vAlign w:val="center"/>
          </w:tcPr>
          <w:p w:rsidR="003E1D2A" w:rsidRPr="00687B52" w:rsidRDefault="003E1D2A" w:rsidP="00D10BF6">
            <w:pPr>
              <w:pStyle w:val="a7"/>
              <w:rPr>
                <w:color w:val="000000" w:themeColor="text1"/>
              </w:rPr>
            </w:pPr>
            <w:r w:rsidRPr="00687B52">
              <w:rPr>
                <w:rFonts w:hint="eastAsia"/>
                <w:color w:val="000000" w:themeColor="text1"/>
              </w:rPr>
              <w:t>1.1</w:t>
            </w:r>
            <w:r w:rsidR="00D10BF6" w:rsidRPr="00687B52">
              <w:rPr>
                <w:rFonts w:hint="eastAsia"/>
                <w:color w:val="000000" w:themeColor="text1"/>
              </w:rPr>
              <w:t>0</w:t>
            </w:r>
          </w:p>
        </w:tc>
        <w:tc>
          <w:tcPr>
            <w:tcW w:w="2324" w:type="pct"/>
            <w:gridSpan w:val="3"/>
            <w:vAlign w:val="center"/>
          </w:tcPr>
          <w:p w:rsidR="003E1D2A" w:rsidRPr="00687B52" w:rsidRDefault="003E1D2A" w:rsidP="003E1D2A">
            <w:pPr>
              <w:pStyle w:val="af8"/>
              <w:spacing w:before="0" w:beforeAutospacing="0" w:after="0" w:afterAutospacing="0"/>
              <w:rPr>
                <w:rFonts w:asciiTheme="minorEastAsia" w:hAnsiTheme="minorEastAsia" w:cs="Arial"/>
                <w:bCs/>
                <w:color w:val="000000" w:themeColor="text1"/>
                <w:kern w:val="2"/>
              </w:rPr>
            </w:pPr>
            <w:r w:rsidRPr="00687B52">
              <w:rPr>
                <w:rFonts w:asciiTheme="minorEastAsia" w:hAnsiTheme="minorEastAsia" w:cs="Arial" w:hint="eastAsia"/>
                <w:bCs/>
                <w:color w:val="000000" w:themeColor="text1"/>
                <w:kern w:val="2"/>
              </w:rPr>
              <w:t>甲、乙、丙类液体储罐成组布置时，应符合下列规定：</w:t>
            </w:r>
          </w:p>
          <w:p w:rsidR="003E1D2A" w:rsidRPr="00687B52" w:rsidRDefault="003E1D2A" w:rsidP="00D10BF6">
            <w:pPr>
              <w:pStyle w:val="af8"/>
              <w:spacing w:before="0" w:beforeAutospacing="0" w:after="0" w:afterAutospacing="0"/>
              <w:rPr>
                <w:rFonts w:asciiTheme="minorEastAsia" w:hAnsiTheme="minorEastAsia" w:cs="Arial"/>
                <w:bCs/>
                <w:color w:val="000000" w:themeColor="text1"/>
                <w:kern w:val="2"/>
              </w:rPr>
            </w:pPr>
            <w:r w:rsidRPr="00687B52">
              <w:rPr>
                <w:rFonts w:asciiTheme="minorEastAsia" w:hAnsiTheme="minorEastAsia" w:cs="Arial" w:hint="eastAsia"/>
                <w:bCs/>
                <w:color w:val="000000" w:themeColor="text1"/>
                <w:kern w:val="2"/>
              </w:rPr>
              <w:t>1）组内储罐的单罐容量和总容量不应大于</w:t>
            </w:r>
            <w:r w:rsidR="00D10BF6" w:rsidRPr="00687B52">
              <w:rPr>
                <w:rFonts w:asciiTheme="minorEastAsia" w:hAnsiTheme="minorEastAsia" w:cs="Arial" w:hint="eastAsia"/>
                <w:bCs/>
                <w:color w:val="000000" w:themeColor="text1"/>
                <w:kern w:val="2"/>
              </w:rPr>
              <w:t>下</w:t>
            </w:r>
            <w:r w:rsidRPr="00687B52">
              <w:rPr>
                <w:rFonts w:asciiTheme="minorEastAsia" w:hAnsiTheme="minorEastAsia" w:cs="Arial" w:hint="eastAsia"/>
                <w:bCs/>
                <w:color w:val="000000" w:themeColor="text1"/>
                <w:kern w:val="2"/>
              </w:rPr>
              <w:t>表的规定；</w:t>
            </w:r>
          </w:p>
        </w:tc>
        <w:tc>
          <w:tcPr>
            <w:tcW w:w="1059" w:type="pct"/>
            <w:vMerge w:val="restart"/>
            <w:vAlign w:val="center"/>
          </w:tcPr>
          <w:p w:rsidR="003E1D2A" w:rsidRPr="00687B52" w:rsidRDefault="003E1D2A" w:rsidP="003E1D2A">
            <w:pPr>
              <w:pStyle w:val="a7"/>
              <w:rPr>
                <w:bCs/>
                <w:color w:val="000000" w:themeColor="text1"/>
              </w:rPr>
            </w:pPr>
            <w:r w:rsidRPr="00687B52">
              <w:rPr>
                <w:rFonts w:hint="eastAsia"/>
                <w:bCs/>
                <w:color w:val="000000" w:themeColor="text1"/>
              </w:rPr>
              <w:t>《建筑设计防火规范》</w:t>
            </w:r>
            <w:r w:rsidRPr="00687B52">
              <w:rPr>
                <w:rFonts w:hint="eastAsia"/>
                <w:bCs/>
                <w:color w:val="000000" w:themeColor="text1"/>
              </w:rPr>
              <w:t>GB50016-2014</w:t>
            </w:r>
            <w:r w:rsidRPr="00687B52">
              <w:rPr>
                <w:rFonts w:hint="eastAsia"/>
                <w:bCs/>
                <w:color w:val="000000" w:themeColor="text1"/>
              </w:rPr>
              <w:t>第</w:t>
            </w:r>
            <w:r w:rsidRPr="00687B52">
              <w:rPr>
                <w:rFonts w:hint="eastAsia"/>
                <w:bCs/>
                <w:color w:val="000000" w:themeColor="text1"/>
              </w:rPr>
              <w:t>4.2.3</w:t>
            </w:r>
            <w:r w:rsidRPr="00687B52">
              <w:rPr>
                <w:rFonts w:hint="eastAsia"/>
                <w:bCs/>
                <w:color w:val="000000" w:themeColor="text1"/>
              </w:rPr>
              <w:t>条</w:t>
            </w:r>
          </w:p>
        </w:tc>
        <w:tc>
          <w:tcPr>
            <w:tcW w:w="1279" w:type="pct"/>
            <w:vMerge w:val="restart"/>
            <w:vAlign w:val="center"/>
          </w:tcPr>
          <w:p w:rsidR="003E1D2A" w:rsidRPr="00687B52" w:rsidRDefault="003E1D2A" w:rsidP="003E1D2A">
            <w:pPr>
              <w:rPr>
                <w:rFonts w:asciiTheme="minorEastAsia" w:hAnsiTheme="minorEastAsia"/>
                <w:b/>
                <w:bCs/>
                <w:color w:val="000000" w:themeColor="text1"/>
                <w:szCs w:val="24"/>
              </w:rPr>
            </w:pPr>
          </w:p>
        </w:tc>
      </w:tr>
      <w:tr w:rsidR="003E1D2A" w:rsidRPr="00687B52" w:rsidTr="00C76CF3">
        <w:trPr>
          <w:trHeight w:val="187"/>
          <w:jc w:val="center"/>
        </w:trPr>
        <w:tc>
          <w:tcPr>
            <w:tcW w:w="338" w:type="pct"/>
            <w:vMerge/>
            <w:vAlign w:val="center"/>
          </w:tcPr>
          <w:p w:rsidR="003E1D2A" w:rsidRPr="00687B52" w:rsidRDefault="003E1D2A" w:rsidP="00C76CF3">
            <w:pPr>
              <w:pStyle w:val="a7"/>
              <w:rPr>
                <w:color w:val="000000" w:themeColor="text1"/>
              </w:rPr>
            </w:pPr>
          </w:p>
        </w:tc>
        <w:tc>
          <w:tcPr>
            <w:tcW w:w="614" w:type="pct"/>
            <w:vAlign w:val="center"/>
          </w:tcPr>
          <w:p w:rsidR="003E1D2A" w:rsidRPr="00687B52" w:rsidRDefault="003E1D2A" w:rsidP="003E1D2A">
            <w:pPr>
              <w:pStyle w:val="af8"/>
              <w:spacing w:before="0" w:beforeAutospacing="0" w:after="0" w:afterAutospacing="0"/>
              <w:jc w:val="center"/>
              <w:rPr>
                <w:color w:val="000000" w:themeColor="text1"/>
                <w:kern w:val="2"/>
                <w:sz w:val="21"/>
                <w:szCs w:val="21"/>
              </w:rPr>
            </w:pPr>
            <w:r w:rsidRPr="00687B52">
              <w:rPr>
                <w:rFonts w:hint="eastAsia"/>
                <w:color w:val="000000" w:themeColor="text1"/>
                <w:kern w:val="2"/>
                <w:sz w:val="21"/>
                <w:szCs w:val="21"/>
              </w:rPr>
              <w:t>类别</w:t>
            </w:r>
          </w:p>
        </w:tc>
        <w:tc>
          <w:tcPr>
            <w:tcW w:w="846" w:type="pct"/>
            <w:vAlign w:val="center"/>
          </w:tcPr>
          <w:p w:rsidR="003E1D2A" w:rsidRPr="00687B52" w:rsidRDefault="003E1D2A" w:rsidP="003E1D2A">
            <w:pPr>
              <w:pStyle w:val="af8"/>
              <w:spacing w:before="0" w:beforeAutospacing="0" w:after="0" w:afterAutospacing="0"/>
              <w:jc w:val="center"/>
              <w:rPr>
                <w:color w:val="000000" w:themeColor="text1"/>
                <w:kern w:val="2"/>
                <w:sz w:val="21"/>
                <w:szCs w:val="21"/>
              </w:rPr>
            </w:pPr>
            <w:r w:rsidRPr="00687B52">
              <w:rPr>
                <w:rFonts w:hint="eastAsia"/>
                <w:color w:val="000000" w:themeColor="text1"/>
                <w:kern w:val="2"/>
                <w:sz w:val="21"/>
                <w:szCs w:val="21"/>
              </w:rPr>
              <w:t>单罐最大容量（m³）</w:t>
            </w:r>
          </w:p>
        </w:tc>
        <w:tc>
          <w:tcPr>
            <w:tcW w:w="864" w:type="pct"/>
            <w:vAlign w:val="center"/>
          </w:tcPr>
          <w:p w:rsidR="003E1D2A" w:rsidRPr="00687B52" w:rsidRDefault="003E1D2A" w:rsidP="003E1D2A">
            <w:pPr>
              <w:pStyle w:val="af8"/>
              <w:spacing w:before="0" w:beforeAutospacing="0" w:after="0" w:afterAutospacing="0"/>
              <w:jc w:val="center"/>
              <w:rPr>
                <w:color w:val="000000" w:themeColor="text1"/>
                <w:kern w:val="2"/>
                <w:sz w:val="21"/>
                <w:szCs w:val="21"/>
              </w:rPr>
            </w:pPr>
            <w:r w:rsidRPr="00687B52">
              <w:rPr>
                <w:rFonts w:hint="eastAsia"/>
                <w:color w:val="000000" w:themeColor="text1"/>
                <w:kern w:val="2"/>
                <w:sz w:val="21"/>
                <w:szCs w:val="21"/>
              </w:rPr>
              <w:t>一组罐最大容量（m³）</w:t>
            </w:r>
          </w:p>
        </w:tc>
        <w:tc>
          <w:tcPr>
            <w:tcW w:w="1059" w:type="pct"/>
            <w:vMerge/>
            <w:vAlign w:val="center"/>
          </w:tcPr>
          <w:p w:rsidR="003E1D2A" w:rsidRPr="00687B52" w:rsidRDefault="003E1D2A" w:rsidP="003E1D2A">
            <w:pPr>
              <w:pStyle w:val="a7"/>
              <w:rPr>
                <w:bCs/>
                <w:color w:val="000000" w:themeColor="text1"/>
              </w:rPr>
            </w:pPr>
          </w:p>
        </w:tc>
        <w:tc>
          <w:tcPr>
            <w:tcW w:w="1279" w:type="pct"/>
            <w:vMerge/>
            <w:vAlign w:val="center"/>
          </w:tcPr>
          <w:p w:rsidR="003E1D2A" w:rsidRPr="00687B52" w:rsidRDefault="003E1D2A" w:rsidP="003E1D2A">
            <w:pPr>
              <w:rPr>
                <w:rFonts w:asciiTheme="minorEastAsia" w:hAnsiTheme="minorEastAsia"/>
                <w:b/>
                <w:bCs/>
                <w:color w:val="000000" w:themeColor="text1"/>
                <w:szCs w:val="24"/>
              </w:rPr>
            </w:pPr>
          </w:p>
        </w:tc>
      </w:tr>
      <w:tr w:rsidR="003E1D2A" w:rsidRPr="00687B52" w:rsidTr="00C76CF3">
        <w:trPr>
          <w:trHeight w:val="270"/>
          <w:jc w:val="center"/>
        </w:trPr>
        <w:tc>
          <w:tcPr>
            <w:tcW w:w="338" w:type="pct"/>
            <w:vMerge/>
            <w:vAlign w:val="center"/>
          </w:tcPr>
          <w:p w:rsidR="003E1D2A" w:rsidRPr="00687B52" w:rsidRDefault="003E1D2A" w:rsidP="00C76CF3">
            <w:pPr>
              <w:pStyle w:val="a7"/>
              <w:rPr>
                <w:color w:val="000000" w:themeColor="text1"/>
              </w:rPr>
            </w:pPr>
          </w:p>
        </w:tc>
        <w:tc>
          <w:tcPr>
            <w:tcW w:w="614" w:type="pct"/>
            <w:vAlign w:val="center"/>
          </w:tcPr>
          <w:p w:rsidR="003E1D2A" w:rsidRPr="00687B52" w:rsidRDefault="003E1D2A" w:rsidP="003E1D2A">
            <w:pPr>
              <w:pStyle w:val="af8"/>
              <w:spacing w:before="0" w:beforeAutospacing="0" w:after="0" w:afterAutospacing="0"/>
              <w:jc w:val="center"/>
              <w:rPr>
                <w:color w:val="000000" w:themeColor="text1"/>
                <w:kern w:val="2"/>
                <w:sz w:val="21"/>
                <w:szCs w:val="21"/>
              </w:rPr>
            </w:pPr>
            <w:r w:rsidRPr="00687B52">
              <w:rPr>
                <w:rFonts w:hint="eastAsia"/>
                <w:color w:val="000000" w:themeColor="text1"/>
                <w:kern w:val="2"/>
                <w:sz w:val="21"/>
                <w:szCs w:val="21"/>
              </w:rPr>
              <w:t>甲、乙类液体</w:t>
            </w:r>
          </w:p>
        </w:tc>
        <w:tc>
          <w:tcPr>
            <w:tcW w:w="846" w:type="pct"/>
            <w:vAlign w:val="center"/>
          </w:tcPr>
          <w:p w:rsidR="003E1D2A" w:rsidRPr="00687B52" w:rsidRDefault="003E1D2A" w:rsidP="003E1D2A">
            <w:pPr>
              <w:pStyle w:val="af8"/>
              <w:spacing w:before="0" w:beforeAutospacing="0" w:after="0" w:afterAutospacing="0"/>
              <w:jc w:val="center"/>
              <w:rPr>
                <w:color w:val="000000" w:themeColor="text1"/>
                <w:kern w:val="2"/>
                <w:sz w:val="21"/>
                <w:szCs w:val="21"/>
              </w:rPr>
            </w:pPr>
            <w:r w:rsidRPr="00687B52">
              <w:rPr>
                <w:rFonts w:hint="eastAsia"/>
                <w:color w:val="000000" w:themeColor="text1"/>
                <w:kern w:val="2"/>
                <w:sz w:val="21"/>
                <w:szCs w:val="21"/>
              </w:rPr>
              <w:t>200</w:t>
            </w:r>
          </w:p>
        </w:tc>
        <w:tc>
          <w:tcPr>
            <w:tcW w:w="864" w:type="pct"/>
            <w:vAlign w:val="center"/>
          </w:tcPr>
          <w:p w:rsidR="003E1D2A" w:rsidRPr="00687B52" w:rsidRDefault="003E1D2A" w:rsidP="003E1D2A">
            <w:pPr>
              <w:pStyle w:val="af8"/>
              <w:spacing w:before="0" w:beforeAutospacing="0" w:after="0" w:afterAutospacing="0"/>
              <w:jc w:val="center"/>
              <w:rPr>
                <w:color w:val="000000" w:themeColor="text1"/>
                <w:kern w:val="2"/>
                <w:sz w:val="21"/>
                <w:szCs w:val="21"/>
              </w:rPr>
            </w:pPr>
            <w:r w:rsidRPr="00687B52">
              <w:rPr>
                <w:rFonts w:hint="eastAsia"/>
                <w:color w:val="000000" w:themeColor="text1"/>
                <w:kern w:val="2"/>
                <w:sz w:val="21"/>
                <w:szCs w:val="21"/>
              </w:rPr>
              <w:t>1000</w:t>
            </w:r>
          </w:p>
        </w:tc>
        <w:tc>
          <w:tcPr>
            <w:tcW w:w="1059" w:type="pct"/>
            <w:vMerge/>
            <w:vAlign w:val="center"/>
          </w:tcPr>
          <w:p w:rsidR="003E1D2A" w:rsidRPr="00687B52" w:rsidRDefault="003E1D2A" w:rsidP="003E1D2A">
            <w:pPr>
              <w:pStyle w:val="a7"/>
              <w:rPr>
                <w:bCs/>
                <w:color w:val="000000" w:themeColor="text1"/>
              </w:rPr>
            </w:pPr>
          </w:p>
        </w:tc>
        <w:tc>
          <w:tcPr>
            <w:tcW w:w="1279" w:type="pct"/>
            <w:vMerge/>
            <w:vAlign w:val="center"/>
          </w:tcPr>
          <w:p w:rsidR="003E1D2A" w:rsidRPr="00687B52" w:rsidRDefault="003E1D2A" w:rsidP="003E1D2A">
            <w:pPr>
              <w:rPr>
                <w:rFonts w:asciiTheme="minorEastAsia" w:hAnsiTheme="minorEastAsia"/>
                <w:b/>
                <w:bCs/>
                <w:color w:val="000000" w:themeColor="text1"/>
                <w:szCs w:val="24"/>
              </w:rPr>
            </w:pPr>
          </w:p>
        </w:tc>
      </w:tr>
      <w:tr w:rsidR="003E1D2A" w:rsidRPr="00687B52" w:rsidTr="00C76CF3">
        <w:trPr>
          <w:trHeight w:val="173"/>
          <w:jc w:val="center"/>
        </w:trPr>
        <w:tc>
          <w:tcPr>
            <w:tcW w:w="338" w:type="pct"/>
            <w:vMerge/>
            <w:vAlign w:val="center"/>
          </w:tcPr>
          <w:p w:rsidR="003E1D2A" w:rsidRPr="00687B52" w:rsidRDefault="003E1D2A" w:rsidP="00C76CF3">
            <w:pPr>
              <w:pStyle w:val="a7"/>
              <w:rPr>
                <w:color w:val="000000" w:themeColor="text1"/>
              </w:rPr>
            </w:pPr>
          </w:p>
        </w:tc>
        <w:tc>
          <w:tcPr>
            <w:tcW w:w="614" w:type="pct"/>
            <w:vAlign w:val="center"/>
          </w:tcPr>
          <w:p w:rsidR="003E1D2A" w:rsidRPr="00687B52" w:rsidRDefault="003E1D2A" w:rsidP="003E1D2A">
            <w:pPr>
              <w:pStyle w:val="af8"/>
              <w:spacing w:before="0" w:beforeAutospacing="0" w:after="0" w:afterAutospacing="0"/>
              <w:jc w:val="center"/>
              <w:rPr>
                <w:rFonts w:asciiTheme="minorEastAsia" w:hAnsiTheme="minorEastAsia" w:cs="Arial"/>
                <w:bCs/>
                <w:color w:val="000000" w:themeColor="text1"/>
                <w:kern w:val="2"/>
              </w:rPr>
            </w:pPr>
            <w:r w:rsidRPr="00687B52">
              <w:rPr>
                <w:rFonts w:hint="eastAsia"/>
                <w:color w:val="000000" w:themeColor="text1"/>
                <w:kern w:val="2"/>
                <w:sz w:val="21"/>
                <w:szCs w:val="21"/>
              </w:rPr>
              <w:t>丙类液体</w:t>
            </w:r>
          </w:p>
        </w:tc>
        <w:tc>
          <w:tcPr>
            <w:tcW w:w="846" w:type="pct"/>
            <w:vAlign w:val="center"/>
          </w:tcPr>
          <w:p w:rsidR="003E1D2A" w:rsidRPr="00687B52" w:rsidRDefault="003E1D2A" w:rsidP="003E1D2A">
            <w:pPr>
              <w:pStyle w:val="af8"/>
              <w:spacing w:before="0" w:beforeAutospacing="0" w:after="0" w:afterAutospacing="0"/>
              <w:jc w:val="center"/>
              <w:rPr>
                <w:color w:val="000000" w:themeColor="text1"/>
                <w:kern w:val="2"/>
                <w:sz w:val="21"/>
                <w:szCs w:val="21"/>
              </w:rPr>
            </w:pPr>
            <w:r w:rsidRPr="00687B52">
              <w:rPr>
                <w:rFonts w:hint="eastAsia"/>
                <w:color w:val="000000" w:themeColor="text1"/>
                <w:kern w:val="2"/>
                <w:sz w:val="21"/>
                <w:szCs w:val="21"/>
              </w:rPr>
              <w:t>500</w:t>
            </w:r>
          </w:p>
        </w:tc>
        <w:tc>
          <w:tcPr>
            <w:tcW w:w="864" w:type="pct"/>
            <w:vAlign w:val="center"/>
          </w:tcPr>
          <w:p w:rsidR="003E1D2A" w:rsidRPr="00687B52" w:rsidRDefault="003E1D2A" w:rsidP="003E1D2A">
            <w:pPr>
              <w:pStyle w:val="af8"/>
              <w:spacing w:before="0" w:beforeAutospacing="0" w:after="0" w:afterAutospacing="0"/>
              <w:jc w:val="center"/>
              <w:rPr>
                <w:color w:val="000000" w:themeColor="text1"/>
                <w:kern w:val="2"/>
                <w:sz w:val="21"/>
                <w:szCs w:val="21"/>
              </w:rPr>
            </w:pPr>
            <w:r w:rsidRPr="00687B52">
              <w:rPr>
                <w:rFonts w:hint="eastAsia"/>
                <w:color w:val="000000" w:themeColor="text1"/>
                <w:kern w:val="2"/>
                <w:sz w:val="21"/>
                <w:szCs w:val="21"/>
              </w:rPr>
              <w:t>3000</w:t>
            </w:r>
          </w:p>
        </w:tc>
        <w:tc>
          <w:tcPr>
            <w:tcW w:w="1059" w:type="pct"/>
            <w:vMerge/>
            <w:vAlign w:val="center"/>
          </w:tcPr>
          <w:p w:rsidR="003E1D2A" w:rsidRPr="00687B52" w:rsidRDefault="003E1D2A" w:rsidP="003E1D2A">
            <w:pPr>
              <w:pStyle w:val="a7"/>
              <w:rPr>
                <w:bCs/>
                <w:color w:val="000000" w:themeColor="text1"/>
              </w:rPr>
            </w:pPr>
          </w:p>
        </w:tc>
        <w:tc>
          <w:tcPr>
            <w:tcW w:w="1279" w:type="pct"/>
            <w:vMerge/>
            <w:vAlign w:val="center"/>
          </w:tcPr>
          <w:p w:rsidR="003E1D2A" w:rsidRPr="00687B52" w:rsidRDefault="003E1D2A" w:rsidP="003E1D2A">
            <w:pPr>
              <w:rPr>
                <w:rFonts w:asciiTheme="minorEastAsia" w:hAnsiTheme="minorEastAsia"/>
                <w:b/>
                <w:bCs/>
                <w:color w:val="000000" w:themeColor="text1"/>
                <w:szCs w:val="24"/>
              </w:rPr>
            </w:pPr>
          </w:p>
        </w:tc>
      </w:tr>
      <w:tr w:rsidR="003E1D2A" w:rsidRPr="00687B52" w:rsidTr="00C76CF3">
        <w:trPr>
          <w:trHeight w:val="149"/>
          <w:jc w:val="center"/>
        </w:trPr>
        <w:tc>
          <w:tcPr>
            <w:tcW w:w="338" w:type="pct"/>
            <w:vMerge/>
            <w:vAlign w:val="center"/>
          </w:tcPr>
          <w:p w:rsidR="003E1D2A" w:rsidRPr="00687B52" w:rsidRDefault="003E1D2A" w:rsidP="00C76CF3">
            <w:pPr>
              <w:pStyle w:val="a7"/>
              <w:rPr>
                <w:color w:val="000000" w:themeColor="text1"/>
              </w:rPr>
            </w:pPr>
          </w:p>
        </w:tc>
        <w:tc>
          <w:tcPr>
            <w:tcW w:w="2324" w:type="pct"/>
            <w:gridSpan w:val="3"/>
            <w:vAlign w:val="center"/>
          </w:tcPr>
          <w:p w:rsidR="003E1D2A" w:rsidRPr="00687B52" w:rsidRDefault="003E1D2A" w:rsidP="003E1D2A">
            <w:pPr>
              <w:pStyle w:val="af8"/>
              <w:spacing w:before="0" w:beforeAutospacing="0" w:after="0" w:afterAutospacing="0"/>
              <w:rPr>
                <w:rFonts w:asciiTheme="minorEastAsia" w:hAnsiTheme="minorEastAsia" w:cs="Arial"/>
                <w:bCs/>
                <w:color w:val="000000" w:themeColor="text1"/>
                <w:kern w:val="2"/>
              </w:rPr>
            </w:pPr>
            <w:r w:rsidRPr="00687B52">
              <w:rPr>
                <w:rFonts w:asciiTheme="minorEastAsia" w:hAnsiTheme="minorEastAsia" w:cs="Arial" w:hint="eastAsia"/>
                <w:bCs/>
                <w:color w:val="000000" w:themeColor="text1"/>
                <w:kern w:val="2"/>
              </w:rPr>
              <w:t>2）组内储罐的布置不应超过两排。甲、乙类液体立式储罐之间的防火间距不应小于2m，卧式储罐之间的防火间距不应少于0.8m，丙类液体储罐之间的防火间距不限； </w:t>
            </w:r>
          </w:p>
          <w:p w:rsidR="003E1D2A" w:rsidRPr="00687B52" w:rsidRDefault="003E1D2A" w:rsidP="003E1D2A">
            <w:pPr>
              <w:pStyle w:val="af8"/>
              <w:spacing w:before="0" w:beforeAutospacing="0" w:after="0" w:afterAutospacing="0"/>
              <w:rPr>
                <w:color w:val="000000" w:themeColor="text1"/>
                <w:kern w:val="2"/>
                <w:sz w:val="21"/>
                <w:szCs w:val="21"/>
              </w:rPr>
            </w:pPr>
            <w:r w:rsidRPr="00687B52">
              <w:rPr>
                <w:rFonts w:asciiTheme="minorEastAsia" w:hAnsiTheme="minorEastAsia" w:cs="Arial" w:hint="eastAsia"/>
                <w:bCs/>
                <w:color w:val="000000" w:themeColor="text1"/>
                <w:kern w:val="2"/>
              </w:rPr>
              <w:t>3）储罐组之间的防火间距应根据组内储罐的形式和总容量折算为相同类别的标准单罐，按本规范第4.2.2条的规定确定。</w:t>
            </w:r>
          </w:p>
        </w:tc>
        <w:tc>
          <w:tcPr>
            <w:tcW w:w="1059" w:type="pct"/>
            <w:vMerge/>
            <w:vAlign w:val="center"/>
          </w:tcPr>
          <w:p w:rsidR="003E1D2A" w:rsidRPr="00687B52" w:rsidRDefault="003E1D2A" w:rsidP="003E1D2A">
            <w:pPr>
              <w:pStyle w:val="a7"/>
              <w:rPr>
                <w:bCs/>
                <w:color w:val="000000" w:themeColor="text1"/>
              </w:rPr>
            </w:pPr>
          </w:p>
        </w:tc>
        <w:tc>
          <w:tcPr>
            <w:tcW w:w="1279" w:type="pct"/>
            <w:vMerge/>
            <w:vAlign w:val="center"/>
          </w:tcPr>
          <w:p w:rsidR="003E1D2A" w:rsidRPr="00687B52" w:rsidRDefault="003E1D2A" w:rsidP="003E1D2A">
            <w:pPr>
              <w:rPr>
                <w:rFonts w:asciiTheme="minorEastAsia" w:hAnsiTheme="minorEastAsia"/>
                <w:b/>
                <w:bCs/>
                <w:color w:val="000000" w:themeColor="text1"/>
                <w:szCs w:val="24"/>
              </w:rPr>
            </w:pPr>
          </w:p>
        </w:tc>
      </w:tr>
      <w:tr w:rsidR="003E1D2A" w:rsidRPr="00687B52" w:rsidTr="00C76CF3">
        <w:trPr>
          <w:trHeight w:val="149"/>
          <w:jc w:val="center"/>
        </w:trPr>
        <w:tc>
          <w:tcPr>
            <w:tcW w:w="338" w:type="pct"/>
            <w:vAlign w:val="center"/>
          </w:tcPr>
          <w:p w:rsidR="003E1D2A" w:rsidRPr="00687B52" w:rsidRDefault="003E1D2A" w:rsidP="00D10BF6">
            <w:pPr>
              <w:pStyle w:val="a7"/>
              <w:rPr>
                <w:color w:val="000000" w:themeColor="text1"/>
              </w:rPr>
            </w:pPr>
            <w:r w:rsidRPr="00687B52">
              <w:rPr>
                <w:rFonts w:hint="eastAsia"/>
                <w:color w:val="000000" w:themeColor="text1"/>
              </w:rPr>
              <w:t>1.</w:t>
            </w:r>
            <w:r w:rsidR="00D10BF6" w:rsidRPr="00687B52">
              <w:rPr>
                <w:rFonts w:hint="eastAsia"/>
                <w:color w:val="000000" w:themeColor="text1"/>
              </w:rPr>
              <w:t>11</w:t>
            </w:r>
          </w:p>
        </w:tc>
        <w:tc>
          <w:tcPr>
            <w:tcW w:w="2324" w:type="pct"/>
            <w:gridSpan w:val="3"/>
            <w:vAlign w:val="center"/>
          </w:tcPr>
          <w:p w:rsidR="003E1D2A" w:rsidRPr="00687B52" w:rsidRDefault="003E1D2A" w:rsidP="003E1D2A">
            <w:pPr>
              <w:pStyle w:val="af8"/>
              <w:spacing w:before="0" w:beforeAutospacing="0" w:after="0" w:afterAutospacing="0"/>
              <w:rPr>
                <w:rFonts w:asciiTheme="minorEastAsia" w:hAnsiTheme="minorEastAsia" w:cs="Arial"/>
                <w:bCs/>
                <w:color w:val="000000" w:themeColor="text1"/>
                <w:kern w:val="2"/>
              </w:rPr>
            </w:pPr>
            <w:r w:rsidRPr="00687B52">
              <w:rPr>
                <w:rFonts w:asciiTheme="minorEastAsia" w:hAnsiTheme="minorEastAsia" w:cs="Arial" w:hint="eastAsia"/>
                <w:bCs/>
                <w:color w:val="000000" w:themeColor="text1"/>
                <w:kern w:val="2"/>
              </w:rPr>
              <w:t>甲、乙、丙类液体的地上式、半地下式储罐或储罐组，其四周应设置不燃性防火堤。防火堤的设置应符合下列规定： </w:t>
            </w:r>
          </w:p>
          <w:p w:rsidR="003E1D2A" w:rsidRPr="00687B52" w:rsidRDefault="003E1D2A" w:rsidP="003E1D2A">
            <w:pPr>
              <w:pStyle w:val="af8"/>
              <w:spacing w:before="0" w:beforeAutospacing="0" w:after="0" w:afterAutospacing="0"/>
              <w:rPr>
                <w:rFonts w:asciiTheme="minorEastAsia" w:hAnsiTheme="minorEastAsia" w:cs="Arial"/>
                <w:color w:val="000000" w:themeColor="text1"/>
                <w:kern w:val="2"/>
              </w:rPr>
            </w:pPr>
            <w:r w:rsidRPr="00687B52">
              <w:rPr>
                <w:rFonts w:asciiTheme="minorEastAsia" w:hAnsiTheme="minorEastAsia" w:cs="Arial" w:hint="eastAsia"/>
                <w:color w:val="000000" w:themeColor="text1"/>
                <w:kern w:val="2"/>
              </w:rPr>
              <w:t>1）防火堤内的储罐布置不宜超过2排，单罐容量不大于1000m3且闪点大于120℃的液体储罐不宜超过4排； </w:t>
            </w:r>
          </w:p>
          <w:p w:rsidR="003E1D2A" w:rsidRPr="00687B52" w:rsidRDefault="003E1D2A" w:rsidP="003E1D2A">
            <w:pPr>
              <w:pStyle w:val="af8"/>
              <w:spacing w:before="0" w:beforeAutospacing="0" w:after="0" w:afterAutospacing="0"/>
              <w:rPr>
                <w:rFonts w:asciiTheme="minorEastAsia" w:hAnsiTheme="minorEastAsia" w:cs="Arial"/>
                <w:bCs/>
                <w:color w:val="000000" w:themeColor="text1"/>
                <w:kern w:val="2"/>
              </w:rPr>
            </w:pPr>
            <w:r w:rsidRPr="00687B52">
              <w:rPr>
                <w:rFonts w:asciiTheme="minorEastAsia" w:hAnsiTheme="minorEastAsia" w:cs="Arial" w:hint="eastAsia"/>
                <w:color w:val="000000" w:themeColor="text1"/>
                <w:kern w:val="2"/>
              </w:rPr>
              <w:t>2）防火堤的有效容量不应小于其中最大储罐的容量。对于浮顶罐，防火堤的有效容量可为其中最大储罐容量的一半；</w:t>
            </w:r>
            <w:r w:rsidRPr="00687B52">
              <w:rPr>
                <w:rFonts w:asciiTheme="minorEastAsia" w:hAnsiTheme="minorEastAsia" w:cs="Arial" w:hint="eastAsia"/>
                <w:bCs/>
                <w:color w:val="000000" w:themeColor="text1"/>
                <w:kern w:val="2"/>
              </w:rPr>
              <w:t> </w:t>
            </w:r>
          </w:p>
          <w:p w:rsidR="003E1D2A" w:rsidRPr="00687B52" w:rsidRDefault="003E1D2A" w:rsidP="003E1D2A">
            <w:pPr>
              <w:pStyle w:val="af8"/>
              <w:spacing w:before="0" w:beforeAutospacing="0" w:after="0" w:afterAutospacing="0"/>
              <w:rPr>
                <w:rFonts w:asciiTheme="minorEastAsia" w:hAnsiTheme="minorEastAsia" w:cs="Arial"/>
                <w:bCs/>
                <w:color w:val="000000" w:themeColor="text1"/>
                <w:kern w:val="2"/>
              </w:rPr>
            </w:pPr>
            <w:r w:rsidRPr="00687B52">
              <w:rPr>
                <w:rFonts w:asciiTheme="minorEastAsia" w:hAnsiTheme="minorEastAsia" w:cs="Arial" w:hint="eastAsia"/>
                <w:bCs/>
                <w:color w:val="000000" w:themeColor="text1"/>
                <w:kern w:val="2"/>
              </w:rPr>
              <w:t>3）防火堤内侧基脚线至立式储罐罐壁的水平距离不应小于罐壁高度的一半。防火堤内侧基脚线至卧式储罐的水平距离不应小于3m； </w:t>
            </w:r>
          </w:p>
          <w:p w:rsidR="003E1D2A" w:rsidRPr="00687B52" w:rsidRDefault="003E1D2A" w:rsidP="003E1D2A">
            <w:pPr>
              <w:pStyle w:val="af8"/>
              <w:spacing w:before="0" w:beforeAutospacing="0" w:after="0" w:afterAutospacing="0"/>
              <w:rPr>
                <w:rFonts w:asciiTheme="minorEastAsia" w:hAnsiTheme="minorEastAsia" w:cs="Arial"/>
                <w:bCs/>
                <w:color w:val="000000" w:themeColor="text1"/>
                <w:kern w:val="2"/>
              </w:rPr>
            </w:pPr>
            <w:r w:rsidRPr="00687B52">
              <w:rPr>
                <w:rFonts w:asciiTheme="minorEastAsia" w:hAnsiTheme="minorEastAsia" w:cs="Arial" w:hint="eastAsia"/>
                <w:bCs/>
                <w:color w:val="000000" w:themeColor="text1"/>
                <w:kern w:val="2"/>
              </w:rPr>
              <w:t>4）防火堤的设计高度应比计算高度高出0.2m，且应为1.0m~2.0m，在防火堤的适当位置应设置便于灭火救援人员进出防火堤的踏步；</w:t>
            </w:r>
          </w:p>
          <w:p w:rsidR="003E1D2A" w:rsidRPr="00687B52" w:rsidRDefault="003E1D2A" w:rsidP="003E1D2A">
            <w:pPr>
              <w:pStyle w:val="af8"/>
              <w:spacing w:before="0" w:beforeAutospacing="0" w:after="0" w:afterAutospacing="0"/>
              <w:rPr>
                <w:rFonts w:asciiTheme="minorEastAsia" w:hAnsiTheme="minorEastAsia" w:cs="Arial"/>
                <w:bCs/>
                <w:color w:val="000000" w:themeColor="text1"/>
                <w:kern w:val="2"/>
              </w:rPr>
            </w:pPr>
            <w:r w:rsidRPr="00687B52">
              <w:rPr>
                <w:rFonts w:asciiTheme="minorEastAsia" w:hAnsiTheme="minorEastAsia" w:cs="Arial" w:hint="eastAsia"/>
                <w:bCs/>
                <w:color w:val="000000" w:themeColor="text1"/>
                <w:kern w:val="2"/>
              </w:rPr>
              <w:t>5）沸溢性油品的地上式、半地下式储罐，每个储罐均应设置一个防火堤或防火隔堤； 6含油污水排水管应在防火堤的出口处设置水封设施，雨水排水管应设置阀门等封闭、隔离装置。</w:t>
            </w:r>
          </w:p>
        </w:tc>
        <w:tc>
          <w:tcPr>
            <w:tcW w:w="1059" w:type="pct"/>
            <w:vAlign w:val="center"/>
          </w:tcPr>
          <w:p w:rsidR="003E1D2A" w:rsidRPr="00687B52" w:rsidRDefault="003E1D2A" w:rsidP="003E1D2A">
            <w:pPr>
              <w:pStyle w:val="a7"/>
              <w:rPr>
                <w:bCs/>
                <w:color w:val="000000" w:themeColor="text1"/>
              </w:rPr>
            </w:pPr>
            <w:r w:rsidRPr="00687B52">
              <w:rPr>
                <w:rFonts w:hint="eastAsia"/>
                <w:bCs/>
                <w:color w:val="000000" w:themeColor="text1"/>
              </w:rPr>
              <w:t>《建筑设计防火规范》</w:t>
            </w:r>
            <w:r w:rsidRPr="00687B52">
              <w:rPr>
                <w:rFonts w:hint="eastAsia"/>
                <w:bCs/>
                <w:color w:val="000000" w:themeColor="text1"/>
              </w:rPr>
              <w:t>GB50016-2014</w:t>
            </w:r>
            <w:r w:rsidRPr="00687B52">
              <w:rPr>
                <w:rFonts w:hint="eastAsia"/>
                <w:bCs/>
                <w:color w:val="000000" w:themeColor="text1"/>
              </w:rPr>
              <w:t>第</w:t>
            </w:r>
            <w:r w:rsidRPr="00687B52">
              <w:rPr>
                <w:rFonts w:hint="eastAsia"/>
                <w:bCs/>
                <w:color w:val="000000" w:themeColor="text1"/>
              </w:rPr>
              <w:t>4.2.5</w:t>
            </w:r>
            <w:r w:rsidRPr="00687B52">
              <w:rPr>
                <w:rFonts w:hint="eastAsia"/>
                <w:bCs/>
                <w:color w:val="000000" w:themeColor="text1"/>
              </w:rPr>
              <w:t>条</w:t>
            </w:r>
          </w:p>
        </w:tc>
        <w:tc>
          <w:tcPr>
            <w:tcW w:w="1279" w:type="pct"/>
            <w:vAlign w:val="center"/>
          </w:tcPr>
          <w:p w:rsidR="003E1D2A" w:rsidRPr="00687B52" w:rsidRDefault="003E1D2A" w:rsidP="003E1D2A">
            <w:pPr>
              <w:rPr>
                <w:rFonts w:asciiTheme="minorEastAsia" w:hAnsiTheme="minorEastAsia"/>
                <w:b/>
                <w:bCs/>
                <w:color w:val="000000" w:themeColor="text1"/>
                <w:szCs w:val="24"/>
              </w:rPr>
            </w:pPr>
          </w:p>
        </w:tc>
      </w:tr>
      <w:tr w:rsidR="003E1D2A" w:rsidRPr="00687B52" w:rsidTr="00C76CF3">
        <w:trPr>
          <w:jc w:val="center"/>
        </w:trPr>
        <w:tc>
          <w:tcPr>
            <w:tcW w:w="338" w:type="pct"/>
            <w:vAlign w:val="center"/>
          </w:tcPr>
          <w:p w:rsidR="003E1D2A" w:rsidRPr="00687B52" w:rsidRDefault="003E1D2A" w:rsidP="00D10BF6">
            <w:pPr>
              <w:pStyle w:val="a7"/>
              <w:rPr>
                <w:color w:val="000000" w:themeColor="text1"/>
              </w:rPr>
            </w:pPr>
            <w:r w:rsidRPr="00687B52">
              <w:rPr>
                <w:rFonts w:hint="eastAsia"/>
                <w:color w:val="000000" w:themeColor="text1"/>
              </w:rPr>
              <w:t>1.1</w:t>
            </w:r>
            <w:r w:rsidR="00D10BF6" w:rsidRPr="00687B52">
              <w:rPr>
                <w:rFonts w:hint="eastAsia"/>
                <w:color w:val="000000" w:themeColor="text1"/>
              </w:rPr>
              <w:t>2</w:t>
            </w:r>
          </w:p>
        </w:tc>
        <w:tc>
          <w:tcPr>
            <w:tcW w:w="2324" w:type="pct"/>
            <w:gridSpan w:val="3"/>
            <w:vAlign w:val="center"/>
          </w:tcPr>
          <w:p w:rsidR="003E1D2A" w:rsidRPr="00687B52" w:rsidRDefault="003E1D2A" w:rsidP="003E1D2A">
            <w:pPr>
              <w:pStyle w:val="af8"/>
              <w:spacing w:before="0" w:beforeAutospacing="0" w:after="0" w:afterAutospacing="0"/>
              <w:rPr>
                <w:rFonts w:asciiTheme="minorEastAsia" w:hAnsiTheme="minorEastAsia" w:cs="Arial"/>
                <w:color w:val="000000" w:themeColor="text1"/>
                <w:kern w:val="2"/>
              </w:rPr>
            </w:pPr>
            <w:r w:rsidRPr="00687B52">
              <w:rPr>
                <w:rFonts w:asciiTheme="minorEastAsia" w:hAnsiTheme="minorEastAsia" w:cs="Arial" w:hint="eastAsia"/>
                <w:color w:val="000000" w:themeColor="text1"/>
                <w:kern w:val="2"/>
              </w:rPr>
              <w:t>甲、乙、丙类液体储罐与其泵房、装卸鹤管的防火间距不应小于表4.2.7的规定。</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《建筑设计防火规范》</w:t>
            </w:r>
            <w:r w:rsidRPr="00687B52">
              <w:rPr>
                <w:rFonts w:hint="eastAsia"/>
                <w:color w:val="000000" w:themeColor="text1"/>
              </w:rPr>
              <w:t>GB50016-2014</w:t>
            </w:r>
            <w:r w:rsidRPr="00687B52">
              <w:rPr>
                <w:rFonts w:hint="eastAsia"/>
                <w:color w:val="000000" w:themeColor="text1"/>
              </w:rPr>
              <w:t>第</w:t>
            </w:r>
            <w:r w:rsidRPr="00687B52">
              <w:rPr>
                <w:rFonts w:hint="eastAsia"/>
                <w:color w:val="000000" w:themeColor="text1"/>
              </w:rPr>
              <w:t>4.2.7</w:t>
            </w:r>
            <w:r w:rsidRPr="00687B52">
              <w:rPr>
                <w:rFonts w:hint="eastAsia"/>
                <w:color w:val="000000" w:themeColor="text1"/>
              </w:rPr>
              <w:t>条</w:t>
            </w:r>
          </w:p>
        </w:tc>
        <w:tc>
          <w:tcPr>
            <w:tcW w:w="1279" w:type="pct"/>
            <w:vAlign w:val="center"/>
          </w:tcPr>
          <w:p w:rsidR="003E1D2A" w:rsidRPr="00687B52" w:rsidRDefault="003E1D2A" w:rsidP="003E1D2A">
            <w:pPr>
              <w:rPr>
                <w:rFonts w:ascii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D10BF6">
            <w:pPr>
              <w:pStyle w:val="a7"/>
              <w:rPr>
                <w:color w:val="000000" w:themeColor="text1"/>
              </w:rPr>
            </w:pPr>
            <w:r w:rsidRPr="00687B52">
              <w:rPr>
                <w:rFonts w:hint="eastAsia"/>
                <w:color w:val="000000" w:themeColor="text1"/>
              </w:rPr>
              <w:t>1.1</w:t>
            </w:r>
            <w:r w:rsidR="00D10BF6" w:rsidRPr="00687B52">
              <w:rPr>
                <w:rFonts w:hint="eastAsia"/>
                <w:color w:val="000000" w:themeColor="text1"/>
              </w:rPr>
              <w:t>3</w:t>
            </w:r>
          </w:p>
        </w:tc>
        <w:tc>
          <w:tcPr>
            <w:tcW w:w="2324" w:type="pct"/>
            <w:gridSpan w:val="3"/>
            <w:vAlign w:val="center"/>
          </w:tcPr>
          <w:p w:rsidR="003E1D2A" w:rsidRPr="00687B52" w:rsidRDefault="003E1D2A" w:rsidP="003E1D2A">
            <w:pPr>
              <w:pStyle w:val="af8"/>
              <w:spacing w:before="0" w:beforeAutospacing="0" w:after="0" w:afterAutospacing="0"/>
              <w:rPr>
                <w:rFonts w:asciiTheme="minorEastAsia" w:hAnsiTheme="minorEastAsia" w:cs="Arial"/>
                <w:color w:val="000000" w:themeColor="text1"/>
                <w:kern w:val="2"/>
              </w:rPr>
            </w:pPr>
            <w:r w:rsidRPr="00687B52">
              <w:rPr>
                <w:rFonts w:asciiTheme="minorEastAsia" w:hAnsiTheme="minorEastAsia" w:cs="Arial" w:hint="eastAsia"/>
                <w:color w:val="000000" w:themeColor="text1"/>
                <w:kern w:val="2"/>
              </w:rPr>
              <w:t>甲、乙、丙类液体装卸鹤管与建筑物、厂内铁路线的防火间距不应小于表4.2.8的规定。</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《建筑设计防火规范》</w:t>
            </w:r>
            <w:r w:rsidRPr="00687B52">
              <w:rPr>
                <w:rFonts w:hint="eastAsia"/>
                <w:color w:val="000000" w:themeColor="text1"/>
              </w:rPr>
              <w:t>GB50016-2014</w:t>
            </w:r>
            <w:r w:rsidRPr="00687B52">
              <w:rPr>
                <w:rFonts w:hint="eastAsia"/>
                <w:color w:val="000000" w:themeColor="text1"/>
              </w:rPr>
              <w:t>第</w:t>
            </w:r>
            <w:r w:rsidRPr="00687B52">
              <w:rPr>
                <w:rFonts w:hint="eastAsia"/>
                <w:color w:val="000000" w:themeColor="text1"/>
              </w:rPr>
              <w:t>4.2.8</w:t>
            </w:r>
            <w:r w:rsidRPr="00687B52">
              <w:rPr>
                <w:rFonts w:hint="eastAsia"/>
                <w:color w:val="000000" w:themeColor="text1"/>
              </w:rPr>
              <w:t>条</w:t>
            </w:r>
          </w:p>
        </w:tc>
        <w:tc>
          <w:tcPr>
            <w:tcW w:w="1279" w:type="pct"/>
            <w:vAlign w:val="center"/>
          </w:tcPr>
          <w:p w:rsidR="003E1D2A" w:rsidRPr="00687B52" w:rsidRDefault="003E1D2A" w:rsidP="003E1D2A">
            <w:pPr>
              <w:rPr>
                <w:rFonts w:ascii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D10BF6">
            <w:pPr>
              <w:pStyle w:val="a7"/>
              <w:rPr>
                <w:color w:val="000000" w:themeColor="text1"/>
              </w:rPr>
            </w:pPr>
            <w:r w:rsidRPr="00687B52">
              <w:rPr>
                <w:rFonts w:hint="eastAsia"/>
                <w:color w:val="000000" w:themeColor="text1"/>
              </w:rPr>
              <w:t>1.1</w:t>
            </w:r>
            <w:r w:rsidR="00D10BF6" w:rsidRPr="00687B52">
              <w:rPr>
                <w:rFonts w:hint="eastAsia"/>
                <w:color w:val="000000" w:themeColor="text1"/>
              </w:rPr>
              <w:t>4</w:t>
            </w:r>
          </w:p>
        </w:tc>
        <w:tc>
          <w:tcPr>
            <w:tcW w:w="2324" w:type="pct"/>
            <w:gridSpan w:val="3"/>
            <w:vAlign w:val="center"/>
          </w:tcPr>
          <w:p w:rsidR="003E1D2A" w:rsidRPr="00687B52" w:rsidRDefault="003E1D2A" w:rsidP="003E1D2A">
            <w:pPr>
              <w:pStyle w:val="af8"/>
              <w:spacing w:before="0" w:beforeAutospacing="0" w:after="0" w:afterAutospacing="0"/>
              <w:rPr>
                <w:rFonts w:asciiTheme="minorEastAsia" w:hAnsiTheme="minorEastAsia" w:cs="Arial"/>
                <w:color w:val="000000" w:themeColor="text1"/>
                <w:kern w:val="2"/>
              </w:rPr>
            </w:pPr>
            <w:r w:rsidRPr="00687B52">
              <w:rPr>
                <w:rFonts w:asciiTheme="minorEastAsia" w:hAnsiTheme="minorEastAsia" w:cs="Arial" w:hint="eastAsia"/>
                <w:color w:val="000000" w:themeColor="text1"/>
                <w:kern w:val="2"/>
              </w:rPr>
              <w:t>甲、乙、丙类液体储罐与铁路、道路的防火间距不应小于表4.2.9的规定。</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《建筑设计防火规范》</w:t>
            </w:r>
            <w:r w:rsidRPr="00687B52">
              <w:rPr>
                <w:rFonts w:hint="eastAsia"/>
                <w:color w:val="000000" w:themeColor="text1"/>
              </w:rPr>
              <w:t>GB50016-2014</w:t>
            </w:r>
            <w:r w:rsidRPr="00687B52">
              <w:rPr>
                <w:rFonts w:hint="eastAsia"/>
                <w:color w:val="000000" w:themeColor="text1"/>
              </w:rPr>
              <w:t>第</w:t>
            </w:r>
            <w:r w:rsidRPr="00687B52">
              <w:rPr>
                <w:rFonts w:hint="eastAsia"/>
                <w:color w:val="000000" w:themeColor="text1"/>
              </w:rPr>
              <w:t>4.2.9</w:t>
            </w:r>
            <w:r w:rsidRPr="00687B52">
              <w:rPr>
                <w:rFonts w:hint="eastAsia"/>
                <w:color w:val="000000" w:themeColor="text1"/>
              </w:rPr>
              <w:t>条</w:t>
            </w:r>
          </w:p>
        </w:tc>
        <w:tc>
          <w:tcPr>
            <w:tcW w:w="1279" w:type="pct"/>
            <w:vAlign w:val="center"/>
          </w:tcPr>
          <w:p w:rsidR="003E1D2A" w:rsidRPr="00687B52" w:rsidRDefault="003E1D2A" w:rsidP="003E1D2A">
            <w:pPr>
              <w:rPr>
                <w:rFonts w:ascii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D10BF6">
            <w:pPr>
              <w:pStyle w:val="a7"/>
              <w:rPr>
                <w:color w:val="000000" w:themeColor="text1"/>
              </w:rPr>
            </w:pPr>
            <w:r w:rsidRPr="00687B52">
              <w:rPr>
                <w:rFonts w:hint="eastAsia"/>
                <w:color w:val="000000" w:themeColor="text1"/>
              </w:rPr>
              <w:t>1.1</w:t>
            </w:r>
            <w:r w:rsidR="00D10BF6" w:rsidRPr="00687B52">
              <w:rPr>
                <w:rFonts w:hint="eastAsia"/>
                <w:color w:val="000000" w:themeColor="text1"/>
              </w:rPr>
              <w:t>5</w:t>
            </w:r>
          </w:p>
        </w:tc>
        <w:tc>
          <w:tcPr>
            <w:tcW w:w="2324" w:type="pct"/>
            <w:gridSpan w:val="3"/>
            <w:vAlign w:val="center"/>
          </w:tcPr>
          <w:p w:rsidR="003E1D2A" w:rsidRPr="00687B52" w:rsidRDefault="003E1D2A" w:rsidP="003E1D2A">
            <w:pPr>
              <w:pStyle w:val="af8"/>
              <w:spacing w:before="0" w:beforeAutospacing="0" w:after="0" w:afterAutospacing="0"/>
              <w:rPr>
                <w:rFonts w:asciiTheme="minorEastAsia" w:hAnsiTheme="minorEastAsia" w:cs="Arial"/>
                <w:color w:val="000000" w:themeColor="text1"/>
                <w:kern w:val="2"/>
              </w:rPr>
            </w:pPr>
            <w:r w:rsidRPr="00687B52">
              <w:rPr>
                <w:rFonts w:asciiTheme="minorEastAsia" w:hAnsiTheme="minorEastAsia" w:cs="Arial" w:hint="eastAsia"/>
                <w:color w:val="000000" w:themeColor="text1"/>
                <w:kern w:val="2"/>
              </w:rPr>
              <w:t>零位罐与所属铁路装卸线的距离不应小于6m。</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《建筑设计防火规范》</w:t>
            </w:r>
            <w:r w:rsidRPr="00687B52">
              <w:rPr>
                <w:rFonts w:hint="eastAsia"/>
                <w:color w:val="000000" w:themeColor="text1"/>
              </w:rPr>
              <w:t>GB50016-2014</w:t>
            </w:r>
            <w:r w:rsidRPr="00687B52">
              <w:rPr>
                <w:rFonts w:hint="eastAsia"/>
                <w:color w:val="000000" w:themeColor="text1"/>
              </w:rPr>
              <w:t>第</w:t>
            </w:r>
            <w:r w:rsidRPr="00687B52">
              <w:rPr>
                <w:rFonts w:hint="eastAsia"/>
                <w:color w:val="000000" w:themeColor="text1"/>
              </w:rPr>
              <w:t>4.2.10</w:t>
            </w:r>
            <w:r w:rsidRPr="00687B52">
              <w:rPr>
                <w:rFonts w:hint="eastAsia"/>
                <w:color w:val="000000" w:themeColor="text1"/>
              </w:rPr>
              <w:t>条</w:t>
            </w:r>
          </w:p>
        </w:tc>
        <w:tc>
          <w:tcPr>
            <w:tcW w:w="1279" w:type="pct"/>
            <w:vAlign w:val="center"/>
          </w:tcPr>
          <w:p w:rsidR="003E1D2A" w:rsidRPr="00687B52" w:rsidRDefault="003E1D2A" w:rsidP="003E1D2A">
            <w:pPr>
              <w:rPr>
                <w:rFonts w:ascii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D10BF6">
            <w:pPr>
              <w:pStyle w:val="a7"/>
              <w:rPr>
                <w:color w:val="000000" w:themeColor="text1"/>
              </w:rPr>
            </w:pPr>
            <w:r w:rsidRPr="00687B52">
              <w:rPr>
                <w:rFonts w:hint="eastAsia"/>
                <w:color w:val="000000" w:themeColor="text1"/>
              </w:rPr>
              <w:t>1.</w:t>
            </w:r>
            <w:r w:rsidR="00D10BF6" w:rsidRPr="00687B52">
              <w:rPr>
                <w:rFonts w:hint="eastAsia"/>
                <w:color w:val="000000" w:themeColor="text1"/>
              </w:rPr>
              <w:t>16</w:t>
            </w:r>
          </w:p>
        </w:tc>
        <w:tc>
          <w:tcPr>
            <w:tcW w:w="2324" w:type="pct"/>
            <w:gridSpan w:val="3"/>
            <w:vAlign w:val="center"/>
          </w:tcPr>
          <w:p w:rsidR="003E1D2A" w:rsidRPr="00687B52" w:rsidRDefault="003E1D2A" w:rsidP="003E1D2A">
            <w:pPr>
              <w:pStyle w:val="af8"/>
              <w:spacing w:before="0" w:beforeAutospacing="0" w:after="0" w:afterAutospacing="0"/>
              <w:rPr>
                <w:rFonts w:asciiTheme="minorEastAsia" w:hAnsiTheme="minorEastAsia" w:cs="Arial"/>
                <w:color w:val="000000" w:themeColor="text1"/>
                <w:kern w:val="2"/>
              </w:rPr>
            </w:pPr>
            <w:r w:rsidRPr="00687B52">
              <w:rPr>
                <w:rFonts w:asciiTheme="minorEastAsia" w:hAnsiTheme="minorEastAsia" w:cs="Arial" w:hint="eastAsia"/>
                <w:color w:val="000000" w:themeColor="text1"/>
                <w:kern w:val="2"/>
              </w:rPr>
              <w:t>可能散发可燃气体的工艺装置、罐组、装卸区或全厂性污水处理场等设施宜布置在人员集中场所及明火或散发火花地点的全年最小频率风向的上风侧。</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《石油化工企业设计防火规范》</w:t>
            </w:r>
            <w:r w:rsidRPr="00687B52">
              <w:rPr>
                <w:rFonts w:hint="eastAsia"/>
                <w:color w:val="000000" w:themeColor="text1"/>
              </w:rPr>
              <w:t>GB50160-2008</w:t>
            </w:r>
            <w:r w:rsidRPr="00687B52">
              <w:rPr>
                <w:rFonts w:hint="eastAsia"/>
                <w:color w:val="000000" w:themeColor="text1"/>
              </w:rPr>
              <w:t>第</w:t>
            </w:r>
            <w:r w:rsidRPr="00687B52">
              <w:rPr>
                <w:rFonts w:hint="eastAsia"/>
                <w:color w:val="000000" w:themeColor="text1"/>
              </w:rPr>
              <w:t>4.2.2</w:t>
            </w:r>
            <w:r w:rsidRPr="00687B52">
              <w:rPr>
                <w:rFonts w:hint="eastAsia"/>
                <w:color w:val="000000" w:themeColor="text1"/>
              </w:rPr>
              <w:t>条</w:t>
            </w:r>
          </w:p>
        </w:tc>
        <w:tc>
          <w:tcPr>
            <w:tcW w:w="1279" w:type="pct"/>
            <w:vAlign w:val="center"/>
          </w:tcPr>
          <w:p w:rsidR="003E1D2A" w:rsidRPr="00687B52" w:rsidRDefault="003E1D2A" w:rsidP="003E1D2A">
            <w:pPr>
              <w:rPr>
                <w:rFonts w:ascii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D10BF6">
            <w:pPr>
              <w:pStyle w:val="a7"/>
              <w:rPr>
                <w:color w:val="000000" w:themeColor="text1"/>
              </w:rPr>
            </w:pPr>
            <w:r w:rsidRPr="00687B52">
              <w:rPr>
                <w:rFonts w:hint="eastAsia"/>
                <w:color w:val="000000" w:themeColor="text1"/>
              </w:rPr>
              <w:t>1.</w:t>
            </w:r>
            <w:r w:rsidR="00D10BF6" w:rsidRPr="00687B52">
              <w:rPr>
                <w:rFonts w:hint="eastAsia"/>
                <w:color w:val="000000" w:themeColor="text1"/>
              </w:rPr>
              <w:t>17</w:t>
            </w:r>
          </w:p>
        </w:tc>
        <w:tc>
          <w:tcPr>
            <w:tcW w:w="2324" w:type="pct"/>
            <w:gridSpan w:val="3"/>
            <w:vAlign w:val="center"/>
          </w:tcPr>
          <w:p w:rsidR="003E1D2A" w:rsidRPr="00687B52" w:rsidRDefault="003E1D2A" w:rsidP="003E1D2A">
            <w:pPr>
              <w:pStyle w:val="af8"/>
              <w:spacing w:before="0" w:beforeAutospacing="0" w:after="0" w:afterAutospacing="0"/>
              <w:rPr>
                <w:rFonts w:asciiTheme="minorEastAsia" w:hAnsiTheme="minorEastAsia" w:cs="Arial"/>
                <w:color w:val="000000" w:themeColor="text1"/>
                <w:kern w:val="2"/>
              </w:rPr>
            </w:pPr>
            <w:r w:rsidRPr="00687B52">
              <w:rPr>
                <w:rFonts w:asciiTheme="minorEastAsia" w:hAnsiTheme="minorEastAsia" w:cs="Arial" w:hint="eastAsia"/>
                <w:color w:val="000000" w:themeColor="text1"/>
                <w:kern w:val="2"/>
              </w:rPr>
              <w:t>两排卧罐的间距不应小于3m。</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《石油化工企业设计防火规范》</w:t>
            </w:r>
            <w:r w:rsidRPr="00687B52">
              <w:rPr>
                <w:rFonts w:hint="eastAsia"/>
                <w:color w:val="000000" w:themeColor="text1"/>
              </w:rPr>
              <w:t>GB50160-2008</w:t>
            </w:r>
            <w:r w:rsidRPr="00687B52">
              <w:rPr>
                <w:rFonts w:hint="eastAsia"/>
                <w:color w:val="000000" w:themeColor="text1"/>
              </w:rPr>
              <w:t>第</w:t>
            </w:r>
            <w:r w:rsidRPr="00687B52">
              <w:rPr>
                <w:rFonts w:hint="eastAsia"/>
                <w:color w:val="000000" w:themeColor="text1"/>
              </w:rPr>
              <w:t>6.3.4</w:t>
            </w:r>
            <w:r w:rsidRPr="00687B52">
              <w:rPr>
                <w:rFonts w:hint="eastAsia"/>
                <w:color w:val="000000" w:themeColor="text1"/>
              </w:rPr>
              <w:t>条</w:t>
            </w:r>
          </w:p>
        </w:tc>
        <w:tc>
          <w:tcPr>
            <w:tcW w:w="1279" w:type="pct"/>
            <w:vAlign w:val="center"/>
          </w:tcPr>
          <w:p w:rsidR="003E1D2A" w:rsidRPr="00687B52" w:rsidRDefault="003E1D2A" w:rsidP="003E1D2A">
            <w:pPr>
              <w:rPr>
                <w:rFonts w:ascii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4B5104">
            <w:pPr>
              <w:pStyle w:val="a7"/>
              <w:rPr>
                <w:color w:val="000000" w:themeColor="text1"/>
              </w:rPr>
            </w:pPr>
            <w:r w:rsidRPr="00687B52">
              <w:rPr>
                <w:rFonts w:hint="eastAsia"/>
                <w:color w:val="000000" w:themeColor="text1"/>
              </w:rPr>
              <w:t>1.</w:t>
            </w:r>
            <w:r w:rsidR="004B5104" w:rsidRPr="00687B52">
              <w:rPr>
                <w:rFonts w:hint="eastAsia"/>
                <w:color w:val="000000" w:themeColor="text1"/>
              </w:rPr>
              <w:t>18</w:t>
            </w:r>
          </w:p>
        </w:tc>
        <w:tc>
          <w:tcPr>
            <w:tcW w:w="2324" w:type="pct"/>
            <w:gridSpan w:val="3"/>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罐组内相邻可燃液体地上储罐的防火间距不应小于表6.2.8的规定。</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《石油化工企业设计防火规范》</w:t>
            </w:r>
            <w:r w:rsidRPr="00687B52">
              <w:rPr>
                <w:rFonts w:hint="eastAsia"/>
                <w:color w:val="000000" w:themeColor="text1"/>
              </w:rPr>
              <w:t>GB50160-2008</w:t>
            </w:r>
            <w:r w:rsidRPr="00687B52">
              <w:rPr>
                <w:rFonts w:hint="eastAsia"/>
                <w:color w:val="000000" w:themeColor="text1"/>
              </w:rPr>
              <w:t>第</w:t>
            </w:r>
            <w:r w:rsidRPr="00687B52">
              <w:rPr>
                <w:rFonts w:hint="eastAsia"/>
                <w:color w:val="000000" w:themeColor="text1"/>
              </w:rPr>
              <w:t>6.2.7</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4B5104">
            <w:pPr>
              <w:pStyle w:val="a7"/>
              <w:rPr>
                <w:color w:val="000000" w:themeColor="text1"/>
              </w:rPr>
            </w:pPr>
            <w:r w:rsidRPr="00687B52">
              <w:rPr>
                <w:rFonts w:hint="eastAsia"/>
                <w:color w:val="000000" w:themeColor="text1"/>
              </w:rPr>
              <w:t>1.</w:t>
            </w:r>
            <w:r w:rsidR="004B5104" w:rsidRPr="00687B52">
              <w:rPr>
                <w:rFonts w:hint="eastAsia"/>
                <w:color w:val="000000" w:themeColor="text1"/>
              </w:rPr>
              <w:t>19</w:t>
            </w:r>
          </w:p>
        </w:tc>
        <w:tc>
          <w:tcPr>
            <w:tcW w:w="2324" w:type="pct"/>
            <w:gridSpan w:val="3"/>
            <w:vAlign w:val="center"/>
          </w:tcPr>
          <w:p w:rsidR="003E1D2A" w:rsidRPr="00687B52" w:rsidRDefault="003E1D2A" w:rsidP="003E1D2A">
            <w:pPr>
              <w:pStyle w:val="a7"/>
              <w:jc w:val="left"/>
              <w:rPr>
                <w:rFonts w:ascii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罐组内的储罐不应超过两排；但单罐容积小于或等于1000m</w:t>
            </w:r>
            <w:r w:rsidRPr="00687B52">
              <w:rPr>
                <w:rFonts w:asciiTheme="minorEastAsia" w:eastAsiaTheme="minorEastAsia" w:hAnsiTheme="minorEastAsia" w:hint="eastAsia"/>
                <w:color w:val="000000" w:themeColor="text1"/>
                <w:szCs w:val="24"/>
                <w:vertAlign w:val="superscript"/>
              </w:rPr>
              <w:t>3</w:t>
            </w:r>
            <w:r w:rsidRPr="00687B52">
              <w:rPr>
                <w:rFonts w:asciiTheme="minorEastAsia" w:eastAsiaTheme="minorEastAsia" w:hAnsiTheme="minorEastAsia" w:hint="eastAsia"/>
                <w:color w:val="000000" w:themeColor="text1"/>
                <w:szCs w:val="24"/>
              </w:rPr>
              <w:t>的丙B类的储罐不应超过4排，其中润滑油罐的单罐容积和排数不限。</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《石油化工企业设计防火规范》</w:t>
            </w:r>
            <w:r w:rsidRPr="00687B52">
              <w:rPr>
                <w:rFonts w:hint="eastAsia"/>
                <w:color w:val="000000" w:themeColor="text1"/>
              </w:rPr>
              <w:t>GB50160-2008</w:t>
            </w:r>
            <w:r w:rsidRPr="00687B52">
              <w:rPr>
                <w:rFonts w:hint="eastAsia"/>
                <w:color w:val="000000" w:themeColor="text1"/>
              </w:rPr>
              <w:t>第</w:t>
            </w:r>
            <w:r w:rsidRPr="00687B52">
              <w:rPr>
                <w:rFonts w:hint="eastAsia"/>
                <w:color w:val="000000" w:themeColor="text1"/>
              </w:rPr>
              <w:t>6.2.9</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4B5104">
            <w:pPr>
              <w:pStyle w:val="a7"/>
              <w:rPr>
                <w:color w:val="000000" w:themeColor="text1"/>
              </w:rPr>
            </w:pPr>
            <w:r w:rsidRPr="00687B52">
              <w:rPr>
                <w:rFonts w:hint="eastAsia"/>
                <w:color w:val="000000" w:themeColor="text1"/>
              </w:rPr>
              <w:t>1.2</w:t>
            </w:r>
            <w:r w:rsidR="004B5104" w:rsidRPr="00687B52">
              <w:rPr>
                <w:rFonts w:hint="eastAsia"/>
                <w:color w:val="000000" w:themeColor="text1"/>
              </w:rPr>
              <w:t>0</w:t>
            </w:r>
          </w:p>
        </w:tc>
        <w:tc>
          <w:tcPr>
            <w:tcW w:w="2324" w:type="pct"/>
            <w:gridSpan w:val="3"/>
            <w:vAlign w:val="center"/>
          </w:tcPr>
          <w:p w:rsidR="003E1D2A" w:rsidRPr="00687B52" w:rsidRDefault="003E1D2A" w:rsidP="003E1D2A">
            <w:pPr>
              <w:pStyle w:val="a7"/>
              <w:jc w:val="left"/>
              <w:rPr>
                <w:rFonts w:ascii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两排立式储罐的间距应符合表6.2.8的规定，且不应小于5m；两排直径小于5m的立式储罐及卧式储罐的间距不应小于3m。</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《石油化工企业设计防火规范》</w:t>
            </w:r>
            <w:r w:rsidRPr="00687B52">
              <w:rPr>
                <w:rFonts w:hint="eastAsia"/>
                <w:color w:val="000000" w:themeColor="text1"/>
              </w:rPr>
              <w:t>GB50160-2008</w:t>
            </w:r>
            <w:r w:rsidRPr="00687B52">
              <w:rPr>
                <w:rFonts w:hint="eastAsia"/>
                <w:color w:val="000000" w:themeColor="text1"/>
              </w:rPr>
              <w:t>第</w:t>
            </w:r>
            <w:r w:rsidRPr="00687B52">
              <w:rPr>
                <w:rFonts w:hint="eastAsia"/>
                <w:color w:val="000000" w:themeColor="text1"/>
              </w:rPr>
              <w:t>6.2.10</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4B5104">
            <w:pPr>
              <w:pStyle w:val="a7"/>
              <w:rPr>
                <w:color w:val="000000" w:themeColor="text1"/>
              </w:rPr>
            </w:pPr>
            <w:r w:rsidRPr="00687B52">
              <w:rPr>
                <w:rFonts w:hint="eastAsia"/>
                <w:color w:val="000000" w:themeColor="text1"/>
              </w:rPr>
              <w:t>1.</w:t>
            </w:r>
            <w:r w:rsidR="004B5104" w:rsidRPr="00687B52">
              <w:rPr>
                <w:rFonts w:hint="eastAsia"/>
                <w:color w:val="000000" w:themeColor="text1"/>
              </w:rPr>
              <w:t>21</w:t>
            </w:r>
          </w:p>
        </w:tc>
        <w:tc>
          <w:tcPr>
            <w:tcW w:w="2324" w:type="pct"/>
            <w:gridSpan w:val="3"/>
            <w:vAlign w:val="center"/>
          </w:tcPr>
          <w:p w:rsidR="003E1D2A" w:rsidRPr="00687B52" w:rsidRDefault="003E1D2A" w:rsidP="003E1D2A">
            <w:pPr>
              <w:pStyle w:val="a7"/>
              <w:jc w:val="left"/>
              <w:rPr>
                <w:rFonts w:ascii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罐组应设防火堤。</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《石油化工企业设计防火规范》</w:t>
            </w:r>
            <w:r w:rsidRPr="00687B52">
              <w:rPr>
                <w:rFonts w:hint="eastAsia"/>
                <w:color w:val="000000" w:themeColor="text1"/>
              </w:rPr>
              <w:t>GB50160-2008</w:t>
            </w:r>
            <w:r w:rsidRPr="00687B52">
              <w:rPr>
                <w:rFonts w:hint="eastAsia"/>
                <w:color w:val="000000" w:themeColor="text1"/>
              </w:rPr>
              <w:t>第</w:t>
            </w:r>
            <w:r w:rsidRPr="00687B52">
              <w:rPr>
                <w:rFonts w:hint="eastAsia"/>
                <w:color w:val="000000" w:themeColor="text1"/>
              </w:rPr>
              <w:t>6.2.11</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4B5104">
            <w:pPr>
              <w:pStyle w:val="a7"/>
              <w:rPr>
                <w:color w:val="000000" w:themeColor="text1"/>
              </w:rPr>
            </w:pPr>
            <w:r w:rsidRPr="00687B52">
              <w:rPr>
                <w:rFonts w:hint="eastAsia"/>
                <w:color w:val="000000" w:themeColor="text1"/>
              </w:rPr>
              <w:t>1.</w:t>
            </w:r>
            <w:r w:rsidR="004B5104" w:rsidRPr="00687B52">
              <w:rPr>
                <w:rFonts w:hint="eastAsia"/>
                <w:color w:val="000000" w:themeColor="text1"/>
              </w:rPr>
              <w:t>22</w:t>
            </w:r>
          </w:p>
        </w:tc>
        <w:tc>
          <w:tcPr>
            <w:tcW w:w="2324" w:type="pct"/>
            <w:gridSpan w:val="3"/>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防火堤及隔堤内的有效容积应符合下列规定：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1防火堤内的有效容积不应小于罐组内1个最大储罐的容积，当浮顶、内浮顶罐组不能满足此要求时，应设置事故存液池储存剩余部分，但罐组防火堤内的有效容积不应小于罐组内1个最大储罐容积的一半； </w:t>
            </w:r>
          </w:p>
          <w:p w:rsidR="003E1D2A" w:rsidRPr="00687B52" w:rsidRDefault="003E1D2A" w:rsidP="003E1D2A">
            <w:pPr>
              <w:pStyle w:val="a7"/>
              <w:jc w:val="left"/>
              <w:rPr>
                <w:rFonts w:ascii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2隔堤内有效容积不应小于隔堤内1个最大储罐容积的10%。</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《石油化工企业设计防火规范》</w:t>
            </w:r>
            <w:r w:rsidRPr="00687B52">
              <w:rPr>
                <w:rFonts w:hint="eastAsia"/>
                <w:color w:val="000000" w:themeColor="text1"/>
              </w:rPr>
              <w:t>GB50160-2008</w:t>
            </w:r>
            <w:r w:rsidRPr="00687B52">
              <w:rPr>
                <w:rFonts w:hint="eastAsia"/>
                <w:color w:val="000000" w:themeColor="text1"/>
              </w:rPr>
              <w:t>第</w:t>
            </w:r>
            <w:r w:rsidRPr="00687B52">
              <w:rPr>
                <w:rFonts w:hint="eastAsia"/>
                <w:color w:val="000000" w:themeColor="text1"/>
              </w:rPr>
              <w:t>6.2.12</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4B5104">
            <w:pPr>
              <w:pStyle w:val="a7"/>
              <w:rPr>
                <w:color w:val="000000" w:themeColor="text1"/>
              </w:rPr>
            </w:pPr>
            <w:r w:rsidRPr="00687B52">
              <w:rPr>
                <w:rFonts w:hint="eastAsia"/>
                <w:color w:val="000000" w:themeColor="text1"/>
              </w:rPr>
              <w:t>1.</w:t>
            </w:r>
            <w:r w:rsidR="004B5104" w:rsidRPr="00687B52">
              <w:rPr>
                <w:rFonts w:hint="eastAsia"/>
                <w:color w:val="000000" w:themeColor="text1"/>
              </w:rPr>
              <w:t>23</w:t>
            </w:r>
          </w:p>
        </w:tc>
        <w:tc>
          <w:tcPr>
            <w:tcW w:w="2324" w:type="pct"/>
            <w:gridSpan w:val="3"/>
            <w:vAlign w:val="center"/>
          </w:tcPr>
          <w:p w:rsidR="003E1D2A" w:rsidRPr="00687B52" w:rsidRDefault="003E1D2A" w:rsidP="003E1D2A">
            <w:pPr>
              <w:pStyle w:val="a7"/>
              <w:jc w:val="left"/>
              <w:rPr>
                <w:rFonts w:ascii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立式储罐至防火堤内堤脚线的距离不应小于罐壁高度的一半，卧式储罐至防火堤内堤脚线的距离不应小于3m。</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《石油化工企业设计防火规范》</w:t>
            </w:r>
            <w:r w:rsidRPr="00687B52">
              <w:rPr>
                <w:rFonts w:hint="eastAsia"/>
                <w:color w:val="000000" w:themeColor="text1"/>
              </w:rPr>
              <w:t>GB50160-2008</w:t>
            </w:r>
            <w:r w:rsidRPr="00687B52">
              <w:rPr>
                <w:rFonts w:hint="eastAsia"/>
                <w:color w:val="000000" w:themeColor="text1"/>
              </w:rPr>
              <w:t>第</w:t>
            </w:r>
            <w:r w:rsidRPr="00687B52">
              <w:rPr>
                <w:rFonts w:hint="eastAsia"/>
                <w:color w:val="000000" w:themeColor="text1"/>
              </w:rPr>
              <w:t>6.2.13</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4B5104">
            <w:pPr>
              <w:pStyle w:val="a7"/>
              <w:rPr>
                <w:color w:val="000000" w:themeColor="text1"/>
              </w:rPr>
            </w:pPr>
            <w:r w:rsidRPr="00687B52">
              <w:rPr>
                <w:rFonts w:hint="eastAsia"/>
                <w:color w:val="000000" w:themeColor="text1"/>
              </w:rPr>
              <w:t>1.</w:t>
            </w:r>
            <w:r w:rsidR="004B5104" w:rsidRPr="00687B52">
              <w:rPr>
                <w:rFonts w:hint="eastAsia"/>
                <w:color w:val="000000" w:themeColor="text1"/>
              </w:rPr>
              <w:t>24</w:t>
            </w:r>
          </w:p>
        </w:tc>
        <w:tc>
          <w:tcPr>
            <w:tcW w:w="2324" w:type="pct"/>
            <w:gridSpan w:val="3"/>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设有防火堤的罐组内应按下列要求设置隔堤：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1单罐容积小于或等于5000m</w:t>
            </w:r>
            <w:r w:rsidRPr="00687B52">
              <w:rPr>
                <w:rFonts w:asciiTheme="minorEastAsia" w:eastAsiaTheme="minorEastAsia" w:hAnsiTheme="minorEastAsia" w:hint="eastAsia"/>
                <w:color w:val="000000" w:themeColor="text1"/>
                <w:szCs w:val="24"/>
                <w:vertAlign w:val="superscript"/>
              </w:rPr>
              <w:t>3</w:t>
            </w:r>
            <w:r w:rsidRPr="00687B52">
              <w:rPr>
                <w:rFonts w:asciiTheme="minorEastAsia" w:eastAsiaTheme="minorEastAsia" w:hAnsiTheme="minorEastAsia" w:hint="eastAsia"/>
                <w:color w:val="000000" w:themeColor="text1"/>
                <w:szCs w:val="24"/>
              </w:rPr>
              <w:t>时，隔堤所分隔的储罐容积之和不应大于20000m</w:t>
            </w:r>
            <w:r w:rsidRPr="00687B52">
              <w:rPr>
                <w:rFonts w:asciiTheme="minorEastAsia" w:eastAsiaTheme="minorEastAsia" w:hAnsiTheme="minorEastAsia" w:hint="eastAsia"/>
                <w:color w:val="000000" w:themeColor="text1"/>
                <w:szCs w:val="24"/>
                <w:vertAlign w:val="superscript"/>
              </w:rPr>
              <w:t>3</w:t>
            </w:r>
            <w:r w:rsidRPr="00687B52">
              <w:rPr>
                <w:rFonts w:asciiTheme="minorEastAsia" w:eastAsiaTheme="minorEastAsia" w:hAnsiTheme="minorEastAsia" w:hint="eastAsia"/>
                <w:color w:val="000000" w:themeColor="text1"/>
                <w:szCs w:val="24"/>
              </w:rPr>
              <w:t>；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2单罐容积大于5000m</w:t>
            </w:r>
            <w:r w:rsidRPr="00687B52">
              <w:rPr>
                <w:rFonts w:asciiTheme="minorEastAsia" w:eastAsiaTheme="minorEastAsia" w:hAnsiTheme="minorEastAsia" w:hint="eastAsia"/>
                <w:color w:val="000000" w:themeColor="text1"/>
                <w:szCs w:val="24"/>
                <w:vertAlign w:val="superscript"/>
              </w:rPr>
              <w:t>3</w:t>
            </w:r>
            <w:r w:rsidRPr="00687B52">
              <w:rPr>
                <w:rFonts w:asciiTheme="minorEastAsia" w:eastAsiaTheme="minorEastAsia" w:hAnsiTheme="minorEastAsia" w:hint="eastAsia"/>
                <w:color w:val="000000" w:themeColor="text1"/>
                <w:szCs w:val="24"/>
              </w:rPr>
              <w:t>至20000m</w:t>
            </w:r>
            <w:r w:rsidRPr="00687B52">
              <w:rPr>
                <w:rFonts w:asciiTheme="minorEastAsia" w:eastAsiaTheme="minorEastAsia" w:hAnsiTheme="minorEastAsia" w:hint="eastAsia"/>
                <w:color w:val="000000" w:themeColor="text1"/>
                <w:szCs w:val="24"/>
                <w:vertAlign w:val="superscript"/>
              </w:rPr>
              <w:t>3</w:t>
            </w:r>
            <w:r w:rsidRPr="00687B52">
              <w:rPr>
                <w:rFonts w:asciiTheme="minorEastAsia" w:eastAsiaTheme="minorEastAsia" w:hAnsiTheme="minorEastAsia" w:hint="eastAsia"/>
                <w:color w:val="000000" w:themeColor="text1"/>
                <w:szCs w:val="24"/>
              </w:rPr>
              <w:t>时，隔堤内的储罐不应超过4个；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3单罐容积大于20000m</w:t>
            </w:r>
            <w:r w:rsidRPr="00687B52">
              <w:rPr>
                <w:rFonts w:asciiTheme="minorEastAsia" w:eastAsiaTheme="minorEastAsia" w:hAnsiTheme="minorEastAsia" w:hint="eastAsia"/>
                <w:color w:val="000000" w:themeColor="text1"/>
                <w:szCs w:val="24"/>
                <w:vertAlign w:val="superscript"/>
              </w:rPr>
              <w:t>3</w:t>
            </w:r>
            <w:r w:rsidRPr="00687B52">
              <w:rPr>
                <w:rFonts w:asciiTheme="minorEastAsia" w:eastAsiaTheme="minorEastAsia" w:hAnsiTheme="minorEastAsia" w:hint="eastAsia"/>
                <w:color w:val="000000" w:themeColor="text1"/>
                <w:szCs w:val="24"/>
              </w:rPr>
              <w:t>至50000m</w:t>
            </w:r>
            <w:r w:rsidRPr="00687B52">
              <w:rPr>
                <w:rFonts w:asciiTheme="minorEastAsia" w:eastAsiaTheme="minorEastAsia" w:hAnsiTheme="minorEastAsia" w:hint="eastAsia"/>
                <w:color w:val="000000" w:themeColor="text1"/>
                <w:szCs w:val="24"/>
                <w:vertAlign w:val="superscript"/>
              </w:rPr>
              <w:t>3</w:t>
            </w:r>
            <w:r w:rsidRPr="00687B52">
              <w:rPr>
                <w:rFonts w:asciiTheme="minorEastAsia" w:eastAsiaTheme="minorEastAsia" w:hAnsiTheme="minorEastAsia" w:hint="eastAsia"/>
                <w:color w:val="000000" w:themeColor="text1"/>
                <w:szCs w:val="24"/>
              </w:rPr>
              <w:t>时，隔堤内的储罐不应超过2个；</w:t>
            </w:r>
          </w:p>
          <w:p w:rsidR="003E1D2A" w:rsidRPr="00687B52" w:rsidRDefault="003E1D2A" w:rsidP="003E1D2A">
            <w:pPr>
              <w:pStyle w:val="a7"/>
              <w:jc w:val="left"/>
              <w:rPr>
                <w:rFonts w:ascii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4单罐容积大于50000m</w:t>
            </w:r>
            <w:r w:rsidRPr="00687B52">
              <w:rPr>
                <w:rFonts w:asciiTheme="minorEastAsia" w:eastAsiaTheme="minorEastAsia" w:hAnsiTheme="minorEastAsia" w:hint="eastAsia"/>
                <w:color w:val="000000" w:themeColor="text1"/>
                <w:szCs w:val="24"/>
                <w:vertAlign w:val="superscript"/>
              </w:rPr>
              <w:t>3</w:t>
            </w:r>
            <w:r w:rsidRPr="00687B52">
              <w:rPr>
                <w:rFonts w:asciiTheme="minorEastAsia" w:eastAsiaTheme="minorEastAsia" w:hAnsiTheme="minorEastAsia" w:hint="eastAsia"/>
                <w:color w:val="000000" w:themeColor="text1"/>
                <w:szCs w:val="24"/>
              </w:rPr>
              <w:t>时，应每1个罐一隔；5隔堤所分隔的沸溢性液体储罐不应超过2个。</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《石油化工企业设计防火规范》</w:t>
            </w:r>
            <w:r w:rsidRPr="00687B52">
              <w:rPr>
                <w:rFonts w:hint="eastAsia"/>
                <w:color w:val="000000" w:themeColor="text1"/>
              </w:rPr>
              <w:t>GB50160-2008</w:t>
            </w:r>
            <w:r w:rsidRPr="00687B52">
              <w:rPr>
                <w:rFonts w:hint="eastAsia"/>
                <w:color w:val="000000" w:themeColor="text1"/>
              </w:rPr>
              <w:t>第</w:t>
            </w:r>
            <w:r w:rsidRPr="00687B52">
              <w:rPr>
                <w:rFonts w:hint="eastAsia"/>
                <w:color w:val="000000" w:themeColor="text1"/>
              </w:rPr>
              <w:t>6.2.15</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4B5104">
            <w:pPr>
              <w:pStyle w:val="a7"/>
              <w:rPr>
                <w:color w:val="000000" w:themeColor="text1"/>
              </w:rPr>
            </w:pPr>
            <w:r w:rsidRPr="00687B52">
              <w:rPr>
                <w:rFonts w:hint="eastAsia"/>
                <w:color w:val="000000" w:themeColor="text1"/>
              </w:rPr>
              <w:t>1.</w:t>
            </w:r>
            <w:r w:rsidR="004B5104" w:rsidRPr="00687B52">
              <w:rPr>
                <w:rFonts w:hint="eastAsia"/>
                <w:color w:val="000000" w:themeColor="text1"/>
              </w:rPr>
              <w:t>25</w:t>
            </w:r>
          </w:p>
        </w:tc>
        <w:tc>
          <w:tcPr>
            <w:tcW w:w="2324" w:type="pct"/>
            <w:gridSpan w:val="3"/>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防火堤及隔堤应符合下列规定：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 防火堤及隔堤应能承受所容纳液体的静压，且不应渗漏；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 立式储罐防火堤的高度应为计算高度加0.2m，但不应低于1.0m（以堤内设计地坪标高为准），且不宜高于2.2m（以堤外3m范围内设计地坪标高为准）； 卧式储罐防火堤的高度不应低于0.5m（以堤内设计地坪标高为准）；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 立式储罐组内隔堤的高度不应低于0.5m；卧式储罐组内隔堤的高度不应低于0.3m；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 管道穿堤处应采用不燃烧材料严密封闭； </w:t>
            </w:r>
          </w:p>
          <w:p w:rsidR="003E1D2A" w:rsidRPr="00687B52" w:rsidRDefault="003E1D2A" w:rsidP="003E1D2A">
            <w:pPr>
              <w:pStyle w:val="a7"/>
              <w:jc w:val="left"/>
              <w:rPr>
                <w:rFonts w:ascii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5 在防火堤内雨水沟穿堤处应采取防止可燃液体流出堤外的措施； 6 在防火堤的不同方位上应设置人行台阶或坡道，同一方位上两相邻人行台阶或坡道之间距离不宜大于60m；隔堤应设置人行台阶。</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《石油化工企业设计防火规范》</w:t>
            </w:r>
            <w:r w:rsidRPr="00687B52">
              <w:rPr>
                <w:rFonts w:hint="eastAsia"/>
                <w:color w:val="000000" w:themeColor="text1"/>
              </w:rPr>
              <w:t>GB50160-2008</w:t>
            </w:r>
            <w:r w:rsidRPr="00687B52">
              <w:rPr>
                <w:rFonts w:hint="eastAsia"/>
                <w:color w:val="000000" w:themeColor="text1"/>
              </w:rPr>
              <w:t>第</w:t>
            </w:r>
            <w:r w:rsidRPr="00687B52">
              <w:rPr>
                <w:rFonts w:hint="eastAsia"/>
                <w:color w:val="000000" w:themeColor="text1"/>
              </w:rPr>
              <w:t>6.2.17</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4B5104">
            <w:pPr>
              <w:pStyle w:val="a7"/>
              <w:rPr>
                <w:color w:val="000000" w:themeColor="text1"/>
              </w:rPr>
            </w:pPr>
            <w:r w:rsidRPr="00687B52">
              <w:rPr>
                <w:rFonts w:hint="eastAsia"/>
                <w:color w:val="000000" w:themeColor="text1"/>
              </w:rPr>
              <w:t>1.</w:t>
            </w:r>
            <w:r w:rsidR="004B5104" w:rsidRPr="00687B52">
              <w:rPr>
                <w:rFonts w:hint="eastAsia"/>
                <w:color w:val="000000" w:themeColor="text1"/>
              </w:rPr>
              <w:t>26</w:t>
            </w:r>
          </w:p>
        </w:tc>
        <w:tc>
          <w:tcPr>
            <w:tcW w:w="2324" w:type="pct"/>
            <w:gridSpan w:val="3"/>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可燃液体的铁路装卸设施应符合下列规定：1装卸栈台两端和沿栈台每隔60m左右应设梯子；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2甲B、乙、丙A类的液体严禁采用沟槽卸车系统；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3顶部敞口装车的甲B、乙、丙A类的液体应采用液下装车鹤管；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4在距装车栈台边缘10m以外的可燃液体（润滑油除外）输入管道上应设便于操作的紧急切断阀；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5丙B类液体装卸栈台宜单独设置；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6零位罐至罐车装卸线不应小于6m；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7甲B、乙A类液体装卸鹤管与集中布置的泵的距离不应小于8m；</w:t>
            </w:r>
          </w:p>
          <w:p w:rsidR="003E1D2A" w:rsidRPr="00687B52" w:rsidRDefault="003E1D2A" w:rsidP="003E1D2A">
            <w:pPr>
              <w:pStyle w:val="a7"/>
              <w:jc w:val="left"/>
              <w:rPr>
                <w:rFonts w:ascii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8同一铁路装卸线一侧的两个装卸栈台相邻鹤位之间的距离不应小于24m。</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《石油化工企业设计防火规范》</w:t>
            </w:r>
            <w:r w:rsidRPr="00687B52">
              <w:rPr>
                <w:rFonts w:hint="eastAsia"/>
                <w:color w:val="000000" w:themeColor="text1"/>
              </w:rPr>
              <w:t>GB50160-2008</w:t>
            </w:r>
            <w:r w:rsidRPr="00687B52">
              <w:rPr>
                <w:rFonts w:hint="eastAsia"/>
                <w:color w:val="000000" w:themeColor="text1"/>
              </w:rPr>
              <w:t>第</w:t>
            </w:r>
            <w:r w:rsidRPr="00687B52">
              <w:rPr>
                <w:rFonts w:hint="eastAsia"/>
                <w:color w:val="000000" w:themeColor="text1"/>
              </w:rPr>
              <w:t>6.4.1</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4B5104">
            <w:pPr>
              <w:pStyle w:val="a7"/>
              <w:rPr>
                <w:color w:val="000000" w:themeColor="text1"/>
              </w:rPr>
            </w:pPr>
            <w:r w:rsidRPr="00687B52">
              <w:rPr>
                <w:rFonts w:hint="eastAsia"/>
                <w:color w:val="000000" w:themeColor="text1"/>
              </w:rPr>
              <w:t>1.</w:t>
            </w:r>
            <w:r w:rsidR="004B5104" w:rsidRPr="00687B52">
              <w:rPr>
                <w:rFonts w:hint="eastAsia"/>
                <w:color w:val="000000" w:themeColor="text1"/>
              </w:rPr>
              <w:t>27</w:t>
            </w:r>
          </w:p>
        </w:tc>
        <w:tc>
          <w:tcPr>
            <w:tcW w:w="2324" w:type="pct"/>
            <w:gridSpan w:val="3"/>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可燃液体的汽车装卸站应符合下列规定：1装卸站的进、出口宜分开设置；当进、出口合用时，站内应设回车场；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2装卸车场应采用现浇混凝土地面；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3装卸车鹤位与缓冲罐之间的距离不应小于5m，高架罐之间的距离不应小于0.6m；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4甲B、乙A类液体装卸车鹤位与集中布置的泵的距离不应小于8m；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5站内无缓冲罐时，在距装卸车鹤位10m以外的装卸管道上应设便于操作的紧急切断阀；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6甲B、乙、丙A类液体的装卸车应采用液下装卸车鹤管；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7甲B、乙、丙A类液体与其他类液体的两个装卸车栈台相邻鹤位之间的距离不应小于8m； </w:t>
            </w:r>
          </w:p>
          <w:p w:rsidR="003E1D2A" w:rsidRPr="00687B52" w:rsidRDefault="003E1D2A" w:rsidP="003E1D2A">
            <w:pPr>
              <w:pStyle w:val="a7"/>
              <w:jc w:val="left"/>
              <w:rPr>
                <w:rFonts w:ascii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8装卸车鹤位之间的距离不应小于4m；双侧装卸车栈台相邻鹤位之间或同一鹤位相邻鹤管之间的距离应满足鹤管正常操作和检修的要求。</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《石油化工企业设计防火规范》</w:t>
            </w:r>
            <w:r w:rsidRPr="00687B52">
              <w:rPr>
                <w:rFonts w:hint="eastAsia"/>
                <w:color w:val="000000" w:themeColor="text1"/>
              </w:rPr>
              <w:t>GB50160-2008</w:t>
            </w:r>
            <w:r w:rsidRPr="00687B52">
              <w:rPr>
                <w:rFonts w:hint="eastAsia"/>
                <w:color w:val="000000" w:themeColor="text1"/>
              </w:rPr>
              <w:t>第</w:t>
            </w:r>
            <w:r w:rsidRPr="00687B52">
              <w:rPr>
                <w:rFonts w:hint="eastAsia"/>
                <w:color w:val="000000" w:themeColor="text1"/>
              </w:rPr>
              <w:t>6.4.2</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4B5104">
            <w:pPr>
              <w:pStyle w:val="a7"/>
              <w:rPr>
                <w:color w:val="000000" w:themeColor="text1"/>
              </w:rPr>
            </w:pPr>
            <w:r w:rsidRPr="00687B52">
              <w:rPr>
                <w:rFonts w:hint="eastAsia"/>
                <w:color w:val="000000" w:themeColor="text1"/>
              </w:rPr>
              <w:t>1.</w:t>
            </w:r>
            <w:r w:rsidR="004B5104" w:rsidRPr="00687B52">
              <w:rPr>
                <w:rFonts w:hint="eastAsia"/>
                <w:color w:val="000000" w:themeColor="text1"/>
              </w:rPr>
              <w:t>28</w:t>
            </w:r>
          </w:p>
        </w:tc>
        <w:tc>
          <w:tcPr>
            <w:tcW w:w="2324" w:type="pct"/>
            <w:gridSpan w:val="3"/>
            <w:vAlign w:val="center"/>
          </w:tcPr>
          <w:p w:rsidR="003E1D2A" w:rsidRPr="00687B52" w:rsidRDefault="003E1D2A" w:rsidP="003E1D2A">
            <w:pPr>
              <w:pStyle w:val="a7"/>
              <w:jc w:val="left"/>
              <w:rPr>
                <w:color w:val="000000" w:themeColor="text1"/>
              </w:rPr>
            </w:pPr>
            <w:r w:rsidRPr="00687B52">
              <w:rPr>
                <w:rFonts w:hint="eastAsia"/>
                <w:color w:val="000000" w:themeColor="text1"/>
              </w:rPr>
              <w:t>罐组的专用泵区应布置在防火堤外，与储罐的防火间距应符合下列规定：</w:t>
            </w:r>
            <w:r w:rsidRPr="00687B52">
              <w:rPr>
                <w:rFonts w:hint="eastAsia"/>
                <w:color w:val="000000" w:themeColor="text1"/>
              </w:rPr>
              <w:t> </w:t>
            </w:r>
          </w:p>
          <w:p w:rsidR="003E1D2A" w:rsidRPr="00687B52" w:rsidRDefault="003E1D2A" w:rsidP="003E1D2A">
            <w:pPr>
              <w:pStyle w:val="a7"/>
              <w:jc w:val="left"/>
              <w:rPr>
                <w:color w:val="000000" w:themeColor="text1"/>
              </w:rPr>
            </w:pPr>
            <w:r w:rsidRPr="00687B52">
              <w:rPr>
                <w:rFonts w:hint="eastAsia"/>
                <w:color w:val="000000" w:themeColor="text1"/>
              </w:rPr>
              <w:t>1</w:t>
            </w:r>
            <w:r w:rsidRPr="00687B52">
              <w:rPr>
                <w:rFonts w:hint="eastAsia"/>
                <w:color w:val="000000" w:themeColor="text1"/>
              </w:rPr>
              <w:t> </w:t>
            </w:r>
            <w:r w:rsidRPr="00687B52">
              <w:rPr>
                <w:rFonts w:hint="eastAsia"/>
                <w:color w:val="000000" w:themeColor="text1"/>
              </w:rPr>
              <w:t>距甲</w:t>
            </w:r>
            <w:r w:rsidRPr="00687B52">
              <w:rPr>
                <w:rFonts w:hint="eastAsia"/>
                <w:color w:val="000000" w:themeColor="text1"/>
              </w:rPr>
              <w:t>A</w:t>
            </w:r>
            <w:r w:rsidRPr="00687B52">
              <w:rPr>
                <w:rFonts w:hint="eastAsia"/>
                <w:color w:val="000000" w:themeColor="text1"/>
              </w:rPr>
              <w:t>类储罐不应小于</w:t>
            </w:r>
            <w:r w:rsidRPr="00687B52">
              <w:rPr>
                <w:rFonts w:hint="eastAsia"/>
                <w:color w:val="000000" w:themeColor="text1"/>
              </w:rPr>
              <w:t>15m</w:t>
            </w:r>
            <w:r w:rsidRPr="00687B52">
              <w:rPr>
                <w:rFonts w:hint="eastAsia"/>
                <w:color w:val="000000" w:themeColor="text1"/>
              </w:rPr>
              <w:t>；</w:t>
            </w:r>
          </w:p>
          <w:p w:rsidR="003E1D2A" w:rsidRPr="00687B52" w:rsidRDefault="003E1D2A" w:rsidP="003E1D2A">
            <w:pPr>
              <w:pStyle w:val="a7"/>
              <w:jc w:val="left"/>
              <w:rPr>
                <w:color w:val="000000" w:themeColor="text1"/>
              </w:rPr>
            </w:pPr>
            <w:r w:rsidRPr="00687B52">
              <w:rPr>
                <w:rFonts w:hint="eastAsia"/>
                <w:color w:val="000000" w:themeColor="text1"/>
              </w:rPr>
              <w:t>2</w:t>
            </w:r>
            <w:r w:rsidRPr="00687B52">
              <w:rPr>
                <w:rFonts w:hint="eastAsia"/>
                <w:color w:val="000000" w:themeColor="text1"/>
              </w:rPr>
              <w:t> </w:t>
            </w:r>
            <w:r w:rsidRPr="00687B52">
              <w:rPr>
                <w:rFonts w:hint="eastAsia"/>
                <w:color w:val="000000" w:themeColor="text1"/>
              </w:rPr>
              <w:t>距甲</w:t>
            </w:r>
            <w:r w:rsidRPr="00687B52">
              <w:rPr>
                <w:rFonts w:hint="eastAsia"/>
                <w:color w:val="000000" w:themeColor="text1"/>
              </w:rPr>
              <w:t>B</w:t>
            </w:r>
            <w:r w:rsidRPr="00687B52">
              <w:rPr>
                <w:rFonts w:hint="eastAsia"/>
                <w:color w:val="000000" w:themeColor="text1"/>
              </w:rPr>
              <w:t>、乙类固定顶储罐不应小于</w:t>
            </w:r>
            <w:r w:rsidRPr="00687B52">
              <w:rPr>
                <w:rFonts w:hint="eastAsia"/>
                <w:color w:val="000000" w:themeColor="text1"/>
              </w:rPr>
              <w:t>12m</w:t>
            </w:r>
            <w:r w:rsidRPr="00687B52">
              <w:rPr>
                <w:rFonts w:hint="eastAsia"/>
                <w:color w:val="000000" w:themeColor="text1"/>
              </w:rPr>
              <w:t>，距小于或等于</w:t>
            </w:r>
            <w:r w:rsidRPr="00687B52">
              <w:rPr>
                <w:rFonts w:hint="eastAsia"/>
                <w:color w:val="000000" w:themeColor="text1"/>
              </w:rPr>
              <w:t>500m</w:t>
            </w:r>
            <w:r w:rsidRPr="00687B52">
              <w:rPr>
                <w:rFonts w:hint="eastAsia"/>
                <w:color w:val="000000" w:themeColor="text1"/>
                <w:vertAlign w:val="superscript"/>
              </w:rPr>
              <w:t>3</w:t>
            </w:r>
            <w:r w:rsidRPr="00687B52">
              <w:rPr>
                <w:rFonts w:hint="eastAsia"/>
                <w:color w:val="000000" w:themeColor="text1"/>
              </w:rPr>
              <w:t>的甲</w:t>
            </w:r>
            <w:r w:rsidRPr="00687B52">
              <w:rPr>
                <w:rFonts w:hint="eastAsia"/>
                <w:color w:val="000000" w:themeColor="text1"/>
              </w:rPr>
              <w:t>B</w:t>
            </w:r>
            <w:r w:rsidRPr="00687B52">
              <w:rPr>
                <w:rFonts w:hint="eastAsia"/>
                <w:color w:val="000000" w:themeColor="text1"/>
              </w:rPr>
              <w:t>、乙类固定顶储罐不应小于</w:t>
            </w:r>
            <w:r w:rsidRPr="00687B52">
              <w:rPr>
                <w:rFonts w:hint="eastAsia"/>
                <w:color w:val="000000" w:themeColor="text1"/>
              </w:rPr>
              <w:t>10m</w:t>
            </w:r>
            <w:r w:rsidRPr="00687B52">
              <w:rPr>
                <w:rFonts w:hint="eastAsia"/>
                <w:color w:val="000000" w:themeColor="text1"/>
              </w:rPr>
              <w:t>；</w:t>
            </w:r>
            <w:r w:rsidRPr="00687B52">
              <w:rPr>
                <w:rFonts w:hint="eastAsia"/>
                <w:color w:val="000000" w:themeColor="text1"/>
              </w:rPr>
              <w:t> </w:t>
            </w:r>
          </w:p>
          <w:p w:rsidR="003E1D2A" w:rsidRPr="00687B52" w:rsidRDefault="003E1D2A" w:rsidP="003E1D2A">
            <w:pPr>
              <w:pStyle w:val="a7"/>
              <w:jc w:val="left"/>
              <w:rPr>
                <w:rFonts w:asciiTheme="minorEastAsia" w:hAnsiTheme="minorEastAsia"/>
                <w:color w:val="000000" w:themeColor="text1"/>
                <w:szCs w:val="24"/>
              </w:rPr>
            </w:pPr>
            <w:r w:rsidRPr="00687B52">
              <w:rPr>
                <w:rFonts w:hint="eastAsia"/>
                <w:color w:val="000000" w:themeColor="text1"/>
              </w:rPr>
              <w:t>3</w:t>
            </w:r>
            <w:r w:rsidRPr="00687B52">
              <w:rPr>
                <w:rFonts w:hint="eastAsia"/>
                <w:color w:val="000000" w:themeColor="text1"/>
              </w:rPr>
              <w:t> </w:t>
            </w:r>
            <w:r w:rsidRPr="00687B52">
              <w:rPr>
                <w:rFonts w:hint="eastAsia"/>
                <w:color w:val="000000" w:themeColor="text1"/>
              </w:rPr>
              <w:t>距浮顶及内浮顶储罐、丙</w:t>
            </w:r>
            <w:r w:rsidRPr="00687B52">
              <w:rPr>
                <w:rFonts w:hint="eastAsia"/>
                <w:color w:val="000000" w:themeColor="text1"/>
              </w:rPr>
              <w:t>A</w:t>
            </w:r>
            <w:r w:rsidRPr="00687B52">
              <w:rPr>
                <w:rFonts w:hint="eastAsia"/>
                <w:color w:val="000000" w:themeColor="text1"/>
              </w:rPr>
              <w:t>类固定顶储罐不应小于</w:t>
            </w:r>
            <w:r w:rsidRPr="00687B52">
              <w:rPr>
                <w:rFonts w:hint="eastAsia"/>
                <w:color w:val="000000" w:themeColor="text1"/>
              </w:rPr>
              <w:t>10m</w:t>
            </w:r>
            <w:r w:rsidRPr="00687B52">
              <w:rPr>
                <w:rFonts w:hint="eastAsia"/>
                <w:color w:val="000000" w:themeColor="text1"/>
              </w:rPr>
              <w:t>，距小于或等于</w:t>
            </w:r>
            <w:r w:rsidRPr="00687B52">
              <w:rPr>
                <w:rFonts w:hint="eastAsia"/>
                <w:color w:val="000000" w:themeColor="text1"/>
              </w:rPr>
              <w:t>500m</w:t>
            </w:r>
            <w:r w:rsidRPr="00687B52">
              <w:rPr>
                <w:rFonts w:hint="eastAsia"/>
                <w:color w:val="000000" w:themeColor="text1"/>
                <w:vertAlign w:val="superscript"/>
              </w:rPr>
              <w:t>3</w:t>
            </w:r>
            <w:r w:rsidRPr="00687B52">
              <w:rPr>
                <w:rFonts w:hint="eastAsia"/>
                <w:color w:val="000000" w:themeColor="text1"/>
              </w:rPr>
              <w:t>的内浮顶储罐、丙</w:t>
            </w:r>
            <w:r w:rsidRPr="00687B52">
              <w:rPr>
                <w:rFonts w:hint="eastAsia"/>
                <w:color w:val="000000" w:themeColor="text1"/>
              </w:rPr>
              <w:t>A</w:t>
            </w:r>
            <w:r w:rsidRPr="00687B52">
              <w:rPr>
                <w:rFonts w:hint="eastAsia"/>
                <w:color w:val="000000" w:themeColor="text1"/>
              </w:rPr>
              <w:t>类固定顶储罐不应小于</w:t>
            </w:r>
            <w:r w:rsidRPr="00687B52">
              <w:rPr>
                <w:rFonts w:hint="eastAsia"/>
                <w:color w:val="000000" w:themeColor="text1"/>
              </w:rPr>
              <w:t>8m</w:t>
            </w:r>
            <w:r w:rsidRPr="00687B52">
              <w:rPr>
                <w:rFonts w:hint="eastAsia"/>
                <w:color w:val="000000" w:themeColor="text1"/>
              </w:rPr>
              <w:t>。</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《石油化工企业设计防火规范》</w:t>
            </w:r>
            <w:r w:rsidRPr="00687B52">
              <w:rPr>
                <w:rFonts w:hint="eastAsia"/>
                <w:color w:val="000000" w:themeColor="text1"/>
              </w:rPr>
              <w:t>GB50160-2008</w:t>
            </w:r>
            <w:r w:rsidRPr="00687B52">
              <w:rPr>
                <w:rFonts w:hint="eastAsia"/>
                <w:color w:val="000000" w:themeColor="text1"/>
              </w:rPr>
              <w:t>第</w:t>
            </w:r>
            <w:r w:rsidRPr="00687B52">
              <w:rPr>
                <w:rFonts w:hint="eastAsia"/>
                <w:color w:val="000000" w:themeColor="text1"/>
              </w:rPr>
              <w:t>5.3.5</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4B5104">
            <w:pPr>
              <w:pStyle w:val="a7"/>
              <w:rPr>
                <w:color w:val="000000" w:themeColor="text1"/>
              </w:rPr>
            </w:pPr>
            <w:r w:rsidRPr="00687B52">
              <w:rPr>
                <w:rFonts w:hint="eastAsia"/>
                <w:color w:val="000000" w:themeColor="text1"/>
              </w:rPr>
              <w:t>1.</w:t>
            </w:r>
            <w:r w:rsidR="004B5104" w:rsidRPr="00687B52">
              <w:rPr>
                <w:rFonts w:hint="eastAsia"/>
                <w:color w:val="000000" w:themeColor="text1"/>
              </w:rPr>
              <w:t>29</w:t>
            </w:r>
          </w:p>
        </w:tc>
        <w:tc>
          <w:tcPr>
            <w:tcW w:w="2324" w:type="pct"/>
            <w:gridSpan w:val="3"/>
            <w:vAlign w:val="center"/>
          </w:tcPr>
          <w:p w:rsidR="003E1D2A" w:rsidRPr="00687B52" w:rsidRDefault="003E1D2A" w:rsidP="003E1D2A">
            <w:pPr>
              <w:pStyle w:val="af8"/>
              <w:shd w:val="clear" w:color="auto" w:fill="FFFFFF"/>
              <w:spacing w:before="120" w:beforeAutospacing="0" w:after="120" w:afterAutospacing="0"/>
              <w:rPr>
                <w:rFonts w:asciiTheme="minorEastAsia" w:hAnsiTheme="minorEastAsia" w:cs="Arial"/>
                <w:color w:val="000000" w:themeColor="text1"/>
                <w:kern w:val="2"/>
              </w:rPr>
            </w:pPr>
            <w:r w:rsidRPr="00687B52">
              <w:rPr>
                <w:rFonts w:asciiTheme="minorEastAsia" w:hAnsiTheme="minorEastAsia" w:hint="eastAsia"/>
                <w:color w:val="000000" w:themeColor="text1"/>
              </w:rPr>
              <w:t>储存酸、碱等腐蚀性介质的储罐组，防火堤堤身内侧均应作防腐蚀处理。用于全冷冻式储罐组的防火堤，应采取防冷冻的措施</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《储罐区防火堤设计规范》</w:t>
            </w:r>
            <w:r w:rsidRPr="00687B52">
              <w:rPr>
                <w:rFonts w:hint="eastAsia"/>
                <w:color w:val="000000" w:themeColor="text1"/>
              </w:rPr>
              <w:t>GB50351-2005</w:t>
            </w:r>
            <w:r w:rsidRPr="00687B52">
              <w:rPr>
                <w:rFonts w:hint="eastAsia"/>
                <w:color w:val="000000" w:themeColor="text1"/>
              </w:rPr>
              <w:t>第</w:t>
            </w:r>
            <w:r w:rsidRPr="00687B52">
              <w:rPr>
                <w:rFonts w:hint="eastAsia"/>
                <w:color w:val="000000" w:themeColor="text1"/>
              </w:rPr>
              <w:t>4.1.2</w:t>
            </w:r>
            <w:r w:rsidRPr="00687B52">
              <w:rPr>
                <w:rFonts w:hint="eastAsia"/>
                <w:color w:val="000000" w:themeColor="text1"/>
              </w:rPr>
              <w:t>条</w:t>
            </w:r>
          </w:p>
        </w:tc>
        <w:tc>
          <w:tcPr>
            <w:tcW w:w="1279" w:type="pct"/>
            <w:vAlign w:val="center"/>
          </w:tcPr>
          <w:p w:rsidR="003E1D2A" w:rsidRPr="00687B52" w:rsidRDefault="003E1D2A" w:rsidP="003E1D2A">
            <w:pPr>
              <w:rPr>
                <w:rFonts w:ascii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4B5104">
            <w:pPr>
              <w:pStyle w:val="a7"/>
              <w:rPr>
                <w:color w:val="000000" w:themeColor="text1"/>
              </w:rPr>
            </w:pPr>
            <w:r w:rsidRPr="00687B52">
              <w:rPr>
                <w:rFonts w:hint="eastAsia"/>
                <w:color w:val="000000" w:themeColor="text1"/>
              </w:rPr>
              <w:t>1.</w:t>
            </w:r>
            <w:r w:rsidR="004B5104" w:rsidRPr="00687B52">
              <w:rPr>
                <w:rFonts w:hint="eastAsia"/>
                <w:color w:val="000000" w:themeColor="text1"/>
              </w:rPr>
              <w:t>30</w:t>
            </w:r>
          </w:p>
        </w:tc>
        <w:tc>
          <w:tcPr>
            <w:tcW w:w="2324" w:type="pct"/>
            <w:gridSpan w:val="3"/>
            <w:vAlign w:val="center"/>
          </w:tcPr>
          <w:p w:rsidR="003E1D2A" w:rsidRPr="00687B52" w:rsidRDefault="003E1D2A" w:rsidP="00D10BF6">
            <w:pPr>
              <w:widowControl/>
              <w:jc w:val="left"/>
              <w:rPr>
                <w:rFonts w:asciiTheme="minorEastAsia" w:hAnsiTheme="minorEastAsia"/>
                <w:color w:val="000000" w:themeColor="text1"/>
                <w:szCs w:val="24"/>
              </w:rPr>
            </w:pPr>
            <w:r w:rsidRPr="00687B52">
              <w:rPr>
                <w:rFonts w:ascii="宋体" w:eastAsia="宋体" w:hAnsi="宋体" w:cs="宋体"/>
                <w:bCs/>
                <w:color w:val="000000" w:themeColor="text1"/>
                <w:kern w:val="0"/>
                <w:sz w:val="24"/>
                <w:szCs w:val="24"/>
              </w:rPr>
              <w:t>构成重大危险源的场所</w:t>
            </w:r>
            <w:r w:rsidR="00D10BF6" w:rsidRPr="00687B52">
              <w:rPr>
                <w:rFonts w:ascii="宋体" w:eastAsia="宋体" w:hAnsi="宋体" w:cs="宋体" w:hint="eastAsia"/>
                <w:bCs/>
                <w:color w:val="000000" w:themeColor="text1"/>
                <w:kern w:val="0"/>
                <w:sz w:val="24"/>
                <w:szCs w:val="24"/>
              </w:rPr>
              <w:t>应</w:t>
            </w:r>
            <w:r w:rsidRPr="00687B52">
              <w:rPr>
                <w:rFonts w:ascii="宋体" w:eastAsia="宋体" w:hAnsi="宋体" w:cs="宋体"/>
                <w:bCs/>
                <w:color w:val="000000" w:themeColor="text1"/>
                <w:kern w:val="0"/>
                <w:sz w:val="24"/>
                <w:szCs w:val="24"/>
              </w:rPr>
              <w:t>按《危险化学品重大危险源监督管理暂行规定》（安监总局令第40号令发布，第79号修订)）确定外部安全防护距离，并计算风险；下列敏感目标是否在安全防护距离之外，个人风险和社会风险是否可接受：</w:t>
            </w:r>
            <w:r w:rsidRPr="00687B52">
              <w:rPr>
                <w:rFonts w:ascii="宋体" w:eastAsia="宋体" w:hAnsi="宋体" w:cs="宋体"/>
                <w:bCs/>
                <w:color w:val="000000" w:themeColor="text1"/>
                <w:kern w:val="0"/>
                <w:sz w:val="24"/>
                <w:szCs w:val="24"/>
              </w:rPr>
              <w:br/>
              <w:t>① 居民区、商业中心、公园等人口密集区域；</w:t>
            </w:r>
            <w:r w:rsidRPr="00687B52">
              <w:rPr>
                <w:rFonts w:ascii="宋体" w:eastAsia="宋体" w:hAnsi="宋体" w:cs="宋体"/>
                <w:bCs/>
                <w:color w:val="000000" w:themeColor="text1"/>
                <w:kern w:val="0"/>
                <w:sz w:val="24"/>
                <w:szCs w:val="24"/>
              </w:rPr>
              <w:br/>
              <w:t>② 学校、医院、影剧院、体育场（馆）等公共设施；</w:t>
            </w:r>
            <w:r w:rsidRPr="00687B52">
              <w:rPr>
                <w:rFonts w:ascii="宋体" w:eastAsia="宋体" w:hAnsi="宋体" w:cs="宋体"/>
                <w:bCs/>
                <w:color w:val="000000" w:themeColor="text1"/>
                <w:kern w:val="0"/>
                <w:sz w:val="24"/>
                <w:szCs w:val="24"/>
              </w:rPr>
              <w:br/>
              <w:t>③ 供水水源、水厂及水源保护区；</w:t>
            </w:r>
            <w:r w:rsidRPr="00687B52">
              <w:rPr>
                <w:rFonts w:ascii="宋体" w:eastAsia="宋体" w:hAnsi="宋体" w:cs="宋体"/>
                <w:bCs/>
                <w:color w:val="000000" w:themeColor="text1"/>
                <w:kern w:val="0"/>
                <w:sz w:val="24"/>
                <w:szCs w:val="24"/>
              </w:rPr>
              <w:br/>
              <w:t>④ 车站、码头（按照国家规定，经批准专门从事危险化学品装卸作业的除外）、机场以及公路、铁路、水路交通干线、地铁风亭及出入口；</w:t>
            </w:r>
            <w:r w:rsidRPr="00687B52">
              <w:rPr>
                <w:rFonts w:ascii="宋体" w:eastAsia="宋体" w:hAnsi="宋体" w:cs="宋体"/>
                <w:bCs/>
                <w:color w:val="000000" w:themeColor="text1"/>
                <w:kern w:val="0"/>
                <w:sz w:val="24"/>
                <w:szCs w:val="24"/>
              </w:rPr>
              <w:br/>
              <w:t>⑤ 基本农田保护区、畜牧区、渔业水域和种子、种畜、水产苗种生产基；</w:t>
            </w:r>
            <w:r w:rsidRPr="00687B52">
              <w:rPr>
                <w:rFonts w:ascii="宋体" w:eastAsia="宋体" w:hAnsi="宋体" w:cs="宋体"/>
                <w:bCs/>
                <w:color w:val="000000" w:themeColor="text1"/>
                <w:kern w:val="0"/>
                <w:sz w:val="24"/>
                <w:szCs w:val="24"/>
              </w:rPr>
              <w:br/>
              <w:t>⑥ 河流、湖泊、风景名胜区和自然保护区；</w:t>
            </w:r>
            <w:r w:rsidRPr="00687B52">
              <w:rPr>
                <w:rFonts w:ascii="宋体" w:eastAsia="宋体" w:hAnsi="宋体" w:cs="宋体"/>
                <w:bCs/>
                <w:color w:val="000000" w:themeColor="text1"/>
                <w:kern w:val="0"/>
                <w:sz w:val="24"/>
                <w:szCs w:val="24"/>
              </w:rPr>
              <w:br/>
              <w:t>⑦ 军事禁区、军事管理区；</w:t>
            </w:r>
            <w:r w:rsidRPr="00687B52">
              <w:rPr>
                <w:rFonts w:ascii="宋体" w:eastAsia="宋体" w:hAnsi="宋体" w:cs="宋体"/>
                <w:bCs/>
                <w:color w:val="000000" w:themeColor="text1"/>
                <w:kern w:val="0"/>
                <w:sz w:val="24"/>
                <w:szCs w:val="24"/>
              </w:rPr>
              <w:br/>
              <w:t xml:space="preserve">⑧ 法律、行政法规规定予以保护的其他区域。 </w:t>
            </w:r>
          </w:p>
        </w:tc>
        <w:tc>
          <w:tcPr>
            <w:tcW w:w="1059" w:type="pct"/>
            <w:vAlign w:val="center"/>
          </w:tcPr>
          <w:p w:rsidR="003E1D2A" w:rsidRPr="00687B52" w:rsidRDefault="003E1D2A" w:rsidP="003E1D2A">
            <w:pPr>
              <w:pStyle w:val="a7"/>
              <w:rPr>
                <w:color w:val="000000" w:themeColor="text1"/>
              </w:rPr>
            </w:pPr>
            <w:r w:rsidRPr="00687B52">
              <w:rPr>
                <w:rFonts w:ascii="宋体" w:hAnsi="宋体" w:cs="宋体" w:hint="eastAsia"/>
                <w:bCs/>
                <w:color w:val="000000" w:themeColor="text1"/>
                <w:kern w:val="0"/>
                <w:szCs w:val="24"/>
              </w:rPr>
              <w:t>《危险化学品安全管理条例》第十九条</w:t>
            </w:r>
          </w:p>
        </w:tc>
        <w:tc>
          <w:tcPr>
            <w:tcW w:w="1279" w:type="pct"/>
            <w:vAlign w:val="center"/>
          </w:tcPr>
          <w:p w:rsidR="003E1D2A" w:rsidRPr="00687B52" w:rsidRDefault="003E1D2A" w:rsidP="003E1D2A">
            <w:pPr>
              <w:rPr>
                <w:rFonts w:ascii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C76CF3">
            <w:pPr>
              <w:pStyle w:val="a7"/>
              <w:rPr>
                <w:color w:val="000000" w:themeColor="text1"/>
              </w:rPr>
            </w:pPr>
            <w:r w:rsidRPr="00687B52">
              <w:rPr>
                <w:rFonts w:hint="eastAsia"/>
                <w:b/>
                <w:bCs/>
                <w:color w:val="000000" w:themeColor="text1"/>
              </w:rPr>
              <w:t>2</w:t>
            </w:r>
          </w:p>
        </w:tc>
        <w:tc>
          <w:tcPr>
            <w:tcW w:w="2324" w:type="pct"/>
            <w:gridSpan w:val="3"/>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b/>
                <w:bCs/>
                <w:color w:val="000000" w:themeColor="text1"/>
                <w:szCs w:val="24"/>
              </w:rPr>
              <w:t>工艺设备、设施</w:t>
            </w:r>
          </w:p>
        </w:tc>
        <w:tc>
          <w:tcPr>
            <w:tcW w:w="105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p>
        </w:tc>
        <w:tc>
          <w:tcPr>
            <w:tcW w:w="1279" w:type="pct"/>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C76CF3">
            <w:pPr>
              <w:pStyle w:val="a7"/>
              <w:rPr>
                <w:color w:val="000000" w:themeColor="text1"/>
              </w:rPr>
            </w:pPr>
            <w:r w:rsidRPr="00687B52">
              <w:rPr>
                <w:rFonts w:hint="eastAsia"/>
                <w:color w:val="000000" w:themeColor="text1"/>
              </w:rPr>
              <w:t>2.1</w:t>
            </w:r>
          </w:p>
        </w:tc>
        <w:tc>
          <w:tcPr>
            <w:tcW w:w="2324" w:type="pct"/>
            <w:gridSpan w:val="3"/>
            <w:vAlign w:val="center"/>
          </w:tcPr>
          <w:p w:rsidR="003E1D2A" w:rsidRPr="00687B52" w:rsidRDefault="003E1D2A" w:rsidP="003E1D2A">
            <w:pPr>
              <w:pStyle w:val="af8"/>
              <w:shd w:val="clear" w:color="auto" w:fill="FFFFFF"/>
              <w:spacing w:before="120" w:beforeAutospacing="0" w:after="120" w:afterAutospacing="0"/>
              <w:rPr>
                <w:rFonts w:asciiTheme="minorEastAsia" w:hAnsiTheme="minorEastAsia" w:cs="Arial"/>
                <w:color w:val="000000" w:themeColor="text1"/>
                <w:kern w:val="2"/>
              </w:rPr>
            </w:pPr>
            <w:r w:rsidRPr="00687B52">
              <w:rPr>
                <w:rFonts w:asciiTheme="minorEastAsia" w:hAnsiTheme="minorEastAsia" w:hint="eastAsia"/>
                <w:color w:val="000000" w:themeColor="text1"/>
              </w:rPr>
              <w:t>储罐的进料管应从罐体下部接入；若必须从上部接入，宜延伸至距罐底200mm处。</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《石油化工企业设计防火规范》</w:t>
            </w:r>
            <w:r w:rsidRPr="00687B52">
              <w:rPr>
                <w:rFonts w:hint="eastAsia"/>
                <w:color w:val="000000" w:themeColor="text1"/>
              </w:rPr>
              <w:t>GB50160-2008</w:t>
            </w:r>
            <w:r w:rsidRPr="00687B52">
              <w:rPr>
                <w:rFonts w:hint="eastAsia"/>
                <w:color w:val="000000" w:themeColor="text1"/>
              </w:rPr>
              <w:t>第</w:t>
            </w:r>
            <w:r w:rsidRPr="00687B52">
              <w:rPr>
                <w:rFonts w:hint="eastAsia"/>
                <w:color w:val="000000" w:themeColor="text1"/>
              </w:rPr>
              <w:t>6.2.24</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C76CF3">
            <w:pPr>
              <w:pStyle w:val="a7"/>
              <w:rPr>
                <w:color w:val="000000" w:themeColor="text1"/>
              </w:rPr>
            </w:pPr>
            <w:r w:rsidRPr="00687B52">
              <w:rPr>
                <w:rFonts w:hint="eastAsia"/>
                <w:color w:val="000000" w:themeColor="text1"/>
              </w:rPr>
              <w:t>2.2</w:t>
            </w:r>
          </w:p>
        </w:tc>
        <w:tc>
          <w:tcPr>
            <w:tcW w:w="2324" w:type="pct"/>
            <w:gridSpan w:val="3"/>
            <w:vAlign w:val="center"/>
          </w:tcPr>
          <w:p w:rsidR="003E1D2A" w:rsidRPr="00687B52" w:rsidRDefault="003E1D2A" w:rsidP="003E1D2A">
            <w:pPr>
              <w:pStyle w:val="af8"/>
              <w:shd w:val="clear" w:color="auto" w:fill="FFFFFF"/>
              <w:spacing w:before="120" w:beforeAutospacing="0" w:after="120" w:afterAutospacing="0"/>
              <w:rPr>
                <w:rFonts w:asciiTheme="minorEastAsia" w:hAnsiTheme="minorEastAsia" w:cs="Arial"/>
                <w:color w:val="000000" w:themeColor="text1"/>
                <w:kern w:val="2"/>
              </w:rPr>
            </w:pPr>
            <w:r w:rsidRPr="00687B52">
              <w:rPr>
                <w:rFonts w:asciiTheme="minorEastAsia" w:hAnsiTheme="minorEastAsia" w:hint="eastAsia"/>
                <w:color w:val="000000" w:themeColor="text1"/>
              </w:rPr>
              <w:t>储罐的进出口管道应采用柔性连接。</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《石油化工企业设计防火规范》</w:t>
            </w:r>
            <w:r w:rsidRPr="00687B52">
              <w:rPr>
                <w:rFonts w:hint="eastAsia"/>
                <w:color w:val="000000" w:themeColor="text1"/>
              </w:rPr>
              <w:t>GB50160-2008</w:t>
            </w:r>
            <w:r w:rsidRPr="00687B52">
              <w:rPr>
                <w:rFonts w:hint="eastAsia"/>
                <w:color w:val="000000" w:themeColor="text1"/>
              </w:rPr>
              <w:t>第</w:t>
            </w:r>
            <w:r w:rsidRPr="00687B52">
              <w:rPr>
                <w:rFonts w:hint="eastAsia"/>
                <w:color w:val="000000" w:themeColor="text1"/>
              </w:rPr>
              <w:t>6.2.25</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C76CF3">
            <w:pPr>
              <w:pStyle w:val="a7"/>
              <w:rPr>
                <w:color w:val="000000" w:themeColor="text1"/>
              </w:rPr>
            </w:pPr>
            <w:r w:rsidRPr="00687B52">
              <w:rPr>
                <w:rFonts w:hint="eastAsia"/>
                <w:color w:val="000000" w:themeColor="text1"/>
              </w:rPr>
              <w:t>2.3</w:t>
            </w:r>
          </w:p>
        </w:tc>
        <w:tc>
          <w:tcPr>
            <w:tcW w:w="2324" w:type="pct"/>
            <w:gridSpan w:val="3"/>
            <w:vAlign w:val="center"/>
          </w:tcPr>
          <w:p w:rsidR="003E1D2A" w:rsidRPr="00687B52" w:rsidRDefault="003E1D2A" w:rsidP="003E1D2A">
            <w:pPr>
              <w:pStyle w:val="a7"/>
              <w:jc w:val="both"/>
              <w:rPr>
                <w:rFonts w:asciiTheme="minorEastAsia" w:hAnsiTheme="minorEastAsia"/>
                <w:color w:val="000000" w:themeColor="text1"/>
                <w:szCs w:val="24"/>
              </w:rPr>
            </w:pPr>
            <w:r w:rsidRPr="00687B52">
              <w:rPr>
                <w:rFonts w:hint="eastAsia"/>
                <w:color w:val="000000" w:themeColor="text1"/>
              </w:rPr>
              <w:t>除甲</w:t>
            </w:r>
            <w:r w:rsidRPr="00687B52">
              <w:rPr>
                <w:rFonts w:hint="eastAsia"/>
                <w:color w:val="000000" w:themeColor="text1"/>
              </w:rPr>
              <w:t>A</w:t>
            </w:r>
            <w:r w:rsidRPr="00687B52">
              <w:rPr>
                <w:rFonts w:hint="eastAsia"/>
                <w:color w:val="000000" w:themeColor="text1"/>
              </w:rPr>
              <w:t>类以外的可燃液体储罐的专用泵单独布置时，应布置在防火堤外，与可燃液体储罐的防火间距不限。</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《石油化工企业设计防火规范》</w:t>
            </w:r>
            <w:r w:rsidRPr="00687B52">
              <w:rPr>
                <w:rFonts w:hint="eastAsia"/>
                <w:color w:val="000000" w:themeColor="text1"/>
              </w:rPr>
              <w:t>GB50160-2008</w:t>
            </w:r>
            <w:r w:rsidRPr="00687B52">
              <w:rPr>
                <w:rFonts w:hint="eastAsia"/>
                <w:color w:val="000000" w:themeColor="text1"/>
              </w:rPr>
              <w:t>第</w:t>
            </w:r>
            <w:r w:rsidRPr="00687B52">
              <w:rPr>
                <w:rFonts w:hint="eastAsia"/>
                <w:color w:val="000000" w:themeColor="text1"/>
              </w:rPr>
              <w:t>5.3.6</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C76CF3">
            <w:pPr>
              <w:pStyle w:val="a7"/>
              <w:rPr>
                <w:color w:val="000000" w:themeColor="text1"/>
              </w:rPr>
            </w:pPr>
            <w:r w:rsidRPr="00687B52">
              <w:rPr>
                <w:rFonts w:hint="eastAsia"/>
                <w:color w:val="000000" w:themeColor="text1"/>
              </w:rPr>
              <w:t>2.4</w:t>
            </w:r>
          </w:p>
        </w:tc>
        <w:tc>
          <w:tcPr>
            <w:tcW w:w="2324" w:type="pct"/>
            <w:gridSpan w:val="3"/>
            <w:vAlign w:val="center"/>
          </w:tcPr>
          <w:p w:rsidR="003E1D2A" w:rsidRPr="00687B52" w:rsidRDefault="003E1D2A" w:rsidP="003E1D2A">
            <w:pPr>
              <w:pStyle w:val="a7"/>
              <w:jc w:val="both"/>
              <w:rPr>
                <w:rFonts w:asciiTheme="minorEastAsia" w:hAnsiTheme="minorEastAsia"/>
                <w:color w:val="000000" w:themeColor="text1"/>
                <w:szCs w:val="24"/>
              </w:rPr>
            </w:pPr>
            <w:r w:rsidRPr="00687B52">
              <w:rPr>
                <w:rFonts w:hint="eastAsia"/>
                <w:color w:val="000000" w:themeColor="text1"/>
              </w:rPr>
              <w:t>甲</w:t>
            </w:r>
            <w:r w:rsidRPr="00687B52">
              <w:rPr>
                <w:rFonts w:hint="eastAsia"/>
                <w:color w:val="000000" w:themeColor="text1"/>
              </w:rPr>
              <w:t>B</w:t>
            </w:r>
            <w:r w:rsidRPr="00687B52">
              <w:rPr>
                <w:rFonts w:hint="eastAsia"/>
                <w:color w:val="000000" w:themeColor="text1"/>
              </w:rPr>
              <w:t>、乙类液体的固定顶罐应设阻火器和呼吸阀；对于采用氮气或其他气体气封的甲</w:t>
            </w:r>
            <w:r w:rsidRPr="00687B52">
              <w:rPr>
                <w:rFonts w:hint="eastAsia"/>
                <w:color w:val="000000" w:themeColor="text1"/>
              </w:rPr>
              <w:t>B</w:t>
            </w:r>
            <w:r w:rsidRPr="00687B52">
              <w:rPr>
                <w:rFonts w:hint="eastAsia"/>
                <w:color w:val="000000" w:themeColor="text1"/>
              </w:rPr>
              <w:t>、乙类液体的储罐还应设置事故泄压设备。</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《石油化工企业设计防火规范》</w:t>
            </w:r>
            <w:r w:rsidRPr="00687B52">
              <w:rPr>
                <w:rFonts w:hint="eastAsia"/>
                <w:color w:val="000000" w:themeColor="text1"/>
              </w:rPr>
              <w:t>GB50160-2008</w:t>
            </w:r>
            <w:r w:rsidRPr="00687B52">
              <w:rPr>
                <w:rFonts w:hint="eastAsia"/>
                <w:color w:val="000000" w:themeColor="text1"/>
              </w:rPr>
              <w:t>第</w:t>
            </w:r>
            <w:r w:rsidRPr="00687B52">
              <w:rPr>
                <w:rFonts w:hint="eastAsia"/>
                <w:color w:val="000000" w:themeColor="text1"/>
              </w:rPr>
              <w:t>6.2.19</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4B5104">
            <w:pPr>
              <w:pStyle w:val="a7"/>
              <w:rPr>
                <w:color w:val="000000" w:themeColor="text1"/>
              </w:rPr>
            </w:pPr>
            <w:r w:rsidRPr="00687B52">
              <w:rPr>
                <w:rFonts w:hint="eastAsia"/>
                <w:color w:val="000000" w:themeColor="text1"/>
              </w:rPr>
              <w:t>2.</w:t>
            </w:r>
            <w:r w:rsidR="004B5104" w:rsidRPr="00687B52">
              <w:rPr>
                <w:rFonts w:hint="eastAsia"/>
                <w:color w:val="000000" w:themeColor="text1"/>
              </w:rPr>
              <w:t>5</w:t>
            </w:r>
          </w:p>
        </w:tc>
        <w:tc>
          <w:tcPr>
            <w:tcW w:w="2324" w:type="pct"/>
            <w:gridSpan w:val="3"/>
            <w:vAlign w:val="center"/>
          </w:tcPr>
          <w:p w:rsidR="003E1D2A" w:rsidRPr="00687B52" w:rsidRDefault="003E1D2A" w:rsidP="003E1D2A">
            <w:pPr>
              <w:pStyle w:val="a7"/>
              <w:jc w:val="both"/>
              <w:rPr>
                <w:rFonts w:asciiTheme="minorEastAsia" w:hAnsiTheme="minorEastAsia"/>
                <w:color w:val="000000" w:themeColor="text1"/>
                <w:szCs w:val="24"/>
              </w:rPr>
            </w:pPr>
            <w:r w:rsidRPr="00687B52">
              <w:rPr>
                <w:rFonts w:hint="eastAsia"/>
                <w:color w:val="000000" w:themeColor="text1"/>
              </w:rPr>
              <w:t>储存温度高于</w:t>
            </w:r>
            <w:r w:rsidRPr="00687B52">
              <w:rPr>
                <w:rFonts w:hint="eastAsia"/>
                <w:color w:val="000000" w:themeColor="text1"/>
              </w:rPr>
              <w:t>100</w:t>
            </w:r>
            <w:r w:rsidRPr="00687B52">
              <w:rPr>
                <w:rFonts w:hint="eastAsia"/>
                <w:color w:val="000000" w:themeColor="text1"/>
              </w:rPr>
              <w:t>℃的丙</w:t>
            </w:r>
            <w:r w:rsidRPr="00687B52">
              <w:rPr>
                <w:rFonts w:hint="eastAsia"/>
                <w:color w:val="000000" w:themeColor="text1"/>
              </w:rPr>
              <w:t>B</w:t>
            </w:r>
            <w:r w:rsidRPr="00687B52">
              <w:rPr>
                <w:rFonts w:hint="eastAsia"/>
                <w:color w:val="000000" w:themeColor="text1"/>
              </w:rPr>
              <w:t>类液体储罐应设专用扫线罐。</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《石油化工企业设计防火规范》</w:t>
            </w:r>
            <w:r w:rsidRPr="00687B52">
              <w:rPr>
                <w:rFonts w:hint="eastAsia"/>
                <w:color w:val="000000" w:themeColor="text1"/>
              </w:rPr>
              <w:t>GB50160-2008</w:t>
            </w:r>
            <w:r w:rsidRPr="00687B52">
              <w:rPr>
                <w:rFonts w:hint="eastAsia"/>
                <w:color w:val="000000" w:themeColor="text1"/>
              </w:rPr>
              <w:t>第</w:t>
            </w:r>
            <w:r w:rsidRPr="00687B52">
              <w:rPr>
                <w:rFonts w:hint="eastAsia"/>
                <w:color w:val="000000" w:themeColor="text1"/>
              </w:rPr>
              <w:t>6.2.21</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4B5104">
            <w:pPr>
              <w:pStyle w:val="a7"/>
              <w:rPr>
                <w:color w:val="000000" w:themeColor="text1"/>
              </w:rPr>
            </w:pPr>
            <w:r w:rsidRPr="00687B52">
              <w:rPr>
                <w:rFonts w:hint="eastAsia"/>
                <w:color w:val="000000" w:themeColor="text1"/>
              </w:rPr>
              <w:t>2.</w:t>
            </w:r>
            <w:r w:rsidR="004B5104" w:rsidRPr="00687B52">
              <w:rPr>
                <w:rFonts w:hint="eastAsia"/>
                <w:color w:val="000000" w:themeColor="text1"/>
              </w:rPr>
              <w:t>6</w:t>
            </w:r>
          </w:p>
        </w:tc>
        <w:tc>
          <w:tcPr>
            <w:tcW w:w="2324" w:type="pct"/>
            <w:gridSpan w:val="3"/>
            <w:vAlign w:val="center"/>
          </w:tcPr>
          <w:p w:rsidR="003E1D2A" w:rsidRPr="00687B52" w:rsidRDefault="003E1D2A" w:rsidP="003E1D2A">
            <w:pPr>
              <w:pStyle w:val="a7"/>
              <w:jc w:val="both"/>
              <w:rPr>
                <w:rFonts w:asciiTheme="minorEastAsia" w:hAnsiTheme="minorEastAsia"/>
                <w:color w:val="000000" w:themeColor="text1"/>
                <w:szCs w:val="24"/>
              </w:rPr>
            </w:pPr>
            <w:r w:rsidRPr="00687B52">
              <w:rPr>
                <w:rFonts w:hint="eastAsia"/>
                <w:color w:val="000000" w:themeColor="text1"/>
              </w:rPr>
              <w:t>设有蒸汽加热器的储罐应采取防止液体超温的措施。</w:t>
            </w:r>
            <w:r w:rsidRPr="00687B52">
              <w:rPr>
                <w:rFonts w:hint="eastAsia"/>
                <w:color w:val="000000" w:themeColor="text1"/>
              </w:rPr>
              <w:t> </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《石油化工企业设计防火规范》</w:t>
            </w:r>
            <w:r w:rsidRPr="00687B52">
              <w:rPr>
                <w:rFonts w:hint="eastAsia"/>
                <w:color w:val="000000" w:themeColor="text1"/>
              </w:rPr>
              <w:t>GB50160-2008</w:t>
            </w:r>
            <w:r w:rsidRPr="00687B52">
              <w:rPr>
                <w:rFonts w:hint="eastAsia"/>
                <w:color w:val="000000" w:themeColor="text1"/>
              </w:rPr>
              <w:t>第</w:t>
            </w:r>
            <w:r w:rsidRPr="00687B52">
              <w:rPr>
                <w:rFonts w:hint="eastAsia"/>
                <w:color w:val="000000" w:themeColor="text1"/>
              </w:rPr>
              <w:t>6.2.22</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4B5104" w:rsidP="00C76CF3">
            <w:pPr>
              <w:pStyle w:val="a7"/>
              <w:rPr>
                <w:color w:val="000000" w:themeColor="text1"/>
              </w:rPr>
            </w:pPr>
            <w:r w:rsidRPr="00687B52">
              <w:rPr>
                <w:rFonts w:hint="eastAsia"/>
                <w:color w:val="000000" w:themeColor="text1"/>
              </w:rPr>
              <w:t>2.7</w:t>
            </w:r>
          </w:p>
        </w:tc>
        <w:tc>
          <w:tcPr>
            <w:tcW w:w="2324" w:type="pct"/>
            <w:gridSpan w:val="3"/>
            <w:vAlign w:val="center"/>
          </w:tcPr>
          <w:p w:rsidR="003E1D2A" w:rsidRPr="00687B52" w:rsidRDefault="003E1D2A" w:rsidP="003E1D2A">
            <w:pPr>
              <w:pStyle w:val="a7"/>
              <w:jc w:val="left"/>
              <w:rPr>
                <w:rFonts w:ascii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可燃液体的储罐应设液位计和高液位报警器，必要时可设自动联锁切断进料设施；并宜设自动脱水器。</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《石油化工企业设计防火规范》</w:t>
            </w:r>
            <w:r w:rsidRPr="00687B52">
              <w:rPr>
                <w:rFonts w:hint="eastAsia"/>
                <w:color w:val="000000" w:themeColor="text1"/>
              </w:rPr>
              <w:t>GB50160-2008</w:t>
            </w:r>
            <w:r w:rsidRPr="00687B52">
              <w:rPr>
                <w:rFonts w:hint="eastAsia"/>
                <w:color w:val="000000" w:themeColor="text1"/>
              </w:rPr>
              <w:t>第</w:t>
            </w:r>
            <w:r w:rsidRPr="00687B52">
              <w:rPr>
                <w:rFonts w:hint="eastAsia"/>
                <w:color w:val="000000" w:themeColor="text1"/>
              </w:rPr>
              <w:t>6.2.23</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4B5104">
            <w:pPr>
              <w:pStyle w:val="a7"/>
              <w:rPr>
                <w:color w:val="000000" w:themeColor="text1"/>
              </w:rPr>
            </w:pPr>
            <w:r w:rsidRPr="00687B52">
              <w:rPr>
                <w:rFonts w:hint="eastAsia"/>
                <w:color w:val="000000" w:themeColor="text1"/>
              </w:rPr>
              <w:t>2.</w:t>
            </w:r>
            <w:r w:rsidR="004B5104" w:rsidRPr="00687B52">
              <w:rPr>
                <w:rFonts w:hint="eastAsia"/>
                <w:color w:val="000000" w:themeColor="text1"/>
              </w:rPr>
              <w:t>8</w:t>
            </w:r>
          </w:p>
        </w:tc>
        <w:tc>
          <w:tcPr>
            <w:tcW w:w="2324" w:type="pct"/>
            <w:gridSpan w:val="3"/>
            <w:vAlign w:val="center"/>
          </w:tcPr>
          <w:p w:rsidR="003E1D2A" w:rsidRPr="00687B52" w:rsidRDefault="003E1D2A" w:rsidP="003E1D2A">
            <w:pPr>
              <w:pStyle w:val="a7"/>
              <w:jc w:val="left"/>
              <w:rPr>
                <w:rFonts w:ascii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液氨储罐应设液位计、压力表和安全阀；低温液氨储罐尚应设温度指示仪。</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《石油化工企业设计防火规范》</w:t>
            </w:r>
            <w:r w:rsidRPr="00687B52">
              <w:rPr>
                <w:rFonts w:hint="eastAsia"/>
                <w:color w:val="000000" w:themeColor="text1"/>
              </w:rPr>
              <w:t>GB50160-2008</w:t>
            </w:r>
            <w:r w:rsidRPr="00687B52">
              <w:rPr>
                <w:rFonts w:hint="eastAsia"/>
                <w:color w:val="000000" w:themeColor="text1"/>
              </w:rPr>
              <w:t>第</w:t>
            </w:r>
            <w:r w:rsidRPr="00687B52">
              <w:rPr>
                <w:rFonts w:hint="eastAsia"/>
                <w:color w:val="000000" w:themeColor="text1"/>
              </w:rPr>
              <w:t>6.3.10</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4B5104">
            <w:pPr>
              <w:pStyle w:val="a7"/>
              <w:rPr>
                <w:color w:val="000000" w:themeColor="text1"/>
              </w:rPr>
            </w:pPr>
            <w:r w:rsidRPr="00687B52">
              <w:rPr>
                <w:rFonts w:hint="eastAsia"/>
                <w:color w:val="000000" w:themeColor="text1"/>
              </w:rPr>
              <w:t>2.</w:t>
            </w:r>
            <w:r w:rsidR="004B5104" w:rsidRPr="00687B52">
              <w:rPr>
                <w:rFonts w:hint="eastAsia"/>
                <w:color w:val="000000" w:themeColor="text1"/>
              </w:rPr>
              <w:t>9</w:t>
            </w:r>
          </w:p>
        </w:tc>
        <w:tc>
          <w:tcPr>
            <w:tcW w:w="2324" w:type="pct"/>
            <w:gridSpan w:val="3"/>
            <w:vAlign w:val="center"/>
          </w:tcPr>
          <w:p w:rsidR="003E1D2A" w:rsidRPr="00687B52" w:rsidRDefault="003E1D2A" w:rsidP="003E1D2A">
            <w:pPr>
              <w:pStyle w:val="a7"/>
              <w:jc w:val="left"/>
              <w:rPr>
                <w:rFonts w:ascii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储罐应采用钢罐。</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《石油化工企业设计防火规范》</w:t>
            </w:r>
            <w:r w:rsidRPr="00687B52">
              <w:rPr>
                <w:rFonts w:hint="eastAsia"/>
                <w:color w:val="000000" w:themeColor="text1"/>
              </w:rPr>
              <w:t>GB50160-2008</w:t>
            </w:r>
            <w:r w:rsidRPr="00687B52">
              <w:rPr>
                <w:rFonts w:hint="eastAsia"/>
                <w:color w:val="000000" w:themeColor="text1"/>
              </w:rPr>
              <w:t>第</w:t>
            </w:r>
            <w:r w:rsidRPr="00687B52">
              <w:rPr>
                <w:rFonts w:hint="eastAsia"/>
                <w:color w:val="000000" w:themeColor="text1"/>
              </w:rPr>
              <w:t>6.2.1</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4B5104">
            <w:pPr>
              <w:pStyle w:val="a7"/>
              <w:rPr>
                <w:color w:val="000000" w:themeColor="text1"/>
              </w:rPr>
            </w:pPr>
            <w:r w:rsidRPr="00687B52">
              <w:rPr>
                <w:rFonts w:hint="eastAsia"/>
                <w:color w:val="000000" w:themeColor="text1"/>
              </w:rPr>
              <w:t>2.1</w:t>
            </w:r>
            <w:r w:rsidR="004B5104" w:rsidRPr="00687B52">
              <w:rPr>
                <w:rFonts w:hint="eastAsia"/>
                <w:color w:val="000000" w:themeColor="text1"/>
              </w:rPr>
              <w:t>0</w:t>
            </w:r>
          </w:p>
        </w:tc>
        <w:tc>
          <w:tcPr>
            <w:tcW w:w="2324" w:type="pct"/>
            <w:gridSpan w:val="3"/>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罐组的总容积应符合下列规定：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1固定顶罐组的总容积不应大于120000m</w:t>
            </w:r>
            <w:r w:rsidRPr="00687B52">
              <w:rPr>
                <w:rFonts w:asciiTheme="minorEastAsia" w:eastAsiaTheme="minorEastAsia" w:hAnsiTheme="minorEastAsia" w:hint="eastAsia"/>
                <w:color w:val="000000" w:themeColor="text1"/>
                <w:szCs w:val="24"/>
                <w:vertAlign w:val="superscript"/>
              </w:rPr>
              <w:t>3</w:t>
            </w:r>
            <w:r w:rsidRPr="00687B52">
              <w:rPr>
                <w:rFonts w:asciiTheme="minorEastAsia" w:eastAsiaTheme="minorEastAsia" w:hAnsiTheme="minorEastAsia" w:hint="eastAsia"/>
                <w:color w:val="000000" w:themeColor="text1"/>
                <w:szCs w:val="24"/>
              </w:rPr>
              <w:t>； </w:t>
            </w:r>
          </w:p>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2浮顶、内浮顶罐组的总容积不应大于600000m</w:t>
            </w:r>
            <w:r w:rsidRPr="00687B52">
              <w:rPr>
                <w:rFonts w:asciiTheme="minorEastAsia" w:eastAsiaTheme="minorEastAsia" w:hAnsiTheme="minorEastAsia" w:hint="eastAsia"/>
                <w:color w:val="000000" w:themeColor="text1"/>
                <w:szCs w:val="24"/>
                <w:vertAlign w:val="superscript"/>
              </w:rPr>
              <w:t>3</w:t>
            </w:r>
            <w:r w:rsidRPr="00687B52">
              <w:rPr>
                <w:rFonts w:asciiTheme="minorEastAsia" w:eastAsiaTheme="minorEastAsia" w:hAnsiTheme="minorEastAsia" w:hint="eastAsia"/>
                <w:color w:val="000000" w:themeColor="text1"/>
                <w:szCs w:val="24"/>
              </w:rPr>
              <w:t>； </w:t>
            </w:r>
          </w:p>
          <w:p w:rsidR="003E1D2A" w:rsidRPr="00687B52" w:rsidRDefault="003E1D2A" w:rsidP="003E1D2A">
            <w:pPr>
              <w:pStyle w:val="a7"/>
              <w:jc w:val="left"/>
              <w:rPr>
                <w:rFonts w:ascii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3固定顶罐和浮顶、内浮顶罐的混合罐组的总容积不应大于120000m</w:t>
            </w:r>
            <w:r w:rsidRPr="00687B52">
              <w:rPr>
                <w:rFonts w:asciiTheme="minorEastAsia" w:eastAsiaTheme="minorEastAsia" w:hAnsiTheme="minorEastAsia" w:hint="eastAsia"/>
                <w:color w:val="000000" w:themeColor="text1"/>
                <w:szCs w:val="24"/>
                <w:vertAlign w:val="superscript"/>
              </w:rPr>
              <w:t>3</w:t>
            </w:r>
            <w:r w:rsidRPr="00687B52">
              <w:rPr>
                <w:rFonts w:asciiTheme="minorEastAsia" w:eastAsiaTheme="minorEastAsia" w:hAnsiTheme="minorEastAsia" w:hint="eastAsia"/>
                <w:color w:val="000000" w:themeColor="text1"/>
                <w:szCs w:val="24"/>
              </w:rPr>
              <w:t>；其中浮顶、内浮顶罐的容积可折半计算。</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《石油化工企业设计防火规范》</w:t>
            </w:r>
            <w:r w:rsidRPr="00687B52">
              <w:rPr>
                <w:rFonts w:hint="eastAsia"/>
                <w:color w:val="000000" w:themeColor="text1"/>
              </w:rPr>
              <w:t>GB50160-2008</w:t>
            </w:r>
            <w:r w:rsidRPr="00687B52">
              <w:rPr>
                <w:rFonts w:hint="eastAsia"/>
                <w:color w:val="000000" w:themeColor="text1"/>
              </w:rPr>
              <w:t>第</w:t>
            </w:r>
            <w:r w:rsidRPr="00687B52">
              <w:rPr>
                <w:rFonts w:hint="eastAsia"/>
                <w:color w:val="000000" w:themeColor="text1"/>
              </w:rPr>
              <w:t>6.2.6</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4B5104">
            <w:pPr>
              <w:pStyle w:val="a7"/>
              <w:rPr>
                <w:color w:val="000000" w:themeColor="text1"/>
              </w:rPr>
            </w:pPr>
            <w:r w:rsidRPr="00687B52">
              <w:rPr>
                <w:rFonts w:hint="eastAsia"/>
                <w:color w:val="000000" w:themeColor="text1"/>
              </w:rPr>
              <w:t>2.1</w:t>
            </w:r>
            <w:r w:rsidR="004B5104" w:rsidRPr="00687B52">
              <w:rPr>
                <w:rFonts w:hint="eastAsia"/>
                <w:color w:val="000000" w:themeColor="text1"/>
              </w:rPr>
              <w:t>1</w:t>
            </w:r>
          </w:p>
        </w:tc>
        <w:tc>
          <w:tcPr>
            <w:tcW w:w="2324" w:type="pct"/>
            <w:gridSpan w:val="3"/>
            <w:vAlign w:val="center"/>
          </w:tcPr>
          <w:p w:rsidR="003E1D2A" w:rsidRPr="00687B52" w:rsidRDefault="003E1D2A" w:rsidP="003E1D2A">
            <w:pPr>
              <w:pStyle w:val="a7"/>
              <w:jc w:val="left"/>
              <w:rPr>
                <w:rFonts w:ascii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罐组内单罐容积大于或等于10000m</w:t>
            </w:r>
            <w:r w:rsidRPr="00687B52">
              <w:rPr>
                <w:rFonts w:asciiTheme="minorEastAsia" w:eastAsiaTheme="minorEastAsia" w:hAnsiTheme="minorEastAsia" w:hint="eastAsia"/>
                <w:color w:val="000000" w:themeColor="text1"/>
                <w:szCs w:val="24"/>
                <w:vertAlign w:val="superscript"/>
              </w:rPr>
              <w:t>3</w:t>
            </w:r>
            <w:r w:rsidRPr="00687B52">
              <w:rPr>
                <w:rFonts w:asciiTheme="minorEastAsia" w:eastAsiaTheme="minorEastAsia" w:hAnsiTheme="minorEastAsia" w:hint="eastAsia"/>
                <w:color w:val="000000" w:themeColor="text1"/>
                <w:szCs w:val="24"/>
              </w:rPr>
              <w:t>的储罐个数不应多于12个；单罐容积小于10000m</w:t>
            </w:r>
            <w:r w:rsidRPr="00687B52">
              <w:rPr>
                <w:rFonts w:asciiTheme="minorEastAsia" w:eastAsiaTheme="minorEastAsia" w:hAnsiTheme="minorEastAsia" w:hint="eastAsia"/>
                <w:color w:val="000000" w:themeColor="text1"/>
                <w:szCs w:val="24"/>
                <w:vertAlign w:val="superscript"/>
              </w:rPr>
              <w:t>3</w:t>
            </w:r>
            <w:r w:rsidRPr="00687B52">
              <w:rPr>
                <w:rFonts w:asciiTheme="minorEastAsia" w:eastAsiaTheme="minorEastAsia" w:hAnsiTheme="minorEastAsia" w:hint="eastAsia"/>
                <w:color w:val="000000" w:themeColor="text1"/>
                <w:szCs w:val="24"/>
              </w:rPr>
              <w:t>的储罐个数不应多于16个；但单罐容积均小于1000m</w:t>
            </w:r>
            <w:r w:rsidRPr="00687B52">
              <w:rPr>
                <w:rFonts w:asciiTheme="minorEastAsia" w:eastAsiaTheme="minorEastAsia" w:hAnsiTheme="minorEastAsia" w:hint="eastAsia"/>
                <w:color w:val="000000" w:themeColor="text1"/>
                <w:szCs w:val="24"/>
                <w:vertAlign w:val="superscript"/>
              </w:rPr>
              <w:t>3</w:t>
            </w:r>
            <w:r w:rsidRPr="00687B52">
              <w:rPr>
                <w:rFonts w:asciiTheme="minorEastAsia" w:eastAsiaTheme="minorEastAsia" w:hAnsiTheme="minorEastAsia" w:hint="eastAsia"/>
                <w:color w:val="000000" w:themeColor="text1"/>
                <w:szCs w:val="24"/>
              </w:rPr>
              <w:t>储罐以及丙B类液体储罐的个数不受此限。</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《石油化工企业设计防火规范》</w:t>
            </w:r>
            <w:r w:rsidRPr="00687B52">
              <w:rPr>
                <w:rFonts w:hint="eastAsia"/>
                <w:color w:val="000000" w:themeColor="text1"/>
              </w:rPr>
              <w:t>GB50160-2008</w:t>
            </w:r>
            <w:r w:rsidRPr="00687B52">
              <w:rPr>
                <w:rFonts w:hint="eastAsia"/>
                <w:color w:val="000000" w:themeColor="text1"/>
              </w:rPr>
              <w:t>第</w:t>
            </w:r>
            <w:r w:rsidRPr="00687B52">
              <w:rPr>
                <w:rFonts w:hint="eastAsia"/>
                <w:color w:val="000000" w:themeColor="text1"/>
              </w:rPr>
              <w:t>6.2.7</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4B5104">
            <w:pPr>
              <w:pStyle w:val="a7"/>
              <w:rPr>
                <w:color w:val="000000" w:themeColor="text1"/>
              </w:rPr>
            </w:pPr>
            <w:r w:rsidRPr="00687B52">
              <w:rPr>
                <w:rFonts w:hint="eastAsia"/>
                <w:color w:val="000000" w:themeColor="text1"/>
              </w:rPr>
              <w:t>2.1</w:t>
            </w:r>
            <w:r w:rsidR="004B5104" w:rsidRPr="00687B52">
              <w:rPr>
                <w:rFonts w:hint="eastAsia"/>
                <w:color w:val="000000" w:themeColor="text1"/>
              </w:rPr>
              <w:t>2</w:t>
            </w:r>
          </w:p>
        </w:tc>
        <w:tc>
          <w:tcPr>
            <w:tcW w:w="2324" w:type="pct"/>
            <w:gridSpan w:val="3"/>
            <w:vAlign w:val="center"/>
          </w:tcPr>
          <w:p w:rsidR="003E1D2A" w:rsidRPr="00687B52" w:rsidRDefault="003E1D2A" w:rsidP="004B510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在生产或使用可燃气体及有毒气体的工艺装置和储运设施的区域内，对可能发生可燃气体和有毒气体的泄漏进行检测时，应按下列规定设置可燃气体检（探）测器和有毒气体检（探）测器。</w:t>
            </w:r>
          </w:p>
          <w:p w:rsidR="003E1D2A" w:rsidRPr="00687B52" w:rsidRDefault="003E1D2A" w:rsidP="004B510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 可燃气体或含有毒气体的可燃气体泄漏时，可燃气体浓度可能达到25%爆炸下限，但有毒气体不能达到最高容许浓度时，应设置可燃气体检（探）测器；</w:t>
            </w:r>
          </w:p>
          <w:p w:rsidR="003E1D2A" w:rsidRPr="00687B52" w:rsidRDefault="003E1D2A" w:rsidP="004B510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 有毒气体或含有可燃气体的有毒气体泄漏时，有毒气体可能达到最高容许浓度，但可燃气体不能达到25%爆炸下限时，应设置有毒气体检（探）测器；</w:t>
            </w:r>
          </w:p>
          <w:p w:rsidR="003E1D2A" w:rsidRPr="00687B52" w:rsidRDefault="003E1D2A" w:rsidP="004B510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3可燃气体与有毒气体同时存在的场所，可燃气体浓度可能达到25%爆炸下限，有毒气体也可能达到最高容许浓度时，应分别设置可燃气体和有毒气体检（探）测器。</w:t>
            </w:r>
          </w:p>
          <w:p w:rsidR="003E1D2A" w:rsidRPr="00687B52" w:rsidRDefault="003E1D2A" w:rsidP="004B5104">
            <w:pPr>
              <w:pStyle w:val="a7"/>
              <w:jc w:val="left"/>
              <w:rPr>
                <w:rFonts w:ascii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4既属可燃气体又属有毒气体，只设有毒气体检（探）测器。</w:t>
            </w:r>
          </w:p>
        </w:tc>
        <w:tc>
          <w:tcPr>
            <w:tcW w:w="1059"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《石油化工可燃气体和有毒气体检测报警设计规范》GB50493-2009</w:t>
            </w:r>
          </w:p>
          <w:p w:rsidR="003E1D2A" w:rsidRPr="00687B52" w:rsidRDefault="003E1D2A" w:rsidP="003E1D2A">
            <w:pPr>
              <w:pStyle w:val="a7"/>
              <w:rPr>
                <w:color w:val="000000" w:themeColor="text1"/>
              </w:rPr>
            </w:pPr>
            <w:r w:rsidRPr="00687B52">
              <w:rPr>
                <w:rFonts w:asciiTheme="minorEastAsia" w:eastAsiaTheme="minorEastAsia" w:hAnsiTheme="minorEastAsia" w:hint="eastAsia"/>
                <w:color w:val="000000" w:themeColor="text1"/>
                <w:szCs w:val="24"/>
              </w:rPr>
              <w:t>第3.0.1条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4B5104">
            <w:pPr>
              <w:pStyle w:val="a7"/>
              <w:rPr>
                <w:color w:val="000000" w:themeColor="text1"/>
              </w:rPr>
            </w:pPr>
            <w:r w:rsidRPr="00687B52">
              <w:rPr>
                <w:rFonts w:hint="eastAsia"/>
                <w:color w:val="000000" w:themeColor="text1"/>
              </w:rPr>
              <w:t>2.1</w:t>
            </w:r>
            <w:r w:rsidR="004B5104" w:rsidRPr="00687B52">
              <w:rPr>
                <w:rFonts w:hint="eastAsia"/>
                <w:color w:val="000000" w:themeColor="text1"/>
              </w:rPr>
              <w:t>3</w:t>
            </w:r>
          </w:p>
        </w:tc>
        <w:tc>
          <w:tcPr>
            <w:tcW w:w="2324" w:type="pct"/>
            <w:gridSpan w:val="3"/>
            <w:vAlign w:val="center"/>
          </w:tcPr>
          <w:p w:rsidR="003E1D2A" w:rsidRPr="00687B52" w:rsidRDefault="003E1D2A" w:rsidP="004B510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可燃气体和有毒气体的检测系统，应采用两级报警。同一检测区域内的有毒气体、可燃气体检（探）测器同时报警时，应遵循下列原则：</w:t>
            </w:r>
          </w:p>
          <w:p w:rsidR="003E1D2A" w:rsidRPr="00687B52" w:rsidRDefault="003E1D2A" w:rsidP="004B510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 同一级别的报警中，有毒气体的报警优先。</w:t>
            </w:r>
          </w:p>
          <w:p w:rsidR="003E1D2A" w:rsidRPr="00687B52" w:rsidRDefault="003E1D2A" w:rsidP="004B510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 二级报警优先于一级报警。</w:t>
            </w:r>
          </w:p>
        </w:tc>
        <w:tc>
          <w:tcPr>
            <w:tcW w:w="1059" w:type="pct"/>
            <w:vAlign w:val="center"/>
          </w:tcPr>
          <w:p w:rsidR="003E1D2A" w:rsidRPr="00687B52" w:rsidRDefault="003E1D2A" w:rsidP="004B510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《石油化工可燃气体和有毒气体检测报警设计规范》GB50493-2009</w:t>
            </w:r>
          </w:p>
          <w:p w:rsidR="003E1D2A" w:rsidRPr="00687B52" w:rsidRDefault="003E1D2A" w:rsidP="004B510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第3.0.2条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4B5104">
            <w:pPr>
              <w:pStyle w:val="a7"/>
              <w:rPr>
                <w:color w:val="000000" w:themeColor="text1"/>
              </w:rPr>
            </w:pPr>
            <w:r w:rsidRPr="00687B52">
              <w:rPr>
                <w:rFonts w:hint="eastAsia"/>
                <w:color w:val="000000" w:themeColor="text1"/>
              </w:rPr>
              <w:t>2.1</w:t>
            </w:r>
            <w:r w:rsidR="004B5104" w:rsidRPr="00687B52">
              <w:rPr>
                <w:rFonts w:hint="eastAsia"/>
                <w:color w:val="000000" w:themeColor="text1"/>
              </w:rPr>
              <w:t>4</w:t>
            </w:r>
          </w:p>
        </w:tc>
        <w:tc>
          <w:tcPr>
            <w:tcW w:w="2324" w:type="pct"/>
            <w:gridSpan w:val="3"/>
            <w:vAlign w:val="center"/>
          </w:tcPr>
          <w:p w:rsidR="003E1D2A" w:rsidRPr="00687B52" w:rsidRDefault="003E1D2A" w:rsidP="003E1D2A">
            <w:pPr>
              <w:pStyle w:val="a7"/>
              <w:jc w:val="left"/>
              <w:rPr>
                <w:rFonts w:ascii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报警信号应发送至现场报警器和有人员值守的控制室或现场操作室的指示报警设备，并且进行声光报警。</w:t>
            </w:r>
          </w:p>
        </w:tc>
        <w:tc>
          <w:tcPr>
            <w:tcW w:w="1059"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《石油化工可燃气体和有毒气体检测报警设计规范》GB50493-2009</w:t>
            </w:r>
          </w:p>
          <w:p w:rsidR="003E1D2A" w:rsidRPr="00687B52" w:rsidRDefault="003E1D2A" w:rsidP="003E1D2A">
            <w:pPr>
              <w:pStyle w:val="a7"/>
              <w:rPr>
                <w:color w:val="000000" w:themeColor="text1"/>
              </w:rPr>
            </w:pPr>
            <w:r w:rsidRPr="00687B52">
              <w:rPr>
                <w:rFonts w:asciiTheme="minorEastAsia" w:eastAsiaTheme="minorEastAsia" w:hAnsiTheme="minorEastAsia" w:hint="eastAsia"/>
                <w:color w:val="000000" w:themeColor="text1"/>
                <w:szCs w:val="24"/>
              </w:rPr>
              <w:t>第3.0.3条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4B5104">
            <w:pPr>
              <w:pStyle w:val="a7"/>
              <w:rPr>
                <w:color w:val="000000" w:themeColor="text1"/>
              </w:rPr>
            </w:pPr>
            <w:r w:rsidRPr="00687B52">
              <w:rPr>
                <w:rFonts w:hint="eastAsia"/>
                <w:color w:val="000000" w:themeColor="text1"/>
              </w:rPr>
              <w:t>2.1</w:t>
            </w:r>
            <w:r w:rsidR="004B5104" w:rsidRPr="00687B52">
              <w:rPr>
                <w:rFonts w:hint="eastAsia"/>
                <w:color w:val="000000" w:themeColor="text1"/>
              </w:rPr>
              <w:t>5</w:t>
            </w:r>
          </w:p>
        </w:tc>
        <w:tc>
          <w:tcPr>
            <w:tcW w:w="2324" w:type="pct"/>
            <w:gridSpan w:val="3"/>
            <w:vAlign w:val="center"/>
          </w:tcPr>
          <w:p w:rsidR="003E1D2A" w:rsidRPr="00687B52" w:rsidRDefault="003E1D2A" w:rsidP="003E1D2A">
            <w:pPr>
              <w:spacing w:line="320" w:lineRule="exact"/>
              <w:jc w:val="center"/>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压力容器、压力管道上的</w:t>
            </w:r>
            <w:r w:rsidRPr="00687B52">
              <w:rPr>
                <w:rFonts w:asciiTheme="minorEastAsia" w:hAnsiTheme="minorEastAsia" w:cs="Arial"/>
                <w:color w:val="000000" w:themeColor="text1"/>
                <w:sz w:val="24"/>
                <w:szCs w:val="24"/>
              </w:rPr>
              <w:t>压力表安装前应当进行校</w:t>
            </w:r>
            <w:r w:rsidRPr="00687B52">
              <w:rPr>
                <w:rFonts w:asciiTheme="minorEastAsia" w:hAnsiTheme="minorEastAsia" w:cs="Arial" w:hint="eastAsia"/>
                <w:color w:val="000000" w:themeColor="text1"/>
                <w:sz w:val="24"/>
                <w:szCs w:val="24"/>
              </w:rPr>
              <w:t>定</w:t>
            </w:r>
            <w:r w:rsidRPr="00687B52">
              <w:rPr>
                <w:rFonts w:asciiTheme="minorEastAsia" w:hAnsiTheme="minorEastAsia" w:cs="Arial"/>
                <w:color w:val="000000" w:themeColor="text1"/>
                <w:sz w:val="24"/>
                <w:szCs w:val="24"/>
              </w:rPr>
              <w:t>，在刻度盘上应当划出指示工作压力的红线，注明下次校验日期。</w:t>
            </w:r>
            <w:r w:rsidRPr="00687B52">
              <w:rPr>
                <w:rFonts w:asciiTheme="minorEastAsia" w:hAnsiTheme="minorEastAsia" w:cs="Arial" w:hint="eastAsia"/>
                <w:color w:val="000000" w:themeColor="text1"/>
                <w:sz w:val="24"/>
                <w:szCs w:val="24"/>
              </w:rPr>
              <w:t>压力表检定后应当加铅封。</w:t>
            </w:r>
            <w:r w:rsidRPr="00687B52">
              <w:rPr>
                <w:rFonts w:asciiTheme="minorEastAsia" w:hAnsiTheme="minorEastAsia" w:cs="Arial"/>
                <w:color w:val="000000" w:themeColor="text1"/>
                <w:sz w:val="24"/>
                <w:szCs w:val="24"/>
              </w:rPr>
              <w:t>压力表</w:t>
            </w:r>
            <w:r w:rsidRPr="00687B52">
              <w:rPr>
                <w:rFonts w:asciiTheme="minorEastAsia" w:hAnsiTheme="minorEastAsia" w:cs="Arial" w:hint="eastAsia"/>
                <w:color w:val="000000" w:themeColor="text1"/>
                <w:sz w:val="24"/>
                <w:szCs w:val="24"/>
              </w:rPr>
              <w:t>应按相关规定定期校验。</w:t>
            </w:r>
          </w:p>
        </w:tc>
        <w:tc>
          <w:tcPr>
            <w:tcW w:w="1059"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《固定式压力容器安全技术监察规程》TSG</w:t>
            </w:r>
            <w:r w:rsidRPr="00687B52">
              <w:rPr>
                <w:rFonts w:asciiTheme="minorEastAsia" w:eastAsiaTheme="minorEastAsia" w:hAnsiTheme="minorEastAsia" w:hint="eastAsia"/>
                <w:color w:val="000000" w:themeColor="text1"/>
                <w:szCs w:val="24"/>
              </w:rPr>
              <w:t>21</w:t>
            </w:r>
            <w:r w:rsidRPr="00687B52">
              <w:rPr>
                <w:rFonts w:asciiTheme="minorEastAsia" w:eastAsiaTheme="minorEastAsia" w:hAnsiTheme="minorEastAsia"/>
                <w:color w:val="000000" w:themeColor="text1"/>
                <w:szCs w:val="24"/>
              </w:rPr>
              <w:t>-20</w:t>
            </w:r>
            <w:r w:rsidRPr="00687B52">
              <w:rPr>
                <w:rFonts w:asciiTheme="minorEastAsia" w:eastAsiaTheme="minorEastAsia" w:hAnsiTheme="minorEastAsia" w:hint="eastAsia"/>
                <w:color w:val="000000" w:themeColor="text1"/>
                <w:szCs w:val="24"/>
              </w:rPr>
              <w:t>16</w:t>
            </w:r>
          </w:p>
          <w:p w:rsidR="003E1D2A" w:rsidRPr="00687B52" w:rsidRDefault="003E1D2A" w:rsidP="003E1D2A">
            <w:pPr>
              <w:pStyle w:val="a7"/>
              <w:rPr>
                <w:color w:val="000000" w:themeColor="text1"/>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9.2.1.</w:t>
            </w:r>
            <w:r w:rsidRPr="00687B52">
              <w:rPr>
                <w:rFonts w:asciiTheme="minorEastAsia" w:eastAsiaTheme="minorEastAsia" w:hAnsiTheme="minorEastAsia"/>
                <w:color w:val="000000" w:themeColor="text1"/>
                <w:szCs w:val="24"/>
              </w:rPr>
              <w:t>2条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C76CF3">
            <w:pPr>
              <w:pStyle w:val="a7"/>
              <w:rPr>
                <w:b/>
                <w:bCs/>
                <w:color w:val="000000" w:themeColor="text1"/>
              </w:rPr>
            </w:pPr>
            <w:r w:rsidRPr="00687B52">
              <w:rPr>
                <w:rFonts w:hint="eastAsia"/>
                <w:b/>
                <w:bCs/>
                <w:color w:val="000000" w:themeColor="text1"/>
              </w:rPr>
              <w:t>3</w:t>
            </w:r>
          </w:p>
        </w:tc>
        <w:tc>
          <w:tcPr>
            <w:tcW w:w="2324" w:type="pct"/>
            <w:gridSpan w:val="3"/>
            <w:vAlign w:val="center"/>
          </w:tcPr>
          <w:p w:rsidR="003E1D2A" w:rsidRPr="00687B52" w:rsidRDefault="003E1D2A" w:rsidP="003E1D2A">
            <w:pPr>
              <w:pStyle w:val="a7"/>
              <w:jc w:val="left"/>
              <w:rPr>
                <w:rFonts w:asciiTheme="minorEastAsia" w:eastAsiaTheme="minorEastAsia" w:hAnsiTheme="minorEastAsia"/>
                <w:b/>
                <w:bCs/>
                <w:color w:val="000000" w:themeColor="text1"/>
                <w:szCs w:val="24"/>
              </w:rPr>
            </w:pPr>
            <w:r w:rsidRPr="00687B52">
              <w:rPr>
                <w:rFonts w:asciiTheme="minorEastAsia" w:eastAsiaTheme="minorEastAsia" w:hAnsiTheme="minorEastAsia" w:hint="eastAsia"/>
                <w:b/>
                <w:bCs/>
                <w:color w:val="000000" w:themeColor="text1"/>
                <w:szCs w:val="24"/>
              </w:rPr>
              <w:t>公用工程</w:t>
            </w:r>
          </w:p>
        </w:tc>
        <w:tc>
          <w:tcPr>
            <w:tcW w:w="1059" w:type="pct"/>
            <w:vAlign w:val="center"/>
          </w:tcPr>
          <w:p w:rsidR="003E1D2A" w:rsidRPr="00687B52" w:rsidRDefault="003E1D2A" w:rsidP="003E1D2A">
            <w:pPr>
              <w:pStyle w:val="a7"/>
              <w:jc w:val="left"/>
              <w:rPr>
                <w:rFonts w:asciiTheme="minorEastAsia" w:eastAsiaTheme="minorEastAsia" w:hAnsiTheme="minorEastAsia"/>
                <w:b/>
                <w:bCs/>
                <w:color w:val="000000" w:themeColor="text1"/>
                <w:szCs w:val="24"/>
              </w:rPr>
            </w:pPr>
          </w:p>
        </w:tc>
        <w:tc>
          <w:tcPr>
            <w:tcW w:w="1279" w:type="pct"/>
            <w:vAlign w:val="center"/>
          </w:tcPr>
          <w:p w:rsidR="003E1D2A" w:rsidRPr="00687B52" w:rsidRDefault="003E1D2A" w:rsidP="003E1D2A">
            <w:pPr>
              <w:pStyle w:val="a7"/>
              <w:jc w:val="left"/>
              <w:rPr>
                <w:rFonts w:asciiTheme="minorEastAsia" w:eastAsiaTheme="minorEastAsia" w:hAnsiTheme="minorEastAsia"/>
                <w:b/>
                <w:bCs/>
                <w:color w:val="000000" w:themeColor="text1"/>
                <w:szCs w:val="24"/>
              </w:rPr>
            </w:pPr>
          </w:p>
        </w:tc>
      </w:tr>
      <w:tr w:rsidR="003E1D2A" w:rsidRPr="00687B52" w:rsidTr="00C76CF3">
        <w:trPr>
          <w:jc w:val="center"/>
        </w:trPr>
        <w:tc>
          <w:tcPr>
            <w:tcW w:w="338" w:type="pct"/>
            <w:vAlign w:val="center"/>
          </w:tcPr>
          <w:p w:rsidR="003E1D2A" w:rsidRPr="00687B52" w:rsidRDefault="003E1D2A" w:rsidP="00C76CF3">
            <w:pPr>
              <w:pStyle w:val="a7"/>
              <w:rPr>
                <w:color w:val="000000" w:themeColor="text1"/>
              </w:rPr>
            </w:pPr>
            <w:r w:rsidRPr="00687B52">
              <w:rPr>
                <w:rFonts w:hint="eastAsia"/>
                <w:color w:val="000000" w:themeColor="text1"/>
              </w:rPr>
              <w:t>3.1</w:t>
            </w:r>
          </w:p>
        </w:tc>
        <w:tc>
          <w:tcPr>
            <w:tcW w:w="2324" w:type="pct"/>
            <w:gridSpan w:val="3"/>
            <w:vAlign w:val="center"/>
          </w:tcPr>
          <w:p w:rsidR="003E1D2A" w:rsidRPr="00687B52" w:rsidRDefault="003E1D2A"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储罐区周围应设置室外消火栓系统。</w:t>
            </w:r>
          </w:p>
        </w:tc>
        <w:tc>
          <w:tcPr>
            <w:tcW w:w="1059" w:type="pct"/>
            <w:vAlign w:val="center"/>
          </w:tcPr>
          <w:p w:rsidR="003E1D2A" w:rsidRPr="00687B52" w:rsidRDefault="003E1D2A"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《建筑设计防火规范》</w:t>
            </w:r>
          </w:p>
          <w:p w:rsidR="003E1D2A" w:rsidRPr="00687B52" w:rsidRDefault="003E1D2A"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GB50016-2014</w:t>
            </w:r>
            <w:r w:rsidRPr="00687B52">
              <w:rPr>
                <w:rFonts w:asciiTheme="minorEastAsia" w:hAnsiTheme="minorEastAsia" w:cs="Arial"/>
                <w:color w:val="000000" w:themeColor="text1"/>
                <w:sz w:val="24"/>
                <w:szCs w:val="24"/>
              </w:rPr>
              <w:t>第8.1.2条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C76CF3">
            <w:pPr>
              <w:pStyle w:val="a7"/>
              <w:rPr>
                <w:color w:val="000000" w:themeColor="text1"/>
              </w:rPr>
            </w:pPr>
            <w:r w:rsidRPr="00687B52">
              <w:rPr>
                <w:rFonts w:hint="eastAsia"/>
                <w:color w:val="000000" w:themeColor="text1"/>
              </w:rPr>
              <w:t>3.2</w:t>
            </w:r>
          </w:p>
        </w:tc>
        <w:tc>
          <w:tcPr>
            <w:tcW w:w="2324" w:type="pct"/>
            <w:gridSpan w:val="3"/>
            <w:vAlign w:val="center"/>
          </w:tcPr>
          <w:p w:rsidR="003E1D2A" w:rsidRPr="00687B52" w:rsidRDefault="003E1D2A" w:rsidP="003E1D2A">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甲、乙、丙类液体储罐（区）内的储罐应设置移动水枪或固定水冷却设施。高度大于15m或单罐容量大于2000m</w:t>
            </w:r>
            <w:r w:rsidRPr="00687B52">
              <w:rPr>
                <w:rFonts w:asciiTheme="minorEastAsia" w:eastAsiaTheme="minorEastAsia" w:hAnsiTheme="minorEastAsia" w:hint="eastAsia"/>
                <w:color w:val="000000" w:themeColor="text1"/>
                <w:szCs w:val="24"/>
                <w:vertAlign w:val="superscript"/>
              </w:rPr>
              <w:t>3</w:t>
            </w:r>
            <w:r w:rsidRPr="00687B52">
              <w:rPr>
                <w:rFonts w:asciiTheme="minorEastAsia" w:eastAsiaTheme="minorEastAsia" w:hAnsiTheme="minorEastAsia" w:hint="eastAsia"/>
                <w:color w:val="000000" w:themeColor="text1"/>
                <w:szCs w:val="24"/>
              </w:rPr>
              <w:t>的甲、乙、丙类液体地上储罐，宜采用固定水冷却设施。</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《建筑设计防火规范》</w:t>
            </w:r>
            <w:r w:rsidRPr="00687B52">
              <w:rPr>
                <w:rFonts w:hint="eastAsia"/>
                <w:color w:val="000000" w:themeColor="text1"/>
              </w:rPr>
              <w:t>GB50016-2014</w:t>
            </w:r>
            <w:r w:rsidRPr="00687B52">
              <w:rPr>
                <w:rFonts w:hint="eastAsia"/>
                <w:color w:val="000000" w:themeColor="text1"/>
              </w:rPr>
              <w:t>第</w:t>
            </w:r>
            <w:r w:rsidRPr="00687B52">
              <w:rPr>
                <w:rFonts w:hint="eastAsia"/>
                <w:color w:val="000000" w:themeColor="text1"/>
              </w:rPr>
              <w:t>8.1.4</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C76CF3">
            <w:pPr>
              <w:pStyle w:val="a7"/>
              <w:rPr>
                <w:color w:val="000000" w:themeColor="text1"/>
              </w:rPr>
            </w:pPr>
            <w:r w:rsidRPr="00687B52">
              <w:rPr>
                <w:rFonts w:hint="eastAsia"/>
                <w:color w:val="000000" w:themeColor="text1"/>
              </w:rPr>
              <w:t>3.3</w:t>
            </w:r>
          </w:p>
        </w:tc>
        <w:tc>
          <w:tcPr>
            <w:tcW w:w="2324" w:type="pct"/>
            <w:gridSpan w:val="3"/>
            <w:vAlign w:val="center"/>
          </w:tcPr>
          <w:p w:rsidR="003E1D2A" w:rsidRPr="00687B52" w:rsidRDefault="003E1D2A" w:rsidP="003E1D2A">
            <w:pPr>
              <w:pStyle w:val="a7"/>
              <w:jc w:val="left"/>
              <w:rPr>
                <w:rFonts w:ascii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总容积大于50m3或单罐容积大于20m</w:t>
            </w:r>
            <w:r w:rsidRPr="00687B52">
              <w:rPr>
                <w:rFonts w:asciiTheme="minorEastAsia" w:eastAsiaTheme="minorEastAsia" w:hAnsiTheme="minorEastAsia" w:hint="eastAsia"/>
                <w:color w:val="000000" w:themeColor="text1"/>
                <w:szCs w:val="24"/>
                <w:vertAlign w:val="superscript"/>
              </w:rPr>
              <w:t>3</w:t>
            </w:r>
            <w:r w:rsidRPr="00687B52">
              <w:rPr>
                <w:rFonts w:asciiTheme="minorEastAsia" w:eastAsiaTheme="minorEastAsia" w:hAnsiTheme="minorEastAsia" w:hint="eastAsia"/>
                <w:color w:val="000000" w:themeColor="text1"/>
                <w:szCs w:val="24"/>
              </w:rPr>
              <w:t>的液化石油气储罐（区）应设置固定水冷却设施，埋地的液化石油气储罐可不设置固定喷水冷却装置。总容积不大于50m3或单罐容积不大于20m</w:t>
            </w:r>
            <w:r w:rsidRPr="00687B52">
              <w:rPr>
                <w:rFonts w:asciiTheme="minorEastAsia" w:eastAsiaTheme="minorEastAsia" w:hAnsiTheme="minorEastAsia" w:hint="eastAsia"/>
                <w:color w:val="000000" w:themeColor="text1"/>
                <w:szCs w:val="24"/>
                <w:vertAlign w:val="superscript"/>
              </w:rPr>
              <w:t>3</w:t>
            </w:r>
            <w:r w:rsidRPr="00687B52">
              <w:rPr>
                <w:rFonts w:asciiTheme="minorEastAsia" w:eastAsiaTheme="minorEastAsia" w:hAnsiTheme="minorEastAsia" w:hint="eastAsia"/>
                <w:color w:val="000000" w:themeColor="text1"/>
                <w:szCs w:val="24"/>
              </w:rPr>
              <w:t>的液化石油气储罐（区），应设置移动式水枪。</w:t>
            </w:r>
          </w:p>
        </w:tc>
        <w:tc>
          <w:tcPr>
            <w:tcW w:w="1059" w:type="pct"/>
            <w:vAlign w:val="center"/>
          </w:tcPr>
          <w:p w:rsidR="003E1D2A" w:rsidRPr="00687B52" w:rsidRDefault="003E1D2A" w:rsidP="003E1D2A">
            <w:pPr>
              <w:pStyle w:val="a7"/>
              <w:rPr>
                <w:color w:val="000000" w:themeColor="text1"/>
              </w:rPr>
            </w:pPr>
            <w:r w:rsidRPr="00687B52">
              <w:rPr>
                <w:rFonts w:hint="eastAsia"/>
                <w:color w:val="000000" w:themeColor="text1"/>
              </w:rPr>
              <w:t>《建筑设计防火规范》</w:t>
            </w:r>
            <w:r w:rsidRPr="00687B52">
              <w:rPr>
                <w:rFonts w:hint="eastAsia"/>
                <w:color w:val="000000" w:themeColor="text1"/>
              </w:rPr>
              <w:t>GB50016-2014</w:t>
            </w:r>
            <w:r w:rsidRPr="00687B52">
              <w:rPr>
                <w:rFonts w:hint="eastAsia"/>
                <w:color w:val="000000" w:themeColor="text1"/>
              </w:rPr>
              <w:t>第</w:t>
            </w:r>
            <w:r w:rsidRPr="00687B52">
              <w:rPr>
                <w:rFonts w:hint="eastAsia"/>
                <w:color w:val="000000" w:themeColor="text1"/>
              </w:rPr>
              <w:t>8.1.5</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C76CF3">
            <w:pPr>
              <w:pStyle w:val="a7"/>
              <w:rPr>
                <w:color w:val="000000" w:themeColor="text1"/>
              </w:rPr>
            </w:pPr>
            <w:r w:rsidRPr="00687B52">
              <w:rPr>
                <w:rFonts w:hint="eastAsia"/>
                <w:color w:val="000000" w:themeColor="text1"/>
              </w:rPr>
              <w:t>3.4</w:t>
            </w:r>
          </w:p>
        </w:tc>
        <w:tc>
          <w:tcPr>
            <w:tcW w:w="2324" w:type="pct"/>
            <w:gridSpan w:val="3"/>
            <w:vAlign w:val="center"/>
          </w:tcPr>
          <w:p w:rsidR="003E1D2A" w:rsidRPr="00687B52" w:rsidRDefault="003E1D2A" w:rsidP="009672D4">
            <w:pPr>
              <w:pStyle w:val="a7"/>
              <w:jc w:val="left"/>
              <w:rPr>
                <w:rFonts w:ascii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总容积大于或等于1</w:t>
            </w:r>
            <w:r w:rsidR="004B5104" w:rsidRPr="00687B52">
              <w:rPr>
                <w:rFonts w:asciiTheme="minorEastAsia" w:eastAsiaTheme="minorEastAsia" w:hAnsiTheme="minorEastAsia" w:hint="eastAsia"/>
                <w:color w:val="000000" w:themeColor="text1"/>
                <w:szCs w:val="24"/>
              </w:rPr>
              <w:t>500</w:t>
            </w:r>
            <w:r w:rsidRPr="00687B52">
              <w:rPr>
                <w:rFonts w:asciiTheme="minorEastAsia" w:eastAsiaTheme="minorEastAsia" w:hAnsiTheme="minorEastAsia" w:hint="eastAsia"/>
                <w:color w:val="000000" w:themeColor="text1"/>
                <w:szCs w:val="24"/>
              </w:rPr>
              <w:t>m</w:t>
            </w:r>
            <w:r w:rsidRPr="00687B52">
              <w:rPr>
                <w:rFonts w:asciiTheme="minorEastAsia" w:eastAsiaTheme="minorEastAsia" w:hAnsiTheme="minorEastAsia" w:hint="eastAsia"/>
                <w:color w:val="000000" w:themeColor="text1"/>
                <w:szCs w:val="24"/>
                <w:vertAlign w:val="superscript"/>
              </w:rPr>
              <w:t>3</w:t>
            </w:r>
            <w:r w:rsidR="004B5104" w:rsidRPr="00687B52">
              <w:rPr>
                <w:rFonts w:asciiTheme="minorEastAsia" w:eastAsiaTheme="minorEastAsia" w:hAnsiTheme="minorEastAsia" w:hint="eastAsia"/>
                <w:color w:val="000000" w:themeColor="text1"/>
                <w:szCs w:val="24"/>
              </w:rPr>
              <w:t>的可燃液体罐组</w:t>
            </w:r>
            <w:r w:rsidR="009672D4" w:rsidRPr="00687B52">
              <w:rPr>
                <w:rFonts w:asciiTheme="minorEastAsia" w:eastAsiaTheme="minorEastAsia" w:hAnsiTheme="minorEastAsia" w:hint="eastAsia"/>
                <w:color w:val="000000" w:themeColor="text1"/>
                <w:szCs w:val="24"/>
              </w:rPr>
              <w:t>宜</w:t>
            </w:r>
            <w:r w:rsidRPr="00687B52">
              <w:rPr>
                <w:rFonts w:asciiTheme="minorEastAsia" w:eastAsiaTheme="minorEastAsia" w:hAnsiTheme="minorEastAsia" w:hint="eastAsia"/>
                <w:color w:val="000000" w:themeColor="text1"/>
                <w:szCs w:val="24"/>
              </w:rPr>
              <w:t>设环形消防车道。消防车道的路面宽度不应小于6m，路面内缘转弯半径不宜小于12m，路面上净空高度不应低于5m。</w:t>
            </w:r>
          </w:p>
        </w:tc>
        <w:tc>
          <w:tcPr>
            <w:tcW w:w="1059" w:type="pct"/>
            <w:vAlign w:val="center"/>
          </w:tcPr>
          <w:p w:rsidR="003E1D2A" w:rsidRPr="00687B52" w:rsidRDefault="004B5104" w:rsidP="004B5104">
            <w:pPr>
              <w:pStyle w:val="a7"/>
              <w:rPr>
                <w:color w:val="000000" w:themeColor="text1"/>
              </w:rPr>
            </w:pPr>
            <w:r w:rsidRPr="00687B52">
              <w:rPr>
                <w:rFonts w:hint="eastAsia"/>
                <w:color w:val="000000" w:themeColor="text1"/>
              </w:rPr>
              <w:t>《建筑设计防火规范》</w:t>
            </w:r>
            <w:r w:rsidRPr="00687B52">
              <w:rPr>
                <w:rFonts w:hint="eastAsia"/>
                <w:color w:val="000000" w:themeColor="text1"/>
              </w:rPr>
              <w:t>GB50016-2014</w:t>
            </w:r>
            <w:r w:rsidRPr="00687B52">
              <w:rPr>
                <w:rFonts w:hint="eastAsia"/>
                <w:color w:val="000000" w:themeColor="text1"/>
              </w:rPr>
              <w:t>第</w:t>
            </w:r>
            <w:r w:rsidRPr="00687B52">
              <w:rPr>
                <w:rFonts w:hint="eastAsia"/>
                <w:color w:val="000000" w:themeColor="text1"/>
              </w:rPr>
              <w:t>7.1.6</w:t>
            </w:r>
            <w:r w:rsidRPr="00687B52">
              <w:rPr>
                <w:rFonts w:hint="eastAsia"/>
                <w:color w:val="000000" w:themeColor="text1"/>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927FCC">
            <w:pPr>
              <w:pStyle w:val="a7"/>
              <w:rPr>
                <w:color w:val="000000" w:themeColor="text1"/>
              </w:rPr>
            </w:pPr>
            <w:r w:rsidRPr="00687B52">
              <w:rPr>
                <w:rFonts w:hint="eastAsia"/>
                <w:color w:val="000000" w:themeColor="text1"/>
              </w:rPr>
              <w:t>3.</w:t>
            </w:r>
            <w:r w:rsidR="00927FCC" w:rsidRPr="00687B52">
              <w:rPr>
                <w:rFonts w:hint="eastAsia"/>
                <w:color w:val="000000" w:themeColor="text1"/>
              </w:rPr>
              <w:t>5</w:t>
            </w:r>
          </w:p>
        </w:tc>
        <w:tc>
          <w:tcPr>
            <w:tcW w:w="2324" w:type="pct"/>
            <w:gridSpan w:val="3"/>
            <w:vAlign w:val="center"/>
          </w:tcPr>
          <w:p w:rsidR="003E1D2A" w:rsidRPr="00687B52" w:rsidRDefault="003E1D2A" w:rsidP="003E1D2A">
            <w:pPr>
              <w:spacing w:line="320" w:lineRule="exact"/>
              <w:ind w:firstLineChars="100" w:firstLine="240"/>
              <w:rPr>
                <w:rFonts w:asciiTheme="minorEastAsia" w:hAnsiTheme="minorEastAsia" w:cs="Arial"/>
                <w:color w:val="000000" w:themeColor="text1"/>
                <w:sz w:val="24"/>
                <w:szCs w:val="24"/>
              </w:rPr>
            </w:pPr>
            <w:r w:rsidRPr="00687B52">
              <w:rPr>
                <w:rFonts w:asciiTheme="minorEastAsia" w:hAnsiTheme="minorEastAsia" w:cs="Arial"/>
                <w:color w:val="000000" w:themeColor="text1"/>
                <w:sz w:val="24"/>
                <w:szCs w:val="24"/>
              </w:rPr>
              <w:t>当消防水池采用两路供水且在火灾情况下连续补水能满足消防要求时，消防水池的有效容积应根据计算确定，但不应小于100m</w:t>
            </w:r>
            <w:r w:rsidRPr="00687B52">
              <w:rPr>
                <w:rFonts w:asciiTheme="minorEastAsia" w:hAnsiTheme="minorEastAsia" w:cs="Arial"/>
                <w:color w:val="000000" w:themeColor="text1"/>
                <w:sz w:val="24"/>
                <w:szCs w:val="24"/>
                <w:vertAlign w:val="superscript"/>
              </w:rPr>
              <w:t>3</w:t>
            </w:r>
            <w:r w:rsidRPr="00687B52">
              <w:rPr>
                <w:rFonts w:asciiTheme="minorEastAsia" w:hAnsiTheme="minorEastAsia" w:cs="Arial"/>
                <w:color w:val="000000" w:themeColor="text1"/>
                <w:sz w:val="24"/>
                <w:szCs w:val="24"/>
              </w:rPr>
              <w:t>，当仅设有消火栓系统时不应小于50m</w:t>
            </w:r>
            <w:r w:rsidRPr="00687B52">
              <w:rPr>
                <w:rFonts w:asciiTheme="minorEastAsia" w:hAnsiTheme="minorEastAsia" w:cs="Arial"/>
                <w:color w:val="000000" w:themeColor="text1"/>
                <w:sz w:val="24"/>
                <w:szCs w:val="24"/>
                <w:vertAlign w:val="superscript"/>
              </w:rPr>
              <w:t>3</w:t>
            </w:r>
            <w:r w:rsidRPr="00687B52">
              <w:rPr>
                <w:rFonts w:asciiTheme="minorEastAsia" w:hAnsiTheme="minorEastAsia" w:cs="Arial"/>
                <w:color w:val="000000" w:themeColor="text1"/>
                <w:sz w:val="24"/>
                <w:szCs w:val="24"/>
              </w:rPr>
              <w:t>。</w:t>
            </w:r>
          </w:p>
        </w:tc>
        <w:tc>
          <w:tcPr>
            <w:tcW w:w="1059" w:type="pct"/>
            <w:vAlign w:val="center"/>
          </w:tcPr>
          <w:p w:rsidR="003E1D2A" w:rsidRPr="00687B52" w:rsidRDefault="003E1D2A" w:rsidP="003E1D2A">
            <w:pPr>
              <w:spacing w:line="320" w:lineRule="exact"/>
              <w:rPr>
                <w:rFonts w:ascii="Times New Roman" w:eastAsia="宋体" w:hAnsi="Arial" w:cs="Arial"/>
                <w:color w:val="000000" w:themeColor="text1"/>
                <w:sz w:val="24"/>
                <w:szCs w:val="21"/>
              </w:rPr>
            </w:pPr>
            <w:r w:rsidRPr="00687B52">
              <w:rPr>
                <w:rFonts w:asciiTheme="minorEastAsia" w:hAnsiTheme="minorEastAsia" w:cs="Arial" w:hint="eastAsia"/>
                <w:color w:val="000000" w:themeColor="text1"/>
                <w:sz w:val="24"/>
                <w:szCs w:val="24"/>
              </w:rPr>
              <w:t>《消防给水及消火栓技术规范》</w:t>
            </w:r>
            <w:r w:rsidRPr="00687B52">
              <w:rPr>
                <w:rFonts w:ascii="Times New Roman" w:eastAsia="宋体" w:hAnsi="Arial" w:cs="Arial" w:hint="eastAsia"/>
                <w:color w:val="000000" w:themeColor="text1"/>
                <w:sz w:val="24"/>
                <w:szCs w:val="21"/>
              </w:rPr>
              <w:t>GB50974-2014</w:t>
            </w:r>
          </w:p>
          <w:p w:rsidR="003E1D2A" w:rsidRPr="00687B52" w:rsidRDefault="003E1D2A" w:rsidP="003E1D2A">
            <w:pPr>
              <w:spacing w:line="320" w:lineRule="exact"/>
              <w:ind w:firstLineChars="100" w:firstLine="240"/>
              <w:rPr>
                <w:color w:val="000000" w:themeColor="text1"/>
              </w:rPr>
            </w:pPr>
            <w:r w:rsidRPr="00687B52">
              <w:rPr>
                <w:rFonts w:asciiTheme="minorEastAsia" w:hAnsiTheme="minorEastAsia" w:cs="Arial"/>
                <w:color w:val="000000" w:themeColor="text1"/>
                <w:sz w:val="24"/>
                <w:szCs w:val="24"/>
              </w:rPr>
              <w:t>第</w:t>
            </w:r>
            <w:r w:rsidRPr="00687B52">
              <w:rPr>
                <w:rFonts w:ascii="Times New Roman" w:eastAsia="宋体" w:hAnsi="Arial" w:cs="Arial" w:hint="eastAsia"/>
                <w:color w:val="000000" w:themeColor="text1"/>
                <w:sz w:val="24"/>
                <w:szCs w:val="21"/>
              </w:rPr>
              <w:t>4.3.4</w:t>
            </w:r>
            <w:r w:rsidRPr="00687B52">
              <w:rPr>
                <w:rFonts w:asciiTheme="minorEastAsia" w:hAnsiTheme="minorEastAsia" w:cs="Arial"/>
                <w:color w:val="000000" w:themeColor="text1"/>
                <w:sz w:val="24"/>
                <w:szCs w:val="24"/>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927FCC">
            <w:pPr>
              <w:pStyle w:val="a7"/>
              <w:rPr>
                <w:color w:val="000000" w:themeColor="text1"/>
              </w:rPr>
            </w:pPr>
            <w:r w:rsidRPr="00687B52">
              <w:rPr>
                <w:rFonts w:hint="eastAsia"/>
                <w:color w:val="000000" w:themeColor="text1"/>
              </w:rPr>
              <w:t>3.</w:t>
            </w:r>
            <w:r w:rsidR="00927FCC" w:rsidRPr="00687B52">
              <w:rPr>
                <w:rFonts w:hint="eastAsia"/>
                <w:color w:val="000000" w:themeColor="text1"/>
              </w:rPr>
              <w:t>6</w:t>
            </w:r>
          </w:p>
        </w:tc>
        <w:tc>
          <w:tcPr>
            <w:tcW w:w="2324" w:type="pct"/>
            <w:gridSpan w:val="3"/>
            <w:vAlign w:val="center"/>
          </w:tcPr>
          <w:p w:rsidR="003E1D2A" w:rsidRPr="00687B52" w:rsidRDefault="003E1D2A" w:rsidP="003E1D2A">
            <w:pPr>
              <w:spacing w:line="320" w:lineRule="exact"/>
              <w:ind w:firstLineChars="100" w:firstLine="240"/>
              <w:rPr>
                <w:rFonts w:asciiTheme="minorEastAsia" w:hAnsiTheme="minorEastAsia" w:cs="Arial"/>
                <w:color w:val="000000" w:themeColor="text1"/>
                <w:sz w:val="24"/>
                <w:szCs w:val="24"/>
              </w:rPr>
            </w:pPr>
            <w:r w:rsidRPr="00687B52">
              <w:rPr>
                <w:rFonts w:asciiTheme="minorEastAsia" w:hAnsiTheme="minorEastAsia" w:cs="Arial"/>
                <w:color w:val="000000" w:themeColor="text1"/>
                <w:sz w:val="24"/>
                <w:szCs w:val="24"/>
              </w:rPr>
              <w:t>消防用水与其他用水共用的水池，应采取确保消防用水量不作他用的技术措施。</w:t>
            </w:r>
          </w:p>
        </w:tc>
        <w:tc>
          <w:tcPr>
            <w:tcW w:w="1059" w:type="pct"/>
            <w:vAlign w:val="center"/>
          </w:tcPr>
          <w:p w:rsidR="003E1D2A" w:rsidRPr="00687B52" w:rsidRDefault="003E1D2A"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《消防给水及消火栓技术规范》</w:t>
            </w:r>
            <w:r w:rsidRPr="00687B52">
              <w:rPr>
                <w:rFonts w:asciiTheme="minorEastAsia" w:hAnsiTheme="minorEastAsia" w:cs="Arial"/>
                <w:color w:val="000000" w:themeColor="text1"/>
                <w:sz w:val="24"/>
                <w:szCs w:val="24"/>
              </w:rPr>
              <w:t>GB50974-2014</w:t>
            </w:r>
          </w:p>
          <w:p w:rsidR="003E1D2A" w:rsidRPr="00687B52" w:rsidRDefault="003E1D2A" w:rsidP="003E1D2A">
            <w:pPr>
              <w:spacing w:line="320" w:lineRule="exact"/>
              <w:ind w:firstLineChars="100" w:firstLine="240"/>
              <w:rPr>
                <w:color w:val="000000" w:themeColor="text1"/>
              </w:rPr>
            </w:pPr>
            <w:r w:rsidRPr="00687B52">
              <w:rPr>
                <w:rFonts w:asciiTheme="minorEastAsia" w:hAnsiTheme="minorEastAsia" w:cs="Arial"/>
                <w:color w:val="000000" w:themeColor="text1"/>
                <w:sz w:val="24"/>
                <w:szCs w:val="24"/>
              </w:rPr>
              <w:t>第4.3.8条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r w:rsidR="003E1D2A" w:rsidRPr="00687B52" w:rsidTr="00C76CF3">
        <w:trPr>
          <w:jc w:val="center"/>
        </w:trPr>
        <w:tc>
          <w:tcPr>
            <w:tcW w:w="338" w:type="pct"/>
            <w:vAlign w:val="center"/>
          </w:tcPr>
          <w:p w:rsidR="003E1D2A" w:rsidRPr="00687B52" w:rsidRDefault="003E1D2A" w:rsidP="00927FCC">
            <w:pPr>
              <w:pStyle w:val="a7"/>
              <w:rPr>
                <w:color w:val="000000" w:themeColor="text1"/>
              </w:rPr>
            </w:pPr>
            <w:r w:rsidRPr="00687B52">
              <w:rPr>
                <w:rFonts w:hint="eastAsia"/>
                <w:color w:val="000000" w:themeColor="text1"/>
              </w:rPr>
              <w:t>3.</w:t>
            </w:r>
            <w:r w:rsidR="00927FCC" w:rsidRPr="00687B52">
              <w:rPr>
                <w:rFonts w:hint="eastAsia"/>
                <w:color w:val="000000" w:themeColor="text1"/>
              </w:rPr>
              <w:t>7</w:t>
            </w:r>
          </w:p>
        </w:tc>
        <w:tc>
          <w:tcPr>
            <w:tcW w:w="2324" w:type="pct"/>
            <w:gridSpan w:val="3"/>
            <w:vAlign w:val="center"/>
          </w:tcPr>
          <w:p w:rsidR="003E1D2A" w:rsidRPr="00687B52" w:rsidRDefault="003E1D2A"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color w:val="000000" w:themeColor="text1"/>
                <w:sz w:val="24"/>
                <w:szCs w:val="24"/>
              </w:rPr>
              <w:t>在</w:t>
            </w:r>
            <w:r w:rsidRPr="00687B52">
              <w:rPr>
                <w:rFonts w:asciiTheme="minorEastAsia" w:hAnsiTheme="minorEastAsia" w:cs="Arial" w:hint="eastAsia"/>
                <w:color w:val="000000" w:themeColor="text1"/>
                <w:sz w:val="24"/>
                <w:szCs w:val="24"/>
              </w:rPr>
              <w:t>液体</w:t>
            </w:r>
            <w:r w:rsidRPr="00687B52">
              <w:rPr>
                <w:rFonts w:asciiTheme="minorEastAsia" w:hAnsiTheme="minorEastAsia" w:cs="Arial"/>
                <w:color w:val="000000" w:themeColor="text1"/>
                <w:sz w:val="24"/>
                <w:szCs w:val="24"/>
              </w:rPr>
              <w:t>毒性危害</w:t>
            </w:r>
            <w:r w:rsidRPr="00687B52">
              <w:rPr>
                <w:rFonts w:asciiTheme="minorEastAsia" w:hAnsiTheme="minorEastAsia" w:cs="Arial" w:hint="eastAsia"/>
                <w:color w:val="000000" w:themeColor="text1"/>
                <w:sz w:val="24"/>
                <w:szCs w:val="24"/>
              </w:rPr>
              <w:t>严重</w:t>
            </w:r>
            <w:r w:rsidRPr="00687B52">
              <w:rPr>
                <w:rFonts w:asciiTheme="minorEastAsia" w:hAnsiTheme="minorEastAsia" w:cs="Arial"/>
                <w:color w:val="000000" w:themeColor="text1"/>
                <w:sz w:val="24"/>
                <w:szCs w:val="24"/>
              </w:rPr>
              <w:t>的作业</w:t>
            </w:r>
            <w:r w:rsidRPr="00687B52">
              <w:rPr>
                <w:rFonts w:asciiTheme="minorEastAsia" w:hAnsiTheme="minorEastAsia" w:cs="Arial" w:hint="eastAsia"/>
                <w:color w:val="000000" w:themeColor="text1"/>
                <w:sz w:val="24"/>
                <w:szCs w:val="24"/>
              </w:rPr>
              <w:t>场所</w:t>
            </w:r>
            <w:r w:rsidRPr="00687B52">
              <w:rPr>
                <w:rFonts w:asciiTheme="minorEastAsia" w:hAnsiTheme="minorEastAsia" w:cs="Arial"/>
                <w:color w:val="000000" w:themeColor="text1"/>
                <w:sz w:val="24"/>
                <w:szCs w:val="24"/>
              </w:rPr>
              <w:t>，应设计洗眼器、淋洗器等</w:t>
            </w:r>
            <w:r w:rsidRPr="00687B52">
              <w:rPr>
                <w:rFonts w:asciiTheme="minorEastAsia" w:hAnsiTheme="minorEastAsia" w:cs="Arial" w:hint="eastAsia"/>
                <w:color w:val="000000" w:themeColor="text1"/>
                <w:sz w:val="24"/>
                <w:szCs w:val="24"/>
              </w:rPr>
              <w:t>安全</w:t>
            </w:r>
            <w:r w:rsidRPr="00687B52">
              <w:rPr>
                <w:rFonts w:asciiTheme="minorEastAsia" w:hAnsiTheme="minorEastAsia" w:cs="Arial"/>
                <w:color w:val="000000" w:themeColor="text1"/>
                <w:sz w:val="24"/>
                <w:szCs w:val="24"/>
              </w:rPr>
              <w:t>防护</w:t>
            </w:r>
            <w:r w:rsidRPr="00687B52">
              <w:rPr>
                <w:rFonts w:asciiTheme="minorEastAsia" w:hAnsiTheme="minorEastAsia" w:cs="Arial" w:hint="eastAsia"/>
                <w:color w:val="000000" w:themeColor="text1"/>
                <w:sz w:val="24"/>
                <w:szCs w:val="24"/>
              </w:rPr>
              <w:t>措施</w:t>
            </w:r>
            <w:r w:rsidRPr="00687B52">
              <w:rPr>
                <w:rFonts w:asciiTheme="minorEastAsia" w:hAnsiTheme="minorEastAsia" w:cs="Arial"/>
                <w:color w:val="000000" w:themeColor="text1"/>
                <w:sz w:val="24"/>
                <w:szCs w:val="24"/>
              </w:rPr>
              <w:t>，</w:t>
            </w:r>
            <w:r w:rsidRPr="00687B52">
              <w:rPr>
                <w:rFonts w:asciiTheme="minorEastAsia" w:hAnsiTheme="minorEastAsia" w:cs="Arial" w:hint="eastAsia"/>
                <w:color w:val="000000" w:themeColor="text1"/>
                <w:sz w:val="24"/>
                <w:szCs w:val="24"/>
              </w:rPr>
              <w:t>洗眼</w:t>
            </w:r>
            <w:r w:rsidRPr="00687B52">
              <w:rPr>
                <w:rFonts w:asciiTheme="minorEastAsia" w:hAnsiTheme="minorEastAsia" w:cs="Arial"/>
                <w:color w:val="000000" w:themeColor="text1"/>
                <w:sz w:val="24"/>
                <w:szCs w:val="24"/>
              </w:rPr>
              <w:t>器、淋洗器</w:t>
            </w:r>
            <w:r w:rsidRPr="00687B52">
              <w:rPr>
                <w:rFonts w:asciiTheme="minorEastAsia" w:hAnsiTheme="minorEastAsia" w:cs="Arial" w:hint="eastAsia"/>
                <w:color w:val="000000" w:themeColor="text1"/>
                <w:sz w:val="24"/>
                <w:szCs w:val="24"/>
              </w:rPr>
              <w:t>的</w:t>
            </w:r>
            <w:r w:rsidRPr="00687B52">
              <w:rPr>
                <w:rFonts w:asciiTheme="minorEastAsia" w:hAnsiTheme="minorEastAsia" w:cs="Arial"/>
                <w:color w:val="000000" w:themeColor="text1"/>
                <w:sz w:val="24"/>
                <w:szCs w:val="24"/>
              </w:rPr>
              <w:t>服务半径小于15m。</w:t>
            </w:r>
          </w:p>
          <w:p w:rsidR="003E1D2A" w:rsidRPr="00687B52" w:rsidRDefault="003E1D2A" w:rsidP="003E1D2A">
            <w:pPr>
              <w:spacing w:line="320" w:lineRule="exact"/>
              <w:rPr>
                <w:rFonts w:asciiTheme="minorEastAsia" w:hAnsiTheme="minorEastAsia" w:cs="Arial"/>
                <w:color w:val="000000" w:themeColor="text1"/>
                <w:sz w:val="24"/>
                <w:szCs w:val="24"/>
              </w:rPr>
            </w:pPr>
            <w:r w:rsidRPr="00687B52">
              <w:rPr>
                <w:rFonts w:asciiTheme="minorEastAsia" w:hAnsiTheme="minorEastAsia" w:cs="Arial" w:hint="eastAsia"/>
                <w:color w:val="000000" w:themeColor="text1"/>
                <w:sz w:val="24"/>
                <w:szCs w:val="24"/>
              </w:rPr>
              <w:t>具有化学灼伤危险的作业场所，应设计洗眼器、喷淋器等安全防护设施，洗眼</w:t>
            </w:r>
            <w:r w:rsidRPr="00687B52">
              <w:rPr>
                <w:rFonts w:asciiTheme="minorEastAsia" w:hAnsiTheme="minorEastAsia" w:cs="Arial"/>
                <w:color w:val="000000" w:themeColor="text1"/>
                <w:sz w:val="24"/>
                <w:szCs w:val="24"/>
              </w:rPr>
              <w:t>器、淋洗器</w:t>
            </w:r>
            <w:r w:rsidRPr="00687B52">
              <w:rPr>
                <w:rFonts w:asciiTheme="minorEastAsia" w:hAnsiTheme="minorEastAsia" w:cs="Arial" w:hint="eastAsia"/>
                <w:color w:val="000000" w:themeColor="text1"/>
                <w:sz w:val="24"/>
                <w:szCs w:val="24"/>
              </w:rPr>
              <w:t>的</w:t>
            </w:r>
            <w:r w:rsidRPr="00687B52">
              <w:rPr>
                <w:rFonts w:asciiTheme="minorEastAsia" w:hAnsiTheme="minorEastAsia" w:cs="Arial"/>
                <w:color w:val="000000" w:themeColor="text1"/>
                <w:sz w:val="24"/>
                <w:szCs w:val="24"/>
              </w:rPr>
              <w:t>服务半径</w:t>
            </w:r>
            <w:r w:rsidRPr="00687B52">
              <w:rPr>
                <w:rFonts w:asciiTheme="minorEastAsia" w:hAnsiTheme="minorEastAsia" w:cs="Arial" w:hint="eastAsia"/>
                <w:color w:val="000000" w:themeColor="text1"/>
                <w:sz w:val="24"/>
                <w:szCs w:val="24"/>
              </w:rPr>
              <w:t>不应大于</w:t>
            </w:r>
            <w:r w:rsidRPr="00687B52">
              <w:rPr>
                <w:rFonts w:asciiTheme="minorEastAsia" w:hAnsiTheme="minorEastAsia" w:cs="Arial"/>
                <w:color w:val="000000" w:themeColor="text1"/>
                <w:sz w:val="24"/>
                <w:szCs w:val="24"/>
              </w:rPr>
              <w:t>15m。</w:t>
            </w:r>
          </w:p>
        </w:tc>
        <w:tc>
          <w:tcPr>
            <w:tcW w:w="1059" w:type="pct"/>
            <w:vAlign w:val="center"/>
          </w:tcPr>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w:t>
            </w:r>
            <w:hyperlink r:id="rId56" w:tgtFrame="_blank" w:history="1">
              <w:r w:rsidRPr="00687B52">
                <w:rPr>
                  <w:rFonts w:asciiTheme="minorEastAsia" w:eastAsiaTheme="minorEastAsia" w:hAnsiTheme="minorEastAsia"/>
                  <w:color w:val="000000" w:themeColor="text1"/>
                  <w:szCs w:val="24"/>
                </w:rPr>
                <w:t>化工企业安全卫生设计规范</w:t>
              </w:r>
            </w:hyperlink>
            <w:r w:rsidRPr="00687B52">
              <w:rPr>
                <w:rFonts w:asciiTheme="minorEastAsia" w:eastAsiaTheme="minorEastAsia" w:hAnsiTheme="minorEastAsia" w:hint="eastAsia"/>
                <w:color w:val="000000" w:themeColor="text1"/>
                <w:szCs w:val="24"/>
              </w:rPr>
              <w:t>》</w:t>
            </w:r>
            <w:r w:rsidRPr="00687B52">
              <w:rPr>
                <w:rFonts w:asciiTheme="minorEastAsia" w:eastAsiaTheme="minorEastAsia" w:hAnsiTheme="minorEastAsia"/>
                <w:color w:val="000000" w:themeColor="text1"/>
                <w:szCs w:val="24"/>
              </w:rPr>
              <w:t>HG20571-2014</w:t>
            </w:r>
          </w:p>
          <w:p w:rsidR="003E1D2A" w:rsidRPr="00687B52" w:rsidRDefault="003E1D2A" w:rsidP="003E1D2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5.1.6</w:t>
            </w:r>
            <w:r w:rsidRPr="00687B52">
              <w:rPr>
                <w:rFonts w:asciiTheme="minorEastAsia" w:eastAsiaTheme="minorEastAsia" w:hAnsiTheme="minorEastAsia"/>
                <w:color w:val="000000" w:themeColor="text1"/>
                <w:szCs w:val="24"/>
              </w:rPr>
              <w:t>条</w:t>
            </w:r>
          </w:p>
          <w:p w:rsidR="003E1D2A" w:rsidRPr="00687B52" w:rsidRDefault="003E1D2A" w:rsidP="003E1D2A">
            <w:pPr>
              <w:pStyle w:val="a7"/>
              <w:rPr>
                <w:rFonts w:asciiTheme="minorEastAsia" w:hAnsiTheme="minorEastAsia"/>
                <w:color w:val="000000" w:themeColor="text1"/>
                <w:szCs w:val="24"/>
              </w:rPr>
            </w:pPr>
            <w:r w:rsidRPr="00687B52">
              <w:rPr>
                <w:rFonts w:asciiTheme="minorEastAsia" w:eastAsiaTheme="minorEastAsia" w:hAnsiTheme="minorEastAsia"/>
                <w:color w:val="000000" w:themeColor="text1"/>
                <w:szCs w:val="24"/>
              </w:rPr>
              <w:t>第</w:t>
            </w:r>
            <w:r w:rsidRPr="00687B52">
              <w:rPr>
                <w:rFonts w:asciiTheme="minorEastAsia" w:eastAsiaTheme="minorEastAsia" w:hAnsiTheme="minorEastAsia" w:hint="eastAsia"/>
                <w:color w:val="000000" w:themeColor="text1"/>
                <w:szCs w:val="24"/>
              </w:rPr>
              <w:t>5.6.5</w:t>
            </w:r>
            <w:r w:rsidRPr="00687B52">
              <w:rPr>
                <w:rFonts w:asciiTheme="minorEastAsia" w:eastAsiaTheme="minorEastAsia" w:hAnsiTheme="minorEastAsia"/>
                <w:color w:val="000000" w:themeColor="text1"/>
                <w:szCs w:val="24"/>
              </w:rPr>
              <w:t>条</w:t>
            </w:r>
          </w:p>
        </w:tc>
        <w:tc>
          <w:tcPr>
            <w:tcW w:w="1279" w:type="pct"/>
          </w:tcPr>
          <w:p w:rsidR="003E1D2A" w:rsidRPr="00687B52" w:rsidRDefault="003E1D2A" w:rsidP="003E1D2A">
            <w:pPr>
              <w:pStyle w:val="a7"/>
              <w:rPr>
                <w:rFonts w:asciiTheme="minorEastAsia" w:eastAsiaTheme="minorEastAsia" w:hAnsiTheme="minorEastAsia"/>
                <w:color w:val="000000" w:themeColor="text1"/>
                <w:szCs w:val="24"/>
              </w:rPr>
            </w:pPr>
          </w:p>
        </w:tc>
      </w:tr>
    </w:tbl>
    <w:p w:rsidR="003E1D2A" w:rsidRPr="00687B52" w:rsidRDefault="003E1D2A" w:rsidP="003E1D2A">
      <w:pPr>
        <w:rPr>
          <w:color w:val="000000" w:themeColor="text1"/>
        </w:rPr>
      </w:pPr>
    </w:p>
    <w:p w:rsidR="003E1D2A" w:rsidRPr="00687B52" w:rsidRDefault="003E1D2A" w:rsidP="003E1D2A">
      <w:pPr>
        <w:rPr>
          <w:color w:val="000000" w:themeColor="text1"/>
        </w:rPr>
      </w:pPr>
    </w:p>
    <w:p w:rsidR="003E1D2A" w:rsidRPr="00687B52" w:rsidRDefault="003E1D2A" w:rsidP="003E1D2A">
      <w:pPr>
        <w:rPr>
          <w:color w:val="000000" w:themeColor="text1"/>
        </w:rPr>
      </w:pPr>
    </w:p>
    <w:p w:rsidR="003E1D2A" w:rsidRPr="00687B52" w:rsidRDefault="003E1D2A" w:rsidP="003E1D2A">
      <w:pPr>
        <w:rPr>
          <w:color w:val="000000" w:themeColor="text1"/>
        </w:rPr>
      </w:pPr>
    </w:p>
    <w:p w:rsidR="000E02C5" w:rsidRPr="00687B52" w:rsidRDefault="000E02C5" w:rsidP="003110C0">
      <w:pPr>
        <w:spacing w:line="480" w:lineRule="exact"/>
        <w:jc w:val="left"/>
        <w:rPr>
          <w:color w:val="000000" w:themeColor="text1"/>
          <w:sz w:val="28"/>
          <w:szCs w:val="28"/>
        </w:rPr>
        <w:sectPr w:rsidR="000E02C5" w:rsidRPr="00687B52" w:rsidSect="003E1D2A">
          <w:pgSz w:w="16838" w:h="11906" w:orient="landscape"/>
          <w:pgMar w:top="1800" w:right="1440" w:bottom="1800" w:left="1440" w:header="851" w:footer="992" w:gutter="0"/>
          <w:cols w:space="425"/>
          <w:docGrid w:type="lines" w:linePitch="312"/>
        </w:sectPr>
      </w:pPr>
    </w:p>
    <w:p w:rsidR="000E02C5" w:rsidRPr="00687B52" w:rsidRDefault="00C76CF3" w:rsidP="00C76CF3">
      <w:pPr>
        <w:pStyle w:val="aff3"/>
        <w:numPr>
          <w:ilvl w:val="0"/>
          <w:numId w:val="0"/>
        </w:numPr>
        <w:rPr>
          <w:color w:val="000000" w:themeColor="text1"/>
          <w:szCs w:val="28"/>
        </w:rPr>
      </w:pPr>
      <w:bookmarkStart w:id="62" w:name="_Toc492634906"/>
      <w:r w:rsidRPr="00687B52">
        <w:rPr>
          <w:rFonts w:hint="eastAsia"/>
          <w:color w:val="000000" w:themeColor="text1"/>
        </w:rPr>
        <w:t>表</w:t>
      </w:r>
      <w:r w:rsidRPr="00687B52">
        <w:rPr>
          <w:rFonts w:hint="eastAsia"/>
          <w:color w:val="000000" w:themeColor="text1"/>
        </w:rPr>
        <w:t xml:space="preserve">3-5 </w:t>
      </w:r>
      <w:r w:rsidRPr="00687B52">
        <w:rPr>
          <w:rFonts w:hint="eastAsia"/>
          <w:color w:val="000000" w:themeColor="text1"/>
        </w:rPr>
        <w:t>危险化学品储存、经营企业专业检查表（</w:t>
      </w:r>
      <w:r w:rsidR="000E02C5" w:rsidRPr="00687B52">
        <w:rPr>
          <w:rFonts w:hint="eastAsia"/>
          <w:color w:val="000000" w:themeColor="text1"/>
          <w:szCs w:val="28"/>
        </w:rPr>
        <w:t>长输管线</w:t>
      </w:r>
      <w:r w:rsidRPr="00687B52">
        <w:rPr>
          <w:rFonts w:hint="eastAsia"/>
          <w:color w:val="000000" w:themeColor="text1"/>
        </w:rPr>
        <w:t>）</w:t>
      </w:r>
      <w:bookmarkEnd w:id="62"/>
    </w:p>
    <w:p w:rsidR="000E02C5" w:rsidRPr="00687B52" w:rsidRDefault="000E02C5" w:rsidP="000E02C5">
      <w:pPr>
        <w:adjustRightInd w:val="0"/>
        <w:snapToGrid w:val="0"/>
        <w:spacing w:line="360" w:lineRule="exact"/>
        <w:jc w:val="left"/>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本表适用于长输管道及相应的管道站场安全检查。</w:t>
      </w:r>
    </w:p>
    <w:tbl>
      <w:tblPr>
        <w:tblStyle w:val="a6"/>
        <w:tblW w:w="5000" w:type="pct"/>
        <w:jc w:val="center"/>
        <w:tblLook w:val="04A0" w:firstRow="1" w:lastRow="0" w:firstColumn="1" w:lastColumn="0" w:noHBand="0" w:noVBand="1"/>
      </w:tblPr>
      <w:tblGrid>
        <w:gridCol w:w="1241"/>
        <w:gridCol w:w="7422"/>
        <w:gridCol w:w="2510"/>
        <w:gridCol w:w="2321"/>
      </w:tblGrid>
      <w:tr w:rsidR="000E02C5" w:rsidRPr="00687B52" w:rsidTr="00563F92">
        <w:trPr>
          <w:tblHeader/>
          <w:jc w:val="center"/>
        </w:trPr>
        <w:tc>
          <w:tcPr>
            <w:tcW w:w="460" w:type="pct"/>
            <w:vAlign w:val="center"/>
          </w:tcPr>
          <w:p w:rsidR="000E02C5" w:rsidRPr="00687B52" w:rsidRDefault="000E02C5" w:rsidP="00B527D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序号</w:t>
            </w:r>
          </w:p>
        </w:tc>
        <w:tc>
          <w:tcPr>
            <w:tcW w:w="2750" w:type="pct"/>
            <w:vAlign w:val="center"/>
          </w:tcPr>
          <w:p w:rsidR="000E02C5" w:rsidRPr="00687B52" w:rsidRDefault="000E02C5" w:rsidP="00B527D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检查内容</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检查依据</w:t>
            </w:r>
          </w:p>
        </w:tc>
        <w:tc>
          <w:tcPr>
            <w:tcW w:w="860" w:type="pct"/>
            <w:vAlign w:val="center"/>
          </w:tcPr>
          <w:p w:rsidR="000E02C5" w:rsidRPr="00687B52" w:rsidRDefault="000E02C5" w:rsidP="00B527D4">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检查情况</w:t>
            </w:r>
          </w:p>
        </w:tc>
      </w:tr>
      <w:tr w:rsidR="000E02C5" w:rsidRPr="00687B52" w:rsidTr="00563F92">
        <w:trPr>
          <w:jc w:val="center"/>
        </w:trPr>
        <w:tc>
          <w:tcPr>
            <w:tcW w:w="460" w:type="pct"/>
            <w:vAlign w:val="center"/>
          </w:tcPr>
          <w:p w:rsidR="000E02C5" w:rsidRPr="00687B52" w:rsidRDefault="000E02C5" w:rsidP="00B527D4">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1</w:t>
            </w:r>
          </w:p>
        </w:tc>
        <w:tc>
          <w:tcPr>
            <w:tcW w:w="2750" w:type="pct"/>
            <w:vAlign w:val="center"/>
          </w:tcPr>
          <w:p w:rsidR="000E02C5" w:rsidRPr="00687B52" w:rsidRDefault="000E02C5" w:rsidP="00B527D4">
            <w:pPr>
              <w:pStyle w:val="a7"/>
              <w:jc w:val="left"/>
              <w:rPr>
                <w:b/>
                <w:color w:val="000000" w:themeColor="text1"/>
              </w:rPr>
            </w:pPr>
            <w:r w:rsidRPr="00687B52">
              <w:rPr>
                <w:rFonts w:hint="eastAsia"/>
                <w:b/>
                <w:color w:val="000000" w:themeColor="text1"/>
              </w:rPr>
              <w:t>区域位置、总图布置与建构筑物</w:t>
            </w:r>
          </w:p>
        </w:tc>
        <w:tc>
          <w:tcPr>
            <w:tcW w:w="930" w:type="pct"/>
            <w:vAlign w:val="center"/>
          </w:tcPr>
          <w:p w:rsidR="000E02C5" w:rsidRPr="00687B52" w:rsidRDefault="000E02C5" w:rsidP="00B527D4">
            <w:pPr>
              <w:pStyle w:val="a7"/>
              <w:jc w:val="left"/>
              <w:rPr>
                <w:b/>
                <w:color w:val="000000" w:themeColor="text1"/>
              </w:rPr>
            </w:pPr>
          </w:p>
        </w:tc>
        <w:tc>
          <w:tcPr>
            <w:tcW w:w="860" w:type="pct"/>
            <w:vAlign w:val="center"/>
          </w:tcPr>
          <w:p w:rsidR="000E02C5" w:rsidRPr="00687B52" w:rsidRDefault="000E02C5" w:rsidP="00B527D4">
            <w:pPr>
              <w:pStyle w:val="a7"/>
              <w:jc w:val="left"/>
              <w:rPr>
                <w:b/>
                <w:color w:val="000000" w:themeColor="text1"/>
              </w:rPr>
            </w:pPr>
          </w:p>
        </w:tc>
      </w:tr>
      <w:tr w:rsidR="000E02C5" w:rsidRPr="00687B52" w:rsidTr="00563F92">
        <w:trPr>
          <w:jc w:val="center"/>
        </w:trPr>
        <w:tc>
          <w:tcPr>
            <w:tcW w:w="460" w:type="pct"/>
            <w:vAlign w:val="center"/>
          </w:tcPr>
          <w:p w:rsidR="000E02C5" w:rsidRPr="00687B52" w:rsidRDefault="000E02C5" w:rsidP="00B527D4">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1.1</w:t>
            </w:r>
          </w:p>
        </w:tc>
        <w:tc>
          <w:tcPr>
            <w:tcW w:w="2750" w:type="pct"/>
            <w:vAlign w:val="center"/>
          </w:tcPr>
          <w:p w:rsidR="000E02C5" w:rsidRPr="00687B52" w:rsidRDefault="000E02C5" w:rsidP="00B527D4">
            <w:pPr>
              <w:pStyle w:val="a7"/>
              <w:jc w:val="left"/>
              <w:rPr>
                <w:b/>
                <w:color w:val="000000" w:themeColor="text1"/>
              </w:rPr>
            </w:pPr>
            <w:r w:rsidRPr="00687B52">
              <w:rPr>
                <w:rFonts w:hint="eastAsia"/>
                <w:b/>
                <w:color w:val="000000" w:themeColor="text1"/>
              </w:rPr>
              <w:t>石油天然气管道站场</w:t>
            </w:r>
          </w:p>
        </w:tc>
        <w:tc>
          <w:tcPr>
            <w:tcW w:w="930" w:type="pct"/>
            <w:vAlign w:val="center"/>
          </w:tcPr>
          <w:p w:rsidR="000E02C5" w:rsidRPr="00687B52" w:rsidRDefault="000E02C5" w:rsidP="00B527D4">
            <w:pPr>
              <w:pStyle w:val="a7"/>
              <w:rPr>
                <w:color w:val="000000" w:themeColor="text1"/>
              </w:rPr>
            </w:pP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rPr>
            </w:pPr>
            <w:r w:rsidRPr="00687B52">
              <w:rPr>
                <w:rFonts w:hint="eastAsia"/>
                <w:color w:val="000000" w:themeColor="text1"/>
              </w:rPr>
              <w:t>1.1.1</w:t>
            </w: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石油天然气站场与周围居住区、相邻厂矿企业、交通线等的防火间距，不应小于表</w:t>
            </w:r>
            <w:r w:rsidRPr="00687B52">
              <w:rPr>
                <w:rFonts w:hint="eastAsia"/>
                <w:color w:val="000000" w:themeColor="text1"/>
              </w:rPr>
              <w:t>4.0.4</w:t>
            </w:r>
            <w:r w:rsidRPr="00687B52">
              <w:rPr>
                <w:rFonts w:hint="eastAsia"/>
                <w:color w:val="000000" w:themeColor="text1"/>
              </w:rPr>
              <w:t>的规定。火炬的防火间距应经辐射热计算确定，对可能携带可燃液体的火炬的防火间距，尚不应小于表</w:t>
            </w:r>
            <w:r w:rsidRPr="00687B52">
              <w:rPr>
                <w:rFonts w:hint="eastAsia"/>
                <w:color w:val="000000" w:themeColor="text1"/>
              </w:rPr>
              <w:t>4.0.4</w:t>
            </w:r>
            <w:r w:rsidRPr="00687B52">
              <w:rPr>
                <w:rFonts w:hint="eastAsia"/>
                <w:color w:val="000000" w:themeColor="text1"/>
              </w:rPr>
              <w:t>的规定。</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4.0.4</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rPr>
            </w:pPr>
            <w:r w:rsidRPr="00687B52">
              <w:rPr>
                <w:rFonts w:hint="eastAsia"/>
                <w:color w:val="000000" w:themeColor="text1"/>
              </w:rPr>
              <w:t>1.1.2</w:t>
            </w: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石油天然气站场与相邻厂矿企业的石油天然气站场毗邻建设时，其防火间距可按本规范表</w:t>
            </w:r>
            <w:r w:rsidRPr="00687B52">
              <w:rPr>
                <w:rFonts w:hint="eastAsia"/>
                <w:color w:val="000000" w:themeColor="text1"/>
              </w:rPr>
              <w:t>5.2.1</w:t>
            </w:r>
            <w:r w:rsidRPr="00687B52">
              <w:rPr>
                <w:rFonts w:hint="eastAsia"/>
                <w:color w:val="000000" w:themeColor="text1"/>
              </w:rPr>
              <w:t>、表</w:t>
            </w:r>
            <w:r w:rsidRPr="00687B52">
              <w:rPr>
                <w:rFonts w:hint="eastAsia"/>
                <w:color w:val="000000" w:themeColor="text1"/>
              </w:rPr>
              <w:t>5.2.3</w:t>
            </w:r>
            <w:r w:rsidRPr="00687B52">
              <w:rPr>
                <w:rFonts w:hint="eastAsia"/>
                <w:color w:val="000000" w:themeColor="text1"/>
              </w:rPr>
              <w:t>的规定执行。</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4.0.5</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szCs w:val="24"/>
              </w:rPr>
            </w:pPr>
            <w:r w:rsidRPr="00687B52">
              <w:rPr>
                <w:rFonts w:hint="eastAsia"/>
                <w:color w:val="000000" w:themeColor="text1"/>
                <w:szCs w:val="24"/>
              </w:rPr>
              <w:t>1.1.3</w:t>
            </w: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火炬和放空管宜位于石油天然气站场生产区最小频率风向的上风侧，且宜布置在站场外地势较高处。火炬和放空管与石油天然气站场的间距：火炬由本规范第</w:t>
            </w:r>
            <w:r w:rsidRPr="00687B52">
              <w:rPr>
                <w:rFonts w:hint="eastAsia"/>
                <w:color w:val="000000" w:themeColor="text1"/>
              </w:rPr>
              <w:t>5.2.1</w:t>
            </w:r>
            <w:r w:rsidRPr="00687B52">
              <w:rPr>
                <w:rFonts w:hint="eastAsia"/>
                <w:color w:val="000000" w:themeColor="text1"/>
              </w:rPr>
              <w:t>条确定；放空管放空量等于或小于</w:t>
            </w:r>
            <w:r w:rsidRPr="00687B52">
              <w:rPr>
                <w:rFonts w:hint="eastAsia"/>
                <w:color w:val="000000" w:themeColor="text1"/>
              </w:rPr>
              <w:t>1.2</w:t>
            </w:r>
            <w:r w:rsidRPr="00687B52">
              <w:rPr>
                <w:rFonts w:hint="eastAsia"/>
                <w:color w:val="000000" w:themeColor="text1"/>
              </w:rPr>
              <w:t>×</w:t>
            </w:r>
            <w:r w:rsidRPr="00687B52">
              <w:rPr>
                <w:rFonts w:hint="eastAsia"/>
                <w:color w:val="000000" w:themeColor="text1"/>
              </w:rPr>
              <w:t>10</w:t>
            </w:r>
            <w:r w:rsidRPr="00687B52">
              <w:rPr>
                <w:rFonts w:hint="eastAsia"/>
                <w:color w:val="000000" w:themeColor="text1"/>
                <w:vertAlign w:val="superscript"/>
              </w:rPr>
              <w:t>4</w:t>
            </w:r>
            <w:r w:rsidRPr="00687B52">
              <w:rPr>
                <w:rFonts w:hint="eastAsia"/>
                <w:color w:val="000000" w:themeColor="text1"/>
              </w:rPr>
              <w:t>m</w:t>
            </w:r>
            <w:r w:rsidRPr="00687B52">
              <w:rPr>
                <w:rFonts w:hint="eastAsia"/>
                <w:color w:val="000000" w:themeColor="text1"/>
                <w:vertAlign w:val="superscript"/>
              </w:rPr>
              <w:t>3</w:t>
            </w:r>
            <w:r w:rsidRPr="00687B52">
              <w:rPr>
                <w:rFonts w:hint="eastAsia"/>
                <w:color w:val="000000" w:themeColor="text1"/>
              </w:rPr>
              <w:t>/h</w:t>
            </w:r>
            <w:r w:rsidRPr="00687B52">
              <w:rPr>
                <w:rFonts w:hint="eastAsia"/>
                <w:color w:val="000000" w:themeColor="text1"/>
              </w:rPr>
              <w:t>时，不应小于</w:t>
            </w:r>
            <w:r w:rsidRPr="00687B52">
              <w:rPr>
                <w:rFonts w:hint="eastAsia"/>
                <w:color w:val="000000" w:themeColor="text1"/>
              </w:rPr>
              <w:t>10m</w:t>
            </w:r>
            <w:r w:rsidRPr="00687B52">
              <w:rPr>
                <w:rFonts w:hint="eastAsia"/>
                <w:color w:val="000000" w:themeColor="text1"/>
              </w:rPr>
              <w:t>；放空量大于</w:t>
            </w:r>
            <w:r w:rsidRPr="00687B52">
              <w:rPr>
                <w:rFonts w:hint="eastAsia"/>
                <w:color w:val="000000" w:themeColor="text1"/>
              </w:rPr>
              <w:t>1.2</w:t>
            </w:r>
            <w:r w:rsidRPr="00687B52">
              <w:rPr>
                <w:rFonts w:hint="eastAsia"/>
                <w:color w:val="000000" w:themeColor="text1"/>
              </w:rPr>
              <w:t>×</w:t>
            </w:r>
            <w:r w:rsidRPr="00687B52">
              <w:rPr>
                <w:rFonts w:hint="eastAsia"/>
                <w:color w:val="000000" w:themeColor="text1"/>
              </w:rPr>
              <w:t>10</w:t>
            </w:r>
            <w:r w:rsidRPr="00687B52">
              <w:rPr>
                <w:rFonts w:hint="eastAsia"/>
                <w:color w:val="000000" w:themeColor="text1"/>
                <w:vertAlign w:val="superscript"/>
              </w:rPr>
              <w:t>4</w:t>
            </w:r>
            <w:r w:rsidRPr="00687B52">
              <w:rPr>
                <w:rFonts w:hint="eastAsia"/>
                <w:color w:val="000000" w:themeColor="text1"/>
              </w:rPr>
              <w:t>m</w:t>
            </w:r>
            <w:r w:rsidRPr="00687B52">
              <w:rPr>
                <w:rFonts w:hint="eastAsia"/>
                <w:color w:val="000000" w:themeColor="text1"/>
                <w:vertAlign w:val="superscript"/>
              </w:rPr>
              <w:t>3</w:t>
            </w:r>
            <w:r w:rsidRPr="00687B52">
              <w:rPr>
                <w:rFonts w:hint="eastAsia"/>
                <w:color w:val="000000" w:themeColor="text1"/>
              </w:rPr>
              <w:t>/h</w:t>
            </w:r>
            <w:r w:rsidRPr="00687B52">
              <w:rPr>
                <w:rFonts w:hint="eastAsia"/>
                <w:color w:val="000000" w:themeColor="text1"/>
              </w:rPr>
              <w:t>且等于或小于</w:t>
            </w:r>
            <w:r w:rsidRPr="00687B52">
              <w:rPr>
                <w:rFonts w:hint="eastAsia"/>
                <w:color w:val="000000" w:themeColor="text1"/>
              </w:rPr>
              <w:t>4</w:t>
            </w:r>
            <w:r w:rsidRPr="00687B52">
              <w:rPr>
                <w:rFonts w:hint="eastAsia"/>
                <w:color w:val="000000" w:themeColor="text1"/>
              </w:rPr>
              <w:t>×</w:t>
            </w:r>
            <w:r w:rsidRPr="00687B52">
              <w:rPr>
                <w:rFonts w:hint="eastAsia"/>
                <w:color w:val="000000" w:themeColor="text1"/>
              </w:rPr>
              <w:t>10</w:t>
            </w:r>
            <w:r w:rsidRPr="00687B52">
              <w:rPr>
                <w:rFonts w:hint="eastAsia"/>
                <w:color w:val="000000" w:themeColor="text1"/>
                <w:vertAlign w:val="superscript"/>
              </w:rPr>
              <w:t>4</w:t>
            </w:r>
            <w:r w:rsidRPr="00687B52">
              <w:rPr>
                <w:rFonts w:hint="eastAsia"/>
                <w:color w:val="000000" w:themeColor="text1"/>
              </w:rPr>
              <w:t>m</w:t>
            </w:r>
            <w:r w:rsidRPr="00687B52">
              <w:rPr>
                <w:rFonts w:hint="eastAsia"/>
                <w:color w:val="000000" w:themeColor="text1"/>
                <w:vertAlign w:val="superscript"/>
              </w:rPr>
              <w:t>3</w:t>
            </w:r>
            <w:r w:rsidRPr="00687B52">
              <w:rPr>
                <w:rFonts w:hint="eastAsia"/>
                <w:color w:val="000000" w:themeColor="text1"/>
              </w:rPr>
              <w:t>/h</w:t>
            </w:r>
            <w:r w:rsidRPr="00687B52">
              <w:rPr>
                <w:rFonts w:hint="eastAsia"/>
                <w:color w:val="000000" w:themeColor="text1"/>
              </w:rPr>
              <w:t>时，不应小于</w:t>
            </w:r>
            <w:r w:rsidRPr="00687B52">
              <w:rPr>
                <w:rFonts w:hint="eastAsia"/>
                <w:color w:val="000000" w:themeColor="text1"/>
              </w:rPr>
              <w:t>40m</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4.0.8</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szCs w:val="24"/>
              </w:rPr>
            </w:pPr>
            <w:r w:rsidRPr="00687B52">
              <w:rPr>
                <w:rFonts w:hint="eastAsia"/>
                <w:color w:val="000000" w:themeColor="text1"/>
                <w:szCs w:val="24"/>
              </w:rPr>
              <w:t>1.1.4</w:t>
            </w: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石油天然气站场总平面布置应符合下列规定：</w:t>
            </w:r>
          </w:p>
          <w:p w:rsidR="000E02C5" w:rsidRPr="00687B52" w:rsidRDefault="000E02C5" w:rsidP="00B527D4">
            <w:pPr>
              <w:pStyle w:val="a7"/>
              <w:jc w:val="left"/>
              <w:rPr>
                <w:color w:val="000000" w:themeColor="text1"/>
              </w:rPr>
            </w:pPr>
            <w:r w:rsidRPr="00687B52">
              <w:rPr>
                <w:rFonts w:hint="eastAsia"/>
                <w:color w:val="000000" w:themeColor="text1"/>
              </w:rPr>
              <w:t>①可能散发可燃气体的场所和设施，宜布置在人员集中场所及明火或散发火花地点的全年最小频率风向的上风侧。</w:t>
            </w:r>
          </w:p>
          <w:p w:rsidR="000E02C5" w:rsidRPr="00687B52" w:rsidRDefault="000E02C5" w:rsidP="00B527D4">
            <w:pPr>
              <w:pStyle w:val="a7"/>
              <w:jc w:val="left"/>
              <w:rPr>
                <w:color w:val="000000" w:themeColor="text1"/>
              </w:rPr>
            </w:pPr>
            <w:r w:rsidRPr="00687B52">
              <w:rPr>
                <w:rFonts w:hint="eastAsia"/>
                <w:color w:val="000000" w:themeColor="text1"/>
              </w:rPr>
              <w:t>②甲、乙类液体储罐，宜布置在站场地势较低处。当受条件限制或有特殊工艺要求时，可布置在地势较高处，但应采取有效的防止液体流散的措施。</w:t>
            </w:r>
          </w:p>
          <w:p w:rsidR="000E02C5" w:rsidRPr="00687B52" w:rsidRDefault="000E02C5" w:rsidP="00B527D4">
            <w:pPr>
              <w:pStyle w:val="a7"/>
              <w:jc w:val="left"/>
              <w:rPr>
                <w:color w:val="000000" w:themeColor="text1"/>
              </w:rPr>
            </w:pPr>
            <w:r w:rsidRPr="00687B52">
              <w:rPr>
                <w:rFonts w:hint="eastAsia"/>
                <w:color w:val="000000" w:themeColor="text1"/>
              </w:rPr>
              <w:t>③当站场采用阶梯式竖向设计时，阶梯间应有防止泄露可燃液体漫流的措施。</w:t>
            </w:r>
          </w:p>
          <w:p w:rsidR="000E02C5" w:rsidRPr="00687B52" w:rsidRDefault="000E02C5" w:rsidP="00B527D4">
            <w:pPr>
              <w:pStyle w:val="a7"/>
              <w:jc w:val="left"/>
              <w:rPr>
                <w:color w:val="000000" w:themeColor="text1"/>
              </w:rPr>
            </w:pPr>
            <w:r w:rsidRPr="00687B52">
              <w:rPr>
                <w:rFonts w:hint="eastAsia"/>
                <w:color w:val="000000" w:themeColor="text1"/>
              </w:rPr>
              <w:t>④甲、乙类油品储罐组，不宜紧靠排洪沟布置。</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5.1.2</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rPr>
            </w:pPr>
            <w:r w:rsidRPr="00687B52">
              <w:rPr>
                <w:rFonts w:hint="eastAsia"/>
                <w:color w:val="000000" w:themeColor="text1"/>
              </w:rPr>
              <w:t>1.1.5</w:t>
            </w: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汽车运输油品的装卸车场，应布置在站场的边缘，独立成区，并宜设单独的出入口。</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5.1.5</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szCs w:val="24"/>
              </w:rPr>
            </w:pPr>
            <w:r w:rsidRPr="00687B52">
              <w:rPr>
                <w:rFonts w:hint="eastAsia"/>
                <w:color w:val="000000" w:themeColor="text1"/>
                <w:szCs w:val="24"/>
              </w:rPr>
              <w:t>1.1.6</w:t>
            </w: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一、二、三、四级石油天然气站场四周宜设不低于</w:t>
            </w:r>
            <w:r w:rsidRPr="00687B52">
              <w:rPr>
                <w:rFonts w:hint="eastAsia"/>
                <w:color w:val="000000" w:themeColor="text1"/>
              </w:rPr>
              <w:t>2.2m</w:t>
            </w:r>
            <w:r w:rsidRPr="00687B52">
              <w:rPr>
                <w:rFonts w:hint="eastAsia"/>
                <w:color w:val="000000" w:themeColor="text1"/>
              </w:rPr>
              <w:t>的非燃烧材料围墙或围栏。站场内变配电站（大于或等于</w:t>
            </w:r>
            <w:r w:rsidRPr="00687B52">
              <w:rPr>
                <w:rFonts w:hint="eastAsia"/>
                <w:color w:val="000000" w:themeColor="text1"/>
              </w:rPr>
              <w:t>35KV</w:t>
            </w:r>
            <w:r w:rsidRPr="00687B52">
              <w:rPr>
                <w:rFonts w:hint="eastAsia"/>
                <w:color w:val="000000" w:themeColor="text1"/>
              </w:rPr>
              <w:t>）应设不低于</w:t>
            </w:r>
            <w:r w:rsidRPr="00687B52">
              <w:rPr>
                <w:rFonts w:hint="eastAsia"/>
                <w:color w:val="000000" w:themeColor="text1"/>
              </w:rPr>
              <w:t>1.5m</w:t>
            </w:r>
            <w:r w:rsidRPr="00687B52">
              <w:rPr>
                <w:rFonts w:hint="eastAsia"/>
                <w:color w:val="000000" w:themeColor="text1"/>
              </w:rPr>
              <w:t>的围栏。道路与围墙（栏）的间距不应小于</w:t>
            </w:r>
            <w:r w:rsidRPr="00687B52">
              <w:rPr>
                <w:rFonts w:hint="eastAsia"/>
                <w:color w:val="000000" w:themeColor="text1"/>
              </w:rPr>
              <w:t>1.5m</w:t>
            </w:r>
            <w:r w:rsidRPr="00687B52">
              <w:rPr>
                <w:rFonts w:hint="eastAsia"/>
                <w:color w:val="000000" w:themeColor="text1"/>
              </w:rPr>
              <w:t>；一、二、三级油气站场内甲、乙类设备、容器及生产建（构）筑物至围墙（栏）的间距不应小于</w:t>
            </w:r>
            <w:r w:rsidRPr="00687B52">
              <w:rPr>
                <w:rFonts w:hint="eastAsia"/>
                <w:color w:val="000000" w:themeColor="text1"/>
              </w:rPr>
              <w:t>5m</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5.1.5</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rPr>
            </w:pPr>
            <w:r w:rsidRPr="00687B52">
              <w:rPr>
                <w:rFonts w:hint="eastAsia"/>
                <w:color w:val="000000" w:themeColor="text1"/>
              </w:rPr>
              <w:t>1.1.7</w:t>
            </w: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石油天然气站场内的绿化，应符合下列规定：</w:t>
            </w:r>
          </w:p>
          <w:p w:rsidR="000E02C5" w:rsidRPr="00687B52" w:rsidRDefault="000E02C5" w:rsidP="00B527D4">
            <w:pPr>
              <w:pStyle w:val="a7"/>
              <w:jc w:val="left"/>
              <w:rPr>
                <w:color w:val="000000" w:themeColor="text1"/>
              </w:rPr>
            </w:pPr>
            <w:r w:rsidRPr="00687B52">
              <w:rPr>
                <w:rFonts w:hint="eastAsia"/>
                <w:color w:val="000000" w:themeColor="text1"/>
              </w:rPr>
              <w:t>①生产区不应种植含油脂多的树木，宜选择含水分较多的树种。</w:t>
            </w:r>
          </w:p>
          <w:p w:rsidR="000E02C5" w:rsidRPr="00687B52" w:rsidRDefault="000E02C5" w:rsidP="00B527D4">
            <w:pPr>
              <w:pStyle w:val="a7"/>
              <w:jc w:val="left"/>
              <w:rPr>
                <w:color w:val="000000" w:themeColor="text1"/>
              </w:rPr>
            </w:pPr>
            <w:r w:rsidRPr="00687B52">
              <w:rPr>
                <w:rFonts w:hint="eastAsia"/>
                <w:color w:val="000000" w:themeColor="text1"/>
              </w:rPr>
              <w:t>②工艺装置区或甲、乙类油品储罐组与其周围的消防车道之间，不应种植树木。</w:t>
            </w:r>
          </w:p>
          <w:p w:rsidR="000E02C5" w:rsidRPr="00687B52" w:rsidRDefault="000E02C5" w:rsidP="00B527D4">
            <w:pPr>
              <w:pStyle w:val="a7"/>
              <w:jc w:val="left"/>
              <w:rPr>
                <w:color w:val="000000" w:themeColor="text1"/>
              </w:rPr>
            </w:pPr>
            <w:r w:rsidRPr="00687B52">
              <w:rPr>
                <w:rFonts w:hint="eastAsia"/>
                <w:color w:val="000000" w:themeColor="text1"/>
              </w:rPr>
              <w:t>③在油品储罐组内地面及土筑防火堤坡面可植生长高度不超过</w:t>
            </w:r>
            <w:r w:rsidRPr="00687B52">
              <w:rPr>
                <w:rFonts w:hint="eastAsia"/>
                <w:color w:val="000000" w:themeColor="text1"/>
              </w:rPr>
              <w:t>0.15m</w:t>
            </w:r>
            <w:r w:rsidRPr="00687B52">
              <w:rPr>
                <w:rFonts w:hint="eastAsia"/>
                <w:color w:val="000000" w:themeColor="text1"/>
              </w:rPr>
              <w:t>、四季常绿的草皮。</w:t>
            </w:r>
          </w:p>
          <w:p w:rsidR="000E02C5" w:rsidRPr="00687B52" w:rsidRDefault="000E02C5" w:rsidP="00B527D4">
            <w:pPr>
              <w:pStyle w:val="a7"/>
              <w:jc w:val="left"/>
              <w:rPr>
                <w:color w:val="000000" w:themeColor="text1"/>
              </w:rPr>
            </w:pPr>
            <w:r w:rsidRPr="00687B52">
              <w:rPr>
                <w:rFonts w:hint="eastAsia"/>
                <w:color w:val="000000" w:themeColor="text1"/>
              </w:rPr>
              <w:t>④液化石油气罐组防火堤或防护墙内严禁绿化。</w:t>
            </w:r>
          </w:p>
          <w:p w:rsidR="000E02C5" w:rsidRPr="00687B52" w:rsidRDefault="000E02C5" w:rsidP="00B527D4">
            <w:pPr>
              <w:pStyle w:val="a7"/>
              <w:jc w:val="left"/>
              <w:rPr>
                <w:color w:val="000000" w:themeColor="text1"/>
              </w:rPr>
            </w:pPr>
            <w:r w:rsidRPr="00687B52">
              <w:rPr>
                <w:rFonts w:hint="eastAsia"/>
                <w:color w:val="000000" w:themeColor="text1"/>
              </w:rPr>
              <w:t>⑤站场内的绿化不应妨碍消防操作。</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5.1.6</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szCs w:val="24"/>
              </w:rPr>
            </w:pPr>
            <w:r w:rsidRPr="00687B52">
              <w:rPr>
                <w:rFonts w:hint="eastAsia"/>
                <w:color w:val="000000" w:themeColor="text1"/>
                <w:szCs w:val="24"/>
              </w:rPr>
              <w:t>1.1.8</w:t>
            </w: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一、二、三、四级石油天然气站场内总平面布置的防火间距除另有规定外，应不小于表</w:t>
            </w:r>
            <w:r w:rsidRPr="00687B52">
              <w:rPr>
                <w:rFonts w:hint="eastAsia"/>
                <w:color w:val="000000" w:themeColor="text1"/>
              </w:rPr>
              <w:t>5.2.1</w:t>
            </w:r>
            <w:r w:rsidRPr="00687B52">
              <w:rPr>
                <w:rFonts w:hint="eastAsia"/>
                <w:color w:val="000000" w:themeColor="text1"/>
              </w:rPr>
              <w:t>的规定。火炬的防火间距应辐射热计算确定，对可能携带可燃液体的高架火炬还应满足表</w:t>
            </w:r>
            <w:r w:rsidRPr="00687B52">
              <w:rPr>
                <w:rFonts w:hint="eastAsia"/>
                <w:color w:val="000000" w:themeColor="text1"/>
              </w:rPr>
              <w:t>5.2.1</w:t>
            </w:r>
            <w:r w:rsidRPr="00687B52">
              <w:rPr>
                <w:rFonts w:hint="eastAsia"/>
                <w:color w:val="000000" w:themeColor="text1"/>
              </w:rPr>
              <w:t>的规定。</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5.2.1</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rPr>
            </w:pPr>
            <w:r w:rsidRPr="00687B52">
              <w:rPr>
                <w:rFonts w:hint="eastAsia"/>
                <w:color w:val="000000" w:themeColor="text1"/>
              </w:rPr>
              <w:t>1.1.9</w:t>
            </w: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石油天然气站场内的甲、乙类工艺装置、联合工艺装置的防火间距，应符合下列规定：</w:t>
            </w:r>
          </w:p>
          <w:p w:rsidR="000E02C5" w:rsidRPr="00687B52" w:rsidRDefault="000E02C5" w:rsidP="00B527D4">
            <w:pPr>
              <w:pStyle w:val="a7"/>
              <w:jc w:val="left"/>
              <w:rPr>
                <w:color w:val="000000" w:themeColor="text1"/>
              </w:rPr>
            </w:pPr>
            <w:r w:rsidRPr="00687B52">
              <w:rPr>
                <w:rFonts w:hint="eastAsia"/>
                <w:color w:val="000000" w:themeColor="text1"/>
              </w:rPr>
              <w:t>①装置与其外部的防火间距应按本规范表</w:t>
            </w:r>
            <w:r w:rsidRPr="00687B52">
              <w:rPr>
                <w:rFonts w:hint="eastAsia"/>
                <w:color w:val="000000" w:themeColor="text1"/>
              </w:rPr>
              <w:t>5.2.1</w:t>
            </w:r>
            <w:r w:rsidRPr="00687B52">
              <w:rPr>
                <w:rFonts w:hint="eastAsia"/>
                <w:color w:val="000000" w:themeColor="text1"/>
              </w:rPr>
              <w:t>中甲、乙类厂房和密闭工艺设备的规定执行。</w:t>
            </w:r>
          </w:p>
          <w:p w:rsidR="000E02C5" w:rsidRPr="00687B52" w:rsidRDefault="000E02C5" w:rsidP="00B527D4">
            <w:pPr>
              <w:pStyle w:val="a7"/>
              <w:jc w:val="left"/>
              <w:rPr>
                <w:color w:val="000000" w:themeColor="text1"/>
              </w:rPr>
            </w:pPr>
            <w:r w:rsidRPr="00687B52">
              <w:rPr>
                <w:rFonts w:hint="eastAsia"/>
                <w:color w:val="000000" w:themeColor="text1"/>
              </w:rPr>
              <w:t>②装置间的防火间距应符合表</w:t>
            </w:r>
            <w:r w:rsidRPr="00687B52">
              <w:rPr>
                <w:rFonts w:hint="eastAsia"/>
                <w:color w:val="000000" w:themeColor="text1"/>
              </w:rPr>
              <w:t>5.2.2-1</w:t>
            </w:r>
            <w:r w:rsidRPr="00687B52">
              <w:rPr>
                <w:rFonts w:hint="eastAsia"/>
                <w:color w:val="000000" w:themeColor="text1"/>
              </w:rPr>
              <w:t>的规定。</w:t>
            </w:r>
          </w:p>
          <w:p w:rsidR="000E02C5" w:rsidRPr="00687B52" w:rsidRDefault="000E02C5" w:rsidP="00B527D4">
            <w:pPr>
              <w:pStyle w:val="a7"/>
              <w:jc w:val="left"/>
              <w:rPr>
                <w:color w:val="000000" w:themeColor="text1"/>
              </w:rPr>
            </w:pPr>
            <w:r w:rsidRPr="00687B52">
              <w:rPr>
                <w:rFonts w:hint="eastAsia"/>
                <w:color w:val="000000" w:themeColor="text1"/>
              </w:rPr>
              <w:t>③装置内部的设备、建（构）筑物间的防火间距，应符合表</w:t>
            </w:r>
            <w:r w:rsidRPr="00687B52">
              <w:rPr>
                <w:rFonts w:hint="eastAsia"/>
                <w:color w:val="000000" w:themeColor="text1"/>
              </w:rPr>
              <w:t>5.2.2-2</w:t>
            </w:r>
            <w:r w:rsidRPr="00687B52">
              <w:rPr>
                <w:rFonts w:hint="eastAsia"/>
                <w:color w:val="000000" w:themeColor="text1"/>
              </w:rPr>
              <w:t>的规定。</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5.2.2</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szCs w:val="24"/>
              </w:rPr>
            </w:pPr>
            <w:r w:rsidRPr="00687B52">
              <w:rPr>
                <w:rFonts w:hint="eastAsia"/>
                <w:color w:val="000000" w:themeColor="text1"/>
                <w:szCs w:val="24"/>
              </w:rPr>
              <w:t>1.1.10</w:t>
            </w: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五级石油天然气站场总平面布置的防火间距，不应小于表</w:t>
            </w:r>
            <w:r w:rsidRPr="00687B52">
              <w:rPr>
                <w:rFonts w:hint="eastAsia"/>
                <w:color w:val="000000" w:themeColor="text1"/>
              </w:rPr>
              <w:t>5.2.3</w:t>
            </w:r>
            <w:r w:rsidRPr="00687B52">
              <w:rPr>
                <w:rFonts w:hint="eastAsia"/>
                <w:color w:val="000000" w:themeColor="text1"/>
              </w:rPr>
              <w:t>的规定。</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5.2.3</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rPr>
            </w:pPr>
            <w:r w:rsidRPr="00687B52">
              <w:rPr>
                <w:rFonts w:hint="eastAsia"/>
                <w:color w:val="000000" w:themeColor="text1"/>
              </w:rPr>
              <w:t>1.1.11</w:t>
            </w: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五级油品站场和天然气站场值班休息室（宿舍、厨房、餐厅）距甲、乙类油品储罐不应小于</w:t>
            </w:r>
            <w:r w:rsidRPr="00687B52">
              <w:rPr>
                <w:rFonts w:hint="eastAsia"/>
                <w:color w:val="000000" w:themeColor="text1"/>
              </w:rPr>
              <w:t>30m</w:t>
            </w:r>
            <w:r w:rsidRPr="00687B52">
              <w:rPr>
                <w:rFonts w:hint="eastAsia"/>
                <w:color w:val="000000" w:themeColor="text1"/>
              </w:rPr>
              <w:t>，距甲、乙类工艺设备、容器、厂房、汽车装卸设施不应小于</w:t>
            </w:r>
            <w:r w:rsidRPr="00687B52">
              <w:rPr>
                <w:rFonts w:hint="eastAsia"/>
                <w:color w:val="000000" w:themeColor="text1"/>
              </w:rPr>
              <w:t>22.5m</w:t>
            </w:r>
            <w:r w:rsidRPr="00687B52">
              <w:rPr>
                <w:rFonts w:hint="eastAsia"/>
                <w:color w:val="000000" w:themeColor="text1"/>
              </w:rPr>
              <w:t>；当值班休息室朝向甲、乙类工艺设备、容器、厂房、汽车装卸设施的墙壁为耐火等级不低于二级的防火墙时，防火间距可减小（储罐除外），但不应小于</w:t>
            </w:r>
            <w:r w:rsidRPr="00687B52">
              <w:rPr>
                <w:rFonts w:hint="eastAsia"/>
                <w:color w:val="000000" w:themeColor="text1"/>
              </w:rPr>
              <w:t>15m</w:t>
            </w:r>
            <w:r w:rsidRPr="00687B52">
              <w:rPr>
                <w:rFonts w:hint="eastAsia"/>
                <w:color w:val="000000" w:themeColor="text1"/>
              </w:rPr>
              <w:t>，并应方便人员在紧急情况下安全疏散。</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5.2.4</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szCs w:val="24"/>
              </w:rPr>
            </w:pPr>
            <w:r w:rsidRPr="00687B52">
              <w:rPr>
                <w:rFonts w:hint="eastAsia"/>
                <w:color w:val="000000" w:themeColor="text1"/>
                <w:szCs w:val="24"/>
              </w:rPr>
              <w:t>1.1.12</w:t>
            </w: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天然气放空管排放口与明火或散发火花地点的防火间距不应小于</w:t>
            </w:r>
            <w:r w:rsidRPr="00687B52">
              <w:rPr>
                <w:rFonts w:hint="eastAsia"/>
                <w:color w:val="000000" w:themeColor="text1"/>
              </w:rPr>
              <w:t>25m</w:t>
            </w:r>
            <w:r w:rsidRPr="00687B52">
              <w:rPr>
                <w:rFonts w:hint="eastAsia"/>
                <w:color w:val="000000" w:themeColor="text1"/>
              </w:rPr>
              <w:t>，与非防爆厂房之间的防火间距不应小于</w:t>
            </w:r>
            <w:r w:rsidRPr="00687B52">
              <w:rPr>
                <w:rFonts w:hint="eastAsia"/>
                <w:color w:val="000000" w:themeColor="text1"/>
              </w:rPr>
              <w:t>12m</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5.2.5</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rPr>
            </w:pPr>
            <w:r w:rsidRPr="00687B52">
              <w:rPr>
                <w:rFonts w:hint="eastAsia"/>
                <w:color w:val="000000" w:themeColor="text1"/>
              </w:rPr>
              <w:t>1.1.13</w:t>
            </w: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加热炉附属的燃料气分液包、燃料气加热器等与加热炉的防火距离不限；燃料气分液包采用开式排放时，排放口距加热炉的防火间距应不小于</w:t>
            </w:r>
            <w:r w:rsidRPr="00687B52">
              <w:rPr>
                <w:rFonts w:hint="eastAsia"/>
                <w:color w:val="000000" w:themeColor="text1"/>
              </w:rPr>
              <w:t>15m</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5.2.6</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szCs w:val="24"/>
              </w:rPr>
            </w:pPr>
            <w:r w:rsidRPr="00687B52">
              <w:rPr>
                <w:rFonts w:hint="eastAsia"/>
                <w:color w:val="000000" w:themeColor="text1"/>
                <w:szCs w:val="24"/>
              </w:rPr>
              <w:t>1.1.14</w:t>
            </w: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一、二、三级油气站场，至少应有两个通向外部道路的出入口。</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5.3.1</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rPr>
            </w:pPr>
            <w:r w:rsidRPr="00687B52">
              <w:rPr>
                <w:rFonts w:hint="eastAsia"/>
                <w:color w:val="000000" w:themeColor="text1"/>
              </w:rPr>
              <w:t>1.1.15</w:t>
            </w: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当道路高处附近地面</w:t>
            </w:r>
            <w:r w:rsidRPr="00687B52">
              <w:rPr>
                <w:rFonts w:hint="eastAsia"/>
                <w:color w:val="000000" w:themeColor="text1"/>
              </w:rPr>
              <w:t>2.5m</w:t>
            </w:r>
            <w:r w:rsidRPr="00687B52">
              <w:rPr>
                <w:rFonts w:hint="eastAsia"/>
                <w:color w:val="000000" w:themeColor="text1"/>
              </w:rPr>
              <w:t>以上，且在距道路边缘</w:t>
            </w:r>
            <w:r w:rsidRPr="00687B52">
              <w:rPr>
                <w:rFonts w:hint="eastAsia"/>
                <w:color w:val="000000" w:themeColor="text1"/>
              </w:rPr>
              <w:t>15m</w:t>
            </w:r>
            <w:r w:rsidRPr="00687B52">
              <w:rPr>
                <w:rFonts w:hint="eastAsia"/>
                <w:color w:val="000000" w:themeColor="text1"/>
              </w:rPr>
              <w:t>范围内有工艺装置或可燃气体、可燃液体储罐及管道时，应在该段道路的边缘设护墩、矮强等防护设施。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5.3.4</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rPr>
            </w:pPr>
            <w:r w:rsidRPr="00687B52">
              <w:rPr>
                <w:rFonts w:hint="eastAsia"/>
                <w:color w:val="000000" w:themeColor="text1"/>
              </w:rPr>
              <w:t>1.1.16</w:t>
            </w: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石油天然气管道不得穿过与其无关的建筑物。</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6.1.5</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rPr>
            </w:pPr>
            <w:r w:rsidRPr="00687B52">
              <w:rPr>
                <w:rFonts w:hint="eastAsia"/>
                <w:color w:val="000000" w:themeColor="text1"/>
              </w:rPr>
              <w:t>1.1.17</w:t>
            </w: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甲、乙类油品储罐、容器、工艺设备的基础；甲、乙类地面管道的支、吊架和基础应采用非燃烧材料，但储罐底板垫层可采用沥青砂。</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6.1.8</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rPr>
            </w:pPr>
            <w:r w:rsidRPr="00687B52">
              <w:rPr>
                <w:rFonts w:hint="eastAsia"/>
                <w:color w:val="000000" w:themeColor="text1"/>
              </w:rPr>
              <w:t>1.1.18</w:t>
            </w: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站场生产设备宜露天或棚式布置，受生产工艺或自然条件限制的设备可布置在建筑物内。</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6.1.9</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rPr>
            </w:pPr>
            <w:r w:rsidRPr="00687B52">
              <w:rPr>
                <w:rFonts w:hint="eastAsia"/>
                <w:color w:val="000000" w:themeColor="text1"/>
              </w:rPr>
              <w:t>1.1.19</w:t>
            </w: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输送甲、乙类液体的泵，可燃气体压缩机不得与空气压缩机同室布置。空气管道不得与可燃气体，甲、乙类液体管道固定相联。</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6.2.2</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rPr>
            </w:pPr>
            <w:r w:rsidRPr="00687B52">
              <w:rPr>
                <w:rFonts w:hint="eastAsia"/>
                <w:color w:val="000000" w:themeColor="text1"/>
              </w:rPr>
              <w:t>1.1.20</w:t>
            </w: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甲、乙类液体泵房与变配电室或控制室相毗邻时，变配电室或控制室的门、窗应位于爆炸危险区范围之外。</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6.2.3</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rPr>
            </w:pPr>
            <w:r w:rsidRPr="00687B52">
              <w:rPr>
                <w:rFonts w:hint="eastAsia"/>
                <w:color w:val="000000" w:themeColor="text1"/>
              </w:rPr>
              <w:t>1.1.21</w:t>
            </w: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甲、乙类油品泵宜露天或棚式布置。若在室内布置时，应符合下列要求：</w:t>
            </w:r>
          </w:p>
          <w:p w:rsidR="000E02C5" w:rsidRPr="00687B52" w:rsidRDefault="000E02C5" w:rsidP="00B527D4">
            <w:pPr>
              <w:pStyle w:val="a7"/>
              <w:jc w:val="left"/>
              <w:rPr>
                <w:color w:val="000000" w:themeColor="text1"/>
              </w:rPr>
            </w:pPr>
            <w:r w:rsidRPr="00687B52">
              <w:rPr>
                <w:rFonts w:hint="eastAsia"/>
                <w:color w:val="000000" w:themeColor="text1"/>
              </w:rPr>
              <w:t>①液化石油气和天然气凝液泵超过</w:t>
            </w:r>
            <w:r w:rsidRPr="00687B52">
              <w:rPr>
                <w:rFonts w:hint="eastAsia"/>
                <w:color w:val="000000" w:themeColor="text1"/>
              </w:rPr>
              <w:t>2</w:t>
            </w:r>
            <w:r w:rsidRPr="00687B52">
              <w:rPr>
                <w:rFonts w:hint="eastAsia"/>
                <w:color w:val="000000" w:themeColor="text1"/>
              </w:rPr>
              <w:t>台时，与甲、乙类油品泵应分别布置在不同的房间内，各房间之间的隔墙应为防火墙。</w:t>
            </w:r>
          </w:p>
          <w:p w:rsidR="000E02C5" w:rsidRPr="00687B52" w:rsidRDefault="000E02C5" w:rsidP="00B527D4">
            <w:pPr>
              <w:pStyle w:val="a7"/>
              <w:jc w:val="left"/>
              <w:rPr>
                <w:color w:val="000000" w:themeColor="text1"/>
              </w:rPr>
            </w:pPr>
            <w:r w:rsidRPr="00687B52">
              <w:rPr>
                <w:rFonts w:hint="eastAsia"/>
                <w:color w:val="000000" w:themeColor="text1"/>
              </w:rPr>
              <w:t>②甲、乙类油品泵房的地面不宜设地坑或地沟。泵房内应有防止可燃气体积聚的措施。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6.2.4</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rPr>
            </w:pPr>
            <w:r w:rsidRPr="00687B52">
              <w:rPr>
                <w:rFonts w:hint="eastAsia"/>
                <w:color w:val="000000" w:themeColor="text1"/>
              </w:rPr>
              <w:t>1.1.21</w:t>
            </w: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可燃气体压缩机的布置及其厂房设计应符合下列规定：</w:t>
            </w:r>
          </w:p>
          <w:p w:rsidR="000E02C5" w:rsidRPr="00687B52" w:rsidRDefault="000E02C5" w:rsidP="00B527D4">
            <w:pPr>
              <w:pStyle w:val="a7"/>
              <w:jc w:val="left"/>
              <w:rPr>
                <w:color w:val="000000" w:themeColor="text1"/>
              </w:rPr>
            </w:pPr>
            <w:r w:rsidRPr="00687B52">
              <w:rPr>
                <w:rFonts w:hint="eastAsia"/>
                <w:color w:val="000000" w:themeColor="text1"/>
              </w:rPr>
              <w:t>①可燃气体压缩机宜露天或棚式布置。</w:t>
            </w:r>
          </w:p>
          <w:p w:rsidR="000E02C5" w:rsidRPr="00687B52" w:rsidRDefault="000E02C5" w:rsidP="00B527D4">
            <w:pPr>
              <w:pStyle w:val="a7"/>
              <w:jc w:val="left"/>
              <w:rPr>
                <w:color w:val="000000" w:themeColor="text1"/>
              </w:rPr>
            </w:pPr>
            <w:r w:rsidRPr="00687B52">
              <w:rPr>
                <w:rFonts w:hint="eastAsia"/>
                <w:color w:val="000000" w:themeColor="text1"/>
              </w:rPr>
              <w:t>②单机驱动功率等于或大于</w:t>
            </w:r>
            <w:r w:rsidRPr="00687B52">
              <w:rPr>
                <w:rFonts w:hint="eastAsia"/>
                <w:color w:val="000000" w:themeColor="text1"/>
              </w:rPr>
              <w:t>150KW</w:t>
            </w:r>
            <w:r w:rsidRPr="00687B52">
              <w:rPr>
                <w:rFonts w:hint="eastAsia"/>
                <w:color w:val="000000" w:themeColor="text1"/>
              </w:rPr>
              <w:t>的甲类气体压缩机厂房，不宜与其他甲、乙、丙类房间共用一幢建筑物；该压缩机的上方不得布置甲、乙、丙类介质的设备，但自用的高位润滑油箱不受此限。</w:t>
            </w:r>
          </w:p>
          <w:p w:rsidR="000E02C5" w:rsidRPr="00687B52" w:rsidRDefault="000E02C5" w:rsidP="00B527D4">
            <w:pPr>
              <w:pStyle w:val="a7"/>
              <w:jc w:val="left"/>
              <w:rPr>
                <w:color w:val="000000" w:themeColor="text1"/>
              </w:rPr>
            </w:pPr>
            <w:r w:rsidRPr="00687B52">
              <w:rPr>
                <w:rFonts w:hint="eastAsia"/>
                <w:color w:val="000000" w:themeColor="text1"/>
              </w:rPr>
              <w:t>③比空气轻的可燃气体压缩机棚或封闭式厂房的顶部应采取通风措施。</w:t>
            </w:r>
          </w:p>
          <w:p w:rsidR="000E02C5" w:rsidRPr="00687B52" w:rsidRDefault="000E02C5" w:rsidP="00B527D4">
            <w:pPr>
              <w:pStyle w:val="a7"/>
              <w:jc w:val="left"/>
              <w:rPr>
                <w:color w:val="000000" w:themeColor="text1"/>
              </w:rPr>
            </w:pPr>
            <w:r w:rsidRPr="00687B52">
              <w:rPr>
                <w:rFonts w:hint="eastAsia"/>
                <w:color w:val="000000" w:themeColor="text1"/>
              </w:rPr>
              <w:t>④比空气轻的可燃气体压缩机厂房的楼板，宜部分采用箅子板。</w:t>
            </w:r>
            <w:r w:rsidRPr="00687B52">
              <w:rPr>
                <w:rFonts w:hint="eastAsia"/>
                <w:color w:val="000000" w:themeColor="text1"/>
              </w:rPr>
              <w:t>5</w:t>
            </w:r>
            <w:r w:rsidRPr="00687B52">
              <w:rPr>
                <w:rFonts w:hint="eastAsia"/>
                <w:color w:val="000000" w:themeColor="text1"/>
              </w:rPr>
              <w:t>）比空气重的可燃气体压缩机厂房内，不宜设地坑或地沟，厂房内应有防止气体积聚的措施。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6.3.1</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rPr>
            </w:pPr>
            <w:r w:rsidRPr="00687B52">
              <w:rPr>
                <w:rFonts w:hint="eastAsia"/>
                <w:color w:val="000000" w:themeColor="text1"/>
              </w:rPr>
              <w:t>1.1.22</w:t>
            </w: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明火设备应尽量靠近装置边缘集中布置，并应位于散发可燃气体的容器、机泵和其他设备的年最小频率风向的下风侧。</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6.3.3</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rPr>
            </w:pPr>
            <w:r w:rsidRPr="00687B52">
              <w:rPr>
                <w:rFonts w:hint="eastAsia"/>
                <w:color w:val="000000" w:themeColor="text1"/>
              </w:rPr>
              <w:t>1.1.23</w:t>
            </w: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当不同火灾危险性类别的房间布置在同一栋建筑内时，其隔墙应采用非燃烧材料的实体墙。天然气压缩机房或油泵房宜布置在建筑物的一端，将人员集中的房间布置在火灾危险性较小的一端。</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6.9.3</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rPr>
            </w:pPr>
            <w:r w:rsidRPr="00687B52">
              <w:rPr>
                <w:rFonts w:hint="eastAsia"/>
                <w:color w:val="000000" w:themeColor="text1"/>
              </w:rPr>
              <w:t>1.1.24</w:t>
            </w: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甲、乙类火灾危险性生产厂房应设向外开启的门，且不宜少于两个，其中一个应能满足最大设备（或拆开最大部件）的进出要求，建筑面积小于或等于</w:t>
            </w:r>
            <w:r w:rsidRPr="00687B52">
              <w:rPr>
                <w:rFonts w:hint="eastAsia"/>
                <w:color w:val="000000" w:themeColor="text1"/>
              </w:rPr>
              <w:t>100m</w:t>
            </w:r>
            <w:r w:rsidRPr="00687B52">
              <w:rPr>
                <w:rFonts w:hint="eastAsia"/>
                <w:color w:val="000000" w:themeColor="text1"/>
                <w:vertAlign w:val="superscript"/>
              </w:rPr>
              <w:t>2</w:t>
            </w:r>
            <w:r w:rsidRPr="00687B52">
              <w:rPr>
                <w:rFonts w:hint="eastAsia"/>
                <w:color w:val="000000" w:themeColor="text1"/>
              </w:rPr>
              <w:t>时，可设一个向外开启的门。</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6.9.4</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rPr>
            </w:pPr>
            <w:r w:rsidRPr="00687B52">
              <w:rPr>
                <w:rFonts w:hint="eastAsia"/>
                <w:color w:val="000000" w:themeColor="text1"/>
              </w:rPr>
              <w:t>1.1.25</w:t>
            </w: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变、配电所不应与有爆炸危险的甲、乙类厂房毗邻布置。但供上述甲、乙类生产厂房专用的</w:t>
            </w:r>
            <w:r w:rsidRPr="00687B52">
              <w:rPr>
                <w:rFonts w:hint="eastAsia"/>
                <w:color w:val="000000" w:themeColor="text1"/>
              </w:rPr>
              <w:t>10KV</w:t>
            </w:r>
            <w:r w:rsidRPr="00687B52">
              <w:rPr>
                <w:rFonts w:hint="eastAsia"/>
                <w:color w:val="000000" w:themeColor="text1"/>
              </w:rPr>
              <w:t>及以下的变、配电，当采用无门窗洞口防火墙隔开时，可毗邻布置。当必须在防火墙上开窗时，应设非燃烧材料的固定甲级防火窗。变压器与配电间之间应设防火墙。</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6.9.5</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551A44">
            <w:pPr>
              <w:pStyle w:val="a7"/>
              <w:rPr>
                <w:color w:val="000000" w:themeColor="text1"/>
              </w:rPr>
            </w:pPr>
            <w:r w:rsidRPr="00687B52">
              <w:rPr>
                <w:rFonts w:hint="eastAsia"/>
                <w:color w:val="000000" w:themeColor="text1"/>
              </w:rPr>
              <w:t>1.1.26</w:t>
            </w: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消防泵房应采用耐火等级不低于二级的建筑，并应设直通室外的出口。</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8.8.4</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B527D4">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1.2</w:t>
            </w:r>
          </w:p>
        </w:tc>
        <w:tc>
          <w:tcPr>
            <w:tcW w:w="2750" w:type="pct"/>
            <w:vAlign w:val="center"/>
          </w:tcPr>
          <w:p w:rsidR="000E02C5" w:rsidRPr="00687B52" w:rsidRDefault="000E02C5" w:rsidP="00B527D4">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石油、天然气长输管线</w:t>
            </w:r>
          </w:p>
        </w:tc>
        <w:tc>
          <w:tcPr>
            <w:tcW w:w="930" w:type="pct"/>
            <w:vAlign w:val="center"/>
          </w:tcPr>
          <w:p w:rsidR="000E02C5" w:rsidRPr="00687B52" w:rsidRDefault="000E02C5" w:rsidP="00B527D4">
            <w:pPr>
              <w:pStyle w:val="a7"/>
              <w:rPr>
                <w:color w:val="000000" w:themeColor="text1"/>
              </w:rPr>
            </w:pP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0"/>
              </w:numPr>
              <w:rPr>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color w:val="000000" w:themeColor="text1"/>
              </w:rPr>
              <w:t>跨越、穿越公路修建桥梁、渡槽或者架设、埋设管线等设施的，以及在公路用地范围内架设、埋设管线、电缆等设施的，应当事先经有关交通主管部门同意，影响交通安全的，还须征得有关公安机关的同意。</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《中华人民共和国公路法》第</w:t>
            </w:r>
            <w:r w:rsidRPr="00687B52">
              <w:rPr>
                <w:rFonts w:hint="eastAsia"/>
                <w:color w:val="000000" w:themeColor="text1"/>
              </w:rPr>
              <w:t>46</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0"/>
              </w:numPr>
              <w:rPr>
                <w:color w:val="000000" w:themeColor="text1"/>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管道不得侵入公路建筑限界，不妨碍公路交通安全和人员安全，并不得损害公路的构造和设施。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w:t>
            </w:r>
            <w:r w:rsidRPr="00687B52">
              <w:rPr>
                <w:color w:val="000000" w:themeColor="text1"/>
              </w:rPr>
              <w:t>公路工程技术标准</w:t>
            </w:r>
            <w:r w:rsidRPr="00687B52">
              <w:rPr>
                <w:rFonts w:hint="eastAsia"/>
                <w:color w:val="000000" w:themeColor="text1"/>
              </w:rPr>
              <w:t>》</w:t>
            </w:r>
            <w:r w:rsidRPr="00687B52">
              <w:rPr>
                <w:rFonts w:hint="eastAsia"/>
                <w:color w:val="000000" w:themeColor="text1"/>
              </w:rPr>
              <w:t>JTG B01-2014</w:t>
            </w:r>
            <w:r w:rsidRPr="00687B52">
              <w:rPr>
                <w:rFonts w:hint="eastAsia"/>
                <w:color w:val="000000" w:themeColor="text1"/>
              </w:rPr>
              <w:t>第</w:t>
            </w:r>
            <w:r w:rsidRPr="00687B52">
              <w:rPr>
                <w:rFonts w:hint="eastAsia"/>
                <w:color w:val="000000" w:themeColor="text1"/>
              </w:rPr>
              <w:t>9.5.1</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0"/>
              </w:numPr>
              <w:rPr>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管道与各级公路相交叉且采用下穿方式时，应设置地下通道（涵）或套管。</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w:t>
            </w:r>
            <w:r w:rsidRPr="00687B52">
              <w:rPr>
                <w:color w:val="000000" w:themeColor="text1"/>
              </w:rPr>
              <w:t>公路工程技术标准</w:t>
            </w:r>
            <w:r w:rsidRPr="00687B52">
              <w:rPr>
                <w:rFonts w:hint="eastAsia"/>
                <w:color w:val="000000" w:themeColor="text1"/>
              </w:rPr>
              <w:t>》</w:t>
            </w:r>
            <w:r w:rsidRPr="00687B52">
              <w:rPr>
                <w:rFonts w:hint="eastAsia"/>
                <w:color w:val="000000" w:themeColor="text1"/>
              </w:rPr>
              <w:t>JTG B01-2014</w:t>
            </w:r>
            <w:r w:rsidRPr="00687B52">
              <w:rPr>
                <w:rFonts w:hint="eastAsia"/>
                <w:color w:val="000000" w:themeColor="text1"/>
              </w:rPr>
              <w:t>第</w:t>
            </w:r>
            <w:r w:rsidRPr="00687B52">
              <w:rPr>
                <w:rFonts w:hint="eastAsia"/>
                <w:color w:val="000000" w:themeColor="text1"/>
              </w:rPr>
              <w:t>9.5.4</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0"/>
              </w:numPr>
              <w:rPr>
                <w:color w:val="000000" w:themeColor="text1"/>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严禁易燃、易爆、高压等管线设施利用或通过公路桥梁和隧道。</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w:t>
            </w:r>
            <w:r w:rsidRPr="00687B52">
              <w:rPr>
                <w:color w:val="000000" w:themeColor="text1"/>
              </w:rPr>
              <w:t>公路工程技术标准</w:t>
            </w:r>
            <w:r w:rsidRPr="00687B52">
              <w:rPr>
                <w:rFonts w:hint="eastAsia"/>
                <w:color w:val="000000" w:themeColor="text1"/>
              </w:rPr>
              <w:t>》</w:t>
            </w:r>
            <w:r w:rsidRPr="00687B52">
              <w:rPr>
                <w:rFonts w:hint="eastAsia"/>
                <w:color w:val="000000" w:themeColor="text1"/>
              </w:rPr>
              <w:t>JTG B01-2014</w:t>
            </w:r>
            <w:r w:rsidRPr="00687B52">
              <w:rPr>
                <w:rFonts w:hint="eastAsia"/>
                <w:color w:val="000000" w:themeColor="text1"/>
              </w:rPr>
              <w:t>第</w:t>
            </w:r>
            <w:r w:rsidRPr="00687B52">
              <w:rPr>
                <w:rFonts w:hint="eastAsia"/>
                <w:color w:val="000000" w:themeColor="text1"/>
              </w:rPr>
              <w:t>9.5.5</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0"/>
              </w:numPr>
              <w:rPr>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color w:val="000000" w:themeColor="text1"/>
              </w:rPr>
              <w:t>在铁路线路上架设电力、通讯线路，埋置电缆、管道设施，穿凿通过铁路路基的地下坑道，必须经铁路运输企业同意，并采取安全防护措施。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《中华人民共和国铁路法》第</w:t>
            </w:r>
            <w:r w:rsidRPr="00687B52">
              <w:rPr>
                <w:rFonts w:hint="eastAsia"/>
                <w:color w:val="000000" w:themeColor="text1"/>
              </w:rPr>
              <w:t>46</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0"/>
              </w:numPr>
              <w:rPr>
                <w:color w:val="000000" w:themeColor="text1"/>
              </w:rPr>
            </w:pPr>
          </w:p>
        </w:tc>
        <w:tc>
          <w:tcPr>
            <w:tcW w:w="2750" w:type="pct"/>
            <w:vAlign w:val="center"/>
          </w:tcPr>
          <w:p w:rsidR="000E02C5" w:rsidRPr="00687B52" w:rsidRDefault="000E02C5" w:rsidP="00B527D4">
            <w:pPr>
              <w:pStyle w:val="a7"/>
              <w:jc w:val="left"/>
              <w:rPr>
                <w:color w:val="000000" w:themeColor="text1"/>
                <w:szCs w:val="24"/>
              </w:rPr>
            </w:pPr>
            <w:r w:rsidRPr="00687B52">
              <w:rPr>
                <w:color w:val="000000" w:themeColor="text1"/>
                <w:szCs w:val="24"/>
              </w:rPr>
              <w:t>管道建设的选线应当避开</w:t>
            </w:r>
            <w:hyperlink r:id="rId57" w:tgtFrame="_blank" w:history="1">
              <w:r w:rsidRPr="00687B52">
                <w:rPr>
                  <w:color w:val="000000" w:themeColor="text1"/>
                  <w:szCs w:val="24"/>
                </w:rPr>
                <w:t>地震活动断层</w:t>
              </w:r>
            </w:hyperlink>
            <w:r w:rsidRPr="00687B52">
              <w:rPr>
                <w:color w:val="000000" w:themeColor="text1"/>
                <w:szCs w:val="24"/>
              </w:rPr>
              <w:t>和容易发生洪灾、地质灾害的区域。</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《中华人民共和国石油天然气管道保护法》第</w:t>
            </w:r>
            <w:r w:rsidRPr="00687B52">
              <w:rPr>
                <w:rFonts w:hint="eastAsia"/>
                <w:color w:val="000000" w:themeColor="text1"/>
              </w:rPr>
              <w:t>13</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0"/>
              </w:numPr>
              <w:rPr>
                <w:color w:val="000000" w:themeColor="text1"/>
                <w:szCs w:val="24"/>
              </w:rPr>
            </w:pPr>
          </w:p>
        </w:tc>
        <w:tc>
          <w:tcPr>
            <w:tcW w:w="2750" w:type="pct"/>
            <w:vAlign w:val="center"/>
          </w:tcPr>
          <w:p w:rsidR="000E02C5" w:rsidRPr="00687B52" w:rsidRDefault="000E02C5" w:rsidP="00B527D4">
            <w:pPr>
              <w:pStyle w:val="a7"/>
              <w:jc w:val="left"/>
              <w:rPr>
                <w:color w:val="000000" w:themeColor="text1"/>
                <w:szCs w:val="24"/>
              </w:rPr>
            </w:pPr>
            <w:r w:rsidRPr="00687B52">
              <w:rPr>
                <w:color w:val="000000" w:themeColor="text1"/>
                <w:szCs w:val="24"/>
              </w:rPr>
              <w:t>在管道线路中心线两侧各五米地域范围内，禁止下列危害管道安全的行为：</w:t>
            </w:r>
          </w:p>
          <w:p w:rsidR="000E02C5" w:rsidRPr="00687B52" w:rsidRDefault="000E02C5" w:rsidP="00B527D4">
            <w:pPr>
              <w:pStyle w:val="a7"/>
              <w:jc w:val="left"/>
              <w:rPr>
                <w:color w:val="000000" w:themeColor="text1"/>
                <w:szCs w:val="24"/>
              </w:rPr>
            </w:pPr>
            <w:r w:rsidRPr="00687B52">
              <w:rPr>
                <w:rFonts w:hint="eastAsia"/>
                <w:color w:val="000000" w:themeColor="text1"/>
                <w:szCs w:val="24"/>
              </w:rPr>
              <w:t>①</w:t>
            </w:r>
            <w:r w:rsidRPr="00687B52">
              <w:rPr>
                <w:color w:val="000000" w:themeColor="text1"/>
                <w:szCs w:val="24"/>
              </w:rPr>
              <w:t>种植乔木、灌木、藤类、芦苇、竹子或者其他根系深达管道埋设部位可能损坏管道防腐层的深根植物；</w:t>
            </w:r>
          </w:p>
          <w:p w:rsidR="000E02C5" w:rsidRPr="00687B52" w:rsidRDefault="000E02C5" w:rsidP="00B527D4">
            <w:pPr>
              <w:pStyle w:val="a7"/>
              <w:jc w:val="left"/>
              <w:rPr>
                <w:color w:val="000000" w:themeColor="text1"/>
                <w:szCs w:val="24"/>
              </w:rPr>
            </w:pPr>
            <w:r w:rsidRPr="00687B52">
              <w:rPr>
                <w:rFonts w:hint="eastAsia"/>
                <w:color w:val="000000" w:themeColor="text1"/>
                <w:szCs w:val="24"/>
              </w:rPr>
              <w:t>②</w:t>
            </w:r>
            <w:r w:rsidRPr="00687B52">
              <w:rPr>
                <w:color w:val="000000" w:themeColor="text1"/>
                <w:szCs w:val="24"/>
              </w:rPr>
              <w:t>取土、采石、用火、堆放重物、排放腐蚀性物质、使用机械工具进行挖掘施工；</w:t>
            </w:r>
          </w:p>
          <w:p w:rsidR="000E02C5" w:rsidRPr="00687B52" w:rsidRDefault="000E02C5" w:rsidP="00B527D4">
            <w:pPr>
              <w:pStyle w:val="a7"/>
              <w:jc w:val="left"/>
              <w:rPr>
                <w:color w:val="000000" w:themeColor="text1"/>
                <w:szCs w:val="24"/>
              </w:rPr>
            </w:pPr>
            <w:r w:rsidRPr="00687B52">
              <w:rPr>
                <w:rFonts w:hint="eastAsia"/>
                <w:color w:val="000000" w:themeColor="text1"/>
                <w:szCs w:val="24"/>
              </w:rPr>
              <w:t>③</w:t>
            </w:r>
            <w:r w:rsidRPr="00687B52">
              <w:rPr>
                <w:color w:val="000000" w:themeColor="text1"/>
                <w:szCs w:val="24"/>
              </w:rPr>
              <w:t>挖塘、修渠、修晒场、修建水产养殖场、建温室、建家畜棚圈、建房以及修建其他建筑物、构筑物。</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《中华人民共和国石油天然气管道保护法》第</w:t>
            </w:r>
            <w:r w:rsidRPr="00687B52">
              <w:rPr>
                <w:rFonts w:hint="eastAsia"/>
                <w:color w:val="000000" w:themeColor="text1"/>
              </w:rPr>
              <w:t>30</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0"/>
              </w:numPr>
              <w:rPr>
                <w:color w:val="000000" w:themeColor="text1"/>
              </w:rPr>
            </w:pPr>
          </w:p>
        </w:tc>
        <w:tc>
          <w:tcPr>
            <w:tcW w:w="2750" w:type="pct"/>
            <w:vAlign w:val="center"/>
          </w:tcPr>
          <w:p w:rsidR="000E02C5" w:rsidRPr="00687B52" w:rsidRDefault="000E02C5" w:rsidP="00B527D4">
            <w:pPr>
              <w:pStyle w:val="a7"/>
              <w:jc w:val="left"/>
              <w:rPr>
                <w:color w:val="000000" w:themeColor="text1"/>
                <w:szCs w:val="24"/>
              </w:rPr>
            </w:pPr>
            <w:r w:rsidRPr="00687B52">
              <w:rPr>
                <w:color w:val="000000" w:themeColor="text1"/>
                <w:szCs w:val="24"/>
              </w:rPr>
              <w:t>在穿越河流的管道线路中心线两侧各五百米地域范围内，禁止抛锚、拖锚、挖砂、挖泥、采石、水下爆破。但是，在保障管道安全的条件下，为防洪和航道通畅而进行的养护疏浚作业除外。</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《中华人民共和国石油天然气管道保护法》第</w:t>
            </w:r>
            <w:r w:rsidRPr="00687B52">
              <w:rPr>
                <w:rFonts w:hint="eastAsia"/>
                <w:color w:val="000000" w:themeColor="text1"/>
              </w:rPr>
              <w:t>32</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0"/>
              </w:numPr>
              <w:rPr>
                <w:color w:val="000000" w:themeColor="text1"/>
                <w:szCs w:val="24"/>
              </w:rPr>
            </w:pPr>
          </w:p>
        </w:tc>
        <w:tc>
          <w:tcPr>
            <w:tcW w:w="2750" w:type="pct"/>
            <w:vAlign w:val="center"/>
          </w:tcPr>
          <w:p w:rsidR="000E02C5" w:rsidRPr="00687B52" w:rsidRDefault="000E02C5" w:rsidP="00B527D4">
            <w:pPr>
              <w:pStyle w:val="a7"/>
              <w:jc w:val="left"/>
              <w:rPr>
                <w:color w:val="000000" w:themeColor="text1"/>
                <w:szCs w:val="24"/>
              </w:rPr>
            </w:pPr>
            <w:r w:rsidRPr="00687B52">
              <w:rPr>
                <w:color w:val="000000" w:themeColor="text1"/>
                <w:szCs w:val="24"/>
              </w:rPr>
              <w:t>在管道专用隧道中心线两侧各一千米地域范围内，除本条第二款规定的情形外，禁止采石、采矿、爆破。</w:t>
            </w:r>
          </w:p>
          <w:p w:rsidR="000E02C5" w:rsidRPr="00687B52" w:rsidRDefault="000E02C5" w:rsidP="00B527D4">
            <w:pPr>
              <w:pStyle w:val="a7"/>
              <w:jc w:val="left"/>
              <w:rPr>
                <w:color w:val="000000" w:themeColor="text1"/>
                <w:szCs w:val="24"/>
              </w:rPr>
            </w:pPr>
            <w:r w:rsidRPr="00687B52">
              <w:rPr>
                <w:color w:val="000000" w:themeColor="text1"/>
                <w:szCs w:val="24"/>
              </w:rPr>
              <w:t>在前款规定的地域范围内，因修建铁路、公路、水利工程等公共工程，确需实施采石、爆破作业的，应当经管道所在地县级人民政府主管管道保护工作的部门批准，并采取必要的安全防护措施，方可实施。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《中华人民共和国石油天然气管道保护法》第</w:t>
            </w:r>
            <w:r w:rsidRPr="00687B52">
              <w:rPr>
                <w:rFonts w:hint="eastAsia"/>
                <w:color w:val="000000" w:themeColor="text1"/>
              </w:rPr>
              <w:t>33</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0"/>
              </w:numPr>
              <w:rPr>
                <w:color w:val="000000" w:themeColor="text1"/>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新建或改建油气管道需要穿（跨）越既有公路的，宜选择在非桥梁结构的公路路基地段，采用埋设方式从路基下方穿越通过，或采用架设方式从公路上方跨越通过。受地理条件影响或客观条件限制，必须与公路桥梁交叉的，可采用埋设方式从桥梁自然地面以下空间通过。禁止利用自然地面以上的公路桥下空间铺（架）设油气管道。</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交公路发〔</w:t>
            </w:r>
            <w:r w:rsidRPr="00687B52">
              <w:rPr>
                <w:rFonts w:hint="eastAsia"/>
                <w:color w:val="000000" w:themeColor="text1"/>
              </w:rPr>
              <w:t>2015</w:t>
            </w:r>
            <w:r w:rsidRPr="00687B52">
              <w:rPr>
                <w:rFonts w:hint="eastAsia"/>
                <w:color w:val="000000" w:themeColor="text1"/>
              </w:rPr>
              <w:t>〕</w:t>
            </w:r>
            <w:r w:rsidRPr="00687B52">
              <w:rPr>
                <w:rFonts w:hint="eastAsia"/>
                <w:color w:val="000000" w:themeColor="text1"/>
              </w:rPr>
              <w:t>36</w:t>
            </w:r>
            <w:r w:rsidRPr="00687B52">
              <w:rPr>
                <w:rFonts w:hint="eastAsia"/>
                <w:color w:val="000000" w:themeColor="text1"/>
              </w:rPr>
              <w:t>号第</w:t>
            </w:r>
            <w:r w:rsidRPr="00687B52">
              <w:rPr>
                <w:rFonts w:hint="eastAsia"/>
                <w:color w:val="000000" w:themeColor="text1"/>
              </w:rPr>
              <w:t>1</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0"/>
              </w:numPr>
              <w:rPr>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油气管道从公路桥梁自然地面以下空间穿越时，满足下列条件：</w:t>
            </w:r>
          </w:p>
          <w:p w:rsidR="000E02C5" w:rsidRPr="00687B52" w:rsidRDefault="000E02C5" w:rsidP="00B527D4">
            <w:pPr>
              <w:pStyle w:val="a7"/>
              <w:jc w:val="left"/>
              <w:rPr>
                <w:color w:val="000000" w:themeColor="text1"/>
              </w:rPr>
            </w:pPr>
            <w:r w:rsidRPr="00687B52">
              <w:rPr>
                <w:rFonts w:hint="eastAsia"/>
                <w:color w:val="000000" w:themeColor="text1"/>
              </w:rPr>
              <w:t>①不能影响桥下空间的正常使用功能。</w:t>
            </w:r>
          </w:p>
          <w:p w:rsidR="000E02C5" w:rsidRPr="00687B52" w:rsidRDefault="000E02C5" w:rsidP="00B527D4">
            <w:pPr>
              <w:pStyle w:val="a7"/>
              <w:jc w:val="left"/>
              <w:rPr>
                <w:color w:val="000000" w:themeColor="text1"/>
              </w:rPr>
            </w:pPr>
            <w:r w:rsidRPr="00687B52">
              <w:rPr>
                <w:rFonts w:hint="eastAsia"/>
                <w:color w:val="000000" w:themeColor="text1"/>
              </w:rPr>
              <w:t>②油气管道与两侧桥墩（台）的水平净距不应小于</w:t>
            </w:r>
            <w:r w:rsidRPr="00687B52">
              <w:rPr>
                <w:color w:val="000000" w:themeColor="text1"/>
              </w:rPr>
              <w:t>5</w:t>
            </w:r>
            <w:r w:rsidRPr="00687B52">
              <w:rPr>
                <w:rFonts w:hint="eastAsia"/>
                <w:color w:val="000000" w:themeColor="text1"/>
              </w:rPr>
              <w:t>米。</w:t>
            </w:r>
          </w:p>
          <w:p w:rsidR="000E02C5" w:rsidRPr="00687B52" w:rsidRDefault="000E02C5" w:rsidP="00B527D4">
            <w:pPr>
              <w:pStyle w:val="a7"/>
              <w:jc w:val="left"/>
              <w:rPr>
                <w:color w:val="000000" w:themeColor="text1"/>
              </w:rPr>
            </w:pPr>
            <w:r w:rsidRPr="00687B52">
              <w:rPr>
                <w:rFonts w:hint="eastAsia"/>
                <w:color w:val="000000" w:themeColor="text1"/>
              </w:rPr>
              <w:t>③油气管道采用开挖埋设方式从公路桥下穿越时，管顶距桥下自然地面不应小于</w:t>
            </w:r>
            <w:r w:rsidRPr="00687B52">
              <w:rPr>
                <w:color w:val="000000" w:themeColor="text1"/>
              </w:rPr>
              <w:t>1</w:t>
            </w:r>
            <w:r w:rsidRPr="00687B52">
              <w:rPr>
                <w:rFonts w:hint="eastAsia"/>
                <w:color w:val="000000" w:themeColor="text1"/>
              </w:rPr>
              <w:t>米，管顶上方应铺设宽度大于管径的钢筋混凝土保护盖板，盖板长度不应小于规划公路用地范围宽度以外</w:t>
            </w:r>
            <w:r w:rsidRPr="00687B52">
              <w:rPr>
                <w:color w:val="000000" w:themeColor="text1"/>
              </w:rPr>
              <w:t>3</w:t>
            </w:r>
            <w:r w:rsidRPr="00687B52">
              <w:rPr>
                <w:rFonts w:hint="eastAsia"/>
                <w:color w:val="000000" w:themeColor="text1"/>
              </w:rPr>
              <w:t>米，并设置地面标识标明管道位置；采用定向钻穿越方式的，钻孔轴线应距桥梁墩台不小于</w:t>
            </w:r>
            <w:r w:rsidRPr="00687B52">
              <w:rPr>
                <w:color w:val="000000" w:themeColor="text1"/>
              </w:rPr>
              <w:t>5</w:t>
            </w:r>
            <w:r w:rsidRPr="00687B52">
              <w:rPr>
                <w:rFonts w:hint="eastAsia"/>
                <w:color w:val="000000" w:themeColor="text1"/>
              </w:rPr>
              <w:t>米，桥梁（投影）下方穿越的最小深度应大于最后一级扩孔直径的</w:t>
            </w:r>
            <w:r w:rsidRPr="00687B52">
              <w:rPr>
                <w:color w:val="000000" w:themeColor="text1"/>
              </w:rPr>
              <w:t>4</w:t>
            </w:r>
            <w:r w:rsidRPr="00687B52">
              <w:rPr>
                <w:rFonts w:hint="eastAsia"/>
                <w:color w:val="000000" w:themeColor="text1"/>
              </w:rPr>
              <w:t>～</w:t>
            </w:r>
            <w:r w:rsidRPr="00687B52">
              <w:rPr>
                <w:color w:val="000000" w:themeColor="text1"/>
              </w:rPr>
              <w:t>6</w:t>
            </w:r>
            <w:r w:rsidRPr="00687B52">
              <w:rPr>
                <w:rFonts w:hint="eastAsia"/>
                <w:color w:val="000000" w:themeColor="text1"/>
              </w:rPr>
              <w:t>倍。</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交公路发〔</w:t>
            </w:r>
            <w:r w:rsidRPr="00687B52">
              <w:rPr>
                <w:rFonts w:hint="eastAsia"/>
                <w:color w:val="000000" w:themeColor="text1"/>
              </w:rPr>
              <w:t>2015</w:t>
            </w:r>
            <w:r w:rsidRPr="00687B52">
              <w:rPr>
                <w:rFonts w:hint="eastAsia"/>
                <w:color w:val="000000" w:themeColor="text1"/>
              </w:rPr>
              <w:t>〕</w:t>
            </w:r>
            <w:r w:rsidRPr="00687B52">
              <w:rPr>
                <w:rFonts w:hint="eastAsia"/>
                <w:color w:val="000000" w:themeColor="text1"/>
              </w:rPr>
              <w:t>36</w:t>
            </w:r>
            <w:r w:rsidRPr="00687B52">
              <w:rPr>
                <w:rFonts w:hint="eastAsia"/>
                <w:color w:val="000000" w:themeColor="text1"/>
              </w:rPr>
              <w:t>号第</w:t>
            </w:r>
            <w:r w:rsidRPr="00687B52">
              <w:rPr>
                <w:rFonts w:hint="eastAsia"/>
                <w:color w:val="000000" w:themeColor="text1"/>
              </w:rPr>
              <w:t>2</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0"/>
              </w:numPr>
              <w:rPr>
                <w:color w:val="000000" w:themeColor="text1"/>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公路与原油、天然气输送管道相交，以垂直交叉为宜。必须斜交时，其交叉的锐角宜不小于</w:t>
            </w:r>
            <w:r w:rsidRPr="00687B52">
              <w:rPr>
                <w:rFonts w:hint="eastAsia"/>
                <w:color w:val="000000" w:themeColor="text1"/>
              </w:rPr>
              <w:t>60</w:t>
            </w:r>
            <w:r w:rsidRPr="00687B52">
              <w:rPr>
                <w:rFonts w:hint="eastAsia"/>
                <w:color w:val="000000" w:themeColor="text1"/>
              </w:rPr>
              <w:t>°；受地形条件或其他特殊情况限制时应不小于</w:t>
            </w:r>
            <w:r w:rsidRPr="00687B52">
              <w:rPr>
                <w:rFonts w:hint="eastAsia"/>
                <w:color w:val="000000" w:themeColor="text1"/>
              </w:rPr>
              <w:t>45</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《公路路线设计规范》</w:t>
            </w:r>
            <w:r w:rsidRPr="00687B52">
              <w:rPr>
                <w:rFonts w:hint="eastAsia"/>
                <w:color w:val="000000" w:themeColor="text1"/>
              </w:rPr>
              <w:t>JTG D20-2006</w:t>
            </w:r>
            <w:r w:rsidRPr="00687B52">
              <w:rPr>
                <w:rFonts w:hint="eastAsia"/>
                <w:color w:val="000000" w:themeColor="text1"/>
              </w:rPr>
              <w:t>第</w:t>
            </w:r>
            <w:r w:rsidRPr="00687B52">
              <w:rPr>
                <w:rFonts w:hint="eastAsia"/>
                <w:color w:val="000000" w:themeColor="text1"/>
              </w:rPr>
              <w:t>12.5.4</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0"/>
              </w:numPr>
              <w:rPr>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原油、天然气输送管道与高速公路、一级公路相交，应采用穿越方式，埋置地下专用通道；原油、天然气输送管道穿越二级公路、三级公路、四级公路时，应埋置保护套管。</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《公路路线设计规范》</w:t>
            </w:r>
            <w:r w:rsidRPr="00687B52">
              <w:rPr>
                <w:rFonts w:hint="eastAsia"/>
                <w:color w:val="000000" w:themeColor="text1"/>
              </w:rPr>
              <w:t>JTG D20-2006</w:t>
            </w:r>
            <w:r w:rsidRPr="00687B52">
              <w:rPr>
                <w:rFonts w:hint="eastAsia"/>
                <w:color w:val="000000" w:themeColor="text1"/>
              </w:rPr>
              <w:t>第</w:t>
            </w:r>
            <w:r w:rsidRPr="00687B52">
              <w:rPr>
                <w:rFonts w:hint="eastAsia"/>
                <w:color w:val="000000" w:themeColor="text1"/>
              </w:rPr>
              <w:t>12.5.5</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0"/>
              </w:numPr>
              <w:rPr>
                <w:color w:val="000000" w:themeColor="text1"/>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严禁天然气输送管道利用公路桥梁跨越河流。原油、天然气输送管道穿（跨）越河流时，管道距大桥的距离，不应小于</w:t>
            </w:r>
            <w:r w:rsidRPr="00687B52">
              <w:rPr>
                <w:rFonts w:hint="eastAsia"/>
                <w:color w:val="000000" w:themeColor="text1"/>
              </w:rPr>
              <w:t>100m</w:t>
            </w:r>
            <w:r w:rsidRPr="00687B52">
              <w:rPr>
                <w:rFonts w:hint="eastAsia"/>
                <w:color w:val="000000" w:themeColor="text1"/>
              </w:rPr>
              <w:t>；距中桥不应小于</w:t>
            </w:r>
            <w:r w:rsidRPr="00687B52">
              <w:rPr>
                <w:rFonts w:hint="eastAsia"/>
                <w:color w:val="000000" w:themeColor="text1"/>
              </w:rPr>
              <w:t>50m</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《公路路线设计规范》</w:t>
            </w:r>
            <w:r w:rsidRPr="00687B52">
              <w:rPr>
                <w:rFonts w:hint="eastAsia"/>
                <w:color w:val="000000" w:themeColor="text1"/>
              </w:rPr>
              <w:t>JTG D20-2006</w:t>
            </w:r>
            <w:r w:rsidRPr="00687B52">
              <w:rPr>
                <w:rFonts w:hint="eastAsia"/>
                <w:color w:val="000000" w:themeColor="text1"/>
              </w:rPr>
              <w:t>第</w:t>
            </w:r>
            <w:r w:rsidRPr="00687B52">
              <w:rPr>
                <w:rFonts w:hint="eastAsia"/>
                <w:color w:val="000000" w:themeColor="text1"/>
              </w:rPr>
              <w:t>12.5.7</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0"/>
              </w:numPr>
              <w:rPr>
                <w:color w:val="000000" w:themeColor="text1"/>
                <w:szCs w:val="24"/>
              </w:rPr>
            </w:pPr>
          </w:p>
        </w:tc>
        <w:tc>
          <w:tcPr>
            <w:tcW w:w="2750" w:type="pct"/>
            <w:vAlign w:val="center"/>
          </w:tcPr>
          <w:p w:rsidR="000E02C5" w:rsidRPr="00687B52" w:rsidRDefault="000E02C5" w:rsidP="00B527D4">
            <w:pPr>
              <w:pStyle w:val="a7"/>
              <w:jc w:val="left"/>
              <w:rPr>
                <w:color w:val="000000" w:themeColor="text1"/>
                <w:szCs w:val="24"/>
              </w:rPr>
            </w:pPr>
            <w:r w:rsidRPr="00687B52">
              <w:rPr>
                <w:rFonts w:hint="eastAsia"/>
                <w:color w:val="000000" w:themeColor="text1"/>
              </w:rPr>
              <w:t>新建或改建公路与既有油气管道交叉时，应选择在管道埋地敷设地段，采用涵洞方式跨越管道通过；受地理条件影响或客观条件限制时，可采用桥梁方式跨越管道通过。采用涵洞跨越既有管道时，交叉角度不应小于</w:t>
            </w:r>
            <w:r w:rsidRPr="00687B52">
              <w:rPr>
                <w:color w:val="000000" w:themeColor="text1"/>
              </w:rPr>
              <w:t>30</w:t>
            </w:r>
            <w:r w:rsidRPr="00687B52">
              <w:rPr>
                <w:rFonts w:hint="eastAsia"/>
                <w:color w:val="000000" w:themeColor="text1"/>
              </w:rPr>
              <w:t>°；采用桥梁跨越既有管道时，交叉角度不应小于</w:t>
            </w:r>
            <w:r w:rsidRPr="00687B52">
              <w:rPr>
                <w:color w:val="000000" w:themeColor="text1"/>
              </w:rPr>
              <w:t>15</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交公路发〔</w:t>
            </w:r>
            <w:r w:rsidRPr="00687B52">
              <w:rPr>
                <w:rFonts w:hint="eastAsia"/>
                <w:color w:val="000000" w:themeColor="text1"/>
              </w:rPr>
              <w:t>2015</w:t>
            </w:r>
            <w:r w:rsidRPr="00687B52">
              <w:rPr>
                <w:rFonts w:hint="eastAsia"/>
                <w:color w:val="000000" w:themeColor="text1"/>
              </w:rPr>
              <w:t>〕</w:t>
            </w:r>
            <w:r w:rsidRPr="00687B52">
              <w:rPr>
                <w:rFonts w:hint="eastAsia"/>
                <w:color w:val="000000" w:themeColor="text1"/>
              </w:rPr>
              <w:t>36</w:t>
            </w:r>
            <w:r w:rsidRPr="00687B52">
              <w:rPr>
                <w:rFonts w:hint="eastAsia"/>
                <w:color w:val="000000" w:themeColor="text1"/>
              </w:rPr>
              <w:t>号第</w:t>
            </w:r>
            <w:r w:rsidRPr="00687B52">
              <w:rPr>
                <w:rFonts w:hint="eastAsia"/>
                <w:color w:val="000000" w:themeColor="text1"/>
              </w:rPr>
              <w:t>3</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0"/>
              </w:numPr>
              <w:rPr>
                <w:b/>
                <w:color w:val="000000" w:themeColor="text1"/>
              </w:rPr>
            </w:pPr>
          </w:p>
        </w:tc>
        <w:tc>
          <w:tcPr>
            <w:tcW w:w="2750" w:type="pct"/>
            <w:vAlign w:val="center"/>
          </w:tcPr>
          <w:p w:rsidR="000E02C5" w:rsidRPr="00687B52" w:rsidRDefault="000E02C5" w:rsidP="00B527D4">
            <w:pPr>
              <w:pStyle w:val="a7"/>
              <w:jc w:val="left"/>
              <w:rPr>
                <w:b/>
                <w:color w:val="000000" w:themeColor="text1"/>
                <w:szCs w:val="24"/>
              </w:rPr>
            </w:pPr>
            <w:r w:rsidRPr="00687B52">
              <w:rPr>
                <w:rFonts w:hint="eastAsia"/>
                <w:b/>
                <w:color w:val="000000" w:themeColor="text1"/>
                <w:szCs w:val="24"/>
              </w:rPr>
              <w:t>输油</w:t>
            </w:r>
            <w:r w:rsidRPr="00687B52">
              <w:rPr>
                <w:rFonts w:hint="eastAsia"/>
                <w:b/>
                <w:color w:val="000000" w:themeColor="text1"/>
              </w:rPr>
              <w:t>（原油、成品油、液化石油气）</w:t>
            </w:r>
            <w:r w:rsidRPr="00687B52">
              <w:rPr>
                <w:rFonts w:hint="eastAsia"/>
                <w:b/>
                <w:color w:val="000000" w:themeColor="text1"/>
                <w:szCs w:val="24"/>
              </w:rPr>
              <w:t>管道</w:t>
            </w:r>
          </w:p>
        </w:tc>
        <w:tc>
          <w:tcPr>
            <w:tcW w:w="930" w:type="pct"/>
            <w:vAlign w:val="center"/>
          </w:tcPr>
          <w:p w:rsidR="000E02C5" w:rsidRPr="00687B52" w:rsidRDefault="000E02C5" w:rsidP="00B527D4">
            <w:pPr>
              <w:pStyle w:val="a7"/>
              <w:rPr>
                <w:color w:val="000000" w:themeColor="text1"/>
              </w:rPr>
            </w:pP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Arial" w:hint="eastAsia"/>
                <w:color w:val="000000" w:themeColor="text1"/>
              </w:rPr>
              <w:t>地区输油（输气）管道不应穿越厂区。</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w:t>
            </w:r>
            <w:r w:rsidRPr="00687B52">
              <w:rPr>
                <w:color w:val="000000" w:themeColor="text1"/>
              </w:rPr>
              <w:t>石油化工企业设计防火规范</w:t>
            </w:r>
            <w:r w:rsidRPr="00687B52">
              <w:rPr>
                <w:rFonts w:hint="eastAsia"/>
                <w:color w:val="000000" w:themeColor="text1"/>
              </w:rPr>
              <w:t>》</w:t>
            </w:r>
            <w:r w:rsidRPr="00687B52">
              <w:rPr>
                <w:color w:val="000000" w:themeColor="text1"/>
              </w:rPr>
              <w:t>GB50160-2008</w:t>
            </w:r>
            <w:r w:rsidRPr="00687B52">
              <w:rPr>
                <w:rFonts w:hint="eastAsia"/>
                <w:color w:val="000000" w:themeColor="text1"/>
              </w:rPr>
              <w:t>第</w:t>
            </w:r>
            <w:r w:rsidRPr="00687B52">
              <w:rPr>
                <w:rFonts w:hint="eastAsia"/>
                <w:color w:val="000000" w:themeColor="text1"/>
              </w:rPr>
              <w:t>4.1.8</w:t>
            </w:r>
            <w:r w:rsidRPr="00687B52">
              <w:rPr>
                <w:rFonts w:hint="eastAsia"/>
                <w:color w:val="000000" w:themeColor="text1"/>
              </w:rPr>
              <w:t>条</w:t>
            </w:r>
          </w:p>
        </w:tc>
        <w:tc>
          <w:tcPr>
            <w:tcW w:w="860" w:type="pct"/>
            <w:vAlign w:val="center"/>
          </w:tcPr>
          <w:p w:rsidR="000E02C5" w:rsidRPr="00687B52" w:rsidRDefault="000E02C5" w:rsidP="00B527D4">
            <w:pPr>
              <w:pStyle w:val="a7"/>
              <w:jc w:val="both"/>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中间站场和大、中型穿跨越工程位置应符合线路总走向；局部线路的走向应根据中间站场和大、中型穿跨越位置进行调整。</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4.1.2</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输油管道不应通过饮用水水源一级保护区、飞机场、火车站、海(河)港码头、军事禁区、国家重点文物保护范围、自然保护区的核心区。</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4.1.3</w:t>
            </w:r>
            <w:r w:rsidRPr="00687B52">
              <w:rPr>
                <w:rFonts w:hint="eastAsia"/>
                <w:color w:val="000000" w:themeColor="text1"/>
              </w:rPr>
              <w:t>条</w:t>
            </w:r>
          </w:p>
        </w:tc>
        <w:tc>
          <w:tcPr>
            <w:tcW w:w="860" w:type="pct"/>
            <w:vAlign w:val="center"/>
          </w:tcPr>
          <w:p w:rsidR="000E02C5" w:rsidRPr="00687B52" w:rsidRDefault="000E02C5" w:rsidP="00B527D4">
            <w:pPr>
              <w:pStyle w:val="a7"/>
              <w:jc w:val="both"/>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输油管道应避开滑坡、崩塌、塌陷、泥石流、洪水严重侵蚀等地质灾害地段，宜避开矿山采空区及全新世活动断层。当受到条件限制必须通过上述区域时，应选择危害程度较小的位置通过，并采取相应的防护措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4.1.4</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埋地输油管道同地面建（构）筑物的最小间距应符合下列规定：</w:t>
            </w:r>
          </w:p>
          <w:p w:rsidR="000E02C5" w:rsidRPr="00687B52" w:rsidRDefault="000E02C5" w:rsidP="00B527D4">
            <w:pPr>
              <w:pStyle w:val="a7"/>
              <w:jc w:val="left"/>
              <w:rPr>
                <w:color w:val="000000" w:themeColor="text1"/>
              </w:rPr>
            </w:pPr>
            <w:r w:rsidRPr="00687B52">
              <w:rPr>
                <w:rFonts w:hint="eastAsia"/>
                <w:color w:val="000000" w:themeColor="text1"/>
              </w:rPr>
              <w:t>①原油、成品油管道与城镇居民点或重要公共建筑的距离不应小于</w:t>
            </w:r>
            <w:r w:rsidRPr="00687B52">
              <w:rPr>
                <w:rFonts w:hint="eastAsia"/>
                <w:color w:val="000000" w:themeColor="text1"/>
              </w:rPr>
              <w:t>5m</w:t>
            </w:r>
            <w:r w:rsidRPr="00687B52">
              <w:rPr>
                <w:rFonts w:hint="eastAsia"/>
                <w:color w:val="000000" w:themeColor="text1"/>
              </w:rPr>
              <w:t>；</w:t>
            </w:r>
          </w:p>
          <w:p w:rsidR="000E02C5" w:rsidRPr="00687B52" w:rsidRDefault="000E02C5" w:rsidP="00B527D4">
            <w:pPr>
              <w:pStyle w:val="a7"/>
              <w:jc w:val="left"/>
              <w:rPr>
                <w:color w:val="000000" w:themeColor="text1"/>
              </w:rPr>
            </w:pPr>
            <w:r w:rsidRPr="00687B52">
              <w:rPr>
                <w:rFonts w:hint="eastAsia"/>
                <w:color w:val="000000" w:themeColor="text1"/>
              </w:rPr>
              <w:t>②原油、成品油管道临近飞机场、海（河）港码头、大中型水库和水工建（构）筑物敷设时，间距不宜小于</w:t>
            </w:r>
            <w:r w:rsidRPr="00687B52">
              <w:rPr>
                <w:rFonts w:hint="eastAsia"/>
                <w:color w:val="000000" w:themeColor="text1"/>
              </w:rPr>
              <w:t>20m</w:t>
            </w:r>
            <w:r w:rsidRPr="00687B52">
              <w:rPr>
                <w:rFonts w:hint="eastAsia"/>
                <w:color w:val="000000" w:themeColor="text1"/>
              </w:rPr>
              <w:t>；</w:t>
            </w:r>
          </w:p>
          <w:p w:rsidR="000E02C5" w:rsidRPr="00687B52" w:rsidRDefault="000E02C5" w:rsidP="00B527D4">
            <w:pPr>
              <w:pStyle w:val="a7"/>
              <w:jc w:val="left"/>
              <w:rPr>
                <w:color w:val="000000" w:themeColor="text1"/>
              </w:rPr>
            </w:pPr>
            <w:r w:rsidRPr="00687B52">
              <w:rPr>
                <w:rFonts w:hint="eastAsia"/>
                <w:color w:val="000000" w:themeColor="text1"/>
              </w:rPr>
              <w:t>③输油管道与铁路并行敷设时，管道应敷设在铁路用地范围边线</w:t>
            </w:r>
            <w:r w:rsidRPr="00687B52">
              <w:rPr>
                <w:rFonts w:hint="eastAsia"/>
                <w:color w:val="000000" w:themeColor="text1"/>
              </w:rPr>
              <w:t>3m</w:t>
            </w:r>
            <w:r w:rsidRPr="00687B52">
              <w:rPr>
                <w:rFonts w:hint="eastAsia"/>
                <w:color w:val="000000" w:themeColor="text1"/>
              </w:rPr>
              <w:t>以外，且原油、成品油管道距铁路线不应小于</w:t>
            </w:r>
            <w:r w:rsidRPr="00687B52">
              <w:rPr>
                <w:rFonts w:hint="eastAsia"/>
                <w:color w:val="000000" w:themeColor="text1"/>
              </w:rPr>
              <w:t>25m</w:t>
            </w:r>
            <w:r w:rsidRPr="00687B52">
              <w:rPr>
                <w:rFonts w:hint="eastAsia"/>
                <w:color w:val="000000" w:themeColor="text1"/>
              </w:rPr>
              <w:t>、液化石油气管道距铁路线不应小于</w:t>
            </w:r>
            <w:r w:rsidRPr="00687B52">
              <w:rPr>
                <w:rFonts w:hint="eastAsia"/>
                <w:color w:val="000000" w:themeColor="text1"/>
              </w:rPr>
              <w:t>50m</w:t>
            </w:r>
            <w:r w:rsidRPr="00687B52">
              <w:rPr>
                <w:rFonts w:hint="eastAsia"/>
                <w:color w:val="000000" w:themeColor="text1"/>
              </w:rPr>
              <w:t>，如受制于地形或其他条件限制不满足本条要求时，应征得铁路管理部门的同意。</w:t>
            </w:r>
          </w:p>
          <w:p w:rsidR="000E02C5" w:rsidRPr="00687B52" w:rsidRDefault="000E02C5" w:rsidP="00B527D4">
            <w:pPr>
              <w:pStyle w:val="a7"/>
              <w:jc w:val="left"/>
              <w:rPr>
                <w:color w:val="000000" w:themeColor="text1"/>
              </w:rPr>
            </w:pPr>
            <w:r w:rsidRPr="00687B52">
              <w:rPr>
                <w:rFonts w:hint="eastAsia"/>
                <w:color w:val="000000" w:themeColor="text1"/>
              </w:rPr>
              <w:t>④输油管道与公路并行敷设时，管道应敷设在公路用地范围边线以外，距用地边线不应小于</w:t>
            </w:r>
            <w:r w:rsidRPr="00687B52">
              <w:rPr>
                <w:rFonts w:hint="eastAsia"/>
                <w:color w:val="000000" w:themeColor="text1"/>
              </w:rPr>
              <w:t>3m</w:t>
            </w:r>
            <w:r w:rsidRPr="00687B52">
              <w:rPr>
                <w:rFonts w:hint="eastAsia"/>
                <w:color w:val="000000" w:themeColor="text1"/>
              </w:rPr>
              <w:t>，如受制于地形或其他条件限制不满足本条要求时，应征得公路管理部门的同意；</w:t>
            </w:r>
          </w:p>
          <w:p w:rsidR="000E02C5" w:rsidRPr="00687B52" w:rsidRDefault="000E02C5" w:rsidP="00B527D4">
            <w:pPr>
              <w:pStyle w:val="a7"/>
              <w:jc w:val="left"/>
              <w:rPr>
                <w:color w:val="000000" w:themeColor="text1"/>
              </w:rPr>
            </w:pPr>
            <w:r w:rsidRPr="00687B52">
              <w:rPr>
                <w:rFonts w:hint="eastAsia"/>
                <w:color w:val="000000" w:themeColor="text1"/>
              </w:rPr>
              <w:t>⑤原油、成品油管道与军工厂、军事设施、炸药库、国家重点文物保护设施的最小距离应同有关部门协商确定。液化石油气管道与军工厂、军事设施、炸药库、国家重点文物保护设施的距离不应小于</w:t>
            </w:r>
            <w:r w:rsidRPr="00687B52">
              <w:rPr>
                <w:rFonts w:hint="eastAsia"/>
                <w:color w:val="000000" w:themeColor="text1"/>
              </w:rPr>
              <w:t>100m</w:t>
            </w:r>
            <w:r w:rsidRPr="00687B52">
              <w:rPr>
                <w:rFonts w:hint="eastAsia"/>
                <w:color w:val="000000" w:themeColor="text1"/>
              </w:rPr>
              <w:t>；</w:t>
            </w:r>
          </w:p>
          <w:p w:rsidR="000E02C5" w:rsidRPr="00687B52" w:rsidRDefault="000E02C5" w:rsidP="00B527D4">
            <w:pPr>
              <w:pStyle w:val="a7"/>
              <w:jc w:val="left"/>
              <w:rPr>
                <w:color w:val="000000" w:themeColor="text1"/>
              </w:rPr>
            </w:pPr>
            <w:r w:rsidRPr="00687B52">
              <w:rPr>
                <w:rFonts w:hint="eastAsia"/>
                <w:color w:val="000000" w:themeColor="text1"/>
              </w:rPr>
              <w:t>⑦液化石油气管道与城镇居民点、重要公共建筑和一般建</w:t>
            </w:r>
            <w:r w:rsidRPr="00687B52">
              <w:rPr>
                <w:rFonts w:hint="eastAsia"/>
                <w:color w:val="000000" w:themeColor="text1"/>
              </w:rPr>
              <w:t>(</w:t>
            </w:r>
            <w:r w:rsidRPr="00687B52">
              <w:rPr>
                <w:rFonts w:hint="eastAsia"/>
                <w:color w:val="000000" w:themeColor="text1"/>
              </w:rPr>
              <w:t>构</w:t>
            </w:r>
            <w:r w:rsidRPr="00687B52">
              <w:rPr>
                <w:rFonts w:hint="eastAsia"/>
                <w:color w:val="000000" w:themeColor="text1"/>
              </w:rPr>
              <w:t>)</w:t>
            </w:r>
            <w:r w:rsidRPr="00687B52">
              <w:rPr>
                <w:rFonts w:hint="eastAsia"/>
                <w:color w:val="000000" w:themeColor="text1"/>
              </w:rPr>
              <w:t>筑物的最小距离应符合现行国家标准《城镇燃气设计规范》</w:t>
            </w:r>
            <w:r w:rsidRPr="00687B52">
              <w:rPr>
                <w:rFonts w:hint="eastAsia"/>
                <w:color w:val="000000" w:themeColor="text1"/>
              </w:rPr>
              <w:t>GB50028</w:t>
            </w:r>
            <w:r w:rsidRPr="00687B52">
              <w:rPr>
                <w:rFonts w:hint="eastAsia"/>
                <w:color w:val="000000" w:themeColor="text1"/>
              </w:rPr>
              <w:t>的有关规定，见下表：</w:t>
            </w:r>
          </w:p>
          <w:tbl>
            <w:tblPr>
              <w:tblStyle w:val="a6"/>
              <w:tblW w:w="6977" w:type="dxa"/>
              <w:tblLook w:val="04A0" w:firstRow="1" w:lastRow="0" w:firstColumn="1" w:lastColumn="0" w:noHBand="0" w:noVBand="1"/>
            </w:tblPr>
            <w:tblGrid>
              <w:gridCol w:w="3292"/>
              <w:gridCol w:w="1276"/>
              <w:gridCol w:w="1275"/>
              <w:gridCol w:w="1134"/>
            </w:tblGrid>
            <w:tr w:rsidR="000E02C5" w:rsidRPr="00687B52" w:rsidTr="00B527D4">
              <w:tc>
                <w:tcPr>
                  <w:tcW w:w="3292" w:type="dxa"/>
                  <w:vAlign w:val="center"/>
                </w:tcPr>
                <w:p w:rsidR="000E02C5" w:rsidRPr="00687B52" w:rsidRDefault="00341035" w:rsidP="00B527D4">
                  <w:pPr>
                    <w:pStyle w:val="a7"/>
                    <w:jc w:val="left"/>
                    <w:rPr>
                      <w:color w:val="000000" w:themeColor="text1"/>
                      <w:sz w:val="21"/>
                    </w:rPr>
                  </w:pPr>
                  <w:r>
                    <w:rPr>
                      <w:noProof/>
                      <w:color w:val="000000" w:themeColor="text1"/>
                      <w:sz w:val="21"/>
                    </w:rPr>
                    <mc:AlternateContent>
                      <mc:Choice Requires="wps">
                        <w:drawing>
                          <wp:anchor distT="0" distB="0" distL="114300" distR="114300" simplePos="0" relativeHeight="251660288" behindDoc="0" locked="0" layoutInCell="1" allowOverlap="1">
                            <wp:simplePos x="0" y="0"/>
                            <wp:positionH relativeFrom="column">
                              <wp:posOffset>-72390</wp:posOffset>
                            </wp:positionH>
                            <wp:positionV relativeFrom="paragraph">
                              <wp:posOffset>38100</wp:posOffset>
                            </wp:positionV>
                            <wp:extent cx="1261110" cy="579120"/>
                            <wp:effectExtent l="13335" t="9525" r="11430" b="11430"/>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1110" cy="579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left:0;text-align:left;margin-left:-5.7pt;margin-top:3pt;width:99.3pt;height:4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"/>
                        </w:pict>
                      </mc:Fallback>
                    </mc:AlternateContent>
                  </w:r>
                  <w:r w:rsidR="000E02C5" w:rsidRPr="00687B52">
                    <w:rPr>
                      <w:rFonts w:hint="eastAsia"/>
                      <w:color w:val="000000" w:themeColor="text1"/>
                      <w:sz w:val="21"/>
                    </w:rPr>
                    <w:t>管道</w:t>
                  </w:r>
                </w:p>
                <w:p w:rsidR="000E02C5" w:rsidRPr="00687B52" w:rsidRDefault="000E02C5" w:rsidP="00B527D4">
                  <w:pPr>
                    <w:pStyle w:val="a7"/>
                    <w:jc w:val="left"/>
                    <w:rPr>
                      <w:color w:val="000000" w:themeColor="text1"/>
                      <w:sz w:val="21"/>
                    </w:rPr>
                  </w:pPr>
                  <w:r w:rsidRPr="00687B52">
                    <w:rPr>
                      <w:rFonts w:hint="eastAsia"/>
                      <w:color w:val="000000" w:themeColor="text1"/>
                      <w:sz w:val="21"/>
                    </w:rPr>
                    <w:t>级别</w:t>
                  </w:r>
                </w:p>
                <w:p w:rsidR="000E02C5" w:rsidRPr="00687B52" w:rsidRDefault="000E02C5" w:rsidP="00B527D4">
                  <w:pPr>
                    <w:pStyle w:val="a7"/>
                    <w:jc w:val="left"/>
                    <w:rPr>
                      <w:color w:val="000000" w:themeColor="text1"/>
                      <w:sz w:val="21"/>
                    </w:rPr>
                  </w:pPr>
                  <w:r w:rsidRPr="00687B52">
                    <w:rPr>
                      <w:rFonts w:hint="eastAsia"/>
                      <w:color w:val="000000" w:themeColor="text1"/>
                      <w:sz w:val="21"/>
                    </w:rPr>
                    <w:t>项目</w:t>
                  </w:r>
                </w:p>
              </w:tc>
              <w:tc>
                <w:tcPr>
                  <w:tcW w:w="1276" w:type="dxa"/>
                  <w:vAlign w:val="center"/>
                </w:tcPr>
                <w:p w:rsidR="000E02C5" w:rsidRPr="00687B52" w:rsidRDefault="000E02C5" w:rsidP="00B527D4">
                  <w:pPr>
                    <w:pStyle w:val="a7"/>
                    <w:jc w:val="left"/>
                    <w:rPr>
                      <w:color w:val="000000" w:themeColor="text1"/>
                      <w:sz w:val="21"/>
                    </w:rPr>
                  </w:pPr>
                  <w:r w:rsidRPr="00687B52">
                    <w:rPr>
                      <w:rFonts w:hint="eastAsia"/>
                      <w:color w:val="000000" w:themeColor="text1"/>
                      <w:sz w:val="21"/>
                    </w:rPr>
                    <w:t>Ⅰ级（设计压力</w:t>
                  </w:r>
                  <w:r w:rsidRPr="00687B52">
                    <w:rPr>
                      <w:rFonts w:hint="eastAsia"/>
                      <w:color w:val="000000" w:themeColor="text1"/>
                      <w:sz w:val="21"/>
                    </w:rPr>
                    <w:t>P</w:t>
                  </w:r>
                  <w:r w:rsidRPr="00687B52">
                    <w:rPr>
                      <w:rFonts w:hint="eastAsia"/>
                      <w:color w:val="000000" w:themeColor="text1"/>
                      <w:sz w:val="21"/>
                    </w:rPr>
                    <w:t>＞</w:t>
                  </w:r>
                  <w:r w:rsidRPr="00687B52">
                    <w:rPr>
                      <w:rFonts w:hint="eastAsia"/>
                      <w:color w:val="000000" w:themeColor="text1"/>
                      <w:sz w:val="21"/>
                    </w:rPr>
                    <w:t>4.0MPa</w:t>
                  </w:r>
                  <w:r w:rsidRPr="00687B52">
                    <w:rPr>
                      <w:rFonts w:hint="eastAsia"/>
                      <w:color w:val="000000" w:themeColor="text1"/>
                      <w:sz w:val="21"/>
                    </w:rPr>
                    <w:t>）</w:t>
                  </w:r>
                </w:p>
              </w:tc>
              <w:tc>
                <w:tcPr>
                  <w:tcW w:w="1275" w:type="dxa"/>
                  <w:vAlign w:val="center"/>
                </w:tcPr>
                <w:p w:rsidR="000E02C5" w:rsidRPr="00687B52" w:rsidRDefault="000E02C5" w:rsidP="00B527D4">
                  <w:pPr>
                    <w:pStyle w:val="a7"/>
                    <w:jc w:val="left"/>
                    <w:rPr>
                      <w:color w:val="000000" w:themeColor="text1"/>
                      <w:sz w:val="21"/>
                    </w:rPr>
                  </w:pPr>
                  <w:r w:rsidRPr="00687B52">
                    <w:rPr>
                      <w:rFonts w:hint="eastAsia"/>
                      <w:color w:val="000000" w:themeColor="text1"/>
                      <w:sz w:val="21"/>
                    </w:rPr>
                    <w:t>Ⅱ级（设计压力</w:t>
                  </w:r>
                  <w:r w:rsidRPr="00687B52">
                    <w:rPr>
                      <w:rFonts w:hint="eastAsia"/>
                      <w:color w:val="000000" w:themeColor="text1"/>
                      <w:sz w:val="21"/>
                    </w:rPr>
                    <w:t>1.6</w:t>
                  </w:r>
                  <w:r w:rsidRPr="00687B52">
                    <w:rPr>
                      <w:rFonts w:hint="eastAsia"/>
                      <w:color w:val="000000" w:themeColor="text1"/>
                      <w:sz w:val="21"/>
                    </w:rPr>
                    <w:t>≤</w:t>
                  </w:r>
                  <w:r w:rsidRPr="00687B52">
                    <w:rPr>
                      <w:rFonts w:hint="eastAsia"/>
                      <w:color w:val="000000" w:themeColor="text1"/>
                      <w:sz w:val="21"/>
                    </w:rPr>
                    <w:t>P</w:t>
                  </w:r>
                  <w:r w:rsidRPr="00687B52">
                    <w:rPr>
                      <w:rFonts w:hint="eastAsia"/>
                      <w:color w:val="000000" w:themeColor="text1"/>
                      <w:sz w:val="21"/>
                    </w:rPr>
                    <w:t>≤</w:t>
                  </w:r>
                  <w:r w:rsidRPr="00687B52">
                    <w:rPr>
                      <w:rFonts w:hint="eastAsia"/>
                      <w:color w:val="000000" w:themeColor="text1"/>
                      <w:sz w:val="21"/>
                    </w:rPr>
                    <w:t>4.0MPa</w:t>
                  </w:r>
                  <w:r w:rsidRPr="00687B52">
                    <w:rPr>
                      <w:rFonts w:hint="eastAsia"/>
                      <w:color w:val="000000" w:themeColor="text1"/>
                      <w:sz w:val="21"/>
                    </w:rPr>
                    <w:t>）</w:t>
                  </w:r>
                </w:p>
              </w:tc>
              <w:tc>
                <w:tcPr>
                  <w:tcW w:w="1134" w:type="dxa"/>
                  <w:vAlign w:val="center"/>
                </w:tcPr>
                <w:p w:rsidR="000E02C5" w:rsidRPr="00687B52" w:rsidRDefault="000E02C5" w:rsidP="00B527D4">
                  <w:pPr>
                    <w:pStyle w:val="a7"/>
                    <w:jc w:val="left"/>
                    <w:rPr>
                      <w:color w:val="000000" w:themeColor="text1"/>
                      <w:sz w:val="21"/>
                    </w:rPr>
                  </w:pPr>
                  <w:r w:rsidRPr="00687B52">
                    <w:rPr>
                      <w:rFonts w:hint="eastAsia"/>
                      <w:color w:val="000000" w:themeColor="text1"/>
                      <w:sz w:val="21"/>
                    </w:rPr>
                    <w:t>Ⅲ级</w:t>
                  </w:r>
                  <w:r w:rsidRPr="00687B52">
                    <w:rPr>
                      <w:rFonts w:hint="eastAsia"/>
                      <w:color w:val="000000" w:themeColor="text1"/>
                      <w:sz w:val="21"/>
                    </w:rPr>
                    <w:t>(</w:t>
                  </w:r>
                  <w:r w:rsidRPr="00687B52">
                    <w:rPr>
                      <w:rFonts w:hint="eastAsia"/>
                      <w:color w:val="000000" w:themeColor="text1"/>
                      <w:sz w:val="21"/>
                    </w:rPr>
                    <w:t>设计压力</w:t>
                  </w:r>
                  <w:r w:rsidRPr="00687B52">
                    <w:rPr>
                      <w:rFonts w:hint="eastAsia"/>
                      <w:color w:val="000000" w:themeColor="text1"/>
                      <w:sz w:val="21"/>
                    </w:rPr>
                    <w:t>P</w:t>
                  </w:r>
                  <w:r w:rsidRPr="00687B52">
                    <w:rPr>
                      <w:rFonts w:hint="eastAsia"/>
                      <w:color w:val="000000" w:themeColor="text1"/>
                      <w:sz w:val="21"/>
                    </w:rPr>
                    <w:t>≤</w:t>
                  </w:r>
                  <w:r w:rsidRPr="00687B52">
                    <w:rPr>
                      <w:rFonts w:hint="eastAsia"/>
                      <w:color w:val="000000" w:themeColor="text1"/>
                      <w:sz w:val="21"/>
                    </w:rPr>
                    <w:t>1.6MPa)</w:t>
                  </w:r>
                </w:p>
              </w:tc>
            </w:tr>
            <w:tr w:rsidR="000E02C5" w:rsidRPr="00687B52" w:rsidTr="00B527D4">
              <w:tc>
                <w:tcPr>
                  <w:tcW w:w="3292"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特殊建、构筑物（军事设施、易燃易爆物品仓库、国家重点文物保护单位、飞机场、火车站和码头）</w:t>
                  </w:r>
                </w:p>
              </w:tc>
              <w:tc>
                <w:tcPr>
                  <w:tcW w:w="3685" w:type="dxa"/>
                  <w:gridSpan w:val="3"/>
                  <w:vAlign w:val="center"/>
                </w:tcPr>
                <w:p w:rsidR="000E02C5" w:rsidRPr="00687B52" w:rsidRDefault="000E02C5" w:rsidP="00B527D4">
                  <w:pPr>
                    <w:pStyle w:val="a7"/>
                    <w:rPr>
                      <w:color w:val="000000" w:themeColor="text1"/>
                      <w:sz w:val="21"/>
                    </w:rPr>
                  </w:pPr>
                  <w:r w:rsidRPr="00687B52">
                    <w:rPr>
                      <w:rFonts w:hint="eastAsia"/>
                      <w:color w:val="000000" w:themeColor="text1"/>
                      <w:sz w:val="21"/>
                    </w:rPr>
                    <w:t>100</w:t>
                  </w:r>
                </w:p>
              </w:tc>
            </w:tr>
            <w:tr w:rsidR="000E02C5" w:rsidRPr="00687B52" w:rsidTr="00B527D4">
              <w:tc>
                <w:tcPr>
                  <w:tcW w:w="3292"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居民区、村镇、重要公共建筑</w:t>
                  </w:r>
                </w:p>
              </w:tc>
              <w:tc>
                <w:tcPr>
                  <w:tcW w:w="1276"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50</w:t>
                  </w:r>
                </w:p>
              </w:tc>
              <w:tc>
                <w:tcPr>
                  <w:tcW w:w="1275"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40</w:t>
                  </w:r>
                </w:p>
              </w:tc>
              <w:tc>
                <w:tcPr>
                  <w:tcW w:w="1134"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10</w:t>
                  </w:r>
                </w:p>
              </w:tc>
            </w:tr>
            <w:tr w:rsidR="000E02C5" w:rsidRPr="00687B52" w:rsidTr="00B527D4">
              <w:tc>
                <w:tcPr>
                  <w:tcW w:w="3292"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一般建、构筑物</w:t>
                  </w:r>
                </w:p>
              </w:tc>
              <w:tc>
                <w:tcPr>
                  <w:tcW w:w="1276"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25</w:t>
                  </w:r>
                </w:p>
              </w:tc>
              <w:tc>
                <w:tcPr>
                  <w:tcW w:w="1275"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15</w:t>
                  </w:r>
                </w:p>
              </w:tc>
              <w:tc>
                <w:tcPr>
                  <w:tcW w:w="1134"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10</w:t>
                  </w:r>
                </w:p>
              </w:tc>
            </w:tr>
          </w:tbl>
          <w:p w:rsidR="000E02C5" w:rsidRPr="00687B52" w:rsidRDefault="000E02C5" w:rsidP="00B527D4">
            <w:pPr>
              <w:pStyle w:val="a7"/>
              <w:jc w:val="left"/>
              <w:rPr>
                <w:color w:val="000000" w:themeColor="text1"/>
              </w:rPr>
            </w:pP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 xml:space="preserve">4.1.6 </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trHeight w:val="2743"/>
          <w:jc w:val="center"/>
        </w:trPr>
        <w:tc>
          <w:tcPr>
            <w:tcW w:w="460" w:type="pct"/>
            <w:vAlign w:val="center"/>
          </w:tcPr>
          <w:p w:rsidR="000E02C5" w:rsidRPr="00687B52" w:rsidRDefault="000E02C5" w:rsidP="00D9787F">
            <w:pPr>
              <w:pStyle w:val="a7"/>
              <w:numPr>
                <w:ilvl w:val="0"/>
                <w:numId w:val="11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埋地管道与高压交流输电线路的距离宜符合下列规定：</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①在开阔地区，埋地管道与高压交流输电线路塔杆基脚间控制的最小距离不宜小于塔杆高度。</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②在路径受限地区，埋地管道与交流输电系统的各种接地装置之间的最小水平距离一般情况下不宜小于下表的规定。在采取故障屏蔽、接地、隔离等防护措施后，下表规定的距离可适当减小。</w:t>
            </w:r>
          </w:p>
          <w:tbl>
            <w:tblPr>
              <w:tblStyle w:val="a6"/>
              <w:tblW w:w="6977" w:type="dxa"/>
              <w:tblLook w:val="04A0" w:firstRow="1" w:lastRow="0" w:firstColumn="1" w:lastColumn="0" w:noHBand="0" w:noVBand="1"/>
            </w:tblPr>
            <w:tblGrid>
              <w:gridCol w:w="2051"/>
              <w:gridCol w:w="1524"/>
              <w:gridCol w:w="1560"/>
              <w:gridCol w:w="1842"/>
            </w:tblGrid>
            <w:tr w:rsidR="000E02C5" w:rsidRPr="00687B52" w:rsidTr="00B527D4">
              <w:tc>
                <w:tcPr>
                  <w:tcW w:w="2051" w:type="dxa"/>
                  <w:vAlign w:val="center"/>
                </w:tcPr>
                <w:p w:rsidR="000E02C5" w:rsidRPr="00687B52" w:rsidRDefault="000E02C5" w:rsidP="00B527D4">
                  <w:pPr>
                    <w:pStyle w:val="a7"/>
                    <w:rPr>
                      <w:color w:val="000000" w:themeColor="text1"/>
                    </w:rPr>
                  </w:pPr>
                  <w:r w:rsidRPr="00687B52">
                    <w:rPr>
                      <w:rFonts w:hint="eastAsia"/>
                      <w:color w:val="000000" w:themeColor="text1"/>
                    </w:rPr>
                    <w:t>电压等级（</w:t>
                  </w:r>
                  <w:r w:rsidRPr="00687B52">
                    <w:rPr>
                      <w:rFonts w:hint="eastAsia"/>
                      <w:color w:val="000000" w:themeColor="text1"/>
                    </w:rPr>
                    <w:t>KV</w:t>
                  </w:r>
                  <w:r w:rsidRPr="00687B52">
                    <w:rPr>
                      <w:rFonts w:hint="eastAsia"/>
                      <w:color w:val="000000" w:themeColor="text1"/>
                    </w:rPr>
                    <w:t>）</w:t>
                  </w:r>
                </w:p>
              </w:tc>
              <w:tc>
                <w:tcPr>
                  <w:tcW w:w="1524" w:type="dxa"/>
                  <w:vAlign w:val="center"/>
                </w:tcPr>
                <w:p w:rsidR="000E02C5" w:rsidRPr="00687B52" w:rsidRDefault="000E02C5" w:rsidP="00B527D4">
                  <w:pPr>
                    <w:pStyle w:val="a7"/>
                    <w:rPr>
                      <w:color w:val="000000" w:themeColor="text1"/>
                    </w:rPr>
                  </w:pPr>
                  <w:r w:rsidRPr="00687B52">
                    <w:rPr>
                      <w:rFonts w:hint="eastAsia"/>
                      <w:color w:val="000000" w:themeColor="text1"/>
                    </w:rPr>
                    <w:t>≤</w:t>
                  </w:r>
                  <w:r w:rsidRPr="00687B52">
                    <w:rPr>
                      <w:rFonts w:hint="eastAsia"/>
                      <w:color w:val="000000" w:themeColor="text1"/>
                    </w:rPr>
                    <w:t>220</w:t>
                  </w:r>
                </w:p>
              </w:tc>
              <w:tc>
                <w:tcPr>
                  <w:tcW w:w="1560" w:type="dxa"/>
                  <w:vAlign w:val="center"/>
                </w:tcPr>
                <w:p w:rsidR="000E02C5" w:rsidRPr="00687B52" w:rsidRDefault="000E02C5" w:rsidP="00B527D4">
                  <w:pPr>
                    <w:pStyle w:val="a7"/>
                    <w:rPr>
                      <w:color w:val="000000" w:themeColor="text1"/>
                    </w:rPr>
                  </w:pPr>
                  <w:r w:rsidRPr="00687B52">
                    <w:rPr>
                      <w:rFonts w:hint="eastAsia"/>
                      <w:color w:val="000000" w:themeColor="text1"/>
                    </w:rPr>
                    <w:t>330</w:t>
                  </w:r>
                </w:p>
              </w:tc>
              <w:tc>
                <w:tcPr>
                  <w:tcW w:w="1842" w:type="dxa"/>
                  <w:vAlign w:val="center"/>
                </w:tcPr>
                <w:p w:rsidR="000E02C5" w:rsidRPr="00687B52" w:rsidRDefault="000E02C5" w:rsidP="00B527D4">
                  <w:pPr>
                    <w:pStyle w:val="a7"/>
                    <w:rPr>
                      <w:color w:val="000000" w:themeColor="text1"/>
                    </w:rPr>
                  </w:pPr>
                  <w:r w:rsidRPr="00687B52">
                    <w:rPr>
                      <w:rFonts w:hint="eastAsia"/>
                      <w:color w:val="000000" w:themeColor="text1"/>
                    </w:rPr>
                    <w:t>500</w:t>
                  </w:r>
                </w:p>
              </w:tc>
            </w:tr>
            <w:tr w:rsidR="000E02C5" w:rsidRPr="00687B52" w:rsidTr="00B527D4">
              <w:tc>
                <w:tcPr>
                  <w:tcW w:w="2051" w:type="dxa"/>
                  <w:vAlign w:val="center"/>
                </w:tcPr>
                <w:p w:rsidR="000E02C5" w:rsidRPr="00687B52" w:rsidRDefault="000E02C5" w:rsidP="00B527D4">
                  <w:pPr>
                    <w:pStyle w:val="a7"/>
                    <w:rPr>
                      <w:color w:val="000000" w:themeColor="text1"/>
                    </w:rPr>
                  </w:pPr>
                  <w:r w:rsidRPr="00687B52">
                    <w:rPr>
                      <w:rFonts w:hint="eastAsia"/>
                      <w:color w:val="000000" w:themeColor="text1"/>
                    </w:rPr>
                    <w:t>铁塔或电杆接地</w:t>
                  </w:r>
                </w:p>
              </w:tc>
              <w:tc>
                <w:tcPr>
                  <w:tcW w:w="1524" w:type="dxa"/>
                  <w:vAlign w:val="center"/>
                </w:tcPr>
                <w:p w:rsidR="000E02C5" w:rsidRPr="00687B52" w:rsidRDefault="000E02C5" w:rsidP="00B527D4">
                  <w:pPr>
                    <w:pStyle w:val="a7"/>
                    <w:rPr>
                      <w:color w:val="000000" w:themeColor="text1"/>
                    </w:rPr>
                  </w:pPr>
                  <w:r w:rsidRPr="00687B52">
                    <w:rPr>
                      <w:rFonts w:hint="eastAsia"/>
                      <w:color w:val="000000" w:themeColor="text1"/>
                    </w:rPr>
                    <w:t>5.0</w:t>
                  </w:r>
                </w:p>
              </w:tc>
              <w:tc>
                <w:tcPr>
                  <w:tcW w:w="1560" w:type="dxa"/>
                  <w:vAlign w:val="center"/>
                </w:tcPr>
                <w:p w:rsidR="000E02C5" w:rsidRPr="00687B52" w:rsidRDefault="000E02C5" w:rsidP="00B527D4">
                  <w:pPr>
                    <w:pStyle w:val="a7"/>
                    <w:rPr>
                      <w:color w:val="000000" w:themeColor="text1"/>
                    </w:rPr>
                  </w:pPr>
                  <w:r w:rsidRPr="00687B52">
                    <w:rPr>
                      <w:rFonts w:hint="eastAsia"/>
                      <w:color w:val="000000" w:themeColor="text1"/>
                    </w:rPr>
                    <w:t>6.0</w:t>
                  </w:r>
                </w:p>
              </w:tc>
              <w:tc>
                <w:tcPr>
                  <w:tcW w:w="1842" w:type="dxa"/>
                  <w:vAlign w:val="center"/>
                </w:tcPr>
                <w:p w:rsidR="000E02C5" w:rsidRPr="00687B52" w:rsidRDefault="000E02C5" w:rsidP="00B527D4">
                  <w:pPr>
                    <w:pStyle w:val="a7"/>
                    <w:rPr>
                      <w:color w:val="000000" w:themeColor="text1"/>
                    </w:rPr>
                  </w:pPr>
                  <w:r w:rsidRPr="00687B52">
                    <w:rPr>
                      <w:rFonts w:hint="eastAsia"/>
                      <w:color w:val="000000" w:themeColor="text1"/>
                    </w:rPr>
                    <w:t>7.5</w:t>
                  </w:r>
                </w:p>
              </w:tc>
            </w:tr>
          </w:tbl>
          <w:p w:rsidR="000E02C5" w:rsidRPr="00687B52" w:rsidRDefault="000E02C5" w:rsidP="00B527D4">
            <w:pPr>
              <w:pStyle w:val="a7"/>
              <w:jc w:val="left"/>
              <w:rPr>
                <w:rFonts w:asciiTheme="minorEastAsia" w:eastAsiaTheme="minorEastAsia" w:hAnsiTheme="minorEastAsia"/>
                <w:color w:val="000000" w:themeColor="text1"/>
                <w:szCs w:val="24"/>
              </w:rPr>
            </w:pP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 xml:space="preserve">4.1.7 </w:t>
            </w:r>
            <w:r w:rsidRPr="00687B52">
              <w:rPr>
                <w:rFonts w:hint="eastAsia"/>
                <w:color w:val="000000" w:themeColor="text1"/>
              </w:rPr>
              <w:t>条、《埋地钢制管道交流干扰防护技术标准》</w:t>
            </w:r>
            <w:r w:rsidRPr="00687B52">
              <w:rPr>
                <w:rFonts w:hint="eastAsia"/>
                <w:color w:val="000000" w:themeColor="text1"/>
              </w:rPr>
              <w:t>GB/T50698-2011</w:t>
            </w:r>
            <w:r w:rsidRPr="00687B52">
              <w:rPr>
                <w:rFonts w:hint="eastAsia"/>
                <w:color w:val="000000" w:themeColor="text1"/>
              </w:rPr>
              <w:t>第</w:t>
            </w:r>
            <w:r w:rsidRPr="00687B52">
              <w:rPr>
                <w:rFonts w:hint="eastAsia"/>
                <w:color w:val="000000" w:themeColor="text1"/>
              </w:rPr>
              <w:t>5.1.5</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说明输油管道与平行敷设的架空输电线路的距离</w:t>
            </w:r>
          </w:p>
        </w:tc>
      </w:tr>
      <w:tr w:rsidR="000E02C5" w:rsidRPr="00687B52" w:rsidTr="00563F92">
        <w:trPr>
          <w:trHeight w:val="1886"/>
          <w:jc w:val="center"/>
        </w:trPr>
        <w:tc>
          <w:tcPr>
            <w:tcW w:w="460" w:type="pct"/>
            <w:vAlign w:val="center"/>
          </w:tcPr>
          <w:p w:rsidR="000E02C5" w:rsidRPr="00687B52" w:rsidRDefault="000E02C5" w:rsidP="00D9787F">
            <w:pPr>
              <w:pStyle w:val="a7"/>
              <w:numPr>
                <w:ilvl w:val="0"/>
                <w:numId w:val="11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66KV</w:t>
            </w:r>
            <w:r w:rsidRPr="00687B52">
              <w:rPr>
                <w:rFonts w:hint="eastAsia"/>
                <w:color w:val="000000" w:themeColor="text1"/>
              </w:rPr>
              <w:t>及以下架空电力线路与架设在地面上输送易燃、易爆物的管道的最小水平距离为最高杆（塔）高，最小垂直距离（至管道任何部分）见下表：</w:t>
            </w:r>
          </w:p>
          <w:tbl>
            <w:tblPr>
              <w:tblStyle w:val="a6"/>
              <w:tblW w:w="4785" w:type="pct"/>
              <w:tblLook w:val="04A0" w:firstRow="1" w:lastRow="0" w:firstColumn="1" w:lastColumn="0" w:noHBand="0" w:noVBand="1"/>
            </w:tblPr>
            <w:tblGrid>
              <w:gridCol w:w="1940"/>
              <w:gridCol w:w="1847"/>
              <w:gridCol w:w="1752"/>
              <w:gridCol w:w="1348"/>
            </w:tblGrid>
            <w:tr w:rsidR="000E02C5" w:rsidRPr="00687B52" w:rsidTr="00B527D4">
              <w:tc>
                <w:tcPr>
                  <w:tcW w:w="1408" w:type="pct"/>
                  <w:vAlign w:val="center"/>
                </w:tcPr>
                <w:p w:rsidR="000E02C5" w:rsidRPr="00687B52" w:rsidRDefault="000E02C5" w:rsidP="00B527D4">
                  <w:pPr>
                    <w:pStyle w:val="a7"/>
                    <w:rPr>
                      <w:rFonts w:eastAsiaTheme="minorEastAsia" w:hAnsi="Times New Roman" w:cs="Times New Roman"/>
                      <w:color w:val="000000" w:themeColor="text1"/>
                      <w:szCs w:val="24"/>
                    </w:rPr>
                  </w:pPr>
                  <w:r w:rsidRPr="00687B52">
                    <w:rPr>
                      <w:rFonts w:eastAsiaTheme="minorEastAsia" w:hAnsiTheme="minorEastAsia" w:cs="Times New Roman"/>
                      <w:color w:val="000000" w:themeColor="text1"/>
                      <w:szCs w:val="24"/>
                    </w:rPr>
                    <w:t>线路电压（</w:t>
                  </w:r>
                  <w:r w:rsidRPr="00687B52">
                    <w:rPr>
                      <w:rFonts w:eastAsiaTheme="minorEastAsia" w:hAnsi="Times New Roman" w:cs="Times New Roman"/>
                      <w:color w:val="000000" w:themeColor="text1"/>
                      <w:szCs w:val="24"/>
                    </w:rPr>
                    <w:t>KV</w:t>
                  </w:r>
                  <w:r w:rsidRPr="00687B52">
                    <w:rPr>
                      <w:rFonts w:eastAsiaTheme="minorEastAsia" w:hAnsiTheme="minorEastAsia" w:cs="Times New Roman"/>
                      <w:color w:val="000000" w:themeColor="text1"/>
                      <w:szCs w:val="24"/>
                    </w:rPr>
                    <w:t>）</w:t>
                  </w:r>
                </w:p>
              </w:tc>
              <w:tc>
                <w:tcPr>
                  <w:tcW w:w="1341" w:type="pct"/>
                  <w:vAlign w:val="center"/>
                </w:tcPr>
                <w:p w:rsidR="000E02C5" w:rsidRPr="00687B52" w:rsidRDefault="000E02C5" w:rsidP="00B527D4">
                  <w:pPr>
                    <w:pStyle w:val="a7"/>
                    <w:rPr>
                      <w:rFonts w:eastAsiaTheme="minorEastAsia" w:hAnsi="Times New Roman" w:cs="Times New Roman"/>
                      <w:color w:val="000000" w:themeColor="text1"/>
                      <w:szCs w:val="24"/>
                    </w:rPr>
                  </w:pPr>
                  <w:r w:rsidRPr="00687B52">
                    <w:rPr>
                      <w:rFonts w:eastAsiaTheme="minorEastAsia" w:hAnsi="Times New Roman" w:cs="Times New Roman"/>
                      <w:color w:val="000000" w:themeColor="text1"/>
                      <w:szCs w:val="24"/>
                    </w:rPr>
                    <w:t>35~66</w:t>
                  </w:r>
                </w:p>
              </w:tc>
              <w:tc>
                <w:tcPr>
                  <w:tcW w:w="1272" w:type="pct"/>
                  <w:vAlign w:val="center"/>
                </w:tcPr>
                <w:p w:rsidR="000E02C5" w:rsidRPr="00687B52" w:rsidRDefault="000E02C5" w:rsidP="00B527D4">
                  <w:pPr>
                    <w:pStyle w:val="a7"/>
                    <w:rPr>
                      <w:rFonts w:eastAsiaTheme="minorEastAsia" w:hAnsi="Times New Roman" w:cs="Times New Roman"/>
                      <w:color w:val="000000" w:themeColor="text1"/>
                      <w:szCs w:val="24"/>
                    </w:rPr>
                  </w:pPr>
                  <w:r w:rsidRPr="00687B52">
                    <w:rPr>
                      <w:rFonts w:eastAsiaTheme="minorEastAsia" w:hAnsi="Times New Roman" w:cs="Times New Roman"/>
                      <w:color w:val="000000" w:themeColor="text1"/>
                      <w:szCs w:val="24"/>
                    </w:rPr>
                    <w:t>3~10</w:t>
                  </w:r>
                </w:p>
              </w:tc>
              <w:tc>
                <w:tcPr>
                  <w:tcW w:w="979" w:type="pct"/>
                  <w:vAlign w:val="center"/>
                </w:tcPr>
                <w:p w:rsidR="000E02C5" w:rsidRPr="00687B52" w:rsidRDefault="000E02C5" w:rsidP="00B527D4">
                  <w:pPr>
                    <w:pStyle w:val="a7"/>
                    <w:rPr>
                      <w:rFonts w:eastAsiaTheme="minorEastAsia" w:hAnsi="Times New Roman" w:cs="Times New Roman"/>
                      <w:color w:val="000000" w:themeColor="text1"/>
                      <w:szCs w:val="24"/>
                    </w:rPr>
                  </w:pPr>
                  <w:r w:rsidRPr="00687B52">
                    <w:rPr>
                      <w:rFonts w:eastAsiaTheme="minorEastAsia" w:hAnsi="Times New Roman" w:cs="Times New Roman"/>
                      <w:color w:val="000000" w:themeColor="text1"/>
                      <w:szCs w:val="24"/>
                    </w:rPr>
                    <w:t>3</w:t>
                  </w:r>
                  <w:r w:rsidRPr="00687B52">
                    <w:rPr>
                      <w:rFonts w:eastAsiaTheme="minorEastAsia" w:hAnsiTheme="minorEastAsia" w:cs="Times New Roman"/>
                      <w:color w:val="000000" w:themeColor="text1"/>
                      <w:szCs w:val="24"/>
                    </w:rPr>
                    <w:t>以下</w:t>
                  </w:r>
                </w:p>
              </w:tc>
            </w:tr>
            <w:tr w:rsidR="000E02C5" w:rsidRPr="00687B52" w:rsidTr="00B527D4">
              <w:tc>
                <w:tcPr>
                  <w:tcW w:w="1408" w:type="pct"/>
                  <w:vAlign w:val="center"/>
                </w:tcPr>
                <w:p w:rsidR="000E02C5" w:rsidRPr="00687B52" w:rsidRDefault="000E02C5" w:rsidP="00B527D4">
                  <w:pPr>
                    <w:pStyle w:val="a7"/>
                    <w:rPr>
                      <w:rFonts w:eastAsiaTheme="minorEastAsia" w:hAnsi="Times New Roman" w:cs="Times New Roman"/>
                      <w:color w:val="000000" w:themeColor="text1"/>
                      <w:szCs w:val="24"/>
                    </w:rPr>
                  </w:pPr>
                  <w:r w:rsidRPr="00687B52">
                    <w:rPr>
                      <w:rFonts w:eastAsiaTheme="minorEastAsia" w:hAnsiTheme="minorEastAsia" w:cs="Times New Roman"/>
                      <w:color w:val="000000" w:themeColor="text1"/>
                      <w:szCs w:val="24"/>
                    </w:rPr>
                    <w:t>最小垂直距离</w:t>
                  </w:r>
                </w:p>
              </w:tc>
              <w:tc>
                <w:tcPr>
                  <w:tcW w:w="1341" w:type="pct"/>
                  <w:vAlign w:val="center"/>
                </w:tcPr>
                <w:p w:rsidR="000E02C5" w:rsidRPr="00687B52" w:rsidRDefault="000E02C5" w:rsidP="00B527D4">
                  <w:pPr>
                    <w:pStyle w:val="a7"/>
                    <w:rPr>
                      <w:rFonts w:eastAsiaTheme="minorEastAsia" w:hAnsi="Times New Roman" w:cs="Times New Roman"/>
                      <w:color w:val="000000" w:themeColor="text1"/>
                      <w:szCs w:val="24"/>
                    </w:rPr>
                  </w:pPr>
                  <w:r w:rsidRPr="00687B52">
                    <w:rPr>
                      <w:rFonts w:eastAsiaTheme="minorEastAsia" w:hAnsi="Times New Roman" w:cs="Times New Roman"/>
                      <w:color w:val="000000" w:themeColor="text1"/>
                      <w:szCs w:val="24"/>
                    </w:rPr>
                    <w:t>4.0</w:t>
                  </w:r>
                </w:p>
              </w:tc>
              <w:tc>
                <w:tcPr>
                  <w:tcW w:w="1272" w:type="pct"/>
                  <w:vAlign w:val="center"/>
                </w:tcPr>
                <w:p w:rsidR="000E02C5" w:rsidRPr="00687B52" w:rsidRDefault="000E02C5" w:rsidP="00B527D4">
                  <w:pPr>
                    <w:pStyle w:val="a7"/>
                    <w:rPr>
                      <w:rFonts w:eastAsiaTheme="minorEastAsia" w:hAnsi="Times New Roman" w:cs="Times New Roman"/>
                      <w:color w:val="000000" w:themeColor="text1"/>
                      <w:szCs w:val="24"/>
                    </w:rPr>
                  </w:pPr>
                  <w:r w:rsidRPr="00687B52">
                    <w:rPr>
                      <w:rFonts w:eastAsiaTheme="minorEastAsia" w:hAnsi="Times New Roman" w:cs="Times New Roman" w:hint="eastAsia"/>
                      <w:color w:val="000000" w:themeColor="text1"/>
                      <w:szCs w:val="24"/>
                    </w:rPr>
                    <w:t>3.0</w:t>
                  </w:r>
                </w:p>
              </w:tc>
              <w:tc>
                <w:tcPr>
                  <w:tcW w:w="979" w:type="pct"/>
                  <w:vAlign w:val="center"/>
                </w:tcPr>
                <w:p w:rsidR="000E02C5" w:rsidRPr="00687B52" w:rsidRDefault="000E02C5" w:rsidP="00B527D4">
                  <w:pPr>
                    <w:pStyle w:val="a7"/>
                    <w:rPr>
                      <w:rFonts w:eastAsiaTheme="minorEastAsia" w:hAnsi="Times New Roman" w:cs="Times New Roman"/>
                      <w:color w:val="000000" w:themeColor="text1"/>
                      <w:szCs w:val="24"/>
                    </w:rPr>
                  </w:pPr>
                  <w:r w:rsidRPr="00687B52">
                    <w:rPr>
                      <w:rFonts w:eastAsiaTheme="minorEastAsia" w:hAnsi="Times New Roman" w:cs="Times New Roman" w:hint="eastAsia"/>
                      <w:color w:val="000000" w:themeColor="text1"/>
                      <w:szCs w:val="24"/>
                    </w:rPr>
                    <w:t>1.5</w:t>
                  </w:r>
                </w:p>
              </w:tc>
            </w:tr>
          </w:tbl>
          <w:p w:rsidR="000E02C5" w:rsidRPr="00687B52" w:rsidRDefault="000E02C5" w:rsidP="00B527D4">
            <w:pPr>
              <w:pStyle w:val="a7"/>
              <w:jc w:val="left"/>
              <w:rPr>
                <w:rFonts w:asciiTheme="minorEastAsia" w:eastAsiaTheme="minorEastAsia" w:hAnsiTheme="minorEastAsia"/>
                <w:color w:val="000000" w:themeColor="text1"/>
                <w:szCs w:val="24"/>
              </w:rPr>
            </w:pP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w:t>
            </w:r>
            <w:r w:rsidRPr="00687B52">
              <w:rPr>
                <w:rFonts w:hint="eastAsia"/>
                <w:color w:val="000000" w:themeColor="text1"/>
              </w:rPr>
              <w:t>66kv</w:t>
            </w:r>
            <w:r w:rsidRPr="00687B52">
              <w:rPr>
                <w:rFonts w:hint="eastAsia"/>
                <w:color w:val="000000" w:themeColor="text1"/>
              </w:rPr>
              <w:t>及以下架空电力线路设计规范》</w:t>
            </w:r>
            <w:r w:rsidRPr="00687B52">
              <w:rPr>
                <w:rFonts w:hint="eastAsia"/>
                <w:color w:val="000000" w:themeColor="text1"/>
              </w:rPr>
              <w:t>GB50061-2010</w:t>
            </w:r>
            <w:r w:rsidRPr="00687B52">
              <w:rPr>
                <w:rFonts w:hint="eastAsia"/>
                <w:color w:val="000000" w:themeColor="text1"/>
              </w:rPr>
              <w:t>第</w:t>
            </w:r>
            <w:r w:rsidRPr="00687B52">
              <w:rPr>
                <w:rFonts w:hint="eastAsia"/>
                <w:color w:val="000000" w:themeColor="text1"/>
              </w:rPr>
              <w:t>12.0.16</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说明管道与架空输电线路的水平及垂直距离</w:t>
            </w:r>
          </w:p>
        </w:tc>
      </w:tr>
      <w:tr w:rsidR="000E02C5" w:rsidRPr="00687B52" w:rsidTr="00563F92">
        <w:trPr>
          <w:trHeight w:val="2345"/>
          <w:jc w:val="center"/>
        </w:trPr>
        <w:tc>
          <w:tcPr>
            <w:tcW w:w="460" w:type="pct"/>
            <w:vAlign w:val="center"/>
          </w:tcPr>
          <w:p w:rsidR="000E02C5" w:rsidRPr="00687B52" w:rsidRDefault="000E02C5" w:rsidP="00D9787F">
            <w:pPr>
              <w:pStyle w:val="a7"/>
              <w:numPr>
                <w:ilvl w:val="0"/>
                <w:numId w:val="11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szCs w:val="24"/>
              </w:rPr>
              <w:t>1</w:t>
            </w:r>
            <w:r w:rsidRPr="00687B52">
              <w:rPr>
                <w:rFonts w:hint="eastAsia"/>
                <w:color w:val="000000" w:themeColor="text1"/>
              </w:rPr>
              <w:t>10 kV-750kV</w:t>
            </w:r>
            <w:r w:rsidRPr="00687B52">
              <w:rPr>
                <w:rFonts w:hint="eastAsia"/>
                <w:color w:val="000000" w:themeColor="text1"/>
              </w:rPr>
              <w:t>架空输电线路与架设在地面上输送易燃、易爆物的管道的最小水平距离（平行时）为最高杆（塔）高，最小垂直距离（至管道任何部分）见下表：</w:t>
            </w:r>
          </w:p>
          <w:tbl>
            <w:tblPr>
              <w:tblStyle w:val="a6"/>
              <w:tblW w:w="6836" w:type="dxa"/>
              <w:tblLook w:val="04A0" w:firstRow="1" w:lastRow="0" w:firstColumn="1" w:lastColumn="0" w:noHBand="0" w:noVBand="1"/>
            </w:tblPr>
            <w:tblGrid>
              <w:gridCol w:w="1135"/>
              <w:gridCol w:w="1135"/>
              <w:gridCol w:w="1135"/>
              <w:gridCol w:w="1136"/>
              <w:gridCol w:w="735"/>
              <w:gridCol w:w="1560"/>
            </w:tblGrid>
            <w:tr w:rsidR="000E02C5" w:rsidRPr="00687B52" w:rsidTr="00B527D4">
              <w:tc>
                <w:tcPr>
                  <w:tcW w:w="1135" w:type="dxa"/>
                  <w:vAlign w:val="center"/>
                </w:tcPr>
                <w:p w:rsidR="000E02C5" w:rsidRPr="00687B52" w:rsidRDefault="000E02C5" w:rsidP="00B527D4">
                  <w:pPr>
                    <w:pStyle w:val="a7"/>
                    <w:rPr>
                      <w:color w:val="000000" w:themeColor="text1"/>
                    </w:rPr>
                  </w:pPr>
                  <w:r w:rsidRPr="00687B52">
                    <w:rPr>
                      <w:rFonts w:hint="eastAsia"/>
                      <w:color w:val="000000" w:themeColor="text1"/>
                    </w:rPr>
                    <w:t>标称电压（</w:t>
                  </w:r>
                  <w:r w:rsidRPr="00687B52">
                    <w:rPr>
                      <w:rFonts w:hint="eastAsia"/>
                      <w:color w:val="000000" w:themeColor="text1"/>
                    </w:rPr>
                    <w:t>KV</w:t>
                  </w:r>
                  <w:r w:rsidRPr="00687B52">
                    <w:rPr>
                      <w:rFonts w:hint="eastAsia"/>
                      <w:color w:val="000000" w:themeColor="text1"/>
                    </w:rPr>
                    <w:t>）</w:t>
                  </w:r>
                </w:p>
              </w:tc>
              <w:tc>
                <w:tcPr>
                  <w:tcW w:w="1135" w:type="dxa"/>
                  <w:vAlign w:val="center"/>
                </w:tcPr>
                <w:p w:rsidR="000E02C5" w:rsidRPr="00687B52" w:rsidRDefault="000E02C5" w:rsidP="00B527D4">
                  <w:pPr>
                    <w:pStyle w:val="a7"/>
                    <w:rPr>
                      <w:color w:val="000000" w:themeColor="text1"/>
                    </w:rPr>
                  </w:pPr>
                  <w:r w:rsidRPr="00687B52">
                    <w:rPr>
                      <w:rFonts w:hint="eastAsia"/>
                      <w:color w:val="000000" w:themeColor="text1"/>
                    </w:rPr>
                    <w:t>110</w:t>
                  </w:r>
                </w:p>
              </w:tc>
              <w:tc>
                <w:tcPr>
                  <w:tcW w:w="1135" w:type="dxa"/>
                  <w:vAlign w:val="center"/>
                </w:tcPr>
                <w:p w:rsidR="000E02C5" w:rsidRPr="00687B52" w:rsidRDefault="000E02C5" w:rsidP="00B527D4">
                  <w:pPr>
                    <w:pStyle w:val="a7"/>
                    <w:rPr>
                      <w:color w:val="000000" w:themeColor="text1"/>
                    </w:rPr>
                  </w:pPr>
                  <w:r w:rsidRPr="00687B52">
                    <w:rPr>
                      <w:rFonts w:hint="eastAsia"/>
                      <w:color w:val="000000" w:themeColor="text1"/>
                    </w:rPr>
                    <w:t>220</w:t>
                  </w:r>
                </w:p>
              </w:tc>
              <w:tc>
                <w:tcPr>
                  <w:tcW w:w="1136" w:type="dxa"/>
                  <w:vAlign w:val="center"/>
                </w:tcPr>
                <w:p w:rsidR="000E02C5" w:rsidRPr="00687B52" w:rsidRDefault="000E02C5" w:rsidP="00B527D4">
                  <w:pPr>
                    <w:pStyle w:val="a7"/>
                    <w:rPr>
                      <w:color w:val="000000" w:themeColor="text1"/>
                    </w:rPr>
                  </w:pPr>
                  <w:r w:rsidRPr="00687B52">
                    <w:rPr>
                      <w:rFonts w:hint="eastAsia"/>
                      <w:color w:val="000000" w:themeColor="text1"/>
                    </w:rPr>
                    <w:t>330</w:t>
                  </w:r>
                </w:p>
              </w:tc>
              <w:tc>
                <w:tcPr>
                  <w:tcW w:w="735" w:type="dxa"/>
                  <w:vAlign w:val="center"/>
                </w:tcPr>
                <w:p w:rsidR="000E02C5" w:rsidRPr="00687B52" w:rsidRDefault="000E02C5" w:rsidP="00B527D4">
                  <w:pPr>
                    <w:pStyle w:val="a7"/>
                    <w:rPr>
                      <w:color w:val="000000" w:themeColor="text1"/>
                    </w:rPr>
                  </w:pPr>
                  <w:r w:rsidRPr="00687B52">
                    <w:rPr>
                      <w:rFonts w:hint="eastAsia"/>
                      <w:color w:val="000000" w:themeColor="text1"/>
                    </w:rPr>
                    <w:t>500</w:t>
                  </w:r>
                </w:p>
              </w:tc>
              <w:tc>
                <w:tcPr>
                  <w:tcW w:w="1560" w:type="dxa"/>
                  <w:vAlign w:val="center"/>
                </w:tcPr>
                <w:p w:rsidR="000E02C5" w:rsidRPr="00687B52" w:rsidRDefault="000E02C5" w:rsidP="00B527D4">
                  <w:pPr>
                    <w:pStyle w:val="a7"/>
                    <w:rPr>
                      <w:color w:val="000000" w:themeColor="text1"/>
                    </w:rPr>
                  </w:pPr>
                  <w:r w:rsidRPr="00687B52">
                    <w:rPr>
                      <w:rFonts w:hint="eastAsia"/>
                      <w:color w:val="000000" w:themeColor="text1"/>
                    </w:rPr>
                    <w:t>750</w:t>
                  </w:r>
                </w:p>
              </w:tc>
            </w:tr>
            <w:tr w:rsidR="000E02C5" w:rsidRPr="00687B52" w:rsidTr="00B527D4">
              <w:tc>
                <w:tcPr>
                  <w:tcW w:w="1135" w:type="dxa"/>
                  <w:vAlign w:val="center"/>
                </w:tcPr>
                <w:p w:rsidR="000E02C5" w:rsidRPr="00687B52" w:rsidRDefault="000E02C5" w:rsidP="00B527D4">
                  <w:pPr>
                    <w:pStyle w:val="a7"/>
                    <w:rPr>
                      <w:color w:val="000000" w:themeColor="text1"/>
                    </w:rPr>
                  </w:pPr>
                  <w:r w:rsidRPr="00687B52">
                    <w:rPr>
                      <w:rFonts w:hint="eastAsia"/>
                      <w:color w:val="000000" w:themeColor="text1"/>
                    </w:rPr>
                    <w:t>最小垂直距离</w:t>
                  </w:r>
                </w:p>
              </w:tc>
              <w:tc>
                <w:tcPr>
                  <w:tcW w:w="1135" w:type="dxa"/>
                  <w:vAlign w:val="center"/>
                </w:tcPr>
                <w:p w:rsidR="000E02C5" w:rsidRPr="00687B52" w:rsidRDefault="000E02C5" w:rsidP="00B527D4">
                  <w:pPr>
                    <w:pStyle w:val="a7"/>
                    <w:rPr>
                      <w:color w:val="000000" w:themeColor="text1"/>
                    </w:rPr>
                  </w:pPr>
                  <w:r w:rsidRPr="00687B52">
                    <w:rPr>
                      <w:rFonts w:hint="eastAsia"/>
                      <w:color w:val="000000" w:themeColor="text1"/>
                    </w:rPr>
                    <w:t>4.0</w:t>
                  </w:r>
                </w:p>
              </w:tc>
              <w:tc>
                <w:tcPr>
                  <w:tcW w:w="1135" w:type="dxa"/>
                  <w:vAlign w:val="center"/>
                </w:tcPr>
                <w:p w:rsidR="000E02C5" w:rsidRPr="00687B52" w:rsidRDefault="000E02C5" w:rsidP="00B527D4">
                  <w:pPr>
                    <w:pStyle w:val="a7"/>
                    <w:rPr>
                      <w:color w:val="000000" w:themeColor="text1"/>
                    </w:rPr>
                  </w:pPr>
                  <w:r w:rsidRPr="00687B52">
                    <w:rPr>
                      <w:rFonts w:hint="eastAsia"/>
                      <w:color w:val="000000" w:themeColor="text1"/>
                    </w:rPr>
                    <w:t>5.0</w:t>
                  </w:r>
                </w:p>
              </w:tc>
              <w:tc>
                <w:tcPr>
                  <w:tcW w:w="1136" w:type="dxa"/>
                  <w:vAlign w:val="center"/>
                </w:tcPr>
                <w:p w:rsidR="000E02C5" w:rsidRPr="00687B52" w:rsidRDefault="000E02C5" w:rsidP="00B527D4">
                  <w:pPr>
                    <w:pStyle w:val="a7"/>
                    <w:rPr>
                      <w:color w:val="000000" w:themeColor="text1"/>
                    </w:rPr>
                  </w:pPr>
                  <w:r w:rsidRPr="00687B52">
                    <w:rPr>
                      <w:rFonts w:hint="eastAsia"/>
                      <w:color w:val="000000" w:themeColor="text1"/>
                    </w:rPr>
                    <w:t>6.0</w:t>
                  </w:r>
                </w:p>
              </w:tc>
              <w:tc>
                <w:tcPr>
                  <w:tcW w:w="735" w:type="dxa"/>
                  <w:vAlign w:val="center"/>
                </w:tcPr>
                <w:p w:rsidR="000E02C5" w:rsidRPr="00687B52" w:rsidRDefault="000E02C5" w:rsidP="00B527D4">
                  <w:pPr>
                    <w:pStyle w:val="a7"/>
                    <w:rPr>
                      <w:color w:val="000000" w:themeColor="text1"/>
                    </w:rPr>
                  </w:pPr>
                  <w:r w:rsidRPr="00687B52">
                    <w:rPr>
                      <w:rFonts w:hint="eastAsia"/>
                      <w:color w:val="000000" w:themeColor="text1"/>
                    </w:rPr>
                    <w:t>7.5</w:t>
                  </w:r>
                </w:p>
              </w:tc>
              <w:tc>
                <w:tcPr>
                  <w:tcW w:w="1560" w:type="dxa"/>
                  <w:vAlign w:val="center"/>
                </w:tcPr>
                <w:p w:rsidR="000E02C5" w:rsidRPr="00687B52" w:rsidRDefault="000E02C5" w:rsidP="00B527D4">
                  <w:pPr>
                    <w:pStyle w:val="a7"/>
                    <w:rPr>
                      <w:color w:val="000000" w:themeColor="text1"/>
                    </w:rPr>
                  </w:pPr>
                  <w:r w:rsidRPr="00687B52">
                    <w:rPr>
                      <w:rFonts w:hint="eastAsia"/>
                      <w:color w:val="000000" w:themeColor="text1"/>
                    </w:rPr>
                    <w:t>9.5</w:t>
                  </w:r>
                </w:p>
              </w:tc>
            </w:tr>
          </w:tbl>
          <w:p w:rsidR="000E02C5" w:rsidRPr="00687B52" w:rsidRDefault="000E02C5" w:rsidP="00B527D4">
            <w:pPr>
              <w:pStyle w:val="a7"/>
              <w:jc w:val="left"/>
              <w:rPr>
                <w:rFonts w:asciiTheme="minorEastAsia" w:eastAsiaTheme="minorEastAsia" w:hAnsiTheme="minorEastAsia"/>
                <w:color w:val="000000" w:themeColor="text1"/>
                <w:szCs w:val="24"/>
              </w:rPr>
            </w:pP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w:t>
            </w:r>
            <w:r w:rsidRPr="00687B52">
              <w:rPr>
                <w:rFonts w:hint="eastAsia"/>
                <w:color w:val="000000" w:themeColor="text1"/>
              </w:rPr>
              <w:t>110kV~750kV</w:t>
            </w:r>
            <w:r w:rsidRPr="00687B52">
              <w:rPr>
                <w:rFonts w:hint="eastAsia"/>
                <w:color w:val="000000" w:themeColor="text1"/>
              </w:rPr>
              <w:t>架空输电线路设计规范》</w:t>
            </w:r>
            <w:r w:rsidRPr="00687B52">
              <w:rPr>
                <w:rFonts w:hint="eastAsia"/>
                <w:color w:val="000000" w:themeColor="text1"/>
              </w:rPr>
              <w:t>GB50545-2010</w:t>
            </w:r>
            <w:r w:rsidRPr="00687B52">
              <w:rPr>
                <w:rFonts w:hint="eastAsia"/>
                <w:color w:val="000000" w:themeColor="text1"/>
              </w:rPr>
              <w:t>第</w:t>
            </w:r>
            <w:r w:rsidRPr="00687B52">
              <w:rPr>
                <w:rFonts w:hint="eastAsia"/>
                <w:color w:val="000000" w:themeColor="text1"/>
              </w:rPr>
              <w:t>13.0.11</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说明管道与架空输电线路的水平及垂直距离</w:t>
            </w:r>
          </w:p>
        </w:tc>
      </w:tr>
      <w:tr w:rsidR="000E02C5" w:rsidRPr="00687B52" w:rsidTr="00563F92">
        <w:trPr>
          <w:jc w:val="center"/>
        </w:trPr>
        <w:tc>
          <w:tcPr>
            <w:tcW w:w="460" w:type="pct"/>
            <w:vAlign w:val="center"/>
          </w:tcPr>
          <w:p w:rsidR="000E02C5" w:rsidRPr="00687B52" w:rsidRDefault="000E02C5" w:rsidP="00D9787F">
            <w:pPr>
              <w:pStyle w:val="a7"/>
              <w:numPr>
                <w:ilvl w:val="0"/>
                <w:numId w:val="11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输油管道与已建管道并行敷设时，土方地区管道间距不宜小于</w:t>
            </w:r>
            <w:r w:rsidRPr="00687B52">
              <w:rPr>
                <w:rFonts w:hint="eastAsia"/>
                <w:color w:val="000000" w:themeColor="text1"/>
              </w:rPr>
              <w:t>6m</w:t>
            </w:r>
            <w:r w:rsidRPr="00687B52">
              <w:rPr>
                <w:rFonts w:hint="eastAsia"/>
                <w:color w:val="000000" w:themeColor="text1"/>
              </w:rPr>
              <w:t>，</w:t>
            </w:r>
            <w:r w:rsidRPr="00687B52">
              <w:rPr>
                <w:rFonts w:asciiTheme="minorEastAsia" w:eastAsiaTheme="minorEastAsia" w:hAnsiTheme="minorEastAsia" w:hint="eastAsia"/>
                <w:color w:val="000000" w:themeColor="text1"/>
                <w:szCs w:val="24"/>
              </w:rPr>
              <w:t>如受制于地形或其他条件不能保</w:t>
            </w:r>
            <w:r w:rsidRPr="00687B52">
              <w:rPr>
                <w:rFonts w:hint="eastAsia"/>
                <w:color w:val="000000" w:themeColor="text1"/>
              </w:rPr>
              <w:t>持</w:t>
            </w:r>
            <w:r w:rsidRPr="00687B52">
              <w:rPr>
                <w:rFonts w:hint="eastAsia"/>
                <w:color w:val="000000" w:themeColor="text1"/>
              </w:rPr>
              <w:t>6m</w:t>
            </w:r>
            <w:r w:rsidRPr="00687B52">
              <w:rPr>
                <w:rFonts w:hint="eastAsia"/>
                <w:color w:val="000000" w:themeColor="text1"/>
              </w:rPr>
              <w:t>间距时，应对已建管道采取保护措施。石方地区与已建管道并行间距小</w:t>
            </w:r>
            <w:r w:rsidRPr="00687B52">
              <w:rPr>
                <w:rFonts w:asciiTheme="minorEastAsia" w:eastAsiaTheme="minorEastAsia" w:hAnsiTheme="minorEastAsia" w:hint="eastAsia"/>
                <w:color w:val="000000" w:themeColor="text1"/>
                <w:szCs w:val="24"/>
              </w:rPr>
              <w:t>于</w:t>
            </w:r>
            <w:r w:rsidRPr="00687B52">
              <w:rPr>
                <w:rFonts w:hint="eastAsia"/>
                <w:color w:val="000000" w:themeColor="text1"/>
              </w:rPr>
              <w:t>20m</w:t>
            </w:r>
            <w:r w:rsidRPr="00687B52">
              <w:rPr>
                <w:rFonts w:hint="eastAsia"/>
                <w:color w:val="000000" w:themeColor="text1"/>
              </w:rPr>
              <w:t>时不宜进行爆破施工。</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 xml:space="preserve">4.1.8 </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同期建设的输油管道，宜采用同沟方式敷设；同期建设的油、气管道，受地形限制时局部地段可采用同沟敷设，管道同沟敷设时其最小净间距不应小于</w:t>
            </w:r>
            <w:r w:rsidRPr="00687B52">
              <w:rPr>
                <w:rFonts w:hint="eastAsia"/>
                <w:color w:val="000000" w:themeColor="text1"/>
              </w:rPr>
              <w:t>0.5m</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 xml:space="preserve">4.1.9 </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管道与通信光缆同沟敷设时，其最小净距（指两断面垂直投影的净距）不应小于</w:t>
            </w:r>
            <w:r w:rsidRPr="00687B52">
              <w:rPr>
                <w:rFonts w:hint="eastAsia"/>
                <w:color w:val="000000" w:themeColor="text1"/>
              </w:rPr>
              <w:t>0.3m</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 xml:space="preserve">4.1.10 </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551A44" w:rsidP="00B527D4">
            <w:pPr>
              <w:pStyle w:val="a7"/>
              <w:rPr>
                <w:b/>
                <w:color w:val="000000" w:themeColor="text1"/>
              </w:rPr>
            </w:pPr>
            <w:r w:rsidRPr="00687B52">
              <w:rPr>
                <w:rFonts w:hint="eastAsia"/>
                <w:b/>
                <w:color w:val="000000" w:themeColor="text1"/>
              </w:rPr>
              <w:t>1.2.17</w:t>
            </w: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b/>
                <w:color w:val="000000" w:themeColor="text1"/>
                <w:szCs w:val="24"/>
              </w:rPr>
              <w:t>输气（</w:t>
            </w:r>
            <w:r w:rsidRPr="00687B52">
              <w:rPr>
                <w:rFonts w:asciiTheme="minorEastAsia" w:hAnsiTheme="minorEastAsia" w:hint="eastAsia"/>
                <w:b/>
                <w:color w:val="000000" w:themeColor="text1"/>
              </w:rPr>
              <w:t>天然气、煤层气和煤质天然气</w:t>
            </w:r>
            <w:r w:rsidRPr="00687B52">
              <w:rPr>
                <w:rFonts w:asciiTheme="minorEastAsia" w:eastAsiaTheme="minorEastAsia" w:hAnsiTheme="minorEastAsia" w:hint="eastAsia"/>
                <w:b/>
                <w:color w:val="000000" w:themeColor="text1"/>
                <w:szCs w:val="24"/>
              </w:rPr>
              <w:t>）管道</w:t>
            </w:r>
          </w:p>
        </w:tc>
        <w:tc>
          <w:tcPr>
            <w:tcW w:w="930" w:type="pct"/>
            <w:vAlign w:val="center"/>
          </w:tcPr>
          <w:p w:rsidR="000E02C5" w:rsidRPr="00687B52" w:rsidRDefault="000E02C5" w:rsidP="00B527D4">
            <w:pPr>
              <w:pStyle w:val="a7"/>
              <w:rPr>
                <w:color w:val="000000" w:themeColor="text1"/>
              </w:rPr>
            </w:pP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线路的选择应符合下列要求：</w:t>
            </w:r>
          </w:p>
          <w:p w:rsidR="000E02C5" w:rsidRPr="00687B52" w:rsidRDefault="000E02C5" w:rsidP="00B527D4">
            <w:pPr>
              <w:pStyle w:val="a7"/>
              <w:jc w:val="left"/>
              <w:rPr>
                <w:color w:val="000000" w:themeColor="text1"/>
              </w:rPr>
            </w:pPr>
            <w:r w:rsidRPr="00687B52">
              <w:rPr>
                <w:rFonts w:hint="eastAsia"/>
                <w:color w:val="000000" w:themeColor="text1"/>
              </w:rPr>
              <w:t>①线路宜避开环境敏感区，当路由受限需要通过环境敏感区时，应征得其主管部门同意并采取保护措施；</w:t>
            </w:r>
          </w:p>
          <w:p w:rsidR="000E02C5" w:rsidRPr="00687B52" w:rsidRDefault="000E02C5" w:rsidP="00B527D4">
            <w:pPr>
              <w:pStyle w:val="a7"/>
              <w:jc w:val="left"/>
              <w:rPr>
                <w:color w:val="000000" w:themeColor="text1"/>
              </w:rPr>
            </w:pPr>
            <w:r w:rsidRPr="00687B52">
              <w:rPr>
                <w:rFonts w:hint="eastAsia"/>
                <w:color w:val="000000" w:themeColor="text1"/>
              </w:rPr>
              <w:t>②大中型穿（跨）越工程和压气站位置的选择，应符合线路总体走向。局部线路走向应根据大中型穿（跨）越工程和压气站的位置进行调整；</w:t>
            </w:r>
          </w:p>
          <w:p w:rsidR="000E02C5" w:rsidRPr="00687B52" w:rsidRDefault="000E02C5" w:rsidP="00B527D4">
            <w:pPr>
              <w:pStyle w:val="a7"/>
              <w:jc w:val="left"/>
              <w:rPr>
                <w:color w:val="000000" w:themeColor="text1"/>
              </w:rPr>
            </w:pPr>
            <w:r w:rsidRPr="00687B52">
              <w:rPr>
                <w:rFonts w:hint="eastAsia"/>
                <w:color w:val="000000" w:themeColor="text1"/>
              </w:rPr>
              <w:t>③线路应避开军事禁区、飞机场、铁路及汽车客运站、海（河）港码头等区域；</w:t>
            </w:r>
          </w:p>
          <w:p w:rsidR="000E02C5" w:rsidRPr="00687B52" w:rsidRDefault="000E02C5" w:rsidP="00B527D4">
            <w:pPr>
              <w:pStyle w:val="a7"/>
              <w:jc w:val="left"/>
              <w:rPr>
                <w:color w:val="000000" w:themeColor="text1"/>
              </w:rPr>
            </w:pPr>
            <w:r w:rsidRPr="00687B52">
              <w:rPr>
                <w:rFonts w:hint="eastAsia"/>
                <w:color w:val="000000" w:themeColor="text1"/>
              </w:rPr>
              <w:t>④除为管道工程专门修建的隧道、桥梁外，不应在铁路或公路的隧道内及桥梁上敷设输气管道。输气管道从铁路或公路桥下交叉通过时，不应改变桥梁下的水文条件；</w:t>
            </w:r>
          </w:p>
          <w:p w:rsidR="000E02C5" w:rsidRPr="00687B52" w:rsidRDefault="000E02C5" w:rsidP="00B527D4">
            <w:pPr>
              <w:pStyle w:val="a7"/>
              <w:jc w:val="left"/>
              <w:rPr>
                <w:color w:val="000000" w:themeColor="text1"/>
              </w:rPr>
            </w:pPr>
            <w:r w:rsidRPr="00687B52">
              <w:rPr>
                <w:rFonts w:hint="eastAsia"/>
                <w:color w:val="000000" w:themeColor="text1"/>
              </w:rPr>
              <w:t>⑤与公路并行的管道路由宜在公路用地地界</w:t>
            </w:r>
            <w:r w:rsidRPr="00687B52">
              <w:rPr>
                <w:rFonts w:hint="eastAsia"/>
                <w:color w:val="000000" w:themeColor="text1"/>
              </w:rPr>
              <w:t>3m</w:t>
            </w:r>
            <w:r w:rsidRPr="00687B52">
              <w:rPr>
                <w:rFonts w:hint="eastAsia"/>
                <w:color w:val="000000" w:themeColor="text1"/>
              </w:rPr>
              <w:t>以外，与铁路并行的管道路由宜在铁路用地界</w:t>
            </w:r>
            <w:r w:rsidRPr="00687B52">
              <w:rPr>
                <w:rFonts w:hint="eastAsia"/>
                <w:color w:val="000000" w:themeColor="text1"/>
              </w:rPr>
              <w:t>3m</w:t>
            </w:r>
            <w:r w:rsidRPr="00687B52">
              <w:rPr>
                <w:rFonts w:hint="eastAsia"/>
                <w:color w:val="000000" w:themeColor="text1"/>
              </w:rPr>
              <w:t>以外，如地形受限或其他条件限制的局部地段不满足要求时，应征得道路管理部门的同意；</w:t>
            </w:r>
          </w:p>
          <w:p w:rsidR="000E02C5" w:rsidRPr="00687B52" w:rsidRDefault="000E02C5" w:rsidP="00B527D4">
            <w:pPr>
              <w:pStyle w:val="a7"/>
              <w:jc w:val="left"/>
              <w:rPr>
                <w:color w:val="000000" w:themeColor="text1"/>
              </w:rPr>
            </w:pPr>
            <w:r w:rsidRPr="00687B52">
              <w:rPr>
                <w:rFonts w:hint="eastAsia"/>
                <w:color w:val="000000" w:themeColor="text1"/>
              </w:rPr>
              <w:t>⑥线路宜避开城乡规划区，当受条件限制，需要在城乡规划区通过时，应征得城乡规划主管部门的同意，并采取安全保护措施；</w:t>
            </w:r>
          </w:p>
          <w:p w:rsidR="000E02C5" w:rsidRPr="00687B52" w:rsidRDefault="000E02C5" w:rsidP="00B527D4">
            <w:pPr>
              <w:pStyle w:val="a7"/>
              <w:jc w:val="left"/>
              <w:rPr>
                <w:color w:val="000000" w:themeColor="text1"/>
              </w:rPr>
            </w:pPr>
            <w:r w:rsidRPr="00687B52">
              <w:rPr>
                <w:rFonts w:hint="eastAsia"/>
                <w:color w:val="000000" w:themeColor="text1"/>
              </w:rPr>
              <w:t>⑦石方地段的管线路由爆破挖沟时，应避免对公众及周围设施的安全造成影响；</w:t>
            </w:r>
          </w:p>
          <w:p w:rsidR="000E02C5" w:rsidRPr="00687B52" w:rsidRDefault="000E02C5" w:rsidP="00B527D4">
            <w:pPr>
              <w:pStyle w:val="a7"/>
              <w:jc w:val="left"/>
              <w:rPr>
                <w:color w:val="000000" w:themeColor="text1"/>
              </w:rPr>
            </w:pPr>
            <w:r w:rsidRPr="00687B52">
              <w:rPr>
                <w:rFonts w:hint="eastAsia"/>
                <w:color w:val="000000" w:themeColor="text1"/>
              </w:rPr>
              <w:t>⑧线路宜避开高压直流换流站接地极、变电站等强干扰区域；</w:t>
            </w:r>
          </w:p>
          <w:p w:rsidR="000E02C5" w:rsidRPr="00687B52" w:rsidRDefault="000E02C5" w:rsidP="00B527D4">
            <w:pPr>
              <w:pStyle w:val="a7"/>
              <w:jc w:val="left"/>
              <w:rPr>
                <w:color w:val="000000" w:themeColor="text1"/>
              </w:rPr>
            </w:pPr>
            <w:r w:rsidRPr="00687B52">
              <w:rPr>
                <w:rFonts w:hint="eastAsia"/>
                <w:color w:val="000000" w:themeColor="text1"/>
              </w:rPr>
              <w:t>⑨埋地管道与建（构）筑物的间距应满足施工和运行管理需求，且管道中心线与建（构）筑物的最小距离不应小于</w:t>
            </w:r>
            <w:r w:rsidRPr="00687B52">
              <w:rPr>
                <w:rFonts w:hint="eastAsia"/>
                <w:color w:val="000000" w:themeColor="text1"/>
              </w:rPr>
              <w:t>5m</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4.1.1</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输气管道应避开滑坡、崩塌、塌陷、泥石流、洪水严重侵蚀等地质灾害地段，宜避开矿山采空区及全新世活动断层。当受到条件限制必须通过上述区域时，应选择危害程度较小的位置通过，并采取相应的防护措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4.1.2</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埋地输气管道与其他埋地管道、电力电缆、通信光（电）缆交叉的间距应符合下列规定：</w:t>
            </w:r>
          </w:p>
          <w:p w:rsidR="000E02C5" w:rsidRPr="00687B52" w:rsidRDefault="000E02C5" w:rsidP="00B527D4">
            <w:pPr>
              <w:pStyle w:val="a7"/>
              <w:jc w:val="left"/>
              <w:rPr>
                <w:color w:val="000000" w:themeColor="text1"/>
              </w:rPr>
            </w:pPr>
            <w:r w:rsidRPr="00687B52">
              <w:rPr>
                <w:rFonts w:hint="eastAsia"/>
                <w:color w:val="000000" w:themeColor="text1"/>
              </w:rPr>
              <w:t>①输气管道与其他管道交叉时，垂直净距不应小于</w:t>
            </w:r>
            <w:r w:rsidRPr="00687B52">
              <w:rPr>
                <w:rFonts w:hint="eastAsia"/>
                <w:color w:val="000000" w:themeColor="text1"/>
              </w:rPr>
              <w:t>0.3m</w:t>
            </w:r>
            <w:r w:rsidRPr="00687B52">
              <w:rPr>
                <w:rFonts w:hint="eastAsia"/>
                <w:color w:val="000000" w:themeColor="text1"/>
              </w:rPr>
              <w:t>，当小于</w:t>
            </w:r>
            <w:r w:rsidRPr="00687B52">
              <w:rPr>
                <w:rFonts w:hint="eastAsia"/>
                <w:color w:val="000000" w:themeColor="text1"/>
              </w:rPr>
              <w:t>0.3m</w:t>
            </w:r>
            <w:r w:rsidRPr="00687B52">
              <w:rPr>
                <w:rFonts w:hint="eastAsia"/>
                <w:color w:val="000000" w:themeColor="text1"/>
              </w:rPr>
              <w:t>时，两管间交叉处应设置坚固的绝缘隔离物，交叉点两侧各延伸</w:t>
            </w:r>
            <w:r w:rsidRPr="00687B52">
              <w:rPr>
                <w:rFonts w:hint="eastAsia"/>
                <w:color w:val="000000" w:themeColor="text1"/>
              </w:rPr>
              <w:t>10m</w:t>
            </w:r>
            <w:r w:rsidRPr="00687B52">
              <w:rPr>
                <w:rFonts w:hint="eastAsia"/>
                <w:color w:val="000000" w:themeColor="text1"/>
              </w:rPr>
              <w:t>以上的管段，应确保管道防腐层无缺陷；</w:t>
            </w:r>
          </w:p>
          <w:p w:rsidR="000E02C5" w:rsidRPr="00687B52" w:rsidRDefault="000E02C5" w:rsidP="00B527D4">
            <w:pPr>
              <w:pStyle w:val="a7"/>
              <w:jc w:val="left"/>
              <w:rPr>
                <w:color w:val="000000" w:themeColor="text1"/>
              </w:rPr>
            </w:pPr>
            <w:r w:rsidRPr="00687B52">
              <w:rPr>
                <w:rFonts w:hint="eastAsia"/>
                <w:color w:val="000000" w:themeColor="text1"/>
              </w:rPr>
              <w:t>②输气管道与电力电缆、通信光（电）缆交叉时，垂直净距不应小于</w:t>
            </w:r>
            <w:r w:rsidRPr="00687B52">
              <w:rPr>
                <w:rFonts w:hint="eastAsia"/>
                <w:color w:val="000000" w:themeColor="text1"/>
              </w:rPr>
              <w:t>0.5m</w:t>
            </w:r>
            <w:r w:rsidRPr="00687B52">
              <w:rPr>
                <w:rFonts w:hint="eastAsia"/>
                <w:color w:val="000000" w:themeColor="text1"/>
              </w:rPr>
              <w:t>，交叉点两侧各延伸</w:t>
            </w:r>
            <w:r w:rsidRPr="00687B52">
              <w:rPr>
                <w:rFonts w:hint="eastAsia"/>
                <w:color w:val="000000" w:themeColor="text1"/>
              </w:rPr>
              <w:t>10m</w:t>
            </w:r>
            <w:r w:rsidRPr="00687B52">
              <w:rPr>
                <w:rFonts w:hint="eastAsia"/>
                <w:color w:val="000000" w:themeColor="text1"/>
              </w:rPr>
              <w:t>以上的管段，应确保管道防腐层无缺陷。</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4.3.11</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trHeight w:val="3166"/>
          <w:jc w:val="center"/>
        </w:trPr>
        <w:tc>
          <w:tcPr>
            <w:tcW w:w="460" w:type="pct"/>
            <w:vAlign w:val="center"/>
          </w:tcPr>
          <w:p w:rsidR="000E02C5" w:rsidRPr="00687B52" w:rsidRDefault="000E02C5" w:rsidP="00D9787F">
            <w:pPr>
              <w:pStyle w:val="a7"/>
              <w:numPr>
                <w:ilvl w:val="0"/>
                <w:numId w:val="11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埋地输气管道与高压交流输电线路杆（塔）和接地体之间的距离宜符合下列规定：</w:t>
            </w:r>
          </w:p>
          <w:p w:rsidR="000E02C5" w:rsidRPr="00687B52" w:rsidRDefault="000E02C5" w:rsidP="00B527D4">
            <w:pPr>
              <w:pStyle w:val="a7"/>
              <w:jc w:val="left"/>
              <w:rPr>
                <w:color w:val="000000" w:themeColor="text1"/>
              </w:rPr>
            </w:pPr>
            <w:r w:rsidRPr="00687B52">
              <w:rPr>
                <w:rFonts w:hint="eastAsia"/>
                <w:color w:val="000000" w:themeColor="text1"/>
              </w:rPr>
              <w:t>①在开阔地区，埋地管道与高压交流输电线路杆（塔）基脚间的最小距离不宜小于杆（塔）高；</w:t>
            </w:r>
          </w:p>
          <w:p w:rsidR="000E02C5" w:rsidRPr="00687B52" w:rsidRDefault="000E02C5" w:rsidP="00B527D4">
            <w:pPr>
              <w:pStyle w:val="a7"/>
              <w:jc w:val="left"/>
              <w:rPr>
                <w:color w:val="000000" w:themeColor="text1"/>
              </w:rPr>
            </w:pPr>
            <w:r w:rsidRPr="00687B52">
              <w:rPr>
                <w:rFonts w:hint="eastAsia"/>
                <w:color w:val="000000" w:themeColor="text1"/>
              </w:rPr>
              <w:t>②在路由受限地区，埋地管道与交流输电系统的各种接地装置之间的最小水平距离不宜小于下表的规定。在采取故障屏蔽、接地、隔离等防护措施后，下表规定的距离可适当减小。</w:t>
            </w:r>
          </w:p>
          <w:tbl>
            <w:tblPr>
              <w:tblStyle w:val="a6"/>
              <w:tblW w:w="0" w:type="auto"/>
              <w:tblLook w:val="04A0" w:firstRow="1" w:lastRow="0" w:firstColumn="1" w:lastColumn="0" w:noHBand="0" w:noVBand="1"/>
            </w:tblPr>
            <w:tblGrid>
              <w:gridCol w:w="2013"/>
              <w:gridCol w:w="1563"/>
              <w:gridCol w:w="1701"/>
              <w:gridCol w:w="1700"/>
            </w:tblGrid>
            <w:tr w:rsidR="000E02C5" w:rsidRPr="00687B52" w:rsidTr="00B527D4">
              <w:tc>
                <w:tcPr>
                  <w:tcW w:w="2013" w:type="dxa"/>
                  <w:vAlign w:val="center"/>
                </w:tcPr>
                <w:p w:rsidR="000E02C5" w:rsidRPr="00687B52" w:rsidRDefault="000E02C5" w:rsidP="00B527D4">
                  <w:pPr>
                    <w:pStyle w:val="a7"/>
                    <w:rPr>
                      <w:color w:val="000000" w:themeColor="text1"/>
                      <w:szCs w:val="24"/>
                    </w:rPr>
                  </w:pPr>
                  <w:r w:rsidRPr="00687B52">
                    <w:rPr>
                      <w:rFonts w:hint="eastAsia"/>
                      <w:color w:val="000000" w:themeColor="text1"/>
                      <w:szCs w:val="24"/>
                    </w:rPr>
                    <w:t>电压等级（</w:t>
                  </w:r>
                  <w:r w:rsidRPr="00687B52">
                    <w:rPr>
                      <w:rFonts w:hint="eastAsia"/>
                      <w:color w:val="000000" w:themeColor="text1"/>
                      <w:szCs w:val="24"/>
                    </w:rPr>
                    <w:t>KV</w:t>
                  </w:r>
                  <w:r w:rsidRPr="00687B52">
                    <w:rPr>
                      <w:rFonts w:hint="eastAsia"/>
                      <w:color w:val="000000" w:themeColor="text1"/>
                      <w:szCs w:val="24"/>
                    </w:rPr>
                    <w:t>）</w:t>
                  </w:r>
                </w:p>
              </w:tc>
              <w:tc>
                <w:tcPr>
                  <w:tcW w:w="1563" w:type="dxa"/>
                  <w:vAlign w:val="center"/>
                </w:tcPr>
                <w:p w:rsidR="000E02C5" w:rsidRPr="00687B52" w:rsidRDefault="000E02C5" w:rsidP="00B527D4">
                  <w:pPr>
                    <w:pStyle w:val="a7"/>
                    <w:rPr>
                      <w:color w:val="000000" w:themeColor="text1"/>
                      <w:szCs w:val="24"/>
                    </w:rPr>
                  </w:pPr>
                  <w:r w:rsidRPr="00687B52">
                    <w:rPr>
                      <w:rFonts w:hint="eastAsia"/>
                      <w:color w:val="000000" w:themeColor="text1"/>
                      <w:szCs w:val="24"/>
                    </w:rPr>
                    <w:t>≤</w:t>
                  </w:r>
                  <w:r w:rsidRPr="00687B52">
                    <w:rPr>
                      <w:rFonts w:hint="eastAsia"/>
                      <w:color w:val="000000" w:themeColor="text1"/>
                      <w:szCs w:val="24"/>
                    </w:rPr>
                    <w:t>220</w:t>
                  </w:r>
                </w:p>
              </w:tc>
              <w:tc>
                <w:tcPr>
                  <w:tcW w:w="1701" w:type="dxa"/>
                  <w:vAlign w:val="center"/>
                </w:tcPr>
                <w:p w:rsidR="000E02C5" w:rsidRPr="00687B52" w:rsidRDefault="000E02C5" w:rsidP="00B527D4">
                  <w:pPr>
                    <w:pStyle w:val="a7"/>
                    <w:rPr>
                      <w:color w:val="000000" w:themeColor="text1"/>
                      <w:szCs w:val="24"/>
                    </w:rPr>
                  </w:pPr>
                  <w:r w:rsidRPr="00687B52">
                    <w:rPr>
                      <w:rFonts w:hint="eastAsia"/>
                      <w:color w:val="000000" w:themeColor="text1"/>
                      <w:szCs w:val="24"/>
                    </w:rPr>
                    <w:t>330</w:t>
                  </w:r>
                </w:p>
              </w:tc>
              <w:tc>
                <w:tcPr>
                  <w:tcW w:w="1700" w:type="dxa"/>
                  <w:vAlign w:val="center"/>
                </w:tcPr>
                <w:p w:rsidR="000E02C5" w:rsidRPr="00687B52" w:rsidRDefault="000E02C5" w:rsidP="00B527D4">
                  <w:pPr>
                    <w:pStyle w:val="a7"/>
                    <w:rPr>
                      <w:color w:val="000000" w:themeColor="text1"/>
                      <w:szCs w:val="24"/>
                    </w:rPr>
                  </w:pPr>
                  <w:r w:rsidRPr="00687B52">
                    <w:rPr>
                      <w:rFonts w:hint="eastAsia"/>
                      <w:color w:val="000000" w:themeColor="text1"/>
                      <w:szCs w:val="24"/>
                    </w:rPr>
                    <w:t>500</w:t>
                  </w:r>
                </w:p>
              </w:tc>
            </w:tr>
            <w:tr w:rsidR="000E02C5" w:rsidRPr="00687B52" w:rsidTr="00B527D4">
              <w:tc>
                <w:tcPr>
                  <w:tcW w:w="2013" w:type="dxa"/>
                  <w:vAlign w:val="center"/>
                </w:tcPr>
                <w:p w:rsidR="000E02C5" w:rsidRPr="00687B52" w:rsidRDefault="000E02C5" w:rsidP="00B527D4">
                  <w:pPr>
                    <w:pStyle w:val="a7"/>
                    <w:rPr>
                      <w:color w:val="000000" w:themeColor="text1"/>
                      <w:szCs w:val="24"/>
                    </w:rPr>
                  </w:pPr>
                  <w:r w:rsidRPr="00687B52">
                    <w:rPr>
                      <w:rFonts w:hint="eastAsia"/>
                      <w:color w:val="000000" w:themeColor="text1"/>
                      <w:szCs w:val="24"/>
                    </w:rPr>
                    <w:t>铁塔或电杆接地</w:t>
                  </w:r>
                </w:p>
              </w:tc>
              <w:tc>
                <w:tcPr>
                  <w:tcW w:w="1563" w:type="dxa"/>
                  <w:vAlign w:val="center"/>
                </w:tcPr>
                <w:p w:rsidR="000E02C5" w:rsidRPr="00687B52" w:rsidRDefault="000E02C5" w:rsidP="00B527D4">
                  <w:pPr>
                    <w:pStyle w:val="a7"/>
                    <w:rPr>
                      <w:color w:val="000000" w:themeColor="text1"/>
                      <w:szCs w:val="24"/>
                    </w:rPr>
                  </w:pPr>
                  <w:r w:rsidRPr="00687B52">
                    <w:rPr>
                      <w:rFonts w:hint="eastAsia"/>
                      <w:color w:val="000000" w:themeColor="text1"/>
                      <w:szCs w:val="24"/>
                    </w:rPr>
                    <w:t>5.0</w:t>
                  </w:r>
                </w:p>
              </w:tc>
              <w:tc>
                <w:tcPr>
                  <w:tcW w:w="1701" w:type="dxa"/>
                  <w:vAlign w:val="center"/>
                </w:tcPr>
                <w:p w:rsidR="000E02C5" w:rsidRPr="00687B52" w:rsidRDefault="000E02C5" w:rsidP="00B527D4">
                  <w:pPr>
                    <w:pStyle w:val="a7"/>
                    <w:rPr>
                      <w:color w:val="000000" w:themeColor="text1"/>
                      <w:szCs w:val="24"/>
                    </w:rPr>
                  </w:pPr>
                  <w:r w:rsidRPr="00687B52">
                    <w:rPr>
                      <w:rFonts w:hint="eastAsia"/>
                      <w:color w:val="000000" w:themeColor="text1"/>
                      <w:szCs w:val="24"/>
                    </w:rPr>
                    <w:t>6.0</w:t>
                  </w:r>
                </w:p>
              </w:tc>
              <w:tc>
                <w:tcPr>
                  <w:tcW w:w="1700" w:type="dxa"/>
                  <w:vAlign w:val="center"/>
                </w:tcPr>
                <w:p w:rsidR="000E02C5" w:rsidRPr="00687B52" w:rsidRDefault="000E02C5" w:rsidP="00B527D4">
                  <w:pPr>
                    <w:pStyle w:val="a7"/>
                    <w:rPr>
                      <w:color w:val="000000" w:themeColor="text1"/>
                      <w:szCs w:val="24"/>
                    </w:rPr>
                  </w:pPr>
                  <w:r w:rsidRPr="00687B52">
                    <w:rPr>
                      <w:rFonts w:hint="eastAsia"/>
                      <w:color w:val="000000" w:themeColor="text1"/>
                      <w:szCs w:val="24"/>
                    </w:rPr>
                    <w:t>7.5</w:t>
                  </w:r>
                </w:p>
              </w:tc>
            </w:tr>
          </w:tbl>
          <w:p w:rsidR="000E02C5" w:rsidRPr="00687B52" w:rsidRDefault="000E02C5" w:rsidP="00B527D4">
            <w:pPr>
              <w:pStyle w:val="a7"/>
              <w:jc w:val="left"/>
              <w:rPr>
                <w:rFonts w:asciiTheme="minorEastAsia" w:eastAsiaTheme="minorEastAsia" w:hAnsiTheme="minorEastAsia"/>
                <w:color w:val="000000" w:themeColor="text1"/>
                <w:szCs w:val="24"/>
              </w:rPr>
            </w:pP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4.3.12</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trHeight w:val="3105"/>
          <w:jc w:val="center"/>
        </w:trPr>
        <w:tc>
          <w:tcPr>
            <w:tcW w:w="460" w:type="pct"/>
            <w:vAlign w:val="center"/>
          </w:tcPr>
          <w:p w:rsidR="000E02C5" w:rsidRPr="00687B52" w:rsidRDefault="000E02C5" w:rsidP="00D9787F">
            <w:pPr>
              <w:pStyle w:val="a7"/>
              <w:numPr>
                <w:ilvl w:val="0"/>
                <w:numId w:val="11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地面敷设的输气管道与架空交流输电线路的距离应符合下表的规定。</w:t>
            </w:r>
          </w:p>
          <w:p w:rsidR="000E02C5" w:rsidRPr="00687B52" w:rsidRDefault="000E02C5"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noProof/>
                <w:color w:val="000000" w:themeColor="text1"/>
                <w:kern w:val="0"/>
                <w:sz w:val="24"/>
                <w:szCs w:val="24"/>
              </w:rPr>
              <w:drawing>
                <wp:inline distT="0" distB="0" distL="0" distR="0">
                  <wp:extent cx="4235354" cy="2461098"/>
                  <wp:effectExtent l="19050" t="0" r="0" b="0"/>
                  <wp:docPr id="1" name="图片 1" descr="C:\Users\Administrator\AppData\Roaming\Tencent\Users\312547442\QQ\WinTemp\RichOle\Q9N5WN2QN~I)H(ZH%W`E0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312547442\QQ\WinTemp\RichOle\Q9N5WN2QN~I)H(ZH%W`E0BU.png"/>
                          <pic:cNvPicPr>
                            <a:picLocks noChangeAspect="1" noChangeArrowheads="1"/>
                          </pic:cNvPicPr>
                        </pic:nvPicPr>
                        <pic:blipFill>
                          <a:blip r:embed="rId58"/>
                          <a:srcRect/>
                          <a:stretch>
                            <a:fillRect/>
                          </a:stretch>
                        </pic:blipFill>
                        <pic:spPr bwMode="auto">
                          <a:xfrm>
                            <a:off x="0" y="0"/>
                            <a:ext cx="4235731" cy="2461317"/>
                          </a:xfrm>
                          <a:prstGeom prst="rect">
                            <a:avLst/>
                          </a:prstGeom>
                          <a:noFill/>
                          <a:ln w="9525">
                            <a:noFill/>
                            <a:miter lim="800000"/>
                            <a:headEnd/>
                            <a:tailEnd/>
                          </a:ln>
                        </pic:spPr>
                      </pic:pic>
                    </a:graphicData>
                  </a:graphic>
                </wp:inline>
              </w:drawing>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4.3.13</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trHeight w:val="372"/>
          <w:jc w:val="center"/>
        </w:trPr>
        <w:tc>
          <w:tcPr>
            <w:tcW w:w="460" w:type="pct"/>
            <w:vAlign w:val="center"/>
          </w:tcPr>
          <w:p w:rsidR="000E02C5" w:rsidRPr="00687B52" w:rsidRDefault="000E02C5" w:rsidP="00D9787F">
            <w:pPr>
              <w:pStyle w:val="a7"/>
              <w:numPr>
                <w:ilvl w:val="0"/>
                <w:numId w:val="11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埋地输气管道与民用炸药储存仓库的最小水平距离应符合下列规定：</w:t>
            </w:r>
          </w:p>
          <w:p w:rsidR="000E02C5" w:rsidRPr="00687B52" w:rsidRDefault="000E02C5" w:rsidP="00B527D4">
            <w:pPr>
              <w:pStyle w:val="a7"/>
              <w:jc w:val="left"/>
              <w:rPr>
                <w:color w:val="000000" w:themeColor="text1"/>
              </w:rPr>
            </w:pPr>
            <w:r w:rsidRPr="00687B52">
              <w:rPr>
                <w:rFonts w:hint="eastAsia"/>
                <w:color w:val="000000" w:themeColor="text1"/>
              </w:rPr>
              <w:t>①埋地输气管道与民用炸药储存仓库的最小水平距离应按下式计算：</w:t>
            </w:r>
            <w:r w:rsidRPr="00687B52">
              <w:rPr>
                <w:rFonts w:hint="eastAsia"/>
                <w:color w:val="000000" w:themeColor="text1"/>
              </w:rPr>
              <w:t xml:space="preserve"> R=-267e</w:t>
            </w:r>
            <w:r w:rsidRPr="00687B52">
              <w:rPr>
                <w:rFonts w:hint="eastAsia"/>
                <w:color w:val="000000" w:themeColor="text1"/>
                <w:vertAlign w:val="superscript"/>
              </w:rPr>
              <w:t>-Q/8240</w:t>
            </w:r>
            <w:r w:rsidRPr="00687B52">
              <w:rPr>
                <w:rFonts w:hint="eastAsia"/>
                <w:color w:val="000000" w:themeColor="text1"/>
              </w:rPr>
              <w:t>+342</w:t>
            </w:r>
            <w:r w:rsidRPr="00687B52">
              <w:rPr>
                <w:rFonts w:hint="eastAsia"/>
                <w:color w:val="000000" w:themeColor="text1"/>
              </w:rPr>
              <w:t>，式中：</w:t>
            </w:r>
            <w:r w:rsidRPr="00687B52">
              <w:rPr>
                <w:rFonts w:hint="eastAsia"/>
                <w:color w:val="000000" w:themeColor="text1"/>
              </w:rPr>
              <w:t>R</w:t>
            </w:r>
            <w:r w:rsidRPr="00687B52">
              <w:rPr>
                <w:rFonts w:hAnsi="Times New Roman" w:cs="Times New Roman"/>
                <w:color w:val="000000" w:themeColor="text1"/>
              </w:rPr>
              <w:t>——</w:t>
            </w:r>
            <w:r w:rsidRPr="00687B52">
              <w:rPr>
                <w:rFonts w:hint="eastAsia"/>
                <w:color w:val="000000" w:themeColor="text1"/>
              </w:rPr>
              <w:t>管道与民用炸药储存仓库的最小水平距离（</w:t>
            </w:r>
            <w:r w:rsidRPr="00687B52">
              <w:rPr>
                <w:rFonts w:hint="eastAsia"/>
                <w:color w:val="000000" w:themeColor="text1"/>
              </w:rPr>
              <w:t>m</w:t>
            </w:r>
            <w:r w:rsidRPr="00687B52">
              <w:rPr>
                <w:rFonts w:hint="eastAsia"/>
                <w:color w:val="000000" w:themeColor="text1"/>
              </w:rPr>
              <w:t>）；</w:t>
            </w:r>
            <w:r w:rsidRPr="00687B52">
              <w:rPr>
                <w:rFonts w:hint="eastAsia"/>
                <w:color w:val="000000" w:themeColor="text1"/>
              </w:rPr>
              <w:t>e</w:t>
            </w:r>
            <w:r w:rsidRPr="00687B52">
              <w:rPr>
                <w:rFonts w:hAnsi="Times New Roman" w:cs="Times New Roman"/>
                <w:color w:val="000000" w:themeColor="text1"/>
              </w:rPr>
              <w:t>——</w:t>
            </w:r>
            <w:r w:rsidRPr="00687B52">
              <w:rPr>
                <w:rFonts w:hint="eastAsia"/>
                <w:color w:val="000000" w:themeColor="text1"/>
              </w:rPr>
              <w:t>常数，取</w:t>
            </w:r>
            <w:r w:rsidRPr="00687B52">
              <w:rPr>
                <w:rFonts w:hint="eastAsia"/>
                <w:color w:val="000000" w:themeColor="text1"/>
              </w:rPr>
              <w:t>2.718</w:t>
            </w:r>
            <w:r w:rsidRPr="00687B52">
              <w:rPr>
                <w:rFonts w:hint="eastAsia"/>
                <w:color w:val="000000" w:themeColor="text1"/>
              </w:rPr>
              <w:t>；</w:t>
            </w:r>
            <w:r w:rsidRPr="00687B52">
              <w:rPr>
                <w:rFonts w:hint="eastAsia"/>
                <w:color w:val="000000" w:themeColor="text1"/>
              </w:rPr>
              <w:t>Q</w:t>
            </w:r>
            <w:r w:rsidRPr="00687B52">
              <w:rPr>
                <w:rFonts w:hAnsi="Times New Roman" w:cs="Times New Roman"/>
                <w:color w:val="000000" w:themeColor="text1"/>
              </w:rPr>
              <w:t>——</w:t>
            </w:r>
            <w:r w:rsidRPr="00687B52">
              <w:rPr>
                <w:rFonts w:hint="eastAsia"/>
                <w:color w:val="000000" w:themeColor="text1"/>
              </w:rPr>
              <w:t>炸药库容量（</w:t>
            </w:r>
            <w:r w:rsidRPr="00687B52">
              <w:rPr>
                <w:rFonts w:hint="eastAsia"/>
                <w:color w:val="000000" w:themeColor="text1"/>
              </w:rPr>
              <w:t>kg</w:t>
            </w:r>
            <w:r w:rsidRPr="00687B52">
              <w:rPr>
                <w:rFonts w:hint="eastAsia"/>
                <w:color w:val="000000" w:themeColor="text1"/>
              </w:rPr>
              <w:t>），</w:t>
            </w:r>
            <w:r w:rsidRPr="00687B52">
              <w:rPr>
                <w:rFonts w:hint="eastAsia"/>
                <w:color w:val="000000" w:themeColor="text1"/>
              </w:rPr>
              <w:t>1000kg</w:t>
            </w:r>
            <w:r w:rsidRPr="00687B52">
              <w:rPr>
                <w:rFonts w:hint="eastAsia"/>
                <w:color w:val="000000" w:themeColor="text1"/>
              </w:rPr>
              <w:t>≤</w:t>
            </w:r>
            <w:r w:rsidRPr="00687B52">
              <w:rPr>
                <w:rFonts w:hint="eastAsia"/>
                <w:color w:val="000000" w:themeColor="text1"/>
              </w:rPr>
              <w:t>Q</w:t>
            </w:r>
            <w:r w:rsidRPr="00687B52">
              <w:rPr>
                <w:rFonts w:hint="eastAsia"/>
                <w:color w:val="000000" w:themeColor="text1"/>
              </w:rPr>
              <w:t>≤</w:t>
            </w:r>
            <w:r w:rsidRPr="00687B52">
              <w:rPr>
                <w:rFonts w:hint="eastAsia"/>
                <w:color w:val="000000" w:themeColor="text1"/>
              </w:rPr>
              <w:t>10000kg</w:t>
            </w:r>
            <w:r w:rsidRPr="00687B52">
              <w:rPr>
                <w:rFonts w:hint="eastAsia"/>
                <w:color w:val="000000" w:themeColor="text1"/>
              </w:rPr>
              <w:t>。</w:t>
            </w:r>
          </w:p>
          <w:p w:rsidR="000E02C5" w:rsidRPr="00687B52" w:rsidRDefault="000E02C5" w:rsidP="00B527D4">
            <w:pPr>
              <w:pStyle w:val="a7"/>
              <w:jc w:val="left"/>
              <w:rPr>
                <w:color w:val="000000" w:themeColor="text1"/>
              </w:rPr>
            </w:pPr>
            <w:r w:rsidRPr="00687B52">
              <w:rPr>
                <w:rFonts w:hint="eastAsia"/>
                <w:color w:val="000000" w:themeColor="text1"/>
              </w:rPr>
              <w:t>②当炸药库与管道之间存在下列情况之一时，按上式计算的水平距离值可折减</w:t>
            </w:r>
            <w:r w:rsidRPr="00687B52">
              <w:rPr>
                <w:rFonts w:hint="eastAsia"/>
                <w:color w:val="000000" w:themeColor="text1"/>
              </w:rPr>
              <w:t>15%~20%</w:t>
            </w:r>
            <w:r w:rsidRPr="00687B52">
              <w:rPr>
                <w:rFonts w:hint="eastAsia"/>
                <w:color w:val="000000" w:themeColor="text1"/>
              </w:rPr>
              <w:t>：</w:t>
            </w:r>
            <w:r w:rsidRPr="00687B52">
              <w:rPr>
                <w:rFonts w:hint="eastAsia"/>
                <w:color w:val="000000" w:themeColor="text1"/>
              </w:rPr>
              <w:t>a</w:t>
            </w:r>
            <w:r w:rsidRPr="00687B52">
              <w:rPr>
                <w:rFonts w:hint="eastAsia"/>
                <w:color w:val="000000" w:themeColor="text1"/>
              </w:rPr>
              <w:t>炸药库地面标高大于管道的管顶标高；</w:t>
            </w:r>
            <w:r w:rsidRPr="00687B52">
              <w:rPr>
                <w:rFonts w:hint="eastAsia"/>
                <w:color w:val="000000" w:themeColor="text1"/>
              </w:rPr>
              <w:t>b</w:t>
            </w:r>
            <w:r w:rsidRPr="00687B52">
              <w:rPr>
                <w:rFonts w:hint="eastAsia"/>
                <w:color w:val="000000" w:themeColor="text1"/>
              </w:rPr>
              <w:t>炸药库与管道间存在深度大于管沟深度的沟渠；</w:t>
            </w:r>
            <w:r w:rsidRPr="00687B52">
              <w:rPr>
                <w:rFonts w:hint="eastAsia"/>
                <w:color w:val="000000" w:themeColor="text1"/>
              </w:rPr>
              <w:t>c</w:t>
            </w:r>
            <w:r w:rsidRPr="00687B52">
              <w:rPr>
                <w:rFonts w:hint="eastAsia"/>
                <w:color w:val="000000" w:themeColor="text1"/>
              </w:rPr>
              <w:t>炸药库与管道间存在宽度大于</w:t>
            </w:r>
            <w:r w:rsidRPr="00687B52">
              <w:rPr>
                <w:rFonts w:hint="eastAsia"/>
                <w:color w:val="000000" w:themeColor="text1"/>
              </w:rPr>
              <w:t>50m</w:t>
            </w:r>
            <w:r w:rsidRPr="00687B52">
              <w:rPr>
                <w:rFonts w:hint="eastAsia"/>
                <w:color w:val="000000" w:themeColor="text1"/>
              </w:rPr>
              <w:t>，且高度大于</w:t>
            </w:r>
            <w:r w:rsidRPr="00687B52">
              <w:rPr>
                <w:rFonts w:hint="eastAsia"/>
                <w:color w:val="000000" w:themeColor="text1"/>
              </w:rPr>
              <w:t>10m</w:t>
            </w:r>
            <w:r w:rsidRPr="00687B52">
              <w:rPr>
                <w:rFonts w:hint="eastAsia"/>
                <w:color w:val="000000" w:themeColor="text1"/>
              </w:rPr>
              <w:t>的山林。</w:t>
            </w:r>
          </w:p>
          <w:p w:rsidR="000E02C5" w:rsidRPr="00687B52" w:rsidRDefault="000E02C5" w:rsidP="00B527D4">
            <w:pPr>
              <w:pStyle w:val="a7"/>
              <w:jc w:val="left"/>
              <w:rPr>
                <w:color w:val="000000" w:themeColor="text1"/>
              </w:rPr>
            </w:pPr>
            <w:r w:rsidRPr="00687B52">
              <w:rPr>
                <w:rFonts w:hint="eastAsia"/>
                <w:color w:val="000000" w:themeColor="text1"/>
              </w:rPr>
              <w:t>③无论现状炸药库的库存药量有多少，炸药库容量</w:t>
            </w:r>
            <w:r w:rsidRPr="00687B52">
              <w:rPr>
                <w:rFonts w:hint="eastAsia"/>
                <w:color w:val="000000" w:themeColor="text1"/>
              </w:rPr>
              <w:t>Q</w:t>
            </w:r>
            <w:r w:rsidRPr="00687B52">
              <w:rPr>
                <w:rFonts w:hint="eastAsia"/>
                <w:color w:val="000000" w:themeColor="text1"/>
              </w:rPr>
              <w:t>应按政府部门批准的建库规模取值。库存药量不足</w:t>
            </w:r>
            <w:r w:rsidRPr="00687B52">
              <w:rPr>
                <w:rFonts w:hint="eastAsia"/>
                <w:color w:val="000000" w:themeColor="text1"/>
              </w:rPr>
              <w:t>1000kg</w:t>
            </w:r>
            <w:r w:rsidRPr="00687B52">
              <w:rPr>
                <w:rFonts w:hint="eastAsia"/>
                <w:color w:val="000000" w:themeColor="text1"/>
              </w:rPr>
              <w:t>应按</w:t>
            </w:r>
            <w:r w:rsidRPr="00687B52">
              <w:rPr>
                <w:rFonts w:hint="eastAsia"/>
                <w:color w:val="000000" w:themeColor="text1"/>
              </w:rPr>
              <w:t>1000kg</w:t>
            </w:r>
            <w:r w:rsidRPr="00687B52">
              <w:rPr>
                <w:rFonts w:hint="eastAsia"/>
                <w:color w:val="000000" w:themeColor="text1"/>
              </w:rPr>
              <w:t>取值计算。</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4.3.18</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trHeight w:val="561"/>
          <w:jc w:val="center"/>
        </w:trPr>
        <w:tc>
          <w:tcPr>
            <w:tcW w:w="460" w:type="pct"/>
            <w:vAlign w:val="center"/>
          </w:tcPr>
          <w:p w:rsidR="000E02C5" w:rsidRPr="00687B52" w:rsidRDefault="000E02C5" w:rsidP="00D9787F">
            <w:pPr>
              <w:pStyle w:val="a7"/>
              <w:numPr>
                <w:ilvl w:val="0"/>
                <w:numId w:val="11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不受地形、地物或规划限制地段的并行管道，最小净距不应小于</w:t>
            </w:r>
            <w:r w:rsidRPr="00687B52">
              <w:rPr>
                <w:rFonts w:hint="eastAsia"/>
                <w:color w:val="000000" w:themeColor="text1"/>
              </w:rPr>
              <w:t>6m</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4.4.2</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trHeight w:val="561"/>
          <w:jc w:val="center"/>
        </w:trPr>
        <w:tc>
          <w:tcPr>
            <w:tcW w:w="460" w:type="pct"/>
            <w:vAlign w:val="center"/>
          </w:tcPr>
          <w:p w:rsidR="000E02C5" w:rsidRPr="00687B52" w:rsidRDefault="000E02C5" w:rsidP="00D9787F">
            <w:pPr>
              <w:pStyle w:val="a7"/>
              <w:numPr>
                <w:ilvl w:val="0"/>
                <w:numId w:val="11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szCs w:val="24"/>
              </w:rPr>
            </w:pPr>
            <w:r w:rsidRPr="00687B52">
              <w:rPr>
                <w:rFonts w:hint="eastAsia"/>
                <w:color w:val="000000" w:themeColor="text1"/>
                <w:szCs w:val="24"/>
              </w:rPr>
              <w:t>受地形、地物或规划限制地段的并行管道，采取安全措施后净距可小于</w:t>
            </w:r>
            <w:r w:rsidRPr="00687B52">
              <w:rPr>
                <w:rFonts w:hint="eastAsia"/>
                <w:color w:val="000000" w:themeColor="text1"/>
                <w:szCs w:val="24"/>
              </w:rPr>
              <w:t>6m</w:t>
            </w:r>
            <w:r w:rsidRPr="00687B52">
              <w:rPr>
                <w:rFonts w:hint="eastAsia"/>
                <w:color w:val="000000" w:themeColor="text1"/>
                <w:szCs w:val="24"/>
              </w:rPr>
              <w:t>，同期建设时可同沟敷设，同沟敷设的并行管道，间距应满足施工及维护需求且最小净距不应小于</w:t>
            </w:r>
            <w:r w:rsidRPr="00687B52">
              <w:rPr>
                <w:rFonts w:hint="eastAsia"/>
                <w:color w:val="000000" w:themeColor="text1"/>
                <w:szCs w:val="24"/>
              </w:rPr>
              <w:t>0.5m</w:t>
            </w:r>
            <w:r w:rsidRPr="00687B52">
              <w:rPr>
                <w:rFonts w:hint="eastAsia"/>
                <w:color w:val="000000" w:themeColor="text1"/>
                <w:szCs w:val="24"/>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4.4.3</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trHeight w:val="561"/>
          <w:jc w:val="center"/>
        </w:trPr>
        <w:tc>
          <w:tcPr>
            <w:tcW w:w="460" w:type="pct"/>
            <w:vAlign w:val="center"/>
          </w:tcPr>
          <w:p w:rsidR="000E02C5" w:rsidRPr="00687B52" w:rsidRDefault="000E02C5" w:rsidP="00D9787F">
            <w:pPr>
              <w:pStyle w:val="a7"/>
              <w:numPr>
                <w:ilvl w:val="0"/>
                <w:numId w:val="11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szCs w:val="24"/>
              </w:rPr>
            </w:pPr>
            <w:r w:rsidRPr="00687B52">
              <w:rPr>
                <w:rFonts w:hint="eastAsia"/>
                <w:color w:val="000000" w:themeColor="text1"/>
                <w:szCs w:val="24"/>
              </w:rPr>
              <w:t>共用隧道、跨越管桥及涵洞设施的，净距不应小于</w:t>
            </w:r>
            <w:r w:rsidRPr="00687B52">
              <w:rPr>
                <w:rFonts w:hint="eastAsia"/>
                <w:color w:val="000000" w:themeColor="text1"/>
                <w:szCs w:val="24"/>
              </w:rPr>
              <w:t>0.5m</w:t>
            </w:r>
            <w:r w:rsidRPr="00687B52">
              <w:rPr>
                <w:rFonts w:hint="eastAsia"/>
                <w:color w:val="000000" w:themeColor="text1"/>
                <w:szCs w:val="24"/>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4.4.4</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trHeight w:val="561"/>
          <w:jc w:val="center"/>
        </w:trPr>
        <w:tc>
          <w:tcPr>
            <w:tcW w:w="460" w:type="pct"/>
            <w:vAlign w:val="center"/>
          </w:tcPr>
          <w:p w:rsidR="000E02C5" w:rsidRPr="00687B52" w:rsidRDefault="000E02C5" w:rsidP="00D9787F">
            <w:pPr>
              <w:pStyle w:val="a7"/>
              <w:numPr>
                <w:ilvl w:val="0"/>
                <w:numId w:val="11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szCs w:val="24"/>
              </w:rPr>
            </w:pPr>
            <w:r w:rsidRPr="00687B52">
              <w:rPr>
                <w:rFonts w:hint="eastAsia"/>
                <w:color w:val="000000" w:themeColor="text1"/>
                <w:szCs w:val="24"/>
              </w:rPr>
              <w:t>线路截断阀（室）应选择在交通方便、地形开阔、地势相对较高的地方，防洪设防标准不应低于重现期</w:t>
            </w:r>
            <w:r w:rsidRPr="00687B52">
              <w:rPr>
                <w:rFonts w:hint="eastAsia"/>
                <w:color w:val="000000" w:themeColor="text1"/>
                <w:szCs w:val="24"/>
              </w:rPr>
              <w:t>25</w:t>
            </w:r>
            <w:r w:rsidRPr="00687B52">
              <w:rPr>
                <w:rFonts w:hint="eastAsia"/>
                <w:color w:val="000000" w:themeColor="text1"/>
                <w:szCs w:val="24"/>
              </w:rPr>
              <w:t>年一遇。线路截断阀（室）选址受限时，应符合下列规定：</w:t>
            </w:r>
          </w:p>
          <w:p w:rsidR="000E02C5" w:rsidRPr="00687B52" w:rsidRDefault="000E02C5" w:rsidP="00B527D4">
            <w:pPr>
              <w:pStyle w:val="a7"/>
              <w:jc w:val="left"/>
              <w:rPr>
                <w:color w:val="000000" w:themeColor="text1"/>
                <w:szCs w:val="24"/>
              </w:rPr>
            </w:pPr>
            <w:r w:rsidRPr="00687B52">
              <w:rPr>
                <w:rFonts w:hint="eastAsia"/>
                <w:color w:val="000000" w:themeColor="text1"/>
                <w:szCs w:val="24"/>
              </w:rPr>
              <w:t>①与电力、通信线路杆（塔）的间距不应小于杆（塔）的高度再加</w:t>
            </w:r>
            <w:r w:rsidRPr="00687B52">
              <w:rPr>
                <w:rFonts w:hint="eastAsia"/>
                <w:color w:val="000000" w:themeColor="text1"/>
                <w:szCs w:val="24"/>
              </w:rPr>
              <w:t>3m</w:t>
            </w:r>
            <w:r w:rsidRPr="00687B52">
              <w:rPr>
                <w:rFonts w:hint="eastAsia"/>
                <w:color w:val="000000" w:themeColor="text1"/>
                <w:szCs w:val="24"/>
              </w:rPr>
              <w:t>；</w:t>
            </w:r>
          </w:p>
          <w:p w:rsidR="000E02C5" w:rsidRPr="00687B52" w:rsidRDefault="000E02C5" w:rsidP="00B527D4">
            <w:pPr>
              <w:pStyle w:val="a7"/>
              <w:jc w:val="left"/>
              <w:rPr>
                <w:color w:val="000000" w:themeColor="text1"/>
                <w:szCs w:val="24"/>
              </w:rPr>
            </w:pPr>
            <w:r w:rsidRPr="00687B52">
              <w:rPr>
                <w:rFonts w:hint="eastAsia"/>
                <w:color w:val="000000" w:themeColor="text1"/>
                <w:szCs w:val="24"/>
              </w:rPr>
              <w:t>②距铁路用电界外不应小于</w:t>
            </w:r>
            <w:r w:rsidRPr="00687B52">
              <w:rPr>
                <w:rFonts w:hint="eastAsia"/>
                <w:color w:val="000000" w:themeColor="text1"/>
                <w:szCs w:val="24"/>
              </w:rPr>
              <w:t>3m</w:t>
            </w:r>
            <w:r w:rsidRPr="00687B52">
              <w:rPr>
                <w:rFonts w:hint="eastAsia"/>
                <w:color w:val="000000" w:themeColor="text1"/>
                <w:szCs w:val="24"/>
              </w:rPr>
              <w:t>；</w:t>
            </w:r>
          </w:p>
          <w:p w:rsidR="000E02C5" w:rsidRPr="00687B52" w:rsidRDefault="000E02C5" w:rsidP="00B527D4">
            <w:pPr>
              <w:pStyle w:val="a7"/>
              <w:jc w:val="left"/>
              <w:rPr>
                <w:color w:val="000000" w:themeColor="text1"/>
                <w:szCs w:val="24"/>
              </w:rPr>
            </w:pPr>
            <w:r w:rsidRPr="00687B52">
              <w:rPr>
                <w:rFonts w:hint="eastAsia"/>
                <w:color w:val="000000" w:themeColor="text1"/>
                <w:szCs w:val="24"/>
              </w:rPr>
              <w:t>③距公路用地界外不应小于</w:t>
            </w:r>
            <w:r w:rsidRPr="00687B52">
              <w:rPr>
                <w:rFonts w:hint="eastAsia"/>
                <w:color w:val="000000" w:themeColor="text1"/>
                <w:szCs w:val="24"/>
              </w:rPr>
              <w:t>3m</w:t>
            </w:r>
            <w:r w:rsidRPr="00687B52">
              <w:rPr>
                <w:rFonts w:hint="eastAsia"/>
                <w:color w:val="000000" w:themeColor="text1"/>
                <w:szCs w:val="24"/>
              </w:rPr>
              <w:t>；</w:t>
            </w:r>
          </w:p>
          <w:p w:rsidR="000E02C5" w:rsidRPr="00687B52" w:rsidRDefault="000E02C5" w:rsidP="00B527D4">
            <w:pPr>
              <w:pStyle w:val="a7"/>
              <w:jc w:val="left"/>
              <w:rPr>
                <w:color w:val="000000" w:themeColor="text1"/>
                <w:szCs w:val="24"/>
              </w:rPr>
            </w:pPr>
            <w:r w:rsidRPr="00687B52">
              <w:rPr>
                <w:rFonts w:hint="eastAsia"/>
                <w:color w:val="000000" w:themeColor="text1"/>
                <w:szCs w:val="24"/>
              </w:rPr>
              <w:t>④与建筑物的水平距离不应小于</w:t>
            </w:r>
            <w:r w:rsidRPr="00687B52">
              <w:rPr>
                <w:rFonts w:hint="eastAsia"/>
                <w:color w:val="000000" w:themeColor="text1"/>
                <w:szCs w:val="24"/>
              </w:rPr>
              <w:t>12m</w:t>
            </w:r>
            <w:r w:rsidRPr="00687B52">
              <w:rPr>
                <w:rFonts w:hint="eastAsia"/>
                <w:color w:val="000000" w:themeColor="text1"/>
                <w:szCs w:val="24"/>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4.5.2</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trHeight w:val="561"/>
          <w:jc w:val="center"/>
        </w:trPr>
        <w:tc>
          <w:tcPr>
            <w:tcW w:w="460" w:type="pct"/>
            <w:vAlign w:val="center"/>
          </w:tcPr>
          <w:p w:rsidR="000E02C5" w:rsidRPr="00687B52" w:rsidRDefault="000E02C5" w:rsidP="00B527D4">
            <w:pPr>
              <w:pStyle w:val="a7"/>
              <w:rPr>
                <w:b/>
                <w:color w:val="000000" w:themeColor="text1"/>
              </w:rPr>
            </w:pPr>
            <w:r w:rsidRPr="00687B52">
              <w:rPr>
                <w:rFonts w:hint="eastAsia"/>
                <w:b/>
                <w:color w:val="000000" w:themeColor="text1"/>
              </w:rPr>
              <w:t>1.3</w:t>
            </w:r>
          </w:p>
        </w:tc>
        <w:tc>
          <w:tcPr>
            <w:tcW w:w="2750" w:type="pct"/>
            <w:vAlign w:val="center"/>
          </w:tcPr>
          <w:p w:rsidR="000E02C5" w:rsidRPr="00687B52" w:rsidRDefault="000E02C5" w:rsidP="00B527D4">
            <w:pPr>
              <w:pStyle w:val="a7"/>
              <w:jc w:val="left"/>
              <w:rPr>
                <w:b/>
                <w:color w:val="000000" w:themeColor="text1"/>
              </w:rPr>
            </w:pPr>
            <w:r w:rsidRPr="00687B52">
              <w:rPr>
                <w:rFonts w:hint="eastAsia"/>
                <w:b/>
                <w:color w:val="000000" w:themeColor="text1"/>
              </w:rPr>
              <w:t>危险化学品管道（厂外公共区域）</w:t>
            </w:r>
          </w:p>
        </w:tc>
        <w:tc>
          <w:tcPr>
            <w:tcW w:w="930" w:type="pct"/>
            <w:vAlign w:val="center"/>
          </w:tcPr>
          <w:p w:rsidR="000E02C5" w:rsidRPr="00687B52" w:rsidRDefault="000E02C5" w:rsidP="00B527D4">
            <w:pPr>
              <w:pStyle w:val="a7"/>
              <w:rPr>
                <w:color w:val="000000" w:themeColor="text1"/>
              </w:rPr>
            </w:pP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trHeight w:val="561"/>
          <w:jc w:val="center"/>
        </w:trPr>
        <w:tc>
          <w:tcPr>
            <w:tcW w:w="460" w:type="pct"/>
            <w:vAlign w:val="center"/>
          </w:tcPr>
          <w:p w:rsidR="000E02C5" w:rsidRPr="00687B52" w:rsidRDefault="000E02C5" w:rsidP="00D9787F">
            <w:pPr>
              <w:pStyle w:val="a7"/>
              <w:numPr>
                <w:ilvl w:val="0"/>
                <w:numId w:val="126"/>
              </w:numPr>
              <w:rPr>
                <w:color w:val="000000" w:themeColor="text1"/>
                <w:szCs w:val="24"/>
              </w:rPr>
            </w:pPr>
          </w:p>
        </w:tc>
        <w:tc>
          <w:tcPr>
            <w:tcW w:w="2750" w:type="pct"/>
            <w:vAlign w:val="center"/>
          </w:tcPr>
          <w:p w:rsidR="000E02C5" w:rsidRPr="00687B52" w:rsidRDefault="000E02C5" w:rsidP="00B527D4">
            <w:pPr>
              <w:pStyle w:val="a7"/>
              <w:jc w:val="left"/>
              <w:rPr>
                <w:rFonts w:ascii="Arial"/>
                <w:color w:val="000000" w:themeColor="text1"/>
                <w:kern w:val="0"/>
              </w:rPr>
            </w:pPr>
            <w:r w:rsidRPr="00687B52">
              <w:rPr>
                <w:rFonts w:hint="eastAsia"/>
                <w:color w:val="000000" w:themeColor="text1"/>
              </w:rPr>
              <w:t>禁止光气、氯气等剧毒气体化学品管道穿（跨）越公共区域。严格控制氨、硫化氢等其他有毒气体的危险化学品管道穿（跨）越公共区域。</w:t>
            </w:r>
          </w:p>
        </w:tc>
        <w:tc>
          <w:tcPr>
            <w:tcW w:w="93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《危险化学品输送管道安全管理规定》第</w:t>
            </w:r>
            <w:r w:rsidRPr="00687B52">
              <w:rPr>
                <w:rFonts w:hint="eastAsia"/>
                <w:color w:val="000000" w:themeColor="text1"/>
              </w:rPr>
              <w:t>7</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trHeight w:val="561"/>
          <w:jc w:val="center"/>
        </w:trPr>
        <w:tc>
          <w:tcPr>
            <w:tcW w:w="460" w:type="pct"/>
            <w:vAlign w:val="center"/>
          </w:tcPr>
          <w:p w:rsidR="000E02C5" w:rsidRPr="00687B52" w:rsidRDefault="000E02C5" w:rsidP="00D9787F">
            <w:pPr>
              <w:pStyle w:val="a7"/>
              <w:numPr>
                <w:ilvl w:val="0"/>
                <w:numId w:val="126"/>
              </w:numPr>
              <w:rPr>
                <w:color w:val="000000" w:themeColor="text1"/>
                <w:szCs w:val="24"/>
              </w:rPr>
            </w:pPr>
          </w:p>
        </w:tc>
        <w:tc>
          <w:tcPr>
            <w:tcW w:w="2750" w:type="pct"/>
            <w:vAlign w:val="center"/>
          </w:tcPr>
          <w:p w:rsidR="000E02C5" w:rsidRPr="00687B52" w:rsidRDefault="000E02C5" w:rsidP="00B527D4">
            <w:pPr>
              <w:pStyle w:val="a7"/>
              <w:jc w:val="left"/>
              <w:rPr>
                <w:rFonts w:hAnsi="Times New Roman"/>
                <w:color w:val="000000" w:themeColor="text1"/>
              </w:rPr>
            </w:pPr>
            <w:r w:rsidRPr="00687B52">
              <w:rPr>
                <w:rFonts w:hint="eastAsia"/>
                <w:color w:val="000000" w:themeColor="text1"/>
              </w:rPr>
              <w:t>危险化学品管道建设的选线应当避开地震活动断层和容易发生洪灾、地质灾害的区域；确实无法避开的，应当采取可靠的工程处理措施，确保不受地质灾害影响。危险化学品管道与居民区、学校等公共场所以及建筑物、构筑物、铁路、公路、航道、港口、市政设施、通讯设施、军事设施、电力设施的距离，应当符合有关法律、行政法规和国家标准、行业标准的规定。</w:t>
            </w:r>
          </w:p>
        </w:tc>
        <w:tc>
          <w:tcPr>
            <w:tcW w:w="93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《危险化学品输送管道安全管理规定》第</w:t>
            </w:r>
            <w:r w:rsidRPr="00687B52">
              <w:rPr>
                <w:rFonts w:hint="eastAsia"/>
                <w:color w:val="000000" w:themeColor="text1"/>
              </w:rPr>
              <w:t>8</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trHeight w:val="561"/>
          <w:jc w:val="center"/>
        </w:trPr>
        <w:tc>
          <w:tcPr>
            <w:tcW w:w="460" w:type="pct"/>
            <w:vAlign w:val="center"/>
          </w:tcPr>
          <w:p w:rsidR="000E02C5" w:rsidRPr="00687B52" w:rsidRDefault="000E02C5" w:rsidP="00D9787F">
            <w:pPr>
              <w:pStyle w:val="a7"/>
              <w:numPr>
                <w:ilvl w:val="0"/>
                <w:numId w:val="126"/>
              </w:numPr>
              <w:rPr>
                <w:color w:val="000000" w:themeColor="text1"/>
                <w:szCs w:val="24"/>
              </w:rPr>
            </w:pPr>
          </w:p>
        </w:tc>
        <w:tc>
          <w:tcPr>
            <w:tcW w:w="2750" w:type="pct"/>
            <w:vAlign w:val="center"/>
          </w:tcPr>
          <w:p w:rsidR="000E02C5" w:rsidRPr="00687B52" w:rsidRDefault="000E02C5" w:rsidP="00B527D4">
            <w:pPr>
              <w:pStyle w:val="a7"/>
              <w:jc w:val="left"/>
              <w:rPr>
                <w:rFonts w:eastAsiaTheme="minorEastAsia"/>
                <w:color w:val="000000" w:themeColor="text1"/>
              </w:rPr>
            </w:pPr>
            <w:r w:rsidRPr="00687B52">
              <w:rPr>
                <w:rFonts w:eastAsiaTheme="minorEastAsia" w:hint="eastAsia"/>
                <w:color w:val="000000" w:themeColor="text1"/>
              </w:rPr>
              <w:t>在危险化学品管道中心线两侧及危险化学品管道附属设施外缘两侧</w:t>
            </w:r>
            <w:r w:rsidRPr="00687B52">
              <w:rPr>
                <w:rFonts w:eastAsiaTheme="minorEastAsia"/>
                <w:color w:val="000000" w:themeColor="text1"/>
              </w:rPr>
              <w:t>5</w:t>
            </w:r>
            <w:r w:rsidRPr="00687B52">
              <w:rPr>
                <w:rFonts w:eastAsiaTheme="minorEastAsia" w:hint="eastAsia"/>
                <w:color w:val="000000" w:themeColor="text1"/>
              </w:rPr>
              <w:t>米外的周边范围内，管道单位发现下列建（构）筑物与管道线路、管道附属设施的距离不符合国家标准、行业标准要求的，应当及时向当地安全生产监督管理部门报告：</w:t>
            </w:r>
          </w:p>
          <w:p w:rsidR="000E02C5" w:rsidRPr="00687B52" w:rsidRDefault="000E02C5" w:rsidP="00B527D4">
            <w:pPr>
              <w:pStyle w:val="a7"/>
              <w:jc w:val="left"/>
              <w:rPr>
                <w:rFonts w:eastAsiaTheme="minorEastAsia"/>
                <w:color w:val="000000" w:themeColor="text1"/>
              </w:rPr>
            </w:pPr>
            <w:r w:rsidRPr="00687B52">
              <w:rPr>
                <w:rFonts w:eastAsiaTheme="minorEastAsia" w:hint="eastAsia"/>
                <w:color w:val="000000" w:themeColor="text1"/>
              </w:rPr>
              <w:t>①居民小区、学校、医院、餐饮娱乐场所、车站、商场等人口密集的建筑物；</w:t>
            </w:r>
          </w:p>
          <w:p w:rsidR="000E02C5" w:rsidRPr="00687B52" w:rsidRDefault="000E02C5" w:rsidP="00B527D4">
            <w:pPr>
              <w:pStyle w:val="a7"/>
              <w:jc w:val="left"/>
              <w:rPr>
                <w:rFonts w:eastAsiaTheme="minorEastAsia"/>
                <w:color w:val="000000" w:themeColor="text1"/>
              </w:rPr>
            </w:pPr>
            <w:r w:rsidRPr="00687B52">
              <w:rPr>
                <w:rFonts w:eastAsiaTheme="minorEastAsia" w:hint="eastAsia"/>
                <w:color w:val="000000" w:themeColor="text1"/>
              </w:rPr>
              <w:t>②加油站、加气站、储油罐、储气罐等易燃易爆物品的生产、经营、存储场所；</w:t>
            </w:r>
          </w:p>
          <w:p w:rsidR="000E02C5" w:rsidRPr="00687B52" w:rsidRDefault="000E02C5" w:rsidP="00B527D4">
            <w:pPr>
              <w:pStyle w:val="a7"/>
              <w:jc w:val="left"/>
              <w:rPr>
                <w:rFonts w:eastAsiaTheme="minorEastAsia"/>
                <w:color w:val="000000" w:themeColor="text1"/>
              </w:rPr>
            </w:pPr>
            <w:r w:rsidRPr="00687B52">
              <w:rPr>
                <w:rFonts w:eastAsiaTheme="minorEastAsia" w:hint="eastAsia"/>
                <w:color w:val="000000" w:themeColor="text1"/>
              </w:rPr>
              <w:t>③变电站、配电站、供水站等公用设施。</w:t>
            </w:r>
          </w:p>
        </w:tc>
        <w:tc>
          <w:tcPr>
            <w:tcW w:w="93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《危险化学品输送管道安全管理规定》第</w:t>
            </w:r>
            <w:r w:rsidRPr="00687B52">
              <w:rPr>
                <w:rFonts w:hint="eastAsia"/>
                <w:color w:val="000000" w:themeColor="text1"/>
              </w:rPr>
              <w:t>22</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trHeight w:val="561"/>
          <w:jc w:val="center"/>
        </w:trPr>
        <w:tc>
          <w:tcPr>
            <w:tcW w:w="460" w:type="pct"/>
            <w:vAlign w:val="center"/>
          </w:tcPr>
          <w:p w:rsidR="000E02C5" w:rsidRPr="00687B52" w:rsidRDefault="000E02C5" w:rsidP="00D9787F">
            <w:pPr>
              <w:pStyle w:val="a7"/>
              <w:numPr>
                <w:ilvl w:val="0"/>
                <w:numId w:val="126"/>
              </w:numPr>
              <w:rPr>
                <w:color w:val="000000" w:themeColor="text1"/>
                <w:szCs w:val="24"/>
              </w:rPr>
            </w:pPr>
          </w:p>
        </w:tc>
        <w:tc>
          <w:tcPr>
            <w:tcW w:w="2750" w:type="pct"/>
            <w:vAlign w:val="center"/>
          </w:tcPr>
          <w:p w:rsidR="000E02C5" w:rsidRPr="00687B52" w:rsidRDefault="000E02C5" w:rsidP="00B527D4">
            <w:pPr>
              <w:pStyle w:val="a7"/>
              <w:jc w:val="left"/>
              <w:rPr>
                <w:color w:val="000000" w:themeColor="text1"/>
                <w:szCs w:val="24"/>
              </w:rPr>
            </w:pPr>
            <w:r w:rsidRPr="00687B52">
              <w:rPr>
                <w:rFonts w:hint="eastAsia"/>
                <w:color w:val="000000" w:themeColor="text1"/>
                <w:szCs w:val="24"/>
              </w:rPr>
              <w:t>在穿越河流的危险化学品管道线路中心线两侧</w:t>
            </w:r>
            <w:r w:rsidRPr="00687B52">
              <w:rPr>
                <w:rFonts w:cs="Times New Roman"/>
                <w:color w:val="000000" w:themeColor="text1"/>
                <w:szCs w:val="24"/>
              </w:rPr>
              <w:t>500</w:t>
            </w:r>
            <w:r w:rsidRPr="00687B52">
              <w:rPr>
                <w:rFonts w:hint="eastAsia"/>
                <w:color w:val="000000" w:themeColor="text1"/>
                <w:szCs w:val="24"/>
              </w:rPr>
              <w:t>米地域范围内，管道单位发现有实施抛锚、拖锚、挖沙、采石、水下爆破等作业的，应当及时予以制止，无法处置时应当向当地安全生产监督管理部门报告。但在保障危险化学品管道安全的条件下，为防洪和航道通畅而实施的养护疏浚作业除外。</w:t>
            </w:r>
          </w:p>
        </w:tc>
        <w:tc>
          <w:tcPr>
            <w:tcW w:w="930" w:type="pct"/>
            <w:vAlign w:val="center"/>
          </w:tcPr>
          <w:p w:rsidR="000E02C5" w:rsidRPr="00687B52" w:rsidRDefault="000E02C5" w:rsidP="00B527D4">
            <w:pPr>
              <w:pStyle w:val="a7"/>
              <w:rPr>
                <w:color w:val="000000" w:themeColor="text1"/>
                <w:szCs w:val="24"/>
              </w:rPr>
            </w:pPr>
            <w:r w:rsidRPr="00687B52">
              <w:rPr>
                <w:rFonts w:hint="eastAsia"/>
                <w:color w:val="000000" w:themeColor="text1"/>
                <w:szCs w:val="24"/>
              </w:rPr>
              <w:t>《危险化学品输送管道安全管理规定》第</w:t>
            </w:r>
            <w:r w:rsidRPr="00687B52">
              <w:rPr>
                <w:rFonts w:hint="eastAsia"/>
                <w:color w:val="000000" w:themeColor="text1"/>
                <w:szCs w:val="24"/>
              </w:rPr>
              <w:t>23</w:t>
            </w:r>
            <w:r w:rsidRPr="00687B52">
              <w:rPr>
                <w:rFonts w:hint="eastAsia"/>
                <w:color w:val="000000" w:themeColor="text1"/>
                <w:szCs w:val="24"/>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trHeight w:val="561"/>
          <w:jc w:val="center"/>
        </w:trPr>
        <w:tc>
          <w:tcPr>
            <w:tcW w:w="460" w:type="pct"/>
            <w:vAlign w:val="center"/>
          </w:tcPr>
          <w:p w:rsidR="000E02C5" w:rsidRPr="00687B52" w:rsidRDefault="000E02C5" w:rsidP="00D9787F">
            <w:pPr>
              <w:pStyle w:val="a7"/>
              <w:numPr>
                <w:ilvl w:val="0"/>
                <w:numId w:val="126"/>
              </w:numPr>
              <w:rPr>
                <w:color w:val="000000" w:themeColor="text1"/>
                <w:szCs w:val="24"/>
              </w:rPr>
            </w:pPr>
          </w:p>
        </w:tc>
        <w:tc>
          <w:tcPr>
            <w:tcW w:w="2750" w:type="pct"/>
            <w:vAlign w:val="center"/>
          </w:tcPr>
          <w:p w:rsidR="000E02C5" w:rsidRPr="00687B52" w:rsidRDefault="000E02C5" w:rsidP="00B527D4">
            <w:pPr>
              <w:pStyle w:val="a7"/>
              <w:jc w:val="left"/>
              <w:rPr>
                <w:rFonts w:ascii="宋体" w:hAnsi="宋体" w:cs="宋体"/>
                <w:color w:val="000000" w:themeColor="text1"/>
                <w:kern w:val="0"/>
                <w:szCs w:val="24"/>
              </w:rPr>
            </w:pPr>
            <w:r w:rsidRPr="00687B52">
              <w:rPr>
                <w:rFonts w:hAnsi="Times New Roman" w:cs="宋体" w:hint="eastAsia"/>
                <w:color w:val="000000" w:themeColor="text1"/>
                <w:kern w:val="0"/>
                <w:szCs w:val="24"/>
              </w:rPr>
              <w:t>在危险化学品管道专用隧道中心线两侧</w:t>
            </w:r>
            <w:r w:rsidRPr="00687B52">
              <w:rPr>
                <w:rFonts w:hAnsi="Times New Roman" w:cs="Times New Roman"/>
                <w:color w:val="000000" w:themeColor="text1"/>
                <w:kern w:val="0"/>
                <w:szCs w:val="24"/>
              </w:rPr>
              <w:t>1000</w:t>
            </w:r>
            <w:r w:rsidRPr="00687B52">
              <w:rPr>
                <w:rFonts w:hAnsi="Times New Roman" w:cs="宋体" w:hint="eastAsia"/>
                <w:color w:val="000000" w:themeColor="text1"/>
                <w:kern w:val="0"/>
                <w:szCs w:val="24"/>
              </w:rPr>
              <w:t>米地域范围内，管道单位发现有实施采石、采矿、爆破等作业的，应当及时予以制止，无法处置时应当向当地安全生产监督管理部门报告。</w:t>
            </w:r>
          </w:p>
          <w:p w:rsidR="000E02C5" w:rsidRPr="00687B52" w:rsidRDefault="000E02C5" w:rsidP="00B527D4">
            <w:pPr>
              <w:pStyle w:val="a7"/>
              <w:jc w:val="left"/>
              <w:rPr>
                <w:rFonts w:ascii="宋体" w:hAnsi="宋体" w:cs="宋体"/>
                <w:color w:val="000000" w:themeColor="text1"/>
                <w:kern w:val="0"/>
                <w:szCs w:val="24"/>
              </w:rPr>
            </w:pPr>
            <w:r w:rsidRPr="00687B52">
              <w:rPr>
                <w:rFonts w:hAnsi="Times New Roman" w:cs="宋体" w:hint="eastAsia"/>
                <w:color w:val="000000" w:themeColor="text1"/>
                <w:kern w:val="0"/>
                <w:szCs w:val="24"/>
              </w:rPr>
              <w:t>在前款规定的地域范围内，因修建铁路、公路、水利等公共工程确需实施采石、爆破等作业的，应当按照本规定第二十五条的规定执行。</w:t>
            </w:r>
          </w:p>
        </w:tc>
        <w:tc>
          <w:tcPr>
            <w:tcW w:w="930" w:type="pct"/>
            <w:vAlign w:val="center"/>
          </w:tcPr>
          <w:p w:rsidR="000E02C5" w:rsidRPr="00687B52" w:rsidRDefault="000E02C5" w:rsidP="00B527D4">
            <w:pPr>
              <w:pStyle w:val="a7"/>
              <w:rPr>
                <w:color w:val="000000" w:themeColor="text1"/>
                <w:szCs w:val="24"/>
              </w:rPr>
            </w:pPr>
            <w:r w:rsidRPr="00687B52">
              <w:rPr>
                <w:rFonts w:hint="eastAsia"/>
                <w:color w:val="000000" w:themeColor="text1"/>
                <w:szCs w:val="24"/>
              </w:rPr>
              <w:t>《危险化学品输送管道安全管理规定》第</w:t>
            </w:r>
            <w:r w:rsidRPr="00687B52">
              <w:rPr>
                <w:rFonts w:hint="eastAsia"/>
                <w:color w:val="000000" w:themeColor="text1"/>
                <w:szCs w:val="24"/>
              </w:rPr>
              <w:t>24</w:t>
            </w:r>
            <w:r w:rsidRPr="00687B52">
              <w:rPr>
                <w:rFonts w:hint="eastAsia"/>
                <w:color w:val="000000" w:themeColor="text1"/>
                <w:szCs w:val="24"/>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trHeight w:val="561"/>
          <w:jc w:val="center"/>
        </w:trPr>
        <w:tc>
          <w:tcPr>
            <w:tcW w:w="460" w:type="pct"/>
            <w:vAlign w:val="center"/>
          </w:tcPr>
          <w:p w:rsidR="000E02C5" w:rsidRPr="00687B52" w:rsidRDefault="000E02C5" w:rsidP="00D9787F">
            <w:pPr>
              <w:pStyle w:val="a7"/>
              <w:numPr>
                <w:ilvl w:val="0"/>
                <w:numId w:val="126"/>
              </w:numPr>
              <w:rPr>
                <w:color w:val="000000" w:themeColor="text1"/>
                <w:szCs w:val="24"/>
              </w:rPr>
            </w:pPr>
          </w:p>
        </w:tc>
        <w:tc>
          <w:tcPr>
            <w:tcW w:w="2750" w:type="pct"/>
            <w:vAlign w:val="center"/>
          </w:tcPr>
          <w:p w:rsidR="000E02C5" w:rsidRPr="00687B52" w:rsidRDefault="000E02C5" w:rsidP="00B527D4">
            <w:pPr>
              <w:pStyle w:val="a7"/>
              <w:jc w:val="left"/>
              <w:rPr>
                <w:rFonts w:ascii="宋体" w:hAnsi="宋体" w:cs="宋体"/>
                <w:color w:val="000000" w:themeColor="text1"/>
                <w:kern w:val="0"/>
                <w:szCs w:val="24"/>
              </w:rPr>
            </w:pPr>
            <w:r w:rsidRPr="00687B52">
              <w:rPr>
                <w:rFonts w:hAnsi="Times New Roman" w:cs="宋体" w:hint="eastAsia"/>
                <w:color w:val="000000" w:themeColor="text1"/>
                <w:kern w:val="0"/>
                <w:szCs w:val="24"/>
              </w:rPr>
              <w:t>实施下列可能危及危险化学品管道安全运行的施工作业的，施工单位应当在开工的</w:t>
            </w:r>
            <w:r w:rsidRPr="00687B52">
              <w:rPr>
                <w:rFonts w:hAnsi="Times New Roman" w:cs="Times New Roman"/>
                <w:color w:val="000000" w:themeColor="text1"/>
                <w:kern w:val="0"/>
                <w:szCs w:val="24"/>
              </w:rPr>
              <w:t>7</w:t>
            </w:r>
            <w:r w:rsidRPr="00687B52">
              <w:rPr>
                <w:rFonts w:hAnsi="Times New Roman" w:cs="宋体" w:hint="eastAsia"/>
                <w:color w:val="000000" w:themeColor="text1"/>
                <w:kern w:val="0"/>
                <w:szCs w:val="24"/>
              </w:rPr>
              <w:t>日前书面通知管道单位，将施工作业方案报管道单位，并与管道单位共同制定应急预案，采取相应的安全防护措施，管道单位应当指派专人到现场进行管道安全保护指导：</w:t>
            </w:r>
          </w:p>
          <w:p w:rsidR="000E02C5" w:rsidRPr="00687B52" w:rsidRDefault="000E02C5" w:rsidP="00B527D4">
            <w:pPr>
              <w:pStyle w:val="a7"/>
              <w:jc w:val="left"/>
              <w:rPr>
                <w:rFonts w:ascii="宋体" w:hAnsi="宋体" w:cs="宋体"/>
                <w:color w:val="000000" w:themeColor="text1"/>
                <w:kern w:val="0"/>
                <w:szCs w:val="24"/>
              </w:rPr>
            </w:pPr>
            <w:r w:rsidRPr="00687B52">
              <w:rPr>
                <w:rFonts w:hAnsi="Times New Roman" w:cs="宋体" w:hint="eastAsia"/>
                <w:color w:val="000000" w:themeColor="text1"/>
                <w:kern w:val="0"/>
                <w:szCs w:val="24"/>
              </w:rPr>
              <w:t>①穿（跨）越管道的施工作业；</w:t>
            </w:r>
          </w:p>
          <w:p w:rsidR="000E02C5" w:rsidRPr="00687B52" w:rsidRDefault="000E02C5" w:rsidP="00B527D4">
            <w:pPr>
              <w:pStyle w:val="a7"/>
              <w:jc w:val="left"/>
              <w:rPr>
                <w:rFonts w:ascii="宋体" w:hAnsi="宋体" w:cs="宋体"/>
                <w:color w:val="000000" w:themeColor="text1"/>
                <w:kern w:val="0"/>
                <w:szCs w:val="24"/>
              </w:rPr>
            </w:pPr>
            <w:r w:rsidRPr="00687B52">
              <w:rPr>
                <w:rFonts w:hAnsi="Times New Roman" w:cs="宋体" w:hint="eastAsia"/>
                <w:color w:val="000000" w:themeColor="text1"/>
                <w:kern w:val="0"/>
                <w:szCs w:val="24"/>
              </w:rPr>
              <w:t>②在管道线路中心线两侧</w:t>
            </w:r>
            <w:r w:rsidRPr="00687B52">
              <w:rPr>
                <w:rFonts w:hAnsi="Times New Roman" w:cs="Times New Roman"/>
                <w:color w:val="000000" w:themeColor="text1"/>
                <w:kern w:val="0"/>
                <w:szCs w:val="24"/>
              </w:rPr>
              <w:t>5</w:t>
            </w:r>
            <w:r w:rsidRPr="00687B52">
              <w:rPr>
                <w:rFonts w:hAnsi="Times New Roman" w:cs="宋体" w:hint="eastAsia"/>
                <w:color w:val="000000" w:themeColor="text1"/>
                <w:kern w:val="0"/>
                <w:szCs w:val="24"/>
              </w:rPr>
              <w:t>米至</w:t>
            </w:r>
            <w:r w:rsidRPr="00687B52">
              <w:rPr>
                <w:rFonts w:hAnsi="Times New Roman" w:cs="Times New Roman"/>
                <w:color w:val="000000" w:themeColor="text1"/>
                <w:kern w:val="0"/>
                <w:szCs w:val="24"/>
              </w:rPr>
              <w:t>50</w:t>
            </w:r>
            <w:r w:rsidRPr="00687B52">
              <w:rPr>
                <w:rFonts w:hAnsi="Times New Roman" w:cs="宋体" w:hint="eastAsia"/>
                <w:color w:val="000000" w:themeColor="text1"/>
                <w:kern w:val="0"/>
                <w:szCs w:val="24"/>
              </w:rPr>
              <w:t>米和管道附属设施周边</w:t>
            </w:r>
            <w:r w:rsidRPr="00687B52">
              <w:rPr>
                <w:rFonts w:hAnsi="Times New Roman" w:cs="Times New Roman"/>
                <w:color w:val="000000" w:themeColor="text1"/>
                <w:kern w:val="0"/>
                <w:szCs w:val="24"/>
              </w:rPr>
              <w:t>100</w:t>
            </w:r>
            <w:r w:rsidRPr="00687B52">
              <w:rPr>
                <w:rFonts w:hAnsi="Times New Roman" w:cs="宋体" w:hint="eastAsia"/>
                <w:color w:val="000000" w:themeColor="text1"/>
                <w:kern w:val="0"/>
                <w:szCs w:val="24"/>
              </w:rPr>
              <w:t>米地域范围内，新建、改建、扩建铁路、公路、河渠，架设电力线路，埋设地下电缆、光缆，设置安全接地体、避雷接地体；</w:t>
            </w:r>
          </w:p>
          <w:p w:rsidR="000E02C5" w:rsidRPr="00687B52" w:rsidRDefault="000E02C5" w:rsidP="00B527D4">
            <w:pPr>
              <w:pStyle w:val="a7"/>
              <w:jc w:val="left"/>
              <w:rPr>
                <w:rFonts w:ascii="宋体" w:hAnsi="宋体" w:cs="宋体"/>
                <w:color w:val="000000" w:themeColor="text1"/>
                <w:kern w:val="0"/>
                <w:szCs w:val="24"/>
              </w:rPr>
            </w:pPr>
            <w:r w:rsidRPr="00687B52">
              <w:rPr>
                <w:rFonts w:hAnsi="Times New Roman" w:cs="宋体" w:hint="eastAsia"/>
                <w:color w:val="000000" w:themeColor="text1"/>
                <w:kern w:val="0"/>
                <w:szCs w:val="24"/>
              </w:rPr>
              <w:t>③在管道线路中心线两侧</w:t>
            </w:r>
            <w:r w:rsidRPr="00687B52">
              <w:rPr>
                <w:rFonts w:hAnsi="Times New Roman" w:cs="Times New Roman"/>
                <w:color w:val="000000" w:themeColor="text1"/>
                <w:kern w:val="0"/>
                <w:szCs w:val="24"/>
              </w:rPr>
              <w:t>200</w:t>
            </w:r>
            <w:r w:rsidRPr="00687B52">
              <w:rPr>
                <w:rFonts w:hAnsi="Times New Roman" w:cs="宋体" w:hint="eastAsia"/>
                <w:color w:val="000000" w:themeColor="text1"/>
                <w:kern w:val="0"/>
                <w:szCs w:val="24"/>
              </w:rPr>
              <w:t>米和管道附属设施周边</w:t>
            </w:r>
            <w:r w:rsidRPr="00687B52">
              <w:rPr>
                <w:rFonts w:hAnsi="Times New Roman" w:cs="Times New Roman"/>
                <w:color w:val="000000" w:themeColor="text1"/>
                <w:kern w:val="0"/>
                <w:szCs w:val="24"/>
              </w:rPr>
              <w:t>500</w:t>
            </w:r>
            <w:r w:rsidRPr="00687B52">
              <w:rPr>
                <w:rFonts w:hAnsi="Times New Roman" w:cs="宋体" w:hint="eastAsia"/>
                <w:color w:val="000000" w:themeColor="text1"/>
                <w:kern w:val="0"/>
                <w:szCs w:val="24"/>
              </w:rPr>
              <w:t>米地域范围内，实施爆破、地震法勘探或者工程挖掘、工程钻探、采矿等作业。</w:t>
            </w:r>
          </w:p>
        </w:tc>
        <w:tc>
          <w:tcPr>
            <w:tcW w:w="930" w:type="pct"/>
            <w:vAlign w:val="center"/>
          </w:tcPr>
          <w:p w:rsidR="000E02C5" w:rsidRPr="00687B52" w:rsidRDefault="000E02C5" w:rsidP="00B527D4">
            <w:pPr>
              <w:pStyle w:val="a7"/>
              <w:rPr>
                <w:color w:val="000000" w:themeColor="text1"/>
                <w:szCs w:val="24"/>
              </w:rPr>
            </w:pPr>
            <w:r w:rsidRPr="00687B52">
              <w:rPr>
                <w:rFonts w:hint="eastAsia"/>
                <w:color w:val="000000" w:themeColor="text1"/>
                <w:szCs w:val="24"/>
              </w:rPr>
              <w:t>《危险化学品输送管道安全管理规定》第</w:t>
            </w:r>
            <w:r w:rsidRPr="00687B52">
              <w:rPr>
                <w:rFonts w:hint="eastAsia"/>
                <w:color w:val="000000" w:themeColor="text1"/>
                <w:szCs w:val="24"/>
              </w:rPr>
              <w:t>25</w:t>
            </w:r>
            <w:r w:rsidRPr="00687B52">
              <w:rPr>
                <w:rFonts w:hint="eastAsia"/>
                <w:color w:val="000000" w:themeColor="text1"/>
                <w:szCs w:val="24"/>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trHeight w:val="561"/>
          <w:jc w:val="center"/>
        </w:trPr>
        <w:tc>
          <w:tcPr>
            <w:tcW w:w="460" w:type="pct"/>
            <w:vAlign w:val="center"/>
          </w:tcPr>
          <w:p w:rsidR="000E02C5" w:rsidRPr="00687B52" w:rsidRDefault="000E02C5" w:rsidP="00D9787F">
            <w:pPr>
              <w:pStyle w:val="a7"/>
              <w:numPr>
                <w:ilvl w:val="0"/>
                <w:numId w:val="126"/>
              </w:numPr>
              <w:rPr>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危险化学品管道应当设置明显标志。发现标志毁损的，管道单位应当及时予以修复或者更新。</w:t>
            </w:r>
          </w:p>
        </w:tc>
        <w:tc>
          <w:tcPr>
            <w:tcW w:w="93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《危险化学品输送管道安全管理规定》第</w:t>
            </w:r>
            <w:r w:rsidRPr="00687B52">
              <w:rPr>
                <w:rFonts w:hint="eastAsia"/>
                <w:color w:val="000000" w:themeColor="text1"/>
              </w:rPr>
              <w:t>15</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trHeight w:val="561"/>
          <w:jc w:val="center"/>
        </w:trPr>
        <w:tc>
          <w:tcPr>
            <w:tcW w:w="460" w:type="pct"/>
            <w:vAlign w:val="center"/>
          </w:tcPr>
          <w:p w:rsidR="000E02C5" w:rsidRPr="00687B52" w:rsidRDefault="000E02C5" w:rsidP="00D9787F">
            <w:pPr>
              <w:pStyle w:val="a7"/>
              <w:numPr>
                <w:ilvl w:val="0"/>
                <w:numId w:val="126"/>
              </w:numPr>
              <w:rPr>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管道单位发现下列危害危险化学品管道安全运行行为的，应当及时予以制止，无法处置时应当向当地安全生产监督管理部门报告：</w:t>
            </w:r>
          </w:p>
          <w:p w:rsidR="000E02C5" w:rsidRPr="00687B52" w:rsidRDefault="000E02C5" w:rsidP="00B527D4">
            <w:pPr>
              <w:pStyle w:val="a7"/>
              <w:jc w:val="both"/>
              <w:rPr>
                <w:color w:val="000000" w:themeColor="text1"/>
              </w:rPr>
            </w:pPr>
            <w:r w:rsidRPr="00687B52">
              <w:rPr>
                <w:rFonts w:hint="eastAsia"/>
                <w:color w:val="000000" w:themeColor="text1"/>
              </w:rPr>
              <w:t>①擅自开启、关闭危险化学品管道阀门；</w:t>
            </w:r>
          </w:p>
          <w:p w:rsidR="000E02C5" w:rsidRPr="00687B52" w:rsidRDefault="000E02C5" w:rsidP="00B527D4">
            <w:pPr>
              <w:pStyle w:val="a7"/>
              <w:jc w:val="both"/>
              <w:rPr>
                <w:color w:val="000000" w:themeColor="text1"/>
              </w:rPr>
            </w:pPr>
            <w:r w:rsidRPr="00687B52">
              <w:rPr>
                <w:rFonts w:hint="eastAsia"/>
                <w:color w:val="000000" w:themeColor="text1"/>
              </w:rPr>
              <w:t>②采用移动、切割、打孔、砸撬、拆卸等手段损坏管道及其附属设施；</w:t>
            </w:r>
          </w:p>
          <w:p w:rsidR="000E02C5" w:rsidRPr="00687B52" w:rsidRDefault="000E02C5" w:rsidP="00B527D4">
            <w:pPr>
              <w:pStyle w:val="a7"/>
              <w:jc w:val="both"/>
              <w:rPr>
                <w:color w:val="000000" w:themeColor="text1"/>
              </w:rPr>
            </w:pPr>
            <w:r w:rsidRPr="00687B52">
              <w:rPr>
                <w:rFonts w:hint="eastAsia"/>
                <w:color w:val="000000" w:themeColor="text1"/>
              </w:rPr>
              <w:t>③移动、毁损、涂改管道标志；</w:t>
            </w:r>
          </w:p>
          <w:p w:rsidR="000E02C5" w:rsidRPr="00687B52" w:rsidRDefault="000E02C5" w:rsidP="00B527D4">
            <w:pPr>
              <w:pStyle w:val="a7"/>
              <w:jc w:val="both"/>
              <w:rPr>
                <w:color w:val="000000" w:themeColor="text1"/>
              </w:rPr>
            </w:pPr>
            <w:r w:rsidRPr="00687B52">
              <w:rPr>
                <w:rFonts w:hint="eastAsia"/>
                <w:color w:val="000000" w:themeColor="text1"/>
              </w:rPr>
              <w:t>④在埋地管道上方和巡查便道上行驶重型车辆；</w:t>
            </w:r>
          </w:p>
          <w:p w:rsidR="000E02C5" w:rsidRPr="00687B52" w:rsidRDefault="000E02C5" w:rsidP="00B527D4">
            <w:pPr>
              <w:pStyle w:val="a7"/>
              <w:jc w:val="both"/>
              <w:rPr>
                <w:color w:val="000000" w:themeColor="text1"/>
              </w:rPr>
            </w:pPr>
            <w:r w:rsidRPr="00687B52">
              <w:rPr>
                <w:rFonts w:hint="eastAsia"/>
                <w:color w:val="000000" w:themeColor="text1"/>
              </w:rPr>
              <w:t>⑤对埋地、地面管道进行占压，在架空管道线路和管桥上行走或者放置重物；</w:t>
            </w:r>
          </w:p>
          <w:p w:rsidR="000E02C5" w:rsidRPr="00687B52" w:rsidRDefault="000E02C5" w:rsidP="00B527D4">
            <w:pPr>
              <w:pStyle w:val="a7"/>
              <w:jc w:val="both"/>
              <w:rPr>
                <w:color w:val="000000" w:themeColor="text1"/>
              </w:rPr>
            </w:pPr>
            <w:r w:rsidRPr="00687B52">
              <w:rPr>
                <w:rFonts w:hint="eastAsia"/>
                <w:color w:val="000000" w:themeColor="text1"/>
              </w:rPr>
              <w:t>⑥利用地面管道、架空管道、管架桥等固定其他设施缆绳悬挂广告牌、搭建构筑物；</w:t>
            </w:r>
          </w:p>
          <w:p w:rsidR="000E02C5" w:rsidRPr="00687B52" w:rsidRDefault="000E02C5" w:rsidP="00B527D4">
            <w:pPr>
              <w:pStyle w:val="a7"/>
              <w:jc w:val="both"/>
              <w:rPr>
                <w:color w:val="000000" w:themeColor="text1"/>
              </w:rPr>
            </w:pPr>
            <w:r w:rsidRPr="00687B52">
              <w:rPr>
                <w:rFonts w:hint="eastAsia"/>
                <w:color w:val="000000" w:themeColor="text1"/>
              </w:rPr>
              <w:t>⑦其他危害危险化学品管道安全运行的行为。</w:t>
            </w:r>
          </w:p>
        </w:tc>
        <w:tc>
          <w:tcPr>
            <w:tcW w:w="930" w:type="pct"/>
            <w:vAlign w:val="center"/>
          </w:tcPr>
          <w:p w:rsidR="000E02C5" w:rsidRPr="00687B52" w:rsidRDefault="000E02C5" w:rsidP="00F25ED0">
            <w:pPr>
              <w:spacing w:afterLines="100" w:after="312" w:line="360" w:lineRule="exact"/>
              <w:rPr>
                <w:rFonts w:ascii="Times New Roman" w:eastAsia="宋体" w:hAnsi="Arial" w:cs="Arial"/>
                <w:color w:val="000000" w:themeColor="text1"/>
                <w:sz w:val="24"/>
                <w:szCs w:val="21"/>
              </w:rPr>
            </w:pPr>
            <w:r w:rsidRPr="00687B52">
              <w:rPr>
                <w:rFonts w:ascii="Times New Roman" w:eastAsia="宋体" w:hAnsi="Arial" w:cs="Arial" w:hint="eastAsia"/>
                <w:color w:val="000000" w:themeColor="text1"/>
                <w:sz w:val="24"/>
                <w:szCs w:val="21"/>
              </w:rPr>
              <w:t>《危险化学品输送管道安全管理规定》第</w:t>
            </w:r>
            <w:r w:rsidRPr="00687B52">
              <w:rPr>
                <w:rFonts w:ascii="Times New Roman" w:eastAsia="宋体" w:hAnsi="Arial" w:cs="Arial" w:hint="eastAsia"/>
                <w:color w:val="000000" w:themeColor="text1"/>
                <w:sz w:val="24"/>
                <w:szCs w:val="21"/>
              </w:rPr>
              <w:t>19</w:t>
            </w:r>
            <w:r w:rsidRPr="00687B52">
              <w:rPr>
                <w:rFonts w:ascii="Times New Roman" w:eastAsia="宋体" w:hAnsi="Arial" w:cs="Arial" w:hint="eastAsia"/>
                <w:color w:val="000000" w:themeColor="text1"/>
                <w:sz w:val="24"/>
                <w:szCs w:val="2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trHeight w:val="561"/>
          <w:jc w:val="center"/>
        </w:trPr>
        <w:tc>
          <w:tcPr>
            <w:tcW w:w="460" w:type="pct"/>
            <w:vAlign w:val="center"/>
          </w:tcPr>
          <w:p w:rsidR="000E02C5" w:rsidRPr="00687B52" w:rsidRDefault="000E02C5" w:rsidP="00D9787F">
            <w:pPr>
              <w:pStyle w:val="a7"/>
              <w:numPr>
                <w:ilvl w:val="0"/>
                <w:numId w:val="126"/>
              </w:numPr>
              <w:rPr>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hint="eastAsia"/>
                <w:color w:val="000000" w:themeColor="text1"/>
              </w:rPr>
              <w:t>禁止在危险化学品管道附属设施的上方架设电力线路、通信线路。</w:t>
            </w:r>
          </w:p>
        </w:tc>
        <w:tc>
          <w:tcPr>
            <w:tcW w:w="930" w:type="pct"/>
            <w:vAlign w:val="center"/>
          </w:tcPr>
          <w:p w:rsidR="000E02C5" w:rsidRPr="00687B52" w:rsidRDefault="000E02C5" w:rsidP="00B527D4">
            <w:pPr>
              <w:pStyle w:val="a7"/>
              <w:rPr>
                <w:rFonts w:asciiTheme="minorEastAsia" w:eastAsiaTheme="minorEastAsia" w:hAnsiTheme="minorEastAsia"/>
                <w:color w:val="000000" w:themeColor="text1"/>
                <w:szCs w:val="24"/>
              </w:rPr>
            </w:pPr>
            <w:r w:rsidRPr="00687B52">
              <w:rPr>
                <w:rFonts w:hint="eastAsia"/>
                <w:color w:val="000000" w:themeColor="text1"/>
              </w:rPr>
              <w:t>《危险化学品输送管道安全管理规定》第</w:t>
            </w:r>
            <w:r w:rsidRPr="00687B52">
              <w:rPr>
                <w:rFonts w:hint="eastAsia"/>
                <w:color w:val="000000" w:themeColor="text1"/>
              </w:rPr>
              <w:t>20</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trHeight w:val="561"/>
          <w:jc w:val="center"/>
        </w:trPr>
        <w:tc>
          <w:tcPr>
            <w:tcW w:w="460" w:type="pct"/>
            <w:vAlign w:val="center"/>
          </w:tcPr>
          <w:p w:rsidR="000E02C5" w:rsidRPr="00687B52" w:rsidRDefault="000E02C5" w:rsidP="00D9787F">
            <w:pPr>
              <w:pStyle w:val="a7"/>
              <w:numPr>
                <w:ilvl w:val="0"/>
                <w:numId w:val="126"/>
              </w:numPr>
              <w:rPr>
                <w:color w:val="000000" w:themeColor="text1"/>
                <w:szCs w:val="24"/>
              </w:rPr>
            </w:pPr>
          </w:p>
        </w:tc>
        <w:tc>
          <w:tcPr>
            <w:tcW w:w="2750" w:type="pct"/>
            <w:vAlign w:val="center"/>
          </w:tcPr>
          <w:p w:rsidR="000E02C5" w:rsidRPr="00687B52" w:rsidRDefault="000E02C5" w:rsidP="00B527D4">
            <w:pPr>
              <w:pStyle w:val="a7"/>
              <w:jc w:val="left"/>
              <w:rPr>
                <w:rFonts w:ascii="宋体" w:hAnsi="宋体"/>
                <w:color w:val="000000" w:themeColor="text1"/>
                <w:kern w:val="0"/>
              </w:rPr>
            </w:pPr>
            <w:r w:rsidRPr="00687B52">
              <w:rPr>
                <w:rFonts w:hint="eastAsia"/>
                <w:color w:val="000000" w:themeColor="text1"/>
                <w:kern w:val="0"/>
              </w:rPr>
              <w:t>在危险化学品管道及其附属设施外缘两侧各</w:t>
            </w:r>
            <w:r w:rsidRPr="00687B52">
              <w:rPr>
                <w:rFonts w:cs="Times New Roman"/>
                <w:color w:val="000000" w:themeColor="text1"/>
                <w:kern w:val="0"/>
              </w:rPr>
              <w:t>5</w:t>
            </w:r>
            <w:r w:rsidRPr="00687B52">
              <w:rPr>
                <w:rFonts w:hint="eastAsia"/>
                <w:color w:val="000000" w:themeColor="text1"/>
                <w:kern w:val="0"/>
              </w:rPr>
              <w:t>米地域范围内，管道单位发现下列危害管道安全运行的行为的，应当及时予以制止，无法处置时应当向当地安全生产监督管理部门报告：</w:t>
            </w:r>
          </w:p>
          <w:p w:rsidR="000E02C5" w:rsidRPr="00687B52" w:rsidRDefault="000E02C5" w:rsidP="00B527D4">
            <w:pPr>
              <w:pStyle w:val="a7"/>
              <w:jc w:val="left"/>
              <w:rPr>
                <w:rFonts w:ascii="宋体" w:hAnsi="宋体"/>
                <w:color w:val="000000" w:themeColor="text1"/>
                <w:kern w:val="0"/>
              </w:rPr>
            </w:pPr>
            <w:r w:rsidRPr="00687B52">
              <w:rPr>
                <w:rFonts w:hint="eastAsia"/>
                <w:color w:val="000000" w:themeColor="text1"/>
                <w:kern w:val="0"/>
              </w:rPr>
              <w:t>①种植乔木、灌木、藤类、芦苇、竹子或者其他根系深达管道埋设部位可能损坏管道防腐层的深根植物；</w:t>
            </w:r>
          </w:p>
          <w:p w:rsidR="000E02C5" w:rsidRPr="00687B52" w:rsidRDefault="000E02C5" w:rsidP="00B527D4">
            <w:pPr>
              <w:pStyle w:val="a7"/>
              <w:jc w:val="left"/>
              <w:rPr>
                <w:rFonts w:ascii="宋体" w:hAnsi="宋体"/>
                <w:color w:val="000000" w:themeColor="text1"/>
                <w:kern w:val="0"/>
              </w:rPr>
            </w:pPr>
            <w:r w:rsidRPr="00687B52">
              <w:rPr>
                <w:rFonts w:hint="eastAsia"/>
                <w:color w:val="000000" w:themeColor="text1"/>
                <w:kern w:val="0"/>
              </w:rPr>
              <w:t>②取土、采石、用火、堆放重物、排放腐蚀性物质、使用机械工具进行挖掘施工、工程钻探；</w:t>
            </w:r>
          </w:p>
          <w:p w:rsidR="000E02C5" w:rsidRPr="00687B52" w:rsidRDefault="000E02C5" w:rsidP="00B527D4">
            <w:pPr>
              <w:pStyle w:val="a7"/>
              <w:jc w:val="left"/>
              <w:rPr>
                <w:rFonts w:ascii="宋体" w:hAnsi="宋体"/>
                <w:color w:val="000000" w:themeColor="text1"/>
                <w:kern w:val="0"/>
              </w:rPr>
            </w:pPr>
            <w:r w:rsidRPr="00687B52">
              <w:rPr>
                <w:rFonts w:hint="eastAsia"/>
                <w:color w:val="000000" w:themeColor="text1"/>
                <w:kern w:val="0"/>
              </w:rPr>
              <w:t>③挖塘、修渠、修晒场、修建水产养殖场、建温室、建家畜棚圈、建房以及修建其他建（构）筑物。</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《危险化学品输送管道安全管理规定》第</w:t>
            </w:r>
            <w:r w:rsidRPr="00687B52">
              <w:rPr>
                <w:rFonts w:hint="eastAsia"/>
                <w:color w:val="000000" w:themeColor="text1"/>
              </w:rPr>
              <w:t>21</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trHeight w:val="561"/>
          <w:jc w:val="center"/>
        </w:trPr>
        <w:tc>
          <w:tcPr>
            <w:tcW w:w="460" w:type="pct"/>
            <w:vAlign w:val="center"/>
          </w:tcPr>
          <w:p w:rsidR="000E02C5" w:rsidRPr="00687B52" w:rsidRDefault="000E02C5" w:rsidP="00D9787F">
            <w:pPr>
              <w:pStyle w:val="a7"/>
              <w:numPr>
                <w:ilvl w:val="0"/>
                <w:numId w:val="126"/>
              </w:numPr>
              <w:rPr>
                <w:color w:val="000000" w:themeColor="text1"/>
                <w:szCs w:val="24"/>
              </w:rPr>
            </w:pPr>
          </w:p>
        </w:tc>
        <w:tc>
          <w:tcPr>
            <w:tcW w:w="2750" w:type="pct"/>
            <w:vAlign w:val="center"/>
          </w:tcPr>
          <w:p w:rsidR="000E02C5" w:rsidRPr="00687B52" w:rsidRDefault="000E02C5" w:rsidP="00B527D4">
            <w:pPr>
              <w:pStyle w:val="a7"/>
              <w:jc w:val="left"/>
              <w:rPr>
                <w:rFonts w:hAnsi="Times New Roman"/>
                <w:color w:val="000000" w:themeColor="text1"/>
                <w:kern w:val="0"/>
              </w:rPr>
            </w:pPr>
            <w:r w:rsidRPr="00687B52">
              <w:rPr>
                <w:rFonts w:hAnsi="Times New Roman" w:hint="eastAsia"/>
                <w:color w:val="000000" w:themeColor="text1"/>
              </w:rPr>
              <w:t>危险化学品管道的专用设施、水工防护设施、专用隧道等附属设施不得用于其他用途；确需用于其他用途的，应当征得管道单位的同意，并采取相应的安全防护措施。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《危险化学品输送管道安全管理规定》第</w:t>
            </w:r>
            <w:r w:rsidRPr="00687B52">
              <w:rPr>
                <w:rFonts w:hint="eastAsia"/>
                <w:color w:val="000000" w:themeColor="text1"/>
              </w:rPr>
              <w:t>27</w:t>
            </w:r>
            <w:r w:rsidRPr="00687B52">
              <w:rPr>
                <w:rFonts w:hint="eastAsia"/>
                <w:color w:val="000000" w:themeColor="text1"/>
              </w:rPr>
              <w:t>条</w:t>
            </w:r>
          </w:p>
        </w:tc>
        <w:tc>
          <w:tcPr>
            <w:tcW w:w="860" w:type="pct"/>
            <w:vAlign w:val="center"/>
          </w:tcPr>
          <w:p w:rsidR="000E02C5" w:rsidRPr="00687B52" w:rsidRDefault="000E02C5" w:rsidP="00B527D4">
            <w:pPr>
              <w:rPr>
                <w:rFonts w:asciiTheme="minorEastAsia" w:hAnsiTheme="minorEastAsia"/>
                <w:color w:val="000000" w:themeColor="text1"/>
                <w:sz w:val="24"/>
                <w:szCs w:val="24"/>
              </w:rPr>
            </w:pPr>
          </w:p>
        </w:tc>
      </w:tr>
      <w:tr w:rsidR="000E02C5" w:rsidRPr="00687B52" w:rsidTr="00563F92">
        <w:trPr>
          <w:jc w:val="center"/>
        </w:trPr>
        <w:tc>
          <w:tcPr>
            <w:tcW w:w="460" w:type="pct"/>
            <w:vAlign w:val="center"/>
          </w:tcPr>
          <w:p w:rsidR="000E02C5" w:rsidRPr="00687B52" w:rsidRDefault="000E02C5" w:rsidP="00B527D4">
            <w:pPr>
              <w:pStyle w:val="a7"/>
              <w:rPr>
                <w:b/>
                <w:color w:val="000000" w:themeColor="text1"/>
              </w:rPr>
            </w:pPr>
            <w:r w:rsidRPr="00687B52">
              <w:rPr>
                <w:rFonts w:hint="eastAsia"/>
                <w:b/>
                <w:color w:val="000000" w:themeColor="text1"/>
              </w:rPr>
              <w:t>2</w:t>
            </w:r>
          </w:p>
        </w:tc>
        <w:tc>
          <w:tcPr>
            <w:tcW w:w="2750" w:type="pct"/>
            <w:vAlign w:val="center"/>
          </w:tcPr>
          <w:p w:rsidR="000E02C5" w:rsidRPr="00687B52" w:rsidRDefault="000E02C5" w:rsidP="00B527D4">
            <w:pPr>
              <w:pStyle w:val="a7"/>
              <w:jc w:val="left"/>
              <w:rPr>
                <w:b/>
                <w:color w:val="000000" w:themeColor="text1"/>
              </w:rPr>
            </w:pPr>
            <w:r w:rsidRPr="00687B52">
              <w:rPr>
                <w:rFonts w:hint="eastAsia"/>
                <w:b/>
                <w:color w:val="000000" w:themeColor="text1"/>
              </w:rPr>
              <w:t>工艺及设备设施安全</w:t>
            </w:r>
          </w:p>
        </w:tc>
        <w:tc>
          <w:tcPr>
            <w:tcW w:w="930" w:type="pct"/>
            <w:vAlign w:val="center"/>
          </w:tcPr>
          <w:p w:rsidR="000E02C5" w:rsidRPr="00687B52" w:rsidRDefault="000E02C5" w:rsidP="00B527D4">
            <w:pPr>
              <w:pStyle w:val="a7"/>
              <w:jc w:val="left"/>
              <w:rPr>
                <w:b/>
                <w:color w:val="000000" w:themeColor="text1"/>
              </w:rPr>
            </w:pPr>
          </w:p>
        </w:tc>
        <w:tc>
          <w:tcPr>
            <w:tcW w:w="860" w:type="pct"/>
            <w:vAlign w:val="center"/>
          </w:tcPr>
          <w:p w:rsidR="000E02C5" w:rsidRPr="00687B52" w:rsidRDefault="000E02C5" w:rsidP="00B527D4">
            <w:pPr>
              <w:pStyle w:val="a7"/>
              <w:jc w:val="left"/>
              <w:rPr>
                <w:b/>
                <w:color w:val="000000" w:themeColor="text1"/>
              </w:rPr>
            </w:pPr>
          </w:p>
        </w:tc>
      </w:tr>
      <w:tr w:rsidR="000E02C5" w:rsidRPr="00687B52" w:rsidTr="00563F92">
        <w:trPr>
          <w:jc w:val="center"/>
        </w:trPr>
        <w:tc>
          <w:tcPr>
            <w:tcW w:w="460" w:type="pct"/>
            <w:vAlign w:val="center"/>
          </w:tcPr>
          <w:p w:rsidR="000E02C5" w:rsidRPr="00687B52" w:rsidRDefault="000E02C5" w:rsidP="00B527D4">
            <w:pPr>
              <w:pStyle w:val="a7"/>
              <w:rPr>
                <w:b/>
                <w:color w:val="000000" w:themeColor="text1"/>
              </w:rPr>
            </w:pPr>
            <w:r w:rsidRPr="00687B52">
              <w:rPr>
                <w:rFonts w:hint="eastAsia"/>
                <w:b/>
                <w:color w:val="000000" w:themeColor="text1"/>
              </w:rPr>
              <w:t>2.1</w:t>
            </w:r>
          </w:p>
        </w:tc>
        <w:tc>
          <w:tcPr>
            <w:tcW w:w="2750" w:type="pct"/>
            <w:vAlign w:val="center"/>
          </w:tcPr>
          <w:p w:rsidR="000E02C5" w:rsidRPr="00687B52" w:rsidRDefault="000E02C5" w:rsidP="00B527D4">
            <w:pPr>
              <w:pStyle w:val="a7"/>
              <w:jc w:val="left"/>
              <w:rPr>
                <w:b/>
                <w:color w:val="000000" w:themeColor="text1"/>
              </w:rPr>
            </w:pPr>
            <w:r w:rsidRPr="00687B52">
              <w:rPr>
                <w:rFonts w:hint="eastAsia"/>
                <w:b/>
                <w:color w:val="000000" w:themeColor="text1"/>
              </w:rPr>
              <w:t>石油、天然气站场</w:t>
            </w:r>
          </w:p>
        </w:tc>
        <w:tc>
          <w:tcPr>
            <w:tcW w:w="930" w:type="pct"/>
            <w:vAlign w:val="center"/>
          </w:tcPr>
          <w:p w:rsidR="000E02C5" w:rsidRPr="00687B52" w:rsidRDefault="000E02C5" w:rsidP="00B527D4">
            <w:pPr>
              <w:pStyle w:val="a7"/>
              <w:jc w:val="left"/>
              <w:rPr>
                <w:b/>
                <w:color w:val="000000" w:themeColor="text1"/>
              </w:rPr>
            </w:pPr>
          </w:p>
        </w:tc>
        <w:tc>
          <w:tcPr>
            <w:tcW w:w="860" w:type="pct"/>
            <w:vAlign w:val="center"/>
          </w:tcPr>
          <w:p w:rsidR="000E02C5" w:rsidRPr="00687B52" w:rsidRDefault="000E02C5" w:rsidP="00B527D4">
            <w:pPr>
              <w:pStyle w:val="a7"/>
              <w:jc w:val="left"/>
              <w:rPr>
                <w:b/>
                <w:color w:val="000000" w:themeColor="text1"/>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进出天燃气站场的天然气管道应设截断阀，并应能在事故状况下易于接近且便于操作。三、四级站场的截断阀应有自动切断功能。当站场内有两套及两套以上天然气处理装置时，每套装置的天然气进出口管道均应设置截断阀。进站场天然气管道上的截断阀前应设泄压放空阀。</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6.1.1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甲、乙类油品储罐、容器、工艺设备和甲、乙类地面管道当需要保温时，应采用非燃烧保温材料；低温保冷可采用泡沫塑料，但其保护层外壳应采用不燃烧材料。</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6.1.7</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加热炉以天然气为燃料时，供气系统应符合下列要求：</w:t>
            </w:r>
          </w:p>
          <w:p w:rsidR="000E02C5" w:rsidRPr="00687B52" w:rsidRDefault="000E02C5" w:rsidP="00B527D4">
            <w:pPr>
              <w:pStyle w:val="a7"/>
              <w:jc w:val="left"/>
              <w:rPr>
                <w:color w:val="000000" w:themeColor="text1"/>
              </w:rPr>
            </w:pPr>
            <w:r w:rsidRPr="00687B52">
              <w:rPr>
                <w:rFonts w:hint="eastAsia"/>
                <w:color w:val="000000" w:themeColor="text1"/>
              </w:rPr>
              <w:t>①宜烧干气，配气管网的设计压力不宜大于</w:t>
            </w:r>
            <w:r w:rsidRPr="00687B52">
              <w:rPr>
                <w:rFonts w:hint="eastAsia"/>
                <w:color w:val="000000" w:themeColor="text1"/>
              </w:rPr>
              <w:t>0.4MPa</w:t>
            </w:r>
            <w:r w:rsidRPr="00687B52">
              <w:rPr>
                <w:rFonts w:hint="eastAsia"/>
                <w:color w:val="000000" w:themeColor="text1"/>
              </w:rPr>
              <w:t>（表压）。</w:t>
            </w:r>
          </w:p>
          <w:p w:rsidR="000E02C5" w:rsidRPr="00687B52" w:rsidRDefault="000E02C5" w:rsidP="00B527D4">
            <w:pPr>
              <w:pStyle w:val="a7"/>
              <w:jc w:val="left"/>
              <w:rPr>
                <w:color w:val="000000" w:themeColor="text1"/>
              </w:rPr>
            </w:pPr>
            <w:r w:rsidRPr="00687B52">
              <w:rPr>
                <w:rFonts w:hint="eastAsia"/>
                <w:color w:val="000000" w:themeColor="text1"/>
              </w:rPr>
              <w:t>②当使用有凝液析出的天然气作燃料时，管道上宜设置分液包。</w:t>
            </w:r>
          </w:p>
          <w:p w:rsidR="000E02C5" w:rsidRPr="00687B52" w:rsidRDefault="000E02C5" w:rsidP="00B527D4">
            <w:pPr>
              <w:pStyle w:val="a7"/>
              <w:jc w:val="left"/>
              <w:rPr>
                <w:color w:val="000000" w:themeColor="text1"/>
              </w:rPr>
            </w:pPr>
            <w:r w:rsidRPr="00687B52">
              <w:rPr>
                <w:rFonts w:hint="eastAsia"/>
                <w:color w:val="000000" w:themeColor="text1"/>
              </w:rPr>
              <w:t>③加热炉炉膛内宜设常明灯，其气源可从燃料气调节阀前的管道上引向炉膛。</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6.1.15</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加热炉或锅炉燃料油的供油系统应符合下列要求：</w:t>
            </w:r>
          </w:p>
          <w:p w:rsidR="000E02C5" w:rsidRPr="00687B52" w:rsidRDefault="000E02C5" w:rsidP="00B527D4">
            <w:pPr>
              <w:pStyle w:val="a7"/>
              <w:jc w:val="left"/>
              <w:rPr>
                <w:color w:val="000000" w:themeColor="text1"/>
              </w:rPr>
            </w:pPr>
            <w:r w:rsidRPr="00687B52">
              <w:rPr>
                <w:rFonts w:hint="eastAsia"/>
                <w:color w:val="000000" w:themeColor="text1"/>
              </w:rPr>
              <w:t>①燃料油泵和被加热的油气进、出口阀不应布置在烧火间内；当燃料油泵与烧火间毗邻布置时，应设防火墙。</w:t>
            </w:r>
          </w:p>
          <w:p w:rsidR="000E02C5" w:rsidRPr="00687B52" w:rsidRDefault="000E02C5" w:rsidP="00B527D4">
            <w:pPr>
              <w:pStyle w:val="a7"/>
              <w:jc w:val="left"/>
              <w:rPr>
                <w:color w:val="000000" w:themeColor="text1"/>
              </w:rPr>
            </w:pPr>
            <w:r w:rsidRPr="00687B52">
              <w:rPr>
                <w:rFonts w:hint="eastAsia"/>
                <w:color w:val="000000" w:themeColor="text1"/>
              </w:rPr>
              <w:t>②当燃料油储罐总容积不大于</w:t>
            </w:r>
            <w:r w:rsidRPr="00687B52">
              <w:rPr>
                <w:rFonts w:hint="eastAsia"/>
                <w:color w:val="000000" w:themeColor="text1"/>
              </w:rPr>
              <w:t>20m</w:t>
            </w:r>
            <w:r w:rsidRPr="00687B52">
              <w:rPr>
                <w:rFonts w:hint="eastAsia"/>
                <w:color w:val="000000" w:themeColor="text1"/>
                <w:vertAlign w:val="superscript"/>
              </w:rPr>
              <w:t>3</w:t>
            </w:r>
            <w:r w:rsidRPr="00687B52">
              <w:rPr>
                <w:rFonts w:hint="eastAsia"/>
                <w:color w:val="000000" w:themeColor="text1"/>
              </w:rPr>
              <w:t>时，与加热炉的防火间距不应小于</w:t>
            </w:r>
            <w:r w:rsidRPr="00687B52">
              <w:rPr>
                <w:rFonts w:hint="eastAsia"/>
                <w:color w:val="000000" w:themeColor="text1"/>
              </w:rPr>
              <w:t>8m</w:t>
            </w:r>
            <w:r w:rsidRPr="00687B52">
              <w:rPr>
                <w:rFonts w:hint="eastAsia"/>
                <w:color w:val="000000" w:themeColor="text1"/>
              </w:rPr>
              <w:t>；当大于</w:t>
            </w:r>
            <w:r w:rsidRPr="00687B52">
              <w:rPr>
                <w:rFonts w:hint="eastAsia"/>
                <w:color w:val="000000" w:themeColor="text1"/>
              </w:rPr>
              <w:t>20m</w:t>
            </w:r>
            <w:r w:rsidRPr="00687B52">
              <w:rPr>
                <w:rFonts w:hint="eastAsia"/>
                <w:color w:val="000000" w:themeColor="text1"/>
                <w:vertAlign w:val="superscript"/>
              </w:rPr>
              <w:t>3</w:t>
            </w:r>
            <w:r w:rsidRPr="00687B52">
              <w:rPr>
                <w:rFonts w:hint="eastAsia"/>
                <w:color w:val="000000" w:themeColor="text1"/>
              </w:rPr>
              <w:t>至</w:t>
            </w:r>
            <w:r w:rsidRPr="00687B52">
              <w:rPr>
                <w:rFonts w:hint="eastAsia"/>
                <w:color w:val="000000" w:themeColor="text1"/>
              </w:rPr>
              <w:t>30m</w:t>
            </w:r>
            <w:r w:rsidRPr="00687B52">
              <w:rPr>
                <w:rFonts w:hint="eastAsia"/>
                <w:color w:val="000000" w:themeColor="text1"/>
                <w:vertAlign w:val="superscript"/>
              </w:rPr>
              <w:t>3</w:t>
            </w:r>
            <w:r w:rsidRPr="00687B52">
              <w:rPr>
                <w:rFonts w:hint="eastAsia"/>
                <w:color w:val="000000" w:themeColor="text1"/>
              </w:rPr>
              <w:t>时，不应小于</w:t>
            </w:r>
            <w:r w:rsidRPr="00687B52">
              <w:rPr>
                <w:rFonts w:hint="eastAsia"/>
                <w:color w:val="000000" w:themeColor="text1"/>
              </w:rPr>
              <w:t>15m</w:t>
            </w:r>
            <w:r w:rsidRPr="00687B52">
              <w:rPr>
                <w:rFonts w:hint="eastAsia"/>
                <w:color w:val="000000" w:themeColor="text1"/>
              </w:rPr>
              <w:t>。燃料油储罐与燃料油泵的间距不限。加热炉烧火口或防爆门不应直接朝向燃料油储罐。</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6.2.1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电动往复泵、齿轮泵或螺杆泵的出口管道上应设安全阀；安全阀放空管应接至泵入口管道上，并宜设事故停车联锁装置。</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6.2.5</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甲、乙类油品离心泵，天然气压缩机在停电、停气或操作不正常工作情况下，介质倒流有可能造成事故时，应在出口管道上安装止回阀。</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6.2.6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负压原油稳定装置的负压系统应有防止空气进入系统的措施。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6.2.7</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油气站场内，当使用内燃机驱动泵和天然气压缩机时，应符合下列要求：</w:t>
            </w:r>
          </w:p>
          <w:p w:rsidR="000E02C5" w:rsidRPr="00687B52" w:rsidRDefault="000E02C5" w:rsidP="00B527D4">
            <w:pPr>
              <w:pStyle w:val="a7"/>
              <w:jc w:val="left"/>
              <w:rPr>
                <w:color w:val="000000" w:themeColor="text1"/>
              </w:rPr>
            </w:pPr>
            <w:r w:rsidRPr="00687B52">
              <w:rPr>
                <w:rFonts w:hint="eastAsia"/>
                <w:color w:val="000000" w:themeColor="text1"/>
              </w:rPr>
              <w:t>①内燃机排气管应有隔热层，出口处应设防火罩。当排气管穿过屋顶时，其管口应高出屋顶</w:t>
            </w:r>
            <w:r w:rsidRPr="00687B52">
              <w:rPr>
                <w:rFonts w:hint="eastAsia"/>
                <w:color w:val="000000" w:themeColor="text1"/>
              </w:rPr>
              <w:t>2m</w:t>
            </w:r>
            <w:r w:rsidRPr="00687B52">
              <w:rPr>
                <w:rFonts w:hint="eastAsia"/>
                <w:color w:val="000000" w:themeColor="text1"/>
              </w:rPr>
              <w:t>；当穿过侧墙时，排气方向应避开散发油气或有爆炸危险的场所。</w:t>
            </w:r>
          </w:p>
          <w:p w:rsidR="000E02C5" w:rsidRPr="00687B52" w:rsidRDefault="000E02C5" w:rsidP="00B527D4">
            <w:pPr>
              <w:pStyle w:val="a7"/>
              <w:jc w:val="left"/>
              <w:rPr>
                <w:color w:val="000000" w:themeColor="text1"/>
              </w:rPr>
            </w:pPr>
            <w:r w:rsidRPr="00687B52">
              <w:rPr>
                <w:rFonts w:hint="eastAsia"/>
                <w:color w:val="000000" w:themeColor="text1"/>
              </w:rPr>
              <w:t>②内燃机的燃料油储罐宜露天设置。内燃机供油管道不应架空引至内燃机油箱。在靠近燃料油储罐出口和内燃机油箱进口处应分别设切断阀。</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6.3.2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布置在爆炸危险区域内的非防爆型在线分析一次仪表间（箱），应正压通风。</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6.3.5</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进出装置的可燃气体、液化石油气、可燃液体的管道，在装置边界处应设截断阀和</w:t>
            </w:r>
            <w:r w:rsidRPr="00687B52">
              <w:rPr>
                <w:rFonts w:hint="eastAsia"/>
                <w:color w:val="000000" w:themeColor="text1"/>
              </w:rPr>
              <w:t>8</w:t>
            </w:r>
            <w:r w:rsidRPr="00687B52">
              <w:rPr>
                <w:rFonts w:hint="eastAsia"/>
                <w:color w:val="000000" w:themeColor="text1"/>
              </w:rPr>
              <w:t>字盲板或其他截断设施，确保装置检修安全。</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6.3.7</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可燃气体压缩机的吸入管道，应有放置产的负压的措施。多级压缩的可燃气体压缩机各段间，应设冷却和气液分离设备，防止气体带液进入气缸。</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6.3.8</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正压通风设施的取风口，宜位于含甲、乙类介质设备的全年最小频率风向的下风侧。取风口应高出爆炸危险区</w:t>
            </w:r>
            <w:r w:rsidRPr="00687B52">
              <w:rPr>
                <w:rFonts w:hint="eastAsia"/>
                <w:color w:val="000000" w:themeColor="text1"/>
              </w:rPr>
              <w:t>1.5m</w:t>
            </w:r>
            <w:r w:rsidRPr="00687B52">
              <w:rPr>
                <w:rFonts w:hint="eastAsia"/>
                <w:color w:val="000000" w:themeColor="text1"/>
              </w:rPr>
              <w:t>以上，并应高出地面</w:t>
            </w:r>
            <w:r w:rsidRPr="00687B52">
              <w:rPr>
                <w:rFonts w:hint="eastAsia"/>
                <w:color w:val="000000" w:themeColor="text1"/>
              </w:rPr>
              <w:t>9m</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6.3.9</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可能超压的下列设备及管道应设安全阀：</w:t>
            </w:r>
          </w:p>
          <w:p w:rsidR="000E02C5" w:rsidRPr="00687B52" w:rsidRDefault="000E02C5" w:rsidP="00B527D4">
            <w:pPr>
              <w:pStyle w:val="a7"/>
              <w:jc w:val="both"/>
              <w:rPr>
                <w:color w:val="000000" w:themeColor="text1"/>
              </w:rPr>
            </w:pPr>
            <w:r w:rsidRPr="00687B52">
              <w:rPr>
                <w:rFonts w:hint="eastAsia"/>
                <w:color w:val="000000" w:themeColor="text1"/>
              </w:rPr>
              <w:t>1</w:t>
            </w:r>
            <w:r w:rsidRPr="00687B52">
              <w:rPr>
                <w:rFonts w:hint="eastAsia"/>
                <w:color w:val="000000" w:themeColor="text1"/>
              </w:rPr>
              <w:t>）顶部操作压力大于</w:t>
            </w:r>
            <w:r w:rsidRPr="00687B52">
              <w:rPr>
                <w:rFonts w:hint="eastAsia"/>
                <w:color w:val="000000" w:themeColor="text1"/>
              </w:rPr>
              <w:t>0.07MPa</w:t>
            </w:r>
            <w:r w:rsidRPr="00687B52">
              <w:rPr>
                <w:rFonts w:hint="eastAsia"/>
                <w:color w:val="000000" w:themeColor="text1"/>
              </w:rPr>
              <w:t>的压力容器；</w:t>
            </w:r>
          </w:p>
          <w:p w:rsidR="000E02C5" w:rsidRPr="00687B52" w:rsidRDefault="000E02C5" w:rsidP="00B527D4">
            <w:pPr>
              <w:pStyle w:val="a7"/>
              <w:jc w:val="both"/>
              <w:rPr>
                <w:color w:val="000000" w:themeColor="text1"/>
              </w:rPr>
            </w:pPr>
            <w:r w:rsidRPr="00687B52">
              <w:rPr>
                <w:rFonts w:hint="eastAsia"/>
                <w:color w:val="000000" w:themeColor="text1"/>
              </w:rPr>
              <w:t>2</w:t>
            </w:r>
            <w:r w:rsidRPr="00687B52">
              <w:rPr>
                <w:rFonts w:hint="eastAsia"/>
                <w:color w:val="000000" w:themeColor="text1"/>
              </w:rPr>
              <w:t>）顶部操作压力大于</w:t>
            </w:r>
            <w:r w:rsidRPr="00687B52">
              <w:rPr>
                <w:rFonts w:hint="eastAsia"/>
                <w:color w:val="000000" w:themeColor="text1"/>
              </w:rPr>
              <w:t>0.03MPa</w:t>
            </w:r>
            <w:r w:rsidRPr="00687B52">
              <w:rPr>
                <w:rFonts w:hint="eastAsia"/>
                <w:color w:val="000000" w:themeColor="text1"/>
              </w:rPr>
              <w:t>的蒸馏塔、蒸发塔和汽提塔（汽提塔顶蒸汽直接通入另一蒸馏塔者除外）；</w:t>
            </w:r>
          </w:p>
          <w:p w:rsidR="000E02C5" w:rsidRPr="00687B52" w:rsidRDefault="000E02C5" w:rsidP="00B527D4">
            <w:pPr>
              <w:pStyle w:val="a7"/>
              <w:jc w:val="both"/>
              <w:rPr>
                <w:color w:val="000000" w:themeColor="text1"/>
              </w:rPr>
            </w:pPr>
            <w:r w:rsidRPr="00687B52">
              <w:rPr>
                <w:rFonts w:hint="eastAsia"/>
                <w:color w:val="000000" w:themeColor="text1"/>
              </w:rPr>
              <w:t>3</w:t>
            </w:r>
            <w:r w:rsidRPr="00687B52">
              <w:rPr>
                <w:rFonts w:hint="eastAsia"/>
                <w:color w:val="000000" w:themeColor="text1"/>
              </w:rPr>
              <w:t>）与鼓风机、离心式压缩机、离心泵或蒸汽往复泵出口连接的设备不能承受其最高压力时，上述机泵的出门；可燃气体或液体受热膨胀时，可能超过设计压力的设备及管道。</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6.8.1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放空管道必须保持畅通，并应符合下列要求：</w:t>
            </w:r>
          </w:p>
          <w:p w:rsidR="000E02C5" w:rsidRPr="00687B52" w:rsidRDefault="000E02C5" w:rsidP="00B527D4">
            <w:pPr>
              <w:pStyle w:val="a7"/>
              <w:jc w:val="both"/>
              <w:rPr>
                <w:color w:val="000000" w:themeColor="text1"/>
              </w:rPr>
            </w:pPr>
            <w:r w:rsidRPr="00687B52">
              <w:rPr>
                <w:rFonts w:hint="eastAsia"/>
                <w:color w:val="000000" w:themeColor="text1"/>
              </w:rPr>
              <w:t>①高压、低压放空管宜分别设置，并应直接与火炬或放空总管连接；②不同排放压力的可燃气体放空管接入同一排放系统时，应确保不同压力的放空点能同时安全排放。</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6.8.6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火炬设置应符合下列要求：</w:t>
            </w:r>
          </w:p>
          <w:p w:rsidR="000E02C5" w:rsidRPr="00687B52" w:rsidRDefault="000E02C5" w:rsidP="00B527D4">
            <w:pPr>
              <w:pStyle w:val="a7"/>
              <w:jc w:val="both"/>
              <w:rPr>
                <w:color w:val="000000" w:themeColor="text1"/>
              </w:rPr>
            </w:pPr>
            <w:r w:rsidRPr="00687B52">
              <w:rPr>
                <w:rFonts w:hint="eastAsia"/>
                <w:color w:val="000000" w:themeColor="text1"/>
              </w:rPr>
              <w:t>①火炬的高度，应经辐射热计算确定，确保火炬下部及周围人员和设备的安全。</w:t>
            </w:r>
          </w:p>
          <w:p w:rsidR="000E02C5" w:rsidRPr="00687B52" w:rsidRDefault="000E02C5" w:rsidP="00B527D4">
            <w:pPr>
              <w:pStyle w:val="a7"/>
              <w:jc w:val="both"/>
              <w:rPr>
                <w:color w:val="000000" w:themeColor="text1"/>
              </w:rPr>
            </w:pPr>
            <w:r w:rsidRPr="00687B52">
              <w:rPr>
                <w:rFonts w:hint="eastAsia"/>
                <w:color w:val="000000" w:themeColor="text1"/>
              </w:rPr>
              <w:t>②进入火炬的可燃气体应经凝液分离罐分离出气体中直径大于</w:t>
            </w:r>
            <w:r w:rsidRPr="00687B52">
              <w:rPr>
                <w:rFonts w:hint="eastAsia"/>
                <w:color w:val="000000" w:themeColor="text1"/>
              </w:rPr>
              <w:t>300</w:t>
            </w:r>
            <w:r w:rsidRPr="00687B52">
              <w:rPr>
                <w:rFonts w:hint="eastAsia"/>
                <w:color w:val="000000" w:themeColor="text1"/>
              </w:rPr>
              <w:t>μ</w:t>
            </w:r>
            <w:r w:rsidRPr="00687B52">
              <w:rPr>
                <w:rFonts w:hint="eastAsia"/>
                <w:color w:val="000000" w:themeColor="text1"/>
              </w:rPr>
              <w:t>m</w:t>
            </w:r>
            <w:r w:rsidRPr="00687B52">
              <w:rPr>
                <w:rFonts w:hint="eastAsia"/>
                <w:color w:val="000000" w:themeColor="text1"/>
              </w:rPr>
              <w:t>的液滴；分离出的凝液应密闭回收或送至焚烧坑焚烧。</w:t>
            </w:r>
          </w:p>
          <w:p w:rsidR="000E02C5" w:rsidRPr="00687B52" w:rsidRDefault="000E02C5" w:rsidP="00B527D4">
            <w:pPr>
              <w:pStyle w:val="a7"/>
              <w:jc w:val="both"/>
              <w:rPr>
                <w:color w:val="000000" w:themeColor="text1"/>
              </w:rPr>
            </w:pPr>
            <w:r w:rsidRPr="00687B52">
              <w:rPr>
                <w:rFonts w:hint="eastAsia"/>
                <w:color w:val="000000" w:themeColor="text1"/>
              </w:rPr>
              <w:t>③应有防止回火的措施。</w:t>
            </w:r>
          </w:p>
          <w:p w:rsidR="000E02C5" w:rsidRPr="00687B52" w:rsidRDefault="000E02C5" w:rsidP="00B527D4">
            <w:pPr>
              <w:pStyle w:val="a7"/>
              <w:jc w:val="both"/>
              <w:rPr>
                <w:color w:val="000000" w:themeColor="text1"/>
              </w:rPr>
            </w:pPr>
            <w:r w:rsidRPr="00687B52">
              <w:rPr>
                <w:rFonts w:hint="eastAsia"/>
                <w:color w:val="000000" w:themeColor="text1"/>
              </w:rPr>
              <w:t>④火炬应有可靠的点火设施。</w:t>
            </w:r>
          </w:p>
          <w:p w:rsidR="000E02C5" w:rsidRPr="00687B52" w:rsidRDefault="000E02C5" w:rsidP="00B527D4">
            <w:pPr>
              <w:pStyle w:val="a7"/>
              <w:jc w:val="both"/>
              <w:rPr>
                <w:color w:val="000000" w:themeColor="text1"/>
              </w:rPr>
            </w:pPr>
            <w:r w:rsidRPr="00687B52">
              <w:rPr>
                <w:rFonts w:hint="eastAsia"/>
                <w:color w:val="000000" w:themeColor="text1"/>
              </w:rPr>
              <w:t>⑤距火炬</w:t>
            </w:r>
            <w:r w:rsidRPr="00687B52">
              <w:rPr>
                <w:rFonts w:hint="eastAsia"/>
                <w:color w:val="000000" w:themeColor="text1"/>
              </w:rPr>
              <w:t>30m</w:t>
            </w:r>
            <w:r w:rsidRPr="00687B52">
              <w:rPr>
                <w:rFonts w:hint="eastAsia"/>
                <w:color w:val="000000" w:themeColor="text1"/>
              </w:rPr>
              <w:t>范围内，严禁可燃气体放空。</w:t>
            </w:r>
          </w:p>
          <w:p w:rsidR="000E02C5" w:rsidRPr="00687B52" w:rsidRDefault="000E02C5" w:rsidP="00B527D4">
            <w:pPr>
              <w:pStyle w:val="a7"/>
              <w:jc w:val="both"/>
              <w:rPr>
                <w:color w:val="000000" w:themeColor="text1"/>
              </w:rPr>
            </w:pPr>
            <w:r w:rsidRPr="00687B52">
              <w:rPr>
                <w:rFonts w:hint="eastAsia"/>
                <w:color w:val="000000" w:themeColor="text1"/>
              </w:rPr>
              <w:t>⑥液体、低热值可燃气体、空气和惰性气体，不得排入火炬系统。</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6.8.7</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可燃气体放空应符合下列要求：</w:t>
            </w:r>
          </w:p>
          <w:p w:rsidR="000E02C5" w:rsidRPr="00687B52" w:rsidRDefault="000E02C5" w:rsidP="00B527D4">
            <w:pPr>
              <w:pStyle w:val="a7"/>
              <w:jc w:val="both"/>
              <w:rPr>
                <w:color w:val="000000" w:themeColor="text1"/>
              </w:rPr>
            </w:pPr>
            <w:r w:rsidRPr="00687B52">
              <w:rPr>
                <w:rFonts w:hint="eastAsia"/>
                <w:color w:val="000000" w:themeColor="text1"/>
              </w:rPr>
              <w:t>①可能存在点火源的区域内不应形成爆炸性气体混合物。</w:t>
            </w:r>
          </w:p>
          <w:p w:rsidR="000E02C5" w:rsidRPr="00687B52" w:rsidRDefault="000E02C5" w:rsidP="00B527D4">
            <w:pPr>
              <w:pStyle w:val="a7"/>
              <w:jc w:val="both"/>
              <w:rPr>
                <w:color w:val="000000" w:themeColor="text1"/>
              </w:rPr>
            </w:pPr>
            <w:r w:rsidRPr="00687B52">
              <w:rPr>
                <w:rFonts w:hint="eastAsia"/>
                <w:color w:val="000000" w:themeColor="text1"/>
              </w:rPr>
              <w:t>②有害物质的浓度及排放量应符合有关污染物排放标准的规定。</w:t>
            </w:r>
          </w:p>
          <w:p w:rsidR="000E02C5" w:rsidRPr="00687B52" w:rsidRDefault="000E02C5" w:rsidP="00B527D4">
            <w:pPr>
              <w:pStyle w:val="a7"/>
              <w:jc w:val="both"/>
              <w:rPr>
                <w:color w:val="000000" w:themeColor="text1"/>
              </w:rPr>
            </w:pPr>
            <w:r w:rsidRPr="00687B52">
              <w:rPr>
                <w:rFonts w:hint="eastAsia"/>
                <w:color w:val="000000" w:themeColor="text1"/>
              </w:rPr>
              <w:t>③放空时形成的噪声应符合有关卫生标准。</w:t>
            </w:r>
          </w:p>
          <w:p w:rsidR="000E02C5" w:rsidRPr="00687B52" w:rsidRDefault="000E02C5" w:rsidP="00B527D4">
            <w:pPr>
              <w:pStyle w:val="a7"/>
              <w:jc w:val="both"/>
              <w:rPr>
                <w:color w:val="000000" w:themeColor="text1"/>
              </w:rPr>
            </w:pPr>
            <w:r w:rsidRPr="00687B52">
              <w:rPr>
                <w:rFonts w:hint="eastAsia"/>
                <w:color w:val="000000" w:themeColor="text1"/>
              </w:rPr>
              <w:t>④连续排放的可燃气体排气筒顶或放空管口，应高出</w:t>
            </w:r>
            <w:r w:rsidRPr="00687B52">
              <w:rPr>
                <w:rFonts w:hint="eastAsia"/>
                <w:color w:val="000000" w:themeColor="text1"/>
              </w:rPr>
              <w:t>20m</w:t>
            </w:r>
            <w:r w:rsidRPr="00687B52">
              <w:rPr>
                <w:rFonts w:hint="eastAsia"/>
                <w:color w:val="000000" w:themeColor="text1"/>
              </w:rPr>
              <w:t>范围内的平台或建筑物顶</w:t>
            </w:r>
            <w:r w:rsidRPr="00687B52">
              <w:rPr>
                <w:rFonts w:hint="eastAsia"/>
                <w:color w:val="000000" w:themeColor="text1"/>
              </w:rPr>
              <w:t>2.0m</w:t>
            </w:r>
            <w:r w:rsidRPr="00687B52">
              <w:rPr>
                <w:rFonts w:hint="eastAsia"/>
                <w:color w:val="000000" w:themeColor="text1"/>
              </w:rPr>
              <w:t>以上。对位于</w:t>
            </w:r>
            <w:r w:rsidRPr="00687B52">
              <w:rPr>
                <w:rFonts w:hint="eastAsia"/>
                <w:color w:val="000000" w:themeColor="text1"/>
              </w:rPr>
              <w:t>20m</w:t>
            </w:r>
            <w:r w:rsidRPr="00687B52">
              <w:rPr>
                <w:rFonts w:hint="eastAsia"/>
                <w:color w:val="000000" w:themeColor="text1"/>
              </w:rPr>
              <w:t>以外的平台或建筑物顶，应满足下图的要求，并应高出所在地面</w:t>
            </w:r>
            <w:r w:rsidRPr="00687B52">
              <w:rPr>
                <w:rFonts w:hint="eastAsia"/>
                <w:color w:val="000000" w:themeColor="text1"/>
              </w:rPr>
              <w:t>5m</w:t>
            </w:r>
            <w:r w:rsidRPr="00687B52">
              <w:rPr>
                <w:rFonts w:hint="eastAsia"/>
                <w:color w:val="000000" w:themeColor="text1"/>
              </w:rPr>
              <w:t>。</w:t>
            </w:r>
          </w:p>
          <w:p w:rsidR="000E02C5" w:rsidRPr="00687B52" w:rsidRDefault="000E02C5"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noProof/>
                <w:color w:val="000000" w:themeColor="text1"/>
                <w:kern w:val="0"/>
                <w:sz w:val="24"/>
                <w:szCs w:val="24"/>
              </w:rPr>
              <w:drawing>
                <wp:inline distT="0" distB="0" distL="0" distR="0">
                  <wp:extent cx="3035435" cy="2437143"/>
                  <wp:effectExtent l="19050" t="0" r="0" b="0"/>
                  <wp:docPr id="2" name="图片 3" descr="C:\Users\Administrator\AppData\Roaming\Tencent\Users\312547442\QQ\WinTemp\RichOle\SJ)$UJ8XYWW`F@8M{[D3Y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312547442\QQ\WinTemp\RichOle\SJ)$UJ8XYWW`F@8M{[D3YD2.png"/>
                          <pic:cNvPicPr>
                            <a:picLocks noChangeAspect="1" noChangeArrowheads="1"/>
                          </pic:cNvPicPr>
                        </pic:nvPicPr>
                        <pic:blipFill>
                          <a:blip r:embed="rId59"/>
                          <a:srcRect/>
                          <a:stretch>
                            <a:fillRect/>
                          </a:stretch>
                        </pic:blipFill>
                        <pic:spPr bwMode="auto">
                          <a:xfrm>
                            <a:off x="0" y="0"/>
                            <a:ext cx="3040390" cy="2441121"/>
                          </a:xfrm>
                          <a:prstGeom prst="rect">
                            <a:avLst/>
                          </a:prstGeom>
                          <a:noFill/>
                          <a:ln w="9525">
                            <a:noFill/>
                            <a:miter lim="800000"/>
                            <a:headEnd/>
                            <a:tailEnd/>
                          </a:ln>
                        </pic:spPr>
                      </pic:pic>
                    </a:graphicData>
                  </a:graphic>
                </wp:inline>
              </w:drawing>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6.8.8</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甲、乙类液体排放应符合下列要求：</w:t>
            </w:r>
          </w:p>
          <w:p w:rsidR="000E02C5" w:rsidRPr="00687B52" w:rsidRDefault="000E02C5" w:rsidP="00B527D4">
            <w:pPr>
              <w:pStyle w:val="a7"/>
              <w:jc w:val="both"/>
              <w:rPr>
                <w:color w:val="000000" w:themeColor="text1"/>
              </w:rPr>
            </w:pPr>
            <w:r w:rsidRPr="00687B52">
              <w:rPr>
                <w:rFonts w:hint="eastAsia"/>
                <w:color w:val="000000" w:themeColor="text1"/>
              </w:rPr>
              <w:t>①排放时可能释放出大量气体或蒸汽的液体，不得直接排入大气，应引入分离设备，分出的气体引入可燃气体放空系统，液体引入有关储罐或污油系统。</w:t>
            </w:r>
          </w:p>
          <w:p w:rsidR="000E02C5" w:rsidRPr="00687B52" w:rsidRDefault="000E02C5" w:rsidP="00B527D4">
            <w:pPr>
              <w:pStyle w:val="a7"/>
              <w:jc w:val="both"/>
              <w:rPr>
                <w:color w:val="000000" w:themeColor="text1"/>
              </w:rPr>
            </w:pPr>
            <w:r w:rsidRPr="00687B52">
              <w:rPr>
                <w:rFonts w:hint="eastAsia"/>
                <w:color w:val="000000" w:themeColor="text1"/>
              </w:rPr>
              <w:t>②设备或容器内残存的甲、乙类液体，不得排入边沟或下水道，可集中排入有关储罐或污油系统。</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6.8.9</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对存在硫化铁的设备、管道，排污口应设喷水冷却设施。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6.8.10</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原油管道清管器收发筒的污油排放，应符合下列要求：</w:t>
            </w:r>
          </w:p>
          <w:p w:rsidR="000E02C5" w:rsidRPr="00687B52" w:rsidRDefault="000E02C5" w:rsidP="00B527D4">
            <w:pPr>
              <w:pStyle w:val="a7"/>
              <w:jc w:val="both"/>
              <w:rPr>
                <w:color w:val="000000" w:themeColor="text1"/>
              </w:rPr>
            </w:pPr>
            <w:r w:rsidRPr="00687B52">
              <w:rPr>
                <w:rFonts w:hint="eastAsia"/>
                <w:color w:val="000000" w:themeColor="text1"/>
              </w:rPr>
              <w:t>①清管器收发筒应设清扫系统和污油接收系统。</w:t>
            </w:r>
          </w:p>
          <w:p w:rsidR="000E02C5" w:rsidRPr="00687B52" w:rsidRDefault="000E02C5" w:rsidP="00B527D4">
            <w:pPr>
              <w:pStyle w:val="a7"/>
              <w:jc w:val="both"/>
              <w:rPr>
                <w:color w:val="000000" w:themeColor="text1"/>
              </w:rPr>
            </w:pPr>
            <w:r w:rsidRPr="00687B52">
              <w:rPr>
                <w:rFonts w:hint="eastAsia"/>
                <w:color w:val="000000" w:themeColor="text1"/>
              </w:rPr>
              <w:t>②污油池中的污油应引入污油系统。</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6.8.11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天然气管道清管作业排出的液态污物若不含甲、乙类可燃液体，可排入就近设置的排污池；若含有甲、乙类可燃液体，应密闭回收可燃液体或在安全位置设置凝液焚烧坑。</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6.8.12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甲、乙类工艺设备平台、操作平台，宜设</w:t>
            </w:r>
            <w:r w:rsidRPr="00687B52">
              <w:rPr>
                <w:rFonts w:hint="eastAsia"/>
                <w:color w:val="000000" w:themeColor="text1"/>
              </w:rPr>
              <w:t>2</w:t>
            </w:r>
            <w:r w:rsidRPr="00687B52">
              <w:rPr>
                <w:rFonts w:hint="eastAsia"/>
                <w:color w:val="000000" w:themeColor="text1"/>
              </w:rPr>
              <w:t>个通向地面的梯子。长度小于</w:t>
            </w:r>
            <w:r w:rsidRPr="00687B52">
              <w:rPr>
                <w:rFonts w:hint="eastAsia"/>
                <w:color w:val="000000" w:themeColor="text1"/>
              </w:rPr>
              <w:t>8m</w:t>
            </w:r>
            <w:r w:rsidRPr="00687B52">
              <w:rPr>
                <w:rFonts w:hint="eastAsia"/>
                <w:color w:val="000000" w:themeColor="text1"/>
              </w:rPr>
              <w:t>的甲类设备平台和长度小于</w:t>
            </w:r>
            <w:r w:rsidRPr="00687B52">
              <w:rPr>
                <w:rFonts w:hint="eastAsia"/>
                <w:color w:val="000000" w:themeColor="text1"/>
              </w:rPr>
              <w:t>15m</w:t>
            </w:r>
            <w:r w:rsidRPr="00687B52">
              <w:rPr>
                <w:rFonts w:hint="eastAsia"/>
                <w:color w:val="000000" w:themeColor="text1"/>
              </w:rPr>
              <w:t>的乙类设备平台，可设</w:t>
            </w:r>
            <w:r w:rsidRPr="00687B52">
              <w:rPr>
                <w:rFonts w:hint="eastAsia"/>
                <w:color w:val="000000" w:themeColor="text1"/>
              </w:rPr>
              <w:t>1</w:t>
            </w:r>
            <w:r w:rsidRPr="00687B52">
              <w:rPr>
                <w:rFonts w:hint="eastAsia"/>
                <w:color w:val="000000" w:themeColor="text1"/>
              </w:rPr>
              <w:t>个梯子。相邻的平台和框架可根据疏散要求设走桥连通。</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6.9.6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火车、汽车装卸油栈台、操作平台均应采用非燃烧材料建造。</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6.9.7</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立式圆筒油品加热炉、液化石油气储罐的钢柱、梁、支撑，塔的框架钢支柱，罐组砖、石、钢筋混凝土防火堤无培土的内侧和顶部，均应涂保护层，其耐火极限不应小于</w:t>
            </w:r>
            <w:r w:rsidRPr="00687B52">
              <w:rPr>
                <w:rFonts w:hint="eastAsia"/>
                <w:color w:val="000000" w:themeColor="text1"/>
              </w:rPr>
              <w:t>2h</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6.9.7</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输油泵泵型应根据所输油品性质合理选择。当在输送温度下油品的动力黏度在</w:t>
            </w:r>
            <w:r w:rsidRPr="00687B52">
              <w:rPr>
                <w:color w:val="000000" w:themeColor="text1"/>
              </w:rPr>
              <w:t xml:space="preserve">100mPa </w:t>
            </w:r>
            <w:r w:rsidRPr="00687B52">
              <w:rPr>
                <w:color w:val="000000" w:themeColor="text1"/>
              </w:rPr>
              <w:t>•</w:t>
            </w:r>
            <w:r w:rsidRPr="00687B52">
              <w:rPr>
                <w:rFonts w:hint="eastAsia"/>
                <w:color w:val="000000" w:themeColor="text1"/>
              </w:rPr>
              <w:t>s</w:t>
            </w:r>
            <w:r w:rsidRPr="00687B52">
              <w:rPr>
                <w:rFonts w:hint="eastAsia"/>
                <w:color w:val="000000" w:themeColor="text1"/>
              </w:rPr>
              <w:t>以下时，宜选用离心泵。泵机组不应少于</w:t>
            </w:r>
            <w:r w:rsidRPr="00687B52">
              <w:rPr>
                <w:rFonts w:hint="eastAsia"/>
                <w:color w:val="000000" w:themeColor="text1"/>
              </w:rPr>
              <w:t>2</w:t>
            </w:r>
            <w:r w:rsidRPr="00687B52">
              <w:rPr>
                <w:rFonts w:hint="eastAsia"/>
                <w:color w:val="000000" w:themeColor="text1"/>
              </w:rPr>
              <w:t>台，但不宜多于</w:t>
            </w:r>
            <w:r w:rsidRPr="00687B52">
              <w:rPr>
                <w:rFonts w:hint="eastAsia"/>
                <w:color w:val="000000" w:themeColor="text1"/>
              </w:rPr>
              <w:t>5</w:t>
            </w:r>
            <w:r w:rsidRPr="00687B52">
              <w:rPr>
                <w:rFonts w:hint="eastAsia"/>
                <w:color w:val="000000" w:themeColor="text1"/>
              </w:rPr>
              <w:t>台，并应至少备用</w:t>
            </w:r>
            <w:r w:rsidRPr="00687B52">
              <w:rPr>
                <w:rFonts w:hint="eastAsia"/>
                <w:color w:val="000000" w:themeColor="text1"/>
              </w:rPr>
              <w:t>1</w:t>
            </w:r>
            <w:r w:rsidRPr="00687B52">
              <w:rPr>
                <w:rFonts w:hint="eastAsia"/>
                <w:color w:val="000000" w:themeColor="text1"/>
              </w:rPr>
              <w:t>台。</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6.3.8</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减压站内减压系统的设置应符合下列规定：</w:t>
            </w:r>
          </w:p>
          <w:p w:rsidR="000E02C5" w:rsidRPr="00687B52" w:rsidRDefault="000E02C5" w:rsidP="00B527D4">
            <w:pPr>
              <w:pStyle w:val="a7"/>
              <w:jc w:val="left"/>
              <w:rPr>
                <w:color w:val="000000" w:themeColor="text1"/>
              </w:rPr>
            </w:pPr>
            <w:r w:rsidRPr="00687B52">
              <w:rPr>
                <w:rFonts w:hint="eastAsia"/>
                <w:color w:val="000000" w:themeColor="text1"/>
              </w:rPr>
              <w:t>①减压系统应能保证油品通过上游高点时不出现汽化现象，并应控制下游管道压力不超压；</w:t>
            </w:r>
          </w:p>
          <w:p w:rsidR="000E02C5" w:rsidRPr="00687B52" w:rsidRDefault="000E02C5" w:rsidP="00B527D4">
            <w:pPr>
              <w:pStyle w:val="a7"/>
              <w:jc w:val="left"/>
              <w:rPr>
                <w:color w:val="000000" w:themeColor="text1"/>
              </w:rPr>
            </w:pPr>
            <w:r w:rsidRPr="00687B52">
              <w:rPr>
                <w:rFonts w:hint="eastAsia"/>
                <w:color w:val="000000" w:themeColor="text1"/>
              </w:rPr>
              <w:t>②减压系统应设置备用减压阀，减压阀应选择故障关闭型；</w:t>
            </w:r>
          </w:p>
          <w:p w:rsidR="000E02C5" w:rsidRPr="00687B52" w:rsidRDefault="000E02C5" w:rsidP="00B527D4">
            <w:pPr>
              <w:pStyle w:val="a7"/>
              <w:jc w:val="left"/>
              <w:rPr>
                <w:color w:val="000000" w:themeColor="text1"/>
              </w:rPr>
            </w:pPr>
            <w:r w:rsidRPr="00687B52">
              <w:rPr>
                <w:rFonts w:hint="eastAsia"/>
                <w:color w:val="000000" w:themeColor="text1"/>
              </w:rPr>
              <w:t>③减压站不应设置越站管线；</w:t>
            </w:r>
          </w:p>
          <w:p w:rsidR="000E02C5" w:rsidRPr="00687B52" w:rsidRDefault="000E02C5" w:rsidP="00B527D4">
            <w:pPr>
              <w:pStyle w:val="a7"/>
              <w:jc w:val="left"/>
              <w:rPr>
                <w:color w:val="000000" w:themeColor="text1"/>
              </w:rPr>
            </w:pPr>
            <w:r w:rsidRPr="00687B52">
              <w:rPr>
                <w:rFonts w:hint="eastAsia"/>
                <w:color w:val="000000" w:themeColor="text1"/>
              </w:rPr>
              <w:t>④减压阀上、下游应设置远控截断阀，阀门的压力等级应和减压阀压力等级保持一致，应能保证在管道停输时完全隔断静压力；</w:t>
            </w:r>
          </w:p>
          <w:p w:rsidR="000E02C5" w:rsidRPr="00687B52" w:rsidRDefault="000E02C5" w:rsidP="00B527D4">
            <w:pPr>
              <w:pStyle w:val="a7"/>
              <w:jc w:val="left"/>
              <w:rPr>
                <w:color w:val="000000" w:themeColor="text1"/>
              </w:rPr>
            </w:pPr>
            <w:r w:rsidRPr="00687B52">
              <w:rPr>
                <w:rFonts w:hint="eastAsia"/>
                <w:color w:val="000000" w:themeColor="text1"/>
              </w:rPr>
              <w:t>⑤减压阀组上游应设置过滤器，过滤网孔径尺寸应根据减压阀结构形式确定；</w:t>
            </w:r>
          </w:p>
          <w:p w:rsidR="000E02C5" w:rsidRPr="00687B52" w:rsidRDefault="000E02C5" w:rsidP="00B527D4">
            <w:pPr>
              <w:pStyle w:val="a7"/>
              <w:jc w:val="left"/>
              <w:rPr>
                <w:color w:val="000000" w:themeColor="text1"/>
              </w:rPr>
            </w:pPr>
            <w:r w:rsidRPr="00687B52">
              <w:rPr>
                <w:rFonts w:hint="eastAsia"/>
                <w:color w:val="000000" w:themeColor="text1"/>
              </w:rPr>
              <w:t>⑥设置伴热保温的减压阀组，每路减压阀组应设置单独的伴热回路；⑦减压站内的进、出站管线上应设超压保护泄压阀。</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6.3.11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szCs w:val="24"/>
              </w:rPr>
              <w:t>输油站清管设施的设置应符合下列规定：</w:t>
            </w:r>
          </w:p>
          <w:p w:rsidR="000E02C5" w:rsidRPr="00687B52" w:rsidRDefault="000E02C5" w:rsidP="00B527D4">
            <w:pPr>
              <w:pStyle w:val="a7"/>
              <w:jc w:val="left"/>
              <w:rPr>
                <w:color w:val="000000" w:themeColor="text1"/>
              </w:rPr>
            </w:pPr>
            <w:r w:rsidRPr="00687B52">
              <w:rPr>
                <w:rFonts w:hint="eastAsia"/>
                <w:color w:val="000000" w:themeColor="text1"/>
              </w:rPr>
              <w:t>①</w:t>
            </w:r>
            <w:r w:rsidRPr="00687B52">
              <w:rPr>
                <w:rFonts w:hint="eastAsia"/>
                <w:color w:val="000000" w:themeColor="text1"/>
                <w:szCs w:val="24"/>
              </w:rPr>
              <w:t>输油管道应设置清管设施；</w:t>
            </w:r>
          </w:p>
          <w:p w:rsidR="000E02C5" w:rsidRPr="00687B52" w:rsidRDefault="000E02C5" w:rsidP="00B527D4">
            <w:pPr>
              <w:pStyle w:val="a7"/>
              <w:jc w:val="left"/>
              <w:rPr>
                <w:color w:val="000000" w:themeColor="text1"/>
              </w:rPr>
            </w:pPr>
            <w:r w:rsidRPr="00687B52">
              <w:rPr>
                <w:rFonts w:hint="eastAsia"/>
                <w:color w:val="000000" w:themeColor="text1"/>
              </w:rPr>
              <w:t>②</w:t>
            </w:r>
            <w:r w:rsidRPr="00687B52">
              <w:rPr>
                <w:rFonts w:hint="eastAsia"/>
                <w:color w:val="000000" w:themeColor="text1"/>
                <w:szCs w:val="24"/>
              </w:rPr>
              <w:t>清管器出站端及进站端管线上应设置清管器通过指示器；设置清管器转发设施的站场，应在清管器转发设施的上游和下游管线上设置清管器通过指示器；</w:t>
            </w:r>
          </w:p>
          <w:p w:rsidR="000E02C5" w:rsidRPr="00687B52" w:rsidRDefault="000E02C5" w:rsidP="00B527D4">
            <w:pPr>
              <w:pStyle w:val="a7"/>
              <w:jc w:val="left"/>
              <w:rPr>
                <w:color w:val="000000" w:themeColor="text1"/>
              </w:rPr>
            </w:pPr>
            <w:r w:rsidRPr="00687B52">
              <w:rPr>
                <w:rFonts w:hint="eastAsia"/>
                <w:color w:val="000000" w:themeColor="text1"/>
              </w:rPr>
              <w:t>③</w:t>
            </w:r>
            <w:r w:rsidRPr="00687B52">
              <w:rPr>
                <w:rFonts w:hint="eastAsia"/>
                <w:color w:val="000000" w:themeColor="text1"/>
                <w:szCs w:val="24"/>
              </w:rPr>
              <w:t>清管器接收、发送筒的结构、筒径及长度应能满足通过清管器或检测器的要求；</w:t>
            </w:r>
          </w:p>
          <w:p w:rsidR="000E02C5" w:rsidRPr="00687B52" w:rsidRDefault="000E02C5" w:rsidP="00B527D4">
            <w:pPr>
              <w:pStyle w:val="a7"/>
              <w:jc w:val="left"/>
              <w:rPr>
                <w:color w:val="000000" w:themeColor="text1"/>
              </w:rPr>
            </w:pPr>
            <w:r w:rsidRPr="00687B52">
              <w:rPr>
                <w:rFonts w:hint="eastAsia"/>
                <w:color w:val="000000" w:themeColor="text1"/>
              </w:rPr>
              <w:t>④</w:t>
            </w:r>
            <w:r w:rsidRPr="00687B52">
              <w:rPr>
                <w:rFonts w:hint="eastAsia"/>
                <w:color w:val="000000" w:themeColor="text1"/>
                <w:szCs w:val="24"/>
              </w:rPr>
              <w:t>当输油管道直径大于</w:t>
            </w:r>
            <w:r w:rsidRPr="00687B52">
              <w:rPr>
                <w:rFonts w:hint="eastAsia"/>
                <w:color w:val="000000" w:themeColor="text1"/>
                <w:szCs w:val="24"/>
              </w:rPr>
              <w:t>DN500</w:t>
            </w:r>
            <w:r w:rsidRPr="00687B52">
              <w:rPr>
                <w:rFonts w:hint="eastAsia"/>
                <w:color w:val="000000" w:themeColor="text1"/>
                <w:szCs w:val="24"/>
              </w:rPr>
              <w:t>，且清管器总重超过</w:t>
            </w:r>
            <w:r w:rsidRPr="00687B52">
              <w:rPr>
                <w:rFonts w:hint="eastAsia"/>
                <w:color w:val="000000" w:themeColor="text1"/>
                <w:szCs w:val="24"/>
              </w:rPr>
              <w:t>45kg</w:t>
            </w:r>
            <w:r w:rsidRPr="00687B52">
              <w:rPr>
                <w:rFonts w:hint="eastAsia"/>
                <w:color w:val="000000" w:themeColor="text1"/>
                <w:szCs w:val="24"/>
              </w:rPr>
              <w:t>时，宜配备清管器提升设施；</w:t>
            </w:r>
          </w:p>
          <w:p w:rsidR="000E02C5" w:rsidRPr="00687B52" w:rsidRDefault="000E02C5" w:rsidP="00B527D4">
            <w:pPr>
              <w:pStyle w:val="a7"/>
              <w:jc w:val="left"/>
              <w:rPr>
                <w:color w:val="000000" w:themeColor="text1"/>
              </w:rPr>
            </w:pPr>
            <w:r w:rsidRPr="00687B52">
              <w:rPr>
                <w:rFonts w:hint="eastAsia"/>
                <w:color w:val="000000" w:themeColor="text1"/>
              </w:rPr>
              <w:t>⑤</w:t>
            </w:r>
            <w:r w:rsidRPr="00687B52">
              <w:rPr>
                <w:rFonts w:hint="eastAsia"/>
                <w:color w:val="000000" w:themeColor="text1"/>
                <w:szCs w:val="24"/>
              </w:rPr>
              <w:t>清管器接收、发送操作场地应根据一次清管作业中使用清管器（包括检测器）数量及长度确定；清管器（包括检测器）数量及长度的确定；</w:t>
            </w:r>
          </w:p>
          <w:p w:rsidR="000E02C5" w:rsidRPr="00687B52" w:rsidRDefault="000E02C5" w:rsidP="00B527D4">
            <w:pPr>
              <w:pStyle w:val="a7"/>
              <w:jc w:val="left"/>
              <w:rPr>
                <w:color w:val="000000" w:themeColor="text1"/>
                <w:szCs w:val="24"/>
              </w:rPr>
            </w:pPr>
            <w:r w:rsidRPr="00687B52">
              <w:rPr>
                <w:rFonts w:hint="eastAsia"/>
                <w:color w:val="000000" w:themeColor="text1"/>
              </w:rPr>
              <w:t>⑥</w:t>
            </w:r>
            <w:r w:rsidRPr="00687B52">
              <w:rPr>
                <w:rFonts w:hint="eastAsia"/>
                <w:color w:val="000000" w:themeColor="text1"/>
                <w:szCs w:val="24"/>
              </w:rPr>
              <w:t>清管作业清出的污物应进行集中收集处理。</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6.3.12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szCs w:val="24"/>
              </w:rPr>
            </w:pPr>
            <w:r w:rsidRPr="00687B52">
              <w:rPr>
                <w:rFonts w:hint="eastAsia"/>
                <w:color w:val="000000" w:themeColor="text1"/>
                <w:szCs w:val="24"/>
              </w:rPr>
              <w:t>输油管道用阀门的选择应符合下列规定：</w:t>
            </w:r>
          </w:p>
          <w:p w:rsidR="000E02C5" w:rsidRPr="00687B52" w:rsidRDefault="000E02C5" w:rsidP="00B527D4">
            <w:pPr>
              <w:pStyle w:val="a7"/>
              <w:jc w:val="left"/>
              <w:rPr>
                <w:color w:val="000000" w:themeColor="text1"/>
                <w:szCs w:val="24"/>
              </w:rPr>
            </w:pPr>
            <w:r w:rsidRPr="00687B52">
              <w:rPr>
                <w:rFonts w:hint="eastAsia"/>
                <w:color w:val="000000" w:themeColor="text1"/>
              </w:rPr>
              <w:t>①</w:t>
            </w:r>
            <w:r w:rsidRPr="00687B52">
              <w:rPr>
                <w:rFonts w:hint="eastAsia"/>
                <w:color w:val="000000" w:themeColor="text1"/>
                <w:szCs w:val="24"/>
              </w:rPr>
              <w:t>安装于通过清管器管道上的阀门应选择全通径型（阀门通道直径与相连接管道的内径相同）；不通清管器的阀门可选用普通型或缩径型；</w:t>
            </w:r>
          </w:p>
          <w:p w:rsidR="000E02C5" w:rsidRPr="00687B52" w:rsidRDefault="000E02C5" w:rsidP="00B527D4">
            <w:pPr>
              <w:pStyle w:val="a7"/>
              <w:jc w:val="left"/>
              <w:rPr>
                <w:color w:val="000000" w:themeColor="text1"/>
                <w:szCs w:val="24"/>
              </w:rPr>
            </w:pPr>
            <w:r w:rsidRPr="00687B52">
              <w:rPr>
                <w:rFonts w:hint="eastAsia"/>
                <w:color w:val="000000" w:themeColor="text1"/>
              </w:rPr>
              <w:t>②</w:t>
            </w:r>
            <w:r w:rsidRPr="00687B52">
              <w:rPr>
                <w:rFonts w:hint="eastAsia"/>
                <w:color w:val="000000" w:themeColor="text1"/>
                <w:szCs w:val="24"/>
              </w:rPr>
              <w:t>埋地安装的阀门宜采用全焊接阀体结构，并采用焊接连接；</w:t>
            </w:r>
          </w:p>
          <w:p w:rsidR="000E02C5" w:rsidRPr="00687B52" w:rsidRDefault="000E02C5" w:rsidP="00B527D4">
            <w:pPr>
              <w:pStyle w:val="a7"/>
              <w:jc w:val="left"/>
              <w:rPr>
                <w:color w:val="000000" w:themeColor="text1"/>
                <w:szCs w:val="24"/>
              </w:rPr>
            </w:pPr>
            <w:r w:rsidRPr="00687B52">
              <w:rPr>
                <w:rFonts w:hint="eastAsia"/>
                <w:color w:val="000000" w:themeColor="text1"/>
              </w:rPr>
              <w:t>③</w:t>
            </w:r>
            <w:r w:rsidRPr="00687B52">
              <w:rPr>
                <w:rFonts w:hint="eastAsia"/>
                <w:color w:val="000000" w:themeColor="text1"/>
                <w:szCs w:val="24"/>
              </w:rPr>
              <w:t>当阀门与管道焊接连接时，阀体材料的焊接性能应与所连接的钢管的焊接性能相适应；</w:t>
            </w:r>
          </w:p>
          <w:p w:rsidR="000E02C5" w:rsidRPr="00687B52" w:rsidRDefault="000E02C5" w:rsidP="00B527D4">
            <w:pPr>
              <w:pStyle w:val="a7"/>
              <w:jc w:val="left"/>
              <w:rPr>
                <w:color w:val="000000" w:themeColor="text1"/>
                <w:szCs w:val="24"/>
              </w:rPr>
            </w:pPr>
            <w:r w:rsidRPr="00687B52">
              <w:rPr>
                <w:rFonts w:hint="eastAsia"/>
                <w:color w:val="000000" w:themeColor="text1"/>
              </w:rPr>
              <w:t>④</w:t>
            </w:r>
            <w:r w:rsidRPr="00687B52">
              <w:rPr>
                <w:rFonts w:hint="eastAsia"/>
                <w:color w:val="000000" w:themeColor="text1"/>
                <w:szCs w:val="24"/>
              </w:rPr>
              <w:t>输油管道不得使用铸铁阀门。</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6.3.13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有混油切割的站场应在进站管道上设置混油界面检测设施。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6.4.5</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汽油、石脑油等轻质油品装车总量大于</w:t>
            </w:r>
            <w:r w:rsidRPr="00687B52">
              <w:rPr>
                <w:rFonts w:hint="eastAsia"/>
                <w:color w:val="000000" w:themeColor="text1"/>
              </w:rPr>
              <w:t>20</w:t>
            </w:r>
            <w:r w:rsidRPr="00687B52">
              <w:rPr>
                <w:rFonts w:hint="eastAsia"/>
                <w:color w:val="000000" w:themeColor="text1"/>
              </w:rPr>
              <w:t>万吨</w:t>
            </w:r>
            <w:r w:rsidRPr="00687B52">
              <w:rPr>
                <w:rFonts w:hint="eastAsia"/>
                <w:color w:val="000000" w:themeColor="text1"/>
              </w:rPr>
              <w:t>/</w:t>
            </w:r>
            <w:r w:rsidRPr="00687B52">
              <w:rPr>
                <w:rFonts w:hint="eastAsia"/>
                <w:color w:val="000000" w:themeColor="text1"/>
              </w:rPr>
              <w:t>年时，宜设置油气回收设施。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6.4.9</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顺序输送成品油管道用于油品切换作业的阀门应为快速开启、关闭、密封性能好的阀门，其开启、关闭的时间不宜超过</w:t>
            </w:r>
            <w:r w:rsidRPr="00687B52">
              <w:rPr>
                <w:rFonts w:hint="eastAsia"/>
                <w:color w:val="000000" w:themeColor="text1"/>
              </w:rPr>
              <w:t>10s</w:t>
            </w:r>
            <w:r w:rsidRPr="00687B52">
              <w:rPr>
                <w:rFonts w:hint="eastAsia"/>
                <w:color w:val="000000" w:themeColor="text1"/>
              </w:rPr>
              <w:t>，并应采取防止管道内漏、串油的措施。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6.4.14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液化石油气泵送设备应符合下列规定：</w:t>
            </w:r>
          </w:p>
          <w:p w:rsidR="000E02C5" w:rsidRPr="00687B52" w:rsidRDefault="000E02C5" w:rsidP="00B527D4">
            <w:pPr>
              <w:pStyle w:val="a7"/>
              <w:jc w:val="left"/>
              <w:rPr>
                <w:color w:val="000000" w:themeColor="text1"/>
              </w:rPr>
            </w:pPr>
            <w:r w:rsidRPr="00687B52">
              <w:rPr>
                <w:rFonts w:hint="eastAsia"/>
                <w:color w:val="000000" w:themeColor="text1"/>
              </w:rPr>
              <w:t>①当在输送温度下油品的动力黏度在</w:t>
            </w:r>
            <w:r w:rsidRPr="00687B52">
              <w:rPr>
                <w:color w:val="000000" w:themeColor="text1"/>
              </w:rPr>
              <w:t xml:space="preserve">100mPa </w:t>
            </w:r>
            <w:r w:rsidRPr="00687B52">
              <w:rPr>
                <w:color w:val="000000" w:themeColor="text1"/>
              </w:rPr>
              <w:t>•</w:t>
            </w:r>
            <w:r w:rsidRPr="00687B52">
              <w:rPr>
                <w:rFonts w:hint="eastAsia"/>
                <w:color w:val="000000" w:themeColor="text1"/>
              </w:rPr>
              <w:t>s</w:t>
            </w:r>
            <w:r w:rsidRPr="00687B52">
              <w:rPr>
                <w:rFonts w:hint="eastAsia"/>
                <w:color w:val="000000" w:themeColor="text1"/>
              </w:rPr>
              <w:t>以下时，宜选用离心泵。</w:t>
            </w:r>
          </w:p>
          <w:p w:rsidR="000E02C5" w:rsidRPr="00687B52" w:rsidRDefault="000E02C5" w:rsidP="00B527D4">
            <w:pPr>
              <w:pStyle w:val="a7"/>
              <w:jc w:val="left"/>
              <w:rPr>
                <w:color w:val="000000" w:themeColor="text1"/>
              </w:rPr>
            </w:pPr>
            <w:r w:rsidRPr="00687B52">
              <w:rPr>
                <w:rFonts w:hint="eastAsia"/>
                <w:color w:val="000000" w:themeColor="text1"/>
              </w:rPr>
              <w:t>②泵机组不应少于</w:t>
            </w:r>
            <w:r w:rsidRPr="00687B52">
              <w:rPr>
                <w:rFonts w:hint="eastAsia"/>
                <w:color w:val="000000" w:themeColor="text1"/>
              </w:rPr>
              <w:t>2</w:t>
            </w:r>
            <w:r w:rsidRPr="00687B52">
              <w:rPr>
                <w:rFonts w:hint="eastAsia"/>
                <w:color w:val="000000" w:themeColor="text1"/>
              </w:rPr>
              <w:t>台，但不宜多于</w:t>
            </w:r>
            <w:r w:rsidRPr="00687B52">
              <w:rPr>
                <w:rFonts w:hint="eastAsia"/>
                <w:color w:val="000000" w:themeColor="text1"/>
              </w:rPr>
              <w:t>5</w:t>
            </w:r>
            <w:r w:rsidRPr="00687B52">
              <w:rPr>
                <w:rFonts w:hint="eastAsia"/>
                <w:color w:val="000000" w:themeColor="text1"/>
              </w:rPr>
              <w:t>台，并应至少备用</w:t>
            </w:r>
            <w:r w:rsidRPr="00687B52">
              <w:rPr>
                <w:rFonts w:hint="eastAsia"/>
                <w:color w:val="000000" w:themeColor="text1"/>
              </w:rPr>
              <w:t>1</w:t>
            </w:r>
            <w:r w:rsidRPr="00687B52">
              <w:rPr>
                <w:rFonts w:hint="eastAsia"/>
                <w:color w:val="000000" w:themeColor="text1"/>
              </w:rPr>
              <w:t>台。</w:t>
            </w:r>
          </w:p>
          <w:p w:rsidR="000E02C5" w:rsidRPr="00687B52" w:rsidRDefault="000E02C5" w:rsidP="00B527D4">
            <w:pPr>
              <w:pStyle w:val="a7"/>
              <w:jc w:val="left"/>
              <w:rPr>
                <w:color w:val="000000" w:themeColor="text1"/>
              </w:rPr>
            </w:pPr>
            <w:r w:rsidRPr="00687B52">
              <w:rPr>
                <w:rFonts w:hint="eastAsia"/>
                <w:color w:val="000000" w:themeColor="text1"/>
              </w:rPr>
              <w:t>③宜选用液化石油气专用泵。泵的安装高度应保证不使其发生气蚀，并用采取防振动措施。</w:t>
            </w:r>
          </w:p>
          <w:p w:rsidR="000E02C5" w:rsidRPr="00687B52" w:rsidRDefault="000E02C5" w:rsidP="00B527D4">
            <w:pPr>
              <w:pStyle w:val="a7"/>
              <w:jc w:val="left"/>
              <w:rPr>
                <w:color w:val="000000" w:themeColor="text1"/>
              </w:rPr>
            </w:pPr>
            <w:r w:rsidRPr="00687B52">
              <w:rPr>
                <w:rFonts w:hint="eastAsia"/>
                <w:color w:val="000000" w:themeColor="text1"/>
              </w:rPr>
              <w:t>④选用泵的外壳应为铸钢，应选用无泄漏型机械密封。</w:t>
            </w:r>
          </w:p>
          <w:p w:rsidR="000E02C5" w:rsidRPr="00687B52" w:rsidRDefault="000E02C5" w:rsidP="00B527D4">
            <w:pPr>
              <w:pStyle w:val="a7"/>
              <w:jc w:val="left"/>
              <w:rPr>
                <w:color w:val="000000" w:themeColor="text1"/>
              </w:rPr>
            </w:pPr>
            <w:r w:rsidRPr="00687B52">
              <w:rPr>
                <w:rFonts w:hint="eastAsia"/>
                <w:color w:val="000000" w:themeColor="text1"/>
              </w:rPr>
              <w:t>⑤入口管段上应设置操作阀、过滤器、放散阀及放散管、放散管应引至安全防空地点。</w:t>
            </w:r>
          </w:p>
          <w:p w:rsidR="000E02C5" w:rsidRPr="00687B52" w:rsidRDefault="000E02C5" w:rsidP="00B527D4">
            <w:pPr>
              <w:pStyle w:val="a7"/>
              <w:jc w:val="left"/>
              <w:rPr>
                <w:color w:val="000000" w:themeColor="text1"/>
              </w:rPr>
            </w:pPr>
            <w:r w:rsidRPr="00687B52">
              <w:rPr>
                <w:rFonts w:hint="eastAsia"/>
                <w:color w:val="000000" w:themeColor="text1"/>
              </w:rPr>
              <w:t>⑥泵出口管段上应设置止回阀、操作阀和液相安全回流阀。</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6.5.6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液化石油气站场压缩机组及附件的设置应符合下列规定：</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①站场内宜设置压缩机，对储罐机装卸设备中的气相液化石油气增压；</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②压缩机进、出口管线上应设置阀门；</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③压缩机进、出口管之间应设置旁通管及旁通阀；</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④压缩机进口管线上应设置过滤器；</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⑤压缩机出口管线上应设置止回阀和安全阀；</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⑥当站内无压缩机系统时，罐区内各储罐的气相空间之间，槽车与储罐气体空间应用平衡管连通。</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6.5.8</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液化石油气管道用阀门应符合下列规定：</w:t>
            </w:r>
          </w:p>
          <w:p w:rsidR="000E02C5" w:rsidRPr="00687B52" w:rsidRDefault="000E02C5" w:rsidP="00B527D4">
            <w:pPr>
              <w:pStyle w:val="a7"/>
              <w:jc w:val="left"/>
              <w:rPr>
                <w:color w:val="000000" w:themeColor="text1"/>
              </w:rPr>
            </w:pPr>
            <w:r w:rsidRPr="00687B52">
              <w:rPr>
                <w:rFonts w:hint="eastAsia"/>
                <w:color w:val="000000" w:themeColor="text1"/>
              </w:rPr>
              <w:t>①阀门及附件的配置应按系统设计压力提高一级；</w:t>
            </w:r>
          </w:p>
          <w:p w:rsidR="000E02C5" w:rsidRPr="00687B52" w:rsidRDefault="000E02C5" w:rsidP="00B527D4">
            <w:pPr>
              <w:pStyle w:val="a7"/>
              <w:jc w:val="left"/>
              <w:rPr>
                <w:color w:val="000000" w:themeColor="text1"/>
              </w:rPr>
            </w:pPr>
            <w:r w:rsidRPr="00687B52">
              <w:rPr>
                <w:rFonts w:hint="eastAsia"/>
                <w:color w:val="000000" w:themeColor="text1"/>
              </w:rPr>
              <w:t>②地上管道分段阀之间的管段上应设置安全阀；</w:t>
            </w:r>
          </w:p>
          <w:p w:rsidR="000E02C5" w:rsidRPr="00687B52" w:rsidRDefault="000E02C5" w:rsidP="00B527D4">
            <w:pPr>
              <w:pStyle w:val="a7"/>
              <w:jc w:val="left"/>
              <w:rPr>
                <w:color w:val="000000" w:themeColor="text1"/>
              </w:rPr>
            </w:pPr>
            <w:r w:rsidRPr="00687B52">
              <w:rPr>
                <w:rFonts w:hint="eastAsia"/>
                <w:color w:val="000000" w:themeColor="text1"/>
              </w:rPr>
              <w:t>③管道上应设置液化气专用阀门；</w:t>
            </w:r>
          </w:p>
          <w:p w:rsidR="000E02C5" w:rsidRPr="00687B52" w:rsidRDefault="000E02C5" w:rsidP="00B527D4">
            <w:pPr>
              <w:pStyle w:val="a7"/>
              <w:jc w:val="left"/>
              <w:rPr>
                <w:color w:val="000000" w:themeColor="text1"/>
              </w:rPr>
            </w:pPr>
            <w:r w:rsidRPr="00687B52">
              <w:rPr>
                <w:rFonts w:hint="eastAsia"/>
                <w:color w:val="000000" w:themeColor="text1"/>
              </w:rPr>
              <w:t>④安装于通过清管器管道上的阀门应选择全通径型（阀门通道直径与相连接管道的内径相同）；不通清管器的阀门可选用普通型或缩径型；</w:t>
            </w:r>
          </w:p>
          <w:p w:rsidR="000E02C5" w:rsidRPr="00687B52" w:rsidRDefault="000E02C5" w:rsidP="00B527D4">
            <w:pPr>
              <w:pStyle w:val="a7"/>
              <w:jc w:val="left"/>
              <w:rPr>
                <w:color w:val="000000" w:themeColor="text1"/>
              </w:rPr>
            </w:pPr>
            <w:r w:rsidRPr="00687B52">
              <w:rPr>
                <w:rFonts w:hint="eastAsia"/>
                <w:color w:val="000000" w:themeColor="text1"/>
              </w:rPr>
              <w:t>⑤埋地安装的阀门宜采用全焊接阀体结构，并采用焊接连接；</w:t>
            </w:r>
          </w:p>
          <w:p w:rsidR="000E02C5" w:rsidRPr="00687B52" w:rsidRDefault="000E02C5" w:rsidP="00B527D4">
            <w:pPr>
              <w:pStyle w:val="a7"/>
              <w:jc w:val="left"/>
              <w:rPr>
                <w:color w:val="000000" w:themeColor="text1"/>
              </w:rPr>
            </w:pPr>
            <w:r w:rsidRPr="00687B52">
              <w:rPr>
                <w:rFonts w:hint="eastAsia"/>
                <w:color w:val="000000" w:themeColor="text1"/>
              </w:rPr>
              <w:t>⑥当阀门与管道焊接连接时，阀体材料的焊接性能应与所连接的钢管的焊接性能相适应；</w:t>
            </w:r>
          </w:p>
          <w:p w:rsidR="000E02C5" w:rsidRPr="00687B52" w:rsidRDefault="000E02C5" w:rsidP="00B527D4">
            <w:pPr>
              <w:pStyle w:val="a7"/>
              <w:jc w:val="left"/>
              <w:rPr>
                <w:color w:val="000000" w:themeColor="text1"/>
              </w:rPr>
            </w:pPr>
            <w:r w:rsidRPr="00687B52">
              <w:rPr>
                <w:rFonts w:hint="eastAsia"/>
                <w:color w:val="000000" w:themeColor="text1"/>
              </w:rPr>
              <w:t>⑦输油管道不得使用铸铁阀门。</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6.5.11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站内地面钢质管道和金属设施应采用防腐层进行腐蚀防护。</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6.6.1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保温管道的钢管外壁及钢制设备外壁均应进行防腐，保温层外应设防护层。</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6.6.4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szCs w:val="24"/>
              </w:rPr>
            </w:pPr>
            <w:r w:rsidRPr="00687B52">
              <w:rPr>
                <w:rFonts w:hint="eastAsia"/>
                <w:color w:val="000000" w:themeColor="text1"/>
                <w:szCs w:val="24"/>
              </w:rPr>
              <w:t>输气站调压及计量设计应符合下列规定：</w:t>
            </w:r>
          </w:p>
          <w:p w:rsidR="000E02C5" w:rsidRPr="00687B52" w:rsidRDefault="000E02C5" w:rsidP="00B527D4">
            <w:pPr>
              <w:pStyle w:val="a7"/>
              <w:jc w:val="left"/>
              <w:rPr>
                <w:color w:val="000000" w:themeColor="text1"/>
                <w:szCs w:val="24"/>
              </w:rPr>
            </w:pPr>
            <w:r w:rsidRPr="00687B52">
              <w:rPr>
                <w:rFonts w:hint="eastAsia"/>
                <w:color w:val="000000" w:themeColor="text1"/>
                <w:szCs w:val="24"/>
              </w:rPr>
              <w:t>①应满足输气工艺、生产运行及检修需要；</w:t>
            </w:r>
          </w:p>
          <w:p w:rsidR="000E02C5" w:rsidRPr="00687B52" w:rsidRDefault="000E02C5" w:rsidP="00B527D4">
            <w:pPr>
              <w:pStyle w:val="a7"/>
              <w:jc w:val="left"/>
              <w:rPr>
                <w:color w:val="000000" w:themeColor="text1"/>
                <w:szCs w:val="24"/>
              </w:rPr>
            </w:pPr>
            <w:r w:rsidRPr="00687B52">
              <w:rPr>
                <w:rFonts w:hint="eastAsia"/>
                <w:color w:val="000000" w:themeColor="text1"/>
                <w:szCs w:val="24"/>
              </w:rPr>
              <w:t>②在需控制压力及需要对气体流量进行控制和调节的管段上应设置调压设施，调压应注意节流温降的影响</w:t>
            </w:r>
            <w:r w:rsidRPr="00687B52">
              <w:rPr>
                <w:rFonts w:hint="eastAsia"/>
                <w:color w:val="000000" w:themeColor="text1"/>
                <w:szCs w:val="24"/>
              </w:rPr>
              <w:t>;</w:t>
            </w:r>
          </w:p>
          <w:p w:rsidR="000E02C5" w:rsidRPr="00687B52" w:rsidRDefault="000E02C5" w:rsidP="00B527D4">
            <w:pPr>
              <w:pStyle w:val="a7"/>
              <w:jc w:val="left"/>
              <w:rPr>
                <w:color w:val="000000" w:themeColor="text1"/>
                <w:szCs w:val="24"/>
              </w:rPr>
            </w:pPr>
            <w:r w:rsidRPr="00687B52">
              <w:rPr>
                <w:rFonts w:hint="eastAsia"/>
                <w:color w:val="000000" w:themeColor="text1"/>
                <w:szCs w:val="24"/>
              </w:rPr>
              <w:t>③具有贸易交接、设备运行流量分配和自耗气的工艺管路上应设置计量设施；</w:t>
            </w:r>
          </w:p>
          <w:p w:rsidR="000E02C5" w:rsidRPr="00687B52" w:rsidRDefault="000E02C5" w:rsidP="00B527D4">
            <w:pPr>
              <w:pStyle w:val="a7"/>
              <w:jc w:val="left"/>
              <w:rPr>
                <w:color w:val="000000" w:themeColor="text1"/>
                <w:szCs w:val="24"/>
              </w:rPr>
            </w:pPr>
            <w:r w:rsidRPr="00687B52">
              <w:rPr>
                <w:rFonts w:hint="eastAsia"/>
                <w:color w:val="000000" w:themeColor="text1"/>
                <w:szCs w:val="24"/>
              </w:rPr>
              <w:t>④计量流程的设计及设备的选择应满足流量变化的要求。</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6.2.3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szCs w:val="24"/>
              </w:rPr>
            </w:pPr>
            <w:r w:rsidRPr="00687B52">
              <w:rPr>
                <w:rFonts w:hint="eastAsia"/>
                <w:color w:val="000000" w:themeColor="text1"/>
                <w:szCs w:val="24"/>
              </w:rPr>
              <w:t>输气站清管设施设计应符合下列规定：</w:t>
            </w:r>
          </w:p>
          <w:p w:rsidR="000E02C5" w:rsidRPr="00687B52" w:rsidRDefault="000E02C5" w:rsidP="00B527D4">
            <w:pPr>
              <w:pStyle w:val="a7"/>
              <w:jc w:val="left"/>
              <w:rPr>
                <w:color w:val="000000" w:themeColor="text1"/>
                <w:szCs w:val="24"/>
              </w:rPr>
            </w:pPr>
            <w:r w:rsidRPr="00687B52">
              <w:rPr>
                <w:rFonts w:hint="eastAsia"/>
                <w:color w:val="000000" w:themeColor="text1"/>
                <w:szCs w:val="24"/>
              </w:rPr>
              <w:t>①清管设施宜与输气站合并建设，当输气站站间距超过清管器可靠运行距离时，应单独设置清管站；</w:t>
            </w:r>
          </w:p>
          <w:p w:rsidR="000E02C5" w:rsidRPr="00687B52" w:rsidRDefault="000E02C5" w:rsidP="00B527D4">
            <w:pPr>
              <w:pStyle w:val="a7"/>
              <w:jc w:val="left"/>
              <w:rPr>
                <w:color w:val="000000" w:themeColor="text1"/>
                <w:szCs w:val="24"/>
              </w:rPr>
            </w:pPr>
            <w:r w:rsidRPr="00687B52">
              <w:rPr>
                <w:rFonts w:hint="eastAsia"/>
                <w:color w:val="000000" w:themeColor="text1"/>
                <w:szCs w:val="24"/>
              </w:rPr>
              <w:t>②清管工艺应采用不停气密闭清管工艺流程，进出站的管段上宜设置清管器通过指示器。</w:t>
            </w:r>
          </w:p>
          <w:p w:rsidR="000E02C5" w:rsidRPr="00687B52" w:rsidRDefault="000E02C5" w:rsidP="00B527D4">
            <w:pPr>
              <w:pStyle w:val="a7"/>
              <w:jc w:val="left"/>
              <w:rPr>
                <w:color w:val="000000" w:themeColor="text1"/>
                <w:szCs w:val="24"/>
              </w:rPr>
            </w:pPr>
            <w:r w:rsidRPr="00687B52">
              <w:rPr>
                <w:rFonts w:hint="eastAsia"/>
                <w:color w:val="000000" w:themeColor="text1"/>
                <w:szCs w:val="24"/>
              </w:rPr>
              <w:t>③清管器收、发筒的结构尺寸应能满足通过清管器或智能检测器的要求。</w:t>
            </w:r>
          </w:p>
          <w:p w:rsidR="000E02C5" w:rsidRPr="00687B52" w:rsidRDefault="000E02C5" w:rsidP="00B527D4">
            <w:pPr>
              <w:pStyle w:val="a7"/>
              <w:jc w:val="left"/>
              <w:rPr>
                <w:color w:val="000000" w:themeColor="text1"/>
                <w:szCs w:val="24"/>
              </w:rPr>
            </w:pPr>
            <w:r w:rsidRPr="00687B52">
              <w:rPr>
                <w:rFonts w:hint="eastAsia"/>
                <w:color w:val="000000" w:themeColor="text1"/>
                <w:szCs w:val="24"/>
              </w:rPr>
              <w:t>④清管作业清除的污物应进行收集处理，不得随意排放。</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6.2.4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输气站压缩机房的每一操作层及其高出地面</w:t>
            </w:r>
            <w:r w:rsidRPr="00687B52">
              <w:rPr>
                <w:rFonts w:hint="eastAsia"/>
                <w:color w:val="000000" w:themeColor="text1"/>
              </w:rPr>
              <w:t>3m</w:t>
            </w:r>
            <w:r w:rsidRPr="00687B52">
              <w:rPr>
                <w:rFonts w:hint="eastAsia"/>
                <w:color w:val="000000" w:themeColor="text1"/>
              </w:rPr>
              <w:t>以上的操作平台（不包括单独的发动机平台），应至少设置两个安全出口及通向地面的梯子。操作平台上的任意点沿通道中心线与安全出口之间的最大距离不得大于</w:t>
            </w:r>
            <w:r w:rsidRPr="00687B52">
              <w:rPr>
                <w:rFonts w:hint="eastAsia"/>
                <w:color w:val="000000" w:themeColor="text1"/>
              </w:rPr>
              <w:t>25m</w:t>
            </w:r>
            <w:r w:rsidRPr="00687B52">
              <w:rPr>
                <w:rFonts w:hint="eastAsia"/>
                <w:color w:val="000000" w:themeColor="text1"/>
              </w:rPr>
              <w:t>。安全出口和通往安全地带的通道，必须畅通无阻。压缩机房设置的平开门应朝外开。</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6.3.4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输气站压缩机房内，应根据压缩机检修的需要配置供检修用的固定起重设备。当压缩机组布置在露天、敞开式厂房内或机组自带起吊设备时，可不设固定起重设备，但应设置移动式起重设备的吊装场地和行驶通道。</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6.3.7</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当压缩机出口气体温度高于下游设施、管道以及管道敷设环境允许的最高操作温度或为提高气体输送效率时，应设置冷却器。</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6.4.4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压缩机组进、出口管线上应设截断阀，截断阀宜布置在压缩机厂房外，其控制应纳入机组控制系统。</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6.4.7</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压缩机采用燃机驱动时，燃机的燃料气供给系统设计应符合下列规定：</w:t>
            </w:r>
          </w:p>
          <w:p w:rsidR="000E02C5" w:rsidRPr="00687B52" w:rsidRDefault="000E02C5" w:rsidP="00B527D4">
            <w:pPr>
              <w:pStyle w:val="a7"/>
              <w:jc w:val="both"/>
              <w:rPr>
                <w:color w:val="000000" w:themeColor="text1"/>
              </w:rPr>
            </w:pPr>
            <w:r w:rsidRPr="00687B52">
              <w:rPr>
                <w:rFonts w:hint="eastAsia"/>
                <w:color w:val="000000" w:themeColor="text1"/>
              </w:rPr>
              <w:t>①燃料气的气质、压力、流量应满足燃机的运行要求；</w:t>
            </w:r>
          </w:p>
          <w:p w:rsidR="000E02C5" w:rsidRPr="00687B52" w:rsidRDefault="000E02C5" w:rsidP="00B527D4">
            <w:pPr>
              <w:pStyle w:val="a7"/>
              <w:jc w:val="both"/>
              <w:rPr>
                <w:color w:val="000000" w:themeColor="text1"/>
              </w:rPr>
            </w:pPr>
            <w:r w:rsidRPr="00687B52">
              <w:rPr>
                <w:rFonts w:hint="eastAsia"/>
                <w:color w:val="000000" w:themeColor="text1"/>
              </w:rPr>
              <w:t>②燃料气管线应从压缩机进口截断阀上游的总管上接出，应设置调压设施和对单台机组的计量设施；</w:t>
            </w:r>
          </w:p>
          <w:p w:rsidR="000E02C5" w:rsidRPr="00687B52" w:rsidRDefault="000E02C5" w:rsidP="00B527D4">
            <w:pPr>
              <w:pStyle w:val="a7"/>
              <w:jc w:val="both"/>
              <w:rPr>
                <w:color w:val="000000" w:themeColor="text1"/>
              </w:rPr>
            </w:pPr>
            <w:r w:rsidRPr="00687B52">
              <w:rPr>
                <w:rFonts w:hint="eastAsia"/>
                <w:color w:val="000000" w:themeColor="text1"/>
              </w:rPr>
              <w:t>③燃料气管线在进入压缩机厂房前及每台燃机前装设截断阀；</w:t>
            </w:r>
          </w:p>
          <w:p w:rsidR="000E02C5" w:rsidRPr="00687B52" w:rsidRDefault="000E02C5" w:rsidP="00B527D4">
            <w:pPr>
              <w:pStyle w:val="a7"/>
              <w:jc w:val="both"/>
              <w:rPr>
                <w:color w:val="000000" w:themeColor="text1"/>
              </w:rPr>
            </w:pPr>
            <w:r w:rsidRPr="00687B52">
              <w:rPr>
                <w:rFonts w:hint="eastAsia"/>
                <w:color w:val="000000" w:themeColor="text1"/>
              </w:rPr>
              <w:t>④燃料气安全放空宜在核算放空背后接入站场相同压力等级的放空系统；</w:t>
            </w:r>
          </w:p>
          <w:p w:rsidR="000E02C5" w:rsidRPr="00687B52" w:rsidRDefault="000E02C5" w:rsidP="00B527D4">
            <w:pPr>
              <w:pStyle w:val="a7"/>
              <w:jc w:val="both"/>
              <w:rPr>
                <w:color w:val="000000" w:themeColor="text1"/>
              </w:rPr>
            </w:pPr>
            <w:r w:rsidRPr="00687B52">
              <w:rPr>
                <w:rFonts w:hint="eastAsia"/>
                <w:color w:val="000000" w:themeColor="text1"/>
              </w:rPr>
              <w:t>⑤燃料气中可能出现凝液时，宜在燃料气系统加装气—液聚结器或其他能去除凝液的设施。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6.4.8</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离心式压缩机的润滑油系统的动力应由主润滑油泵、辅助润滑油泵和紧急润滑油泵或高位油箱构成。辅助油泵的出油管应设单向阀。</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6.4.9</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采用注油润滑的往复式压缩机各级出口均应设气—液分离设备。</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6.4.10</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燃气轮机当采用气马达启动时，应在每台发动机附近的启动用空气管线上设置止回阀。</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6.4.13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往复式压缩机出口与第一个截断阀之间应装设安全阀和放空阀，安全阀的泄放能力不应小于压缩机的最大排量。</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6.6.1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输气站每台压缩机应设置安全保护装置。</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6.6.2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压缩机的干气密封系统应有泄放超限报警装置。</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6.6.3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站内所有工艺管道均应采用钢管及钢质管件。管线的连接方式除因安装需要采用螺纹、卡套或法兰连接外，均应采用焊接。</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6.7.1</w:t>
            </w:r>
            <w:r w:rsidRPr="00687B52">
              <w:rPr>
                <w:rFonts w:hint="eastAsia"/>
                <w:color w:val="000000" w:themeColor="text1"/>
              </w:rPr>
              <w:t>、</w:t>
            </w:r>
            <w:r w:rsidRPr="00687B52">
              <w:rPr>
                <w:rFonts w:hint="eastAsia"/>
                <w:color w:val="000000" w:themeColor="text1"/>
              </w:rPr>
              <w:t>6.7.5</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输气站内管线应采用地上或埋地敷设，不宜采用管沟敷设。当采用管沟敷设时，应采取防止天然气泄漏积聚的措施。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6.7.6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与分离器、清管收发筒、压缩机组等设备相连的地面和埋地管道应采取防止管道沉降或移位的措施。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6.7.9</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站场地面以上的钢质管道和金属设施应采用防腐层进行防腐蚀防护。</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6.8.1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因工艺或材料低温性能原因需要保温的管道和设备，应进行保温。保温管道及设备应采用防腐层进行防腐。</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6.8.3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具有分输或配气功能的输气站宜设置气体限量、限压设施。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3.2.5</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当输气管道气源来自油气田天然气处理厂、地下储气库、煤制天然气工厂或煤层气处理厂时，输气管道接收站的进气管线上应设置气质监测设施。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3.2.6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输气站宜设置越站旁通。</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3.2.8</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输气站宜在进站截断阀上游和出站截断阀下游设置泄压放空设施。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3.4.1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B527D4">
            <w:pPr>
              <w:pStyle w:val="a7"/>
              <w:rPr>
                <w:b/>
                <w:color w:val="000000" w:themeColor="text1"/>
              </w:rPr>
            </w:pPr>
            <w:r w:rsidRPr="00687B52">
              <w:rPr>
                <w:rFonts w:hint="eastAsia"/>
                <w:b/>
                <w:color w:val="000000" w:themeColor="text1"/>
              </w:rPr>
              <w:t>2.2</w:t>
            </w:r>
          </w:p>
        </w:tc>
        <w:tc>
          <w:tcPr>
            <w:tcW w:w="2750" w:type="pct"/>
            <w:vAlign w:val="center"/>
          </w:tcPr>
          <w:p w:rsidR="000E02C5" w:rsidRPr="00687B52" w:rsidRDefault="000E02C5" w:rsidP="00B527D4">
            <w:pPr>
              <w:pStyle w:val="a7"/>
              <w:jc w:val="both"/>
              <w:rPr>
                <w:color w:val="000000" w:themeColor="text1"/>
              </w:rPr>
            </w:pPr>
            <w:r w:rsidRPr="00687B52">
              <w:rPr>
                <w:rFonts w:asciiTheme="minorEastAsia" w:eastAsiaTheme="minorEastAsia" w:hAnsiTheme="minorEastAsia" w:hint="eastAsia"/>
                <w:b/>
                <w:color w:val="000000" w:themeColor="text1"/>
                <w:szCs w:val="24"/>
              </w:rPr>
              <w:t>石油、天然气长输管线</w:t>
            </w:r>
          </w:p>
        </w:tc>
        <w:tc>
          <w:tcPr>
            <w:tcW w:w="930" w:type="pct"/>
            <w:vAlign w:val="center"/>
          </w:tcPr>
          <w:p w:rsidR="000E02C5" w:rsidRPr="00687B52" w:rsidRDefault="000E02C5" w:rsidP="00B527D4">
            <w:pPr>
              <w:pStyle w:val="a7"/>
              <w:rPr>
                <w:color w:val="000000" w:themeColor="text1"/>
              </w:rPr>
            </w:pP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color w:val="000000" w:themeColor="text1"/>
              </w:rPr>
              <w:t>管道企业应当按照国家技术规范的强制性要求在管道沿线设置管道标志。管道标志毁损或者安全警示不清的，管道企业应当及时修复或者更新。</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《中华人民共和国石油天然气管道保护法》第</w:t>
            </w:r>
            <w:r w:rsidRPr="00687B52">
              <w:rPr>
                <w:rFonts w:hint="eastAsia"/>
                <w:color w:val="000000" w:themeColor="text1"/>
              </w:rPr>
              <w:t>18</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color w:val="000000" w:themeColor="text1"/>
              </w:rPr>
              <w:t>禁止下列危害管道安全的行为：</w:t>
            </w:r>
          </w:p>
          <w:p w:rsidR="000E02C5" w:rsidRPr="00687B52" w:rsidRDefault="000E02C5" w:rsidP="00B527D4">
            <w:pPr>
              <w:pStyle w:val="a7"/>
              <w:jc w:val="both"/>
              <w:rPr>
                <w:color w:val="000000" w:themeColor="text1"/>
              </w:rPr>
            </w:pPr>
            <w:r w:rsidRPr="00687B52">
              <w:rPr>
                <w:rFonts w:hint="eastAsia"/>
                <w:color w:val="000000" w:themeColor="text1"/>
              </w:rPr>
              <w:t>①</w:t>
            </w:r>
            <w:r w:rsidRPr="00687B52">
              <w:rPr>
                <w:color w:val="000000" w:themeColor="text1"/>
              </w:rPr>
              <w:t>擅自开启、关闭管道阀门；</w:t>
            </w:r>
          </w:p>
          <w:p w:rsidR="000E02C5" w:rsidRPr="00687B52" w:rsidRDefault="000E02C5" w:rsidP="00B527D4">
            <w:pPr>
              <w:pStyle w:val="a7"/>
              <w:jc w:val="both"/>
              <w:rPr>
                <w:color w:val="000000" w:themeColor="text1"/>
              </w:rPr>
            </w:pPr>
            <w:r w:rsidRPr="00687B52">
              <w:rPr>
                <w:rFonts w:hint="eastAsia"/>
                <w:color w:val="000000" w:themeColor="text1"/>
              </w:rPr>
              <w:t>②</w:t>
            </w:r>
            <w:r w:rsidRPr="00687B52">
              <w:rPr>
                <w:color w:val="000000" w:themeColor="text1"/>
              </w:rPr>
              <w:t>采用移动、切割、打孔、砸撬、拆卸等手段损坏管道；</w:t>
            </w:r>
          </w:p>
          <w:p w:rsidR="000E02C5" w:rsidRPr="00687B52" w:rsidRDefault="000E02C5" w:rsidP="00B527D4">
            <w:pPr>
              <w:pStyle w:val="a7"/>
              <w:jc w:val="both"/>
              <w:rPr>
                <w:color w:val="000000" w:themeColor="text1"/>
              </w:rPr>
            </w:pPr>
            <w:r w:rsidRPr="00687B52">
              <w:rPr>
                <w:rFonts w:hint="eastAsia"/>
                <w:color w:val="000000" w:themeColor="text1"/>
              </w:rPr>
              <w:t>③</w:t>
            </w:r>
            <w:r w:rsidRPr="00687B52">
              <w:rPr>
                <w:color w:val="000000" w:themeColor="text1"/>
              </w:rPr>
              <w:t>移动、毁损、涂改管道标志；</w:t>
            </w:r>
          </w:p>
          <w:p w:rsidR="000E02C5" w:rsidRPr="00687B52" w:rsidRDefault="000E02C5" w:rsidP="00B527D4">
            <w:pPr>
              <w:pStyle w:val="a7"/>
              <w:jc w:val="both"/>
              <w:rPr>
                <w:color w:val="000000" w:themeColor="text1"/>
              </w:rPr>
            </w:pPr>
            <w:r w:rsidRPr="00687B52">
              <w:rPr>
                <w:rFonts w:hint="eastAsia"/>
                <w:color w:val="000000" w:themeColor="text1"/>
              </w:rPr>
              <w:t>④</w:t>
            </w:r>
            <w:r w:rsidRPr="00687B52">
              <w:rPr>
                <w:color w:val="000000" w:themeColor="text1"/>
              </w:rPr>
              <w:t>在埋地管道上方巡查便道上行驶重型车辆；</w:t>
            </w:r>
          </w:p>
          <w:p w:rsidR="000E02C5" w:rsidRPr="00687B52" w:rsidRDefault="000E02C5" w:rsidP="00B527D4">
            <w:pPr>
              <w:pStyle w:val="a7"/>
              <w:jc w:val="both"/>
              <w:rPr>
                <w:color w:val="000000" w:themeColor="text1"/>
              </w:rPr>
            </w:pPr>
            <w:r w:rsidRPr="00687B52">
              <w:rPr>
                <w:rFonts w:hint="eastAsia"/>
                <w:color w:val="000000" w:themeColor="text1"/>
              </w:rPr>
              <w:t>⑤</w:t>
            </w:r>
            <w:r w:rsidRPr="00687B52">
              <w:rPr>
                <w:color w:val="000000" w:themeColor="text1"/>
              </w:rPr>
              <w:t>在地面管道线路、</w:t>
            </w:r>
            <w:hyperlink r:id="rId60" w:tgtFrame="_blank" w:history="1">
              <w:r w:rsidRPr="00687B52">
                <w:rPr>
                  <w:color w:val="000000" w:themeColor="text1"/>
                </w:rPr>
                <w:t>架空管道</w:t>
              </w:r>
            </w:hyperlink>
            <w:r w:rsidRPr="00687B52">
              <w:rPr>
                <w:color w:val="000000" w:themeColor="text1"/>
              </w:rPr>
              <w:t>线路和管桥上行走或者放置重物。</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《中华人民共和国石油天然气管道保护法》第</w:t>
            </w:r>
            <w:r w:rsidRPr="00687B52">
              <w:rPr>
                <w:rFonts w:hint="eastAsia"/>
                <w:color w:val="000000" w:themeColor="text1"/>
              </w:rPr>
              <w:t>28</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color w:val="000000" w:themeColor="text1"/>
              </w:rPr>
              <w:t>禁止在管道附属设施的上方架设电力线路、</w:t>
            </w:r>
            <w:hyperlink r:id="rId61" w:tgtFrame="_blank" w:history="1">
              <w:r w:rsidRPr="00687B52">
                <w:rPr>
                  <w:color w:val="000000" w:themeColor="text1"/>
                </w:rPr>
                <w:t>通信线路</w:t>
              </w:r>
            </w:hyperlink>
            <w:r w:rsidRPr="00687B52">
              <w:rPr>
                <w:color w:val="000000" w:themeColor="text1"/>
              </w:rPr>
              <w:t>或者在储气库构造区域范围内进行工程挖掘、工程钻探、采矿。</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《中华人民共和国石油天然气管道保护法》第</w:t>
            </w:r>
            <w:r w:rsidRPr="00687B52">
              <w:rPr>
                <w:rFonts w:hint="eastAsia"/>
                <w:color w:val="000000" w:themeColor="text1"/>
              </w:rPr>
              <w:t>29</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选择的穿越位置应符合线路总体走向，应避开一级水源保护区。对于大、中型穿越工程，线路局部走向应按所穿越位置进行调整，并应符合下列要求：</w:t>
            </w:r>
          </w:p>
          <w:p w:rsidR="000E02C5" w:rsidRPr="00687B52" w:rsidRDefault="000E02C5" w:rsidP="00B527D4">
            <w:pPr>
              <w:pStyle w:val="a7"/>
              <w:jc w:val="left"/>
              <w:rPr>
                <w:color w:val="000000" w:themeColor="text1"/>
              </w:rPr>
            </w:pPr>
            <w:r w:rsidRPr="00687B52">
              <w:rPr>
                <w:rFonts w:hint="eastAsia"/>
                <w:color w:val="000000" w:themeColor="text1"/>
              </w:rPr>
              <w:t>①穿越位置宜选在岸坡稳定地段。若需在岸坡不稳定地段穿越，则应对岸坡作护岸、护坡整治加固工程。</w:t>
            </w:r>
          </w:p>
          <w:p w:rsidR="000E02C5" w:rsidRPr="00687B52" w:rsidRDefault="000E02C5" w:rsidP="00B527D4">
            <w:pPr>
              <w:pStyle w:val="a7"/>
              <w:jc w:val="left"/>
              <w:rPr>
                <w:color w:val="000000" w:themeColor="text1"/>
              </w:rPr>
            </w:pPr>
            <w:r w:rsidRPr="00687B52">
              <w:rPr>
                <w:rFonts w:hint="eastAsia"/>
                <w:color w:val="000000" w:themeColor="text1"/>
              </w:rPr>
              <w:t>②穿越位置不宜选择的全新世活动断裂带及影响范围内。</w:t>
            </w:r>
          </w:p>
          <w:p w:rsidR="000E02C5" w:rsidRPr="00687B52" w:rsidRDefault="000E02C5" w:rsidP="00B527D4">
            <w:pPr>
              <w:pStyle w:val="a7"/>
              <w:jc w:val="left"/>
              <w:rPr>
                <w:color w:val="000000" w:themeColor="text1"/>
              </w:rPr>
            </w:pPr>
            <w:r w:rsidRPr="00687B52">
              <w:rPr>
                <w:rFonts w:hint="eastAsia"/>
                <w:color w:val="000000" w:themeColor="text1"/>
              </w:rPr>
              <w:t>③穿越宜与水域轴线正交通过。若需斜交时，交角不宜小于</w:t>
            </w:r>
            <w:r w:rsidRPr="00687B52">
              <w:rPr>
                <w:rFonts w:hint="eastAsia"/>
                <w:color w:val="000000" w:themeColor="text1"/>
              </w:rPr>
              <w:t>60</w:t>
            </w:r>
            <w:r w:rsidRPr="00687B52">
              <w:rPr>
                <w:rFonts w:hint="eastAsia"/>
                <w:color w:val="000000" w:themeColor="text1"/>
              </w:rPr>
              <w:t>°，采用定向钻穿越的，不宜小于</w:t>
            </w:r>
            <w:r w:rsidRPr="00687B52">
              <w:rPr>
                <w:rFonts w:hint="eastAsia"/>
                <w:color w:val="000000" w:themeColor="text1"/>
              </w:rPr>
              <w:t>30</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《油气输送管道穿越工程设计规范》</w:t>
            </w:r>
            <w:r w:rsidRPr="00687B52">
              <w:rPr>
                <w:rFonts w:hint="eastAsia"/>
                <w:color w:val="000000" w:themeColor="text1"/>
              </w:rPr>
              <w:t>GB50423-2013</w:t>
            </w:r>
            <w:r w:rsidRPr="00687B52">
              <w:rPr>
                <w:rFonts w:hint="eastAsia"/>
                <w:color w:val="000000" w:themeColor="text1"/>
              </w:rPr>
              <w:t>第</w:t>
            </w:r>
            <w:r w:rsidRPr="00687B52">
              <w:rPr>
                <w:rFonts w:hint="eastAsia"/>
                <w:color w:val="000000" w:themeColor="text1"/>
              </w:rPr>
              <w:t>3.3.2</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穿越管段与公路桥梁、铁路桥梁、水下隧道并行敷设的最小距离应根据穿越形式确定，并应符合下列要求：</w:t>
            </w:r>
          </w:p>
          <w:p w:rsidR="000E02C5" w:rsidRPr="00687B52" w:rsidRDefault="000E02C5" w:rsidP="00B527D4">
            <w:pPr>
              <w:pStyle w:val="a7"/>
              <w:jc w:val="left"/>
              <w:rPr>
                <w:color w:val="000000" w:themeColor="text1"/>
              </w:rPr>
            </w:pPr>
            <w:r w:rsidRPr="00687B52">
              <w:rPr>
                <w:rFonts w:hint="eastAsia"/>
                <w:color w:val="000000" w:themeColor="text1"/>
              </w:rPr>
              <w:t>①当采用开挖管沟埋设时，管道中线距离特大桥、大桥、中桥、水下隧道最近边缘不应小于</w:t>
            </w:r>
            <w:r w:rsidRPr="00687B52">
              <w:rPr>
                <w:rFonts w:hint="eastAsia"/>
                <w:color w:val="000000" w:themeColor="text1"/>
              </w:rPr>
              <w:t>100m</w:t>
            </w:r>
            <w:r w:rsidRPr="00687B52">
              <w:rPr>
                <w:rFonts w:hint="eastAsia"/>
                <w:color w:val="000000" w:themeColor="text1"/>
              </w:rPr>
              <w:t>；距离小桥最近边缘不应小于</w:t>
            </w:r>
            <w:r w:rsidRPr="00687B52">
              <w:rPr>
                <w:rFonts w:hint="eastAsia"/>
                <w:color w:val="000000" w:themeColor="text1"/>
              </w:rPr>
              <w:t>50m</w:t>
            </w:r>
            <w:r w:rsidRPr="00687B52">
              <w:rPr>
                <w:rFonts w:hint="eastAsia"/>
                <w:color w:val="000000" w:themeColor="text1"/>
              </w:rPr>
              <w:t>；</w:t>
            </w:r>
          </w:p>
          <w:p w:rsidR="000E02C5" w:rsidRPr="00687B52" w:rsidRDefault="000E02C5" w:rsidP="00B527D4">
            <w:pPr>
              <w:pStyle w:val="a7"/>
              <w:jc w:val="left"/>
              <w:rPr>
                <w:color w:val="000000" w:themeColor="text1"/>
              </w:rPr>
            </w:pPr>
            <w:r w:rsidRPr="00687B52">
              <w:rPr>
                <w:rFonts w:hint="eastAsia"/>
                <w:color w:val="000000" w:themeColor="text1"/>
              </w:rPr>
              <w:t>②当采用水平定向钻穿越时，穿越管段距离桥梁墩台冲刷坑外边缘不宜小于</w:t>
            </w:r>
            <w:r w:rsidRPr="00687B52">
              <w:rPr>
                <w:rFonts w:hint="eastAsia"/>
                <w:color w:val="000000" w:themeColor="text1"/>
              </w:rPr>
              <w:t>10m</w:t>
            </w:r>
            <w:r w:rsidRPr="00687B52">
              <w:rPr>
                <w:rFonts w:hint="eastAsia"/>
                <w:color w:val="000000" w:themeColor="text1"/>
              </w:rPr>
              <w:t>，且不应影响桥梁墩台安全；距离水下隧道的净距不应小于</w:t>
            </w:r>
            <w:r w:rsidRPr="00687B52">
              <w:rPr>
                <w:rFonts w:hint="eastAsia"/>
                <w:color w:val="000000" w:themeColor="text1"/>
              </w:rPr>
              <w:t>30m</w:t>
            </w:r>
            <w:r w:rsidRPr="00687B52">
              <w:rPr>
                <w:rFonts w:hint="eastAsia"/>
                <w:color w:val="000000" w:themeColor="text1"/>
              </w:rPr>
              <w:t>；</w:t>
            </w:r>
          </w:p>
          <w:p w:rsidR="000E02C5" w:rsidRPr="00687B52" w:rsidRDefault="000E02C5" w:rsidP="00B527D4">
            <w:pPr>
              <w:pStyle w:val="a7"/>
              <w:jc w:val="left"/>
              <w:rPr>
                <w:color w:val="000000" w:themeColor="text1"/>
              </w:rPr>
            </w:pPr>
            <w:r w:rsidRPr="00687B52">
              <w:rPr>
                <w:rFonts w:hint="eastAsia"/>
                <w:color w:val="000000" w:themeColor="text1"/>
              </w:rPr>
              <w:t>③当采用隧道穿越时，隧道的埋深及边缘至墩台的距离不应影响桥梁墩台的安全；管道隧道与公路隧道、铁路隧道净距不宜小于</w:t>
            </w:r>
            <w:r w:rsidRPr="00687B52">
              <w:rPr>
                <w:rFonts w:hint="eastAsia"/>
                <w:color w:val="000000" w:themeColor="text1"/>
              </w:rPr>
              <w:t>30m</w:t>
            </w:r>
            <w:r w:rsidRPr="00687B52">
              <w:rPr>
                <w:rFonts w:hint="eastAsia"/>
                <w:color w:val="000000" w:themeColor="text1"/>
              </w:rPr>
              <w:t>；</w:t>
            </w:r>
          </w:p>
          <w:p w:rsidR="000E02C5" w:rsidRPr="00687B52" w:rsidRDefault="000E02C5" w:rsidP="00B527D4">
            <w:pPr>
              <w:pStyle w:val="a7"/>
              <w:jc w:val="left"/>
              <w:rPr>
                <w:color w:val="000000" w:themeColor="text1"/>
              </w:rPr>
            </w:pPr>
            <w:r w:rsidRPr="00687B52">
              <w:rPr>
                <w:rFonts w:hint="eastAsia"/>
                <w:color w:val="000000" w:themeColor="text1"/>
              </w:rPr>
              <w:t>④当不能满足上述要求时，应协商确定。</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《油气输送管道穿越工程设计规范》</w:t>
            </w:r>
            <w:r w:rsidRPr="00687B52">
              <w:rPr>
                <w:rFonts w:hint="eastAsia"/>
                <w:color w:val="000000" w:themeColor="text1"/>
              </w:rPr>
              <w:t>GB50423-2013</w:t>
            </w:r>
            <w:r w:rsidRPr="00687B52">
              <w:rPr>
                <w:rFonts w:hint="eastAsia"/>
                <w:color w:val="000000" w:themeColor="text1"/>
              </w:rPr>
              <w:t>第</w:t>
            </w:r>
            <w:r w:rsidRPr="00687B52">
              <w:rPr>
                <w:rFonts w:hint="eastAsia"/>
                <w:color w:val="000000" w:themeColor="text1"/>
              </w:rPr>
              <w:t>3.3.7</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水域穿越管段与港口、码头、水下建筑物之间的距离，当采用大开挖穿越时不宜小于</w:t>
            </w:r>
            <w:r w:rsidRPr="00687B52">
              <w:rPr>
                <w:rFonts w:hint="eastAsia"/>
                <w:color w:val="000000" w:themeColor="text1"/>
              </w:rPr>
              <w:t>200m</w:t>
            </w:r>
            <w:r w:rsidRPr="00687B52">
              <w:rPr>
                <w:rFonts w:hint="eastAsia"/>
                <w:color w:val="000000" w:themeColor="text1"/>
              </w:rPr>
              <w:t>，当采用定向钻穿越、隧道穿越时，不宜小于</w:t>
            </w:r>
            <w:r w:rsidRPr="00687B52">
              <w:rPr>
                <w:rFonts w:hint="eastAsia"/>
                <w:color w:val="000000" w:themeColor="text1"/>
              </w:rPr>
              <w:t>100m</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《油气输送管道穿越工程设计规范》</w:t>
            </w:r>
            <w:r w:rsidRPr="00687B52">
              <w:rPr>
                <w:rFonts w:hint="eastAsia"/>
                <w:color w:val="000000" w:themeColor="text1"/>
              </w:rPr>
              <w:t>GB50423-2013</w:t>
            </w:r>
            <w:r w:rsidRPr="00687B52">
              <w:rPr>
                <w:rFonts w:hint="eastAsia"/>
                <w:color w:val="000000" w:themeColor="text1"/>
              </w:rPr>
              <w:t>第</w:t>
            </w:r>
            <w:r w:rsidRPr="00687B52">
              <w:rPr>
                <w:rFonts w:hint="eastAsia"/>
                <w:color w:val="000000" w:themeColor="text1"/>
              </w:rPr>
              <w:t>3.3.8</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通过饮用水源二级保护区的水域大型穿越工程，输油管道在两岸应设置截断阀室。截断阀室应设置在便于接近、不被设计洪水淹没处。输气管道在两岸可不设截断阀室。</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《油气输送管道穿越工程设计规范》</w:t>
            </w:r>
            <w:r w:rsidRPr="00687B52">
              <w:rPr>
                <w:rFonts w:hint="eastAsia"/>
                <w:color w:val="000000" w:themeColor="text1"/>
              </w:rPr>
              <w:t>GB50423-2013</w:t>
            </w:r>
            <w:r w:rsidRPr="00687B52">
              <w:rPr>
                <w:rFonts w:hint="eastAsia"/>
                <w:color w:val="000000" w:themeColor="text1"/>
              </w:rPr>
              <w:t>第</w:t>
            </w:r>
            <w:r w:rsidRPr="00687B52">
              <w:rPr>
                <w:rFonts w:hint="eastAsia"/>
                <w:color w:val="000000" w:themeColor="text1"/>
              </w:rPr>
              <w:t>3.3.12</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管道穿越泥石流沟时，管道应在泥石流堆积区稳定层内深埋，管顶埋深不应小于</w:t>
            </w:r>
            <w:r w:rsidRPr="00687B52">
              <w:rPr>
                <w:rFonts w:hint="eastAsia"/>
                <w:color w:val="000000" w:themeColor="text1"/>
              </w:rPr>
              <w:t>1.0m</w:t>
            </w:r>
            <w:r w:rsidRPr="00687B52">
              <w:rPr>
                <w:rFonts w:hint="eastAsia"/>
                <w:color w:val="000000" w:themeColor="text1"/>
              </w:rPr>
              <w:t>，并在管道上方设置排洪构筑物。</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《油气输送管道穿越工程设计规范》</w:t>
            </w:r>
            <w:r w:rsidRPr="00687B52">
              <w:rPr>
                <w:rFonts w:hint="eastAsia"/>
                <w:color w:val="000000" w:themeColor="text1"/>
              </w:rPr>
              <w:t>GB50423-2013</w:t>
            </w:r>
            <w:r w:rsidRPr="00687B52">
              <w:rPr>
                <w:rFonts w:hint="eastAsia"/>
                <w:color w:val="000000" w:themeColor="text1"/>
              </w:rPr>
              <w:t>第</w:t>
            </w:r>
            <w:r w:rsidRPr="00687B52">
              <w:rPr>
                <w:rFonts w:hint="eastAsia"/>
                <w:color w:val="000000" w:themeColor="text1"/>
              </w:rPr>
              <w:t>3.4.3</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隧道内支墩架空安装管道的构件材料可选用普通钢材和不锈钢；当选用普通钢材时，所有钢构件其表面均应采用耐环境腐蚀的防腐层或设置牺牲阳极保护措施。管道连接件应采用同一金属材质。</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《油气输送管道穿越工程设计规范》</w:t>
            </w:r>
            <w:r w:rsidRPr="00687B52">
              <w:rPr>
                <w:rFonts w:hint="eastAsia"/>
                <w:color w:val="000000" w:themeColor="text1"/>
              </w:rPr>
              <w:t>GB50423-2013</w:t>
            </w:r>
            <w:r w:rsidRPr="00687B52">
              <w:rPr>
                <w:rFonts w:hint="eastAsia"/>
                <w:color w:val="000000" w:themeColor="text1"/>
              </w:rPr>
              <w:t>第</w:t>
            </w:r>
            <w:r w:rsidRPr="00687B52">
              <w:rPr>
                <w:rFonts w:hint="eastAsia"/>
                <w:color w:val="000000" w:themeColor="text1"/>
              </w:rPr>
              <w:t>6.12.6</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管道和管支座、锚固墩、锚固件之间应有良好的绝缘。</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《油气输送管道穿越工程设计规范》</w:t>
            </w:r>
            <w:r w:rsidRPr="00687B52">
              <w:rPr>
                <w:rFonts w:hint="eastAsia"/>
                <w:color w:val="000000" w:themeColor="text1"/>
              </w:rPr>
              <w:t>GB50423-2013</w:t>
            </w:r>
            <w:r w:rsidRPr="00687B52">
              <w:rPr>
                <w:rFonts w:hint="eastAsia"/>
                <w:color w:val="000000" w:themeColor="text1"/>
              </w:rPr>
              <w:t>第</w:t>
            </w:r>
            <w:r w:rsidRPr="00687B52">
              <w:rPr>
                <w:rFonts w:hint="eastAsia"/>
                <w:color w:val="000000" w:themeColor="text1"/>
              </w:rPr>
              <w:t>6.12.7</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油气管道不宜与公路、铁路反复交叉穿越；需要与公路铁路交叉时，其穿越点宜选在公路、铁路的路堤段和管道的直线段，穿越宜避开高填方区、路堑、路两侧未同坡向的陡坡地段。当条件受限时也可从公路、铁路的桥梁下交叉穿越。</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《油气输送管道穿越工程设计规范》</w:t>
            </w:r>
            <w:r w:rsidRPr="00687B52">
              <w:rPr>
                <w:rFonts w:hint="eastAsia"/>
                <w:color w:val="000000" w:themeColor="text1"/>
              </w:rPr>
              <w:t>GB50423-2013</w:t>
            </w:r>
            <w:r w:rsidRPr="00687B52">
              <w:rPr>
                <w:rFonts w:hint="eastAsia"/>
                <w:color w:val="000000" w:themeColor="text1"/>
              </w:rPr>
              <w:t>第</w:t>
            </w:r>
            <w:r w:rsidRPr="00687B52">
              <w:rPr>
                <w:rFonts w:hint="eastAsia"/>
                <w:color w:val="000000" w:themeColor="text1"/>
              </w:rPr>
              <w:t>7.1.1</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在穿越公路的套管或涵洞内，输送管道不应设置水平或竖向弯管。</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《油气输送管道穿越工程设计规范》</w:t>
            </w:r>
            <w:r w:rsidRPr="00687B52">
              <w:rPr>
                <w:rFonts w:hint="eastAsia"/>
                <w:color w:val="000000" w:themeColor="text1"/>
              </w:rPr>
              <w:t>GB50423-2013</w:t>
            </w:r>
            <w:r w:rsidRPr="00687B52">
              <w:rPr>
                <w:rFonts w:hint="eastAsia"/>
                <w:color w:val="000000" w:themeColor="text1"/>
              </w:rPr>
              <w:t>第</w:t>
            </w:r>
            <w:r w:rsidRPr="00687B52">
              <w:rPr>
                <w:rFonts w:hint="eastAsia"/>
                <w:color w:val="000000" w:themeColor="text1"/>
              </w:rPr>
              <w:t>7.1.2</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穿越铁路或二级及以上公路时，应采用顶进套管、顶进箱涵或水平定向钻穿越方式，并满足路基稳定性的要求。对三级及三级以下公路穿越，可采用挖沟法埋设。当套管内空间充填细土将穿越段埋入时，可不设检漏管及两端的封堵。</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《油气输送管道穿越工程设计规范》</w:t>
            </w:r>
            <w:r w:rsidRPr="00687B52">
              <w:rPr>
                <w:rFonts w:hint="eastAsia"/>
                <w:color w:val="000000" w:themeColor="text1"/>
              </w:rPr>
              <w:t>GB50423-2013</w:t>
            </w:r>
            <w:r w:rsidRPr="00687B52">
              <w:rPr>
                <w:rFonts w:hint="eastAsia"/>
                <w:color w:val="000000" w:themeColor="text1"/>
              </w:rPr>
              <w:t>第</w:t>
            </w:r>
            <w:r w:rsidRPr="00687B52">
              <w:rPr>
                <w:rFonts w:hint="eastAsia"/>
                <w:color w:val="000000" w:themeColor="text1"/>
              </w:rPr>
              <w:t>7.1.3</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采用钢套管穿越公路的管段，对管道阴极保护形成屏蔽作用时，应增加牺牲阳极保护。</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《油气输送管道穿越工程设计规范》</w:t>
            </w:r>
            <w:r w:rsidRPr="00687B52">
              <w:rPr>
                <w:rFonts w:hint="eastAsia"/>
                <w:color w:val="000000" w:themeColor="text1"/>
              </w:rPr>
              <w:t>GB50423-2013</w:t>
            </w:r>
            <w:r w:rsidRPr="00687B52">
              <w:rPr>
                <w:rFonts w:hint="eastAsia"/>
                <w:color w:val="000000" w:themeColor="text1"/>
              </w:rPr>
              <w:t>第</w:t>
            </w:r>
            <w:r w:rsidRPr="00687B52">
              <w:rPr>
                <w:rFonts w:hint="eastAsia"/>
                <w:color w:val="000000" w:themeColor="text1"/>
              </w:rPr>
              <w:t>7.1.4</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新建公路、铁路与已建管道交叉时，应设置保护管道的涵洞，涵洞尺寸应满足管道运营维护要求。</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《油气输送管道穿越工程设计规范》</w:t>
            </w:r>
            <w:r w:rsidRPr="00687B52">
              <w:rPr>
                <w:rFonts w:hint="eastAsia"/>
                <w:color w:val="000000" w:themeColor="text1"/>
              </w:rPr>
              <w:t>GB50423-2013</w:t>
            </w:r>
            <w:r w:rsidRPr="00687B52">
              <w:rPr>
                <w:rFonts w:hint="eastAsia"/>
                <w:color w:val="000000" w:themeColor="text1"/>
              </w:rPr>
              <w:t>第</w:t>
            </w:r>
            <w:r w:rsidRPr="00687B52">
              <w:rPr>
                <w:rFonts w:hint="eastAsia"/>
                <w:color w:val="000000" w:themeColor="text1"/>
              </w:rPr>
              <w:t xml:space="preserve">7.1.5 </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油气管道穿越公路时，其穿越点四周应有足够的空间，满足管道穿越施工、维护及邻近建（构）筑物和设施安全距离的要求。</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《油气输送管道穿越工程设计规范》</w:t>
            </w:r>
            <w:r w:rsidRPr="00687B52">
              <w:rPr>
                <w:rFonts w:hint="eastAsia"/>
                <w:color w:val="000000" w:themeColor="text1"/>
              </w:rPr>
              <w:t>GB50423-2013</w:t>
            </w:r>
            <w:r w:rsidRPr="00687B52">
              <w:rPr>
                <w:rFonts w:hint="eastAsia"/>
                <w:color w:val="000000" w:themeColor="text1"/>
              </w:rPr>
              <w:t>第</w:t>
            </w:r>
            <w:r w:rsidRPr="00687B52">
              <w:rPr>
                <w:rFonts w:hint="eastAsia"/>
                <w:color w:val="000000" w:themeColor="text1"/>
              </w:rPr>
              <w:t xml:space="preserve">7.1.7 </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油气管道不应利用公路、铁路的排水涵洞进行穿越。</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《油气输送管道穿越工程设计规范》</w:t>
            </w:r>
            <w:r w:rsidRPr="00687B52">
              <w:rPr>
                <w:rFonts w:hint="eastAsia"/>
                <w:color w:val="000000" w:themeColor="text1"/>
              </w:rPr>
              <w:t>GB50423-2013</w:t>
            </w:r>
            <w:r w:rsidRPr="00687B52">
              <w:rPr>
                <w:rFonts w:hint="eastAsia"/>
                <w:color w:val="000000" w:themeColor="text1"/>
              </w:rPr>
              <w:t>第</w:t>
            </w:r>
            <w:r w:rsidRPr="00687B52">
              <w:rPr>
                <w:rFonts w:hint="eastAsia"/>
                <w:color w:val="000000" w:themeColor="text1"/>
              </w:rPr>
              <w:t xml:space="preserve">7.1.8 </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采用直接钻孔法敷设穿越管道或者套管时，其钻孔孔洞直径不应超过输送管道或者套管外直径</w:t>
            </w:r>
            <w:r w:rsidRPr="00687B52">
              <w:rPr>
                <w:rFonts w:hint="eastAsia"/>
                <w:color w:val="000000" w:themeColor="text1"/>
              </w:rPr>
              <w:t>50mm</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《油气输送管道穿越工程设计规范》</w:t>
            </w:r>
            <w:r w:rsidRPr="00687B52">
              <w:rPr>
                <w:rFonts w:hint="eastAsia"/>
                <w:color w:val="000000" w:themeColor="text1"/>
              </w:rPr>
              <w:t>GB50423-2013</w:t>
            </w:r>
            <w:r w:rsidRPr="00687B52">
              <w:rPr>
                <w:rFonts w:hint="eastAsia"/>
                <w:color w:val="000000" w:themeColor="text1"/>
              </w:rPr>
              <w:t>第</w:t>
            </w:r>
            <w:r w:rsidRPr="00687B52">
              <w:rPr>
                <w:rFonts w:hint="eastAsia"/>
                <w:color w:val="000000" w:themeColor="text1"/>
              </w:rPr>
              <w:t xml:space="preserve">7.1.14 </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采用无套管的开挖穿越管段，距管顶以上</w:t>
            </w:r>
            <w:r w:rsidRPr="00687B52">
              <w:rPr>
                <w:rFonts w:hint="eastAsia"/>
                <w:color w:val="000000" w:themeColor="text1"/>
              </w:rPr>
              <w:t>500mm</w:t>
            </w:r>
            <w:r w:rsidRPr="00687B52">
              <w:rPr>
                <w:rFonts w:hint="eastAsia"/>
                <w:color w:val="000000" w:themeColor="text1"/>
              </w:rPr>
              <w:t>处应埋设钢筋混凝土板；混凝土板上方应埋设警示带。</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《油气输送管道穿越工程设计规范》</w:t>
            </w:r>
            <w:r w:rsidRPr="00687B52">
              <w:rPr>
                <w:rFonts w:hint="eastAsia"/>
                <w:color w:val="000000" w:themeColor="text1"/>
              </w:rPr>
              <w:t>GB50423-2013</w:t>
            </w:r>
            <w:r w:rsidRPr="00687B52">
              <w:rPr>
                <w:rFonts w:hint="eastAsia"/>
                <w:color w:val="000000" w:themeColor="text1"/>
              </w:rPr>
              <w:t>第</w:t>
            </w:r>
            <w:r w:rsidRPr="00687B52">
              <w:rPr>
                <w:rFonts w:hint="eastAsia"/>
                <w:color w:val="000000" w:themeColor="text1"/>
              </w:rPr>
              <w:t xml:space="preserve">7.2.9 </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套管中的输送管道应设置绝缘支撑。</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《油气输送管道穿越工程设计规范》</w:t>
            </w:r>
            <w:r w:rsidRPr="00687B52">
              <w:rPr>
                <w:rFonts w:hint="eastAsia"/>
                <w:color w:val="000000" w:themeColor="text1"/>
              </w:rPr>
              <w:t>GB50423-2013</w:t>
            </w:r>
            <w:r w:rsidRPr="00687B52">
              <w:rPr>
                <w:rFonts w:hint="eastAsia"/>
                <w:color w:val="000000" w:themeColor="text1"/>
              </w:rPr>
              <w:t>第</w:t>
            </w:r>
            <w:r w:rsidRPr="00687B52">
              <w:rPr>
                <w:rFonts w:hint="eastAsia"/>
                <w:color w:val="000000" w:themeColor="text1"/>
              </w:rPr>
              <w:t xml:space="preserve">7.3.4 </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当一根套管中设置两根或者两根以上输送管道时，应使不同输送管道之间、输送管道与套管之间互相绝缘。</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《油气输送管道穿越工程设计规范》</w:t>
            </w:r>
            <w:r w:rsidRPr="00687B52">
              <w:rPr>
                <w:rFonts w:hint="eastAsia"/>
                <w:color w:val="000000" w:themeColor="text1"/>
              </w:rPr>
              <w:t>GB50423-2013</w:t>
            </w:r>
            <w:r w:rsidRPr="00687B52">
              <w:rPr>
                <w:rFonts w:hint="eastAsia"/>
                <w:color w:val="000000" w:themeColor="text1"/>
              </w:rPr>
              <w:t>第</w:t>
            </w:r>
            <w:r w:rsidRPr="00687B52">
              <w:rPr>
                <w:rFonts w:hint="eastAsia"/>
                <w:color w:val="000000" w:themeColor="text1"/>
              </w:rPr>
              <w:t>7.3.5</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水域大、中型穿越管段、山岭长隧道、山岭中长隧道、铁路、二级与二级以上公路的穿越管段，对接接头焊缝均应进行</w:t>
            </w:r>
            <w:r w:rsidRPr="00687B52">
              <w:rPr>
                <w:rFonts w:hint="eastAsia"/>
                <w:color w:val="000000" w:themeColor="text1"/>
              </w:rPr>
              <w:t>100%</w:t>
            </w:r>
            <w:r w:rsidRPr="00687B52">
              <w:rPr>
                <w:rFonts w:hint="eastAsia"/>
                <w:color w:val="000000" w:themeColor="text1"/>
              </w:rPr>
              <w:t>射线探伤检验和</w:t>
            </w:r>
            <w:r w:rsidRPr="00687B52">
              <w:rPr>
                <w:rFonts w:hint="eastAsia"/>
                <w:color w:val="000000" w:themeColor="text1"/>
              </w:rPr>
              <w:t>100%</w:t>
            </w:r>
            <w:r w:rsidRPr="00687B52">
              <w:rPr>
                <w:rFonts w:hint="eastAsia"/>
                <w:color w:val="000000" w:themeColor="text1"/>
              </w:rPr>
              <w:t>超声波探伤检验。</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《油气输送管道穿越工程设计规范》</w:t>
            </w:r>
            <w:r w:rsidRPr="00687B52">
              <w:rPr>
                <w:rFonts w:hint="eastAsia"/>
                <w:color w:val="000000" w:themeColor="text1"/>
              </w:rPr>
              <w:t>GB50423-2013</w:t>
            </w:r>
            <w:r w:rsidRPr="00687B52">
              <w:rPr>
                <w:rFonts w:hint="eastAsia"/>
                <w:color w:val="000000" w:themeColor="text1"/>
              </w:rPr>
              <w:t>第</w:t>
            </w:r>
            <w:r w:rsidRPr="00687B52">
              <w:rPr>
                <w:rFonts w:hint="eastAsia"/>
                <w:color w:val="000000" w:themeColor="text1"/>
              </w:rPr>
              <w:t>8.1.1</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穿越管段试压前应进行清管，试压后应再进行清管，输气管道应进行干燥处理。</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《油气输送管道穿越工程设计规范》</w:t>
            </w:r>
            <w:r w:rsidRPr="00687B52">
              <w:rPr>
                <w:rFonts w:hint="eastAsia"/>
                <w:color w:val="000000" w:themeColor="text1"/>
              </w:rPr>
              <w:t>GB50423-2013</w:t>
            </w:r>
            <w:r w:rsidRPr="00687B52">
              <w:rPr>
                <w:rFonts w:hint="eastAsia"/>
                <w:color w:val="000000" w:themeColor="text1"/>
              </w:rPr>
              <w:t>第</w:t>
            </w:r>
            <w:r w:rsidRPr="00687B52">
              <w:rPr>
                <w:rFonts w:hint="eastAsia"/>
                <w:color w:val="000000" w:themeColor="text1"/>
              </w:rPr>
              <w:t>8.2.1</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穿越管段与两端线路管段连接处的焊口不应强力组装，不应出现使连接管段发生强制变形的连接。</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《油气输送管道穿越工程设计规范》</w:t>
            </w:r>
            <w:r w:rsidRPr="00687B52">
              <w:rPr>
                <w:rFonts w:hint="eastAsia"/>
                <w:color w:val="000000" w:themeColor="text1"/>
              </w:rPr>
              <w:t>GB50423-2013</w:t>
            </w:r>
            <w:r w:rsidRPr="00687B52">
              <w:rPr>
                <w:rFonts w:hint="eastAsia"/>
                <w:color w:val="000000" w:themeColor="text1"/>
              </w:rPr>
              <w:t>第</w:t>
            </w:r>
            <w:r w:rsidRPr="00687B52">
              <w:rPr>
                <w:rFonts w:hint="eastAsia"/>
                <w:color w:val="000000" w:themeColor="text1"/>
              </w:rPr>
              <w:t>8.2.8</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管道支撑件、护管或稳管构筑物处于腐蚀性环境中时，应采用相应的防腐蚀措施。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《油气输送管道穿越工程设计规范》</w:t>
            </w:r>
            <w:r w:rsidRPr="00687B52">
              <w:rPr>
                <w:rFonts w:hint="eastAsia"/>
                <w:color w:val="000000" w:themeColor="text1"/>
              </w:rPr>
              <w:t>GB50423-2013</w:t>
            </w:r>
            <w:r w:rsidRPr="00687B52">
              <w:rPr>
                <w:rFonts w:hint="eastAsia"/>
                <w:color w:val="000000" w:themeColor="text1"/>
              </w:rPr>
              <w:t>第</w:t>
            </w:r>
            <w:r w:rsidRPr="00687B52">
              <w:rPr>
                <w:rFonts w:hint="eastAsia"/>
                <w:color w:val="000000" w:themeColor="text1"/>
              </w:rPr>
              <w:t>8.3.4</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水域大中型穿越管段的一端应设置阴极保护的测试点，小型穿越管段可与一般线路结合不单独设阴极保护测试点。</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《油气输送管道穿越工程设计规范》</w:t>
            </w:r>
            <w:r w:rsidRPr="00687B52">
              <w:rPr>
                <w:rFonts w:hint="eastAsia"/>
                <w:color w:val="000000" w:themeColor="text1"/>
              </w:rPr>
              <w:t>GB50423-2013</w:t>
            </w:r>
            <w:r w:rsidRPr="00687B52">
              <w:rPr>
                <w:rFonts w:hint="eastAsia"/>
                <w:color w:val="000000" w:themeColor="text1"/>
              </w:rPr>
              <w:t>第</w:t>
            </w:r>
            <w:r w:rsidRPr="00687B52">
              <w:rPr>
                <w:rFonts w:hint="eastAsia"/>
                <w:color w:val="000000" w:themeColor="text1"/>
              </w:rPr>
              <w:t>8.3.5</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穿越管段的稳管构筑物、隧道中的支护管段构筑物或构件，应与管段绝缘，但不应对管段产生电屏蔽。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《油气输送管道穿越工程设计规范》</w:t>
            </w:r>
            <w:r w:rsidRPr="00687B52">
              <w:rPr>
                <w:rFonts w:hint="eastAsia"/>
                <w:color w:val="000000" w:themeColor="text1"/>
              </w:rPr>
              <w:t>GB50423-2013</w:t>
            </w:r>
            <w:r w:rsidRPr="00687B52">
              <w:rPr>
                <w:rFonts w:hint="eastAsia"/>
                <w:color w:val="000000" w:themeColor="text1"/>
              </w:rPr>
              <w:t>第</w:t>
            </w:r>
            <w:r w:rsidRPr="00687B52">
              <w:rPr>
                <w:rFonts w:hint="eastAsia"/>
                <w:color w:val="000000" w:themeColor="text1"/>
              </w:rPr>
              <w:t>8.3.7</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trHeight w:val="1810"/>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管道跨越工程等级应按下表划分：</w:t>
            </w:r>
          </w:p>
          <w:tbl>
            <w:tblPr>
              <w:tblStyle w:val="a6"/>
              <w:tblW w:w="0" w:type="auto"/>
              <w:tblLook w:val="04A0" w:firstRow="1" w:lastRow="0" w:firstColumn="1" w:lastColumn="0" w:noHBand="0" w:noVBand="1"/>
            </w:tblPr>
            <w:tblGrid>
              <w:gridCol w:w="2228"/>
              <w:gridCol w:w="2228"/>
              <w:gridCol w:w="2229"/>
            </w:tblGrid>
            <w:tr w:rsidR="000E02C5" w:rsidRPr="00687B52" w:rsidTr="00B527D4">
              <w:tc>
                <w:tcPr>
                  <w:tcW w:w="2228"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工程等级</w:t>
                  </w:r>
                </w:p>
              </w:tc>
              <w:tc>
                <w:tcPr>
                  <w:tcW w:w="2228"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总跨长度</w:t>
                  </w:r>
                  <w:r w:rsidRPr="00687B52">
                    <w:rPr>
                      <w:rFonts w:hint="eastAsia"/>
                      <w:color w:val="000000" w:themeColor="text1"/>
                      <w:sz w:val="21"/>
                    </w:rPr>
                    <w:t>L</w:t>
                  </w:r>
                  <w:r w:rsidRPr="00687B52">
                    <w:rPr>
                      <w:rFonts w:hint="eastAsia"/>
                      <w:color w:val="000000" w:themeColor="text1"/>
                      <w:sz w:val="21"/>
                      <w:vertAlign w:val="subscript"/>
                    </w:rPr>
                    <w:t>1</w:t>
                  </w:r>
                  <w:r w:rsidRPr="00687B52">
                    <w:rPr>
                      <w:rFonts w:hint="eastAsia"/>
                      <w:color w:val="000000" w:themeColor="text1"/>
                      <w:sz w:val="21"/>
                    </w:rPr>
                    <w:t>（</w:t>
                  </w:r>
                  <w:r w:rsidRPr="00687B52">
                    <w:rPr>
                      <w:rFonts w:hint="eastAsia"/>
                      <w:color w:val="000000" w:themeColor="text1"/>
                      <w:sz w:val="21"/>
                    </w:rPr>
                    <w:t>m</w:t>
                  </w:r>
                  <w:r w:rsidRPr="00687B52">
                    <w:rPr>
                      <w:rFonts w:hint="eastAsia"/>
                      <w:color w:val="000000" w:themeColor="text1"/>
                      <w:sz w:val="21"/>
                    </w:rPr>
                    <w:t>）</w:t>
                  </w:r>
                </w:p>
              </w:tc>
              <w:tc>
                <w:tcPr>
                  <w:tcW w:w="2229"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主跨长度</w:t>
                  </w:r>
                  <w:r w:rsidRPr="00687B52">
                    <w:rPr>
                      <w:rFonts w:hint="eastAsia"/>
                      <w:color w:val="000000" w:themeColor="text1"/>
                      <w:sz w:val="21"/>
                    </w:rPr>
                    <w:t>L</w:t>
                  </w:r>
                  <w:r w:rsidRPr="00687B52">
                    <w:rPr>
                      <w:rFonts w:hint="eastAsia"/>
                      <w:color w:val="000000" w:themeColor="text1"/>
                      <w:sz w:val="21"/>
                      <w:vertAlign w:val="subscript"/>
                    </w:rPr>
                    <w:t>2</w:t>
                  </w:r>
                  <w:r w:rsidRPr="00687B52">
                    <w:rPr>
                      <w:rFonts w:hint="eastAsia"/>
                      <w:color w:val="000000" w:themeColor="text1"/>
                      <w:sz w:val="21"/>
                    </w:rPr>
                    <w:t>（</w:t>
                  </w:r>
                  <w:r w:rsidRPr="00687B52">
                    <w:rPr>
                      <w:rFonts w:hint="eastAsia"/>
                      <w:color w:val="000000" w:themeColor="text1"/>
                      <w:sz w:val="21"/>
                    </w:rPr>
                    <w:t>m</w:t>
                  </w:r>
                  <w:r w:rsidRPr="00687B52">
                    <w:rPr>
                      <w:rFonts w:hint="eastAsia"/>
                      <w:color w:val="000000" w:themeColor="text1"/>
                      <w:sz w:val="21"/>
                    </w:rPr>
                    <w:t>）</w:t>
                  </w:r>
                </w:p>
              </w:tc>
            </w:tr>
            <w:tr w:rsidR="000E02C5" w:rsidRPr="00687B52" w:rsidTr="00B527D4">
              <w:tc>
                <w:tcPr>
                  <w:tcW w:w="2228"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大型</w:t>
                  </w:r>
                </w:p>
              </w:tc>
              <w:tc>
                <w:tcPr>
                  <w:tcW w:w="2228"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w:t>
                  </w:r>
                  <w:r w:rsidRPr="00687B52">
                    <w:rPr>
                      <w:rFonts w:hint="eastAsia"/>
                      <w:color w:val="000000" w:themeColor="text1"/>
                      <w:sz w:val="21"/>
                    </w:rPr>
                    <w:t>300</w:t>
                  </w:r>
                </w:p>
              </w:tc>
              <w:tc>
                <w:tcPr>
                  <w:tcW w:w="2229"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w:t>
                  </w:r>
                  <w:r w:rsidRPr="00687B52">
                    <w:rPr>
                      <w:rFonts w:hint="eastAsia"/>
                      <w:color w:val="000000" w:themeColor="text1"/>
                      <w:sz w:val="21"/>
                    </w:rPr>
                    <w:t>150</w:t>
                  </w:r>
                </w:p>
              </w:tc>
            </w:tr>
            <w:tr w:rsidR="000E02C5" w:rsidRPr="00687B52" w:rsidTr="00B527D4">
              <w:tc>
                <w:tcPr>
                  <w:tcW w:w="2228"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中型</w:t>
                  </w:r>
                </w:p>
              </w:tc>
              <w:tc>
                <w:tcPr>
                  <w:tcW w:w="2228"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100</w:t>
                  </w:r>
                  <w:r w:rsidRPr="00687B52">
                    <w:rPr>
                      <w:rFonts w:hint="eastAsia"/>
                      <w:color w:val="000000" w:themeColor="text1"/>
                      <w:sz w:val="21"/>
                    </w:rPr>
                    <w:t>≤</w:t>
                  </w:r>
                  <w:r w:rsidRPr="00687B52">
                    <w:rPr>
                      <w:rFonts w:hint="eastAsia"/>
                      <w:color w:val="000000" w:themeColor="text1"/>
                      <w:sz w:val="21"/>
                    </w:rPr>
                    <w:t>L</w:t>
                  </w:r>
                  <w:r w:rsidRPr="00687B52">
                    <w:rPr>
                      <w:rFonts w:hint="eastAsia"/>
                      <w:color w:val="000000" w:themeColor="text1"/>
                      <w:sz w:val="21"/>
                      <w:vertAlign w:val="subscript"/>
                    </w:rPr>
                    <w:t>1</w:t>
                  </w:r>
                  <w:r w:rsidRPr="00687B52">
                    <w:rPr>
                      <w:rFonts w:hint="eastAsia"/>
                      <w:color w:val="000000" w:themeColor="text1"/>
                      <w:sz w:val="21"/>
                    </w:rPr>
                    <w:t>≤</w:t>
                  </w:r>
                  <w:r w:rsidRPr="00687B52">
                    <w:rPr>
                      <w:rFonts w:hint="eastAsia"/>
                      <w:color w:val="000000" w:themeColor="text1"/>
                      <w:sz w:val="21"/>
                    </w:rPr>
                    <w:t>300</w:t>
                  </w:r>
                </w:p>
              </w:tc>
              <w:tc>
                <w:tcPr>
                  <w:tcW w:w="2229"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500</w:t>
                  </w:r>
                  <w:r w:rsidRPr="00687B52">
                    <w:rPr>
                      <w:rFonts w:hint="eastAsia"/>
                      <w:color w:val="000000" w:themeColor="text1"/>
                      <w:sz w:val="21"/>
                    </w:rPr>
                    <w:t>≤</w:t>
                  </w:r>
                  <w:r w:rsidRPr="00687B52">
                    <w:rPr>
                      <w:rFonts w:hint="eastAsia"/>
                      <w:color w:val="000000" w:themeColor="text1"/>
                      <w:sz w:val="21"/>
                    </w:rPr>
                    <w:t>L</w:t>
                  </w:r>
                  <w:r w:rsidRPr="00687B52">
                    <w:rPr>
                      <w:rFonts w:hint="eastAsia"/>
                      <w:color w:val="000000" w:themeColor="text1"/>
                      <w:sz w:val="21"/>
                      <w:vertAlign w:val="subscript"/>
                    </w:rPr>
                    <w:t>1</w:t>
                  </w:r>
                  <w:r w:rsidRPr="00687B52">
                    <w:rPr>
                      <w:rFonts w:hint="eastAsia"/>
                      <w:color w:val="000000" w:themeColor="text1"/>
                      <w:sz w:val="21"/>
                    </w:rPr>
                    <w:t>≤</w:t>
                  </w:r>
                  <w:r w:rsidRPr="00687B52">
                    <w:rPr>
                      <w:rFonts w:hint="eastAsia"/>
                      <w:color w:val="000000" w:themeColor="text1"/>
                      <w:sz w:val="21"/>
                    </w:rPr>
                    <w:t>150</w:t>
                  </w:r>
                </w:p>
              </w:tc>
            </w:tr>
            <w:tr w:rsidR="000E02C5" w:rsidRPr="00687B52" w:rsidTr="00B527D4">
              <w:tc>
                <w:tcPr>
                  <w:tcW w:w="2228"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小型</w:t>
                  </w:r>
                </w:p>
              </w:tc>
              <w:tc>
                <w:tcPr>
                  <w:tcW w:w="2228"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w:t>
                  </w:r>
                  <w:r w:rsidRPr="00687B52">
                    <w:rPr>
                      <w:rFonts w:hint="eastAsia"/>
                      <w:color w:val="000000" w:themeColor="text1"/>
                      <w:sz w:val="21"/>
                    </w:rPr>
                    <w:t>100</w:t>
                  </w:r>
                </w:p>
              </w:tc>
              <w:tc>
                <w:tcPr>
                  <w:tcW w:w="2229"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w:t>
                  </w:r>
                  <w:r w:rsidRPr="00687B52">
                    <w:rPr>
                      <w:rFonts w:hint="eastAsia"/>
                      <w:color w:val="000000" w:themeColor="text1"/>
                      <w:sz w:val="21"/>
                    </w:rPr>
                    <w:t>50</w:t>
                  </w:r>
                </w:p>
              </w:tc>
            </w:tr>
          </w:tbl>
          <w:p w:rsidR="000E02C5" w:rsidRPr="00687B52" w:rsidRDefault="000E02C5" w:rsidP="00B527D4">
            <w:pPr>
              <w:pStyle w:val="a7"/>
              <w:jc w:val="left"/>
              <w:rPr>
                <w:color w:val="000000" w:themeColor="text1"/>
              </w:rPr>
            </w:pP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《油气输送管道跨越工程设计规范》</w:t>
            </w:r>
            <w:r w:rsidRPr="00687B52">
              <w:rPr>
                <w:rFonts w:hint="eastAsia"/>
                <w:color w:val="000000" w:themeColor="text1"/>
              </w:rPr>
              <w:t>GB50459-2009</w:t>
            </w:r>
            <w:r w:rsidRPr="00687B52">
              <w:rPr>
                <w:rFonts w:hint="eastAsia"/>
                <w:color w:val="000000" w:themeColor="text1"/>
              </w:rPr>
              <w:t>第</w:t>
            </w:r>
            <w:r w:rsidRPr="00687B52">
              <w:rPr>
                <w:rFonts w:hint="eastAsia"/>
                <w:color w:val="000000" w:themeColor="text1"/>
              </w:rPr>
              <w:t>3.1.2</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不同地形、地质条件下跨越位置的确定，应符合下列规定：</w:t>
            </w:r>
          </w:p>
          <w:p w:rsidR="000E02C5" w:rsidRPr="00687B52" w:rsidRDefault="000E02C5" w:rsidP="00B527D4">
            <w:pPr>
              <w:pStyle w:val="a7"/>
              <w:jc w:val="left"/>
              <w:rPr>
                <w:color w:val="000000" w:themeColor="text1"/>
              </w:rPr>
            </w:pPr>
            <w:r w:rsidRPr="00687B52">
              <w:rPr>
                <w:rFonts w:hint="eastAsia"/>
                <w:color w:val="000000" w:themeColor="text1"/>
              </w:rPr>
              <w:t>①跨越位置宜选择在河流较窄、两岸有山嘴或高地、侧向冲刷及侵蚀较小、并有良好稳定地层的地段。当河流有弯道时，宜选择在弯道的上游平直河段。</w:t>
            </w:r>
          </w:p>
          <w:p w:rsidR="000E02C5" w:rsidRPr="00687B52" w:rsidRDefault="000E02C5" w:rsidP="00B527D4">
            <w:pPr>
              <w:pStyle w:val="a7"/>
              <w:jc w:val="left"/>
              <w:rPr>
                <w:color w:val="000000" w:themeColor="text1"/>
              </w:rPr>
            </w:pPr>
            <w:r w:rsidRPr="00687B52">
              <w:rPr>
                <w:rFonts w:hint="eastAsia"/>
                <w:color w:val="000000" w:themeColor="text1"/>
              </w:rPr>
              <w:t>②跨越位置应选在闸坝上游或其他水工构筑物影响区域之外。</w:t>
            </w:r>
          </w:p>
          <w:p w:rsidR="000E02C5" w:rsidRPr="00687B52" w:rsidRDefault="000E02C5" w:rsidP="00B527D4">
            <w:pPr>
              <w:pStyle w:val="a7"/>
              <w:jc w:val="left"/>
              <w:rPr>
                <w:color w:val="000000" w:themeColor="text1"/>
              </w:rPr>
            </w:pPr>
            <w:r w:rsidRPr="00687B52">
              <w:rPr>
                <w:rFonts w:hint="eastAsia"/>
                <w:color w:val="000000" w:themeColor="text1"/>
              </w:rPr>
              <w:t>③跨越位置应避开冲沟沟头发育地段。</w:t>
            </w:r>
          </w:p>
          <w:p w:rsidR="000E02C5" w:rsidRPr="00687B52" w:rsidRDefault="000E02C5" w:rsidP="00B527D4">
            <w:pPr>
              <w:pStyle w:val="a7"/>
              <w:jc w:val="left"/>
              <w:rPr>
                <w:color w:val="000000" w:themeColor="text1"/>
              </w:rPr>
            </w:pPr>
            <w:r w:rsidRPr="00687B52">
              <w:rPr>
                <w:rFonts w:hint="eastAsia"/>
                <w:color w:val="000000" w:themeColor="text1"/>
              </w:rPr>
              <w:t>④跨越位置应避开活动地震断裂带、滑坡、泥石流、岩溶以及其他不良地质发育的地段。</w:t>
            </w:r>
          </w:p>
          <w:p w:rsidR="000E02C5" w:rsidRPr="00687B52" w:rsidRDefault="000E02C5" w:rsidP="00B527D4">
            <w:pPr>
              <w:pStyle w:val="a7"/>
              <w:jc w:val="left"/>
              <w:rPr>
                <w:color w:val="000000" w:themeColor="text1"/>
              </w:rPr>
            </w:pPr>
            <w:r w:rsidRPr="00687B52">
              <w:rPr>
                <w:rFonts w:hint="eastAsia"/>
                <w:color w:val="000000" w:themeColor="text1"/>
              </w:rPr>
              <w:t>⑤跨越位置应避开地面或地下已有重要设施的地段。</w:t>
            </w:r>
          </w:p>
          <w:p w:rsidR="000E02C5" w:rsidRPr="00687B52" w:rsidRDefault="000E02C5" w:rsidP="00B527D4">
            <w:pPr>
              <w:pStyle w:val="a7"/>
              <w:jc w:val="left"/>
              <w:rPr>
                <w:color w:val="000000" w:themeColor="text1"/>
              </w:rPr>
            </w:pPr>
            <w:r w:rsidRPr="00687B52">
              <w:rPr>
                <w:rFonts w:hint="eastAsia"/>
                <w:color w:val="000000" w:themeColor="text1"/>
              </w:rPr>
              <w:t>⑥跨越位置附近宜具有一定的施工安装场地及较方便的交通运输条件。</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《油气输送管道跨越工程设计规范》</w:t>
            </w:r>
            <w:r w:rsidRPr="00687B52">
              <w:rPr>
                <w:rFonts w:hint="eastAsia"/>
                <w:color w:val="000000" w:themeColor="text1"/>
              </w:rPr>
              <w:t>GB50459-2009</w:t>
            </w:r>
            <w:r w:rsidRPr="00687B52">
              <w:rPr>
                <w:rFonts w:hint="eastAsia"/>
                <w:color w:val="000000" w:themeColor="text1"/>
              </w:rPr>
              <w:t>第</w:t>
            </w:r>
            <w:r w:rsidRPr="00687B52">
              <w:rPr>
                <w:rFonts w:hint="eastAsia"/>
                <w:color w:val="000000" w:themeColor="text1"/>
              </w:rPr>
              <w:t>3.1.5</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管道在无通航、无流筏的河流上跨越时，管道架空结构的最小缘，大型跨越工程应高于设计洪水位</w:t>
            </w:r>
            <w:r w:rsidRPr="00687B52">
              <w:rPr>
                <w:rFonts w:hint="eastAsia"/>
                <w:color w:val="000000" w:themeColor="text1"/>
              </w:rPr>
              <w:t>3m</w:t>
            </w:r>
            <w:r w:rsidRPr="00687B52">
              <w:rPr>
                <w:rFonts w:hint="eastAsia"/>
                <w:color w:val="000000" w:themeColor="text1"/>
              </w:rPr>
              <w:t>，中、小型跨越工程应高于</w:t>
            </w:r>
            <w:r w:rsidRPr="00687B52">
              <w:rPr>
                <w:rFonts w:hint="eastAsia"/>
                <w:color w:val="000000" w:themeColor="text1"/>
              </w:rPr>
              <w:t>2m</w:t>
            </w:r>
            <w:r w:rsidRPr="00687B52">
              <w:rPr>
                <w:rFonts w:hint="eastAsia"/>
                <w:color w:val="000000" w:themeColor="text1"/>
              </w:rPr>
              <w:t>，当无准确的水文资料时，应适当加大架空高度，当河流上有其他项目规划时，还应满足相关部门对净空的要求。</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《油气输送管道跨越工程设计规范》</w:t>
            </w:r>
            <w:r w:rsidRPr="00687B52">
              <w:rPr>
                <w:rFonts w:hint="eastAsia"/>
                <w:color w:val="000000" w:themeColor="text1"/>
              </w:rPr>
              <w:t>GB50459-2009</w:t>
            </w:r>
            <w:r w:rsidRPr="00687B52">
              <w:rPr>
                <w:rFonts w:hint="eastAsia"/>
                <w:color w:val="000000" w:themeColor="text1"/>
              </w:rPr>
              <w:t>第</w:t>
            </w:r>
            <w:r w:rsidRPr="00687B52">
              <w:rPr>
                <w:rFonts w:hint="eastAsia"/>
                <w:color w:val="000000" w:themeColor="text1"/>
              </w:rPr>
              <w:t>3.1.8</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trHeight w:val="2681"/>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管道跨越铁路或道路时，管道架空结构的最下缘净空高度不应低于下表的规定。管道跨越工程两侧应设置限高标志，必要时应设置限高构筑物。</w:t>
            </w:r>
          </w:p>
          <w:tbl>
            <w:tblPr>
              <w:tblStyle w:val="a6"/>
              <w:tblW w:w="0" w:type="auto"/>
              <w:jc w:val="center"/>
              <w:tblLook w:val="04A0" w:firstRow="1" w:lastRow="0" w:firstColumn="1" w:lastColumn="0" w:noHBand="0" w:noVBand="1"/>
            </w:tblPr>
            <w:tblGrid>
              <w:gridCol w:w="3342"/>
              <w:gridCol w:w="3343"/>
            </w:tblGrid>
            <w:tr w:rsidR="000E02C5" w:rsidRPr="00687B52" w:rsidTr="00B527D4">
              <w:trPr>
                <w:jc w:val="center"/>
              </w:trPr>
              <w:tc>
                <w:tcPr>
                  <w:tcW w:w="3342"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类型</w:t>
                  </w:r>
                </w:p>
              </w:tc>
              <w:tc>
                <w:tcPr>
                  <w:tcW w:w="3343"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净空高度（</w:t>
                  </w:r>
                  <w:r w:rsidRPr="00687B52">
                    <w:rPr>
                      <w:rFonts w:hint="eastAsia"/>
                      <w:color w:val="000000" w:themeColor="text1"/>
                      <w:sz w:val="21"/>
                    </w:rPr>
                    <w:t>m</w:t>
                  </w:r>
                  <w:r w:rsidRPr="00687B52">
                    <w:rPr>
                      <w:rFonts w:hint="eastAsia"/>
                      <w:color w:val="000000" w:themeColor="text1"/>
                      <w:sz w:val="21"/>
                    </w:rPr>
                    <w:t>）</w:t>
                  </w:r>
                </w:p>
              </w:tc>
            </w:tr>
            <w:tr w:rsidR="000E02C5" w:rsidRPr="00687B52" w:rsidTr="00B527D4">
              <w:trPr>
                <w:jc w:val="center"/>
              </w:trPr>
              <w:tc>
                <w:tcPr>
                  <w:tcW w:w="3342"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人行道路</w:t>
                  </w:r>
                </w:p>
              </w:tc>
              <w:tc>
                <w:tcPr>
                  <w:tcW w:w="3343"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3.5</w:t>
                  </w:r>
                </w:p>
              </w:tc>
            </w:tr>
            <w:tr w:rsidR="000E02C5" w:rsidRPr="00687B52" w:rsidTr="00B527D4">
              <w:trPr>
                <w:jc w:val="center"/>
              </w:trPr>
              <w:tc>
                <w:tcPr>
                  <w:tcW w:w="3342"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等级公路与城市道路</w:t>
                  </w:r>
                </w:p>
              </w:tc>
              <w:tc>
                <w:tcPr>
                  <w:tcW w:w="3343"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5.5</w:t>
                  </w:r>
                </w:p>
              </w:tc>
            </w:tr>
            <w:tr w:rsidR="000E02C5" w:rsidRPr="00687B52" w:rsidTr="00B527D4">
              <w:trPr>
                <w:jc w:val="center"/>
              </w:trPr>
              <w:tc>
                <w:tcPr>
                  <w:tcW w:w="3342"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铁路</w:t>
                  </w:r>
                </w:p>
              </w:tc>
              <w:tc>
                <w:tcPr>
                  <w:tcW w:w="3343"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6.5~7.0</w:t>
                  </w:r>
                </w:p>
              </w:tc>
            </w:tr>
            <w:tr w:rsidR="000E02C5" w:rsidRPr="00687B52" w:rsidTr="00B527D4">
              <w:trPr>
                <w:jc w:val="center"/>
              </w:trPr>
              <w:tc>
                <w:tcPr>
                  <w:tcW w:w="3342"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电气化铁路</w:t>
                  </w:r>
                </w:p>
              </w:tc>
              <w:tc>
                <w:tcPr>
                  <w:tcW w:w="3343"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11.0</w:t>
                  </w:r>
                </w:p>
              </w:tc>
            </w:tr>
          </w:tbl>
          <w:p w:rsidR="000E02C5" w:rsidRPr="00687B52" w:rsidRDefault="000E02C5" w:rsidP="00B527D4">
            <w:pPr>
              <w:pStyle w:val="a7"/>
              <w:jc w:val="left"/>
              <w:rPr>
                <w:color w:val="000000" w:themeColor="text1"/>
              </w:rPr>
            </w:pP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《油气输送管道跨越工程设计规范》</w:t>
            </w:r>
            <w:r w:rsidRPr="00687B52">
              <w:rPr>
                <w:rFonts w:hint="eastAsia"/>
                <w:color w:val="000000" w:themeColor="text1"/>
              </w:rPr>
              <w:t>GB50459-2009</w:t>
            </w:r>
            <w:r w:rsidRPr="00687B52">
              <w:rPr>
                <w:rFonts w:hint="eastAsia"/>
                <w:color w:val="000000" w:themeColor="text1"/>
              </w:rPr>
              <w:t>第</w:t>
            </w:r>
            <w:r w:rsidRPr="00687B52">
              <w:rPr>
                <w:rFonts w:hint="eastAsia"/>
                <w:color w:val="000000" w:themeColor="text1"/>
              </w:rPr>
              <w:t xml:space="preserve">3.1.10 </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trHeight w:val="1982"/>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跨越管道与桥梁之间的最小距离应符合下表规定。</w:t>
            </w:r>
          </w:p>
          <w:tbl>
            <w:tblPr>
              <w:tblStyle w:val="a6"/>
              <w:tblW w:w="0" w:type="auto"/>
              <w:tblLook w:val="04A0" w:firstRow="1" w:lastRow="0" w:firstColumn="1" w:lastColumn="0" w:noHBand="0" w:noVBand="1"/>
            </w:tblPr>
            <w:tblGrid>
              <w:gridCol w:w="1200"/>
              <w:gridCol w:w="851"/>
              <w:gridCol w:w="992"/>
              <w:gridCol w:w="851"/>
              <w:gridCol w:w="992"/>
              <w:gridCol w:w="844"/>
              <w:gridCol w:w="955"/>
            </w:tblGrid>
            <w:tr w:rsidR="000E02C5" w:rsidRPr="00687B52" w:rsidTr="00B527D4">
              <w:tc>
                <w:tcPr>
                  <w:tcW w:w="1200" w:type="dxa"/>
                  <w:vMerge w:val="restart"/>
                  <w:vAlign w:val="center"/>
                </w:tcPr>
                <w:p w:rsidR="000E02C5" w:rsidRPr="00687B52" w:rsidRDefault="000E02C5" w:rsidP="00B527D4">
                  <w:pPr>
                    <w:pStyle w:val="a7"/>
                    <w:rPr>
                      <w:color w:val="000000" w:themeColor="text1"/>
                    </w:rPr>
                  </w:pPr>
                  <w:r w:rsidRPr="00687B52">
                    <w:rPr>
                      <w:rFonts w:hint="eastAsia"/>
                      <w:color w:val="000000" w:themeColor="text1"/>
                    </w:rPr>
                    <w:t>管道类型</w:t>
                  </w:r>
                </w:p>
              </w:tc>
              <w:tc>
                <w:tcPr>
                  <w:tcW w:w="1843" w:type="dxa"/>
                  <w:gridSpan w:val="2"/>
                  <w:vAlign w:val="center"/>
                </w:tcPr>
                <w:p w:rsidR="000E02C5" w:rsidRPr="00687B52" w:rsidRDefault="000E02C5" w:rsidP="00B527D4">
                  <w:pPr>
                    <w:pStyle w:val="a7"/>
                    <w:rPr>
                      <w:color w:val="000000" w:themeColor="text1"/>
                    </w:rPr>
                  </w:pPr>
                  <w:r w:rsidRPr="00687B52">
                    <w:rPr>
                      <w:rFonts w:hint="eastAsia"/>
                      <w:color w:val="000000" w:themeColor="text1"/>
                    </w:rPr>
                    <w:t>大桥</w:t>
                  </w:r>
                </w:p>
              </w:tc>
              <w:tc>
                <w:tcPr>
                  <w:tcW w:w="1843" w:type="dxa"/>
                  <w:gridSpan w:val="2"/>
                  <w:vAlign w:val="center"/>
                </w:tcPr>
                <w:p w:rsidR="000E02C5" w:rsidRPr="00687B52" w:rsidRDefault="000E02C5" w:rsidP="00B527D4">
                  <w:pPr>
                    <w:pStyle w:val="a7"/>
                    <w:rPr>
                      <w:color w:val="000000" w:themeColor="text1"/>
                    </w:rPr>
                  </w:pPr>
                  <w:r w:rsidRPr="00687B52">
                    <w:rPr>
                      <w:rFonts w:hint="eastAsia"/>
                      <w:color w:val="000000" w:themeColor="text1"/>
                    </w:rPr>
                    <w:t>中桥</w:t>
                  </w:r>
                </w:p>
              </w:tc>
              <w:tc>
                <w:tcPr>
                  <w:tcW w:w="1799" w:type="dxa"/>
                  <w:gridSpan w:val="2"/>
                  <w:vAlign w:val="center"/>
                </w:tcPr>
                <w:p w:rsidR="000E02C5" w:rsidRPr="00687B52" w:rsidRDefault="000E02C5" w:rsidP="00B527D4">
                  <w:pPr>
                    <w:pStyle w:val="a7"/>
                    <w:rPr>
                      <w:color w:val="000000" w:themeColor="text1"/>
                    </w:rPr>
                  </w:pPr>
                  <w:r w:rsidRPr="00687B52">
                    <w:rPr>
                      <w:rFonts w:hint="eastAsia"/>
                      <w:color w:val="000000" w:themeColor="text1"/>
                    </w:rPr>
                    <w:t>小桥</w:t>
                  </w:r>
                </w:p>
              </w:tc>
            </w:tr>
            <w:tr w:rsidR="000E02C5" w:rsidRPr="00687B52" w:rsidTr="00B527D4">
              <w:tc>
                <w:tcPr>
                  <w:tcW w:w="1200" w:type="dxa"/>
                  <w:vMerge/>
                  <w:vAlign w:val="center"/>
                </w:tcPr>
                <w:p w:rsidR="000E02C5" w:rsidRPr="00687B52" w:rsidRDefault="000E02C5" w:rsidP="00B527D4">
                  <w:pPr>
                    <w:pStyle w:val="a7"/>
                    <w:rPr>
                      <w:color w:val="000000" w:themeColor="text1"/>
                    </w:rPr>
                  </w:pPr>
                </w:p>
              </w:tc>
              <w:tc>
                <w:tcPr>
                  <w:tcW w:w="851" w:type="dxa"/>
                  <w:vAlign w:val="center"/>
                </w:tcPr>
                <w:p w:rsidR="000E02C5" w:rsidRPr="00687B52" w:rsidRDefault="000E02C5" w:rsidP="00B527D4">
                  <w:pPr>
                    <w:pStyle w:val="a7"/>
                    <w:rPr>
                      <w:color w:val="000000" w:themeColor="text1"/>
                    </w:rPr>
                  </w:pPr>
                  <w:r w:rsidRPr="00687B52">
                    <w:rPr>
                      <w:rFonts w:hint="eastAsia"/>
                      <w:color w:val="000000" w:themeColor="text1"/>
                    </w:rPr>
                    <w:t>铁路</w:t>
                  </w:r>
                </w:p>
              </w:tc>
              <w:tc>
                <w:tcPr>
                  <w:tcW w:w="992" w:type="dxa"/>
                  <w:vAlign w:val="center"/>
                </w:tcPr>
                <w:p w:rsidR="000E02C5" w:rsidRPr="00687B52" w:rsidRDefault="000E02C5" w:rsidP="00B527D4">
                  <w:pPr>
                    <w:pStyle w:val="a7"/>
                    <w:rPr>
                      <w:color w:val="000000" w:themeColor="text1"/>
                    </w:rPr>
                  </w:pPr>
                  <w:r w:rsidRPr="00687B52">
                    <w:rPr>
                      <w:rFonts w:hint="eastAsia"/>
                      <w:color w:val="000000" w:themeColor="text1"/>
                    </w:rPr>
                    <w:t>公路</w:t>
                  </w:r>
                </w:p>
              </w:tc>
              <w:tc>
                <w:tcPr>
                  <w:tcW w:w="851" w:type="dxa"/>
                  <w:vAlign w:val="center"/>
                </w:tcPr>
                <w:p w:rsidR="000E02C5" w:rsidRPr="00687B52" w:rsidRDefault="000E02C5" w:rsidP="00B527D4">
                  <w:pPr>
                    <w:pStyle w:val="a7"/>
                    <w:rPr>
                      <w:color w:val="000000" w:themeColor="text1"/>
                    </w:rPr>
                  </w:pPr>
                  <w:r w:rsidRPr="00687B52">
                    <w:rPr>
                      <w:rFonts w:hint="eastAsia"/>
                      <w:color w:val="000000" w:themeColor="text1"/>
                    </w:rPr>
                    <w:t>铁路</w:t>
                  </w:r>
                </w:p>
              </w:tc>
              <w:tc>
                <w:tcPr>
                  <w:tcW w:w="992" w:type="dxa"/>
                  <w:vAlign w:val="center"/>
                </w:tcPr>
                <w:p w:rsidR="000E02C5" w:rsidRPr="00687B52" w:rsidRDefault="000E02C5" w:rsidP="00B527D4">
                  <w:pPr>
                    <w:pStyle w:val="a7"/>
                    <w:rPr>
                      <w:color w:val="000000" w:themeColor="text1"/>
                    </w:rPr>
                  </w:pPr>
                  <w:r w:rsidRPr="00687B52">
                    <w:rPr>
                      <w:rFonts w:hint="eastAsia"/>
                      <w:color w:val="000000" w:themeColor="text1"/>
                    </w:rPr>
                    <w:t>公路</w:t>
                  </w:r>
                </w:p>
              </w:tc>
              <w:tc>
                <w:tcPr>
                  <w:tcW w:w="844" w:type="dxa"/>
                  <w:vAlign w:val="center"/>
                </w:tcPr>
                <w:p w:rsidR="000E02C5" w:rsidRPr="00687B52" w:rsidRDefault="000E02C5" w:rsidP="00B527D4">
                  <w:pPr>
                    <w:pStyle w:val="a7"/>
                    <w:rPr>
                      <w:color w:val="000000" w:themeColor="text1"/>
                    </w:rPr>
                  </w:pPr>
                  <w:r w:rsidRPr="00687B52">
                    <w:rPr>
                      <w:rFonts w:hint="eastAsia"/>
                      <w:color w:val="000000" w:themeColor="text1"/>
                    </w:rPr>
                    <w:t>铁路</w:t>
                  </w:r>
                </w:p>
              </w:tc>
              <w:tc>
                <w:tcPr>
                  <w:tcW w:w="955" w:type="dxa"/>
                  <w:vAlign w:val="center"/>
                </w:tcPr>
                <w:p w:rsidR="000E02C5" w:rsidRPr="00687B52" w:rsidRDefault="000E02C5" w:rsidP="00B527D4">
                  <w:pPr>
                    <w:pStyle w:val="a7"/>
                    <w:rPr>
                      <w:color w:val="000000" w:themeColor="text1"/>
                    </w:rPr>
                  </w:pPr>
                  <w:r w:rsidRPr="00687B52">
                    <w:rPr>
                      <w:rFonts w:hint="eastAsia"/>
                      <w:color w:val="000000" w:themeColor="text1"/>
                    </w:rPr>
                    <w:t>公路</w:t>
                  </w:r>
                </w:p>
              </w:tc>
            </w:tr>
            <w:tr w:rsidR="000E02C5" w:rsidRPr="00687B52" w:rsidTr="00B527D4">
              <w:tc>
                <w:tcPr>
                  <w:tcW w:w="1200" w:type="dxa"/>
                  <w:vAlign w:val="center"/>
                </w:tcPr>
                <w:p w:rsidR="000E02C5" w:rsidRPr="00687B52" w:rsidRDefault="000E02C5" w:rsidP="00B527D4">
                  <w:pPr>
                    <w:pStyle w:val="a7"/>
                    <w:rPr>
                      <w:color w:val="000000" w:themeColor="text1"/>
                    </w:rPr>
                  </w:pPr>
                  <w:r w:rsidRPr="00687B52">
                    <w:rPr>
                      <w:rFonts w:hint="eastAsia"/>
                      <w:color w:val="000000" w:themeColor="text1"/>
                    </w:rPr>
                    <w:t>输油管道</w:t>
                  </w:r>
                </w:p>
              </w:tc>
              <w:tc>
                <w:tcPr>
                  <w:tcW w:w="851" w:type="dxa"/>
                  <w:vAlign w:val="center"/>
                </w:tcPr>
                <w:p w:rsidR="000E02C5" w:rsidRPr="00687B52" w:rsidRDefault="000E02C5" w:rsidP="00B527D4">
                  <w:pPr>
                    <w:pStyle w:val="a7"/>
                    <w:rPr>
                      <w:color w:val="000000" w:themeColor="text1"/>
                    </w:rPr>
                  </w:pPr>
                  <w:r w:rsidRPr="00687B52">
                    <w:rPr>
                      <w:rFonts w:hint="eastAsia"/>
                      <w:color w:val="000000" w:themeColor="text1"/>
                    </w:rPr>
                    <w:t>100</w:t>
                  </w:r>
                </w:p>
              </w:tc>
              <w:tc>
                <w:tcPr>
                  <w:tcW w:w="992" w:type="dxa"/>
                  <w:vAlign w:val="center"/>
                </w:tcPr>
                <w:p w:rsidR="000E02C5" w:rsidRPr="00687B52" w:rsidRDefault="000E02C5" w:rsidP="00B527D4">
                  <w:pPr>
                    <w:pStyle w:val="a7"/>
                    <w:rPr>
                      <w:color w:val="000000" w:themeColor="text1"/>
                    </w:rPr>
                  </w:pPr>
                  <w:r w:rsidRPr="00687B52">
                    <w:rPr>
                      <w:rFonts w:hint="eastAsia"/>
                      <w:color w:val="000000" w:themeColor="text1"/>
                    </w:rPr>
                    <w:t>100</w:t>
                  </w:r>
                </w:p>
              </w:tc>
              <w:tc>
                <w:tcPr>
                  <w:tcW w:w="851" w:type="dxa"/>
                  <w:vAlign w:val="center"/>
                </w:tcPr>
                <w:p w:rsidR="000E02C5" w:rsidRPr="00687B52" w:rsidRDefault="000E02C5" w:rsidP="00B527D4">
                  <w:pPr>
                    <w:pStyle w:val="a7"/>
                    <w:rPr>
                      <w:color w:val="000000" w:themeColor="text1"/>
                    </w:rPr>
                  </w:pPr>
                  <w:r w:rsidRPr="00687B52">
                    <w:rPr>
                      <w:rFonts w:hint="eastAsia"/>
                      <w:color w:val="000000" w:themeColor="text1"/>
                    </w:rPr>
                    <w:t>80</w:t>
                  </w:r>
                </w:p>
              </w:tc>
              <w:tc>
                <w:tcPr>
                  <w:tcW w:w="992" w:type="dxa"/>
                  <w:vAlign w:val="center"/>
                </w:tcPr>
                <w:p w:rsidR="000E02C5" w:rsidRPr="00687B52" w:rsidRDefault="000E02C5" w:rsidP="00B527D4">
                  <w:pPr>
                    <w:pStyle w:val="a7"/>
                    <w:rPr>
                      <w:color w:val="000000" w:themeColor="text1"/>
                    </w:rPr>
                  </w:pPr>
                  <w:r w:rsidRPr="00687B52">
                    <w:rPr>
                      <w:rFonts w:hint="eastAsia"/>
                      <w:color w:val="000000" w:themeColor="text1"/>
                    </w:rPr>
                    <w:t>50</w:t>
                  </w:r>
                </w:p>
              </w:tc>
              <w:tc>
                <w:tcPr>
                  <w:tcW w:w="844" w:type="dxa"/>
                  <w:vAlign w:val="center"/>
                </w:tcPr>
                <w:p w:rsidR="000E02C5" w:rsidRPr="00687B52" w:rsidRDefault="000E02C5" w:rsidP="00B527D4">
                  <w:pPr>
                    <w:pStyle w:val="a7"/>
                    <w:rPr>
                      <w:color w:val="000000" w:themeColor="text1"/>
                    </w:rPr>
                  </w:pPr>
                  <w:r w:rsidRPr="00687B52">
                    <w:rPr>
                      <w:rFonts w:hint="eastAsia"/>
                      <w:color w:val="000000" w:themeColor="text1"/>
                    </w:rPr>
                    <w:t>40</w:t>
                  </w:r>
                </w:p>
              </w:tc>
              <w:tc>
                <w:tcPr>
                  <w:tcW w:w="955" w:type="dxa"/>
                  <w:vAlign w:val="center"/>
                </w:tcPr>
                <w:p w:rsidR="000E02C5" w:rsidRPr="00687B52" w:rsidRDefault="000E02C5" w:rsidP="00B527D4">
                  <w:pPr>
                    <w:pStyle w:val="a7"/>
                    <w:rPr>
                      <w:color w:val="000000" w:themeColor="text1"/>
                    </w:rPr>
                  </w:pPr>
                  <w:r w:rsidRPr="00687B52">
                    <w:rPr>
                      <w:rFonts w:hint="eastAsia"/>
                      <w:color w:val="000000" w:themeColor="text1"/>
                    </w:rPr>
                    <w:t>10</w:t>
                  </w:r>
                </w:p>
              </w:tc>
            </w:tr>
            <w:tr w:rsidR="000E02C5" w:rsidRPr="00687B52" w:rsidTr="00B527D4">
              <w:tc>
                <w:tcPr>
                  <w:tcW w:w="1200" w:type="dxa"/>
                  <w:vAlign w:val="center"/>
                </w:tcPr>
                <w:p w:rsidR="000E02C5" w:rsidRPr="00687B52" w:rsidRDefault="000E02C5" w:rsidP="00B527D4">
                  <w:pPr>
                    <w:pStyle w:val="a7"/>
                    <w:rPr>
                      <w:color w:val="000000" w:themeColor="text1"/>
                    </w:rPr>
                  </w:pPr>
                  <w:r w:rsidRPr="00687B52">
                    <w:rPr>
                      <w:rFonts w:hint="eastAsia"/>
                      <w:color w:val="000000" w:themeColor="text1"/>
                    </w:rPr>
                    <w:t>输气管道</w:t>
                  </w:r>
                </w:p>
              </w:tc>
              <w:tc>
                <w:tcPr>
                  <w:tcW w:w="851" w:type="dxa"/>
                  <w:vAlign w:val="center"/>
                </w:tcPr>
                <w:p w:rsidR="000E02C5" w:rsidRPr="00687B52" w:rsidRDefault="000E02C5" w:rsidP="00B527D4">
                  <w:pPr>
                    <w:pStyle w:val="a7"/>
                    <w:rPr>
                      <w:color w:val="000000" w:themeColor="text1"/>
                    </w:rPr>
                  </w:pPr>
                  <w:r w:rsidRPr="00687B52">
                    <w:rPr>
                      <w:rFonts w:hint="eastAsia"/>
                      <w:color w:val="000000" w:themeColor="text1"/>
                    </w:rPr>
                    <w:t>100</w:t>
                  </w:r>
                </w:p>
              </w:tc>
              <w:tc>
                <w:tcPr>
                  <w:tcW w:w="992" w:type="dxa"/>
                  <w:vAlign w:val="center"/>
                </w:tcPr>
                <w:p w:rsidR="000E02C5" w:rsidRPr="00687B52" w:rsidRDefault="000E02C5" w:rsidP="00B527D4">
                  <w:pPr>
                    <w:pStyle w:val="a7"/>
                    <w:rPr>
                      <w:color w:val="000000" w:themeColor="text1"/>
                    </w:rPr>
                  </w:pPr>
                  <w:r w:rsidRPr="00687B52">
                    <w:rPr>
                      <w:rFonts w:hint="eastAsia"/>
                      <w:color w:val="000000" w:themeColor="text1"/>
                    </w:rPr>
                    <w:t>100</w:t>
                  </w:r>
                </w:p>
              </w:tc>
              <w:tc>
                <w:tcPr>
                  <w:tcW w:w="851" w:type="dxa"/>
                  <w:vAlign w:val="center"/>
                </w:tcPr>
                <w:p w:rsidR="000E02C5" w:rsidRPr="00687B52" w:rsidRDefault="000E02C5" w:rsidP="00B527D4">
                  <w:pPr>
                    <w:pStyle w:val="a7"/>
                    <w:rPr>
                      <w:color w:val="000000" w:themeColor="text1"/>
                    </w:rPr>
                  </w:pPr>
                  <w:r w:rsidRPr="00687B52">
                    <w:rPr>
                      <w:rFonts w:hint="eastAsia"/>
                      <w:color w:val="000000" w:themeColor="text1"/>
                    </w:rPr>
                    <w:t>100</w:t>
                  </w:r>
                </w:p>
              </w:tc>
              <w:tc>
                <w:tcPr>
                  <w:tcW w:w="992" w:type="dxa"/>
                  <w:vAlign w:val="center"/>
                </w:tcPr>
                <w:p w:rsidR="000E02C5" w:rsidRPr="00687B52" w:rsidRDefault="000E02C5" w:rsidP="00B527D4">
                  <w:pPr>
                    <w:pStyle w:val="a7"/>
                    <w:rPr>
                      <w:color w:val="000000" w:themeColor="text1"/>
                    </w:rPr>
                  </w:pPr>
                  <w:r w:rsidRPr="00687B52">
                    <w:rPr>
                      <w:rFonts w:hint="eastAsia"/>
                      <w:color w:val="000000" w:themeColor="text1"/>
                    </w:rPr>
                    <w:t>50</w:t>
                  </w:r>
                </w:p>
              </w:tc>
              <w:tc>
                <w:tcPr>
                  <w:tcW w:w="844" w:type="dxa"/>
                  <w:vAlign w:val="center"/>
                </w:tcPr>
                <w:p w:rsidR="000E02C5" w:rsidRPr="00687B52" w:rsidRDefault="000E02C5" w:rsidP="00B527D4">
                  <w:pPr>
                    <w:pStyle w:val="a7"/>
                    <w:rPr>
                      <w:color w:val="000000" w:themeColor="text1"/>
                    </w:rPr>
                  </w:pPr>
                  <w:r w:rsidRPr="00687B52">
                    <w:rPr>
                      <w:rFonts w:hint="eastAsia"/>
                      <w:color w:val="000000" w:themeColor="text1"/>
                    </w:rPr>
                    <w:t>50</w:t>
                  </w:r>
                </w:p>
              </w:tc>
              <w:tc>
                <w:tcPr>
                  <w:tcW w:w="955" w:type="dxa"/>
                  <w:vAlign w:val="center"/>
                </w:tcPr>
                <w:p w:rsidR="000E02C5" w:rsidRPr="00687B52" w:rsidRDefault="000E02C5" w:rsidP="00B527D4">
                  <w:pPr>
                    <w:pStyle w:val="a7"/>
                    <w:rPr>
                      <w:color w:val="000000" w:themeColor="text1"/>
                    </w:rPr>
                  </w:pPr>
                  <w:r w:rsidRPr="00687B52">
                    <w:rPr>
                      <w:rFonts w:hint="eastAsia"/>
                      <w:color w:val="000000" w:themeColor="text1"/>
                    </w:rPr>
                    <w:t>20</w:t>
                  </w:r>
                </w:p>
              </w:tc>
            </w:tr>
          </w:tbl>
          <w:p w:rsidR="000E02C5" w:rsidRPr="00687B52" w:rsidRDefault="000E02C5" w:rsidP="00B527D4">
            <w:pPr>
              <w:pStyle w:val="a7"/>
              <w:jc w:val="left"/>
              <w:rPr>
                <w:color w:val="000000" w:themeColor="text1"/>
              </w:rPr>
            </w:pP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《油气输送管道跨越工程设计规范》</w:t>
            </w:r>
            <w:r w:rsidRPr="00687B52">
              <w:rPr>
                <w:rFonts w:hint="eastAsia"/>
                <w:color w:val="000000" w:themeColor="text1"/>
              </w:rPr>
              <w:t>GB50459-2009</w:t>
            </w:r>
            <w:r w:rsidRPr="00687B52">
              <w:rPr>
                <w:rFonts w:hint="eastAsia"/>
                <w:color w:val="000000" w:themeColor="text1"/>
              </w:rPr>
              <w:t>第</w:t>
            </w:r>
            <w:r w:rsidRPr="00687B52">
              <w:rPr>
                <w:rFonts w:hint="eastAsia"/>
                <w:color w:val="000000" w:themeColor="text1"/>
              </w:rPr>
              <w:t>3.1.11</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trHeight w:val="334"/>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通航河流上的跨越工程应设置航标灯，输送电缆应选用加强绝缘型，照明灯具应选用密封防水防爆型。</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《油气输送管道跨越工程设计规范》</w:t>
            </w:r>
            <w:r w:rsidRPr="00687B52">
              <w:rPr>
                <w:rFonts w:hint="eastAsia"/>
                <w:color w:val="000000" w:themeColor="text1"/>
              </w:rPr>
              <w:t>GB50459-2009</w:t>
            </w:r>
            <w:r w:rsidRPr="00687B52">
              <w:rPr>
                <w:rFonts w:hint="eastAsia"/>
                <w:color w:val="000000" w:themeColor="text1"/>
              </w:rPr>
              <w:t>第</w:t>
            </w:r>
            <w:r w:rsidRPr="00687B52">
              <w:rPr>
                <w:rFonts w:hint="eastAsia"/>
                <w:color w:val="000000" w:themeColor="text1"/>
              </w:rPr>
              <w:t>6.3.7</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trHeight w:val="550"/>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跨越管段架空高度（包括塔架高）超过</w:t>
            </w:r>
            <w:r w:rsidRPr="00687B52">
              <w:rPr>
                <w:rFonts w:hint="eastAsia"/>
                <w:color w:val="000000" w:themeColor="text1"/>
              </w:rPr>
              <w:t>15m</w:t>
            </w:r>
            <w:r w:rsidRPr="00687B52">
              <w:rPr>
                <w:rFonts w:hint="eastAsia"/>
                <w:color w:val="000000" w:themeColor="text1"/>
              </w:rPr>
              <w:t>时，应设计跨越工程的防雷接地。</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《油气输送管道跨越工程设计规范》</w:t>
            </w:r>
            <w:r w:rsidRPr="00687B52">
              <w:rPr>
                <w:rFonts w:hint="eastAsia"/>
                <w:color w:val="000000" w:themeColor="text1"/>
              </w:rPr>
              <w:t>GB50459-2009</w:t>
            </w:r>
            <w:r w:rsidRPr="00687B52">
              <w:rPr>
                <w:rFonts w:hint="eastAsia"/>
                <w:color w:val="000000" w:themeColor="text1"/>
              </w:rPr>
              <w:t>第</w:t>
            </w:r>
            <w:r w:rsidRPr="00687B52">
              <w:rPr>
                <w:rFonts w:hint="eastAsia"/>
                <w:color w:val="000000" w:themeColor="text1"/>
              </w:rPr>
              <w:t>6.3.8</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trHeight w:val="550"/>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大、中型跨越工程应设置人行检修通道，通道应设置栏杆，栏杆高度不应小于</w:t>
            </w:r>
            <w:r w:rsidRPr="00687B52">
              <w:rPr>
                <w:rFonts w:hint="eastAsia"/>
                <w:color w:val="000000" w:themeColor="text1"/>
              </w:rPr>
              <w:t>1.2m</w:t>
            </w:r>
            <w:r w:rsidRPr="00687B52">
              <w:rPr>
                <w:rFonts w:hint="eastAsia"/>
                <w:color w:val="000000" w:themeColor="text1"/>
              </w:rPr>
              <w:t>，横杆与上、下构件的间距不应大于</w:t>
            </w:r>
            <w:r w:rsidRPr="00687B52">
              <w:rPr>
                <w:rFonts w:hint="eastAsia"/>
                <w:color w:val="000000" w:themeColor="text1"/>
              </w:rPr>
              <w:t>380mm</w:t>
            </w:r>
            <w:r w:rsidRPr="00687B52">
              <w:rPr>
                <w:rFonts w:hint="eastAsia"/>
                <w:color w:val="000000" w:themeColor="text1"/>
              </w:rPr>
              <w:t>。通道应设置阻断设施，并应设置警示标志。</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《油气输送管道跨越工程设计规范》</w:t>
            </w:r>
            <w:r w:rsidRPr="00687B52">
              <w:rPr>
                <w:rFonts w:hint="eastAsia"/>
                <w:color w:val="000000" w:themeColor="text1"/>
              </w:rPr>
              <w:t>GB50459-2009</w:t>
            </w:r>
            <w:r w:rsidRPr="00687B52">
              <w:rPr>
                <w:rFonts w:hint="eastAsia"/>
                <w:color w:val="000000" w:themeColor="text1"/>
              </w:rPr>
              <w:t>第</w:t>
            </w:r>
            <w:r w:rsidRPr="00687B52">
              <w:rPr>
                <w:rFonts w:hint="eastAsia"/>
                <w:color w:val="000000" w:themeColor="text1"/>
              </w:rPr>
              <w:t>6.3.9</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trHeight w:val="550"/>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钢塔架的顶部积跨越管道补偿器处应设置检修平台，高度大于</w:t>
            </w:r>
            <w:r w:rsidRPr="00687B52">
              <w:rPr>
                <w:rFonts w:hint="eastAsia"/>
                <w:color w:val="000000" w:themeColor="text1"/>
              </w:rPr>
              <w:t>50m</w:t>
            </w:r>
            <w:r w:rsidRPr="00687B52">
              <w:rPr>
                <w:rFonts w:hint="eastAsia"/>
                <w:color w:val="000000" w:themeColor="text1"/>
              </w:rPr>
              <w:t>的钢塔架，尚应在中部增设休息平台。</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《油气输送管道跨越工程设计规范》</w:t>
            </w:r>
            <w:r w:rsidRPr="00687B52">
              <w:rPr>
                <w:rFonts w:hint="eastAsia"/>
                <w:color w:val="000000" w:themeColor="text1"/>
              </w:rPr>
              <w:t>GB50459-2009</w:t>
            </w:r>
            <w:r w:rsidRPr="00687B52">
              <w:rPr>
                <w:rFonts w:hint="eastAsia"/>
                <w:color w:val="000000" w:themeColor="text1"/>
              </w:rPr>
              <w:t>第</w:t>
            </w:r>
            <w:r w:rsidRPr="00687B52">
              <w:rPr>
                <w:rFonts w:hint="eastAsia"/>
                <w:color w:val="000000" w:themeColor="text1"/>
              </w:rPr>
              <w:t>8.1.3</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trHeight w:val="550"/>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大、中型跨越工程两端应设置警示标志，并宜设置防护栏等安全设施。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《油气输送管道跨越工程设计规范》</w:t>
            </w:r>
            <w:r w:rsidRPr="00687B52">
              <w:rPr>
                <w:rFonts w:hint="eastAsia"/>
                <w:color w:val="000000" w:themeColor="text1"/>
              </w:rPr>
              <w:t>GB50459-2009</w:t>
            </w:r>
            <w:r w:rsidRPr="00687B52">
              <w:rPr>
                <w:rFonts w:hint="eastAsia"/>
                <w:color w:val="000000" w:themeColor="text1"/>
              </w:rPr>
              <w:t>第</w:t>
            </w:r>
            <w:r w:rsidRPr="00687B52">
              <w:rPr>
                <w:rFonts w:hint="eastAsia"/>
                <w:color w:val="000000" w:themeColor="text1"/>
              </w:rPr>
              <w:t>8.1.4</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trHeight w:val="812"/>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跨越工程采用的钢管及其他钢材，其表面应采用耐环境腐蚀、耐日晒、耐寒、抗紫外线作用的防腐涂层。构件设计中应避免难于检查、清刷、积留湿气或灰尘的死角和凹槽。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《油气输送管道跨越工程设计规范》</w:t>
            </w:r>
            <w:r w:rsidRPr="00687B52">
              <w:rPr>
                <w:rFonts w:hint="eastAsia"/>
                <w:color w:val="000000" w:themeColor="text1"/>
              </w:rPr>
              <w:t>GB50459-2009</w:t>
            </w:r>
            <w:r w:rsidRPr="00687B52">
              <w:rPr>
                <w:rFonts w:hint="eastAsia"/>
                <w:color w:val="000000" w:themeColor="text1"/>
              </w:rPr>
              <w:t>第</w:t>
            </w:r>
            <w:r w:rsidRPr="00687B52">
              <w:rPr>
                <w:rFonts w:hint="eastAsia"/>
                <w:color w:val="000000" w:themeColor="text1"/>
              </w:rPr>
              <w:t>8.2.1</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trHeight w:val="812"/>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索具应采取防腐措施。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《油气输送管道跨越工程设计规范》</w:t>
            </w:r>
            <w:r w:rsidRPr="00687B52">
              <w:rPr>
                <w:rFonts w:hint="eastAsia"/>
                <w:color w:val="000000" w:themeColor="text1"/>
              </w:rPr>
              <w:t>GB50459-2009</w:t>
            </w:r>
            <w:r w:rsidRPr="00687B52">
              <w:rPr>
                <w:rFonts w:hint="eastAsia"/>
                <w:color w:val="000000" w:themeColor="text1"/>
              </w:rPr>
              <w:t>第</w:t>
            </w:r>
            <w:r w:rsidRPr="00687B52">
              <w:rPr>
                <w:rFonts w:hint="eastAsia"/>
                <w:color w:val="000000" w:themeColor="text1"/>
              </w:rPr>
              <w:t>8.2.3</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trHeight w:val="812"/>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输送工艺要求保温时，跨越管段应选用保温性能良好、重量轻的保温材料，并应在保温层表面设置防水保护层。</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《油气输送管道跨越工程设计规范》</w:t>
            </w:r>
            <w:r w:rsidRPr="00687B52">
              <w:rPr>
                <w:rFonts w:hint="eastAsia"/>
                <w:color w:val="000000" w:themeColor="text1"/>
              </w:rPr>
              <w:t>GB50459-2009</w:t>
            </w:r>
            <w:r w:rsidRPr="00687B52">
              <w:rPr>
                <w:rFonts w:hint="eastAsia"/>
                <w:color w:val="000000" w:themeColor="text1"/>
              </w:rPr>
              <w:t>第</w:t>
            </w:r>
            <w:r w:rsidRPr="00687B52">
              <w:rPr>
                <w:rFonts w:hint="eastAsia"/>
                <w:color w:val="000000" w:themeColor="text1"/>
              </w:rPr>
              <w:t>8.2.4</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trHeight w:val="812"/>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大型管道跨越工程和重要干线的中型管道跨越工程，应按抗震设防类别乙类进行设防，其余管道跨越工程应按抗震设防类别丙类进行设防。</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《油气输送管道跨越工程设计规范》</w:t>
            </w:r>
            <w:r w:rsidRPr="00687B52">
              <w:rPr>
                <w:rFonts w:hint="eastAsia"/>
                <w:color w:val="000000" w:themeColor="text1"/>
              </w:rPr>
              <w:t>GB50459-2009</w:t>
            </w:r>
            <w:r w:rsidRPr="00687B52">
              <w:rPr>
                <w:rFonts w:hint="eastAsia"/>
                <w:color w:val="000000" w:themeColor="text1"/>
              </w:rPr>
              <w:t>第</w:t>
            </w:r>
            <w:r w:rsidRPr="00687B52">
              <w:rPr>
                <w:rFonts w:hint="eastAsia"/>
                <w:color w:val="000000" w:themeColor="text1"/>
              </w:rPr>
              <w:t>9.1.2</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trHeight w:val="812"/>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当管道跨越断层时，桥墩基础不应设置在严重破碎带上。</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《油气输送管道跨越工程设计规范》</w:t>
            </w:r>
            <w:r w:rsidRPr="00687B52">
              <w:rPr>
                <w:rFonts w:hint="eastAsia"/>
                <w:color w:val="000000" w:themeColor="text1"/>
              </w:rPr>
              <w:t>GB50459-2009</w:t>
            </w:r>
            <w:r w:rsidRPr="00687B52">
              <w:rPr>
                <w:rFonts w:hint="eastAsia"/>
                <w:color w:val="000000" w:themeColor="text1"/>
              </w:rPr>
              <w:t>第</w:t>
            </w:r>
            <w:r w:rsidRPr="00687B52">
              <w:rPr>
                <w:rFonts w:hint="eastAsia"/>
                <w:color w:val="000000" w:themeColor="text1"/>
              </w:rPr>
              <w:t>9.1.7</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trHeight w:val="812"/>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大、中型跨越工程的跨越管道应单独进行试压。</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《油气输送管道跨越工程设计规范》</w:t>
            </w:r>
            <w:r w:rsidRPr="00687B52">
              <w:rPr>
                <w:rFonts w:hint="eastAsia"/>
                <w:color w:val="000000" w:themeColor="text1"/>
              </w:rPr>
              <w:t>GB50459-2009</w:t>
            </w:r>
            <w:r w:rsidRPr="00687B52">
              <w:rPr>
                <w:rFonts w:hint="eastAsia"/>
                <w:color w:val="000000" w:themeColor="text1"/>
              </w:rPr>
              <w:t>第</w:t>
            </w:r>
            <w:r w:rsidRPr="00687B52">
              <w:rPr>
                <w:rFonts w:hint="eastAsia"/>
                <w:color w:val="000000" w:themeColor="text1"/>
              </w:rPr>
              <w:t>10.4.1</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trHeight w:val="812"/>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跨越管段应采用与线路管道相同的防腐涂层和涂层等级。</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《油气输送管道跨越工程设计规范》</w:t>
            </w:r>
            <w:r w:rsidRPr="00687B52">
              <w:rPr>
                <w:rFonts w:hint="eastAsia"/>
                <w:color w:val="000000" w:themeColor="text1"/>
              </w:rPr>
              <w:t>GB50459-2009</w:t>
            </w:r>
            <w:r w:rsidRPr="00687B52">
              <w:rPr>
                <w:rFonts w:hint="eastAsia"/>
                <w:color w:val="000000" w:themeColor="text1"/>
              </w:rPr>
              <w:t>第</w:t>
            </w:r>
            <w:r w:rsidRPr="00687B52">
              <w:rPr>
                <w:rFonts w:hint="eastAsia"/>
                <w:color w:val="000000" w:themeColor="text1"/>
              </w:rPr>
              <w:t>10.5.3</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trHeight w:val="812"/>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跨越管段的稳管构筑物应与管段绝缘，不得对管段产生电屏蔽。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《油气输送管道跨越工程设计规范》</w:t>
            </w:r>
            <w:r w:rsidRPr="00687B52">
              <w:rPr>
                <w:rFonts w:hint="eastAsia"/>
                <w:color w:val="000000" w:themeColor="text1"/>
              </w:rPr>
              <w:t>GB50459-2009</w:t>
            </w:r>
            <w:r w:rsidRPr="00687B52">
              <w:rPr>
                <w:rFonts w:hint="eastAsia"/>
                <w:color w:val="000000" w:themeColor="text1"/>
              </w:rPr>
              <w:t>第</w:t>
            </w:r>
            <w:r w:rsidRPr="00687B52">
              <w:rPr>
                <w:rFonts w:hint="eastAsia"/>
                <w:color w:val="000000" w:themeColor="text1"/>
              </w:rPr>
              <w:t>10.5.5</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trHeight w:val="812"/>
          <w:jc w:val="center"/>
        </w:trPr>
        <w:tc>
          <w:tcPr>
            <w:tcW w:w="460" w:type="pct"/>
            <w:vAlign w:val="center"/>
          </w:tcPr>
          <w:p w:rsidR="000E02C5" w:rsidRPr="00687B52" w:rsidRDefault="000E02C5" w:rsidP="00D9787F">
            <w:pPr>
              <w:pStyle w:val="a7"/>
              <w:numPr>
                <w:ilvl w:val="0"/>
                <w:numId w:val="11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长距离无分支管道应每隔</w:t>
            </w:r>
            <w:r w:rsidRPr="00687B52">
              <w:rPr>
                <w:rFonts w:hint="eastAsia"/>
                <w:color w:val="000000" w:themeColor="text1"/>
              </w:rPr>
              <w:t>100m</w:t>
            </w:r>
            <w:r w:rsidRPr="00687B52">
              <w:rPr>
                <w:rFonts w:hint="eastAsia"/>
                <w:color w:val="000000" w:themeColor="text1"/>
              </w:rPr>
              <w:t>接地一次。</w:t>
            </w:r>
            <w:r w:rsidRPr="00687B52">
              <w:rPr>
                <w:rFonts w:hint="eastAsia"/>
                <w:color w:val="000000" w:themeColor="text1"/>
              </w:rPr>
              <w:tab/>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《石油化工静电接地设计规范》</w:t>
            </w:r>
            <w:r w:rsidRPr="00687B52">
              <w:rPr>
                <w:rFonts w:hint="eastAsia"/>
                <w:color w:val="000000" w:themeColor="text1"/>
              </w:rPr>
              <w:t>SH3097-2000</w:t>
            </w:r>
            <w:r w:rsidRPr="00687B52">
              <w:rPr>
                <w:rFonts w:hint="eastAsia"/>
                <w:color w:val="000000" w:themeColor="text1"/>
              </w:rPr>
              <w:t>第</w:t>
            </w:r>
            <w:r w:rsidRPr="00687B52">
              <w:rPr>
                <w:rFonts w:hint="eastAsia"/>
                <w:color w:val="000000" w:themeColor="text1"/>
              </w:rPr>
              <w:t>4.3.1</w:t>
            </w:r>
            <w:r w:rsidRPr="00687B52">
              <w:rPr>
                <w:rFonts w:hint="eastAsia"/>
                <w:color w:val="000000" w:themeColor="text1"/>
              </w:rPr>
              <w:t>条</w:t>
            </w:r>
          </w:p>
        </w:tc>
        <w:tc>
          <w:tcPr>
            <w:tcW w:w="860" w:type="pct"/>
          </w:tcPr>
          <w:p w:rsidR="000E02C5" w:rsidRPr="00687B52" w:rsidRDefault="000E02C5" w:rsidP="00B527D4">
            <w:pPr>
              <w:pStyle w:val="a7"/>
              <w:rPr>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b/>
                <w:color w:val="000000" w:themeColor="text1"/>
              </w:rPr>
            </w:pPr>
          </w:p>
        </w:tc>
        <w:tc>
          <w:tcPr>
            <w:tcW w:w="2750" w:type="pct"/>
            <w:vAlign w:val="center"/>
          </w:tcPr>
          <w:p w:rsidR="000E02C5" w:rsidRPr="00687B52" w:rsidRDefault="000E02C5" w:rsidP="00B527D4">
            <w:pPr>
              <w:pStyle w:val="a7"/>
              <w:jc w:val="both"/>
              <w:rPr>
                <w:b/>
                <w:color w:val="000000" w:themeColor="text1"/>
              </w:rPr>
            </w:pPr>
            <w:r w:rsidRPr="00687B52">
              <w:rPr>
                <w:rFonts w:hint="eastAsia"/>
                <w:b/>
                <w:color w:val="000000" w:themeColor="text1"/>
              </w:rPr>
              <w:t>输油（原油、成品油、液化石油气）管道</w:t>
            </w:r>
          </w:p>
        </w:tc>
        <w:tc>
          <w:tcPr>
            <w:tcW w:w="930" w:type="pct"/>
            <w:vAlign w:val="center"/>
          </w:tcPr>
          <w:p w:rsidR="000E02C5" w:rsidRPr="00687B52" w:rsidRDefault="000E02C5" w:rsidP="00B527D4">
            <w:pPr>
              <w:pStyle w:val="a7"/>
              <w:rPr>
                <w:color w:val="000000" w:themeColor="text1"/>
              </w:rPr>
            </w:pP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输油管道宜采用密闭输送工艺。采用其他输送工艺时，应进行技术经济论证，并说明其可行性及必要性。</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3.1.3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管输多种油品时宜采用顺序输送工艺。采用专管专用输送工艺时，应进行技术经济论证。</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3.1.5</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当顺序输送多品种成品油管道采用旁接油罐输送工艺时，混油界面通过泵站时应切换成密闭输送方式。</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3.3.6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成品油顺序输送管道的输油站间不应设置副管。</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3.3.9</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站间线路起伏较大的成品油顺序输送管理，宜采取措施使管道在满流状态下运行。</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3.3.10</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成品油顺序输送管道应设混油下载及处理设施。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color w:val="000000" w:themeColor="text1"/>
              </w:rPr>
              <w:t>GB50028-2006</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3.3.12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液化石油气在管道内的平均流速，应经技术经济比较后确定，可取</w:t>
            </w:r>
            <w:r w:rsidRPr="00687B52">
              <w:rPr>
                <w:rFonts w:hint="eastAsia"/>
                <w:color w:val="000000" w:themeColor="text1"/>
              </w:rPr>
              <w:t>0.8m/s~1.4m/s</w:t>
            </w:r>
            <w:r w:rsidRPr="00687B52">
              <w:rPr>
                <w:rFonts w:hint="eastAsia"/>
                <w:color w:val="000000" w:themeColor="text1"/>
              </w:rPr>
              <w:t>，但最大不应超过</w:t>
            </w:r>
            <w:r w:rsidRPr="00687B52">
              <w:rPr>
                <w:rFonts w:hint="eastAsia"/>
                <w:color w:val="000000" w:themeColor="text1"/>
              </w:rPr>
              <w:t>3m/s</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3.4.5</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asciiTheme="minorEastAsia" w:eastAsiaTheme="minorEastAsia" w:hAnsiTheme="minorEastAsia" w:hint="eastAsia"/>
                <w:color w:val="000000" w:themeColor="text1"/>
                <w:szCs w:val="24"/>
              </w:rPr>
              <w:t>输</w:t>
            </w:r>
            <w:r w:rsidRPr="00687B52">
              <w:rPr>
                <w:rFonts w:hint="eastAsia"/>
                <w:color w:val="000000" w:themeColor="text1"/>
              </w:rPr>
              <w:t>油管道设计压力应符合下列规定：</w:t>
            </w:r>
          </w:p>
          <w:p w:rsidR="000E02C5" w:rsidRPr="00687B52" w:rsidRDefault="000E02C5" w:rsidP="00B527D4">
            <w:pPr>
              <w:pStyle w:val="a7"/>
              <w:jc w:val="left"/>
              <w:rPr>
                <w:color w:val="000000" w:themeColor="text1"/>
              </w:rPr>
            </w:pPr>
            <w:r w:rsidRPr="00687B52">
              <w:rPr>
                <w:rFonts w:hint="eastAsia"/>
                <w:color w:val="000000" w:themeColor="text1"/>
              </w:rPr>
              <w:t>①管道系统任何一处的设计内压力不应小于该处的最高稳态操作压力，且不应小于管内流体处于静止状态下该处的静压力。当设置反输流程时，管道任何一处的设计内压力不应小于该处正、反输送条件下最高稳态操作压力的较高值，且不应小于该处正、反输送条件下静压力的较高值。</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hint="eastAsia"/>
                <w:color w:val="000000" w:themeColor="text1"/>
              </w:rPr>
              <w:t>②管道及管道附件应能承受作用在其上的外压、内压、外压与内压之间最大压差。</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5.1.2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输油管道的设计温度，当加热输送时应为被输送流体的最高温度；当不加热输送时，应根据环境条件确定最高或最低设计温度。</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5.1.3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管道水击和其他因素造成的瞬间最大压力值，在管道系统中的任何一点都不应超过管道设计内压力的</w:t>
            </w:r>
            <w:r w:rsidRPr="00687B52">
              <w:rPr>
                <w:rFonts w:hint="eastAsia"/>
                <w:color w:val="000000" w:themeColor="text1"/>
              </w:rPr>
              <w:t>1.1</w:t>
            </w:r>
            <w:r w:rsidRPr="00687B52">
              <w:rPr>
                <w:rFonts w:hint="eastAsia"/>
                <w:color w:val="000000" w:themeColor="text1"/>
              </w:rPr>
              <w:t>倍。</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5.1.4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输油首站工艺流程宜具有收油、储存、增压正输（加热）、发送清管器、站内循环、计量的功能。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6.2.1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中间（热）泵站工艺流程应符合下列规定：</w:t>
            </w:r>
          </w:p>
          <w:p w:rsidR="000E02C5" w:rsidRPr="00687B52" w:rsidRDefault="000E02C5" w:rsidP="00B527D4">
            <w:pPr>
              <w:pStyle w:val="a7"/>
              <w:jc w:val="left"/>
              <w:rPr>
                <w:color w:val="000000" w:themeColor="text1"/>
              </w:rPr>
            </w:pPr>
            <w:r w:rsidRPr="00687B52">
              <w:rPr>
                <w:rFonts w:hint="eastAsia"/>
                <w:color w:val="000000" w:themeColor="text1"/>
              </w:rPr>
              <w:t>①中间泵站工艺流程宜具有增压正输、压力越站、全越站、接收和发送清管器或清管器越站的功能。</w:t>
            </w:r>
          </w:p>
          <w:p w:rsidR="000E02C5" w:rsidRPr="00687B52" w:rsidRDefault="000E02C5" w:rsidP="00B527D4">
            <w:pPr>
              <w:pStyle w:val="a7"/>
              <w:jc w:val="left"/>
              <w:rPr>
                <w:color w:val="000000" w:themeColor="text1"/>
              </w:rPr>
            </w:pPr>
            <w:r w:rsidRPr="00687B52">
              <w:rPr>
                <w:rFonts w:hint="eastAsia"/>
                <w:color w:val="000000" w:themeColor="text1"/>
              </w:rPr>
              <w:t>②中间热泵站工艺流程宜具有增压正输、加热正输、压力越站、热力越站、全越站、接收和发送清管器或清管器越站的功能。</w:t>
            </w:r>
          </w:p>
          <w:p w:rsidR="000E02C5" w:rsidRPr="00687B52" w:rsidRDefault="000E02C5" w:rsidP="00B527D4">
            <w:pPr>
              <w:pStyle w:val="a7"/>
              <w:jc w:val="left"/>
              <w:rPr>
                <w:color w:val="000000" w:themeColor="text1"/>
              </w:rPr>
            </w:pPr>
            <w:r w:rsidRPr="00687B52">
              <w:rPr>
                <w:rFonts w:hint="eastAsia"/>
                <w:color w:val="000000" w:themeColor="text1"/>
              </w:rPr>
              <w:t>③中间热站工艺流程宜具有加热正输、热力越站、全越站、接收和发送清管器或清管器越站的功能。</w:t>
            </w:r>
          </w:p>
          <w:p w:rsidR="000E02C5" w:rsidRPr="00687B52" w:rsidRDefault="000E02C5" w:rsidP="00B527D4">
            <w:pPr>
              <w:pStyle w:val="a7"/>
              <w:jc w:val="left"/>
              <w:rPr>
                <w:color w:val="000000" w:themeColor="text1"/>
              </w:rPr>
            </w:pPr>
            <w:r w:rsidRPr="00687B52">
              <w:rPr>
                <w:rFonts w:hint="eastAsia"/>
                <w:color w:val="000000" w:themeColor="text1"/>
              </w:rPr>
              <w:t>④设有分输功能的中间（热）泵站工艺流程尚应具有油品分输、调节及计量功能。</w:t>
            </w:r>
          </w:p>
          <w:p w:rsidR="000E02C5" w:rsidRPr="00687B52" w:rsidRDefault="000E02C5" w:rsidP="00B527D4">
            <w:pPr>
              <w:pStyle w:val="a7"/>
              <w:jc w:val="left"/>
              <w:rPr>
                <w:color w:val="000000" w:themeColor="text1"/>
              </w:rPr>
            </w:pPr>
            <w:r w:rsidRPr="00687B52">
              <w:rPr>
                <w:rFonts w:hint="eastAsia"/>
                <w:color w:val="000000" w:themeColor="text1"/>
              </w:rPr>
              <w:t>⑤设有注入功能的中间（热）泵站工艺流程尚应具有收油、调节、计量、注入的功能。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6.2.2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清管站工艺流程应具有减压、接收和发送清管器的功能。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6.2.3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减压站工艺流程应具有减压、接收和发送清管器的功能。设有分输或加热功能的减压站尚应分别具有分输站、热站的功能。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6.2.4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分输站工艺流程宜具有油品分输、调节、计量、注入的功能。与清管站合建的分输站尚应具有接收和发送清管器的功能。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6.2.5</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注入站工艺流程宜具有收油、调节、计量、注入的功能。与清管站合建的分输站尚应具有接收和发送清管器的功能。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6.2.6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末站工艺流程宜具有收油、储存或不进罐直接计量后去用户、站内循环、接收清管器的功能。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6.2.7</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采用反输工艺的输油管道各站场还应具有反输功能。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6.2.8</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设有压力泄放系统的各类站场，应具有油品泄压进罐及油品回注或处理功能。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6.2.9</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原油储存温度宜高于原油凝点</w:t>
            </w:r>
            <w:r w:rsidRPr="00687B52">
              <w:rPr>
                <w:rFonts w:eastAsiaTheme="minorEastAsia" w:hAnsi="Times New Roman" w:cs="Times New Roman"/>
                <w:color w:val="000000" w:themeColor="text1"/>
                <w:szCs w:val="24"/>
              </w:rPr>
              <w:t>3</w:t>
            </w:r>
            <w:r w:rsidRPr="00687B52">
              <w:rPr>
                <w:rFonts w:eastAsiaTheme="minorEastAsia" w:hAnsiTheme="minorEastAsia" w:cs="Times New Roman"/>
                <w:color w:val="000000" w:themeColor="text1"/>
                <w:szCs w:val="24"/>
              </w:rPr>
              <w:t>℃</w:t>
            </w:r>
            <w:r w:rsidRPr="00687B52">
              <w:rPr>
                <w:rFonts w:eastAsiaTheme="minorEastAsia" w:hAnsi="Times New Roman" w:cs="Times New Roman"/>
                <w:color w:val="000000" w:themeColor="text1"/>
                <w:szCs w:val="24"/>
              </w:rPr>
              <w:t>~5</w:t>
            </w:r>
            <w:r w:rsidRPr="00687B52">
              <w:rPr>
                <w:rFonts w:eastAsiaTheme="minorEastAsia" w:hAnsiTheme="minorEastAsia" w:cs="Times New Roman"/>
                <w:color w:val="000000" w:themeColor="text1"/>
                <w:szCs w:val="24"/>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6.3.5</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hAnsi="Times New Roman"/>
                <w:color w:val="000000" w:themeColor="text1"/>
              </w:rPr>
            </w:pPr>
            <w:r w:rsidRPr="00687B52">
              <w:rPr>
                <w:rFonts w:hAnsi="Times New Roman" w:hint="eastAsia"/>
                <w:color w:val="000000" w:themeColor="text1"/>
              </w:rPr>
              <w:t>输油管道应采用地下埋设方式，当受自然条件限制时，局部地段可采用土堤埋设或地上敷设。</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color w:val="000000" w:themeColor="text1"/>
              </w:rPr>
              <w:t>GB50</w:t>
            </w:r>
            <w:r w:rsidRPr="00687B52">
              <w:rPr>
                <w:rFonts w:hint="eastAsia"/>
                <w:color w:val="000000" w:themeColor="text1"/>
              </w:rPr>
              <w:t>253</w:t>
            </w:r>
            <w:r w:rsidRPr="00687B52">
              <w:rPr>
                <w:color w:val="000000" w:themeColor="text1"/>
              </w:rPr>
              <w:t>-20</w:t>
            </w:r>
            <w:r w:rsidRPr="00687B52">
              <w:rPr>
                <w:rFonts w:hint="eastAsia"/>
                <w:color w:val="000000" w:themeColor="text1"/>
              </w:rPr>
              <w:t>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4.2.1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hAnsi="Times New Roman"/>
                <w:color w:val="000000" w:themeColor="text1"/>
              </w:rPr>
            </w:pPr>
            <w:r w:rsidRPr="00687B52">
              <w:rPr>
                <w:rFonts w:hAnsi="Times New Roman" w:hint="eastAsia"/>
                <w:color w:val="000000" w:themeColor="text1"/>
              </w:rPr>
              <w:t>管沟回填后，应恢复原地貌，并保护耕植层，防止水土流失和积水。</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color w:val="000000" w:themeColor="text1"/>
              </w:rPr>
              <w:t>GB50</w:t>
            </w:r>
            <w:r w:rsidRPr="00687B52">
              <w:rPr>
                <w:rFonts w:hint="eastAsia"/>
                <w:color w:val="000000" w:themeColor="text1"/>
              </w:rPr>
              <w:t>253</w:t>
            </w:r>
            <w:r w:rsidRPr="00687B52">
              <w:rPr>
                <w:color w:val="000000" w:themeColor="text1"/>
              </w:rPr>
              <w:t>-20</w:t>
            </w:r>
            <w:r w:rsidRPr="00687B52">
              <w:rPr>
                <w:rFonts w:hint="eastAsia"/>
                <w:color w:val="000000" w:themeColor="text1"/>
              </w:rPr>
              <w:t>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4.2.7</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hAnsi="Times New Roman"/>
                <w:color w:val="000000" w:themeColor="text1"/>
              </w:rPr>
            </w:pPr>
            <w:r w:rsidRPr="00687B52">
              <w:rPr>
                <w:rFonts w:hAnsi="Times New Roman" w:hint="eastAsia"/>
                <w:color w:val="000000" w:themeColor="text1"/>
              </w:rPr>
              <w:t>当输油管道一侧临近冲沟或陡坎时，应对冲沟的边坡、沟底和陡坎采取加固措施。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color w:val="000000" w:themeColor="text1"/>
              </w:rPr>
              <w:t>GB50</w:t>
            </w:r>
            <w:r w:rsidRPr="00687B52">
              <w:rPr>
                <w:rFonts w:hint="eastAsia"/>
                <w:color w:val="000000" w:themeColor="text1"/>
              </w:rPr>
              <w:t>253</w:t>
            </w:r>
            <w:r w:rsidRPr="00687B52">
              <w:rPr>
                <w:color w:val="000000" w:themeColor="text1"/>
              </w:rPr>
              <w:t>-20</w:t>
            </w:r>
            <w:r w:rsidRPr="00687B52">
              <w:rPr>
                <w:rFonts w:hint="eastAsia"/>
                <w:color w:val="000000" w:themeColor="text1"/>
              </w:rPr>
              <w:t>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4.2.8</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hAnsi="Times New Roman"/>
                <w:color w:val="000000" w:themeColor="text1"/>
              </w:rPr>
            </w:pPr>
            <w:r w:rsidRPr="00687B52">
              <w:rPr>
                <w:rFonts w:hAnsi="Times New Roman" w:hint="eastAsia"/>
                <w:color w:val="000000" w:themeColor="text1"/>
              </w:rPr>
              <w:t>地上敷设的输油管道应采取措施补偿管道轴向变形。</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color w:val="000000" w:themeColor="text1"/>
              </w:rPr>
              <w:t>GB50</w:t>
            </w:r>
            <w:r w:rsidRPr="00687B52">
              <w:rPr>
                <w:rFonts w:hint="eastAsia"/>
                <w:color w:val="000000" w:themeColor="text1"/>
              </w:rPr>
              <w:t>253</w:t>
            </w:r>
            <w:r w:rsidRPr="00687B52">
              <w:rPr>
                <w:color w:val="000000" w:themeColor="text1"/>
              </w:rPr>
              <w:t>-20</w:t>
            </w:r>
            <w:r w:rsidRPr="00687B52">
              <w:rPr>
                <w:rFonts w:hint="eastAsia"/>
                <w:color w:val="000000" w:themeColor="text1"/>
              </w:rPr>
              <w:t>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4.2.10</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hAnsi="Times New Roman"/>
                <w:color w:val="000000" w:themeColor="text1"/>
              </w:rPr>
            </w:pPr>
            <w:r w:rsidRPr="00687B52">
              <w:rPr>
                <w:rFonts w:hAnsi="Times New Roman" w:hint="eastAsia"/>
                <w:color w:val="000000" w:themeColor="text1"/>
              </w:rPr>
              <w:t>当埋输油管道同其他埋地管道或金属构筑物交叉时，其垂直净距不应小于</w:t>
            </w:r>
            <w:r w:rsidRPr="00687B52">
              <w:rPr>
                <w:rFonts w:hAnsi="Times New Roman" w:hint="eastAsia"/>
                <w:color w:val="000000" w:themeColor="text1"/>
              </w:rPr>
              <w:t>0.3m</w:t>
            </w:r>
            <w:r w:rsidRPr="00687B52">
              <w:rPr>
                <w:rFonts w:hAnsi="Times New Roman" w:hint="eastAsia"/>
                <w:color w:val="000000" w:themeColor="text1"/>
              </w:rPr>
              <w:t>，两条管道的交叉角不宜小于</w:t>
            </w:r>
            <w:r w:rsidRPr="00687B52">
              <w:rPr>
                <w:rFonts w:hAnsi="Times New Roman" w:hint="eastAsia"/>
                <w:color w:val="000000" w:themeColor="text1"/>
              </w:rPr>
              <w:t>30</w:t>
            </w:r>
            <w:r w:rsidRPr="00687B52">
              <w:rPr>
                <w:rFonts w:hAnsi="Times New Roman" w:hint="eastAsia"/>
                <w:color w:val="000000" w:themeColor="text1"/>
              </w:rPr>
              <w:t>°；管道与电力、通信电缆交叉时，其垂直净距不应小于</w:t>
            </w:r>
            <w:r w:rsidRPr="00687B52">
              <w:rPr>
                <w:rFonts w:hAnsi="Times New Roman" w:hint="eastAsia"/>
                <w:color w:val="000000" w:themeColor="text1"/>
              </w:rPr>
              <w:t>0.5m</w:t>
            </w:r>
            <w:r w:rsidRPr="00687B52">
              <w:rPr>
                <w:rFonts w:hAnsi="Times New Roman"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color w:val="000000" w:themeColor="text1"/>
              </w:rPr>
              <w:t>GB50</w:t>
            </w:r>
            <w:r w:rsidRPr="00687B52">
              <w:rPr>
                <w:rFonts w:hint="eastAsia"/>
                <w:color w:val="000000" w:themeColor="text1"/>
              </w:rPr>
              <w:t>253</w:t>
            </w:r>
            <w:r w:rsidRPr="00687B52">
              <w:rPr>
                <w:color w:val="000000" w:themeColor="text1"/>
              </w:rPr>
              <w:t>-20</w:t>
            </w:r>
            <w:r w:rsidRPr="00687B52">
              <w:rPr>
                <w:rFonts w:hint="eastAsia"/>
                <w:color w:val="000000" w:themeColor="text1"/>
              </w:rPr>
              <w:t>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4.2.11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hAnsi="Times New Roman"/>
                <w:color w:val="000000" w:themeColor="text1"/>
              </w:rPr>
            </w:pPr>
            <w:r w:rsidRPr="00687B52">
              <w:rPr>
                <w:rFonts w:hAnsi="Times New Roman" w:hint="eastAsia"/>
                <w:color w:val="000000" w:themeColor="text1"/>
              </w:rPr>
              <w:t>相临并行的任意管道受到干扰影响时，不宜采取联合阴极保护措施。需要进行联合保护的，应在并行段两端受干扰的管道上采取绝缘隔离措施。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color w:val="000000" w:themeColor="text1"/>
              </w:rPr>
              <w:t>GB50</w:t>
            </w:r>
            <w:r w:rsidRPr="00687B52">
              <w:rPr>
                <w:rFonts w:hint="eastAsia"/>
                <w:color w:val="000000" w:themeColor="text1"/>
              </w:rPr>
              <w:t>253</w:t>
            </w:r>
            <w:r w:rsidRPr="00687B52">
              <w:rPr>
                <w:color w:val="000000" w:themeColor="text1"/>
              </w:rPr>
              <w:t>-20</w:t>
            </w:r>
            <w:r w:rsidRPr="00687B52">
              <w:rPr>
                <w:rFonts w:hint="eastAsia"/>
                <w:color w:val="000000" w:themeColor="text1"/>
              </w:rPr>
              <w:t>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4.3.7</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hAnsi="Times New Roman"/>
                <w:color w:val="000000" w:themeColor="text1"/>
              </w:rPr>
            </w:pPr>
            <w:r w:rsidRPr="00687B52">
              <w:rPr>
                <w:rFonts w:hAnsi="Times New Roman" w:hint="eastAsia"/>
                <w:color w:val="000000" w:themeColor="text1"/>
              </w:rPr>
              <w:t>输油管道沿线应设置线路截断阀。</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color w:val="000000" w:themeColor="text1"/>
              </w:rPr>
              <w:t>GB50</w:t>
            </w:r>
            <w:r w:rsidRPr="00687B52">
              <w:rPr>
                <w:rFonts w:hint="eastAsia"/>
                <w:color w:val="000000" w:themeColor="text1"/>
              </w:rPr>
              <w:t>253</w:t>
            </w:r>
            <w:r w:rsidRPr="00687B52">
              <w:rPr>
                <w:color w:val="000000" w:themeColor="text1"/>
              </w:rPr>
              <w:t>-20</w:t>
            </w:r>
            <w:r w:rsidRPr="00687B52">
              <w:rPr>
                <w:rFonts w:hint="eastAsia"/>
                <w:color w:val="000000" w:themeColor="text1"/>
              </w:rPr>
              <w:t>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4.4.1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trHeight w:val="6287"/>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hAnsi="Times New Roman"/>
                <w:color w:val="000000" w:themeColor="text1"/>
              </w:rPr>
            </w:pPr>
            <w:r w:rsidRPr="00687B52">
              <w:rPr>
                <w:rFonts w:hAnsi="Times New Roman" w:hint="eastAsia"/>
                <w:color w:val="000000" w:themeColor="text1"/>
              </w:rPr>
              <w:t>输送液化石油气管道线路截断阀的最大间距应符合下表规定。</w:t>
            </w:r>
          </w:p>
          <w:tbl>
            <w:tblPr>
              <w:tblStyle w:val="a6"/>
              <w:tblW w:w="0" w:type="auto"/>
              <w:jc w:val="center"/>
              <w:tblLook w:val="04A0" w:firstRow="1" w:lastRow="0" w:firstColumn="1" w:lastColumn="0" w:noHBand="0" w:noVBand="1"/>
            </w:tblPr>
            <w:tblGrid>
              <w:gridCol w:w="2282"/>
              <w:gridCol w:w="3395"/>
            </w:tblGrid>
            <w:tr w:rsidR="000E02C5" w:rsidRPr="00687B52" w:rsidTr="00B527D4">
              <w:trPr>
                <w:jc w:val="center"/>
              </w:trPr>
              <w:tc>
                <w:tcPr>
                  <w:tcW w:w="2282" w:type="dxa"/>
                </w:tcPr>
                <w:p w:rsidR="000E02C5" w:rsidRPr="00687B52" w:rsidRDefault="000E02C5" w:rsidP="00B527D4">
                  <w:pPr>
                    <w:pStyle w:val="a7"/>
                    <w:rPr>
                      <w:color w:val="000000" w:themeColor="text1"/>
                    </w:rPr>
                  </w:pPr>
                  <w:r w:rsidRPr="00687B52">
                    <w:rPr>
                      <w:rFonts w:hint="eastAsia"/>
                      <w:color w:val="000000" w:themeColor="text1"/>
                    </w:rPr>
                    <w:t>地区等级</w:t>
                  </w:r>
                </w:p>
              </w:tc>
              <w:tc>
                <w:tcPr>
                  <w:tcW w:w="3395" w:type="dxa"/>
                </w:tcPr>
                <w:p w:rsidR="000E02C5" w:rsidRPr="00687B52" w:rsidRDefault="000E02C5" w:rsidP="00B527D4">
                  <w:pPr>
                    <w:pStyle w:val="a7"/>
                    <w:rPr>
                      <w:color w:val="000000" w:themeColor="text1"/>
                    </w:rPr>
                  </w:pPr>
                  <w:r w:rsidRPr="00687B52">
                    <w:rPr>
                      <w:rFonts w:hint="eastAsia"/>
                      <w:color w:val="000000" w:themeColor="text1"/>
                    </w:rPr>
                    <w:t>线路截断阀最大间距（</w:t>
                  </w:r>
                  <w:r w:rsidRPr="00687B52">
                    <w:rPr>
                      <w:rFonts w:hint="eastAsia"/>
                      <w:color w:val="000000" w:themeColor="text1"/>
                    </w:rPr>
                    <w:t>km</w:t>
                  </w:r>
                  <w:r w:rsidRPr="00687B52">
                    <w:rPr>
                      <w:rFonts w:hint="eastAsia"/>
                      <w:color w:val="000000" w:themeColor="text1"/>
                    </w:rPr>
                    <w:t>）</w:t>
                  </w:r>
                </w:p>
              </w:tc>
            </w:tr>
            <w:tr w:rsidR="000E02C5" w:rsidRPr="00687B52" w:rsidTr="00B527D4">
              <w:trPr>
                <w:jc w:val="center"/>
              </w:trPr>
              <w:tc>
                <w:tcPr>
                  <w:tcW w:w="2282" w:type="dxa"/>
                </w:tcPr>
                <w:p w:rsidR="000E02C5" w:rsidRPr="00687B52" w:rsidRDefault="000E02C5" w:rsidP="00B527D4">
                  <w:pPr>
                    <w:pStyle w:val="a7"/>
                    <w:rPr>
                      <w:color w:val="000000" w:themeColor="text1"/>
                    </w:rPr>
                  </w:pPr>
                  <w:r w:rsidRPr="00687B52">
                    <w:rPr>
                      <w:rFonts w:hint="eastAsia"/>
                      <w:color w:val="000000" w:themeColor="text1"/>
                    </w:rPr>
                    <w:t>一</w:t>
                  </w:r>
                </w:p>
              </w:tc>
              <w:tc>
                <w:tcPr>
                  <w:tcW w:w="3395" w:type="dxa"/>
                </w:tcPr>
                <w:p w:rsidR="000E02C5" w:rsidRPr="00687B52" w:rsidRDefault="000E02C5" w:rsidP="00B527D4">
                  <w:pPr>
                    <w:pStyle w:val="a7"/>
                    <w:rPr>
                      <w:color w:val="000000" w:themeColor="text1"/>
                    </w:rPr>
                  </w:pPr>
                  <w:r w:rsidRPr="00687B52">
                    <w:rPr>
                      <w:rFonts w:hint="eastAsia"/>
                      <w:color w:val="000000" w:themeColor="text1"/>
                    </w:rPr>
                    <w:t>32</w:t>
                  </w:r>
                </w:p>
              </w:tc>
            </w:tr>
            <w:tr w:rsidR="000E02C5" w:rsidRPr="00687B52" w:rsidTr="00B527D4">
              <w:trPr>
                <w:jc w:val="center"/>
              </w:trPr>
              <w:tc>
                <w:tcPr>
                  <w:tcW w:w="2282" w:type="dxa"/>
                </w:tcPr>
                <w:p w:rsidR="000E02C5" w:rsidRPr="00687B52" w:rsidRDefault="000E02C5" w:rsidP="00B527D4">
                  <w:pPr>
                    <w:pStyle w:val="a7"/>
                    <w:rPr>
                      <w:color w:val="000000" w:themeColor="text1"/>
                    </w:rPr>
                  </w:pPr>
                  <w:r w:rsidRPr="00687B52">
                    <w:rPr>
                      <w:rFonts w:hint="eastAsia"/>
                      <w:color w:val="000000" w:themeColor="text1"/>
                    </w:rPr>
                    <w:t>二</w:t>
                  </w:r>
                </w:p>
              </w:tc>
              <w:tc>
                <w:tcPr>
                  <w:tcW w:w="3395" w:type="dxa"/>
                </w:tcPr>
                <w:p w:rsidR="000E02C5" w:rsidRPr="00687B52" w:rsidRDefault="000E02C5" w:rsidP="00B527D4">
                  <w:pPr>
                    <w:pStyle w:val="a7"/>
                    <w:rPr>
                      <w:color w:val="000000" w:themeColor="text1"/>
                    </w:rPr>
                  </w:pPr>
                  <w:r w:rsidRPr="00687B52">
                    <w:rPr>
                      <w:rFonts w:hint="eastAsia"/>
                      <w:color w:val="000000" w:themeColor="text1"/>
                    </w:rPr>
                    <w:t>24</w:t>
                  </w:r>
                </w:p>
              </w:tc>
            </w:tr>
            <w:tr w:rsidR="000E02C5" w:rsidRPr="00687B52" w:rsidTr="00B527D4">
              <w:trPr>
                <w:jc w:val="center"/>
              </w:trPr>
              <w:tc>
                <w:tcPr>
                  <w:tcW w:w="2282" w:type="dxa"/>
                </w:tcPr>
                <w:p w:rsidR="000E02C5" w:rsidRPr="00687B52" w:rsidRDefault="000E02C5" w:rsidP="00B527D4">
                  <w:pPr>
                    <w:pStyle w:val="a7"/>
                    <w:rPr>
                      <w:color w:val="000000" w:themeColor="text1"/>
                    </w:rPr>
                  </w:pPr>
                  <w:r w:rsidRPr="00687B52">
                    <w:rPr>
                      <w:rFonts w:hint="eastAsia"/>
                      <w:color w:val="000000" w:themeColor="text1"/>
                    </w:rPr>
                    <w:t>三</w:t>
                  </w:r>
                </w:p>
              </w:tc>
              <w:tc>
                <w:tcPr>
                  <w:tcW w:w="3395" w:type="dxa"/>
                </w:tcPr>
                <w:p w:rsidR="000E02C5" w:rsidRPr="00687B52" w:rsidRDefault="000E02C5" w:rsidP="00B527D4">
                  <w:pPr>
                    <w:pStyle w:val="a7"/>
                    <w:rPr>
                      <w:color w:val="000000" w:themeColor="text1"/>
                    </w:rPr>
                  </w:pPr>
                  <w:r w:rsidRPr="00687B52">
                    <w:rPr>
                      <w:rFonts w:hint="eastAsia"/>
                      <w:color w:val="000000" w:themeColor="text1"/>
                    </w:rPr>
                    <w:t>16</w:t>
                  </w:r>
                </w:p>
              </w:tc>
            </w:tr>
            <w:tr w:rsidR="000E02C5" w:rsidRPr="00687B52" w:rsidTr="00B527D4">
              <w:trPr>
                <w:jc w:val="center"/>
              </w:trPr>
              <w:tc>
                <w:tcPr>
                  <w:tcW w:w="2282" w:type="dxa"/>
                </w:tcPr>
                <w:p w:rsidR="000E02C5" w:rsidRPr="00687B52" w:rsidRDefault="000E02C5" w:rsidP="00B527D4">
                  <w:pPr>
                    <w:pStyle w:val="a7"/>
                    <w:rPr>
                      <w:color w:val="000000" w:themeColor="text1"/>
                    </w:rPr>
                  </w:pPr>
                  <w:r w:rsidRPr="00687B52">
                    <w:rPr>
                      <w:rFonts w:hint="eastAsia"/>
                      <w:color w:val="000000" w:themeColor="text1"/>
                    </w:rPr>
                    <w:t>四</w:t>
                  </w:r>
                </w:p>
              </w:tc>
              <w:tc>
                <w:tcPr>
                  <w:tcW w:w="3395" w:type="dxa"/>
                </w:tcPr>
                <w:p w:rsidR="000E02C5" w:rsidRPr="00687B52" w:rsidRDefault="000E02C5" w:rsidP="00B527D4">
                  <w:pPr>
                    <w:pStyle w:val="a7"/>
                    <w:rPr>
                      <w:color w:val="000000" w:themeColor="text1"/>
                    </w:rPr>
                  </w:pPr>
                  <w:r w:rsidRPr="00687B52">
                    <w:rPr>
                      <w:rFonts w:hint="eastAsia"/>
                      <w:color w:val="000000" w:themeColor="text1"/>
                    </w:rPr>
                    <w:t>8</w:t>
                  </w:r>
                </w:p>
              </w:tc>
            </w:tr>
          </w:tbl>
          <w:p w:rsidR="000E02C5" w:rsidRPr="00687B52" w:rsidRDefault="000E02C5" w:rsidP="00B527D4">
            <w:pPr>
              <w:pStyle w:val="a7"/>
              <w:jc w:val="left"/>
              <w:rPr>
                <w:rFonts w:hAnsi="Times New Roman"/>
                <w:color w:val="000000" w:themeColor="text1"/>
              </w:rPr>
            </w:pPr>
            <w:r w:rsidRPr="00687B52">
              <w:rPr>
                <w:rFonts w:hAnsi="Times New Roman" w:hint="eastAsia"/>
                <w:color w:val="000000" w:themeColor="text1"/>
              </w:rPr>
              <w:t>地区等级划分为沿管道中心线两侧各</w:t>
            </w:r>
            <w:r w:rsidRPr="00687B52">
              <w:rPr>
                <w:rFonts w:hAnsi="Times New Roman" w:hint="eastAsia"/>
                <w:color w:val="000000" w:themeColor="text1"/>
              </w:rPr>
              <w:t>200m</w:t>
            </w:r>
            <w:r w:rsidRPr="00687B52">
              <w:rPr>
                <w:rFonts w:hAnsi="Times New Roman" w:hint="eastAsia"/>
                <w:color w:val="000000" w:themeColor="text1"/>
              </w:rPr>
              <w:t>范围内，任意划分成长度为</w:t>
            </w:r>
            <w:r w:rsidRPr="00687B52">
              <w:rPr>
                <w:rFonts w:hAnsi="Times New Roman" w:hint="eastAsia"/>
                <w:color w:val="000000" w:themeColor="text1"/>
              </w:rPr>
              <w:t>2km</w:t>
            </w:r>
            <w:r w:rsidRPr="00687B52">
              <w:rPr>
                <w:rFonts w:hAnsi="Times New Roman" w:hint="eastAsia"/>
                <w:color w:val="000000" w:themeColor="text1"/>
              </w:rPr>
              <w:t>并能包括最大聚居户数的若干地段，按划定地段内的户数划分为四个等级。在农村人口聚集的村庄、大院、住宅楼，应以每一独立户作为一个供人居住的建筑物计算。液化石油气管道（</w:t>
            </w:r>
            <w:r w:rsidRPr="00687B52">
              <w:rPr>
                <w:rFonts w:hAnsi="Times New Roman" w:hint="eastAsia"/>
                <w:color w:val="000000" w:themeColor="text1"/>
              </w:rPr>
              <w:t>LPG</w:t>
            </w:r>
            <w:r w:rsidRPr="00687B52">
              <w:rPr>
                <w:rFonts w:hAnsi="Times New Roman" w:hint="eastAsia"/>
                <w:color w:val="000000" w:themeColor="text1"/>
              </w:rPr>
              <w:t>）管道通过地区等级划分见下表。</w:t>
            </w:r>
          </w:p>
          <w:tbl>
            <w:tblPr>
              <w:tblStyle w:val="a6"/>
              <w:tblW w:w="5000" w:type="pct"/>
              <w:tblLook w:val="04A0" w:firstRow="1" w:lastRow="0" w:firstColumn="1" w:lastColumn="0" w:noHBand="0" w:noVBand="1"/>
            </w:tblPr>
            <w:tblGrid>
              <w:gridCol w:w="1813"/>
              <w:gridCol w:w="5383"/>
            </w:tblGrid>
            <w:tr w:rsidR="000E02C5" w:rsidRPr="00687B52" w:rsidTr="00B527D4">
              <w:tc>
                <w:tcPr>
                  <w:tcW w:w="1260" w:type="pct"/>
                  <w:vAlign w:val="center"/>
                </w:tcPr>
                <w:p w:rsidR="000E02C5" w:rsidRPr="00687B52" w:rsidRDefault="000E02C5" w:rsidP="00B527D4">
                  <w:pPr>
                    <w:pStyle w:val="a7"/>
                    <w:rPr>
                      <w:rFonts w:hAnsi="Times New Roman"/>
                      <w:color w:val="000000" w:themeColor="text1"/>
                    </w:rPr>
                  </w:pPr>
                  <w:r w:rsidRPr="00687B52">
                    <w:rPr>
                      <w:rFonts w:hAnsi="Times New Roman" w:hint="eastAsia"/>
                      <w:color w:val="000000" w:themeColor="text1"/>
                    </w:rPr>
                    <w:t>地区等级</w:t>
                  </w:r>
                </w:p>
              </w:tc>
              <w:tc>
                <w:tcPr>
                  <w:tcW w:w="3740" w:type="pct"/>
                  <w:vAlign w:val="center"/>
                </w:tcPr>
                <w:p w:rsidR="000E02C5" w:rsidRPr="00687B52" w:rsidRDefault="000E02C5" w:rsidP="00B527D4">
                  <w:pPr>
                    <w:pStyle w:val="a7"/>
                    <w:rPr>
                      <w:rFonts w:hAnsi="Times New Roman"/>
                      <w:color w:val="000000" w:themeColor="text1"/>
                    </w:rPr>
                  </w:pPr>
                  <w:r w:rsidRPr="00687B52">
                    <w:rPr>
                      <w:rFonts w:hAnsi="Times New Roman" w:hint="eastAsia"/>
                      <w:color w:val="000000" w:themeColor="text1"/>
                    </w:rPr>
                    <w:t>说明</w:t>
                  </w:r>
                </w:p>
              </w:tc>
            </w:tr>
            <w:tr w:rsidR="000E02C5" w:rsidRPr="00687B52" w:rsidTr="00B527D4">
              <w:tc>
                <w:tcPr>
                  <w:tcW w:w="1260" w:type="pct"/>
                  <w:vAlign w:val="center"/>
                </w:tcPr>
                <w:p w:rsidR="000E02C5" w:rsidRPr="00687B52" w:rsidRDefault="000E02C5" w:rsidP="00B527D4">
                  <w:pPr>
                    <w:pStyle w:val="a7"/>
                    <w:rPr>
                      <w:rFonts w:hAnsi="Times New Roman"/>
                      <w:color w:val="000000" w:themeColor="text1"/>
                    </w:rPr>
                  </w:pPr>
                  <w:r w:rsidRPr="00687B52">
                    <w:rPr>
                      <w:rFonts w:hAnsi="Times New Roman" w:hint="eastAsia"/>
                      <w:color w:val="000000" w:themeColor="text1"/>
                    </w:rPr>
                    <w:t>一级地区</w:t>
                  </w:r>
                </w:p>
              </w:tc>
              <w:tc>
                <w:tcPr>
                  <w:tcW w:w="3740" w:type="pct"/>
                </w:tcPr>
                <w:p w:rsidR="000E02C5" w:rsidRPr="00687B52" w:rsidRDefault="000E02C5" w:rsidP="00B527D4">
                  <w:pPr>
                    <w:pStyle w:val="a7"/>
                    <w:jc w:val="left"/>
                    <w:rPr>
                      <w:rFonts w:hAnsi="Times New Roman"/>
                      <w:color w:val="000000" w:themeColor="text1"/>
                    </w:rPr>
                  </w:pPr>
                  <w:r w:rsidRPr="00687B52">
                    <w:rPr>
                      <w:rFonts w:hAnsi="Times New Roman" w:hint="eastAsia"/>
                      <w:color w:val="000000" w:themeColor="text1"/>
                    </w:rPr>
                    <w:t>户数在</w:t>
                  </w:r>
                  <w:r w:rsidRPr="00687B52">
                    <w:rPr>
                      <w:rFonts w:hAnsi="Times New Roman" w:hint="eastAsia"/>
                      <w:color w:val="000000" w:themeColor="text1"/>
                    </w:rPr>
                    <w:t>15</w:t>
                  </w:r>
                  <w:r w:rsidRPr="00687B52">
                    <w:rPr>
                      <w:rFonts w:hAnsi="Times New Roman" w:hint="eastAsia"/>
                      <w:color w:val="000000" w:themeColor="text1"/>
                    </w:rPr>
                    <w:t>户或以下的区段</w:t>
                  </w:r>
                </w:p>
              </w:tc>
            </w:tr>
            <w:tr w:rsidR="000E02C5" w:rsidRPr="00687B52" w:rsidTr="00B527D4">
              <w:tc>
                <w:tcPr>
                  <w:tcW w:w="1260" w:type="pct"/>
                  <w:vAlign w:val="center"/>
                </w:tcPr>
                <w:p w:rsidR="000E02C5" w:rsidRPr="00687B52" w:rsidRDefault="000E02C5" w:rsidP="00B527D4">
                  <w:pPr>
                    <w:pStyle w:val="a7"/>
                    <w:rPr>
                      <w:rFonts w:hAnsi="Times New Roman"/>
                      <w:color w:val="000000" w:themeColor="text1"/>
                    </w:rPr>
                  </w:pPr>
                  <w:r w:rsidRPr="00687B52">
                    <w:rPr>
                      <w:rFonts w:hint="eastAsia"/>
                      <w:noProof/>
                      <w:color w:val="000000" w:themeColor="text1"/>
                    </w:rPr>
                    <w:t>二级地区</w:t>
                  </w:r>
                </w:p>
              </w:tc>
              <w:tc>
                <w:tcPr>
                  <w:tcW w:w="3740" w:type="pct"/>
                </w:tcPr>
                <w:p w:rsidR="000E02C5" w:rsidRPr="00687B52" w:rsidRDefault="000E02C5" w:rsidP="00B527D4">
                  <w:pPr>
                    <w:pStyle w:val="a7"/>
                    <w:jc w:val="left"/>
                    <w:rPr>
                      <w:rFonts w:hAnsi="Times New Roman"/>
                      <w:color w:val="000000" w:themeColor="text1"/>
                    </w:rPr>
                  </w:pPr>
                  <w:r w:rsidRPr="00687B52">
                    <w:rPr>
                      <w:rFonts w:hAnsi="Times New Roman" w:hint="eastAsia"/>
                      <w:color w:val="000000" w:themeColor="text1"/>
                    </w:rPr>
                    <w:t>户数在</w:t>
                  </w:r>
                  <w:r w:rsidRPr="00687B52">
                    <w:rPr>
                      <w:rFonts w:hAnsi="Times New Roman" w:hint="eastAsia"/>
                      <w:color w:val="000000" w:themeColor="text1"/>
                    </w:rPr>
                    <w:t>15</w:t>
                  </w:r>
                  <w:r w:rsidRPr="00687B52">
                    <w:rPr>
                      <w:rFonts w:hAnsi="Times New Roman" w:hint="eastAsia"/>
                      <w:color w:val="000000" w:themeColor="text1"/>
                    </w:rPr>
                    <w:t>户以上、</w:t>
                  </w:r>
                  <w:r w:rsidRPr="00687B52">
                    <w:rPr>
                      <w:rFonts w:hAnsi="Times New Roman" w:hint="eastAsia"/>
                      <w:color w:val="000000" w:themeColor="text1"/>
                    </w:rPr>
                    <w:t>100</w:t>
                  </w:r>
                  <w:r w:rsidRPr="00687B52">
                    <w:rPr>
                      <w:rFonts w:hAnsi="Times New Roman" w:hint="eastAsia"/>
                      <w:color w:val="000000" w:themeColor="text1"/>
                    </w:rPr>
                    <w:t>户以下的区段</w:t>
                  </w:r>
                </w:p>
              </w:tc>
            </w:tr>
            <w:tr w:rsidR="000E02C5" w:rsidRPr="00687B52" w:rsidTr="00B527D4">
              <w:tc>
                <w:tcPr>
                  <w:tcW w:w="1260" w:type="pct"/>
                  <w:vAlign w:val="center"/>
                </w:tcPr>
                <w:p w:rsidR="000E02C5" w:rsidRPr="00687B52" w:rsidRDefault="000E02C5" w:rsidP="00B527D4">
                  <w:pPr>
                    <w:pStyle w:val="a7"/>
                    <w:rPr>
                      <w:rFonts w:hAnsi="Times New Roman"/>
                      <w:color w:val="000000" w:themeColor="text1"/>
                    </w:rPr>
                  </w:pPr>
                  <w:r w:rsidRPr="00687B52">
                    <w:rPr>
                      <w:rFonts w:hAnsi="Times New Roman" w:hint="eastAsia"/>
                      <w:color w:val="000000" w:themeColor="text1"/>
                    </w:rPr>
                    <w:t>三级地区</w:t>
                  </w:r>
                </w:p>
              </w:tc>
              <w:tc>
                <w:tcPr>
                  <w:tcW w:w="3740" w:type="pct"/>
                </w:tcPr>
                <w:p w:rsidR="000E02C5" w:rsidRPr="00687B52" w:rsidRDefault="000E02C5" w:rsidP="00B527D4">
                  <w:pPr>
                    <w:pStyle w:val="a7"/>
                    <w:jc w:val="left"/>
                    <w:rPr>
                      <w:rFonts w:hAnsi="Times New Roman"/>
                      <w:color w:val="000000" w:themeColor="text1"/>
                    </w:rPr>
                  </w:pPr>
                  <w:r w:rsidRPr="00687B52">
                    <w:rPr>
                      <w:rFonts w:hAnsi="Times New Roman" w:hint="eastAsia"/>
                      <w:color w:val="000000" w:themeColor="text1"/>
                    </w:rPr>
                    <w:t>户数在</w:t>
                  </w:r>
                  <w:r w:rsidRPr="00687B52">
                    <w:rPr>
                      <w:rFonts w:hAnsi="Times New Roman" w:hint="eastAsia"/>
                      <w:color w:val="000000" w:themeColor="text1"/>
                    </w:rPr>
                    <w:t>100</w:t>
                  </w:r>
                  <w:r w:rsidRPr="00687B52">
                    <w:rPr>
                      <w:rFonts w:hAnsi="Times New Roman" w:hint="eastAsia"/>
                      <w:color w:val="000000" w:themeColor="text1"/>
                    </w:rPr>
                    <w:t>户或以上的区段，包括市郊、商业区、工业区、不够四级的人口稠密区</w:t>
                  </w:r>
                </w:p>
              </w:tc>
            </w:tr>
            <w:tr w:rsidR="000E02C5" w:rsidRPr="00687B52" w:rsidTr="00B527D4">
              <w:tc>
                <w:tcPr>
                  <w:tcW w:w="1260" w:type="pct"/>
                  <w:vAlign w:val="center"/>
                </w:tcPr>
                <w:p w:rsidR="000E02C5" w:rsidRPr="00687B52" w:rsidRDefault="000E02C5" w:rsidP="00B527D4">
                  <w:pPr>
                    <w:pStyle w:val="a7"/>
                    <w:rPr>
                      <w:rFonts w:hAnsi="Times New Roman"/>
                      <w:color w:val="000000" w:themeColor="text1"/>
                    </w:rPr>
                  </w:pPr>
                  <w:r w:rsidRPr="00687B52">
                    <w:rPr>
                      <w:rFonts w:hAnsi="Times New Roman" w:hint="eastAsia"/>
                      <w:color w:val="000000" w:themeColor="text1"/>
                    </w:rPr>
                    <w:t>四级地区</w:t>
                  </w:r>
                </w:p>
              </w:tc>
              <w:tc>
                <w:tcPr>
                  <w:tcW w:w="3740" w:type="pct"/>
                </w:tcPr>
                <w:p w:rsidR="000E02C5" w:rsidRPr="00687B52" w:rsidRDefault="000E02C5" w:rsidP="00B527D4">
                  <w:pPr>
                    <w:pStyle w:val="a7"/>
                    <w:jc w:val="left"/>
                    <w:rPr>
                      <w:rFonts w:hAnsi="Times New Roman"/>
                      <w:color w:val="000000" w:themeColor="text1"/>
                    </w:rPr>
                  </w:pPr>
                  <w:r w:rsidRPr="00687B52">
                    <w:rPr>
                      <w:rFonts w:hAnsi="Times New Roman" w:hint="eastAsia"/>
                      <w:color w:val="000000" w:themeColor="text1"/>
                    </w:rPr>
                    <w:t>地面四层及四层以上楼房普遍集中、交通频繁、地下设施多的区段</w:t>
                  </w:r>
                </w:p>
              </w:tc>
            </w:tr>
          </w:tbl>
          <w:p w:rsidR="000E02C5" w:rsidRPr="00687B52" w:rsidRDefault="000E02C5" w:rsidP="00B527D4">
            <w:pPr>
              <w:pStyle w:val="a7"/>
              <w:jc w:val="left"/>
              <w:rPr>
                <w:rFonts w:hAnsi="Times New Roman"/>
                <w:color w:val="000000" w:themeColor="text1"/>
              </w:rPr>
            </w:pP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color w:val="000000" w:themeColor="text1"/>
              </w:rPr>
              <w:t>GB50</w:t>
            </w:r>
            <w:r w:rsidRPr="00687B52">
              <w:rPr>
                <w:rFonts w:hint="eastAsia"/>
                <w:color w:val="000000" w:themeColor="text1"/>
              </w:rPr>
              <w:t>253</w:t>
            </w:r>
            <w:r w:rsidRPr="00687B52">
              <w:rPr>
                <w:color w:val="000000" w:themeColor="text1"/>
              </w:rPr>
              <w:t>-20</w:t>
            </w:r>
            <w:r w:rsidRPr="00687B52">
              <w:rPr>
                <w:rFonts w:hint="eastAsia"/>
                <w:color w:val="000000" w:themeColor="text1"/>
              </w:rPr>
              <w:t>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4.4.3</w:t>
            </w:r>
            <w:r w:rsidRPr="00687B52">
              <w:rPr>
                <w:rFonts w:hint="eastAsia"/>
                <w:color w:val="000000" w:themeColor="text1"/>
              </w:rPr>
              <w:t>条、</w:t>
            </w:r>
            <w:r w:rsidRPr="00687B52">
              <w:rPr>
                <w:rFonts w:hint="eastAsia"/>
                <w:color w:val="000000" w:themeColor="text1"/>
              </w:rPr>
              <w:t>F.0.1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hAnsi="Times New Roman"/>
                <w:color w:val="000000" w:themeColor="text1"/>
              </w:rPr>
            </w:pPr>
            <w:r w:rsidRPr="00687B52">
              <w:rPr>
                <w:rFonts w:hAnsi="Times New Roman" w:hint="eastAsia"/>
                <w:color w:val="000000" w:themeColor="text1"/>
              </w:rPr>
              <w:t>埋地输油管道沿线在河流大型穿跨越及饮用水水源保护区两端应设置线路截断阀。在人口密集区管段或根据地形条件认为需要截断处，宜设置线路截断阀。需防止油品倒流的部位应安装能通过清管器的止回阀。</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color w:val="000000" w:themeColor="text1"/>
              </w:rPr>
              <w:t>GB50</w:t>
            </w:r>
            <w:r w:rsidRPr="00687B52">
              <w:rPr>
                <w:rFonts w:hint="eastAsia"/>
                <w:color w:val="000000" w:themeColor="text1"/>
              </w:rPr>
              <w:t>253</w:t>
            </w:r>
            <w:r w:rsidRPr="00687B52">
              <w:rPr>
                <w:color w:val="000000" w:themeColor="text1"/>
              </w:rPr>
              <w:t>-20</w:t>
            </w:r>
            <w:r w:rsidRPr="00687B52">
              <w:rPr>
                <w:rFonts w:hint="eastAsia"/>
                <w:color w:val="000000" w:themeColor="text1"/>
              </w:rPr>
              <w:t>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4.4.4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hAnsi="Times New Roman"/>
                <w:color w:val="000000" w:themeColor="text1"/>
              </w:rPr>
            </w:pPr>
            <w:r w:rsidRPr="00687B52">
              <w:rPr>
                <w:rFonts w:hAnsi="Times New Roman" w:hint="eastAsia"/>
                <w:color w:val="000000" w:themeColor="text1"/>
              </w:rPr>
              <w:t>截断阀应设置在交通便利、地形开阔、地势较高、检修方便，且不易受地质灾害及洪水影响的地方。</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color w:val="000000" w:themeColor="text1"/>
              </w:rPr>
              <w:t>GB50</w:t>
            </w:r>
            <w:r w:rsidRPr="00687B52">
              <w:rPr>
                <w:rFonts w:hint="eastAsia"/>
                <w:color w:val="000000" w:themeColor="text1"/>
              </w:rPr>
              <w:t>253</w:t>
            </w:r>
            <w:r w:rsidRPr="00687B52">
              <w:rPr>
                <w:color w:val="000000" w:themeColor="text1"/>
              </w:rPr>
              <w:t>-20</w:t>
            </w:r>
            <w:r w:rsidRPr="00687B52">
              <w:rPr>
                <w:rFonts w:hint="eastAsia"/>
                <w:color w:val="000000" w:themeColor="text1"/>
              </w:rPr>
              <w:t>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4.4.5</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hAnsi="Times New Roman"/>
                <w:color w:val="000000" w:themeColor="text1"/>
              </w:rPr>
            </w:pPr>
            <w:r w:rsidRPr="00687B52">
              <w:rPr>
                <w:rFonts w:hAnsi="Times New Roman" w:hint="eastAsia"/>
                <w:color w:val="000000" w:themeColor="text1"/>
              </w:rPr>
              <w:t>线路截断阀应能通过清管器和管道内检测仪。</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color w:val="000000" w:themeColor="text1"/>
              </w:rPr>
              <w:t>GB50</w:t>
            </w:r>
            <w:r w:rsidRPr="00687B52">
              <w:rPr>
                <w:rFonts w:hint="eastAsia"/>
                <w:color w:val="000000" w:themeColor="text1"/>
              </w:rPr>
              <w:t>253</w:t>
            </w:r>
            <w:r w:rsidRPr="00687B52">
              <w:rPr>
                <w:color w:val="000000" w:themeColor="text1"/>
              </w:rPr>
              <w:t>-20</w:t>
            </w:r>
            <w:r w:rsidRPr="00687B52">
              <w:rPr>
                <w:rFonts w:hint="eastAsia"/>
                <w:color w:val="000000" w:themeColor="text1"/>
              </w:rPr>
              <w:t>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4.4.6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hAnsi="Times New Roman"/>
                <w:color w:val="000000" w:themeColor="text1"/>
              </w:rPr>
            </w:pPr>
            <w:r w:rsidRPr="00687B52">
              <w:rPr>
                <w:rFonts w:hAnsi="Times New Roman" w:hint="eastAsia"/>
                <w:color w:val="000000" w:themeColor="text1"/>
              </w:rPr>
              <w:t>管道沿线应设置里程桩、标志桩、转角桩、阴极保护测试桩和警示牌等永久性标志。</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color w:val="000000" w:themeColor="text1"/>
              </w:rPr>
              <w:t>GB50</w:t>
            </w:r>
            <w:r w:rsidRPr="00687B52">
              <w:rPr>
                <w:rFonts w:hint="eastAsia"/>
                <w:color w:val="000000" w:themeColor="text1"/>
              </w:rPr>
              <w:t>253</w:t>
            </w:r>
            <w:r w:rsidRPr="00687B52">
              <w:rPr>
                <w:color w:val="000000" w:themeColor="text1"/>
              </w:rPr>
              <w:t>-20</w:t>
            </w:r>
            <w:r w:rsidRPr="00687B52">
              <w:rPr>
                <w:rFonts w:hint="eastAsia"/>
                <w:color w:val="000000" w:themeColor="text1"/>
              </w:rPr>
              <w:t>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4.6.1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hAnsi="Times New Roman"/>
                <w:color w:val="000000" w:themeColor="text1"/>
              </w:rPr>
            </w:pPr>
            <w:r w:rsidRPr="00687B52">
              <w:rPr>
                <w:rFonts w:hAnsi="Times New Roman" w:hint="eastAsia"/>
                <w:color w:val="000000" w:themeColor="text1"/>
              </w:rPr>
              <w:t>里程桩应沿管线从起点至终点，每隔</w:t>
            </w:r>
            <w:r w:rsidRPr="00687B52">
              <w:rPr>
                <w:rFonts w:hAnsi="Times New Roman" w:hint="eastAsia"/>
                <w:color w:val="000000" w:themeColor="text1"/>
              </w:rPr>
              <w:t>1km</w:t>
            </w:r>
            <w:r w:rsidRPr="00687B52">
              <w:rPr>
                <w:rFonts w:hAnsi="Times New Roman" w:hint="eastAsia"/>
                <w:color w:val="000000" w:themeColor="text1"/>
              </w:rPr>
              <w:t>至少设置</w:t>
            </w:r>
            <w:r w:rsidRPr="00687B52">
              <w:rPr>
                <w:rFonts w:hAnsi="Times New Roman" w:hint="eastAsia"/>
                <w:color w:val="000000" w:themeColor="text1"/>
              </w:rPr>
              <w:t>1</w:t>
            </w:r>
            <w:r w:rsidRPr="00687B52">
              <w:rPr>
                <w:rFonts w:hAnsi="Times New Roman" w:hint="eastAsia"/>
                <w:color w:val="000000" w:themeColor="text1"/>
              </w:rPr>
              <w:t>个。阴极保护测试桩可同里程桩合并设置。</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color w:val="000000" w:themeColor="text1"/>
              </w:rPr>
              <w:t>GB50</w:t>
            </w:r>
            <w:r w:rsidRPr="00687B52">
              <w:rPr>
                <w:rFonts w:hint="eastAsia"/>
                <w:color w:val="000000" w:themeColor="text1"/>
              </w:rPr>
              <w:t>253</w:t>
            </w:r>
            <w:r w:rsidRPr="00687B52">
              <w:rPr>
                <w:color w:val="000000" w:themeColor="text1"/>
              </w:rPr>
              <w:t>-20</w:t>
            </w:r>
            <w:r w:rsidRPr="00687B52">
              <w:rPr>
                <w:rFonts w:hint="eastAsia"/>
                <w:color w:val="000000" w:themeColor="text1"/>
              </w:rPr>
              <w:t>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4.6.2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hAnsi="Times New Roman"/>
                <w:color w:val="000000" w:themeColor="text1"/>
              </w:rPr>
            </w:pPr>
            <w:r w:rsidRPr="00687B52">
              <w:rPr>
                <w:rFonts w:hAnsi="Times New Roman" w:hint="eastAsia"/>
                <w:color w:val="000000" w:themeColor="text1"/>
              </w:rPr>
              <w:t>在管道平面改变方向时应设置水平转角桩。转角桩宜设置在折转管道中心线上方。</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color w:val="000000" w:themeColor="text1"/>
              </w:rPr>
              <w:t>GB50</w:t>
            </w:r>
            <w:r w:rsidRPr="00687B52">
              <w:rPr>
                <w:rFonts w:hint="eastAsia"/>
                <w:color w:val="000000" w:themeColor="text1"/>
              </w:rPr>
              <w:t>253</w:t>
            </w:r>
            <w:r w:rsidRPr="00687B52">
              <w:rPr>
                <w:color w:val="000000" w:themeColor="text1"/>
              </w:rPr>
              <w:t>-20</w:t>
            </w:r>
            <w:r w:rsidRPr="00687B52">
              <w:rPr>
                <w:rFonts w:hint="eastAsia"/>
                <w:color w:val="000000" w:themeColor="text1"/>
              </w:rPr>
              <w:t>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4.6.3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hAnsi="Times New Roman"/>
                <w:color w:val="000000" w:themeColor="text1"/>
              </w:rPr>
            </w:pPr>
            <w:r w:rsidRPr="00687B52">
              <w:rPr>
                <w:rFonts w:hAnsi="Times New Roman" w:hint="eastAsia"/>
                <w:color w:val="000000" w:themeColor="text1"/>
              </w:rPr>
              <w:t>管道穿跨越人工或天然障碍物时，应在穿跨越处两侧及地下建（构）筑物附近设置标志桩。通航河流上的穿跨越工程，应在最高通航水位和常水位两岸岸边明显位置设置警示牌。</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color w:val="000000" w:themeColor="text1"/>
              </w:rPr>
              <w:t>GB50</w:t>
            </w:r>
            <w:r w:rsidRPr="00687B52">
              <w:rPr>
                <w:rFonts w:hint="eastAsia"/>
                <w:color w:val="000000" w:themeColor="text1"/>
              </w:rPr>
              <w:t>253</w:t>
            </w:r>
            <w:r w:rsidRPr="00687B52">
              <w:rPr>
                <w:color w:val="000000" w:themeColor="text1"/>
              </w:rPr>
              <w:t>-20</w:t>
            </w:r>
            <w:r w:rsidRPr="00687B52">
              <w:rPr>
                <w:rFonts w:hint="eastAsia"/>
                <w:color w:val="000000" w:themeColor="text1"/>
              </w:rPr>
              <w:t>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4.6.4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hAnsi="Times New Roman"/>
                <w:color w:val="000000" w:themeColor="text1"/>
              </w:rPr>
            </w:pPr>
            <w:r w:rsidRPr="00687B52">
              <w:rPr>
                <w:rFonts w:hAnsi="Times New Roman" w:hint="eastAsia"/>
                <w:color w:val="000000" w:themeColor="text1"/>
              </w:rPr>
              <w:t>当管道采用地上敷设时，应在行人较多和易遭车辆碰撞的地方，设置标志并采取保护措施。标志应采用具有反光功能的涂料涂刷。</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color w:val="000000" w:themeColor="text1"/>
              </w:rPr>
              <w:t>GB50</w:t>
            </w:r>
            <w:r w:rsidRPr="00687B52">
              <w:rPr>
                <w:rFonts w:hint="eastAsia"/>
                <w:color w:val="000000" w:themeColor="text1"/>
              </w:rPr>
              <w:t>253</w:t>
            </w:r>
            <w:r w:rsidRPr="00687B52">
              <w:rPr>
                <w:color w:val="000000" w:themeColor="text1"/>
              </w:rPr>
              <w:t>-20</w:t>
            </w:r>
            <w:r w:rsidRPr="00687B52">
              <w:rPr>
                <w:rFonts w:hint="eastAsia"/>
                <w:color w:val="000000" w:themeColor="text1"/>
              </w:rPr>
              <w:t>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4.6.5</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hAnsi="Times New Roman"/>
                <w:color w:val="000000" w:themeColor="text1"/>
              </w:rPr>
            </w:pPr>
            <w:r w:rsidRPr="00687B52">
              <w:rPr>
                <w:rFonts w:hAnsi="Times New Roman" w:hint="eastAsia"/>
                <w:color w:val="000000" w:themeColor="text1"/>
              </w:rPr>
              <w:t>埋地管道通过人口密集区、有工程建设活动可能和易遭受挖掘等第三方破坏的地段应设置警示牌，并宜在埋地管道上方埋设管道警示带。</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color w:val="000000" w:themeColor="text1"/>
              </w:rPr>
              <w:t>GB50</w:t>
            </w:r>
            <w:r w:rsidRPr="00687B52">
              <w:rPr>
                <w:rFonts w:hint="eastAsia"/>
                <w:color w:val="000000" w:themeColor="text1"/>
              </w:rPr>
              <w:t>253</w:t>
            </w:r>
            <w:r w:rsidRPr="00687B52">
              <w:rPr>
                <w:color w:val="000000" w:themeColor="text1"/>
              </w:rPr>
              <w:t>-20</w:t>
            </w:r>
            <w:r w:rsidRPr="00687B52">
              <w:rPr>
                <w:rFonts w:hint="eastAsia"/>
                <w:color w:val="000000" w:themeColor="text1"/>
              </w:rPr>
              <w:t>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4.6.6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hAnsi="Times New Roman"/>
                <w:color w:val="000000" w:themeColor="text1"/>
              </w:rPr>
            </w:pPr>
            <w:r w:rsidRPr="00687B52">
              <w:rPr>
                <w:rFonts w:hAnsi="Times New Roman" w:hint="eastAsia"/>
                <w:color w:val="000000" w:themeColor="text1"/>
              </w:rPr>
              <w:t>管道通过以下地段时应设置水工保护措施：</w:t>
            </w:r>
            <w:r w:rsidRPr="00687B52">
              <w:rPr>
                <w:rFonts w:hAnsi="Times New Roman" w:hint="eastAsia"/>
                <w:color w:val="000000" w:themeColor="text1"/>
              </w:rPr>
              <w:t>1</w:t>
            </w:r>
            <w:r w:rsidRPr="00687B52">
              <w:rPr>
                <w:rFonts w:hAnsi="Times New Roman" w:hint="eastAsia"/>
                <w:color w:val="000000" w:themeColor="text1"/>
              </w:rPr>
              <w:t>）采用开挖方式穿越河流、沟渠段；</w:t>
            </w:r>
            <w:r w:rsidRPr="00687B52">
              <w:rPr>
                <w:rFonts w:hAnsi="Times New Roman" w:hint="eastAsia"/>
                <w:color w:val="000000" w:themeColor="text1"/>
              </w:rPr>
              <w:t>2</w:t>
            </w:r>
            <w:r w:rsidRPr="00687B52">
              <w:rPr>
                <w:rFonts w:hAnsi="Times New Roman" w:hint="eastAsia"/>
                <w:color w:val="000000" w:themeColor="text1"/>
              </w:rPr>
              <w:t>）顺坡敷设和沿横披敷设段；</w:t>
            </w:r>
            <w:r w:rsidRPr="00687B52">
              <w:rPr>
                <w:rFonts w:hAnsi="Times New Roman" w:hint="eastAsia"/>
                <w:color w:val="000000" w:themeColor="text1"/>
              </w:rPr>
              <w:t>3</w:t>
            </w:r>
            <w:r w:rsidRPr="00687B52">
              <w:rPr>
                <w:rFonts w:hAnsi="Times New Roman" w:hint="eastAsia"/>
                <w:color w:val="000000" w:themeColor="text1"/>
              </w:rPr>
              <w:t>）通过田坎、地坎段；</w:t>
            </w:r>
            <w:r w:rsidRPr="00687B52">
              <w:rPr>
                <w:rFonts w:hAnsi="Times New Roman" w:hint="eastAsia"/>
                <w:color w:val="000000" w:themeColor="text1"/>
              </w:rPr>
              <w:t>4</w:t>
            </w:r>
            <w:r w:rsidRPr="00687B52">
              <w:rPr>
                <w:rFonts w:hAnsi="Times New Roman" w:hint="eastAsia"/>
                <w:color w:val="000000" w:themeColor="text1"/>
              </w:rPr>
              <w:t>）通过不稳定边坡和危岩段。</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color w:val="000000" w:themeColor="text1"/>
              </w:rPr>
              <w:t>GB50</w:t>
            </w:r>
            <w:r w:rsidRPr="00687B52">
              <w:rPr>
                <w:rFonts w:hint="eastAsia"/>
                <w:color w:val="000000" w:themeColor="text1"/>
              </w:rPr>
              <w:t>253</w:t>
            </w:r>
            <w:r w:rsidRPr="00687B52">
              <w:rPr>
                <w:color w:val="000000" w:themeColor="text1"/>
              </w:rPr>
              <w:t>-20</w:t>
            </w:r>
            <w:r w:rsidRPr="00687B52">
              <w:rPr>
                <w:rFonts w:hint="eastAsia"/>
                <w:color w:val="000000" w:themeColor="text1"/>
              </w:rPr>
              <w:t>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4.7.1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管道附件和其他钢管材料应采用镇静钢。</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5.3.3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冷弯管的任何部位不得出现明显褶皱、裂纹及其他机械损伤。</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5.4.13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5"/>
              </w:numPr>
              <w:rPr>
                <w:rFonts w:asciiTheme="minorEastAsia" w:eastAsiaTheme="minorEastAsia" w:hAnsiTheme="minorEastAsia"/>
                <w:b/>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输油管道必须进行强度试压和严密性试压。</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9.2.1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4"/>
              </w:numPr>
              <w:rPr>
                <w:b/>
                <w:color w:val="000000" w:themeColor="text1"/>
              </w:rPr>
            </w:pPr>
          </w:p>
        </w:tc>
        <w:tc>
          <w:tcPr>
            <w:tcW w:w="2750" w:type="pct"/>
            <w:vAlign w:val="center"/>
          </w:tcPr>
          <w:p w:rsidR="000E02C5" w:rsidRPr="00687B52" w:rsidRDefault="000E02C5" w:rsidP="00B527D4">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输气（</w:t>
            </w:r>
            <w:r w:rsidRPr="00687B52">
              <w:rPr>
                <w:rFonts w:asciiTheme="minorEastAsia" w:hAnsiTheme="minorEastAsia" w:hint="eastAsia"/>
                <w:b/>
                <w:color w:val="000000" w:themeColor="text1"/>
              </w:rPr>
              <w:t>天然气、煤层气和煤质天然气</w:t>
            </w:r>
            <w:r w:rsidRPr="00687B52">
              <w:rPr>
                <w:rFonts w:asciiTheme="minorEastAsia" w:eastAsiaTheme="minorEastAsia" w:hAnsiTheme="minorEastAsia" w:hint="eastAsia"/>
                <w:b/>
                <w:color w:val="000000" w:themeColor="text1"/>
                <w:szCs w:val="24"/>
              </w:rPr>
              <w:t>）管道</w:t>
            </w:r>
          </w:p>
        </w:tc>
        <w:tc>
          <w:tcPr>
            <w:tcW w:w="930" w:type="pct"/>
            <w:vAlign w:val="center"/>
          </w:tcPr>
          <w:p w:rsidR="000E02C5" w:rsidRPr="00687B52" w:rsidRDefault="000E02C5" w:rsidP="00B527D4">
            <w:pPr>
              <w:pStyle w:val="a7"/>
              <w:rPr>
                <w:color w:val="000000" w:themeColor="text1"/>
              </w:rPr>
            </w:pP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进入输气管道的气体应符合系列规定：</w:t>
            </w:r>
          </w:p>
          <w:p w:rsidR="000E02C5" w:rsidRPr="00687B52" w:rsidRDefault="000E02C5" w:rsidP="00B527D4">
            <w:pPr>
              <w:pStyle w:val="a7"/>
              <w:jc w:val="left"/>
              <w:rPr>
                <w:color w:val="000000" w:themeColor="text1"/>
              </w:rPr>
            </w:pPr>
            <w:r w:rsidRPr="00687B52">
              <w:rPr>
                <w:rFonts w:hint="eastAsia"/>
                <w:color w:val="000000" w:themeColor="text1"/>
              </w:rPr>
              <w:t>①应清除机械杂质；</w:t>
            </w:r>
          </w:p>
          <w:p w:rsidR="000E02C5" w:rsidRPr="00687B52" w:rsidRDefault="000E02C5" w:rsidP="00B527D4">
            <w:pPr>
              <w:pStyle w:val="a7"/>
              <w:jc w:val="left"/>
              <w:rPr>
                <w:color w:val="000000" w:themeColor="text1"/>
              </w:rPr>
            </w:pPr>
            <w:r w:rsidRPr="00687B52">
              <w:rPr>
                <w:rFonts w:hint="eastAsia"/>
                <w:color w:val="000000" w:themeColor="text1"/>
              </w:rPr>
              <w:t>②水露点应比输送条件下最低环境温度低</w:t>
            </w:r>
            <w:r w:rsidRPr="00687B52">
              <w:rPr>
                <w:rFonts w:hint="eastAsia"/>
                <w:color w:val="000000" w:themeColor="text1"/>
              </w:rPr>
              <w:t>5</w:t>
            </w:r>
            <w:r w:rsidRPr="00687B52">
              <w:rPr>
                <w:rFonts w:hint="eastAsia"/>
                <w:color w:val="000000" w:themeColor="text1"/>
              </w:rPr>
              <w:t>℃；</w:t>
            </w:r>
          </w:p>
          <w:p w:rsidR="000E02C5" w:rsidRPr="00687B52" w:rsidRDefault="000E02C5" w:rsidP="00B527D4">
            <w:pPr>
              <w:pStyle w:val="a7"/>
              <w:jc w:val="left"/>
              <w:rPr>
                <w:color w:val="000000" w:themeColor="text1"/>
              </w:rPr>
            </w:pPr>
            <w:r w:rsidRPr="00687B52">
              <w:rPr>
                <w:rFonts w:hint="eastAsia"/>
                <w:color w:val="000000" w:themeColor="text1"/>
              </w:rPr>
              <w:t>③烃露点应低于最低环境温度；</w:t>
            </w:r>
          </w:p>
          <w:p w:rsidR="000E02C5" w:rsidRPr="00687B52" w:rsidRDefault="000E02C5" w:rsidP="00B527D4">
            <w:pPr>
              <w:pStyle w:val="a7"/>
              <w:jc w:val="left"/>
              <w:rPr>
                <w:color w:val="000000" w:themeColor="text1"/>
              </w:rPr>
            </w:pPr>
            <w:r w:rsidRPr="00687B52">
              <w:rPr>
                <w:rFonts w:hint="eastAsia"/>
                <w:color w:val="000000" w:themeColor="text1"/>
              </w:rPr>
              <w:t>④气体中硫化氢含量不应大于</w:t>
            </w:r>
            <w:r w:rsidRPr="00687B52">
              <w:rPr>
                <w:rFonts w:hint="eastAsia"/>
                <w:color w:val="000000" w:themeColor="text1"/>
              </w:rPr>
              <w:t>20mg/m</w:t>
            </w:r>
            <w:r w:rsidRPr="00687B52">
              <w:rPr>
                <w:rFonts w:hint="eastAsia"/>
                <w:color w:val="000000" w:themeColor="text1"/>
                <w:vertAlign w:val="superscript"/>
              </w:rPr>
              <w:t>3</w:t>
            </w:r>
            <w:r w:rsidRPr="00687B52">
              <w:rPr>
                <w:rFonts w:hint="eastAsia"/>
                <w:color w:val="000000" w:themeColor="text1"/>
              </w:rPr>
              <w:t>；</w:t>
            </w:r>
          </w:p>
          <w:p w:rsidR="000E02C5" w:rsidRPr="00687B52" w:rsidRDefault="000E02C5" w:rsidP="00B527D4">
            <w:pPr>
              <w:pStyle w:val="a7"/>
              <w:jc w:val="left"/>
              <w:rPr>
                <w:color w:val="000000" w:themeColor="text1"/>
              </w:rPr>
            </w:pPr>
            <w:r w:rsidRPr="00687B52">
              <w:rPr>
                <w:rFonts w:hint="eastAsia"/>
                <w:color w:val="000000" w:themeColor="text1"/>
              </w:rPr>
              <w:t>⑤二氧化碳含量不应大于</w:t>
            </w:r>
            <w:r w:rsidRPr="00687B52">
              <w:rPr>
                <w:rFonts w:hint="eastAsia"/>
                <w:color w:val="000000" w:themeColor="text1"/>
              </w:rPr>
              <w:t>3%</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3.1.2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进、出输气站的输气管道必须设置截断阀。</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3.2.9</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输气管道相邻线路截断阀（室）之间的管线上应设置放空阀，并应结合建设环境可设置放空立管或预留引接放空管线的法兰接口。放空阀直径与放空阀直径应相等。</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3.4.2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存在超压的管道、设备和容器，必须设置安全阀或压力控制设施。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3.4.3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放空的气体应安全排入大气。</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3.4.6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输气站放空设计应符合下列规定：</w:t>
            </w:r>
          </w:p>
          <w:p w:rsidR="000E02C5" w:rsidRPr="00687B52" w:rsidRDefault="000E02C5" w:rsidP="00B527D4">
            <w:pPr>
              <w:pStyle w:val="a7"/>
              <w:jc w:val="left"/>
              <w:rPr>
                <w:color w:val="000000" w:themeColor="text1"/>
              </w:rPr>
            </w:pPr>
            <w:r w:rsidRPr="00687B52">
              <w:rPr>
                <w:rFonts w:hint="eastAsia"/>
                <w:color w:val="000000" w:themeColor="text1"/>
              </w:rPr>
              <w:t>①输气站应设放空立管，需要时还可设放散管；</w:t>
            </w:r>
          </w:p>
          <w:p w:rsidR="000E02C5" w:rsidRPr="00687B52" w:rsidRDefault="000E02C5" w:rsidP="00B527D4">
            <w:pPr>
              <w:pStyle w:val="a7"/>
              <w:jc w:val="left"/>
              <w:rPr>
                <w:color w:val="000000" w:themeColor="text1"/>
              </w:rPr>
            </w:pPr>
            <w:r w:rsidRPr="00687B52">
              <w:rPr>
                <w:rFonts w:hint="eastAsia"/>
                <w:color w:val="000000" w:themeColor="text1"/>
              </w:rPr>
              <w:t>②输气站天然气宜经放立管集中排放，也可分区排放，高、低压放空管线应分别设置，不同排放压力的天然气放空管线汇入同一排放系统时，应确保不同压力的放空点能同时畅通排放；</w:t>
            </w:r>
          </w:p>
          <w:p w:rsidR="000E02C5" w:rsidRPr="00687B52" w:rsidRDefault="000E02C5" w:rsidP="00B527D4">
            <w:pPr>
              <w:pStyle w:val="a7"/>
              <w:jc w:val="left"/>
              <w:rPr>
                <w:color w:val="000000" w:themeColor="text1"/>
              </w:rPr>
            </w:pPr>
            <w:r w:rsidRPr="00687B52">
              <w:rPr>
                <w:rFonts w:hint="eastAsia"/>
                <w:color w:val="000000" w:themeColor="text1"/>
              </w:rPr>
              <w:t>③当输气站设置紧急放空系统时，设计应满足在</w:t>
            </w:r>
            <w:r w:rsidRPr="00687B52">
              <w:rPr>
                <w:rFonts w:hint="eastAsia"/>
                <w:color w:val="000000" w:themeColor="text1"/>
              </w:rPr>
              <w:t>15min</w:t>
            </w:r>
            <w:r w:rsidRPr="00687B52">
              <w:rPr>
                <w:rFonts w:hint="eastAsia"/>
                <w:color w:val="000000" w:themeColor="text1"/>
              </w:rPr>
              <w:t>内将站内设备及管道内压力从最初的压力降到设计压力的</w:t>
            </w:r>
            <w:r w:rsidRPr="00687B52">
              <w:rPr>
                <w:rFonts w:hint="eastAsia"/>
                <w:color w:val="000000" w:themeColor="text1"/>
              </w:rPr>
              <w:t>50%</w:t>
            </w:r>
            <w:r w:rsidRPr="00687B52">
              <w:rPr>
                <w:rFonts w:hint="eastAsia"/>
                <w:color w:val="000000" w:themeColor="text1"/>
              </w:rPr>
              <w:t>；</w:t>
            </w:r>
          </w:p>
          <w:p w:rsidR="000E02C5" w:rsidRPr="00687B52" w:rsidRDefault="000E02C5" w:rsidP="00B527D4">
            <w:pPr>
              <w:pStyle w:val="a7"/>
              <w:jc w:val="left"/>
              <w:rPr>
                <w:color w:val="000000" w:themeColor="text1"/>
              </w:rPr>
            </w:pPr>
            <w:r w:rsidRPr="00687B52">
              <w:rPr>
                <w:rFonts w:hint="eastAsia"/>
                <w:color w:val="000000" w:themeColor="text1"/>
              </w:rPr>
              <w:t>④从放空阀门排气口至放空设施的接入点之间的放空管线，用管的规格不应缩径。</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3.4.7</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阀室放空设计应符合下列规定：</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①阀室宜设置放空立管，室内安装的截断阀的放散管应引至室外；</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②不设放空立管的阀室应设放空阀或预留引接放空管线的法兰接口；③阀室周围环境不具备天然气放空条件时，可不设放空立管，该阀室上下游管段内的天然气应由相邻的阀室或相邻输气站放空。</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3.4.8</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放空立管和放散管的设计应符合下列规定：</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①放空立管直径应满足设计最大放空量的要求；</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②放空立管和放散管的顶端不应装设弯管；</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③放空立管和放散管因有稳管加固措施；</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④放空立管底部宜有排除积水的措施；</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⑤放空立管和放散管设置的位置应能方便运行操作和维护。</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3.4.9</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输气管道应采用埋地方式敷设，特殊地段可采用土堤或地面形式敷设。</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4.3.1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农耕区及其他植被区的管沟开挖，应将表层耕（腐）质土和下层土分别堆放，管沟回填时应将层耕（腐）质土回填到表层。</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4.3.6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不应采用有环向焊缝的钢管制作热煨弯管。</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4.3.14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弹性敷设的输气管道与相邻的反向弹性弯管之间及弹性弯管和人工弯管之间，应采用直管段连接，直管段长度不应小于管子外径值，且不应小于</w:t>
            </w:r>
            <w:r w:rsidRPr="00687B52">
              <w:rPr>
                <w:rFonts w:hint="eastAsia"/>
                <w:color w:val="000000" w:themeColor="text1"/>
              </w:rPr>
              <w:t>500mm</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4.3.15</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弯管不得使用褶皱弯或虾米弯弯管代替。管子对接偏差不应大于</w:t>
            </w:r>
            <w:r w:rsidRPr="00687B52">
              <w:rPr>
                <w:rFonts w:hint="eastAsia"/>
                <w:color w:val="000000" w:themeColor="text1"/>
              </w:rPr>
              <w:t>3</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4.3.16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采取锚固墩作为稳定管道的措施时，管道与锚固墩之间应有良好的电绝缘。</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4.3.17</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线路截断阀及与输气管线连通的第一个其他阀门应采用焊接连接阀门；截断阀可采用自动或手动阀门，并应能通过清管器或检测仪器，采用自动阀时，应同时具有手动操作功能。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4.5.3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截断阀可安装在地面上或埋地。截断阀及其辅助工艺管道应采取稳固措施。截断阀及其配套设施宜采用围挡或围墙进行保护。</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4.5.4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输气管道应采用外防腐层加阴极保护的联合防护措施。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4.6.1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阴极保护管道应与非保护构筑物电绝缘。在绝缘接头或绝缘法兰的连接设施尚应设置防高压电涌冲击的保护措施。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4.6.4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地面以上敷设的管道如需保温时，应采用防腐层进行防腐。</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4.6.8</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管道沿线应设置里程桩、转角桩、标志桩、交叉桩和警示牌等永久性标识。</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4.8.1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管径相同且并行净距小于</w:t>
            </w:r>
            <w:r w:rsidRPr="00687B52">
              <w:rPr>
                <w:rFonts w:hint="eastAsia"/>
                <w:color w:val="000000" w:themeColor="text1"/>
              </w:rPr>
              <w:t>6m</w:t>
            </w:r>
            <w:r w:rsidRPr="00687B52">
              <w:rPr>
                <w:rFonts w:hint="eastAsia"/>
                <w:color w:val="000000" w:themeColor="text1"/>
              </w:rPr>
              <w:t>的埋地管道，以及管径相同共用隧道、涵洞或共用管桥跨越的管道，应有可明显区分识别的标识。</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4.8.2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通过人口密集区、易受第三方损坏地段的埋地管道应加密设置标识桩和警示牌，并应在管顶上方连续埋设警示带。</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4.8.3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平面改变方向一次转角大于</w:t>
            </w:r>
            <w:r w:rsidRPr="00687B52">
              <w:rPr>
                <w:rFonts w:hint="eastAsia"/>
                <w:color w:val="000000" w:themeColor="text1"/>
              </w:rPr>
              <w:t>5</w:t>
            </w:r>
            <w:r w:rsidRPr="00687B52">
              <w:rPr>
                <w:rFonts w:hint="eastAsia"/>
                <w:color w:val="000000" w:themeColor="text1"/>
              </w:rPr>
              <w:t>°时，应设置转角桩。平面上弹性敷设的管道，应在弹性敷设段设置加密标识桩。</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4.8.4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地面敷设的管段应设警示牌并采取保护措施。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4.8.5</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输气管道的最小管壁厚度不应小于</w:t>
            </w:r>
            <w:r w:rsidRPr="00687B52">
              <w:rPr>
                <w:rFonts w:hint="eastAsia"/>
                <w:color w:val="000000" w:themeColor="text1"/>
              </w:rPr>
              <w:t>4.5mm</w:t>
            </w:r>
            <w:r w:rsidRPr="00687B52">
              <w:rPr>
                <w:rFonts w:hint="eastAsia"/>
                <w:color w:val="000000" w:themeColor="text1"/>
              </w:rPr>
              <w:t>，钢管外径与壁厚之比不应大于</w:t>
            </w:r>
            <w:r w:rsidRPr="00687B52">
              <w:rPr>
                <w:rFonts w:hint="eastAsia"/>
                <w:color w:val="000000" w:themeColor="text1"/>
              </w:rPr>
              <w:t>100</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5.1.3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钢级不明的材料不应用于管道及其管道附件制作。铸铁和铸钢不应用于制造管件。</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5.2.4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在防爆区内使用的阀门，应具有耐火性能。防爆区采用的设备应具有相应的防爆等级。</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5.3.8</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需要通过清管器和检测仪器的阀门，应选用全通径阀门。</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5.3.9</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输气管道严密性试验应符合下列规定：</w:t>
            </w:r>
          </w:p>
          <w:p w:rsidR="000E02C5" w:rsidRPr="00687B52" w:rsidRDefault="000E02C5" w:rsidP="00B527D4">
            <w:pPr>
              <w:pStyle w:val="a7"/>
              <w:jc w:val="left"/>
              <w:rPr>
                <w:color w:val="000000" w:themeColor="text1"/>
              </w:rPr>
            </w:pPr>
            <w:r w:rsidRPr="00687B52">
              <w:rPr>
                <w:rFonts w:hint="eastAsia"/>
                <w:color w:val="000000" w:themeColor="text1"/>
              </w:rPr>
              <w:t>①严密性试验应在强度试验合格后进行；</w:t>
            </w:r>
          </w:p>
          <w:p w:rsidR="000E02C5" w:rsidRPr="00687B52" w:rsidRDefault="000E02C5" w:rsidP="00B527D4">
            <w:pPr>
              <w:pStyle w:val="a7"/>
              <w:jc w:val="left"/>
              <w:rPr>
                <w:color w:val="000000" w:themeColor="text1"/>
              </w:rPr>
            </w:pPr>
            <w:r w:rsidRPr="00687B52">
              <w:rPr>
                <w:rFonts w:hint="eastAsia"/>
                <w:color w:val="000000" w:themeColor="text1"/>
              </w:rPr>
              <w:t>②线路管道和阀室严密性试验饥可用水或气体作试验介质，宜与强度试验介质相同；</w:t>
            </w:r>
          </w:p>
          <w:p w:rsidR="000E02C5" w:rsidRPr="00687B52" w:rsidRDefault="000E02C5" w:rsidP="00B527D4">
            <w:pPr>
              <w:pStyle w:val="a7"/>
              <w:jc w:val="left"/>
              <w:rPr>
                <w:color w:val="000000" w:themeColor="text1"/>
              </w:rPr>
            </w:pPr>
            <w:r w:rsidRPr="00687B52">
              <w:rPr>
                <w:rFonts w:hint="eastAsia"/>
                <w:color w:val="000000" w:themeColor="text1"/>
              </w:rPr>
              <w:t>③输气站的严密性试验应采用空气或其他不易燃和无毒的气体作试验介质；</w:t>
            </w:r>
          </w:p>
          <w:p w:rsidR="000E02C5" w:rsidRPr="00687B52" w:rsidRDefault="000E02C5" w:rsidP="00B527D4">
            <w:pPr>
              <w:pStyle w:val="a7"/>
              <w:jc w:val="left"/>
              <w:rPr>
                <w:color w:val="000000" w:themeColor="text1"/>
              </w:rPr>
            </w:pPr>
            <w:r w:rsidRPr="00687B52">
              <w:rPr>
                <w:rFonts w:hint="eastAsia"/>
                <w:color w:val="000000" w:themeColor="text1"/>
              </w:rPr>
              <w:t>④严密性试验压力应为设计压力，并以稳压</w:t>
            </w:r>
            <w:r w:rsidRPr="00687B52">
              <w:rPr>
                <w:rFonts w:hint="eastAsia"/>
                <w:color w:val="000000" w:themeColor="text1"/>
              </w:rPr>
              <w:t>2h</w:t>
            </w:r>
            <w:r w:rsidRPr="00687B52">
              <w:rPr>
                <w:rFonts w:hint="eastAsia"/>
                <w:color w:val="000000" w:themeColor="text1"/>
              </w:rPr>
              <w:t>不泄漏为合格。</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11.2.4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6"/>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输气管道气体置换应符合下列规定：</w:t>
            </w:r>
          </w:p>
          <w:p w:rsidR="000E02C5" w:rsidRPr="00687B52" w:rsidRDefault="000E02C5" w:rsidP="00B527D4">
            <w:pPr>
              <w:pStyle w:val="a7"/>
              <w:jc w:val="left"/>
              <w:rPr>
                <w:color w:val="000000" w:themeColor="text1"/>
              </w:rPr>
            </w:pPr>
            <w:r w:rsidRPr="00687B52">
              <w:rPr>
                <w:rFonts w:hint="eastAsia"/>
                <w:color w:val="000000" w:themeColor="text1"/>
              </w:rPr>
              <w:t>①管道内的气体置换应在干燥结束后或投产前进行，置换过程中的混合气体应集中放空，置换管道末端应用检测仪对气体进行检测；</w:t>
            </w:r>
          </w:p>
          <w:p w:rsidR="000E02C5" w:rsidRPr="00687B52" w:rsidRDefault="000E02C5" w:rsidP="00B527D4">
            <w:pPr>
              <w:pStyle w:val="a7"/>
              <w:jc w:val="left"/>
              <w:rPr>
                <w:color w:val="000000" w:themeColor="text1"/>
              </w:rPr>
            </w:pPr>
            <w:r w:rsidRPr="00687B52">
              <w:rPr>
                <w:rFonts w:hint="eastAsia"/>
                <w:color w:val="000000" w:themeColor="text1"/>
              </w:rPr>
              <w:t>②用天然气推动惰性气体作隔离段置换空气时，隔离气段的长度应保证到达置换管线末端天然气与空气不混合，置换管道末端测得的含氧量不应大于</w:t>
            </w:r>
            <w:r w:rsidRPr="00687B52">
              <w:rPr>
                <w:rFonts w:hint="eastAsia"/>
                <w:color w:val="000000" w:themeColor="text1"/>
              </w:rPr>
              <w:t>2%</w:t>
            </w:r>
            <w:r w:rsidRPr="00687B52">
              <w:rPr>
                <w:rFonts w:hint="eastAsia"/>
                <w:color w:val="000000" w:themeColor="text1"/>
              </w:rPr>
              <w:t>；</w:t>
            </w:r>
          </w:p>
          <w:p w:rsidR="000E02C5" w:rsidRPr="00687B52" w:rsidRDefault="000E02C5" w:rsidP="00B527D4">
            <w:pPr>
              <w:pStyle w:val="a7"/>
              <w:jc w:val="left"/>
              <w:rPr>
                <w:color w:val="000000" w:themeColor="text1"/>
              </w:rPr>
            </w:pPr>
            <w:r w:rsidRPr="00687B52">
              <w:rPr>
                <w:rFonts w:hint="eastAsia"/>
                <w:color w:val="000000" w:themeColor="text1"/>
              </w:rPr>
              <w:t>③用天然气置换管道内惰性气体时，置换管道末端天然气含量不应小于</w:t>
            </w:r>
            <w:r w:rsidRPr="00687B52">
              <w:rPr>
                <w:rFonts w:hint="eastAsia"/>
                <w:color w:val="000000" w:themeColor="text1"/>
              </w:rPr>
              <w:t>80%</w:t>
            </w:r>
          </w:p>
          <w:p w:rsidR="000E02C5" w:rsidRPr="00687B52" w:rsidRDefault="000E02C5" w:rsidP="00B527D4">
            <w:pPr>
              <w:pStyle w:val="a7"/>
              <w:jc w:val="left"/>
              <w:rPr>
                <w:color w:val="000000" w:themeColor="text1"/>
              </w:rPr>
            </w:pPr>
            <w:r w:rsidRPr="00687B52">
              <w:rPr>
                <w:rFonts w:hint="eastAsia"/>
                <w:color w:val="000000" w:themeColor="text1"/>
              </w:rPr>
              <w:t>④置换过程中管内气体流速度不宜大于</w:t>
            </w:r>
            <w:r w:rsidRPr="00687B52">
              <w:rPr>
                <w:rFonts w:hint="eastAsia"/>
                <w:color w:val="000000" w:themeColor="text1"/>
              </w:rPr>
              <w:t>5m/s</w:t>
            </w:r>
            <w:r w:rsidRPr="00687B52">
              <w:rPr>
                <w:rFonts w:hint="eastAsia"/>
                <w:color w:val="000000" w:themeColor="text1"/>
              </w:rPr>
              <w:t>；</w:t>
            </w:r>
          </w:p>
          <w:p w:rsidR="000E02C5" w:rsidRPr="00687B52" w:rsidRDefault="000E02C5" w:rsidP="00B527D4">
            <w:pPr>
              <w:pStyle w:val="a7"/>
              <w:jc w:val="left"/>
              <w:rPr>
                <w:color w:val="000000" w:themeColor="text1"/>
              </w:rPr>
            </w:pPr>
            <w:r w:rsidRPr="00687B52">
              <w:rPr>
                <w:rFonts w:hint="eastAsia"/>
                <w:color w:val="000000" w:themeColor="text1"/>
              </w:rPr>
              <w:t>⑤输气站可结合线路管道一并置换，当输气站单独置换时，应先用惰性气体置换工艺管道及设备内空气，再用天然气置换惰性气体，置换管道末端天然气含量不应小于</w:t>
            </w:r>
            <w:r w:rsidRPr="00687B52">
              <w:rPr>
                <w:rFonts w:hint="eastAsia"/>
                <w:color w:val="000000" w:themeColor="text1"/>
              </w:rPr>
              <w:t>80%</w:t>
            </w:r>
            <w:r w:rsidRPr="00687B52">
              <w:rPr>
                <w:rFonts w:hint="eastAsia"/>
                <w:color w:val="000000" w:themeColor="text1"/>
              </w:rPr>
              <w:t>；</w:t>
            </w:r>
          </w:p>
          <w:p w:rsidR="000E02C5" w:rsidRPr="00687B52" w:rsidRDefault="000E02C5" w:rsidP="00B527D4">
            <w:pPr>
              <w:pStyle w:val="a7"/>
              <w:jc w:val="left"/>
              <w:rPr>
                <w:color w:val="000000" w:themeColor="text1"/>
              </w:rPr>
            </w:pPr>
            <w:r w:rsidRPr="00687B52">
              <w:rPr>
                <w:rFonts w:hint="eastAsia"/>
                <w:color w:val="000000" w:themeColor="text1"/>
              </w:rPr>
              <w:t>6</w:t>
            </w:r>
            <w:r w:rsidRPr="00687B52">
              <w:rPr>
                <w:rFonts w:hint="eastAsia"/>
                <w:color w:val="000000" w:themeColor="text1"/>
              </w:rPr>
              <w:t>）管道干燥结束后，如果不能立即投入运行，宜用干燥氮气置换管内气体，并应保持内压</w:t>
            </w:r>
            <w:r w:rsidRPr="00687B52">
              <w:rPr>
                <w:rFonts w:hint="eastAsia"/>
                <w:color w:val="000000" w:themeColor="text1"/>
              </w:rPr>
              <w:t>0.12MPa~0.15MPa</w:t>
            </w:r>
            <w:r w:rsidRPr="00687B52">
              <w:rPr>
                <w:rFonts w:hint="eastAsia"/>
                <w:color w:val="000000" w:themeColor="text1"/>
              </w:rPr>
              <w:t>（绝）的干燥状态下的密闭封存。</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11.3.2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837BCF" w:rsidP="00B527D4">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3</w:t>
            </w:r>
          </w:p>
        </w:tc>
        <w:tc>
          <w:tcPr>
            <w:tcW w:w="2750" w:type="pct"/>
            <w:vAlign w:val="center"/>
          </w:tcPr>
          <w:p w:rsidR="000E02C5" w:rsidRPr="00687B52" w:rsidRDefault="000E02C5" w:rsidP="00B527D4">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公用工程</w:t>
            </w:r>
          </w:p>
        </w:tc>
        <w:tc>
          <w:tcPr>
            <w:tcW w:w="930" w:type="pct"/>
            <w:vAlign w:val="center"/>
          </w:tcPr>
          <w:p w:rsidR="000E02C5" w:rsidRPr="00687B52" w:rsidRDefault="000E02C5" w:rsidP="00B527D4">
            <w:pPr>
              <w:pStyle w:val="a7"/>
              <w:rPr>
                <w:color w:val="000000" w:themeColor="text1"/>
              </w:rPr>
            </w:pP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B527D4">
            <w:pPr>
              <w:pStyle w:val="a7"/>
              <w:rPr>
                <w:b/>
                <w:color w:val="000000" w:themeColor="text1"/>
              </w:rPr>
            </w:pPr>
            <w:r w:rsidRPr="00687B52">
              <w:rPr>
                <w:rFonts w:hint="eastAsia"/>
                <w:b/>
                <w:color w:val="000000" w:themeColor="text1"/>
              </w:rPr>
              <w:t>3.1</w:t>
            </w:r>
          </w:p>
        </w:tc>
        <w:tc>
          <w:tcPr>
            <w:tcW w:w="2750" w:type="pct"/>
            <w:vAlign w:val="center"/>
          </w:tcPr>
          <w:p w:rsidR="000E02C5" w:rsidRPr="00687B52" w:rsidRDefault="000E02C5" w:rsidP="00B527D4">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站场电气系统</w:t>
            </w:r>
          </w:p>
        </w:tc>
        <w:tc>
          <w:tcPr>
            <w:tcW w:w="930" w:type="pct"/>
            <w:vAlign w:val="center"/>
          </w:tcPr>
          <w:p w:rsidR="000E02C5" w:rsidRPr="00687B52" w:rsidRDefault="000E02C5" w:rsidP="00B527D4">
            <w:pPr>
              <w:pStyle w:val="a7"/>
              <w:rPr>
                <w:color w:val="000000" w:themeColor="text1"/>
              </w:rPr>
            </w:pP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输油站的电力负荷分级应根据输油管道工艺系统的运行要求来确定，并应符合下列规定：</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①加热输送原油管道的首站、设有反输功能的末站、压力或热力不可越站的中间站应为一级负荷；</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②常温输送管道的首站、压力不可越站的泵站宜为一级负荷；</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③减压站宜为一级负荷；</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④其他各类输油站场应为二级负荷；</w:t>
            </w:r>
          </w:p>
          <w:p w:rsidR="000E02C5" w:rsidRPr="00687B52" w:rsidRDefault="000E02C5" w:rsidP="00B527D4">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color w:val="000000" w:themeColor="text1"/>
                <w:szCs w:val="24"/>
              </w:rPr>
              <w:t>⑤线路监控阀室、独立阴极保护站可为三级负荷。</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6.7.1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一级负荷输油站场应有双重电源供电；当条件受限制时，可由当地公共电网同一变电站电气联系相对较弱的两个不同母线段分别引出一个回路供电，供电电源变电站应具备至少两路电源进线和至少两台主变压器。输油站场每一个电源（回路）的容量应满足输油站的全部计算负荷，非受限制区域两路架空供电线路不应同杆架设。</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6.7.2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二级负荷输油站场宜有两回线路供电，两回线路可同杆架设；在负荷较小或地区供电条件困难时，可有一回线路供电，但应设应急电源。</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6.7.3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输油站场中站控制系统、通信系统、紧急截断阀应采用不间断电源（</w:t>
            </w:r>
            <w:r w:rsidRPr="00687B52">
              <w:rPr>
                <w:rFonts w:hint="eastAsia"/>
                <w:color w:val="000000" w:themeColor="text1"/>
              </w:rPr>
              <w:t>UPS</w:t>
            </w:r>
            <w:r w:rsidRPr="00687B52">
              <w:rPr>
                <w:rFonts w:hint="eastAsia"/>
                <w:color w:val="000000" w:themeColor="text1"/>
              </w:rPr>
              <w:t>）供电，蓄电池组的后备时间应满足站控制系统、通信系统及紧急截断阀的后备时间要求，且不宜少于</w:t>
            </w:r>
            <w:r w:rsidRPr="00687B52">
              <w:rPr>
                <w:rFonts w:hint="eastAsia"/>
                <w:color w:val="000000" w:themeColor="text1"/>
              </w:rPr>
              <w:t>2h</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6.7.4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6KV~110KV</w:t>
            </w:r>
            <w:r w:rsidRPr="00687B52">
              <w:rPr>
                <w:rFonts w:hint="eastAsia"/>
                <w:color w:val="000000" w:themeColor="text1"/>
              </w:rPr>
              <w:t>变电所应采用变电站综合自动化系统，实现对变配电系统的保护、数据采集与监控，并应同时备有手动操作功能。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6.7.10</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变电所的电力调度通信应符合下列规定：</w:t>
            </w:r>
          </w:p>
          <w:p w:rsidR="000E02C5" w:rsidRPr="00687B52" w:rsidRDefault="000E02C5" w:rsidP="00B527D4">
            <w:pPr>
              <w:pStyle w:val="a7"/>
              <w:jc w:val="left"/>
              <w:rPr>
                <w:color w:val="000000" w:themeColor="text1"/>
              </w:rPr>
            </w:pPr>
            <w:r w:rsidRPr="00687B52">
              <w:rPr>
                <w:rFonts w:hint="eastAsia"/>
                <w:color w:val="000000" w:themeColor="text1"/>
              </w:rPr>
              <w:t>①应设置输油管道内部通信电话；</w:t>
            </w:r>
          </w:p>
          <w:p w:rsidR="000E02C5" w:rsidRPr="00687B52" w:rsidRDefault="000E02C5" w:rsidP="00B527D4">
            <w:pPr>
              <w:pStyle w:val="a7"/>
              <w:jc w:val="left"/>
              <w:rPr>
                <w:color w:val="000000" w:themeColor="text1"/>
              </w:rPr>
            </w:pPr>
            <w:r w:rsidRPr="00687B52">
              <w:rPr>
                <w:rFonts w:hint="eastAsia"/>
                <w:color w:val="000000" w:themeColor="text1"/>
              </w:rPr>
              <w:t>②应设置与地方供电部门电力调度中心的外部电力调度通信，主、备电力调度通信方式应符合当地电网的要求。</w:t>
            </w:r>
          </w:p>
          <w:p w:rsidR="000E02C5" w:rsidRPr="00687B52" w:rsidRDefault="000E02C5" w:rsidP="00B527D4">
            <w:pPr>
              <w:pStyle w:val="a7"/>
              <w:jc w:val="left"/>
              <w:rPr>
                <w:color w:val="000000" w:themeColor="text1"/>
              </w:rPr>
            </w:pPr>
            <w:r w:rsidRPr="00687B52">
              <w:rPr>
                <w:rFonts w:hint="eastAsia"/>
                <w:color w:val="000000" w:themeColor="text1"/>
              </w:rPr>
              <w:t>③无人值班变电所，除在变电所装设电力调度电话外，还应在站控制室装设并机电力调度电话。</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6.7.11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输油站场中的电气装置或设备，除另有规定外应使用一个总的接地网；同一建筑物或区域内，防雷接地、电气设备接地和信息系统设备接地宜采用共用接地系统，其接地电阻取最小值。</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6.7.14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集中控制室设置非防爆仪表及电气设备时，应符合下列要求：</w:t>
            </w:r>
          </w:p>
          <w:p w:rsidR="000E02C5" w:rsidRPr="00687B52" w:rsidRDefault="000E02C5" w:rsidP="00B527D4">
            <w:pPr>
              <w:pStyle w:val="a7"/>
              <w:jc w:val="left"/>
              <w:rPr>
                <w:color w:val="000000" w:themeColor="text1"/>
              </w:rPr>
            </w:pPr>
            <w:r w:rsidRPr="00687B52">
              <w:rPr>
                <w:rFonts w:hint="eastAsia"/>
                <w:color w:val="000000" w:themeColor="text1"/>
              </w:rPr>
              <w:t>①应位于爆炸危险范围以外。</w:t>
            </w:r>
          </w:p>
          <w:p w:rsidR="000E02C5" w:rsidRPr="00687B52" w:rsidRDefault="000E02C5" w:rsidP="00B527D4">
            <w:pPr>
              <w:pStyle w:val="a7"/>
              <w:jc w:val="left"/>
              <w:rPr>
                <w:color w:val="000000" w:themeColor="text1"/>
              </w:rPr>
            </w:pPr>
            <w:r w:rsidRPr="00687B52">
              <w:rPr>
                <w:rFonts w:hint="eastAsia"/>
                <w:color w:val="000000" w:themeColor="text1"/>
              </w:rPr>
              <w:t>②含有甲、乙类油品、可燃气体的仪表引线不得直接引入室内。</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6.1.2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仪表控制室间设置非防爆仪表及电气设备时，应符合下列要求：</w:t>
            </w:r>
          </w:p>
          <w:p w:rsidR="000E02C5" w:rsidRPr="00687B52" w:rsidRDefault="000E02C5" w:rsidP="00B527D4">
            <w:pPr>
              <w:pStyle w:val="a7"/>
              <w:jc w:val="left"/>
              <w:rPr>
                <w:color w:val="000000" w:themeColor="text1"/>
              </w:rPr>
            </w:pPr>
            <w:r w:rsidRPr="00687B52">
              <w:rPr>
                <w:rFonts w:hint="eastAsia"/>
                <w:color w:val="000000" w:themeColor="text1"/>
              </w:rPr>
              <w:t>①在使用或生产天然气凝液和液化石油气的场所，仪表控制间室内地坪宜比室外地坪高</w:t>
            </w:r>
            <w:r w:rsidRPr="00687B52">
              <w:rPr>
                <w:rFonts w:hint="eastAsia"/>
                <w:color w:val="000000" w:themeColor="text1"/>
              </w:rPr>
              <w:t>0.6m</w:t>
            </w:r>
            <w:r w:rsidRPr="00687B52">
              <w:rPr>
                <w:rFonts w:hint="eastAsia"/>
                <w:color w:val="000000" w:themeColor="text1"/>
              </w:rPr>
              <w:t>。</w:t>
            </w:r>
          </w:p>
          <w:p w:rsidR="000E02C5" w:rsidRPr="00687B52" w:rsidRDefault="000E02C5" w:rsidP="00B527D4">
            <w:pPr>
              <w:pStyle w:val="a7"/>
              <w:jc w:val="left"/>
              <w:rPr>
                <w:color w:val="000000" w:themeColor="text1"/>
              </w:rPr>
            </w:pPr>
            <w:r w:rsidRPr="00687B52">
              <w:rPr>
                <w:rFonts w:hint="eastAsia"/>
                <w:color w:val="000000" w:themeColor="text1"/>
              </w:rPr>
              <w:t>②含有甲、乙类油品和可燃气体的仪表引线不宜直接引入室内。</w:t>
            </w:r>
          </w:p>
          <w:p w:rsidR="000E02C5" w:rsidRPr="00687B52" w:rsidRDefault="000E02C5" w:rsidP="00B527D4">
            <w:pPr>
              <w:pStyle w:val="a7"/>
              <w:jc w:val="left"/>
              <w:rPr>
                <w:color w:val="000000" w:themeColor="text1"/>
              </w:rPr>
            </w:pPr>
            <w:r w:rsidRPr="00687B52">
              <w:rPr>
                <w:rFonts w:hint="eastAsia"/>
                <w:color w:val="000000" w:themeColor="text1"/>
              </w:rPr>
              <w:t>③当与甲、乙类生产厂房毗邻时，应采用无门窗洞口的防火墙隔开。当必须在防火墙上开窗时，应设固定甲级防火窗。</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6.1.3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总变（配）电所，变（配）电间的室内地坪应比室外地坪高</w:t>
            </w:r>
            <w:r w:rsidRPr="00687B52">
              <w:rPr>
                <w:rFonts w:hint="eastAsia"/>
                <w:color w:val="000000" w:themeColor="text1"/>
              </w:rPr>
              <w:t>0.6m</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6.1.13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站场内的电缆沟，应有防止可燃气体积聚及防止含可燃液体的污水进入沟内的措施。电缆沟通入变（配）电室、控制室的墙洞处，应填实、密封。</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6.1.14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color w:val="000000" w:themeColor="text1"/>
              </w:rPr>
              <w:t>消防泵房及其配电室应设应急照明，其连续供电时间不应少于</w:t>
            </w:r>
            <w:r w:rsidRPr="00687B52">
              <w:rPr>
                <w:color w:val="000000" w:themeColor="text1"/>
              </w:rPr>
              <w:t>20min</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9.1.2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color w:val="000000" w:themeColor="text1"/>
              </w:rPr>
              <w:t>重要消防用电设备当采用一级负荷或二级负荷双回路供电时，应在最末一级配电装置或配电箱处实现自动切换。其配电线路宜采用耐火电缆。</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9.1.3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color w:val="000000" w:themeColor="text1"/>
              </w:rPr>
              <w:t>工艺装置内露天布置的塔、容器等，当顶板厚度等于或大于</w:t>
            </w:r>
            <w:r w:rsidRPr="00687B52">
              <w:rPr>
                <w:color w:val="000000" w:themeColor="text1"/>
              </w:rPr>
              <w:t>4mm</w:t>
            </w:r>
            <w:r w:rsidRPr="00687B52">
              <w:rPr>
                <w:color w:val="000000" w:themeColor="text1"/>
              </w:rPr>
              <w:t>时，可不设避雷针保护，但必须设防雷接地。</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9.2.2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color w:val="000000" w:themeColor="text1"/>
              </w:rPr>
              <w:t>可燃气体、油品、液化石油气的钢罐，必须设防雷接地，并应符合下列规定：</w:t>
            </w:r>
          </w:p>
          <w:p w:rsidR="000E02C5" w:rsidRPr="00687B52" w:rsidRDefault="000E02C5" w:rsidP="00B527D4">
            <w:pPr>
              <w:pStyle w:val="a7"/>
              <w:jc w:val="left"/>
              <w:rPr>
                <w:color w:val="000000" w:themeColor="text1"/>
              </w:rPr>
            </w:pPr>
            <w:r w:rsidRPr="00687B52">
              <w:rPr>
                <w:rFonts w:hint="eastAsia"/>
                <w:color w:val="000000" w:themeColor="text1"/>
              </w:rPr>
              <w:t>①</w:t>
            </w:r>
            <w:r w:rsidRPr="00687B52">
              <w:rPr>
                <w:color w:val="000000" w:themeColor="text1"/>
              </w:rPr>
              <w:t>避雷针（线）的保护范围，应包括整个储罐。</w:t>
            </w:r>
          </w:p>
          <w:p w:rsidR="000E02C5" w:rsidRPr="00687B52" w:rsidRDefault="000E02C5" w:rsidP="00B527D4">
            <w:pPr>
              <w:pStyle w:val="a7"/>
              <w:jc w:val="left"/>
              <w:rPr>
                <w:color w:val="000000" w:themeColor="text1"/>
              </w:rPr>
            </w:pPr>
            <w:r w:rsidRPr="00687B52">
              <w:rPr>
                <w:rFonts w:hint="eastAsia"/>
                <w:color w:val="000000" w:themeColor="text1"/>
              </w:rPr>
              <w:t>②</w:t>
            </w:r>
            <w:r w:rsidRPr="00687B52">
              <w:rPr>
                <w:color w:val="000000" w:themeColor="text1"/>
              </w:rPr>
              <w:t>装有阻火器的甲</w:t>
            </w:r>
            <w:r w:rsidRPr="00687B52">
              <w:rPr>
                <w:color w:val="000000" w:themeColor="text1"/>
              </w:rPr>
              <w:t>B</w:t>
            </w:r>
            <w:r w:rsidRPr="00687B52">
              <w:rPr>
                <w:color w:val="000000" w:themeColor="text1"/>
              </w:rPr>
              <w:t>、乙类油品地上固定顶罐，当顶板厚度等于或大于</w:t>
            </w:r>
            <w:r w:rsidRPr="00687B52">
              <w:rPr>
                <w:color w:val="000000" w:themeColor="text1"/>
              </w:rPr>
              <w:t>4mm</w:t>
            </w:r>
            <w:r w:rsidRPr="00687B52">
              <w:rPr>
                <w:color w:val="000000" w:themeColor="text1"/>
              </w:rPr>
              <w:t>时，不应装设避雷针（线），但必须设防雷接地。</w:t>
            </w:r>
          </w:p>
          <w:p w:rsidR="000E02C5" w:rsidRPr="00687B52" w:rsidRDefault="000E02C5" w:rsidP="00B527D4">
            <w:pPr>
              <w:pStyle w:val="a7"/>
              <w:jc w:val="left"/>
              <w:rPr>
                <w:color w:val="000000" w:themeColor="text1"/>
              </w:rPr>
            </w:pPr>
            <w:r w:rsidRPr="00687B52">
              <w:rPr>
                <w:rFonts w:hint="eastAsia"/>
                <w:color w:val="000000" w:themeColor="text1"/>
              </w:rPr>
              <w:t>③</w:t>
            </w:r>
            <w:r w:rsidRPr="00687B52">
              <w:rPr>
                <w:color w:val="000000" w:themeColor="text1"/>
              </w:rPr>
              <w:t>压力储罐、丙类油品钢制储罐不应装设避雷针（线），但必须设防感应雷接地。</w:t>
            </w:r>
          </w:p>
          <w:p w:rsidR="000E02C5" w:rsidRPr="00687B52" w:rsidRDefault="000E02C5" w:rsidP="00B527D4">
            <w:pPr>
              <w:pStyle w:val="a7"/>
              <w:jc w:val="left"/>
              <w:rPr>
                <w:color w:val="000000" w:themeColor="text1"/>
              </w:rPr>
            </w:pPr>
            <w:r w:rsidRPr="00687B52">
              <w:rPr>
                <w:rFonts w:hint="eastAsia"/>
                <w:color w:val="000000" w:themeColor="text1"/>
              </w:rPr>
              <w:t>④</w:t>
            </w:r>
            <w:r w:rsidRPr="00687B52">
              <w:rPr>
                <w:color w:val="000000" w:themeColor="text1"/>
              </w:rPr>
              <w:t>浮顶罐、内浮顶罐不应装设避雷针（线），但应将浮顶与罐体用</w:t>
            </w:r>
            <w:r w:rsidRPr="00687B52">
              <w:rPr>
                <w:color w:val="000000" w:themeColor="text1"/>
              </w:rPr>
              <w:t>2</w:t>
            </w:r>
            <w:r w:rsidRPr="00687B52">
              <w:rPr>
                <w:color w:val="000000" w:themeColor="text1"/>
              </w:rPr>
              <w:t>根导线作电气连接。</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9.2.3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color w:val="000000" w:themeColor="text1"/>
              </w:rPr>
              <w:t>钢储罐防雷接地引下线不应少于</w:t>
            </w:r>
            <w:r w:rsidRPr="00687B52">
              <w:rPr>
                <w:color w:val="000000" w:themeColor="text1"/>
              </w:rPr>
              <w:t>2</w:t>
            </w:r>
            <w:r w:rsidRPr="00687B52">
              <w:rPr>
                <w:color w:val="000000" w:themeColor="text1"/>
              </w:rPr>
              <w:t>根，并应沿罐周均匀或对称布置，其间距不宜大于</w:t>
            </w:r>
            <w:r w:rsidRPr="00687B52">
              <w:rPr>
                <w:color w:val="000000" w:themeColor="text1"/>
              </w:rPr>
              <w:t>30m</w:t>
            </w:r>
            <w:r w:rsidRPr="00687B52">
              <w:rPr>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9.2.4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color w:val="000000" w:themeColor="text1"/>
              </w:rPr>
              <w:t>防雷接地装置冲击接地电阻不应大于</w:t>
            </w:r>
            <w:r w:rsidRPr="00687B52">
              <w:rPr>
                <w:color w:val="000000" w:themeColor="text1"/>
              </w:rPr>
              <w:t>10</w:t>
            </w:r>
            <w:r w:rsidRPr="00687B52">
              <w:rPr>
                <w:color w:val="000000" w:themeColor="text1"/>
              </w:rPr>
              <w:t>Ω</w:t>
            </w:r>
            <w:r w:rsidRPr="00687B52">
              <w:rPr>
                <w:color w:val="000000" w:themeColor="text1"/>
              </w:rPr>
              <w:t>，当钢罐仅做防感应雷接地时，冲击接地电阻不应大于</w:t>
            </w:r>
            <w:r w:rsidRPr="00687B52">
              <w:rPr>
                <w:color w:val="000000" w:themeColor="text1"/>
              </w:rPr>
              <w:t>30</w:t>
            </w:r>
            <w:r w:rsidRPr="00687B52">
              <w:rPr>
                <w:color w:val="000000" w:themeColor="text1"/>
              </w:rPr>
              <w:t>Ω</w:t>
            </w:r>
            <w:r w:rsidRPr="00687B52">
              <w:rPr>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9.2.5</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color w:val="000000" w:themeColor="text1"/>
              </w:rPr>
              <w:t>装于钢储罐上的信息系统装置，其金属外壳应与罐体做电气连接，配线电缆宜采用铠装屏蔽电缆，电缆外皮及所穿钢管应与罐体做电气连接。</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9.2.6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color w:val="000000" w:themeColor="text1"/>
              </w:rPr>
              <w:t>甲、乙类厂房（棚）的防雷，应符合下列规定：</w:t>
            </w:r>
          </w:p>
          <w:p w:rsidR="000E02C5" w:rsidRPr="00687B52" w:rsidRDefault="000E02C5" w:rsidP="00B527D4">
            <w:pPr>
              <w:pStyle w:val="a7"/>
              <w:jc w:val="left"/>
              <w:rPr>
                <w:color w:val="000000" w:themeColor="text1"/>
              </w:rPr>
            </w:pPr>
            <w:r w:rsidRPr="00687B52">
              <w:rPr>
                <w:rFonts w:hint="eastAsia"/>
                <w:color w:val="000000" w:themeColor="text1"/>
              </w:rPr>
              <w:t>①</w:t>
            </w:r>
            <w:r w:rsidRPr="00687B52">
              <w:rPr>
                <w:color w:val="000000" w:themeColor="text1"/>
              </w:rPr>
              <w:t>厂房（棚）应采用避雷带（网）。其引下线不应少于</w:t>
            </w:r>
            <w:r w:rsidRPr="00687B52">
              <w:rPr>
                <w:color w:val="000000" w:themeColor="text1"/>
              </w:rPr>
              <w:t>2</w:t>
            </w:r>
            <w:r w:rsidRPr="00687B52">
              <w:rPr>
                <w:color w:val="000000" w:themeColor="text1"/>
              </w:rPr>
              <w:t>根，并应沿建筑物四周均匀对称布置，间距不应大于</w:t>
            </w:r>
            <w:r w:rsidRPr="00687B52">
              <w:rPr>
                <w:color w:val="000000" w:themeColor="text1"/>
              </w:rPr>
              <w:t>18m</w:t>
            </w:r>
            <w:r w:rsidRPr="00687B52">
              <w:rPr>
                <w:color w:val="000000" w:themeColor="text1"/>
              </w:rPr>
              <w:t>。网格不应大于</w:t>
            </w:r>
            <w:r w:rsidRPr="00687B52">
              <w:rPr>
                <w:color w:val="000000" w:themeColor="text1"/>
              </w:rPr>
              <w:t>10m</w:t>
            </w:r>
            <w:r w:rsidRPr="00687B52">
              <w:rPr>
                <w:color w:val="000000" w:themeColor="text1"/>
              </w:rPr>
              <w:t>×</w:t>
            </w:r>
            <w:r w:rsidRPr="00687B52">
              <w:rPr>
                <w:color w:val="000000" w:themeColor="text1"/>
              </w:rPr>
              <w:t>10m</w:t>
            </w:r>
            <w:r w:rsidRPr="00687B52">
              <w:rPr>
                <w:color w:val="000000" w:themeColor="text1"/>
              </w:rPr>
              <w:t>或</w:t>
            </w:r>
            <w:r w:rsidRPr="00687B52">
              <w:rPr>
                <w:color w:val="000000" w:themeColor="text1"/>
              </w:rPr>
              <w:t>12m</w:t>
            </w:r>
            <w:r w:rsidRPr="00687B52">
              <w:rPr>
                <w:color w:val="000000" w:themeColor="text1"/>
              </w:rPr>
              <w:t>×</w:t>
            </w:r>
            <w:r w:rsidRPr="00687B52">
              <w:rPr>
                <w:color w:val="000000" w:themeColor="text1"/>
              </w:rPr>
              <w:t>8m</w:t>
            </w:r>
            <w:r w:rsidRPr="00687B52">
              <w:rPr>
                <w:color w:val="000000" w:themeColor="text1"/>
              </w:rPr>
              <w:t>。</w:t>
            </w:r>
          </w:p>
          <w:p w:rsidR="000E02C5" w:rsidRPr="00687B52" w:rsidRDefault="000E02C5" w:rsidP="00B527D4">
            <w:pPr>
              <w:pStyle w:val="a7"/>
              <w:jc w:val="left"/>
              <w:rPr>
                <w:color w:val="000000" w:themeColor="text1"/>
              </w:rPr>
            </w:pPr>
            <w:r w:rsidRPr="00687B52">
              <w:rPr>
                <w:rFonts w:hint="eastAsia"/>
                <w:color w:val="000000" w:themeColor="text1"/>
              </w:rPr>
              <w:t>②</w:t>
            </w:r>
            <w:r w:rsidRPr="00687B52">
              <w:rPr>
                <w:color w:val="000000" w:themeColor="text1"/>
              </w:rPr>
              <w:t>进出厂房（棚）的金属管道、电缆的金属外皮、所穿钢管或架空电缆金属槽，在厂房（棚）外侧应做一处接地，接地装置应与保护接地装置及避雷带（网）接地装置合用。</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9.2.7</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color w:val="000000" w:themeColor="text1"/>
              </w:rPr>
              <w:t>丙类厂房（棚）的防雷，应符合下列规定：</w:t>
            </w:r>
          </w:p>
          <w:p w:rsidR="000E02C5" w:rsidRPr="00687B52" w:rsidRDefault="000E02C5" w:rsidP="00B527D4">
            <w:pPr>
              <w:pStyle w:val="a7"/>
              <w:jc w:val="left"/>
              <w:rPr>
                <w:color w:val="000000" w:themeColor="text1"/>
              </w:rPr>
            </w:pPr>
            <w:r w:rsidRPr="00687B52">
              <w:rPr>
                <w:rFonts w:hint="eastAsia"/>
                <w:color w:val="000000" w:themeColor="text1"/>
              </w:rPr>
              <w:t>①</w:t>
            </w:r>
            <w:r w:rsidRPr="00687B52">
              <w:rPr>
                <w:color w:val="000000" w:themeColor="text1"/>
              </w:rPr>
              <w:t>在平均雷暴日大于</w:t>
            </w:r>
            <w:r w:rsidRPr="00687B52">
              <w:rPr>
                <w:color w:val="000000" w:themeColor="text1"/>
              </w:rPr>
              <w:t>40d/a</w:t>
            </w:r>
            <w:r w:rsidRPr="00687B52">
              <w:rPr>
                <w:color w:val="000000" w:themeColor="text1"/>
              </w:rPr>
              <w:t>的地区，厂房（棚）宜装设避雷带（网）。其引下线不应少于</w:t>
            </w:r>
            <w:r w:rsidRPr="00687B52">
              <w:rPr>
                <w:color w:val="000000" w:themeColor="text1"/>
              </w:rPr>
              <w:t>2</w:t>
            </w:r>
            <w:r w:rsidRPr="00687B52">
              <w:rPr>
                <w:color w:val="000000" w:themeColor="text1"/>
              </w:rPr>
              <w:t>根，间距不应大于</w:t>
            </w:r>
            <w:r w:rsidRPr="00687B52">
              <w:rPr>
                <w:color w:val="000000" w:themeColor="text1"/>
              </w:rPr>
              <w:t>18m</w:t>
            </w:r>
            <w:r w:rsidRPr="00687B52">
              <w:rPr>
                <w:color w:val="000000" w:themeColor="text1"/>
              </w:rPr>
              <w:t>。</w:t>
            </w:r>
          </w:p>
          <w:p w:rsidR="000E02C5" w:rsidRPr="00687B52" w:rsidRDefault="000E02C5" w:rsidP="00B527D4">
            <w:pPr>
              <w:pStyle w:val="a7"/>
              <w:jc w:val="left"/>
              <w:rPr>
                <w:color w:val="000000" w:themeColor="text1"/>
              </w:rPr>
            </w:pPr>
            <w:r w:rsidRPr="00687B52">
              <w:rPr>
                <w:rFonts w:hint="eastAsia"/>
                <w:color w:val="000000" w:themeColor="text1"/>
              </w:rPr>
              <w:t>②</w:t>
            </w:r>
            <w:r w:rsidRPr="00687B52">
              <w:rPr>
                <w:color w:val="000000" w:themeColor="text1"/>
              </w:rPr>
              <w:t>进出厂房（棚）的金属管道、电缆的金属外皮、所穿钢管或架空电缆金属槽，在厂房（棚）外侧应做一处接地，接地装置应与保护接地装置及避雷带（网）接地装置合用。</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9.2.8</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color w:val="000000" w:themeColor="text1"/>
              </w:rPr>
              <w:t>装卸甲</w:t>
            </w:r>
            <w:r w:rsidRPr="00687B52">
              <w:rPr>
                <w:color w:val="000000" w:themeColor="text1"/>
                <w:vertAlign w:val="subscript"/>
              </w:rPr>
              <w:t>B</w:t>
            </w:r>
            <w:r w:rsidRPr="00687B52">
              <w:rPr>
                <w:color w:val="000000" w:themeColor="text1"/>
              </w:rPr>
              <w:t>、乙类油品、液化石油气液的鹤管和装卸栈桥的防雷，应符合下列规定：</w:t>
            </w:r>
          </w:p>
          <w:p w:rsidR="000E02C5" w:rsidRPr="00687B52" w:rsidRDefault="000E02C5" w:rsidP="00B527D4">
            <w:pPr>
              <w:pStyle w:val="a7"/>
              <w:jc w:val="left"/>
              <w:rPr>
                <w:color w:val="000000" w:themeColor="text1"/>
              </w:rPr>
            </w:pPr>
            <w:r w:rsidRPr="00687B52">
              <w:rPr>
                <w:rFonts w:hint="eastAsia"/>
                <w:color w:val="000000" w:themeColor="text1"/>
              </w:rPr>
              <w:t>①</w:t>
            </w:r>
            <w:r w:rsidRPr="00687B52">
              <w:rPr>
                <w:color w:val="000000" w:themeColor="text1"/>
              </w:rPr>
              <w:t>雷天装卸作业的，可不装设避雷针（带）。</w:t>
            </w:r>
          </w:p>
          <w:p w:rsidR="000E02C5" w:rsidRPr="00687B52" w:rsidRDefault="000E02C5" w:rsidP="00B527D4">
            <w:pPr>
              <w:pStyle w:val="a7"/>
              <w:jc w:val="left"/>
              <w:rPr>
                <w:color w:val="000000" w:themeColor="text1"/>
              </w:rPr>
            </w:pPr>
            <w:r w:rsidRPr="00687B52">
              <w:rPr>
                <w:rFonts w:hint="eastAsia"/>
                <w:color w:val="000000" w:themeColor="text1"/>
              </w:rPr>
              <w:t>②</w:t>
            </w:r>
            <w:r w:rsidRPr="00687B52">
              <w:rPr>
                <w:color w:val="000000" w:themeColor="text1"/>
              </w:rPr>
              <w:t>在棚内进行装卸作业的，应装设避雷针（带）。避雷针（带）的保护范围应为爆炸危险</w:t>
            </w:r>
            <w:r w:rsidRPr="00687B52">
              <w:rPr>
                <w:color w:val="000000" w:themeColor="text1"/>
              </w:rPr>
              <w:t>1</w:t>
            </w:r>
            <w:r w:rsidRPr="00687B52">
              <w:rPr>
                <w:color w:val="000000" w:themeColor="text1"/>
              </w:rPr>
              <w:t>区。</w:t>
            </w:r>
          </w:p>
          <w:p w:rsidR="000E02C5" w:rsidRPr="00687B52" w:rsidRDefault="000E02C5" w:rsidP="00B527D4">
            <w:pPr>
              <w:pStyle w:val="a7"/>
              <w:jc w:val="left"/>
              <w:rPr>
                <w:color w:val="000000" w:themeColor="text1"/>
              </w:rPr>
            </w:pPr>
            <w:r w:rsidRPr="00687B52">
              <w:rPr>
                <w:rFonts w:hint="eastAsia"/>
                <w:color w:val="000000" w:themeColor="text1"/>
              </w:rPr>
              <w:t>③</w:t>
            </w:r>
            <w:r w:rsidRPr="00687B52">
              <w:rPr>
                <w:color w:val="000000" w:themeColor="text1"/>
              </w:rPr>
              <w:t>进入装卸区的油品、液化石油气、天然气凝液输送管道在进入点应接地，冲击接地电阻不应大于</w:t>
            </w:r>
            <w:r w:rsidRPr="00687B52">
              <w:rPr>
                <w:color w:val="000000" w:themeColor="text1"/>
              </w:rPr>
              <w:t>10</w:t>
            </w:r>
            <w:r w:rsidRPr="00687B52">
              <w:rPr>
                <w:color w:val="000000" w:themeColor="text1"/>
              </w:rPr>
              <w:t>Ω</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9.2.9</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站场内</w:t>
            </w:r>
            <w:r w:rsidRPr="00687B52">
              <w:rPr>
                <w:color w:val="000000" w:themeColor="text1"/>
              </w:rPr>
              <w:t>地上或管沟内敷设的石油天然气管道，在下列部位应设防静电接地装置：</w:t>
            </w:r>
          </w:p>
          <w:p w:rsidR="000E02C5" w:rsidRPr="00687B52" w:rsidRDefault="000E02C5" w:rsidP="00B527D4">
            <w:pPr>
              <w:pStyle w:val="a7"/>
              <w:jc w:val="left"/>
              <w:rPr>
                <w:color w:val="000000" w:themeColor="text1"/>
              </w:rPr>
            </w:pPr>
            <w:r w:rsidRPr="00687B52">
              <w:rPr>
                <w:rFonts w:hint="eastAsia"/>
                <w:color w:val="000000" w:themeColor="text1"/>
              </w:rPr>
              <w:t>①</w:t>
            </w:r>
            <w:r w:rsidRPr="00687B52">
              <w:rPr>
                <w:color w:val="000000" w:themeColor="text1"/>
              </w:rPr>
              <w:t>进出装置或设施处。</w:t>
            </w:r>
          </w:p>
          <w:p w:rsidR="000E02C5" w:rsidRPr="00687B52" w:rsidRDefault="000E02C5" w:rsidP="00B527D4">
            <w:pPr>
              <w:pStyle w:val="a7"/>
              <w:jc w:val="left"/>
              <w:rPr>
                <w:color w:val="000000" w:themeColor="text1"/>
              </w:rPr>
            </w:pPr>
            <w:r w:rsidRPr="00687B52">
              <w:rPr>
                <w:rFonts w:hint="eastAsia"/>
                <w:color w:val="000000" w:themeColor="text1"/>
              </w:rPr>
              <w:t>②</w:t>
            </w:r>
            <w:r w:rsidRPr="00687B52">
              <w:rPr>
                <w:color w:val="000000" w:themeColor="text1"/>
              </w:rPr>
              <w:t>爆炸危险场所的边界。</w:t>
            </w:r>
          </w:p>
          <w:p w:rsidR="000E02C5" w:rsidRPr="00687B52" w:rsidRDefault="000E02C5" w:rsidP="00B527D4">
            <w:pPr>
              <w:pStyle w:val="a7"/>
              <w:jc w:val="left"/>
              <w:rPr>
                <w:color w:val="000000" w:themeColor="text1"/>
              </w:rPr>
            </w:pPr>
            <w:r w:rsidRPr="00687B52">
              <w:rPr>
                <w:rFonts w:hint="eastAsia"/>
                <w:color w:val="000000" w:themeColor="text1"/>
              </w:rPr>
              <w:t>③</w:t>
            </w:r>
            <w:r w:rsidRPr="00687B52">
              <w:rPr>
                <w:color w:val="000000" w:themeColor="text1"/>
              </w:rPr>
              <w:t>管道泵及其过滤器、缓冲器等。</w:t>
            </w:r>
          </w:p>
          <w:p w:rsidR="000E02C5" w:rsidRPr="00687B52" w:rsidRDefault="000E02C5" w:rsidP="00B527D4">
            <w:pPr>
              <w:pStyle w:val="a7"/>
              <w:jc w:val="left"/>
              <w:rPr>
                <w:color w:val="000000" w:themeColor="text1"/>
              </w:rPr>
            </w:pPr>
            <w:r w:rsidRPr="00687B52">
              <w:rPr>
                <w:rFonts w:hint="eastAsia"/>
                <w:color w:val="000000" w:themeColor="text1"/>
              </w:rPr>
              <w:t>④</w:t>
            </w:r>
            <w:r w:rsidRPr="00687B52">
              <w:rPr>
                <w:color w:val="000000" w:themeColor="text1"/>
              </w:rPr>
              <w:t>管道分支处以及直线段每隔</w:t>
            </w:r>
            <w:r w:rsidRPr="00687B52">
              <w:rPr>
                <w:color w:val="000000" w:themeColor="text1"/>
              </w:rPr>
              <w:t>200</w:t>
            </w:r>
            <w:r w:rsidRPr="00687B52">
              <w:rPr>
                <w:color w:val="000000" w:themeColor="text1"/>
              </w:rPr>
              <w:t>～</w:t>
            </w:r>
            <w:r w:rsidRPr="00687B52">
              <w:rPr>
                <w:color w:val="000000" w:themeColor="text1"/>
              </w:rPr>
              <w:t>300m</w:t>
            </w:r>
            <w:r w:rsidRPr="00687B52">
              <w:rPr>
                <w:color w:val="000000" w:themeColor="text1"/>
              </w:rPr>
              <w:t>处。</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9.3.2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ascii="宋体" w:hAnsi="宋体" w:cs="宋体"/>
                <w:color w:val="000000" w:themeColor="text1"/>
                <w:kern w:val="0"/>
              </w:rPr>
              <w:t>油品、液化石油气、天然气凝液的装卸栈台和码头的管道、设备、建筑物与构筑物的金属构件和铁路钢轨等（做阴极保护者除外），均应做电气连接并接地。</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9.3.3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color w:val="000000" w:themeColor="text1"/>
              </w:rPr>
              <w:t>汽车罐车、铁路罐车和装卸场所，应设防静电专用接地线。</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9.3.4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color w:val="000000" w:themeColor="text1"/>
              </w:rPr>
              <w:t>油品装卸码头，应设置与油船跨接的防静电接地装置。此接地装置应与码头上油品装卸设备的防静电接地装置合用。</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9.3.5</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color w:val="000000" w:themeColor="text1"/>
              </w:rPr>
              <w:t>下列甲、乙、丙</w:t>
            </w:r>
            <w:r w:rsidRPr="00687B52">
              <w:rPr>
                <w:color w:val="000000" w:themeColor="text1"/>
              </w:rPr>
              <w:t>A</w:t>
            </w:r>
            <w:r w:rsidRPr="00687B52">
              <w:rPr>
                <w:color w:val="000000" w:themeColor="text1"/>
              </w:rPr>
              <w:t>类油品（原油除外）、液化石油气作业场所，应设消除人体静电装置：</w:t>
            </w:r>
          </w:p>
          <w:p w:rsidR="000E02C5" w:rsidRPr="00687B52" w:rsidRDefault="000E02C5" w:rsidP="00B527D4">
            <w:pPr>
              <w:pStyle w:val="a7"/>
              <w:jc w:val="left"/>
              <w:rPr>
                <w:color w:val="000000" w:themeColor="text1"/>
              </w:rPr>
            </w:pPr>
            <w:r w:rsidRPr="00687B52">
              <w:rPr>
                <w:rFonts w:hint="eastAsia"/>
                <w:color w:val="000000" w:themeColor="text1"/>
              </w:rPr>
              <w:t>①</w:t>
            </w:r>
            <w:r w:rsidRPr="00687B52">
              <w:rPr>
                <w:color w:val="000000" w:themeColor="text1"/>
              </w:rPr>
              <w:t>泵房的门外。</w:t>
            </w:r>
          </w:p>
          <w:p w:rsidR="000E02C5" w:rsidRPr="00687B52" w:rsidRDefault="000E02C5" w:rsidP="00B527D4">
            <w:pPr>
              <w:pStyle w:val="a7"/>
              <w:jc w:val="left"/>
              <w:rPr>
                <w:color w:val="000000" w:themeColor="text1"/>
              </w:rPr>
            </w:pPr>
            <w:r w:rsidRPr="00687B52">
              <w:rPr>
                <w:rFonts w:hint="eastAsia"/>
                <w:color w:val="000000" w:themeColor="text1"/>
              </w:rPr>
              <w:t>②</w:t>
            </w:r>
            <w:r w:rsidRPr="00687B52">
              <w:rPr>
                <w:color w:val="000000" w:themeColor="text1"/>
              </w:rPr>
              <w:t>储罐的上罐扶梯入口处。</w:t>
            </w:r>
          </w:p>
          <w:p w:rsidR="000E02C5" w:rsidRPr="00687B52" w:rsidRDefault="000E02C5" w:rsidP="00B527D4">
            <w:pPr>
              <w:pStyle w:val="a7"/>
              <w:jc w:val="left"/>
              <w:rPr>
                <w:color w:val="000000" w:themeColor="text1"/>
              </w:rPr>
            </w:pPr>
            <w:r w:rsidRPr="00687B52">
              <w:rPr>
                <w:rFonts w:hint="eastAsia"/>
                <w:color w:val="000000" w:themeColor="text1"/>
              </w:rPr>
              <w:t>③</w:t>
            </w:r>
            <w:r w:rsidRPr="00687B52">
              <w:rPr>
                <w:color w:val="000000" w:themeColor="text1"/>
              </w:rPr>
              <w:t>装卸作业区内操作平台的扶梯入口处。</w:t>
            </w:r>
          </w:p>
          <w:p w:rsidR="000E02C5" w:rsidRPr="00687B52" w:rsidRDefault="000E02C5" w:rsidP="00B527D4">
            <w:pPr>
              <w:pStyle w:val="a7"/>
              <w:jc w:val="left"/>
              <w:rPr>
                <w:color w:val="000000" w:themeColor="text1"/>
              </w:rPr>
            </w:pPr>
            <w:r w:rsidRPr="00687B52">
              <w:rPr>
                <w:rFonts w:hint="eastAsia"/>
                <w:color w:val="000000" w:themeColor="text1"/>
              </w:rPr>
              <w:t>④</w:t>
            </w:r>
            <w:r w:rsidRPr="00687B52">
              <w:rPr>
                <w:color w:val="000000" w:themeColor="text1"/>
              </w:rPr>
              <w:t>码头上下船的出入口处。</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9.3.6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输气站因突然停电会造成设备损坏或作业中断时，站内重要负荷应配置应急电源，其中控制、仪表、通信等重要负荷，应采用不间断电源供电，蓄电池后备时间不宜小于</w:t>
            </w:r>
            <w:r w:rsidRPr="00687B52">
              <w:rPr>
                <w:rFonts w:hint="eastAsia"/>
                <w:color w:val="000000" w:themeColor="text1"/>
              </w:rPr>
              <w:t>1.5h</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10.1.4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输气站及阀室照明应符合下列规定：</w:t>
            </w:r>
          </w:p>
          <w:p w:rsidR="000E02C5" w:rsidRPr="00687B52" w:rsidRDefault="000E02C5" w:rsidP="00B527D4">
            <w:pPr>
              <w:pStyle w:val="a7"/>
              <w:jc w:val="left"/>
              <w:rPr>
                <w:color w:val="000000" w:themeColor="text1"/>
              </w:rPr>
            </w:pPr>
            <w:r w:rsidRPr="00687B52">
              <w:rPr>
                <w:rFonts w:hint="eastAsia"/>
                <w:color w:val="000000" w:themeColor="text1"/>
              </w:rPr>
              <w:t>①控制室、值班室、发电房及消防等重要场所应设应急照明；</w:t>
            </w:r>
          </w:p>
          <w:p w:rsidR="000E02C5" w:rsidRPr="00687B52" w:rsidRDefault="000E02C5" w:rsidP="00B527D4">
            <w:pPr>
              <w:pStyle w:val="a7"/>
              <w:jc w:val="left"/>
              <w:rPr>
                <w:color w:val="000000" w:themeColor="text1"/>
              </w:rPr>
            </w:pPr>
            <w:r w:rsidRPr="00687B52">
              <w:rPr>
                <w:rFonts w:hint="eastAsia"/>
                <w:color w:val="000000" w:themeColor="text1"/>
              </w:rPr>
              <w:t>②人员活动场所应设置安全疏散照明，人员疏散的出口和通道应设置疏散照明。</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10.1.6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输气站及阀室的雷电防护应符合下列规定：</w:t>
            </w:r>
          </w:p>
          <w:p w:rsidR="000E02C5" w:rsidRPr="00687B52" w:rsidRDefault="000E02C5" w:rsidP="00B527D4">
            <w:pPr>
              <w:pStyle w:val="a7"/>
              <w:jc w:val="left"/>
              <w:rPr>
                <w:color w:val="000000" w:themeColor="text1"/>
              </w:rPr>
            </w:pPr>
            <w:r w:rsidRPr="00687B52">
              <w:rPr>
                <w:rFonts w:hint="eastAsia"/>
                <w:color w:val="000000" w:themeColor="text1"/>
              </w:rPr>
              <w:t>①金属结构的放空立管及放散管上不应安装接闪杆；</w:t>
            </w:r>
          </w:p>
          <w:p w:rsidR="000E02C5" w:rsidRPr="00687B52" w:rsidRDefault="000E02C5" w:rsidP="00B527D4">
            <w:pPr>
              <w:pStyle w:val="a7"/>
              <w:jc w:val="left"/>
              <w:rPr>
                <w:color w:val="000000" w:themeColor="text1"/>
              </w:rPr>
            </w:pPr>
            <w:r w:rsidRPr="00687B52">
              <w:rPr>
                <w:rFonts w:hint="eastAsia"/>
                <w:color w:val="000000" w:themeColor="text1"/>
              </w:rPr>
              <w:t>②雷电防护接地宜与站场的保护接地、工作接地、工作接地共用接地系统，接地电阻应按照电气设备的工作接地要求确定，当共用接地系统的接地电阻无法满足要求时，应有完善的均压机隔离措施。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10.1.7</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7"/>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宋体" w:hAnsi="宋体"/>
                <w:color w:val="000000" w:themeColor="text1"/>
              </w:rPr>
            </w:pPr>
            <w:r w:rsidRPr="00687B52">
              <w:rPr>
                <w:rFonts w:ascii="宋体" w:hAnsi="宋体" w:hint="eastAsia"/>
                <w:color w:val="000000" w:themeColor="text1"/>
              </w:rPr>
              <w:t>长</w:t>
            </w:r>
            <w:r w:rsidRPr="00687B52">
              <w:rPr>
                <w:rFonts w:hint="eastAsia"/>
                <w:color w:val="000000" w:themeColor="text1"/>
              </w:rPr>
              <w:t>距离无分支管道应每隔</w:t>
            </w:r>
            <w:r w:rsidRPr="00687B52">
              <w:rPr>
                <w:rFonts w:hint="eastAsia"/>
                <w:color w:val="000000" w:themeColor="text1"/>
              </w:rPr>
              <w:t xml:space="preserve"> 100m</w:t>
            </w:r>
            <w:r w:rsidRPr="00687B52">
              <w:rPr>
                <w:rFonts w:hint="eastAsia"/>
                <w:color w:val="000000" w:themeColor="text1"/>
              </w:rPr>
              <w:t>接地一次。</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《石油化工静电接地设计规范》</w:t>
            </w:r>
            <w:r w:rsidRPr="00687B52">
              <w:rPr>
                <w:rFonts w:hint="eastAsia"/>
                <w:color w:val="000000" w:themeColor="text1"/>
              </w:rPr>
              <w:t>SH3097-2000</w:t>
            </w:r>
            <w:r w:rsidRPr="00687B52">
              <w:rPr>
                <w:rFonts w:hint="eastAsia"/>
                <w:color w:val="000000" w:themeColor="text1"/>
              </w:rPr>
              <w:t>第</w:t>
            </w:r>
            <w:r w:rsidRPr="00687B52">
              <w:rPr>
                <w:rFonts w:hint="eastAsia"/>
                <w:color w:val="000000" w:themeColor="text1"/>
              </w:rPr>
              <w:t>4.3.1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B527D4">
            <w:pPr>
              <w:pStyle w:val="a7"/>
              <w:rPr>
                <w:b/>
                <w:color w:val="000000" w:themeColor="text1"/>
              </w:rPr>
            </w:pPr>
            <w:r w:rsidRPr="00687B52">
              <w:rPr>
                <w:rFonts w:hint="eastAsia"/>
                <w:b/>
                <w:color w:val="000000" w:themeColor="text1"/>
              </w:rPr>
              <w:t>3.2</w:t>
            </w:r>
          </w:p>
        </w:tc>
        <w:tc>
          <w:tcPr>
            <w:tcW w:w="2750" w:type="pct"/>
            <w:vAlign w:val="center"/>
          </w:tcPr>
          <w:p w:rsidR="000E02C5" w:rsidRPr="00687B52" w:rsidRDefault="000E02C5" w:rsidP="00B527D4">
            <w:pPr>
              <w:pStyle w:val="a7"/>
              <w:jc w:val="left"/>
              <w:rPr>
                <w:b/>
                <w:color w:val="000000" w:themeColor="text1"/>
              </w:rPr>
            </w:pPr>
            <w:r w:rsidRPr="00687B52">
              <w:rPr>
                <w:rFonts w:hint="eastAsia"/>
                <w:b/>
                <w:color w:val="000000" w:themeColor="text1"/>
              </w:rPr>
              <w:t>仪表系统</w:t>
            </w:r>
          </w:p>
        </w:tc>
        <w:tc>
          <w:tcPr>
            <w:tcW w:w="930" w:type="pct"/>
            <w:vAlign w:val="center"/>
          </w:tcPr>
          <w:p w:rsidR="000E02C5" w:rsidRPr="00687B52" w:rsidRDefault="000E02C5" w:rsidP="00B527D4">
            <w:pPr>
              <w:pStyle w:val="a7"/>
              <w:jc w:val="left"/>
              <w:rPr>
                <w:b/>
                <w:color w:val="000000" w:themeColor="text1"/>
              </w:rPr>
            </w:pPr>
          </w:p>
        </w:tc>
        <w:tc>
          <w:tcPr>
            <w:tcW w:w="860" w:type="pct"/>
            <w:vAlign w:val="center"/>
          </w:tcPr>
          <w:p w:rsidR="000E02C5" w:rsidRPr="00687B52" w:rsidRDefault="000E02C5" w:rsidP="00B527D4">
            <w:pPr>
              <w:pStyle w:val="a7"/>
              <w:jc w:val="left"/>
              <w:rPr>
                <w:b/>
                <w:color w:val="000000" w:themeColor="text1"/>
              </w:rPr>
            </w:pPr>
          </w:p>
        </w:tc>
      </w:tr>
      <w:tr w:rsidR="000E02C5" w:rsidRPr="00687B52" w:rsidTr="00563F92">
        <w:trPr>
          <w:jc w:val="center"/>
        </w:trPr>
        <w:tc>
          <w:tcPr>
            <w:tcW w:w="460" w:type="pct"/>
            <w:vAlign w:val="center"/>
          </w:tcPr>
          <w:p w:rsidR="000E02C5" w:rsidRPr="00687B52" w:rsidRDefault="000E02C5" w:rsidP="00B527D4">
            <w:pPr>
              <w:pStyle w:val="a7"/>
              <w:rPr>
                <w:b/>
                <w:color w:val="000000" w:themeColor="text1"/>
              </w:rPr>
            </w:pPr>
            <w:r w:rsidRPr="00687B52">
              <w:rPr>
                <w:rFonts w:hint="eastAsia"/>
                <w:b/>
                <w:color w:val="000000" w:themeColor="text1"/>
              </w:rPr>
              <w:t>3.2.1</w:t>
            </w:r>
          </w:p>
        </w:tc>
        <w:tc>
          <w:tcPr>
            <w:tcW w:w="2750" w:type="pct"/>
            <w:vAlign w:val="center"/>
          </w:tcPr>
          <w:p w:rsidR="000E02C5" w:rsidRPr="00687B52" w:rsidRDefault="000E02C5" w:rsidP="00B527D4">
            <w:pPr>
              <w:pStyle w:val="a7"/>
              <w:jc w:val="left"/>
              <w:rPr>
                <w:b/>
                <w:color w:val="000000" w:themeColor="text1"/>
              </w:rPr>
            </w:pPr>
            <w:r w:rsidRPr="00687B52">
              <w:rPr>
                <w:rFonts w:hint="eastAsia"/>
                <w:b/>
                <w:color w:val="000000" w:themeColor="text1"/>
              </w:rPr>
              <w:t>石油、天然气站场</w:t>
            </w:r>
          </w:p>
        </w:tc>
        <w:tc>
          <w:tcPr>
            <w:tcW w:w="930" w:type="pct"/>
            <w:vAlign w:val="center"/>
          </w:tcPr>
          <w:p w:rsidR="000E02C5" w:rsidRPr="00687B52" w:rsidRDefault="000E02C5" w:rsidP="00B527D4">
            <w:pPr>
              <w:pStyle w:val="a7"/>
              <w:rPr>
                <w:color w:val="000000" w:themeColor="text1"/>
              </w:rPr>
            </w:pP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8"/>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液化石油气厂房、可燃气体压缩机厂房和其他建筑面积大于或等于</w:t>
            </w:r>
            <w:r w:rsidRPr="00687B52">
              <w:rPr>
                <w:rFonts w:hint="eastAsia"/>
                <w:color w:val="000000" w:themeColor="text1"/>
              </w:rPr>
              <w:t>150m</w:t>
            </w:r>
            <w:r w:rsidRPr="00687B52">
              <w:rPr>
                <w:rFonts w:hint="eastAsia"/>
                <w:color w:val="000000" w:themeColor="text1"/>
                <w:vertAlign w:val="superscript"/>
              </w:rPr>
              <w:t>2</w:t>
            </w:r>
            <w:r w:rsidRPr="00687B52">
              <w:rPr>
                <w:rFonts w:hint="eastAsia"/>
                <w:color w:val="000000" w:themeColor="text1"/>
              </w:rPr>
              <w:t>的甲类火灾危险性厂房内，应设可燃气体检测报警装置。天然气凝液和液化石油气罐区、天然气凝液和凝析油回收装置的工艺设备区应设可燃气体检测报警装置。其他露天或棚式布置的甲类生产设施可不设可燃气体检测报警装置。</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6.1.6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8"/>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color w:val="000000" w:themeColor="text1"/>
              </w:rPr>
              <w:t>容量大于或等于</w:t>
            </w:r>
            <w:r w:rsidRPr="00687B52">
              <w:rPr>
                <w:color w:val="000000" w:themeColor="text1"/>
              </w:rPr>
              <w:t>30000m</w:t>
            </w:r>
            <w:r w:rsidRPr="00687B52">
              <w:rPr>
                <w:color w:val="000000" w:themeColor="text1"/>
                <w:vertAlign w:val="superscript"/>
              </w:rPr>
              <w:t>3</w:t>
            </w:r>
            <w:r w:rsidRPr="00687B52">
              <w:rPr>
                <w:color w:val="000000" w:themeColor="text1"/>
              </w:rPr>
              <w:t>的站场应配有遥控摄像、录像系统，并将关键部位的图像传送给控制室的监控器上。</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10.4.4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8"/>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color w:val="000000" w:themeColor="text1"/>
              </w:rPr>
              <w:t>站内必须有书面的应急程序，明确在不同事故情况下操作人员应采取的措施和如何应对，而且必须备有一定数量的防护服和至少</w:t>
            </w:r>
            <w:r w:rsidRPr="00687B52">
              <w:rPr>
                <w:color w:val="000000" w:themeColor="text1"/>
              </w:rPr>
              <w:t>2</w:t>
            </w:r>
            <w:r w:rsidRPr="00687B52">
              <w:rPr>
                <w:color w:val="000000" w:themeColor="text1"/>
              </w:rPr>
              <w:t>个手持可燃气体探测器。</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10.4.9</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8"/>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color w:val="000000" w:themeColor="text1"/>
              </w:rPr>
              <w:t>火灾和气体泄漏检测装置，应按以下原则配置：</w:t>
            </w:r>
          </w:p>
          <w:p w:rsidR="000E02C5" w:rsidRPr="00687B52" w:rsidRDefault="000E02C5" w:rsidP="00B527D4">
            <w:pPr>
              <w:pStyle w:val="a7"/>
              <w:jc w:val="left"/>
              <w:rPr>
                <w:color w:val="000000" w:themeColor="text1"/>
              </w:rPr>
            </w:pPr>
            <w:r w:rsidRPr="00687B52">
              <w:rPr>
                <w:color w:val="000000" w:themeColor="text1"/>
              </w:rPr>
              <w:t>1</w:t>
            </w:r>
            <w:r w:rsidRPr="00687B52">
              <w:rPr>
                <w:rFonts w:hint="eastAsia"/>
                <w:color w:val="000000" w:themeColor="text1"/>
              </w:rPr>
              <w:t>）</w:t>
            </w:r>
            <w:r w:rsidRPr="00687B52">
              <w:rPr>
                <w:color w:val="000000" w:themeColor="text1"/>
              </w:rPr>
              <w:t>装置区、罐区以及其他存在潜在危险需要经常观测处，应设火焰探测报警装置。相应配置适量的现场手动报警按钮。</w:t>
            </w:r>
          </w:p>
          <w:p w:rsidR="000E02C5" w:rsidRPr="00687B52" w:rsidRDefault="000E02C5" w:rsidP="00B527D4">
            <w:pPr>
              <w:pStyle w:val="a7"/>
              <w:jc w:val="left"/>
              <w:rPr>
                <w:color w:val="000000" w:themeColor="text1"/>
              </w:rPr>
            </w:pPr>
            <w:r w:rsidRPr="00687B52">
              <w:rPr>
                <w:color w:val="000000" w:themeColor="text1"/>
              </w:rPr>
              <w:t>2</w:t>
            </w:r>
            <w:r w:rsidRPr="00687B52">
              <w:rPr>
                <w:rFonts w:hint="eastAsia"/>
                <w:color w:val="000000" w:themeColor="text1"/>
              </w:rPr>
              <w:t>）</w:t>
            </w:r>
            <w:r w:rsidRPr="00687B52">
              <w:rPr>
                <w:color w:val="000000" w:themeColor="text1"/>
              </w:rPr>
              <w:t>装置区、罐区以及其他存在潜在危险需要经常观测处，应设连续检测可燃气体浓度的探测报警装置。</w:t>
            </w:r>
          </w:p>
          <w:p w:rsidR="000E02C5" w:rsidRPr="00687B52" w:rsidRDefault="000E02C5" w:rsidP="00B527D4">
            <w:pPr>
              <w:pStyle w:val="a7"/>
              <w:jc w:val="left"/>
              <w:rPr>
                <w:color w:val="000000" w:themeColor="text1"/>
              </w:rPr>
            </w:pPr>
            <w:r w:rsidRPr="00687B52">
              <w:rPr>
                <w:color w:val="000000" w:themeColor="text1"/>
              </w:rPr>
              <w:t>3</w:t>
            </w:r>
            <w:r w:rsidRPr="00687B52">
              <w:rPr>
                <w:rFonts w:hint="eastAsia"/>
                <w:color w:val="000000" w:themeColor="text1"/>
              </w:rPr>
              <w:t>）</w:t>
            </w:r>
            <w:r w:rsidRPr="00687B52">
              <w:rPr>
                <w:color w:val="000000" w:themeColor="text1"/>
              </w:rPr>
              <w:t>装置区、罐区、集液池以及其他存在潜在危险需要经常观测外，应设连续检测液化天然气泄漏的低温检测报警装置。</w:t>
            </w:r>
          </w:p>
          <w:p w:rsidR="000E02C5" w:rsidRPr="00687B52" w:rsidRDefault="000E02C5" w:rsidP="00B527D4">
            <w:pPr>
              <w:pStyle w:val="a7"/>
              <w:jc w:val="left"/>
              <w:rPr>
                <w:color w:val="000000" w:themeColor="text1"/>
              </w:rPr>
            </w:pPr>
            <w:r w:rsidRPr="00687B52">
              <w:rPr>
                <w:color w:val="000000" w:themeColor="text1"/>
              </w:rPr>
              <w:t>4</w:t>
            </w:r>
            <w:r w:rsidRPr="00687B52">
              <w:rPr>
                <w:rFonts w:hint="eastAsia"/>
                <w:color w:val="000000" w:themeColor="text1"/>
              </w:rPr>
              <w:t>）</w:t>
            </w:r>
            <w:r w:rsidRPr="00687B52">
              <w:rPr>
                <w:color w:val="000000" w:themeColor="text1"/>
              </w:rPr>
              <w:t>探测器和报警器的信号盘应设置在保护区的控制室或操作室内。</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10.4.3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B527D4">
            <w:pPr>
              <w:pStyle w:val="a7"/>
              <w:rPr>
                <w:b/>
                <w:color w:val="000000" w:themeColor="text1"/>
              </w:rPr>
            </w:pPr>
            <w:r w:rsidRPr="00687B52">
              <w:rPr>
                <w:rFonts w:hint="eastAsia"/>
                <w:b/>
                <w:color w:val="000000" w:themeColor="text1"/>
              </w:rPr>
              <w:t>3.2.2</w:t>
            </w:r>
          </w:p>
        </w:tc>
        <w:tc>
          <w:tcPr>
            <w:tcW w:w="2750" w:type="pct"/>
            <w:vAlign w:val="center"/>
          </w:tcPr>
          <w:p w:rsidR="000E02C5" w:rsidRPr="00687B52" w:rsidRDefault="000E02C5" w:rsidP="00B527D4">
            <w:pPr>
              <w:pStyle w:val="a7"/>
              <w:jc w:val="left"/>
              <w:rPr>
                <w:b/>
                <w:color w:val="000000" w:themeColor="text1"/>
              </w:rPr>
            </w:pPr>
            <w:r w:rsidRPr="00687B52">
              <w:rPr>
                <w:rFonts w:hint="eastAsia"/>
                <w:b/>
                <w:color w:val="000000" w:themeColor="text1"/>
              </w:rPr>
              <w:t>输油站场及长输管道</w:t>
            </w:r>
          </w:p>
        </w:tc>
        <w:tc>
          <w:tcPr>
            <w:tcW w:w="930" w:type="pct"/>
            <w:vAlign w:val="center"/>
          </w:tcPr>
          <w:p w:rsidR="000E02C5" w:rsidRPr="00687B52" w:rsidRDefault="000E02C5" w:rsidP="00B527D4">
            <w:pPr>
              <w:pStyle w:val="a7"/>
              <w:rPr>
                <w:color w:val="000000" w:themeColor="text1"/>
              </w:rPr>
            </w:pP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9"/>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油品、液化石油气交接计量的设置应符合泄漏规定：</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①输油管道应在油品交接处设置交接计量系统；</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②流量计宜选用容积式、速度式或质量式流量计，准确度不低于0.2级；</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③计量系统应设置备用计量管路，不应设置旁通管路；计量管路多于4路时，应设置2路备用；</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④流量计下游应设置具有截止和检漏双功能阀门或严密性好的无泄漏阀门；</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⑤流量计出口应保持足够的背压；</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⑥计量系统宜设置在线检定装置及配套设施，检定装置应设置清洗流程；</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⑦流量计前后的排污设施应分别设置，宜设置密闭流程；</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⑧流量计、体积管可露天安装，水标系统宜室内安装；</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⑨计量处宜设置取样系统的油品物性化验设施。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6.3.14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9"/>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仪表选型应符合下列要求：</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①应选用安全、可靠、技术先进的标准系列产品；</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②检测和控制仪表宜采用电动仪表；</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③仪表输入、输出信号应采用标准信号；</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④直接与介质接触的仪表，应满足管道及设备的设计压力、温度计介质的物性要求；</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⑤现场应安装供运行人员巡回检查和就地操作的就地显示仪表。</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6.10.3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trHeight w:val="2032"/>
          <w:jc w:val="center"/>
        </w:trPr>
        <w:tc>
          <w:tcPr>
            <w:tcW w:w="460" w:type="pct"/>
            <w:vAlign w:val="center"/>
          </w:tcPr>
          <w:p w:rsidR="000E02C5" w:rsidRPr="00687B52" w:rsidRDefault="000E02C5" w:rsidP="00D9787F">
            <w:pPr>
              <w:pStyle w:val="a7"/>
              <w:numPr>
                <w:ilvl w:val="0"/>
                <w:numId w:val="119"/>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爆炸危险区域内安装的电动仪表、设备，其防爆结构应按下表确定。</w:t>
            </w:r>
          </w:p>
          <w:tbl>
            <w:tblPr>
              <w:tblStyle w:val="a6"/>
              <w:tblW w:w="0" w:type="auto"/>
              <w:tblLook w:val="04A0" w:firstRow="1" w:lastRow="0" w:firstColumn="1" w:lastColumn="0" w:noHBand="0" w:noVBand="1"/>
            </w:tblPr>
            <w:tblGrid>
              <w:gridCol w:w="1290"/>
              <w:gridCol w:w="1276"/>
              <w:gridCol w:w="1417"/>
              <w:gridCol w:w="1694"/>
            </w:tblGrid>
            <w:tr w:rsidR="000E02C5" w:rsidRPr="00687B52" w:rsidTr="00B527D4">
              <w:tc>
                <w:tcPr>
                  <w:tcW w:w="1290" w:type="dxa"/>
                  <w:vAlign w:val="center"/>
                </w:tcPr>
                <w:p w:rsidR="000E02C5" w:rsidRPr="00687B52" w:rsidRDefault="000E02C5" w:rsidP="00B527D4">
                  <w:pPr>
                    <w:pStyle w:val="a7"/>
                    <w:rPr>
                      <w:color w:val="000000" w:themeColor="text1"/>
                    </w:rPr>
                  </w:pPr>
                  <w:r w:rsidRPr="00687B52">
                    <w:rPr>
                      <w:rFonts w:hint="eastAsia"/>
                      <w:color w:val="000000" w:themeColor="text1"/>
                    </w:rPr>
                    <w:t>分区</w:t>
                  </w:r>
                </w:p>
              </w:tc>
              <w:tc>
                <w:tcPr>
                  <w:tcW w:w="1276" w:type="dxa"/>
                  <w:vAlign w:val="center"/>
                </w:tcPr>
                <w:p w:rsidR="000E02C5" w:rsidRPr="00687B52" w:rsidRDefault="000E02C5" w:rsidP="00B527D4">
                  <w:pPr>
                    <w:pStyle w:val="a7"/>
                    <w:rPr>
                      <w:color w:val="000000" w:themeColor="text1"/>
                    </w:rPr>
                  </w:pPr>
                  <w:r w:rsidRPr="00687B52">
                    <w:rPr>
                      <w:rFonts w:hint="eastAsia"/>
                      <w:color w:val="000000" w:themeColor="text1"/>
                    </w:rPr>
                    <w:t>0</w:t>
                  </w:r>
                  <w:r w:rsidRPr="00687B52">
                    <w:rPr>
                      <w:rFonts w:hint="eastAsia"/>
                      <w:color w:val="000000" w:themeColor="text1"/>
                    </w:rPr>
                    <w:t>区</w:t>
                  </w:r>
                </w:p>
              </w:tc>
              <w:tc>
                <w:tcPr>
                  <w:tcW w:w="1417" w:type="dxa"/>
                  <w:vAlign w:val="center"/>
                </w:tcPr>
                <w:p w:rsidR="000E02C5" w:rsidRPr="00687B52" w:rsidRDefault="000E02C5" w:rsidP="00B527D4">
                  <w:pPr>
                    <w:pStyle w:val="a7"/>
                    <w:rPr>
                      <w:color w:val="000000" w:themeColor="text1"/>
                    </w:rPr>
                  </w:pPr>
                  <w:r w:rsidRPr="00687B52">
                    <w:rPr>
                      <w:rFonts w:hint="eastAsia"/>
                      <w:color w:val="000000" w:themeColor="text1"/>
                    </w:rPr>
                    <w:t>1</w:t>
                  </w:r>
                  <w:r w:rsidRPr="00687B52">
                    <w:rPr>
                      <w:rFonts w:hint="eastAsia"/>
                      <w:color w:val="000000" w:themeColor="text1"/>
                    </w:rPr>
                    <w:t>区</w:t>
                  </w:r>
                </w:p>
              </w:tc>
              <w:tc>
                <w:tcPr>
                  <w:tcW w:w="1694" w:type="dxa"/>
                  <w:vAlign w:val="center"/>
                </w:tcPr>
                <w:p w:rsidR="000E02C5" w:rsidRPr="00687B52" w:rsidRDefault="000E02C5" w:rsidP="00B527D4">
                  <w:pPr>
                    <w:pStyle w:val="a7"/>
                    <w:rPr>
                      <w:color w:val="000000" w:themeColor="text1"/>
                    </w:rPr>
                  </w:pPr>
                  <w:r w:rsidRPr="00687B52">
                    <w:rPr>
                      <w:rFonts w:hint="eastAsia"/>
                      <w:color w:val="000000" w:themeColor="text1"/>
                    </w:rPr>
                    <w:t>2</w:t>
                  </w:r>
                  <w:r w:rsidRPr="00687B52">
                    <w:rPr>
                      <w:rFonts w:hint="eastAsia"/>
                      <w:color w:val="000000" w:themeColor="text1"/>
                    </w:rPr>
                    <w:t>区</w:t>
                  </w:r>
                </w:p>
              </w:tc>
            </w:tr>
            <w:tr w:rsidR="000E02C5" w:rsidRPr="00687B52" w:rsidTr="00B527D4">
              <w:tc>
                <w:tcPr>
                  <w:tcW w:w="1290" w:type="dxa"/>
                  <w:vAlign w:val="center"/>
                </w:tcPr>
                <w:p w:rsidR="000E02C5" w:rsidRPr="00687B52" w:rsidRDefault="000E02C5" w:rsidP="00B527D4">
                  <w:pPr>
                    <w:pStyle w:val="a7"/>
                    <w:rPr>
                      <w:color w:val="000000" w:themeColor="text1"/>
                    </w:rPr>
                  </w:pPr>
                  <w:r w:rsidRPr="00687B52">
                    <w:rPr>
                      <w:rFonts w:hint="eastAsia"/>
                      <w:color w:val="000000" w:themeColor="text1"/>
                    </w:rPr>
                    <w:t>防爆型式</w:t>
                  </w:r>
                </w:p>
              </w:tc>
              <w:tc>
                <w:tcPr>
                  <w:tcW w:w="1276" w:type="dxa"/>
                  <w:vAlign w:val="center"/>
                </w:tcPr>
                <w:p w:rsidR="000E02C5" w:rsidRPr="00687B52" w:rsidRDefault="000E02C5" w:rsidP="00B527D4">
                  <w:pPr>
                    <w:pStyle w:val="a7"/>
                    <w:rPr>
                      <w:color w:val="000000" w:themeColor="text1"/>
                    </w:rPr>
                  </w:pPr>
                  <w:r w:rsidRPr="00687B52">
                    <w:rPr>
                      <w:rFonts w:hint="eastAsia"/>
                      <w:color w:val="000000" w:themeColor="text1"/>
                    </w:rPr>
                    <w:t>本质安全型</w:t>
                  </w:r>
                  <w:r w:rsidRPr="00687B52">
                    <w:rPr>
                      <w:rFonts w:hint="eastAsia"/>
                      <w:color w:val="000000" w:themeColor="text1"/>
                    </w:rPr>
                    <w:t>ia</w:t>
                  </w:r>
                </w:p>
              </w:tc>
              <w:tc>
                <w:tcPr>
                  <w:tcW w:w="1417" w:type="dxa"/>
                  <w:vAlign w:val="center"/>
                </w:tcPr>
                <w:p w:rsidR="000E02C5" w:rsidRPr="00687B52" w:rsidRDefault="000E02C5" w:rsidP="00B527D4">
                  <w:pPr>
                    <w:pStyle w:val="a7"/>
                    <w:rPr>
                      <w:color w:val="000000" w:themeColor="text1"/>
                    </w:rPr>
                  </w:pPr>
                  <w:r w:rsidRPr="00687B52">
                    <w:rPr>
                      <w:rFonts w:hint="eastAsia"/>
                      <w:color w:val="000000" w:themeColor="text1"/>
                    </w:rPr>
                    <w:t>本质安全型</w:t>
                  </w:r>
                  <w:r w:rsidRPr="00687B52">
                    <w:rPr>
                      <w:rFonts w:hint="eastAsia"/>
                      <w:color w:val="000000" w:themeColor="text1"/>
                    </w:rPr>
                    <w:t>ia</w:t>
                  </w:r>
                  <w:r w:rsidRPr="00687B52">
                    <w:rPr>
                      <w:rFonts w:hint="eastAsia"/>
                      <w:color w:val="000000" w:themeColor="text1"/>
                    </w:rPr>
                    <w:t>、</w:t>
                  </w:r>
                  <w:r w:rsidRPr="00687B52">
                    <w:rPr>
                      <w:rFonts w:hint="eastAsia"/>
                      <w:color w:val="000000" w:themeColor="text1"/>
                    </w:rPr>
                    <w:t>ib</w:t>
                  </w:r>
                  <w:r w:rsidRPr="00687B52">
                    <w:rPr>
                      <w:rFonts w:hint="eastAsia"/>
                      <w:color w:val="000000" w:themeColor="text1"/>
                    </w:rPr>
                    <w:t>隔爆型</w:t>
                  </w:r>
                  <w:r w:rsidRPr="00687B52">
                    <w:rPr>
                      <w:rFonts w:hint="eastAsia"/>
                      <w:color w:val="000000" w:themeColor="text1"/>
                    </w:rPr>
                    <w:t>d</w:t>
                  </w:r>
                </w:p>
              </w:tc>
              <w:tc>
                <w:tcPr>
                  <w:tcW w:w="1694" w:type="dxa"/>
                  <w:vAlign w:val="center"/>
                </w:tcPr>
                <w:p w:rsidR="000E02C5" w:rsidRPr="00687B52" w:rsidRDefault="000E02C5" w:rsidP="00B527D4">
                  <w:pPr>
                    <w:pStyle w:val="a7"/>
                    <w:rPr>
                      <w:color w:val="000000" w:themeColor="text1"/>
                    </w:rPr>
                  </w:pPr>
                  <w:r w:rsidRPr="00687B52">
                    <w:rPr>
                      <w:rFonts w:hint="eastAsia"/>
                      <w:color w:val="000000" w:themeColor="text1"/>
                    </w:rPr>
                    <w:t>本质安全型</w:t>
                  </w:r>
                  <w:r w:rsidRPr="00687B52">
                    <w:rPr>
                      <w:rFonts w:hint="eastAsia"/>
                      <w:color w:val="000000" w:themeColor="text1"/>
                    </w:rPr>
                    <w:t>ia</w:t>
                  </w:r>
                  <w:r w:rsidRPr="00687B52">
                    <w:rPr>
                      <w:rFonts w:hint="eastAsia"/>
                      <w:color w:val="000000" w:themeColor="text1"/>
                    </w:rPr>
                    <w:t>、</w:t>
                  </w:r>
                  <w:r w:rsidRPr="00687B52">
                    <w:rPr>
                      <w:rFonts w:hint="eastAsia"/>
                      <w:color w:val="000000" w:themeColor="text1"/>
                    </w:rPr>
                    <w:t>ib</w:t>
                  </w:r>
                  <w:r w:rsidRPr="00687B52">
                    <w:rPr>
                      <w:rFonts w:hint="eastAsia"/>
                      <w:color w:val="000000" w:themeColor="text1"/>
                    </w:rPr>
                    <w:t>隔爆型</w:t>
                  </w:r>
                  <w:r w:rsidRPr="00687B52">
                    <w:rPr>
                      <w:rFonts w:hint="eastAsia"/>
                      <w:color w:val="000000" w:themeColor="text1"/>
                    </w:rPr>
                    <w:t>d</w:t>
                  </w:r>
                  <w:r w:rsidRPr="00687B52">
                    <w:rPr>
                      <w:rFonts w:hint="eastAsia"/>
                      <w:color w:val="000000" w:themeColor="text1"/>
                    </w:rPr>
                    <w:t>、增安型</w:t>
                  </w:r>
                  <w:r w:rsidRPr="00687B52">
                    <w:rPr>
                      <w:rFonts w:hint="eastAsia"/>
                      <w:color w:val="000000" w:themeColor="text1"/>
                    </w:rPr>
                    <w:t>e</w:t>
                  </w:r>
                </w:p>
              </w:tc>
            </w:tr>
          </w:tbl>
          <w:p w:rsidR="000E02C5" w:rsidRPr="00687B52" w:rsidRDefault="000E02C5" w:rsidP="00B527D4">
            <w:pPr>
              <w:pStyle w:val="a7"/>
              <w:jc w:val="left"/>
              <w:rPr>
                <w:rFonts w:asciiTheme="minorEastAsia" w:eastAsiaTheme="minorEastAsia" w:hAnsiTheme="minorEastAsia"/>
                <w:color w:val="000000" w:themeColor="text1"/>
                <w:szCs w:val="24"/>
              </w:rPr>
            </w:pP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6.10.4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9"/>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进出站控制回路设计应符合下列规定：</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①控制方式宜采用节流调节或泵转速调节；</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②调节阀流量特性应选择等百分比或近似等百分比。</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6.10.6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9"/>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站控制系统的监控内容应符合下列规定：</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①应监视、调节正常运行工况下的输油温度、压力；</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②宜对管道输油量进行监控；</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③可对站场能耗进行计量；</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④应能完成报警事件和应急工况的处理；</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⑤应对混油段进行监视；</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⑥对需要远程控制的工艺设备、动力设备及其他辅助设备进行远程控制。</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6.10.7</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9"/>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仪表及站控制系统的交流电源应与动力、照明用电分开设置；站控制系统应采用不间断电源供电。</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6.10.8</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9"/>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仪表系统的接地宜采用共用接地装置，接地连接电阻不应大于</w:t>
            </w:r>
            <w:r w:rsidRPr="00687B52">
              <w:rPr>
                <w:rFonts w:hint="eastAsia"/>
                <w:color w:val="000000" w:themeColor="text1"/>
              </w:rPr>
              <w:t>1</w:t>
            </w:r>
            <w:r w:rsidRPr="00687B52">
              <w:rPr>
                <w:rFonts w:hint="eastAsia"/>
                <w:color w:val="000000" w:themeColor="text1"/>
              </w:rPr>
              <w:t>Ω。</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6.10.9</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19"/>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安全仪表系统设计应符合下列规定：</w:t>
            </w:r>
          </w:p>
          <w:p w:rsidR="000E02C5" w:rsidRPr="00687B52" w:rsidRDefault="000E02C5" w:rsidP="00B527D4">
            <w:pPr>
              <w:pStyle w:val="a7"/>
              <w:jc w:val="left"/>
              <w:rPr>
                <w:color w:val="000000" w:themeColor="text1"/>
              </w:rPr>
            </w:pPr>
            <w:r w:rsidRPr="00687B52">
              <w:rPr>
                <w:rFonts w:hint="eastAsia"/>
                <w:color w:val="000000" w:themeColor="text1"/>
              </w:rPr>
              <w:t>①输油站的安全仪表系统可独立配置，其控制应分为紧急停车和安全保护两个部分，并应进行分级设计。输油站紧急停车系统应设计为故障安全型。</w:t>
            </w:r>
          </w:p>
          <w:p w:rsidR="000E02C5" w:rsidRPr="00687B52" w:rsidRDefault="000E02C5" w:rsidP="00B527D4">
            <w:pPr>
              <w:pStyle w:val="a7"/>
              <w:jc w:val="left"/>
              <w:rPr>
                <w:color w:val="000000" w:themeColor="text1"/>
              </w:rPr>
            </w:pPr>
            <w:r w:rsidRPr="00687B52">
              <w:rPr>
                <w:rFonts w:hint="eastAsia"/>
                <w:color w:val="000000" w:themeColor="text1"/>
              </w:rPr>
              <w:t>②输油站紧急停车系统应符合下列规定：</w:t>
            </w:r>
            <w:r w:rsidRPr="00687B52">
              <w:rPr>
                <w:rFonts w:hint="eastAsia"/>
                <w:color w:val="000000" w:themeColor="text1"/>
              </w:rPr>
              <w:t>a</w:t>
            </w:r>
            <w:r w:rsidRPr="00687B52">
              <w:rPr>
                <w:rFonts w:hint="eastAsia"/>
                <w:color w:val="000000" w:themeColor="text1"/>
              </w:rPr>
              <w:t>应具有就地、站控制室操作的功能；</w:t>
            </w:r>
            <w:r w:rsidRPr="00687B52">
              <w:rPr>
                <w:rFonts w:hint="eastAsia"/>
                <w:color w:val="000000" w:themeColor="text1"/>
              </w:rPr>
              <w:t>b</w:t>
            </w:r>
            <w:r w:rsidRPr="00687B52">
              <w:rPr>
                <w:rFonts w:hint="eastAsia"/>
                <w:color w:val="000000" w:themeColor="text1"/>
              </w:rPr>
              <w:t>输油站发生火灾时，应能够切断除消防系统和应急电源以外的供电电源或动力；</w:t>
            </w:r>
            <w:r w:rsidRPr="00687B52">
              <w:rPr>
                <w:rFonts w:hint="eastAsia"/>
                <w:color w:val="000000" w:themeColor="text1"/>
              </w:rPr>
              <w:t>c</w:t>
            </w:r>
            <w:r w:rsidRPr="00687B52">
              <w:rPr>
                <w:rFonts w:hint="eastAsia"/>
                <w:color w:val="000000" w:themeColor="text1"/>
              </w:rPr>
              <w:t>应具有使设备或全站安全停运并与管道隔离的功能；</w:t>
            </w:r>
            <w:r w:rsidRPr="00687B52">
              <w:rPr>
                <w:rFonts w:hint="eastAsia"/>
                <w:color w:val="000000" w:themeColor="text1"/>
              </w:rPr>
              <w:t>d</w:t>
            </w:r>
            <w:r w:rsidRPr="00687B52">
              <w:rPr>
                <w:rFonts w:hint="eastAsia"/>
                <w:color w:val="000000" w:themeColor="text1"/>
              </w:rPr>
              <w:t>系统应根据故障的性质和输油工艺要求进行分级，高级别的关断应自动触发低级别的关断；</w:t>
            </w:r>
            <w:r w:rsidRPr="00687B52">
              <w:rPr>
                <w:rFonts w:hint="eastAsia"/>
                <w:color w:val="000000" w:themeColor="text1"/>
              </w:rPr>
              <w:t>e</w:t>
            </w:r>
            <w:r w:rsidRPr="00687B52">
              <w:rPr>
                <w:rFonts w:hint="eastAsia"/>
                <w:color w:val="000000" w:themeColor="text1"/>
              </w:rPr>
              <w:t>应有触发全线联锁动作的输出信号。</w:t>
            </w:r>
          </w:p>
          <w:p w:rsidR="000E02C5" w:rsidRPr="00687B52" w:rsidRDefault="000E02C5" w:rsidP="00B527D4">
            <w:pPr>
              <w:pStyle w:val="a7"/>
              <w:jc w:val="left"/>
              <w:rPr>
                <w:color w:val="000000" w:themeColor="text1"/>
              </w:rPr>
            </w:pPr>
            <w:r w:rsidRPr="00687B52">
              <w:rPr>
                <w:rFonts w:hint="eastAsia"/>
                <w:color w:val="000000" w:themeColor="text1"/>
              </w:rPr>
              <w:t>③输油站的安全保护应根据管道全线及输油站的工艺过程的安全、操作和运行要求设计，在联锁动作前应设置预报警信号，其安全保护应符合下列规定：</w:t>
            </w:r>
            <w:r w:rsidRPr="00687B52">
              <w:rPr>
                <w:rFonts w:hint="eastAsia"/>
                <w:color w:val="000000" w:themeColor="text1"/>
              </w:rPr>
              <w:t>a</w:t>
            </w:r>
            <w:r w:rsidRPr="00687B52">
              <w:rPr>
                <w:rFonts w:hint="eastAsia"/>
                <w:color w:val="000000" w:themeColor="text1"/>
              </w:rPr>
              <w:t>输油泵站进、出泵应设置超压保护调节功能；</w:t>
            </w:r>
            <w:r w:rsidRPr="00687B52">
              <w:rPr>
                <w:rFonts w:hint="eastAsia"/>
                <w:color w:val="000000" w:themeColor="text1"/>
              </w:rPr>
              <w:t>b</w:t>
            </w:r>
            <w:r w:rsidRPr="00687B52">
              <w:rPr>
                <w:rFonts w:hint="eastAsia"/>
                <w:color w:val="000000" w:themeColor="text1"/>
              </w:rPr>
              <w:t>出现水击工况，应设置与出站压力控制回路联锁调节功能及输油泵机组顺序停运联锁功能。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7.3.4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trHeight w:val="89"/>
          <w:jc w:val="center"/>
        </w:trPr>
        <w:tc>
          <w:tcPr>
            <w:tcW w:w="460" w:type="pct"/>
            <w:vAlign w:val="center"/>
          </w:tcPr>
          <w:p w:rsidR="000E02C5" w:rsidRPr="00687B52" w:rsidRDefault="000E02C5" w:rsidP="00B527D4">
            <w:pPr>
              <w:pStyle w:val="a7"/>
              <w:rPr>
                <w:b/>
                <w:color w:val="000000" w:themeColor="text1"/>
              </w:rPr>
            </w:pPr>
            <w:r w:rsidRPr="00687B52">
              <w:rPr>
                <w:rFonts w:hint="eastAsia"/>
                <w:b/>
                <w:color w:val="000000" w:themeColor="text1"/>
              </w:rPr>
              <w:t>3.2.3</w:t>
            </w:r>
          </w:p>
        </w:tc>
        <w:tc>
          <w:tcPr>
            <w:tcW w:w="2750" w:type="pct"/>
            <w:vAlign w:val="center"/>
          </w:tcPr>
          <w:p w:rsidR="000E02C5" w:rsidRPr="00687B52" w:rsidRDefault="000E02C5" w:rsidP="00B527D4">
            <w:pPr>
              <w:pStyle w:val="a7"/>
              <w:jc w:val="left"/>
              <w:rPr>
                <w:b/>
                <w:color w:val="000000" w:themeColor="text1"/>
              </w:rPr>
            </w:pPr>
            <w:r w:rsidRPr="00687B52">
              <w:rPr>
                <w:rFonts w:hint="eastAsia"/>
                <w:b/>
                <w:color w:val="000000" w:themeColor="text1"/>
              </w:rPr>
              <w:t>输气站场及长输管道</w:t>
            </w:r>
          </w:p>
        </w:tc>
        <w:tc>
          <w:tcPr>
            <w:tcW w:w="930" w:type="pct"/>
            <w:vAlign w:val="center"/>
          </w:tcPr>
          <w:p w:rsidR="000E02C5" w:rsidRPr="00687B52" w:rsidRDefault="000E02C5" w:rsidP="00B527D4">
            <w:pPr>
              <w:pStyle w:val="a7"/>
              <w:rPr>
                <w:color w:val="000000" w:themeColor="text1"/>
              </w:rPr>
            </w:pP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0"/>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输气管道应设置测量、控制、监视仪表及控制系统。</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8.1.1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0"/>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输气管道调度控制中心应设置在调度管理、通信联络、系统维修、交通方便的地方。</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8.2.1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0"/>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调度控制中心计算机系统应配备操作系统软件、监控与数据采集（</w:t>
            </w:r>
            <w:r w:rsidRPr="00687B52">
              <w:rPr>
                <w:rFonts w:hint="eastAsia"/>
                <w:color w:val="000000" w:themeColor="text1"/>
              </w:rPr>
              <w:t>SCADA</w:t>
            </w:r>
            <w:r w:rsidRPr="00687B52">
              <w:rPr>
                <w:rFonts w:hint="eastAsia"/>
                <w:color w:val="000000" w:themeColor="text1"/>
              </w:rPr>
              <w:t>）系统软件。</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8.2.2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0"/>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调度控制中心的计算机系统应配置服务器、操作员工工作站、工程师工作站、外部存储设备、网络设备和打印机。服务器、网络设备等宜冗余配置。</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8.2.3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0"/>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调度控制中心的计算机系统应采取相应的措施确保数据安全。</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8.2.4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0"/>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流量计量应符合下列规定：</w:t>
            </w:r>
          </w:p>
          <w:p w:rsidR="000E02C5" w:rsidRPr="00687B52" w:rsidRDefault="000E02C5" w:rsidP="00B527D4">
            <w:pPr>
              <w:pStyle w:val="a7"/>
              <w:jc w:val="left"/>
              <w:rPr>
                <w:color w:val="000000" w:themeColor="text1"/>
              </w:rPr>
            </w:pPr>
            <w:r w:rsidRPr="00687B52">
              <w:rPr>
                <w:rFonts w:hint="eastAsia"/>
                <w:color w:val="000000" w:themeColor="text1"/>
              </w:rPr>
              <w:t>①输气管道贸易交接计量系统应设置备用计量管路；</w:t>
            </w:r>
          </w:p>
          <w:p w:rsidR="000E02C5" w:rsidRPr="00687B52" w:rsidRDefault="000E02C5" w:rsidP="00B527D4">
            <w:pPr>
              <w:pStyle w:val="a7"/>
              <w:jc w:val="left"/>
              <w:rPr>
                <w:color w:val="000000" w:themeColor="text1"/>
              </w:rPr>
            </w:pPr>
            <w:r w:rsidRPr="00687B52">
              <w:rPr>
                <w:rFonts w:hint="eastAsia"/>
                <w:color w:val="000000" w:themeColor="text1"/>
              </w:rPr>
              <w:t>②输气管道贸易交接计量系统配置宜根据天然气能量计量的需求确定。</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8.4.1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0"/>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压力控制应符合下列规定：</w:t>
            </w:r>
          </w:p>
          <w:p w:rsidR="000E02C5" w:rsidRPr="00687B52" w:rsidRDefault="000E02C5" w:rsidP="00B527D4">
            <w:pPr>
              <w:pStyle w:val="a7"/>
              <w:jc w:val="left"/>
              <w:rPr>
                <w:color w:val="000000" w:themeColor="text1"/>
              </w:rPr>
            </w:pPr>
            <w:r w:rsidRPr="00687B52">
              <w:rPr>
                <w:rFonts w:hint="eastAsia"/>
                <w:color w:val="000000" w:themeColor="text1"/>
              </w:rPr>
              <w:t>①输气站压力控制系统的设计应保证输气管道安全、平稳、连续地向下游用户供气，维持管道下游压力在供应所需的范围之内，确保管道下游不超过允许的压力；</w:t>
            </w:r>
          </w:p>
          <w:p w:rsidR="000E02C5" w:rsidRPr="00687B52" w:rsidRDefault="000E02C5" w:rsidP="00B527D4">
            <w:pPr>
              <w:pStyle w:val="a7"/>
              <w:jc w:val="left"/>
              <w:rPr>
                <w:color w:val="000000" w:themeColor="text1"/>
              </w:rPr>
            </w:pPr>
            <w:r w:rsidRPr="00687B52">
              <w:rPr>
                <w:rFonts w:hint="eastAsia"/>
                <w:color w:val="000000" w:themeColor="text1"/>
              </w:rPr>
              <w:t>②供气量超限可能导致管输系统失调的部位，压力控制系统应具有限流功能；</w:t>
            </w:r>
          </w:p>
          <w:p w:rsidR="000E02C5" w:rsidRPr="00687B52" w:rsidRDefault="000E02C5" w:rsidP="00B527D4">
            <w:pPr>
              <w:pStyle w:val="a7"/>
              <w:jc w:val="left"/>
              <w:rPr>
                <w:color w:val="000000" w:themeColor="text1"/>
              </w:rPr>
            </w:pPr>
            <w:r w:rsidRPr="00687B52">
              <w:rPr>
                <w:rFonts w:hint="eastAsia"/>
                <w:color w:val="000000" w:themeColor="text1"/>
              </w:rPr>
              <w:t>③压力控制系统可设置备用管路。</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8.4.2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0"/>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当压力控制系统出现故障会危及下游供气设施安全时，应设置可靠的压力安全装置。压力安全装置的设计应符合下列规定：</w:t>
            </w:r>
          </w:p>
          <w:p w:rsidR="000E02C5" w:rsidRPr="00687B52" w:rsidRDefault="000E02C5" w:rsidP="00B527D4">
            <w:pPr>
              <w:pStyle w:val="a7"/>
              <w:jc w:val="left"/>
              <w:rPr>
                <w:color w:val="000000" w:themeColor="text1"/>
              </w:rPr>
            </w:pPr>
            <w:r w:rsidRPr="00687B52">
              <w:rPr>
                <w:rFonts w:hint="eastAsia"/>
                <w:color w:val="000000" w:themeColor="text1"/>
              </w:rPr>
              <w:t>①当上游最大操作压力大于下游最大操作压力时，气体调压系统应设置单个（第一级）压力安全设备。</w:t>
            </w:r>
          </w:p>
          <w:p w:rsidR="000E02C5" w:rsidRPr="00687B52" w:rsidRDefault="000E02C5" w:rsidP="00B527D4">
            <w:pPr>
              <w:pStyle w:val="a7"/>
              <w:jc w:val="left"/>
              <w:rPr>
                <w:color w:val="000000" w:themeColor="text1"/>
              </w:rPr>
            </w:pPr>
            <w:r w:rsidRPr="00687B52">
              <w:rPr>
                <w:rFonts w:hint="eastAsia"/>
                <w:color w:val="000000" w:themeColor="text1"/>
              </w:rPr>
              <w:t>②当上游最大操作压力大于下游最大操作压力</w:t>
            </w:r>
            <w:r w:rsidRPr="00687B52">
              <w:rPr>
                <w:rFonts w:hint="eastAsia"/>
                <w:color w:val="000000" w:themeColor="text1"/>
              </w:rPr>
              <w:t>1.6MPa</w:t>
            </w:r>
            <w:r w:rsidRPr="00687B52">
              <w:rPr>
                <w:rFonts w:hint="eastAsia"/>
                <w:color w:val="000000" w:themeColor="text1"/>
              </w:rPr>
              <w:t>以上，以及上游最大操作压力大于下游管道和设备强度试验压力时，单个的（第一级）压力安全设备还应同时加上第二个安全设备。此时可选择下列措施之一：</w:t>
            </w:r>
            <w:r w:rsidRPr="00687B52">
              <w:rPr>
                <w:rFonts w:hint="eastAsia"/>
                <w:color w:val="000000" w:themeColor="text1"/>
              </w:rPr>
              <w:t>a</w:t>
            </w:r>
            <w:r w:rsidRPr="00687B52">
              <w:rPr>
                <w:rFonts w:hint="eastAsia"/>
                <w:color w:val="000000" w:themeColor="text1"/>
              </w:rPr>
              <w:t>每一回路串联安装</w:t>
            </w:r>
            <w:r w:rsidRPr="00687B52">
              <w:rPr>
                <w:rFonts w:hint="eastAsia"/>
                <w:color w:val="000000" w:themeColor="text1"/>
              </w:rPr>
              <w:t>2</w:t>
            </w:r>
            <w:r w:rsidRPr="00687B52">
              <w:rPr>
                <w:rFonts w:hint="eastAsia"/>
                <w:color w:val="000000" w:themeColor="text1"/>
              </w:rPr>
              <w:t>台安全截断设备，安全截断设备应具备快速关闭能力并提供可靠截断密封；</w:t>
            </w:r>
            <w:r w:rsidRPr="00687B52">
              <w:rPr>
                <w:rFonts w:hint="eastAsia"/>
                <w:color w:val="000000" w:themeColor="text1"/>
              </w:rPr>
              <w:t>b</w:t>
            </w:r>
            <w:r w:rsidRPr="00687B52">
              <w:rPr>
                <w:rFonts w:hint="eastAsia"/>
                <w:color w:val="000000" w:themeColor="text1"/>
              </w:rPr>
              <w:t>每一回路安装</w:t>
            </w:r>
            <w:r w:rsidRPr="00687B52">
              <w:rPr>
                <w:rFonts w:hint="eastAsia"/>
                <w:color w:val="000000" w:themeColor="text1"/>
              </w:rPr>
              <w:t>1</w:t>
            </w:r>
            <w:r w:rsidRPr="00687B52">
              <w:rPr>
                <w:rFonts w:hint="eastAsia"/>
                <w:color w:val="000000" w:themeColor="text1"/>
              </w:rPr>
              <w:t>台安全截断设备和</w:t>
            </w:r>
            <w:r w:rsidRPr="00687B52">
              <w:rPr>
                <w:rFonts w:hint="eastAsia"/>
                <w:color w:val="000000" w:themeColor="text1"/>
              </w:rPr>
              <w:t>1</w:t>
            </w:r>
            <w:r w:rsidRPr="00687B52">
              <w:rPr>
                <w:rFonts w:hint="eastAsia"/>
                <w:color w:val="000000" w:themeColor="text1"/>
              </w:rPr>
              <w:t>台附加的压力调节控制设备；</w:t>
            </w:r>
            <w:r w:rsidRPr="00687B52">
              <w:rPr>
                <w:rFonts w:hint="eastAsia"/>
                <w:color w:val="000000" w:themeColor="text1"/>
              </w:rPr>
              <w:t>c</w:t>
            </w:r>
            <w:r w:rsidRPr="00687B52">
              <w:rPr>
                <w:rFonts w:hint="eastAsia"/>
                <w:color w:val="000000" w:themeColor="text1"/>
              </w:rPr>
              <w:t>每一回路安装</w:t>
            </w:r>
            <w:r w:rsidRPr="00687B52">
              <w:rPr>
                <w:rFonts w:hint="eastAsia"/>
                <w:color w:val="000000" w:themeColor="text1"/>
              </w:rPr>
              <w:t>1</w:t>
            </w:r>
            <w:r w:rsidRPr="00687B52">
              <w:rPr>
                <w:rFonts w:hint="eastAsia"/>
                <w:color w:val="000000" w:themeColor="text1"/>
              </w:rPr>
              <w:t>台安全截断设备和</w:t>
            </w:r>
            <w:r w:rsidRPr="00687B52">
              <w:rPr>
                <w:rFonts w:hint="eastAsia"/>
                <w:color w:val="000000" w:themeColor="text1"/>
              </w:rPr>
              <w:t>1</w:t>
            </w:r>
            <w:r w:rsidRPr="00687B52">
              <w:rPr>
                <w:rFonts w:hint="eastAsia"/>
                <w:color w:val="000000" w:themeColor="text1"/>
              </w:rPr>
              <w:t>台最大流量安全泄放设备。</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8.4.3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0"/>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火灾及可燃气体报警系统设计应符合下列规定：</w:t>
            </w:r>
          </w:p>
          <w:p w:rsidR="000E02C5" w:rsidRPr="00687B52" w:rsidRDefault="000E02C5" w:rsidP="00B527D4">
            <w:pPr>
              <w:pStyle w:val="a7"/>
              <w:jc w:val="left"/>
              <w:rPr>
                <w:color w:val="000000" w:themeColor="text1"/>
              </w:rPr>
            </w:pPr>
            <w:r w:rsidRPr="00687B52">
              <w:rPr>
                <w:rFonts w:hint="eastAsia"/>
                <w:color w:val="000000" w:themeColor="text1"/>
              </w:rPr>
              <w:t>①火灾及可燃气体的封闭区域内应对可燃气体泄漏进行检测；</w:t>
            </w:r>
          </w:p>
          <w:p w:rsidR="000E02C5" w:rsidRPr="00687B52" w:rsidRDefault="000E02C5" w:rsidP="00B527D4">
            <w:pPr>
              <w:pStyle w:val="a7"/>
              <w:jc w:val="left"/>
              <w:rPr>
                <w:color w:val="000000" w:themeColor="text1"/>
              </w:rPr>
            </w:pPr>
            <w:r w:rsidRPr="00687B52">
              <w:rPr>
                <w:rFonts w:hint="eastAsia"/>
                <w:color w:val="000000" w:themeColor="text1"/>
              </w:rPr>
              <w:t>②压缩机厂房宜设置火焰探测报警系统。</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8.4.5</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B527D4">
            <w:pPr>
              <w:pStyle w:val="a7"/>
              <w:rPr>
                <w:b/>
                <w:color w:val="000000" w:themeColor="text1"/>
              </w:rPr>
            </w:pPr>
            <w:r w:rsidRPr="00687B52">
              <w:rPr>
                <w:rFonts w:hint="eastAsia"/>
                <w:b/>
                <w:color w:val="000000" w:themeColor="text1"/>
              </w:rPr>
              <w:t>3.3</w:t>
            </w:r>
          </w:p>
        </w:tc>
        <w:tc>
          <w:tcPr>
            <w:tcW w:w="2750" w:type="pct"/>
            <w:vAlign w:val="center"/>
          </w:tcPr>
          <w:p w:rsidR="000E02C5" w:rsidRPr="00687B52" w:rsidRDefault="000E02C5" w:rsidP="00B527D4">
            <w:pPr>
              <w:pStyle w:val="a7"/>
              <w:jc w:val="left"/>
              <w:rPr>
                <w:b/>
                <w:color w:val="000000" w:themeColor="text1"/>
              </w:rPr>
            </w:pPr>
            <w:r w:rsidRPr="00687B52">
              <w:rPr>
                <w:rFonts w:hint="eastAsia"/>
                <w:b/>
                <w:color w:val="000000" w:themeColor="text1"/>
              </w:rPr>
              <w:t>站场储运系统</w:t>
            </w:r>
          </w:p>
        </w:tc>
        <w:tc>
          <w:tcPr>
            <w:tcW w:w="930" w:type="pct"/>
            <w:vAlign w:val="center"/>
          </w:tcPr>
          <w:p w:rsidR="000E02C5" w:rsidRPr="00687B52" w:rsidRDefault="000E02C5" w:rsidP="00B527D4">
            <w:pPr>
              <w:pStyle w:val="a7"/>
              <w:jc w:val="left"/>
              <w:rPr>
                <w:b/>
                <w:color w:val="000000" w:themeColor="text1"/>
              </w:rPr>
            </w:pPr>
          </w:p>
        </w:tc>
        <w:tc>
          <w:tcPr>
            <w:tcW w:w="860" w:type="pct"/>
            <w:vAlign w:val="center"/>
          </w:tcPr>
          <w:p w:rsidR="000E02C5" w:rsidRPr="00687B52" w:rsidRDefault="000E02C5" w:rsidP="00B527D4">
            <w:pPr>
              <w:pStyle w:val="a7"/>
              <w:jc w:val="left"/>
              <w:rPr>
                <w:b/>
                <w:color w:val="000000" w:themeColor="text1"/>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原油管道站场的原油储罐宜选用浮顶油罐。</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6.3.1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站场泄压罐设置及容量应根据瞬态水力分析确定，泄压罐宜采用固定顶储罐。</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6.3.3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储存汽油、石脑油、煤油、溶剂油、航空煤油、喷气燃料油应选用内浮顶罐；闪点低于</w:t>
            </w:r>
            <w:r w:rsidRPr="00687B52">
              <w:rPr>
                <w:rFonts w:hint="eastAsia"/>
                <w:color w:val="000000" w:themeColor="text1"/>
              </w:rPr>
              <w:t>45</w:t>
            </w:r>
            <w:r w:rsidRPr="00687B52">
              <w:rPr>
                <w:rFonts w:hint="eastAsia"/>
                <w:color w:val="000000" w:themeColor="text1"/>
              </w:rPr>
              <w:t>℃的柴油宜选用内浮顶罐，闪点高于</w:t>
            </w:r>
            <w:r w:rsidRPr="00687B52">
              <w:rPr>
                <w:rFonts w:hint="eastAsia"/>
                <w:color w:val="000000" w:themeColor="text1"/>
              </w:rPr>
              <w:t>45</w:t>
            </w:r>
            <w:r w:rsidRPr="00687B52">
              <w:rPr>
                <w:rFonts w:hint="eastAsia"/>
                <w:color w:val="000000" w:themeColor="text1"/>
              </w:rPr>
              <w:t>℃的柴油、重油等可选用固定顶油罐。</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6.4.1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液化石油气储罐在常温下，应选用卧式金属储罐或球形储罐。液化石油气储罐下部应设置排污双阀，在寒冷地区应设防冻设施。液化石油气储罐上应设置安全阀。安全阀入口管道和出口管道上不宜设置切断阀，当工艺有特殊要求必须设置时，应使切断阀在正常工作时保持开启状态并加铅封。与储罐相接的管线上不得安装铸铁阀。容量大于或等于</w:t>
            </w:r>
            <w:r w:rsidRPr="00687B52">
              <w:rPr>
                <w:rFonts w:hint="eastAsia"/>
                <w:color w:val="000000" w:themeColor="text1"/>
              </w:rPr>
              <w:t>100m</w:t>
            </w:r>
            <w:r w:rsidRPr="00687B52">
              <w:rPr>
                <w:rFonts w:hint="eastAsia"/>
                <w:color w:val="000000" w:themeColor="text1"/>
                <w:vertAlign w:val="superscript"/>
              </w:rPr>
              <w:t>3</w:t>
            </w:r>
            <w:r w:rsidRPr="00687B52">
              <w:rPr>
                <w:rFonts w:hint="eastAsia"/>
                <w:color w:val="000000" w:themeColor="text1"/>
              </w:rPr>
              <w:t>的储罐应设置</w:t>
            </w:r>
            <w:r w:rsidRPr="00687B52">
              <w:rPr>
                <w:rFonts w:hint="eastAsia"/>
                <w:color w:val="000000" w:themeColor="text1"/>
              </w:rPr>
              <w:t>2</w:t>
            </w:r>
            <w:r w:rsidRPr="00687B52">
              <w:rPr>
                <w:rFonts w:hint="eastAsia"/>
                <w:color w:val="000000" w:themeColor="text1"/>
              </w:rPr>
              <w:t>个或</w:t>
            </w:r>
            <w:r w:rsidRPr="00687B52">
              <w:rPr>
                <w:rFonts w:hint="eastAsia"/>
                <w:color w:val="000000" w:themeColor="text1"/>
              </w:rPr>
              <w:t>2</w:t>
            </w:r>
            <w:r w:rsidRPr="00687B52">
              <w:rPr>
                <w:rFonts w:hint="eastAsia"/>
                <w:color w:val="000000" w:themeColor="text1"/>
              </w:rPr>
              <w:t>个以上安全阀。</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6.5.1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油品储罐应设液位计和高液位报警装置，必要时可设自动联锁切断进液装置。油品储罐宜设自动截油排水器。</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6.1.10</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油品储罐进液管宜从罐体下部接入，若必须从上部接入，应延伸至距罐底</w:t>
            </w:r>
            <w:r w:rsidRPr="00687B52">
              <w:rPr>
                <w:rFonts w:hint="eastAsia"/>
                <w:color w:val="000000" w:themeColor="text1"/>
              </w:rPr>
              <w:t>200mm</w:t>
            </w:r>
            <w:r w:rsidRPr="00687B52">
              <w:rPr>
                <w:rFonts w:hint="eastAsia"/>
                <w:color w:val="000000" w:themeColor="text1"/>
              </w:rPr>
              <w:t>处。</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6.1.12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油品储罐应为地上式钢罐。</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6.5.1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油品储罐应分组布置并符合下列规定：</w:t>
            </w:r>
          </w:p>
          <w:p w:rsidR="000E02C5" w:rsidRPr="00687B52" w:rsidRDefault="000E02C5" w:rsidP="00B527D4">
            <w:pPr>
              <w:pStyle w:val="a7"/>
              <w:jc w:val="both"/>
              <w:rPr>
                <w:color w:val="000000" w:themeColor="text1"/>
              </w:rPr>
            </w:pPr>
            <w:r w:rsidRPr="00687B52">
              <w:rPr>
                <w:rFonts w:hint="eastAsia"/>
                <w:color w:val="000000" w:themeColor="text1"/>
              </w:rPr>
              <w:t>①在同一罐组内，宜布置火灾危险性类别相同或相近的储罐。</w:t>
            </w:r>
          </w:p>
          <w:p w:rsidR="000E02C5" w:rsidRPr="00687B52" w:rsidRDefault="000E02C5" w:rsidP="00B527D4">
            <w:pPr>
              <w:pStyle w:val="a7"/>
              <w:jc w:val="both"/>
              <w:rPr>
                <w:color w:val="000000" w:themeColor="text1"/>
              </w:rPr>
            </w:pPr>
            <w:r w:rsidRPr="00687B52">
              <w:rPr>
                <w:rFonts w:hint="eastAsia"/>
                <w:color w:val="000000" w:themeColor="text1"/>
              </w:rPr>
              <w:t>②常压油品储罐不应与液化石油气、天然气凝液储罐同组布置。</w:t>
            </w:r>
          </w:p>
          <w:p w:rsidR="000E02C5" w:rsidRPr="00687B52" w:rsidRDefault="000E02C5" w:rsidP="00B527D4">
            <w:pPr>
              <w:pStyle w:val="a7"/>
              <w:jc w:val="both"/>
              <w:rPr>
                <w:color w:val="000000" w:themeColor="text1"/>
              </w:rPr>
            </w:pPr>
            <w:r w:rsidRPr="00687B52">
              <w:rPr>
                <w:rFonts w:hint="eastAsia"/>
                <w:color w:val="000000" w:themeColor="text1"/>
              </w:rPr>
              <w:t>③沸溢性的油品储罐，不应与非沸溢性油品储罐同组布置。</w:t>
            </w:r>
          </w:p>
          <w:p w:rsidR="000E02C5" w:rsidRPr="00687B52" w:rsidRDefault="000E02C5" w:rsidP="00B527D4">
            <w:pPr>
              <w:pStyle w:val="a7"/>
              <w:jc w:val="both"/>
              <w:rPr>
                <w:color w:val="000000" w:themeColor="text1"/>
              </w:rPr>
            </w:pPr>
            <w:r w:rsidRPr="00687B52">
              <w:rPr>
                <w:rFonts w:hint="eastAsia"/>
                <w:color w:val="000000" w:themeColor="text1"/>
              </w:rPr>
              <w:t>④地上立式油罐同高位罐、卧式罐不宜布置在同一罐组内。</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6.5.2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稳定原油、甲</w:t>
            </w:r>
            <w:r w:rsidRPr="00687B52">
              <w:rPr>
                <w:rFonts w:hint="eastAsia"/>
                <w:color w:val="000000" w:themeColor="text1"/>
                <w:vertAlign w:val="subscript"/>
              </w:rPr>
              <w:t>A</w:t>
            </w:r>
            <w:r w:rsidRPr="00687B52">
              <w:rPr>
                <w:rFonts w:hint="eastAsia"/>
                <w:color w:val="000000" w:themeColor="text1"/>
              </w:rPr>
              <w:t>、甲</w:t>
            </w:r>
            <w:r w:rsidRPr="00687B52">
              <w:rPr>
                <w:rFonts w:hint="eastAsia"/>
                <w:color w:val="000000" w:themeColor="text1"/>
                <w:vertAlign w:val="subscript"/>
              </w:rPr>
              <w:t>B</w:t>
            </w:r>
            <w:r w:rsidRPr="00687B52">
              <w:rPr>
                <w:rFonts w:hint="eastAsia"/>
                <w:color w:val="000000" w:themeColor="text1"/>
              </w:rPr>
              <w:t>类油品储罐宜采用浮顶油罐。不稳定原油用的作业罐应采用固定顶油罐。稳定轻烃可根据相关标准的要求，选用内浮顶罐或压力储罐，钢油罐建造应符合国家现行油罐设计规范的要求。</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6.5.3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油罐组内的油罐总容量应符合下列规定：</w:t>
            </w:r>
          </w:p>
          <w:p w:rsidR="000E02C5" w:rsidRPr="00687B52" w:rsidRDefault="000E02C5" w:rsidP="00B527D4">
            <w:pPr>
              <w:pStyle w:val="a7"/>
              <w:jc w:val="both"/>
              <w:rPr>
                <w:color w:val="000000" w:themeColor="text1"/>
              </w:rPr>
            </w:pPr>
            <w:r w:rsidRPr="00687B52">
              <w:rPr>
                <w:rFonts w:hint="eastAsia"/>
                <w:color w:val="000000" w:themeColor="text1"/>
              </w:rPr>
              <w:t>①固定顶油罐组不应大于</w:t>
            </w:r>
            <w:r w:rsidRPr="00687B52">
              <w:rPr>
                <w:rFonts w:hint="eastAsia"/>
                <w:color w:val="000000" w:themeColor="text1"/>
              </w:rPr>
              <w:t>120000m</w:t>
            </w:r>
            <w:r w:rsidRPr="00687B52">
              <w:rPr>
                <w:rFonts w:hint="eastAsia"/>
                <w:color w:val="000000" w:themeColor="text1"/>
                <w:vertAlign w:val="superscript"/>
              </w:rPr>
              <w:t>3</w:t>
            </w:r>
            <w:r w:rsidRPr="00687B52">
              <w:rPr>
                <w:rFonts w:hint="eastAsia"/>
                <w:color w:val="000000" w:themeColor="text1"/>
              </w:rPr>
              <w:t>。</w:t>
            </w:r>
          </w:p>
          <w:p w:rsidR="000E02C5" w:rsidRPr="00687B52" w:rsidRDefault="000E02C5" w:rsidP="00B527D4">
            <w:pPr>
              <w:pStyle w:val="a7"/>
              <w:jc w:val="both"/>
              <w:rPr>
                <w:color w:val="000000" w:themeColor="text1"/>
              </w:rPr>
            </w:pPr>
            <w:r w:rsidRPr="00687B52">
              <w:rPr>
                <w:rFonts w:hint="eastAsia"/>
                <w:color w:val="000000" w:themeColor="text1"/>
              </w:rPr>
              <w:t>②浮顶油罐组不应大于</w:t>
            </w:r>
            <w:r w:rsidRPr="00687B52">
              <w:rPr>
                <w:rFonts w:hint="eastAsia"/>
                <w:color w:val="000000" w:themeColor="text1"/>
              </w:rPr>
              <w:t>60000m</w:t>
            </w:r>
            <w:r w:rsidRPr="00687B52">
              <w:rPr>
                <w:rFonts w:hint="eastAsia"/>
                <w:color w:val="000000" w:themeColor="text1"/>
                <w:vertAlign w:val="superscript"/>
              </w:rPr>
              <w:t>3</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6.5.4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油罐组内的油罐数量应符合下列要求：</w:t>
            </w:r>
          </w:p>
          <w:p w:rsidR="000E02C5" w:rsidRPr="00687B52" w:rsidRDefault="000E02C5" w:rsidP="00B527D4">
            <w:pPr>
              <w:pStyle w:val="a7"/>
              <w:jc w:val="both"/>
              <w:rPr>
                <w:color w:val="000000" w:themeColor="text1"/>
              </w:rPr>
            </w:pPr>
            <w:r w:rsidRPr="00687B52">
              <w:rPr>
                <w:rFonts w:hint="eastAsia"/>
                <w:color w:val="000000" w:themeColor="text1"/>
              </w:rPr>
              <w:t>①当单罐容量不小于</w:t>
            </w:r>
            <w:r w:rsidRPr="00687B52">
              <w:rPr>
                <w:rFonts w:hint="eastAsia"/>
                <w:color w:val="000000" w:themeColor="text1"/>
              </w:rPr>
              <w:t>1000m</w:t>
            </w:r>
            <w:r w:rsidRPr="00687B52">
              <w:rPr>
                <w:rFonts w:hint="eastAsia"/>
                <w:color w:val="000000" w:themeColor="text1"/>
                <w:vertAlign w:val="superscript"/>
              </w:rPr>
              <w:t>3</w:t>
            </w:r>
            <w:r w:rsidRPr="00687B52">
              <w:rPr>
                <w:rFonts w:hint="eastAsia"/>
                <w:color w:val="000000" w:themeColor="text1"/>
              </w:rPr>
              <w:t>时，不应多于</w:t>
            </w:r>
            <w:r w:rsidRPr="00687B52">
              <w:rPr>
                <w:rFonts w:hint="eastAsia"/>
                <w:color w:val="000000" w:themeColor="text1"/>
              </w:rPr>
              <w:t>12</w:t>
            </w:r>
            <w:r w:rsidRPr="00687B52">
              <w:rPr>
                <w:rFonts w:hint="eastAsia"/>
                <w:color w:val="000000" w:themeColor="text1"/>
              </w:rPr>
              <w:t>座。</w:t>
            </w:r>
          </w:p>
          <w:p w:rsidR="000E02C5" w:rsidRPr="00687B52" w:rsidRDefault="000E02C5" w:rsidP="00B527D4">
            <w:pPr>
              <w:pStyle w:val="a7"/>
              <w:jc w:val="both"/>
              <w:rPr>
                <w:color w:val="000000" w:themeColor="text1"/>
              </w:rPr>
            </w:pPr>
            <w:r w:rsidRPr="00687B52">
              <w:rPr>
                <w:rFonts w:hint="eastAsia"/>
                <w:color w:val="000000" w:themeColor="text1"/>
              </w:rPr>
              <w:t>②当单罐容量小于</w:t>
            </w:r>
            <w:r w:rsidRPr="00687B52">
              <w:rPr>
                <w:rFonts w:hint="eastAsia"/>
                <w:color w:val="000000" w:themeColor="text1"/>
              </w:rPr>
              <w:t>1000m</w:t>
            </w:r>
            <w:r w:rsidRPr="00687B52">
              <w:rPr>
                <w:rFonts w:hint="eastAsia"/>
                <w:color w:val="000000" w:themeColor="text1"/>
                <w:vertAlign w:val="superscript"/>
              </w:rPr>
              <w:t>3</w:t>
            </w:r>
            <w:r w:rsidRPr="00687B52">
              <w:rPr>
                <w:rFonts w:hint="eastAsia"/>
                <w:color w:val="000000" w:themeColor="text1"/>
              </w:rPr>
              <w:t>或者仅储存丙</w:t>
            </w:r>
            <w:r w:rsidRPr="00687B52">
              <w:rPr>
                <w:rFonts w:hint="eastAsia"/>
                <w:color w:val="000000" w:themeColor="text1"/>
                <w:vertAlign w:val="subscript"/>
              </w:rPr>
              <w:t>B</w:t>
            </w:r>
            <w:r w:rsidRPr="00687B52">
              <w:rPr>
                <w:rFonts w:hint="eastAsia"/>
                <w:color w:val="000000" w:themeColor="text1"/>
              </w:rPr>
              <w:t>类油品时，数量不限。</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6.5.5</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地上油罐组内的布置应符合下列规定：</w:t>
            </w:r>
          </w:p>
          <w:p w:rsidR="000E02C5" w:rsidRPr="00687B52" w:rsidRDefault="000E02C5" w:rsidP="00B527D4">
            <w:pPr>
              <w:pStyle w:val="a7"/>
              <w:jc w:val="both"/>
              <w:rPr>
                <w:color w:val="000000" w:themeColor="text1"/>
              </w:rPr>
            </w:pPr>
            <w:r w:rsidRPr="00687B52">
              <w:rPr>
                <w:rFonts w:hint="eastAsia"/>
                <w:color w:val="000000" w:themeColor="text1"/>
              </w:rPr>
              <w:t>①油罐不应超过两排，但单罐容量小于</w:t>
            </w:r>
            <w:r w:rsidRPr="00687B52">
              <w:rPr>
                <w:rFonts w:hint="eastAsia"/>
                <w:color w:val="000000" w:themeColor="text1"/>
              </w:rPr>
              <w:t>1000m</w:t>
            </w:r>
            <w:r w:rsidRPr="00687B52">
              <w:rPr>
                <w:rFonts w:hint="eastAsia"/>
                <w:color w:val="000000" w:themeColor="text1"/>
                <w:vertAlign w:val="superscript"/>
              </w:rPr>
              <w:t>3</w:t>
            </w:r>
            <w:r w:rsidRPr="00687B52">
              <w:rPr>
                <w:rFonts w:hint="eastAsia"/>
                <w:color w:val="000000" w:themeColor="text1"/>
              </w:rPr>
              <w:t>的储存丙</w:t>
            </w:r>
            <w:r w:rsidRPr="00687B52">
              <w:rPr>
                <w:rFonts w:hint="eastAsia"/>
                <w:color w:val="000000" w:themeColor="text1"/>
                <w:vertAlign w:val="subscript"/>
              </w:rPr>
              <w:t>B</w:t>
            </w:r>
            <w:r w:rsidRPr="00687B52">
              <w:rPr>
                <w:rFonts w:hint="eastAsia"/>
                <w:color w:val="000000" w:themeColor="text1"/>
              </w:rPr>
              <w:t>类油品的储罐不应超过</w:t>
            </w:r>
            <w:r w:rsidRPr="00687B52">
              <w:rPr>
                <w:rFonts w:hint="eastAsia"/>
                <w:color w:val="000000" w:themeColor="text1"/>
              </w:rPr>
              <w:t>4</w:t>
            </w:r>
            <w:r w:rsidRPr="00687B52">
              <w:rPr>
                <w:rFonts w:hint="eastAsia"/>
                <w:color w:val="000000" w:themeColor="text1"/>
              </w:rPr>
              <w:t>排。</w:t>
            </w:r>
          </w:p>
          <w:p w:rsidR="000E02C5" w:rsidRPr="00687B52" w:rsidRDefault="000E02C5" w:rsidP="00B527D4">
            <w:pPr>
              <w:pStyle w:val="a7"/>
              <w:jc w:val="both"/>
              <w:rPr>
                <w:color w:val="000000" w:themeColor="text1"/>
              </w:rPr>
            </w:pPr>
            <w:r w:rsidRPr="00687B52">
              <w:rPr>
                <w:rFonts w:hint="eastAsia"/>
                <w:color w:val="000000" w:themeColor="text1"/>
              </w:rPr>
              <w:t>②立式油罐排与排之间的防火距离，不应小于</w:t>
            </w:r>
            <w:r w:rsidRPr="00687B52">
              <w:rPr>
                <w:rFonts w:hint="eastAsia"/>
                <w:color w:val="000000" w:themeColor="text1"/>
              </w:rPr>
              <w:t>5m</w:t>
            </w:r>
            <w:r w:rsidRPr="00687B52">
              <w:rPr>
                <w:rFonts w:hint="eastAsia"/>
                <w:color w:val="000000" w:themeColor="text1"/>
              </w:rPr>
              <w:t>，卧式油罐的排与排之间的防火距离，不应小于</w:t>
            </w:r>
            <w:r w:rsidRPr="00687B52">
              <w:rPr>
                <w:rFonts w:hint="eastAsia"/>
                <w:color w:val="000000" w:themeColor="text1"/>
              </w:rPr>
              <w:t>3m</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6.5.6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trHeight w:val="798"/>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油罐之间的防火距离不应小于下表的规定。</w:t>
            </w:r>
          </w:p>
          <w:tbl>
            <w:tblPr>
              <w:tblStyle w:val="a6"/>
              <w:tblW w:w="0" w:type="auto"/>
              <w:tblLook w:val="04A0" w:firstRow="1" w:lastRow="0" w:firstColumn="1" w:lastColumn="0" w:noHBand="0" w:noVBand="1"/>
            </w:tblPr>
            <w:tblGrid>
              <w:gridCol w:w="456"/>
              <w:gridCol w:w="409"/>
              <w:gridCol w:w="3271"/>
              <w:gridCol w:w="1563"/>
              <w:gridCol w:w="1276"/>
            </w:tblGrid>
            <w:tr w:rsidR="000E02C5" w:rsidRPr="00687B52" w:rsidTr="00B527D4">
              <w:tc>
                <w:tcPr>
                  <w:tcW w:w="865" w:type="dxa"/>
                  <w:gridSpan w:val="2"/>
                  <w:vAlign w:val="center"/>
                </w:tcPr>
                <w:p w:rsidR="000E02C5" w:rsidRPr="00687B52" w:rsidRDefault="000E02C5" w:rsidP="00B527D4">
                  <w:pPr>
                    <w:pStyle w:val="a7"/>
                    <w:rPr>
                      <w:color w:val="000000" w:themeColor="text1"/>
                    </w:rPr>
                  </w:pPr>
                  <w:r w:rsidRPr="00687B52">
                    <w:rPr>
                      <w:rFonts w:hint="eastAsia"/>
                      <w:color w:val="000000" w:themeColor="text1"/>
                    </w:rPr>
                    <w:t>油品类别</w:t>
                  </w:r>
                </w:p>
              </w:tc>
              <w:tc>
                <w:tcPr>
                  <w:tcW w:w="3271" w:type="dxa"/>
                  <w:vAlign w:val="center"/>
                </w:tcPr>
                <w:p w:rsidR="000E02C5" w:rsidRPr="00687B52" w:rsidRDefault="000E02C5" w:rsidP="00B527D4">
                  <w:pPr>
                    <w:pStyle w:val="a7"/>
                    <w:rPr>
                      <w:color w:val="000000" w:themeColor="text1"/>
                    </w:rPr>
                  </w:pPr>
                  <w:r w:rsidRPr="00687B52">
                    <w:rPr>
                      <w:rFonts w:hint="eastAsia"/>
                      <w:color w:val="000000" w:themeColor="text1"/>
                    </w:rPr>
                    <w:t>固定顶油罐</w:t>
                  </w:r>
                </w:p>
              </w:tc>
              <w:tc>
                <w:tcPr>
                  <w:tcW w:w="1563" w:type="dxa"/>
                  <w:vAlign w:val="center"/>
                </w:tcPr>
                <w:p w:rsidR="000E02C5" w:rsidRPr="00687B52" w:rsidRDefault="000E02C5" w:rsidP="00B527D4">
                  <w:pPr>
                    <w:pStyle w:val="a7"/>
                    <w:rPr>
                      <w:color w:val="000000" w:themeColor="text1"/>
                    </w:rPr>
                  </w:pPr>
                  <w:r w:rsidRPr="00687B52">
                    <w:rPr>
                      <w:rFonts w:hint="eastAsia"/>
                      <w:color w:val="000000" w:themeColor="text1"/>
                    </w:rPr>
                    <w:t>浮顶油罐</w:t>
                  </w:r>
                </w:p>
              </w:tc>
              <w:tc>
                <w:tcPr>
                  <w:tcW w:w="1276" w:type="dxa"/>
                  <w:vAlign w:val="center"/>
                </w:tcPr>
                <w:p w:rsidR="000E02C5" w:rsidRPr="00687B52" w:rsidRDefault="000E02C5" w:rsidP="00B527D4">
                  <w:pPr>
                    <w:pStyle w:val="a7"/>
                    <w:rPr>
                      <w:color w:val="000000" w:themeColor="text1"/>
                    </w:rPr>
                  </w:pPr>
                  <w:r w:rsidRPr="00687B52">
                    <w:rPr>
                      <w:rFonts w:hint="eastAsia"/>
                      <w:color w:val="000000" w:themeColor="text1"/>
                    </w:rPr>
                    <w:t>卧式油罐</w:t>
                  </w:r>
                </w:p>
              </w:tc>
            </w:tr>
            <w:tr w:rsidR="000E02C5" w:rsidRPr="00687B52" w:rsidTr="00B527D4">
              <w:trPr>
                <w:trHeight w:val="161"/>
              </w:trPr>
              <w:tc>
                <w:tcPr>
                  <w:tcW w:w="865" w:type="dxa"/>
                  <w:gridSpan w:val="2"/>
                  <w:vMerge w:val="restart"/>
                  <w:vAlign w:val="center"/>
                </w:tcPr>
                <w:p w:rsidR="000E02C5" w:rsidRPr="00687B52" w:rsidRDefault="000E02C5" w:rsidP="00B527D4">
                  <w:pPr>
                    <w:pStyle w:val="a7"/>
                    <w:rPr>
                      <w:color w:val="000000" w:themeColor="text1"/>
                    </w:rPr>
                  </w:pPr>
                  <w:r w:rsidRPr="00687B52">
                    <w:rPr>
                      <w:rFonts w:hint="eastAsia"/>
                      <w:color w:val="000000" w:themeColor="text1"/>
                    </w:rPr>
                    <w:t>甲、乙类</w:t>
                  </w:r>
                </w:p>
              </w:tc>
              <w:tc>
                <w:tcPr>
                  <w:tcW w:w="3271" w:type="dxa"/>
                  <w:vAlign w:val="center"/>
                </w:tcPr>
                <w:p w:rsidR="000E02C5" w:rsidRPr="00687B52" w:rsidRDefault="000E02C5" w:rsidP="00B527D4">
                  <w:pPr>
                    <w:pStyle w:val="a7"/>
                    <w:rPr>
                      <w:color w:val="000000" w:themeColor="text1"/>
                    </w:rPr>
                  </w:pPr>
                  <w:r w:rsidRPr="00687B52">
                    <w:rPr>
                      <w:rFonts w:hint="eastAsia"/>
                      <w:color w:val="000000" w:themeColor="text1"/>
                    </w:rPr>
                    <w:t>1000m</w:t>
                  </w:r>
                  <w:r w:rsidRPr="00687B52">
                    <w:rPr>
                      <w:rFonts w:hint="eastAsia"/>
                      <w:color w:val="000000" w:themeColor="text1"/>
                      <w:vertAlign w:val="superscript"/>
                    </w:rPr>
                    <w:t>3</w:t>
                  </w:r>
                  <w:r w:rsidRPr="00687B52">
                    <w:rPr>
                      <w:rFonts w:hint="eastAsia"/>
                      <w:color w:val="000000" w:themeColor="text1"/>
                    </w:rPr>
                    <w:t>以上的罐：</w:t>
                  </w:r>
                  <w:r w:rsidRPr="00687B52">
                    <w:rPr>
                      <w:rFonts w:hint="eastAsia"/>
                      <w:color w:val="000000" w:themeColor="text1"/>
                    </w:rPr>
                    <w:t>0.6D</w:t>
                  </w:r>
                </w:p>
              </w:tc>
              <w:tc>
                <w:tcPr>
                  <w:tcW w:w="1563" w:type="dxa"/>
                  <w:vMerge w:val="restart"/>
                  <w:vAlign w:val="center"/>
                </w:tcPr>
                <w:p w:rsidR="000E02C5" w:rsidRPr="00687B52" w:rsidRDefault="000E02C5" w:rsidP="00B527D4">
                  <w:pPr>
                    <w:pStyle w:val="a7"/>
                    <w:rPr>
                      <w:color w:val="000000" w:themeColor="text1"/>
                    </w:rPr>
                  </w:pPr>
                  <w:r w:rsidRPr="00687B52">
                    <w:rPr>
                      <w:rFonts w:hint="eastAsia"/>
                      <w:color w:val="000000" w:themeColor="text1"/>
                    </w:rPr>
                    <w:t>0.4D</w:t>
                  </w:r>
                </w:p>
              </w:tc>
              <w:tc>
                <w:tcPr>
                  <w:tcW w:w="1276" w:type="dxa"/>
                  <w:vMerge w:val="restart"/>
                  <w:vAlign w:val="center"/>
                </w:tcPr>
                <w:p w:rsidR="000E02C5" w:rsidRPr="00687B52" w:rsidRDefault="000E02C5" w:rsidP="00B527D4">
                  <w:pPr>
                    <w:pStyle w:val="a7"/>
                    <w:rPr>
                      <w:color w:val="000000" w:themeColor="text1"/>
                    </w:rPr>
                  </w:pPr>
                  <w:r w:rsidRPr="00687B52">
                    <w:rPr>
                      <w:rFonts w:hint="eastAsia"/>
                      <w:color w:val="000000" w:themeColor="text1"/>
                    </w:rPr>
                    <w:t>0.8m</w:t>
                  </w:r>
                </w:p>
              </w:tc>
            </w:tr>
            <w:tr w:rsidR="000E02C5" w:rsidRPr="00687B52" w:rsidTr="00B527D4">
              <w:trPr>
                <w:trHeight w:val="161"/>
              </w:trPr>
              <w:tc>
                <w:tcPr>
                  <w:tcW w:w="865" w:type="dxa"/>
                  <w:gridSpan w:val="2"/>
                  <w:vMerge/>
                  <w:vAlign w:val="center"/>
                </w:tcPr>
                <w:p w:rsidR="000E02C5" w:rsidRPr="00687B52" w:rsidRDefault="000E02C5" w:rsidP="00B527D4">
                  <w:pPr>
                    <w:pStyle w:val="a7"/>
                    <w:rPr>
                      <w:color w:val="000000" w:themeColor="text1"/>
                    </w:rPr>
                  </w:pPr>
                </w:p>
              </w:tc>
              <w:tc>
                <w:tcPr>
                  <w:tcW w:w="3271" w:type="dxa"/>
                  <w:vAlign w:val="center"/>
                </w:tcPr>
                <w:p w:rsidR="000E02C5" w:rsidRPr="00687B52" w:rsidRDefault="000E02C5" w:rsidP="00B527D4">
                  <w:pPr>
                    <w:pStyle w:val="a7"/>
                    <w:rPr>
                      <w:color w:val="000000" w:themeColor="text1"/>
                    </w:rPr>
                  </w:pPr>
                  <w:r w:rsidRPr="00687B52">
                    <w:rPr>
                      <w:rFonts w:hint="eastAsia"/>
                      <w:color w:val="000000" w:themeColor="text1"/>
                    </w:rPr>
                    <w:t>1000m</w:t>
                  </w:r>
                  <w:r w:rsidRPr="00687B52">
                    <w:rPr>
                      <w:rFonts w:hint="eastAsia"/>
                      <w:color w:val="000000" w:themeColor="text1"/>
                      <w:vertAlign w:val="superscript"/>
                    </w:rPr>
                    <w:t>3</w:t>
                  </w:r>
                  <w:r w:rsidRPr="00687B52">
                    <w:rPr>
                      <w:rFonts w:hint="eastAsia"/>
                      <w:color w:val="000000" w:themeColor="text1"/>
                    </w:rPr>
                    <w:t>及以下的罐，当采用固定式消防冷却时：</w:t>
                  </w:r>
                  <w:r w:rsidRPr="00687B52">
                    <w:rPr>
                      <w:rFonts w:hint="eastAsia"/>
                      <w:color w:val="000000" w:themeColor="text1"/>
                    </w:rPr>
                    <w:t>0.6D</w:t>
                  </w:r>
                  <w:r w:rsidRPr="00687B52">
                    <w:rPr>
                      <w:rFonts w:hint="eastAsia"/>
                      <w:color w:val="000000" w:themeColor="text1"/>
                    </w:rPr>
                    <w:t>，采用移动式消防冷却时：</w:t>
                  </w:r>
                  <w:r w:rsidRPr="00687B52">
                    <w:rPr>
                      <w:rFonts w:hint="eastAsia"/>
                      <w:color w:val="000000" w:themeColor="text1"/>
                    </w:rPr>
                    <w:t>0.75D</w:t>
                  </w:r>
                </w:p>
              </w:tc>
              <w:tc>
                <w:tcPr>
                  <w:tcW w:w="1563" w:type="dxa"/>
                  <w:vMerge/>
                  <w:vAlign w:val="center"/>
                </w:tcPr>
                <w:p w:rsidR="000E02C5" w:rsidRPr="00687B52" w:rsidRDefault="000E02C5" w:rsidP="00B527D4">
                  <w:pPr>
                    <w:pStyle w:val="a7"/>
                    <w:rPr>
                      <w:color w:val="000000" w:themeColor="text1"/>
                    </w:rPr>
                  </w:pPr>
                </w:p>
              </w:tc>
              <w:tc>
                <w:tcPr>
                  <w:tcW w:w="1276" w:type="dxa"/>
                  <w:vMerge/>
                  <w:vAlign w:val="center"/>
                </w:tcPr>
                <w:p w:rsidR="000E02C5" w:rsidRPr="00687B52" w:rsidRDefault="000E02C5" w:rsidP="00B527D4">
                  <w:pPr>
                    <w:pStyle w:val="a7"/>
                    <w:rPr>
                      <w:color w:val="000000" w:themeColor="text1"/>
                    </w:rPr>
                  </w:pPr>
                </w:p>
              </w:tc>
            </w:tr>
            <w:tr w:rsidR="000E02C5" w:rsidRPr="00687B52" w:rsidTr="00B527D4">
              <w:tc>
                <w:tcPr>
                  <w:tcW w:w="456" w:type="dxa"/>
                  <w:vMerge w:val="restart"/>
                  <w:vAlign w:val="center"/>
                </w:tcPr>
                <w:p w:rsidR="000E02C5" w:rsidRPr="00687B52" w:rsidRDefault="000E02C5" w:rsidP="00B527D4">
                  <w:pPr>
                    <w:pStyle w:val="a7"/>
                    <w:rPr>
                      <w:color w:val="000000" w:themeColor="text1"/>
                    </w:rPr>
                  </w:pPr>
                  <w:r w:rsidRPr="00687B52">
                    <w:rPr>
                      <w:rFonts w:hint="eastAsia"/>
                      <w:color w:val="000000" w:themeColor="text1"/>
                    </w:rPr>
                    <w:t>丙类</w:t>
                  </w:r>
                </w:p>
              </w:tc>
              <w:tc>
                <w:tcPr>
                  <w:tcW w:w="409" w:type="dxa"/>
                  <w:vAlign w:val="center"/>
                </w:tcPr>
                <w:p w:rsidR="000E02C5" w:rsidRPr="00687B52" w:rsidRDefault="000E02C5" w:rsidP="00B527D4">
                  <w:pPr>
                    <w:pStyle w:val="a7"/>
                    <w:rPr>
                      <w:color w:val="000000" w:themeColor="text1"/>
                    </w:rPr>
                  </w:pPr>
                  <w:r w:rsidRPr="00687B52">
                    <w:rPr>
                      <w:rFonts w:hint="eastAsia"/>
                      <w:color w:val="000000" w:themeColor="text1"/>
                    </w:rPr>
                    <w:t>A</w:t>
                  </w:r>
                </w:p>
              </w:tc>
              <w:tc>
                <w:tcPr>
                  <w:tcW w:w="3271" w:type="dxa"/>
                  <w:vAlign w:val="center"/>
                </w:tcPr>
                <w:p w:rsidR="000E02C5" w:rsidRPr="00687B52" w:rsidRDefault="000E02C5" w:rsidP="00B527D4">
                  <w:pPr>
                    <w:pStyle w:val="a7"/>
                    <w:rPr>
                      <w:color w:val="000000" w:themeColor="text1"/>
                    </w:rPr>
                  </w:pPr>
                  <w:r w:rsidRPr="00687B52">
                    <w:rPr>
                      <w:rFonts w:hint="eastAsia"/>
                      <w:color w:val="000000" w:themeColor="text1"/>
                    </w:rPr>
                    <w:t>0.4D</w:t>
                  </w:r>
                </w:p>
              </w:tc>
              <w:tc>
                <w:tcPr>
                  <w:tcW w:w="1563" w:type="dxa"/>
                  <w:vAlign w:val="center"/>
                </w:tcPr>
                <w:p w:rsidR="000E02C5" w:rsidRPr="00687B52" w:rsidRDefault="000E02C5" w:rsidP="00B527D4">
                  <w:pPr>
                    <w:pStyle w:val="a7"/>
                    <w:rPr>
                      <w:color w:val="000000" w:themeColor="text1"/>
                    </w:rPr>
                  </w:pPr>
                  <w:r w:rsidRPr="00687B52">
                    <w:rPr>
                      <w:rFonts w:hint="eastAsia"/>
                      <w:color w:val="000000" w:themeColor="text1"/>
                    </w:rPr>
                    <w:t>—</w:t>
                  </w:r>
                </w:p>
              </w:tc>
              <w:tc>
                <w:tcPr>
                  <w:tcW w:w="1276" w:type="dxa"/>
                  <w:vMerge w:val="restart"/>
                  <w:vAlign w:val="center"/>
                </w:tcPr>
                <w:p w:rsidR="000E02C5" w:rsidRPr="00687B52" w:rsidRDefault="000E02C5" w:rsidP="00B527D4">
                  <w:pPr>
                    <w:pStyle w:val="a7"/>
                    <w:rPr>
                      <w:color w:val="000000" w:themeColor="text1"/>
                    </w:rPr>
                  </w:pPr>
                  <w:r w:rsidRPr="00687B52">
                    <w:rPr>
                      <w:rFonts w:hint="eastAsia"/>
                      <w:color w:val="000000" w:themeColor="text1"/>
                    </w:rPr>
                    <w:t>0.8m</w:t>
                  </w:r>
                </w:p>
              </w:tc>
            </w:tr>
            <w:tr w:rsidR="000E02C5" w:rsidRPr="00687B52" w:rsidTr="00B527D4">
              <w:tc>
                <w:tcPr>
                  <w:tcW w:w="456" w:type="dxa"/>
                  <w:vMerge/>
                  <w:vAlign w:val="center"/>
                </w:tcPr>
                <w:p w:rsidR="000E02C5" w:rsidRPr="00687B52" w:rsidRDefault="000E02C5" w:rsidP="00B527D4">
                  <w:pPr>
                    <w:pStyle w:val="a7"/>
                    <w:rPr>
                      <w:color w:val="000000" w:themeColor="text1"/>
                    </w:rPr>
                  </w:pPr>
                </w:p>
              </w:tc>
              <w:tc>
                <w:tcPr>
                  <w:tcW w:w="409" w:type="dxa"/>
                  <w:vAlign w:val="center"/>
                </w:tcPr>
                <w:p w:rsidR="000E02C5" w:rsidRPr="00687B52" w:rsidRDefault="000E02C5" w:rsidP="00B527D4">
                  <w:pPr>
                    <w:pStyle w:val="a7"/>
                    <w:rPr>
                      <w:color w:val="000000" w:themeColor="text1"/>
                    </w:rPr>
                  </w:pPr>
                  <w:r w:rsidRPr="00687B52">
                    <w:rPr>
                      <w:rFonts w:hint="eastAsia"/>
                      <w:color w:val="000000" w:themeColor="text1"/>
                    </w:rPr>
                    <w:t>B</w:t>
                  </w:r>
                </w:p>
              </w:tc>
              <w:tc>
                <w:tcPr>
                  <w:tcW w:w="3271" w:type="dxa"/>
                  <w:vAlign w:val="center"/>
                </w:tcPr>
                <w:p w:rsidR="000E02C5" w:rsidRPr="00687B52" w:rsidRDefault="000E02C5" w:rsidP="00B527D4">
                  <w:pPr>
                    <w:pStyle w:val="a7"/>
                    <w:rPr>
                      <w:color w:val="000000" w:themeColor="text1"/>
                    </w:rPr>
                  </w:pPr>
                  <w:r w:rsidRPr="00687B52">
                    <w:rPr>
                      <w:rFonts w:hint="eastAsia"/>
                      <w:color w:val="000000" w:themeColor="text1"/>
                    </w:rPr>
                    <w:t>＞</w:t>
                  </w:r>
                  <w:r w:rsidRPr="00687B52">
                    <w:rPr>
                      <w:rFonts w:hint="eastAsia"/>
                      <w:color w:val="000000" w:themeColor="text1"/>
                    </w:rPr>
                    <w:t>1000m</w:t>
                  </w:r>
                  <w:r w:rsidRPr="00687B52">
                    <w:rPr>
                      <w:rFonts w:hint="eastAsia"/>
                      <w:color w:val="000000" w:themeColor="text1"/>
                      <w:vertAlign w:val="superscript"/>
                    </w:rPr>
                    <w:t>3</w:t>
                  </w:r>
                  <w:r w:rsidRPr="00687B52">
                    <w:rPr>
                      <w:rFonts w:hint="eastAsia"/>
                      <w:color w:val="000000" w:themeColor="text1"/>
                    </w:rPr>
                    <w:t>的罐：</w:t>
                  </w:r>
                  <w:r w:rsidRPr="00687B52">
                    <w:rPr>
                      <w:rFonts w:hint="eastAsia"/>
                      <w:color w:val="000000" w:themeColor="text1"/>
                    </w:rPr>
                    <w:t>5m</w:t>
                  </w:r>
                </w:p>
                <w:p w:rsidR="000E02C5" w:rsidRPr="00687B52" w:rsidRDefault="000E02C5" w:rsidP="00B527D4">
                  <w:pPr>
                    <w:pStyle w:val="a7"/>
                    <w:rPr>
                      <w:color w:val="000000" w:themeColor="text1"/>
                    </w:rPr>
                  </w:pPr>
                  <w:r w:rsidRPr="00687B52">
                    <w:rPr>
                      <w:rFonts w:hint="eastAsia"/>
                      <w:color w:val="000000" w:themeColor="text1"/>
                    </w:rPr>
                    <w:t>≤</w:t>
                  </w:r>
                  <w:r w:rsidRPr="00687B52">
                    <w:rPr>
                      <w:rFonts w:hint="eastAsia"/>
                      <w:color w:val="000000" w:themeColor="text1"/>
                    </w:rPr>
                    <w:t>1000m</w:t>
                  </w:r>
                  <w:r w:rsidRPr="00687B52">
                    <w:rPr>
                      <w:rFonts w:hint="eastAsia"/>
                      <w:color w:val="000000" w:themeColor="text1"/>
                      <w:vertAlign w:val="superscript"/>
                    </w:rPr>
                    <w:t>3</w:t>
                  </w:r>
                  <w:r w:rsidRPr="00687B52">
                    <w:rPr>
                      <w:rFonts w:hint="eastAsia"/>
                      <w:color w:val="000000" w:themeColor="text1"/>
                    </w:rPr>
                    <w:t>的罐：</w:t>
                  </w:r>
                  <w:r w:rsidRPr="00687B52">
                    <w:rPr>
                      <w:rFonts w:hint="eastAsia"/>
                      <w:color w:val="000000" w:themeColor="text1"/>
                    </w:rPr>
                    <w:t>2m</w:t>
                  </w:r>
                </w:p>
              </w:tc>
              <w:tc>
                <w:tcPr>
                  <w:tcW w:w="1563" w:type="dxa"/>
                  <w:vAlign w:val="center"/>
                </w:tcPr>
                <w:p w:rsidR="000E02C5" w:rsidRPr="00687B52" w:rsidRDefault="000E02C5" w:rsidP="00B527D4">
                  <w:pPr>
                    <w:pStyle w:val="a7"/>
                    <w:rPr>
                      <w:color w:val="000000" w:themeColor="text1"/>
                    </w:rPr>
                  </w:pPr>
                  <w:r w:rsidRPr="00687B52">
                    <w:rPr>
                      <w:rFonts w:hint="eastAsia"/>
                      <w:color w:val="000000" w:themeColor="text1"/>
                    </w:rPr>
                    <w:t>—</w:t>
                  </w:r>
                </w:p>
              </w:tc>
              <w:tc>
                <w:tcPr>
                  <w:tcW w:w="1276" w:type="dxa"/>
                  <w:vMerge/>
                  <w:vAlign w:val="center"/>
                </w:tcPr>
                <w:p w:rsidR="000E02C5" w:rsidRPr="00687B52" w:rsidRDefault="000E02C5" w:rsidP="00B527D4">
                  <w:pPr>
                    <w:pStyle w:val="a7"/>
                    <w:rPr>
                      <w:color w:val="000000" w:themeColor="text1"/>
                    </w:rPr>
                  </w:pPr>
                </w:p>
              </w:tc>
            </w:tr>
          </w:tbl>
          <w:p w:rsidR="000E02C5" w:rsidRPr="00687B52" w:rsidRDefault="000E02C5" w:rsidP="00B527D4">
            <w:pPr>
              <w:pStyle w:val="a7"/>
              <w:jc w:val="both"/>
              <w:rPr>
                <w:color w:val="000000" w:themeColor="text1"/>
              </w:rPr>
            </w:pPr>
            <w:r w:rsidRPr="00687B52">
              <w:rPr>
                <w:rFonts w:hint="eastAsia"/>
                <w:color w:val="000000" w:themeColor="text1"/>
              </w:rPr>
              <w:t>注：①浅盘式和浮舱用易熔材料制作的内浮顶油罐按固定顶油罐确定罐间距。</w:t>
            </w:r>
          </w:p>
          <w:p w:rsidR="000E02C5" w:rsidRPr="00687B52" w:rsidRDefault="000E02C5" w:rsidP="00B527D4">
            <w:pPr>
              <w:pStyle w:val="a7"/>
              <w:ind w:firstLineChars="200" w:firstLine="480"/>
              <w:jc w:val="both"/>
              <w:rPr>
                <w:color w:val="000000" w:themeColor="text1"/>
              </w:rPr>
            </w:pPr>
            <w:r w:rsidRPr="00687B52">
              <w:rPr>
                <w:rFonts w:hint="eastAsia"/>
                <w:color w:val="000000" w:themeColor="text1"/>
              </w:rPr>
              <w:t>②表中</w:t>
            </w:r>
            <w:r w:rsidRPr="00687B52">
              <w:rPr>
                <w:rFonts w:hint="eastAsia"/>
                <w:color w:val="000000" w:themeColor="text1"/>
              </w:rPr>
              <w:t>D</w:t>
            </w:r>
            <w:r w:rsidRPr="00687B52">
              <w:rPr>
                <w:rFonts w:hint="eastAsia"/>
                <w:color w:val="000000" w:themeColor="text1"/>
              </w:rPr>
              <w:t>为相邻较大罐的直径，单罐容积大于</w:t>
            </w:r>
            <w:r w:rsidRPr="00687B52">
              <w:rPr>
                <w:rFonts w:hint="eastAsia"/>
                <w:color w:val="000000" w:themeColor="text1"/>
              </w:rPr>
              <w:t>1000m</w:t>
            </w:r>
            <w:r w:rsidRPr="00687B52">
              <w:rPr>
                <w:rFonts w:hint="eastAsia"/>
                <w:color w:val="000000" w:themeColor="text1"/>
                <w:vertAlign w:val="superscript"/>
              </w:rPr>
              <w:t>3</w:t>
            </w:r>
            <w:r w:rsidRPr="00687B52">
              <w:rPr>
                <w:rFonts w:hint="eastAsia"/>
                <w:color w:val="000000" w:themeColor="text1"/>
              </w:rPr>
              <w:t>的油罐取直径或高度的较大值。</w:t>
            </w:r>
          </w:p>
          <w:p w:rsidR="000E02C5" w:rsidRPr="00687B52" w:rsidRDefault="000E02C5" w:rsidP="00B527D4">
            <w:pPr>
              <w:pStyle w:val="a7"/>
              <w:ind w:firstLineChars="200" w:firstLine="480"/>
              <w:jc w:val="both"/>
              <w:rPr>
                <w:color w:val="000000" w:themeColor="text1"/>
              </w:rPr>
            </w:pPr>
            <w:r w:rsidRPr="00687B52">
              <w:rPr>
                <w:rFonts w:hint="eastAsia"/>
                <w:color w:val="000000" w:themeColor="text1"/>
              </w:rPr>
              <w:t>③储存不同油品的油罐、不同型式的油罐之间的防火间距，应采用较大值。</w:t>
            </w:r>
          </w:p>
          <w:p w:rsidR="000E02C5" w:rsidRPr="00687B52" w:rsidRDefault="000E02C5" w:rsidP="00B527D4">
            <w:pPr>
              <w:pStyle w:val="a7"/>
              <w:ind w:firstLineChars="200" w:firstLine="480"/>
              <w:jc w:val="both"/>
              <w:rPr>
                <w:color w:val="000000" w:themeColor="text1"/>
              </w:rPr>
            </w:pPr>
            <w:r w:rsidRPr="00687B52">
              <w:rPr>
                <w:rFonts w:hint="eastAsia"/>
                <w:color w:val="000000" w:themeColor="text1"/>
              </w:rPr>
              <w:t>④高架（位）罐的防火间距，不应小于</w:t>
            </w:r>
            <w:r w:rsidRPr="00687B52">
              <w:rPr>
                <w:rFonts w:hint="eastAsia"/>
                <w:color w:val="000000" w:themeColor="text1"/>
              </w:rPr>
              <w:t>0.6m</w:t>
            </w:r>
            <w:r w:rsidRPr="00687B52">
              <w:rPr>
                <w:rFonts w:hint="eastAsia"/>
                <w:color w:val="000000" w:themeColor="text1"/>
              </w:rPr>
              <w:t>。</w:t>
            </w:r>
          </w:p>
          <w:p w:rsidR="000E02C5" w:rsidRPr="00687B52" w:rsidRDefault="000E02C5" w:rsidP="00B527D4">
            <w:pPr>
              <w:pStyle w:val="a7"/>
              <w:ind w:firstLineChars="200" w:firstLine="480"/>
              <w:jc w:val="both"/>
              <w:rPr>
                <w:color w:val="000000" w:themeColor="text1"/>
              </w:rPr>
            </w:pPr>
            <w:r w:rsidRPr="00687B52">
              <w:rPr>
                <w:rFonts w:hint="eastAsia"/>
                <w:color w:val="000000" w:themeColor="text1"/>
              </w:rPr>
              <w:t>⑤单罐容量不大于</w:t>
            </w:r>
            <w:r w:rsidRPr="00687B52">
              <w:rPr>
                <w:rFonts w:hint="eastAsia"/>
                <w:color w:val="000000" w:themeColor="text1"/>
              </w:rPr>
              <w:t>300m</w:t>
            </w:r>
            <w:r w:rsidRPr="00687B52">
              <w:rPr>
                <w:rFonts w:hint="eastAsia"/>
                <w:color w:val="000000" w:themeColor="text1"/>
                <w:vertAlign w:val="superscript"/>
              </w:rPr>
              <w:t>3</w:t>
            </w:r>
            <w:r w:rsidRPr="00687B52">
              <w:rPr>
                <w:rFonts w:hint="eastAsia"/>
                <w:color w:val="000000" w:themeColor="text1"/>
              </w:rPr>
              <w:t>，罐组总容量不大于</w:t>
            </w:r>
            <w:r w:rsidRPr="00687B52">
              <w:rPr>
                <w:rFonts w:hint="eastAsia"/>
                <w:color w:val="000000" w:themeColor="text1"/>
              </w:rPr>
              <w:t>1500m</w:t>
            </w:r>
            <w:r w:rsidRPr="00687B52">
              <w:rPr>
                <w:rFonts w:hint="eastAsia"/>
                <w:color w:val="000000" w:themeColor="text1"/>
                <w:vertAlign w:val="superscript"/>
              </w:rPr>
              <w:t>3</w:t>
            </w:r>
            <w:r w:rsidRPr="00687B52">
              <w:rPr>
                <w:rFonts w:hint="eastAsia"/>
                <w:color w:val="000000" w:themeColor="text1"/>
              </w:rPr>
              <w:t>的立式油罐间距，可按施工和操作要求确定。</w:t>
            </w:r>
          </w:p>
          <w:p w:rsidR="000E02C5" w:rsidRPr="00687B52" w:rsidRDefault="000E02C5" w:rsidP="00B527D4">
            <w:pPr>
              <w:pStyle w:val="a7"/>
              <w:ind w:firstLineChars="200" w:firstLine="480"/>
              <w:jc w:val="both"/>
              <w:rPr>
                <w:color w:val="000000" w:themeColor="text1"/>
              </w:rPr>
            </w:pPr>
            <w:r w:rsidRPr="00687B52">
              <w:rPr>
                <w:rFonts w:hint="eastAsia"/>
                <w:color w:val="000000" w:themeColor="text1"/>
              </w:rPr>
              <w:t>⑥丙</w:t>
            </w:r>
            <w:r w:rsidRPr="00687B52">
              <w:rPr>
                <w:rFonts w:hint="eastAsia"/>
                <w:color w:val="000000" w:themeColor="text1"/>
                <w:vertAlign w:val="subscript"/>
              </w:rPr>
              <w:t>A</w:t>
            </w:r>
            <w:r w:rsidRPr="00687B52">
              <w:rPr>
                <w:rFonts w:hint="eastAsia"/>
                <w:color w:val="000000" w:themeColor="text1"/>
              </w:rPr>
              <w:t>类油品固定顶油罐之间的防火距离按</w:t>
            </w:r>
            <w:r w:rsidRPr="00687B52">
              <w:rPr>
                <w:rFonts w:hint="eastAsia"/>
                <w:color w:val="000000" w:themeColor="text1"/>
              </w:rPr>
              <w:t>0.4D</w:t>
            </w:r>
            <w:r w:rsidRPr="00687B52">
              <w:rPr>
                <w:rFonts w:hint="eastAsia"/>
                <w:color w:val="000000" w:themeColor="text1"/>
              </w:rPr>
              <w:t>计算大于</w:t>
            </w:r>
            <w:r w:rsidRPr="00687B52">
              <w:rPr>
                <w:rFonts w:hint="eastAsia"/>
                <w:color w:val="000000" w:themeColor="text1"/>
              </w:rPr>
              <w:t>15m</w:t>
            </w:r>
            <w:r w:rsidRPr="00687B52">
              <w:rPr>
                <w:rFonts w:hint="eastAsia"/>
                <w:color w:val="000000" w:themeColor="text1"/>
              </w:rPr>
              <w:t>，最小可取</w:t>
            </w:r>
            <w:r w:rsidRPr="00687B52">
              <w:rPr>
                <w:rFonts w:hint="eastAsia"/>
                <w:color w:val="000000" w:themeColor="text1"/>
              </w:rPr>
              <w:t>15m</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6.5.7</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地上立式油罐组应设防火堤，位于丘陵地区的油罐组，当有可利用地形条件设置导油沟和事故存油池时可不设防火堤。卧式油罐组应设防护墙。</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6.5.8</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油罐组防火堤应符合下列规定：</w:t>
            </w:r>
          </w:p>
          <w:p w:rsidR="000E02C5" w:rsidRPr="00687B52" w:rsidRDefault="000E02C5" w:rsidP="00B527D4">
            <w:pPr>
              <w:pStyle w:val="a7"/>
              <w:jc w:val="both"/>
              <w:rPr>
                <w:color w:val="000000" w:themeColor="text1"/>
              </w:rPr>
            </w:pPr>
            <w:r w:rsidRPr="00687B52">
              <w:rPr>
                <w:rFonts w:hint="eastAsia"/>
                <w:color w:val="000000" w:themeColor="text1"/>
              </w:rPr>
              <w:t>①防火堤应是闭合的，能够承受所容纳油品的静压力和地震引起的破坏力，保证其坚固和稳定。</w:t>
            </w:r>
          </w:p>
          <w:p w:rsidR="000E02C5" w:rsidRPr="00687B52" w:rsidRDefault="000E02C5" w:rsidP="00B527D4">
            <w:pPr>
              <w:pStyle w:val="a7"/>
              <w:jc w:val="both"/>
              <w:rPr>
                <w:color w:val="000000" w:themeColor="text1"/>
              </w:rPr>
            </w:pPr>
            <w:r w:rsidRPr="00687B52">
              <w:rPr>
                <w:rFonts w:hint="eastAsia"/>
                <w:color w:val="000000" w:themeColor="text1"/>
              </w:rPr>
              <w:t>②防火堤应使用不燃烧材料建造，首选土堤，当土源有困难时，可用砖石、钢筋混凝土等不燃烧材料砌筑，但内侧应培土或涂抹有效的防火涂料。土筑防火堤的堤顶宽度不小于</w:t>
            </w:r>
            <w:r w:rsidRPr="00687B52">
              <w:rPr>
                <w:rFonts w:hint="eastAsia"/>
                <w:color w:val="000000" w:themeColor="text1"/>
              </w:rPr>
              <w:t>0.5m</w:t>
            </w:r>
            <w:r w:rsidRPr="00687B52">
              <w:rPr>
                <w:rFonts w:hint="eastAsia"/>
                <w:color w:val="000000" w:themeColor="text1"/>
              </w:rPr>
              <w:t>。</w:t>
            </w:r>
          </w:p>
          <w:p w:rsidR="000E02C5" w:rsidRPr="00687B52" w:rsidRDefault="000E02C5" w:rsidP="00B527D4">
            <w:pPr>
              <w:pStyle w:val="a7"/>
              <w:jc w:val="both"/>
              <w:rPr>
                <w:color w:val="000000" w:themeColor="text1"/>
              </w:rPr>
            </w:pPr>
            <w:r w:rsidRPr="00687B52">
              <w:rPr>
                <w:rFonts w:hint="eastAsia"/>
                <w:color w:val="000000" w:themeColor="text1"/>
              </w:rPr>
              <w:t>③立式油罐组防火堤的计算高度应保证堤内的有效容积需要。防火堤实际高度应比计算高度高出</w:t>
            </w:r>
            <w:r w:rsidRPr="00687B52">
              <w:rPr>
                <w:rFonts w:hint="eastAsia"/>
                <w:color w:val="000000" w:themeColor="text1"/>
              </w:rPr>
              <w:t>0.2m</w:t>
            </w:r>
            <w:r w:rsidRPr="00687B52">
              <w:rPr>
                <w:rFonts w:hint="eastAsia"/>
                <w:color w:val="000000" w:themeColor="text1"/>
              </w:rPr>
              <w:t>。防火堤实际高度不应低于</w:t>
            </w:r>
            <w:r w:rsidRPr="00687B52">
              <w:rPr>
                <w:rFonts w:hint="eastAsia"/>
                <w:color w:val="000000" w:themeColor="text1"/>
              </w:rPr>
              <w:t>1.0m</w:t>
            </w:r>
            <w:r w:rsidRPr="00687B52">
              <w:rPr>
                <w:rFonts w:hint="eastAsia"/>
                <w:color w:val="000000" w:themeColor="text1"/>
              </w:rPr>
              <w:t>，且不应高于</w:t>
            </w:r>
            <w:r w:rsidRPr="00687B52">
              <w:rPr>
                <w:rFonts w:hint="eastAsia"/>
                <w:color w:val="000000" w:themeColor="text1"/>
              </w:rPr>
              <w:t>2.2m</w:t>
            </w:r>
            <w:r w:rsidRPr="00687B52">
              <w:rPr>
                <w:rFonts w:hint="eastAsia"/>
                <w:color w:val="000000" w:themeColor="text1"/>
              </w:rPr>
              <w:t>（均以防火堤外侧路面或地坪算起）。卧式油罐组围堰高度不应低于</w:t>
            </w:r>
            <w:r w:rsidRPr="00687B52">
              <w:rPr>
                <w:rFonts w:hint="eastAsia"/>
                <w:color w:val="000000" w:themeColor="text1"/>
              </w:rPr>
              <w:t>0.5m</w:t>
            </w:r>
            <w:r w:rsidRPr="00687B52">
              <w:rPr>
                <w:rFonts w:hint="eastAsia"/>
                <w:color w:val="000000" w:themeColor="text1"/>
              </w:rPr>
              <w:t>。</w:t>
            </w:r>
          </w:p>
          <w:p w:rsidR="000E02C5" w:rsidRPr="00687B52" w:rsidRDefault="000E02C5" w:rsidP="00B527D4">
            <w:pPr>
              <w:pStyle w:val="a7"/>
              <w:jc w:val="both"/>
              <w:rPr>
                <w:color w:val="000000" w:themeColor="text1"/>
              </w:rPr>
            </w:pPr>
            <w:r w:rsidRPr="00687B52">
              <w:rPr>
                <w:rFonts w:hint="eastAsia"/>
                <w:color w:val="000000" w:themeColor="text1"/>
              </w:rPr>
              <w:t>④管道穿越防火堤处，应采用非燃烧材料封实。严禁在防火堤上开孔留洞。</w:t>
            </w:r>
          </w:p>
          <w:p w:rsidR="000E02C5" w:rsidRPr="00687B52" w:rsidRDefault="000E02C5" w:rsidP="00B527D4">
            <w:pPr>
              <w:pStyle w:val="a7"/>
              <w:jc w:val="both"/>
              <w:rPr>
                <w:color w:val="000000" w:themeColor="text1"/>
              </w:rPr>
            </w:pPr>
            <w:r w:rsidRPr="00687B52">
              <w:rPr>
                <w:rFonts w:hint="eastAsia"/>
                <w:color w:val="000000" w:themeColor="text1"/>
              </w:rPr>
              <w:t>⑤防火堤内场地可不做铺砌，但湿陷性黄土、盐渍土、膨胀土等地区的罐组内场地应有防止雨水和喷淋水浸害罐基础的措施。</w:t>
            </w:r>
          </w:p>
          <w:p w:rsidR="000E02C5" w:rsidRPr="00687B52" w:rsidRDefault="000E02C5" w:rsidP="00B527D4">
            <w:pPr>
              <w:pStyle w:val="a7"/>
              <w:jc w:val="both"/>
              <w:rPr>
                <w:color w:val="000000" w:themeColor="text1"/>
              </w:rPr>
            </w:pPr>
            <w:r w:rsidRPr="00687B52">
              <w:rPr>
                <w:rFonts w:hint="eastAsia"/>
                <w:color w:val="000000" w:themeColor="text1"/>
              </w:rPr>
              <w:t>⑥油罐组内场地应有不小于</w:t>
            </w:r>
            <w:r w:rsidRPr="00687B52">
              <w:rPr>
                <w:rFonts w:hint="eastAsia"/>
                <w:color w:val="000000" w:themeColor="text1"/>
              </w:rPr>
              <w:t>0.5%</w:t>
            </w:r>
            <w:r w:rsidRPr="00687B52">
              <w:rPr>
                <w:rFonts w:hint="eastAsia"/>
                <w:color w:val="000000" w:themeColor="text1"/>
              </w:rPr>
              <w:t>的地面设计坡度，排雨水罐应从防火堤内设计地面以下通向堤外，并应采取排水阻油措施。年降雨量不大于</w:t>
            </w:r>
            <w:r w:rsidRPr="00687B52">
              <w:rPr>
                <w:rFonts w:hint="eastAsia"/>
                <w:color w:val="000000" w:themeColor="text1"/>
              </w:rPr>
              <w:t>200mm</w:t>
            </w:r>
            <w:r w:rsidRPr="00687B52">
              <w:rPr>
                <w:rFonts w:hint="eastAsia"/>
                <w:color w:val="000000" w:themeColor="text1"/>
              </w:rPr>
              <w:t>或降雨在</w:t>
            </w:r>
            <w:r w:rsidRPr="00687B52">
              <w:rPr>
                <w:rFonts w:hint="eastAsia"/>
                <w:color w:val="000000" w:themeColor="text1"/>
              </w:rPr>
              <w:t>24h</w:t>
            </w:r>
            <w:r w:rsidRPr="00687B52">
              <w:rPr>
                <w:rFonts w:hint="eastAsia"/>
                <w:color w:val="000000" w:themeColor="text1"/>
              </w:rPr>
              <w:t>内可以渗完时，罐组内可不设雨水排除系统。</w:t>
            </w:r>
          </w:p>
          <w:p w:rsidR="000E02C5" w:rsidRPr="00687B52" w:rsidRDefault="000E02C5" w:rsidP="00B527D4">
            <w:pPr>
              <w:pStyle w:val="a7"/>
              <w:jc w:val="both"/>
              <w:rPr>
                <w:color w:val="000000" w:themeColor="text1"/>
              </w:rPr>
            </w:pPr>
            <w:r w:rsidRPr="00687B52">
              <w:rPr>
                <w:rFonts w:hint="eastAsia"/>
                <w:color w:val="000000" w:themeColor="text1"/>
              </w:rPr>
              <w:t>⑦油罐组防火堤上的人行踏步不应少于两处，且应处于不同方位。隔堤均应设置人行踏步。</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6.5.9</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地上立式油罐的罐壁至防火堤内坡脚线的距离，不应小于罐壁高度的一半。卧式油罐的罐壁至围堰内坡脚线的距离，不应小于</w:t>
            </w:r>
            <w:r w:rsidRPr="00687B52">
              <w:rPr>
                <w:rFonts w:hint="eastAsia"/>
                <w:color w:val="000000" w:themeColor="text1"/>
              </w:rPr>
              <w:t>3m</w:t>
            </w:r>
            <w:r w:rsidRPr="00687B52">
              <w:rPr>
                <w:rFonts w:hint="eastAsia"/>
                <w:color w:val="000000" w:themeColor="text1"/>
              </w:rPr>
              <w:t>。建在山边的油罐，靠山的一面，罐壁至挖坡坡脚线距离不得小于</w:t>
            </w:r>
            <w:r w:rsidRPr="00687B52">
              <w:rPr>
                <w:rFonts w:hint="eastAsia"/>
                <w:color w:val="000000" w:themeColor="text1"/>
              </w:rPr>
              <w:t>3m</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6.5.10</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防火堤内有效容量，应符合下列规定：</w:t>
            </w:r>
          </w:p>
          <w:p w:rsidR="000E02C5" w:rsidRPr="00687B52" w:rsidRDefault="000E02C5" w:rsidP="00B527D4">
            <w:pPr>
              <w:pStyle w:val="a7"/>
              <w:jc w:val="both"/>
              <w:rPr>
                <w:color w:val="000000" w:themeColor="text1"/>
              </w:rPr>
            </w:pPr>
            <w:r w:rsidRPr="00687B52">
              <w:rPr>
                <w:rFonts w:hint="eastAsia"/>
                <w:color w:val="000000" w:themeColor="text1"/>
              </w:rPr>
              <w:t>①对固定顶油罐组，不应小于储罐组内最大一个储罐有效容量。</w:t>
            </w:r>
          </w:p>
          <w:p w:rsidR="000E02C5" w:rsidRPr="00687B52" w:rsidRDefault="000E02C5" w:rsidP="00B527D4">
            <w:pPr>
              <w:pStyle w:val="a7"/>
              <w:jc w:val="both"/>
              <w:rPr>
                <w:color w:val="000000" w:themeColor="text1"/>
              </w:rPr>
            </w:pPr>
            <w:r w:rsidRPr="00687B52">
              <w:rPr>
                <w:rFonts w:hint="eastAsia"/>
                <w:color w:val="000000" w:themeColor="text1"/>
              </w:rPr>
              <w:t>②对浮顶罐组，不应小于储罐组内一个最大罐有效容量的一半。</w:t>
            </w:r>
          </w:p>
          <w:p w:rsidR="000E02C5" w:rsidRPr="00687B52" w:rsidRDefault="000E02C5" w:rsidP="00B527D4">
            <w:pPr>
              <w:pStyle w:val="a7"/>
              <w:jc w:val="both"/>
              <w:rPr>
                <w:color w:val="000000" w:themeColor="text1"/>
              </w:rPr>
            </w:pPr>
            <w:r w:rsidRPr="00687B52">
              <w:rPr>
                <w:rFonts w:hint="eastAsia"/>
                <w:color w:val="000000" w:themeColor="text1"/>
              </w:rPr>
              <w:t>③当固定顶和浮顶油罐布置在同一油罐组内，防火堤内有效容量应取上两款规定的较大者。</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6.5.11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事故存液池的设置，应符合下列规定：</w:t>
            </w:r>
          </w:p>
          <w:p w:rsidR="000E02C5" w:rsidRPr="00687B52" w:rsidRDefault="000E02C5" w:rsidP="00B527D4">
            <w:pPr>
              <w:pStyle w:val="a7"/>
              <w:jc w:val="both"/>
              <w:rPr>
                <w:color w:val="000000" w:themeColor="text1"/>
              </w:rPr>
            </w:pPr>
            <w:r w:rsidRPr="00687B52">
              <w:rPr>
                <w:rFonts w:hint="eastAsia"/>
                <w:color w:val="000000" w:themeColor="text1"/>
              </w:rPr>
              <w:t>①设有事故存液池的油罐或罐组四周应设导油沟，使溢漏油品能顺利地流出关注罐组并自流入事故存液池。</w:t>
            </w:r>
          </w:p>
          <w:p w:rsidR="000E02C5" w:rsidRPr="00687B52" w:rsidRDefault="000E02C5" w:rsidP="00B527D4">
            <w:pPr>
              <w:pStyle w:val="a7"/>
              <w:jc w:val="both"/>
              <w:rPr>
                <w:color w:val="000000" w:themeColor="text1"/>
              </w:rPr>
            </w:pPr>
            <w:r w:rsidRPr="00687B52">
              <w:rPr>
                <w:rFonts w:hint="eastAsia"/>
                <w:color w:val="000000" w:themeColor="text1"/>
              </w:rPr>
              <w:t>②事故存液池距离储罐不应小于</w:t>
            </w:r>
            <w:r w:rsidRPr="00687B52">
              <w:rPr>
                <w:rFonts w:hint="eastAsia"/>
                <w:color w:val="000000" w:themeColor="text1"/>
              </w:rPr>
              <w:t>30m</w:t>
            </w:r>
            <w:r w:rsidRPr="00687B52">
              <w:rPr>
                <w:rFonts w:hint="eastAsia"/>
                <w:color w:val="000000" w:themeColor="text1"/>
              </w:rPr>
              <w:t>。</w:t>
            </w:r>
          </w:p>
          <w:p w:rsidR="000E02C5" w:rsidRPr="00687B52" w:rsidRDefault="000E02C5" w:rsidP="00B527D4">
            <w:pPr>
              <w:pStyle w:val="a7"/>
              <w:jc w:val="both"/>
              <w:rPr>
                <w:color w:val="000000" w:themeColor="text1"/>
              </w:rPr>
            </w:pPr>
            <w:r w:rsidRPr="00687B52">
              <w:rPr>
                <w:rFonts w:hint="eastAsia"/>
                <w:color w:val="000000" w:themeColor="text1"/>
              </w:rPr>
              <w:t>③事故存液池和导油沟距离明火地点不应小于</w:t>
            </w:r>
            <w:r w:rsidRPr="00687B52">
              <w:rPr>
                <w:rFonts w:hint="eastAsia"/>
                <w:color w:val="000000" w:themeColor="text1"/>
              </w:rPr>
              <w:t>30m</w:t>
            </w:r>
            <w:r w:rsidRPr="00687B52">
              <w:rPr>
                <w:rFonts w:hint="eastAsia"/>
                <w:color w:val="000000" w:themeColor="text1"/>
              </w:rPr>
              <w:t>。</w:t>
            </w:r>
          </w:p>
          <w:p w:rsidR="000E02C5" w:rsidRPr="00687B52" w:rsidRDefault="000E02C5" w:rsidP="00B527D4">
            <w:pPr>
              <w:pStyle w:val="a7"/>
              <w:jc w:val="both"/>
              <w:rPr>
                <w:color w:val="000000" w:themeColor="text1"/>
              </w:rPr>
            </w:pPr>
            <w:r w:rsidRPr="00687B52">
              <w:rPr>
                <w:rFonts w:hint="eastAsia"/>
                <w:color w:val="000000" w:themeColor="text1"/>
              </w:rPr>
              <w:t>④事故存液池应有排水设施。</w:t>
            </w:r>
          </w:p>
          <w:p w:rsidR="000E02C5" w:rsidRPr="00687B52" w:rsidRDefault="000E02C5" w:rsidP="00B527D4">
            <w:pPr>
              <w:pStyle w:val="a7"/>
              <w:jc w:val="both"/>
              <w:rPr>
                <w:color w:val="000000" w:themeColor="text1"/>
              </w:rPr>
            </w:pPr>
            <w:r w:rsidRPr="00687B52">
              <w:rPr>
                <w:rFonts w:hint="eastAsia"/>
                <w:color w:val="000000" w:themeColor="text1"/>
              </w:rPr>
              <w:t>⑤事故存液池的容量应符合</w:t>
            </w:r>
            <w:r w:rsidRPr="00687B52">
              <w:rPr>
                <w:rFonts w:hint="eastAsia"/>
                <w:color w:val="000000" w:themeColor="text1"/>
              </w:rPr>
              <w:t>6.5.11</w:t>
            </w:r>
            <w:r w:rsidRPr="00687B52">
              <w:rPr>
                <w:rFonts w:hint="eastAsia"/>
                <w:color w:val="000000" w:themeColor="text1"/>
              </w:rPr>
              <w:t>条的规定。</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6.5.13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五级站内，小于等级</w:t>
            </w:r>
            <w:r w:rsidRPr="00687B52">
              <w:rPr>
                <w:rFonts w:hint="eastAsia"/>
                <w:color w:val="000000" w:themeColor="text1"/>
              </w:rPr>
              <w:t>500m</w:t>
            </w:r>
            <w:r w:rsidRPr="00687B52">
              <w:rPr>
                <w:rFonts w:hint="eastAsia"/>
                <w:color w:val="000000" w:themeColor="text1"/>
                <w:vertAlign w:val="superscript"/>
              </w:rPr>
              <w:t>3</w:t>
            </w:r>
            <w:r w:rsidRPr="00687B52">
              <w:rPr>
                <w:rFonts w:hint="eastAsia"/>
                <w:color w:val="000000" w:themeColor="text1"/>
              </w:rPr>
              <w:t>的丙类油罐，可不设防火堤，但应设高度不低于</w:t>
            </w:r>
            <w:r w:rsidRPr="00687B52">
              <w:rPr>
                <w:rFonts w:hint="eastAsia"/>
                <w:color w:val="000000" w:themeColor="text1"/>
              </w:rPr>
              <w:t>1.0</w:t>
            </w:r>
            <w:r w:rsidRPr="00687B52">
              <w:rPr>
                <w:rFonts w:hint="eastAsia"/>
                <w:color w:val="000000" w:themeColor="text1"/>
              </w:rPr>
              <w:t>的防护墙。</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6.5.14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油罐组之间应设置宽度不小于</w:t>
            </w:r>
            <w:r w:rsidRPr="00687B52">
              <w:rPr>
                <w:rFonts w:hint="eastAsia"/>
                <w:color w:val="000000" w:themeColor="text1"/>
              </w:rPr>
              <w:t>4m</w:t>
            </w:r>
            <w:r w:rsidRPr="00687B52">
              <w:rPr>
                <w:rFonts w:hint="eastAsia"/>
                <w:color w:val="000000" w:themeColor="text1"/>
              </w:rPr>
              <w:t>的消防车道。受地形条件限制时，两个罐组防火堤外侧坡脚线之间应留有不小于</w:t>
            </w:r>
            <w:r w:rsidRPr="00687B52">
              <w:rPr>
                <w:rFonts w:hint="eastAsia"/>
                <w:color w:val="000000" w:themeColor="text1"/>
              </w:rPr>
              <w:t>7m</w:t>
            </w:r>
            <w:r w:rsidRPr="00687B52">
              <w:rPr>
                <w:rFonts w:hint="eastAsia"/>
                <w:color w:val="000000" w:themeColor="text1"/>
              </w:rPr>
              <w:t>的空地。</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6.5.15</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液化石油气罐区应避开不良通风或窝风地段。天然气凝液储罐和全压力式液化石油气储罐周围宜设置高度不低于</w:t>
            </w:r>
            <w:r w:rsidRPr="00687B52">
              <w:rPr>
                <w:rFonts w:hint="eastAsia"/>
                <w:color w:val="000000" w:themeColor="text1"/>
              </w:rPr>
              <w:t>0.6m</w:t>
            </w:r>
            <w:r w:rsidRPr="00687B52">
              <w:rPr>
                <w:rFonts w:hint="eastAsia"/>
                <w:color w:val="000000" w:themeColor="text1"/>
              </w:rPr>
              <w:t>的不燃烧防护墙。在地广人稀地区，当条件允许时，可不设防护墙，但应有必要的导流设施，将泄漏的液化石油气集中引导到站外安全处。全冷冻式液化石油气储罐周围应设置防火堤。</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6.6.1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液化石油气储罐成组布置时，全压力式液化石油气储罐或全冷冻式液化石油气储罐组内的储罐不应超过两排，罐组周围应设环形消防车道。</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6.6.2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全压力式液化石油气储罐组内的储罐个不应超过</w:t>
            </w:r>
            <w:r w:rsidRPr="00687B52">
              <w:rPr>
                <w:rFonts w:hint="eastAsia"/>
                <w:color w:val="000000" w:themeColor="text1"/>
              </w:rPr>
              <w:t>12</w:t>
            </w:r>
            <w:r w:rsidRPr="00687B52">
              <w:rPr>
                <w:rFonts w:hint="eastAsia"/>
                <w:color w:val="000000" w:themeColor="text1"/>
              </w:rPr>
              <w:t>个，总容积不应超过</w:t>
            </w:r>
            <w:r w:rsidRPr="00687B52">
              <w:rPr>
                <w:rFonts w:hint="eastAsia"/>
                <w:color w:val="000000" w:themeColor="text1"/>
              </w:rPr>
              <w:t>20000m</w:t>
            </w:r>
            <w:r w:rsidRPr="00687B52">
              <w:rPr>
                <w:rFonts w:hint="eastAsia"/>
                <w:color w:val="000000" w:themeColor="text1"/>
                <w:vertAlign w:val="superscript"/>
              </w:rPr>
              <w:t>3</w:t>
            </w:r>
            <w:r w:rsidRPr="00687B52">
              <w:rPr>
                <w:rFonts w:hint="eastAsia"/>
                <w:color w:val="000000" w:themeColor="text1"/>
              </w:rPr>
              <w:t>；全冷冻式液化石油气储罐组内的储罐个数不应超过</w:t>
            </w:r>
            <w:r w:rsidRPr="00687B52">
              <w:rPr>
                <w:rFonts w:hint="eastAsia"/>
                <w:color w:val="000000" w:themeColor="text1"/>
              </w:rPr>
              <w:t>2</w:t>
            </w:r>
            <w:r w:rsidRPr="00687B52">
              <w:rPr>
                <w:rFonts w:hint="eastAsia"/>
                <w:color w:val="000000" w:themeColor="text1"/>
              </w:rPr>
              <w:t>个。</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6.6.3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全压力式液化石油气储罐内的储罐总容量大于</w:t>
            </w:r>
            <w:r w:rsidRPr="00687B52">
              <w:rPr>
                <w:rFonts w:hint="eastAsia"/>
                <w:color w:val="000000" w:themeColor="text1"/>
              </w:rPr>
              <w:t>6000m</w:t>
            </w:r>
            <w:r w:rsidRPr="00687B52">
              <w:rPr>
                <w:rFonts w:hint="eastAsia"/>
                <w:color w:val="000000" w:themeColor="text1"/>
                <w:vertAlign w:val="superscript"/>
              </w:rPr>
              <w:t>3</w:t>
            </w:r>
            <w:r w:rsidRPr="00687B52">
              <w:rPr>
                <w:rFonts w:hint="eastAsia"/>
                <w:color w:val="000000" w:themeColor="text1"/>
              </w:rPr>
              <w:t>时，罐组内应设隔墙，单罐容量等于或大于</w:t>
            </w:r>
            <w:r w:rsidRPr="00687B52">
              <w:rPr>
                <w:rFonts w:hint="eastAsia"/>
                <w:color w:val="000000" w:themeColor="text1"/>
              </w:rPr>
              <w:t>5000m</w:t>
            </w:r>
            <w:r w:rsidRPr="00687B52">
              <w:rPr>
                <w:rFonts w:hint="eastAsia"/>
                <w:color w:val="000000" w:themeColor="text1"/>
                <w:vertAlign w:val="superscript"/>
              </w:rPr>
              <w:t>3</w:t>
            </w:r>
            <w:r w:rsidRPr="00687B52">
              <w:rPr>
                <w:rFonts w:hint="eastAsia"/>
                <w:color w:val="000000" w:themeColor="text1"/>
              </w:rPr>
              <w:t>时应每个罐一隔，隔墙高度应低于防护墙</w:t>
            </w:r>
            <w:r w:rsidRPr="00687B52">
              <w:rPr>
                <w:rFonts w:hint="eastAsia"/>
                <w:color w:val="000000" w:themeColor="text1"/>
              </w:rPr>
              <w:t>0.2m</w:t>
            </w:r>
            <w:r w:rsidRPr="00687B52">
              <w:rPr>
                <w:rFonts w:hint="eastAsia"/>
                <w:color w:val="000000" w:themeColor="text1"/>
              </w:rPr>
              <w:t>。全冷冻式液化石油气储罐组内储罐应设隔堤，且每个罐一隔，隔堤高度应低于防火堤</w:t>
            </w:r>
            <w:r w:rsidRPr="00687B52">
              <w:rPr>
                <w:rFonts w:hint="eastAsia"/>
                <w:color w:val="000000" w:themeColor="text1"/>
              </w:rPr>
              <w:t>0.2m</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6.6.4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不同储存方式的液化石油气储罐不得布置在同一个储罐组内。</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6.6.5</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成组布置的液化石油气储罐到防火堤（或防护墙）的距离应满足如下要求：</w:t>
            </w:r>
          </w:p>
          <w:p w:rsidR="000E02C5" w:rsidRPr="00687B52" w:rsidRDefault="000E02C5" w:rsidP="00B527D4">
            <w:pPr>
              <w:pStyle w:val="a7"/>
              <w:jc w:val="both"/>
              <w:rPr>
                <w:color w:val="000000" w:themeColor="text1"/>
              </w:rPr>
            </w:pPr>
            <w:r w:rsidRPr="00687B52">
              <w:rPr>
                <w:rFonts w:hint="eastAsia"/>
                <w:color w:val="000000" w:themeColor="text1"/>
              </w:rPr>
              <w:t>①全压力式球罐到防护墙的距离应为储罐直径的一半，卧式储罐到防护墙的距离不应小于</w:t>
            </w:r>
            <w:r w:rsidRPr="00687B52">
              <w:rPr>
                <w:rFonts w:hint="eastAsia"/>
                <w:color w:val="000000" w:themeColor="text1"/>
              </w:rPr>
              <w:t>3m</w:t>
            </w:r>
            <w:r w:rsidRPr="00687B52">
              <w:rPr>
                <w:rFonts w:hint="eastAsia"/>
                <w:color w:val="000000" w:themeColor="text1"/>
              </w:rPr>
              <w:t>。</w:t>
            </w:r>
          </w:p>
          <w:p w:rsidR="000E02C5" w:rsidRPr="00687B52" w:rsidRDefault="000E02C5" w:rsidP="00B527D4">
            <w:pPr>
              <w:pStyle w:val="a7"/>
              <w:jc w:val="both"/>
              <w:rPr>
                <w:color w:val="000000" w:themeColor="text1"/>
              </w:rPr>
            </w:pPr>
            <w:r w:rsidRPr="00687B52">
              <w:rPr>
                <w:rFonts w:hint="eastAsia"/>
                <w:color w:val="000000" w:themeColor="text1"/>
              </w:rPr>
              <w:t>②全冷冻式液化石油气储罐至防火堤内堤脚线的距离，应为储罐高度与防火堤高度之差，防火堤内有效容积应为一个最大储罐的容量。</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6.6.6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防护墙、防火堤及隔堤应采用不燃烧实体结构，并应能承受所容纳液体的静压及温度的影响。在防火堤或防护墙的不同方位上应设置少于两处的人行踏步或台阶。</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6.6.7</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成组布置的液化石油气罐区，相邻组与组之间的防火距离（罐壁至罐壁）不应小于</w:t>
            </w:r>
            <w:r w:rsidRPr="00687B52">
              <w:rPr>
                <w:rFonts w:hint="eastAsia"/>
                <w:color w:val="000000" w:themeColor="text1"/>
              </w:rPr>
              <w:t>20m</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6.6.8</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trHeight w:val="797"/>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液化石油气储罐组内储罐之间的防火距离应不小于下表的规定。</w:t>
            </w:r>
          </w:p>
          <w:tbl>
            <w:tblPr>
              <w:tblStyle w:val="a6"/>
              <w:tblW w:w="0" w:type="auto"/>
              <w:tblLook w:val="04A0" w:firstRow="1" w:lastRow="0" w:firstColumn="1" w:lastColumn="0" w:noHBand="0" w:noVBand="1"/>
            </w:tblPr>
            <w:tblGrid>
              <w:gridCol w:w="1857"/>
              <w:gridCol w:w="1328"/>
              <w:gridCol w:w="1984"/>
              <w:gridCol w:w="1418"/>
            </w:tblGrid>
            <w:tr w:rsidR="000E02C5" w:rsidRPr="00687B52" w:rsidTr="00B527D4">
              <w:tc>
                <w:tcPr>
                  <w:tcW w:w="1857" w:type="dxa"/>
                  <w:vMerge w:val="restart"/>
                  <w:vAlign w:val="center"/>
                </w:tcPr>
                <w:p w:rsidR="000E02C5" w:rsidRPr="00687B52" w:rsidRDefault="00341035" w:rsidP="00B527D4">
                  <w:pPr>
                    <w:pStyle w:val="a7"/>
                    <w:rPr>
                      <w:color w:val="000000" w:themeColor="text1"/>
                      <w:sz w:val="21"/>
                    </w:rPr>
                  </w:pPr>
                  <w:r>
                    <w:rPr>
                      <w:noProof/>
                      <w:color w:val="000000" w:themeColor="text1"/>
                      <w:sz w:val="21"/>
                    </w:rPr>
                    <mc:AlternateContent>
                      <mc:Choice Requires="wps">
                        <w:drawing>
                          <wp:anchor distT="0" distB="0" distL="114300" distR="114300" simplePos="0" relativeHeight="251661312" behindDoc="0" locked="0" layoutInCell="1" allowOverlap="1">
                            <wp:simplePos x="0" y="0"/>
                            <wp:positionH relativeFrom="column">
                              <wp:posOffset>-59055</wp:posOffset>
                            </wp:positionH>
                            <wp:positionV relativeFrom="paragraph">
                              <wp:posOffset>34925</wp:posOffset>
                            </wp:positionV>
                            <wp:extent cx="1182370" cy="211455"/>
                            <wp:effectExtent l="7620" t="6350" r="10160" b="10795"/>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2370" cy="211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left:0;text-align:left;margin-left:-4.65pt;margin-top:2.75pt;width:93.1pt;height:1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MvIwIAAEA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"/>
                        </w:pict>
                      </mc:Fallback>
                    </mc:AlternateContent>
                  </w:r>
                  <w:r>
                    <w:rPr>
                      <w:noProof/>
                      <w:color w:val="000000" w:themeColor="text1"/>
                      <w:sz w:val="21"/>
                    </w:rPr>
                    <mc:AlternateContent>
                      <mc:Choice Requires="wps">
                        <w:drawing>
                          <wp:anchor distT="0" distB="0" distL="114300" distR="114300" simplePos="0" relativeHeight="251662336" behindDoc="0" locked="0" layoutInCell="1" allowOverlap="1">
                            <wp:simplePos x="0" y="0"/>
                            <wp:positionH relativeFrom="column">
                              <wp:posOffset>-59055</wp:posOffset>
                            </wp:positionH>
                            <wp:positionV relativeFrom="paragraph">
                              <wp:posOffset>34925</wp:posOffset>
                            </wp:positionV>
                            <wp:extent cx="826770" cy="583565"/>
                            <wp:effectExtent l="7620" t="6350" r="13335" b="1016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770" cy="583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left:0;text-align:left;margin-left:-4.65pt;margin-top:2.75pt;width:65.1pt;height:4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"/>
                        </w:pict>
                      </mc:Fallback>
                    </mc:AlternateContent>
                  </w:r>
                  <w:r w:rsidR="000E02C5" w:rsidRPr="00687B52">
                    <w:rPr>
                      <w:rFonts w:hint="eastAsia"/>
                      <w:color w:val="000000" w:themeColor="text1"/>
                      <w:sz w:val="21"/>
                    </w:rPr>
                    <w:t>储罐型式</w:t>
                  </w:r>
                </w:p>
                <w:p w:rsidR="000E02C5" w:rsidRPr="00687B52" w:rsidRDefault="000E02C5" w:rsidP="00B527D4">
                  <w:pPr>
                    <w:pStyle w:val="a7"/>
                    <w:ind w:firstLineChars="300" w:firstLine="630"/>
                    <w:rPr>
                      <w:color w:val="000000" w:themeColor="text1"/>
                      <w:sz w:val="21"/>
                    </w:rPr>
                  </w:pPr>
                  <w:r w:rsidRPr="00687B52">
                    <w:rPr>
                      <w:rFonts w:hint="eastAsia"/>
                      <w:color w:val="000000" w:themeColor="text1"/>
                      <w:sz w:val="21"/>
                    </w:rPr>
                    <w:t>防火间距</w:t>
                  </w:r>
                </w:p>
                <w:p w:rsidR="000E02C5" w:rsidRPr="00687B52" w:rsidRDefault="000E02C5" w:rsidP="00B527D4">
                  <w:pPr>
                    <w:pStyle w:val="a7"/>
                    <w:jc w:val="both"/>
                    <w:rPr>
                      <w:color w:val="000000" w:themeColor="text1"/>
                      <w:sz w:val="21"/>
                    </w:rPr>
                  </w:pPr>
                  <w:r w:rsidRPr="00687B52">
                    <w:rPr>
                      <w:rFonts w:hint="eastAsia"/>
                      <w:color w:val="000000" w:themeColor="text1"/>
                      <w:sz w:val="21"/>
                    </w:rPr>
                    <w:t>介质类别</w:t>
                  </w:r>
                </w:p>
              </w:tc>
              <w:tc>
                <w:tcPr>
                  <w:tcW w:w="3312" w:type="dxa"/>
                  <w:gridSpan w:val="2"/>
                  <w:vAlign w:val="center"/>
                </w:tcPr>
                <w:p w:rsidR="000E02C5" w:rsidRPr="00687B52" w:rsidRDefault="000E02C5" w:rsidP="00B527D4">
                  <w:pPr>
                    <w:pStyle w:val="a7"/>
                    <w:rPr>
                      <w:color w:val="000000" w:themeColor="text1"/>
                      <w:sz w:val="21"/>
                    </w:rPr>
                  </w:pPr>
                  <w:r w:rsidRPr="00687B52">
                    <w:rPr>
                      <w:rFonts w:hint="eastAsia"/>
                      <w:color w:val="000000" w:themeColor="text1"/>
                      <w:sz w:val="21"/>
                    </w:rPr>
                    <w:t>全压力式储罐</w:t>
                  </w:r>
                </w:p>
              </w:tc>
              <w:tc>
                <w:tcPr>
                  <w:tcW w:w="1418"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全冷冻式储罐</w:t>
                  </w:r>
                </w:p>
              </w:tc>
            </w:tr>
            <w:tr w:rsidR="000E02C5" w:rsidRPr="00687B52" w:rsidTr="00B527D4">
              <w:tc>
                <w:tcPr>
                  <w:tcW w:w="1857" w:type="dxa"/>
                  <w:vMerge/>
                  <w:vAlign w:val="center"/>
                </w:tcPr>
                <w:p w:rsidR="000E02C5" w:rsidRPr="00687B52" w:rsidRDefault="000E02C5" w:rsidP="00B527D4">
                  <w:pPr>
                    <w:pStyle w:val="a7"/>
                    <w:rPr>
                      <w:color w:val="000000" w:themeColor="text1"/>
                      <w:sz w:val="21"/>
                    </w:rPr>
                  </w:pPr>
                </w:p>
              </w:tc>
              <w:tc>
                <w:tcPr>
                  <w:tcW w:w="1328"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球罐</w:t>
                  </w:r>
                </w:p>
              </w:tc>
              <w:tc>
                <w:tcPr>
                  <w:tcW w:w="1984"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卧罐</w:t>
                  </w:r>
                </w:p>
              </w:tc>
              <w:tc>
                <w:tcPr>
                  <w:tcW w:w="1418" w:type="dxa"/>
                  <w:vAlign w:val="center"/>
                </w:tcPr>
                <w:p w:rsidR="000E02C5" w:rsidRPr="00687B52" w:rsidRDefault="000E02C5" w:rsidP="00B527D4">
                  <w:pPr>
                    <w:pStyle w:val="a7"/>
                    <w:rPr>
                      <w:color w:val="000000" w:themeColor="text1"/>
                      <w:sz w:val="21"/>
                    </w:rPr>
                  </w:pPr>
                </w:p>
              </w:tc>
            </w:tr>
            <w:tr w:rsidR="000E02C5" w:rsidRPr="00687B52" w:rsidTr="00B527D4">
              <w:tc>
                <w:tcPr>
                  <w:tcW w:w="1857"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液化石油气</w:t>
                  </w:r>
                </w:p>
              </w:tc>
              <w:tc>
                <w:tcPr>
                  <w:tcW w:w="1328"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1.0D</w:t>
                  </w:r>
                </w:p>
              </w:tc>
              <w:tc>
                <w:tcPr>
                  <w:tcW w:w="1984"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1.0D</w:t>
                  </w:r>
                  <w:r w:rsidRPr="00687B52">
                    <w:rPr>
                      <w:rFonts w:hint="eastAsia"/>
                      <w:color w:val="000000" w:themeColor="text1"/>
                      <w:sz w:val="21"/>
                    </w:rPr>
                    <w:t>且不宜大于</w:t>
                  </w:r>
                  <w:r w:rsidRPr="00687B52">
                    <w:rPr>
                      <w:rFonts w:hint="eastAsia"/>
                      <w:color w:val="000000" w:themeColor="text1"/>
                      <w:sz w:val="21"/>
                    </w:rPr>
                    <w:t>1.5m</w:t>
                  </w:r>
                  <w:r w:rsidRPr="00687B52">
                    <w:rPr>
                      <w:rFonts w:hint="eastAsia"/>
                      <w:color w:val="000000" w:themeColor="text1"/>
                      <w:sz w:val="21"/>
                    </w:rPr>
                    <w:t>，两排卧罐的间距，不应小于</w:t>
                  </w:r>
                  <w:r w:rsidRPr="00687B52">
                    <w:rPr>
                      <w:rFonts w:hint="eastAsia"/>
                      <w:color w:val="000000" w:themeColor="text1"/>
                      <w:sz w:val="21"/>
                    </w:rPr>
                    <w:t>3m</w:t>
                  </w:r>
                </w:p>
              </w:tc>
              <w:tc>
                <w:tcPr>
                  <w:tcW w:w="1418" w:type="dxa"/>
                  <w:vAlign w:val="center"/>
                </w:tcPr>
                <w:p w:rsidR="000E02C5" w:rsidRPr="00687B52" w:rsidRDefault="000E02C5" w:rsidP="00B527D4">
                  <w:pPr>
                    <w:pStyle w:val="a7"/>
                    <w:rPr>
                      <w:color w:val="000000" w:themeColor="text1"/>
                      <w:sz w:val="21"/>
                    </w:rPr>
                  </w:pPr>
                </w:p>
              </w:tc>
            </w:tr>
            <w:tr w:rsidR="000E02C5" w:rsidRPr="00687B52" w:rsidTr="00B527D4">
              <w:tc>
                <w:tcPr>
                  <w:tcW w:w="1857"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液化石油气</w:t>
                  </w:r>
                </w:p>
              </w:tc>
              <w:tc>
                <w:tcPr>
                  <w:tcW w:w="1328" w:type="dxa"/>
                  <w:vAlign w:val="center"/>
                </w:tcPr>
                <w:p w:rsidR="000E02C5" w:rsidRPr="00687B52" w:rsidRDefault="000E02C5" w:rsidP="00B527D4">
                  <w:pPr>
                    <w:pStyle w:val="a7"/>
                    <w:rPr>
                      <w:color w:val="000000" w:themeColor="text1"/>
                      <w:sz w:val="21"/>
                    </w:rPr>
                  </w:pPr>
                </w:p>
              </w:tc>
              <w:tc>
                <w:tcPr>
                  <w:tcW w:w="1984" w:type="dxa"/>
                  <w:vAlign w:val="center"/>
                </w:tcPr>
                <w:p w:rsidR="000E02C5" w:rsidRPr="00687B52" w:rsidRDefault="000E02C5" w:rsidP="00B527D4">
                  <w:pPr>
                    <w:pStyle w:val="a7"/>
                    <w:rPr>
                      <w:color w:val="000000" w:themeColor="text1"/>
                      <w:sz w:val="21"/>
                    </w:rPr>
                  </w:pPr>
                </w:p>
              </w:tc>
              <w:tc>
                <w:tcPr>
                  <w:tcW w:w="1418" w:type="dxa"/>
                  <w:vAlign w:val="center"/>
                </w:tcPr>
                <w:p w:rsidR="000E02C5" w:rsidRPr="00687B52" w:rsidRDefault="000E02C5" w:rsidP="00B527D4">
                  <w:pPr>
                    <w:pStyle w:val="a7"/>
                    <w:rPr>
                      <w:color w:val="000000" w:themeColor="text1"/>
                      <w:sz w:val="21"/>
                    </w:rPr>
                  </w:pPr>
                  <w:r w:rsidRPr="00687B52">
                    <w:rPr>
                      <w:rFonts w:hint="eastAsia"/>
                      <w:color w:val="000000" w:themeColor="text1"/>
                      <w:sz w:val="21"/>
                    </w:rPr>
                    <w:t>0.5D</w:t>
                  </w:r>
                </w:p>
              </w:tc>
            </w:tr>
          </w:tbl>
          <w:p w:rsidR="000E02C5" w:rsidRPr="00687B52" w:rsidRDefault="000E02C5" w:rsidP="00B527D4">
            <w:pPr>
              <w:pStyle w:val="a7"/>
              <w:jc w:val="both"/>
              <w:rPr>
                <w:color w:val="000000" w:themeColor="text1"/>
              </w:rPr>
            </w:pPr>
            <w:r w:rsidRPr="00687B52">
              <w:rPr>
                <w:rFonts w:hint="eastAsia"/>
                <w:color w:val="000000" w:themeColor="text1"/>
              </w:rPr>
              <w:t>注：①</w:t>
            </w:r>
            <w:r w:rsidRPr="00687B52">
              <w:rPr>
                <w:rFonts w:hint="eastAsia"/>
                <w:color w:val="000000" w:themeColor="text1"/>
              </w:rPr>
              <w:t>D</w:t>
            </w:r>
            <w:r w:rsidRPr="00687B52">
              <w:rPr>
                <w:rFonts w:hint="eastAsia"/>
                <w:color w:val="000000" w:themeColor="text1"/>
              </w:rPr>
              <w:t>为相邻较大罐直径。</w:t>
            </w:r>
          </w:p>
          <w:p w:rsidR="000E02C5" w:rsidRPr="00687B52" w:rsidRDefault="000E02C5" w:rsidP="00B527D4">
            <w:pPr>
              <w:pStyle w:val="a7"/>
              <w:ind w:firstLineChars="200" w:firstLine="480"/>
              <w:jc w:val="both"/>
              <w:rPr>
                <w:color w:val="000000" w:themeColor="text1"/>
              </w:rPr>
            </w:pPr>
            <w:r w:rsidRPr="00687B52">
              <w:rPr>
                <w:rFonts w:hint="eastAsia"/>
                <w:color w:val="000000" w:themeColor="text1"/>
              </w:rPr>
              <w:t>②不同型式储罐之间的防火距离，应采用较大值。</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6.6.9</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防火堤或防护墙内地面应有由储罐基脚线向防火堤或防护墙方向的不小于</w:t>
            </w:r>
            <w:r w:rsidRPr="00687B52">
              <w:rPr>
                <w:rFonts w:hint="eastAsia"/>
                <w:color w:val="000000" w:themeColor="text1"/>
              </w:rPr>
              <w:t>1%</w:t>
            </w:r>
            <w:r w:rsidRPr="00687B52">
              <w:rPr>
                <w:rFonts w:hint="eastAsia"/>
                <w:color w:val="000000" w:themeColor="text1"/>
              </w:rPr>
              <w:t>的排水坡度，排水出口应设有可控制开启的设施。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6.6.10</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液化石油气罐区内应设可燃气体检测报警装置，并在四周设置手动报警按钮，探测和报警信号引入值班室。</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6.6.11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液化石油气储罐的进料管管口宜从储罐底部接入，当从顶部接入时，应将管口接至罐底处。全压力式储罐罐底应安装为储罐注水用的管道、阀门及管道接头。液化石油气储罐宜采用有防冻措施的二次脱水系统。</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6.6.12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液化石油气储罐应设液位计、温度计、压力表、安全阀，以及高液位报警装置或高液位自动联锁切断进料装置。对于全冷冻式液化石油气储罐还应设真空泄放设施。液化石油气储罐容积大于或等于</w:t>
            </w:r>
            <w:r w:rsidRPr="00687B52">
              <w:rPr>
                <w:rFonts w:hint="eastAsia"/>
                <w:color w:val="000000" w:themeColor="text1"/>
              </w:rPr>
              <w:t>50m</w:t>
            </w:r>
            <w:r w:rsidRPr="00687B52">
              <w:rPr>
                <w:rFonts w:hint="eastAsia"/>
                <w:color w:val="000000" w:themeColor="text1"/>
                <w:vertAlign w:val="superscript"/>
              </w:rPr>
              <w:t>3</w:t>
            </w:r>
            <w:r w:rsidRPr="00687B52">
              <w:rPr>
                <w:rFonts w:hint="eastAsia"/>
                <w:color w:val="000000" w:themeColor="text1"/>
              </w:rPr>
              <w:t>时，其液相出口管线上宜设远程操纵阀和自动关闭阀，液相进口应设单向阀。</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6.6.13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全压力式液化石油气储罐进、出口阀门及管件的压力等级不应低于</w:t>
            </w:r>
            <w:r w:rsidRPr="00687B52">
              <w:rPr>
                <w:rFonts w:hint="eastAsia"/>
                <w:color w:val="000000" w:themeColor="text1"/>
              </w:rPr>
              <w:t>2.5MPa</w:t>
            </w:r>
            <w:r w:rsidRPr="00687B52">
              <w:rPr>
                <w:rFonts w:hint="eastAsia"/>
                <w:color w:val="000000" w:themeColor="text1"/>
              </w:rPr>
              <w:t>，且不应选用铸铁阀门。</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6.6.14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液化石油气储罐的安全阀出口管应接至火炬系统。确有困难时，单罐容积等于或小于</w:t>
            </w:r>
            <w:r w:rsidRPr="00687B52">
              <w:rPr>
                <w:rFonts w:hint="eastAsia"/>
                <w:color w:val="000000" w:themeColor="text1"/>
              </w:rPr>
              <w:t>100m</w:t>
            </w:r>
            <w:r w:rsidRPr="00687B52">
              <w:rPr>
                <w:rFonts w:hint="eastAsia"/>
                <w:color w:val="000000" w:themeColor="text1"/>
                <w:vertAlign w:val="superscript"/>
              </w:rPr>
              <w:t>3</w:t>
            </w:r>
            <w:r w:rsidRPr="00687B52">
              <w:rPr>
                <w:rFonts w:hint="eastAsia"/>
                <w:color w:val="000000" w:themeColor="text1"/>
              </w:rPr>
              <w:t>的天然气凝液储罐及液化石油气储罐安全阀可接入放散管，其安装高度应高出储罐操作平台</w:t>
            </w:r>
            <w:r w:rsidRPr="00687B52">
              <w:rPr>
                <w:rFonts w:hint="eastAsia"/>
                <w:color w:val="000000" w:themeColor="text1"/>
              </w:rPr>
              <w:t>2m</w:t>
            </w:r>
            <w:r w:rsidRPr="00687B52">
              <w:rPr>
                <w:rFonts w:hint="eastAsia"/>
                <w:color w:val="000000" w:themeColor="text1"/>
              </w:rPr>
              <w:t>以上，且应高出所在地面</w:t>
            </w:r>
            <w:r w:rsidRPr="00687B52">
              <w:rPr>
                <w:rFonts w:hint="eastAsia"/>
                <w:color w:val="000000" w:themeColor="text1"/>
              </w:rPr>
              <w:t>5m</w:t>
            </w:r>
            <w:r w:rsidRPr="00687B52">
              <w:rPr>
                <w:rFonts w:hint="eastAsia"/>
                <w:color w:val="000000" w:themeColor="text1"/>
              </w:rPr>
              <w:t>以上。</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6.6.16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液化石油气罐区内的管道宜地上布置，不应地沟敷设。</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6.6.17</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露天布置的泵或泵棚与全压力式液化石油气储罐之间的距离不限，但宜布置在防护墙外。</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6.6.18</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油品的铁路装卸设施应符合下列要求：</w:t>
            </w:r>
          </w:p>
          <w:p w:rsidR="000E02C5" w:rsidRPr="00687B52" w:rsidRDefault="000E02C5" w:rsidP="00B527D4">
            <w:pPr>
              <w:pStyle w:val="a7"/>
              <w:jc w:val="left"/>
              <w:rPr>
                <w:color w:val="000000" w:themeColor="text1"/>
              </w:rPr>
            </w:pPr>
            <w:r w:rsidRPr="00687B52">
              <w:rPr>
                <w:rFonts w:hint="eastAsia"/>
                <w:color w:val="000000" w:themeColor="text1"/>
              </w:rPr>
              <w:t>①装卸栈桥两端和沿线桥每隔</w:t>
            </w:r>
            <w:r w:rsidRPr="00687B52">
              <w:rPr>
                <w:rFonts w:hint="eastAsia"/>
                <w:color w:val="000000" w:themeColor="text1"/>
              </w:rPr>
              <w:t>60~80m</w:t>
            </w:r>
            <w:r w:rsidRPr="00687B52">
              <w:rPr>
                <w:rFonts w:hint="eastAsia"/>
                <w:color w:val="000000" w:themeColor="text1"/>
              </w:rPr>
              <w:t>，应设安全斜梯。</w:t>
            </w:r>
          </w:p>
          <w:p w:rsidR="000E02C5" w:rsidRPr="00687B52" w:rsidRDefault="000E02C5" w:rsidP="00B527D4">
            <w:pPr>
              <w:pStyle w:val="a7"/>
              <w:jc w:val="left"/>
              <w:rPr>
                <w:color w:val="000000" w:themeColor="text1"/>
              </w:rPr>
            </w:pPr>
            <w:r w:rsidRPr="00687B52">
              <w:rPr>
                <w:rFonts w:hint="eastAsia"/>
                <w:color w:val="000000" w:themeColor="text1"/>
              </w:rPr>
              <w:t>②顶部敞口装车的甲</w:t>
            </w:r>
            <w:r w:rsidRPr="00687B52">
              <w:rPr>
                <w:rFonts w:hint="eastAsia"/>
                <w:color w:val="000000" w:themeColor="text1"/>
              </w:rPr>
              <w:t>B</w:t>
            </w:r>
            <w:r w:rsidRPr="00687B52">
              <w:rPr>
                <w:rFonts w:hint="eastAsia"/>
                <w:color w:val="000000" w:themeColor="text1"/>
              </w:rPr>
              <w:t>、乙类油品，应采用液下装车鹤管。</w:t>
            </w:r>
          </w:p>
          <w:p w:rsidR="000E02C5" w:rsidRPr="00687B52" w:rsidRDefault="000E02C5" w:rsidP="00B527D4">
            <w:pPr>
              <w:pStyle w:val="a7"/>
              <w:jc w:val="left"/>
              <w:rPr>
                <w:color w:val="000000" w:themeColor="text1"/>
              </w:rPr>
            </w:pPr>
            <w:r w:rsidRPr="00687B52">
              <w:rPr>
                <w:rFonts w:hint="eastAsia"/>
                <w:color w:val="000000" w:themeColor="text1"/>
              </w:rPr>
              <w:t>③装卸泵房至铁路装卸线的距离，不应小于</w:t>
            </w:r>
            <w:r w:rsidRPr="00687B52">
              <w:rPr>
                <w:rFonts w:hint="eastAsia"/>
                <w:color w:val="000000" w:themeColor="text1"/>
              </w:rPr>
              <w:t>8m</w:t>
            </w:r>
            <w:r w:rsidRPr="00687B52">
              <w:rPr>
                <w:rFonts w:hint="eastAsia"/>
                <w:color w:val="000000" w:themeColor="text1"/>
              </w:rPr>
              <w:t>。</w:t>
            </w:r>
          </w:p>
          <w:p w:rsidR="000E02C5" w:rsidRPr="00687B52" w:rsidRDefault="000E02C5" w:rsidP="00B527D4">
            <w:pPr>
              <w:pStyle w:val="a7"/>
              <w:jc w:val="left"/>
              <w:rPr>
                <w:color w:val="000000" w:themeColor="text1"/>
              </w:rPr>
            </w:pPr>
            <w:r w:rsidRPr="00687B52">
              <w:rPr>
                <w:rFonts w:hint="eastAsia"/>
                <w:color w:val="000000" w:themeColor="text1"/>
              </w:rPr>
              <w:t>④在距装车栈桥边缘</w:t>
            </w:r>
            <w:r w:rsidRPr="00687B52">
              <w:rPr>
                <w:rFonts w:hint="eastAsia"/>
                <w:color w:val="000000" w:themeColor="text1"/>
              </w:rPr>
              <w:t>10m</w:t>
            </w:r>
            <w:r w:rsidRPr="00687B52">
              <w:rPr>
                <w:rFonts w:hint="eastAsia"/>
                <w:color w:val="000000" w:themeColor="text1"/>
              </w:rPr>
              <w:t>以外的油品输入管道上，应设便于操作的紧急切断阀。</w:t>
            </w:r>
          </w:p>
          <w:p w:rsidR="000E02C5" w:rsidRPr="00687B52" w:rsidRDefault="000E02C5" w:rsidP="00B527D4">
            <w:pPr>
              <w:pStyle w:val="a7"/>
              <w:jc w:val="left"/>
              <w:rPr>
                <w:color w:val="000000" w:themeColor="text1"/>
              </w:rPr>
            </w:pPr>
            <w:r w:rsidRPr="00687B52">
              <w:rPr>
                <w:rFonts w:hint="eastAsia"/>
                <w:color w:val="000000" w:themeColor="text1"/>
              </w:rPr>
              <w:t>⑤零位油罐不应采用敞口容器，零位罐至铁路装卸线距离，不应小于</w:t>
            </w:r>
            <w:r w:rsidRPr="00687B52">
              <w:rPr>
                <w:rFonts w:hint="eastAsia"/>
                <w:color w:val="000000" w:themeColor="text1"/>
              </w:rPr>
              <w:t>6m</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6.7.1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油品铁路装卸栈桥至站场内其他铁路、道路间距应符合下列要求：</w:t>
            </w:r>
          </w:p>
          <w:p w:rsidR="000E02C5" w:rsidRPr="00687B52" w:rsidRDefault="000E02C5" w:rsidP="00B527D4">
            <w:pPr>
              <w:pStyle w:val="a7"/>
              <w:jc w:val="left"/>
              <w:rPr>
                <w:color w:val="000000" w:themeColor="text1"/>
              </w:rPr>
            </w:pPr>
            <w:r w:rsidRPr="00687B52">
              <w:rPr>
                <w:rFonts w:hint="eastAsia"/>
                <w:color w:val="000000" w:themeColor="text1"/>
              </w:rPr>
              <w:t>①至其他铁路线不应小于</w:t>
            </w:r>
            <w:r w:rsidRPr="00687B52">
              <w:rPr>
                <w:rFonts w:hint="eastAsia"/>
                <w:color w:val="000000" w:themeColor="text1"/>
              </w:rPr>
              <w:t>20m</w:t>
            </w:r>
            <w:r w:rsidRPr="00687B52">
              <w:rPr>
                <w:rFonts w:hint="eastAsia"/>
                <w:color w:val="000000" w:themeColor="text1"/>
              </w:rPr>
              <w:t>。</w:t>
            </w:r>
          </w:p>
          <w:p w:rsidR="000E02C5" w:rsidRPr="00687B52" w:rsidRDefault="000E02C5" w:rsidP="00B527D4">
            <w:pPr>
              <w:pStyle w:val="a7"/>
              <w:jc w:val="left"/>
              <w:rPr>
                <w:color w:val="000000" w:themeColor="text1"/>
              </w:rPr>
            </w:pPr>
            <w:r w:rsidRPr="00687B52">
              <w:rPr>
                <w:rFonts w:hint="eastAsia"/>
                <w:color w:val="000000" w:themeColor="text1"/>
              </w:rPr>
              <w:t>②至主要道路不应小于</w:t>
            </w:r>
            <w:r w:rsidRPr="00687B52">
              <w:rPr>
                <w:rFonts w:hint="eastAsia"/>
                <w:color w:val="000000" w:themeColor="text1"/>
              </w:rPr>
              <w:t>15m</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6.7.2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trHeight w:val="5720"/>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油品的汽车装卸站，应符合下列要求：</w:t>
            </w:r>
          </w:p>
          <w:p w:rsidR="000E02C5" w:rsidRPr="00687B52" w:rsidRDefault="000E02C5" w:rsidP="00B527D4">
            <w:pPr>
              <w:pStyle w:val="a7"/>
              <w:jc w:val="both"/>
              <w:rPr>
                <w:color w:val="000000" w:themeColor="text1"/>
              </w:rPr>
            </w:pPr>
            <w:r w:rsidRPr="00687B52">
              <w:rPr>
                <w:rFonts w:hint="eastAsia"/>
                <w:color w:val="000000" w:themeColor="text1"/>
              </w:rPr>
              <w:t>①装卸站的进出口，宜分开设置；当进、出口合用时，站内应设回车场。</w:t>
            </w:r>
          </w:p>
          <w:p w:rsidR="000E02C5" w:rsidRPr="00687B52" w:rsidRDefault="000E02C5" w:rsidP="00B527D4">
            <w:pPr>
              <w:pStyle w:val="a7"/>
              <w:jc w:val="both"/>
              <w:rPr>
                <w:color w:val="000000" w:themeColor="text1"/>
              </w:rPr>
            </w:pPr>
            <w:r w:rsidRPr="00687B52">
              <w:rPr>
                <w:rFonts w:hint="eastAsia"/>
                <w:color w:val="000000" w:themeColor="text1"/>
              </w:rPr>
              <w:t>②装卸车场宜采用现浇混凝土地面。</w:t>
            </w:r>
          </w:p>
          <w:p w:rsidR="000E02C5" w:rsidRPr="00687B52" w:rsidRDefault="000E02C5" w:rsidP="00B527D4">
            <w:pPr>
              <w:pStyle w:val="a7"/>
              <w:jc w:val="both"/>
              <w:rPr>
                <w:color w:val="000000" w:themeColor="text1"/>
              </w:rPr>
            </w:pPr>
            <w:r w:rsidRPr="00687B52">
              <w:rPr>
                <w:rFonts w:hint="eastAsia"/>
                <w:color w:val="000000" w:themeColor="text1"/>
              </w:rPr>
              <w:t>③装卸车鹤管之间的距离，不应小于</w:t>
            </w:r>
            <w:r w:rsidRPr="00687B52">
              <w:rPr>
                <w:rFonts w:hint="eastAsia"/>
                <w:color w:val="000000" w:themeColor="text1"/>
              </w:rPr>
              <w:t>4m</w:t>
            </w:r>
            <w:r w:rsidRPr="00687B52">
              <w:rPr>
                <w:rFonts w:hint="eastAsia"/>
                <w:color w:val="000000" w:themeColor="text1"/>
              </w:rPr>
              <w:t>；装卸车鹤管与缓冲罐之间的距离，不应小于</w:t>
            </w:r>
            <w:r w:rsidRPr="00687B52">
              <w:rPr>
                <w:rFonts w:hint="eastAsia"/>
                <w:color w:val="000000" w:themeColor="text1"/>
              </w:rPr>
              <w:t>5m</w:t>
            </w:r>
            <w:r w:rsidRPr="00687B52">
              <w:rPr>
                <w:rFonts w:hint="eastAsia"/>
                <w:color w:val="000000" w:themeColor="text1"/>
              </w:rPr>
              <w:t>。</w:t>
            </w:r>
          </w:p>
          <w:p w:rsidR="000E02C5" w:rsidRPr="00687B52" w:rsidRDefault="000E02C5" w:rsidP="00B527D4">
            <w:pPr>
              <w:pStyle w:val="a7"/>
              <w:jc w:val="both"/>
              <w:rPr>
                <w:color w:val="000000" w:themeColor="text1"/>
              </w:rPr>
            </w:pPr>
            <w:r w:rsidRPr="00687B52">
              <w:rPr>
                <w:rFonts w:hint="eastAsia"/>
                <w:color w:val="000000" w:themeColor="text1"/>
              </w:rPr>
              <w:t>④甲</w:t>
            </w:r>
            <w:r w:rsidRPr="00687B52">
              <w:rPr>
                <w:rFonts w:hint="eastAsia"/>
                <w:color w:val="000000" w:themeColor="text1"/>
              </w:rPr>
              <w:t>B</w:t>
            </w:r>
            <w:r w:rsidRPr="00687B52">
              <w:rPr>
                <w:rFonts w:hint="eastAsia"/>
                <w:color w:val="000000" w:themeColor="text1"/>
              </w:rPr>
              <w:t>、乙类液体的装卸车，严禁采用明沟（槽）卸车系统。</w:t>
            </w:r>
          </w:p>
          <w:p w:rsidR="000E02C5" w:rsidRPr="00687B52" w:rsidRDefault="000E02C5" w:rsidP="00B527D4">
            <w:pPr>
              <w:pStyle w:val="a7"/>
              <w:jc w:val="both"/>
              <w:rPr>
                <w:color w:val="000000" w:themeColor="text1"/>
              </w:rPr>
            </w:pPr>
            <w:r w:rsidRPr="00687B52">
              <w:rPr>
                <w:rFonts w:hint="eastAsia"/>
                <w:color w:val="000000" w:themeColor="text1"/>
              </w:rPr>
              <w:t>⑤在距装卸鹤管</w:t>
            </w:r>
            <w:r w:rsidRPr="00687B52">
              <w:rPr>
                <w:rFonts w:hint="eastAsia"/>
                <w:color w:val="000000" w:themeColor="text1"/>
              </w:rPr>
              <w:t>10m</w:t>
            </w:r>
            <w:r w:rsidRPr="00687B52">
              <w:rPr>
                <w:rFonts w:hint="eastAsia"/>
                <w:color w:val="000000" w:themeColor="text1"/>
              </w:rPr>
              <w:t>以外的装卸管道上，应设便于操作的紧急切断阀。</w:t>
            </w:r>
          </w:p>
          <w:p w:rsidR="000E02C5" w:rsidRPr="00687B52" w:rsidRDefault="000E02C5" w:rsidP="00B527D4">
            <w:pPr>
              <w:pStyle w:val="a7"/>
              <w:jc w:val="both"/>
              <w:rPr>
                <w:color w:val="000000" w:themeColor="text1"/>
              </w:rPr>
            </w:pPr>
            <w:r w:rsidRPr="00687B52">
              <w:rPr>
                <w:rFonts w:hint="eastAsia"/>
                <w:color w:val="000000" w:themeColor="text1"/>
              </w:rPr>
              <w:t>⑥甲</w:t>
            </w:r>
            <w:r w:rsidRPr="00687B52">
              <w:rPr>
                <w:rFonts w:hint="eastAsia"/>
                <w:color w:val="000000" w:themeColor="text1"/>
              </w:rPr>
              <w:t>B</w:t>
            </w:r>
            <w:r w:rsidRPr="00687B52">
              <w:rPr>
                <w:rFonts w:hint="eastAsia"/>
                <w:color w:val="000000" w:themeColor="text1"/>
              </w:rPr>
              <w:t>。、乙类油品装卸鹤管（受油口）与相邻生产设施的防火间距，应符合下表的规定。</w:t>
            </w:r>
          </w:p>
          <w:tbl>
            <w:tblPr>
              <w:tblStyle w:val="a6"/>
              <w:tblW w:w="0" w:type="auto"/>
              <w:tblLook w:val="04A0" w:firstRow="1" w:lastRow="0" w:firstColumn="1" w:lastColumn="0" w:noHBand="0" w:noVBand="1"/>
            </w:tblPr>
            <w:tblGrid>
              <w:gridCol w:w="1207"/>
              <w:gridCol w:w="1164"/>
              <w:gridCol w:w="1104"/>
              <w:gridCol w:w="1104"/>
              <w:gridCol w:w="1103"/>
            </w:tblGrid>
            <w:tr w:rsidR="000E02C5" w:rsidRPr="00687B52" w:rsidTr="00B527D4">
              <w:tc>
                <w:tcPr>
                  <w:tcW w:w="1207" w:type="dxa"/>
                  <w:vMerge w:val="restart"/>
                  <w:vAlign w:val="center"/>
                </w:tcPr>
                <w:p w:rsidR="000E02C5" w:rsidRPr="00687B52" w:rsidRDefault="000E02C5" w:rsidP="00B527D4">
                  <w:pPr>
                    <w:pStyle w:val="a7"/>
                    <w:rPr>
                      <w:color w:val="000000" w:themeColor="text1"/>
                    </w:rPr>
                  </w:pPr>
                  <w:r w:rsidRPr="00687B52">
                    <w:rPr>
                      <w:rFonts w:hint="eastAsia"/>
                      <w:color w:val="000000" w:themeColor="text1"/>
                    </w:rPr>
                    <w:t>生产设施</w:t>
                  </w:r>
                </w:p>
              </w:tc>
              <w:tc>
                <w:tcPr>
                  <w:tcW w:w="1164" w:type="dxa"/>
                  <w:vMerge w:val="restart"/>
                  <w:vAlign w:val="center"/>
                </w:tcPr>
                <w:p w:rsidR="000E02C5" w:rsidRPr="00687B52" w:rsidRDefault="000E02C5" w:rsidP="00B527D4">
                  <w:pPr>
                    <w:pStyle w:val="a7"/>
                    <w:rPr>
                      <w:color w:val="000000" w:themeColor="text1"/>
                    </w:rPr>
                  </w:pPr>
                  <w:r w:rsidRPr="00687B52">
                    <w:rPr>
                      <w:rFonts w:hint="eastAsia"/>
                      <w:color w:val="000000" w:themeColor="text1"/>
                    </w:rPr>
                    <w:t>装卸油泵房</w:t>
                  </w:r>
                </w:p>
              </w:tc>
              <w:tc>
                <w:tcPr>
                  <w:tcW w:w="3311" w:type="dxa"/>
                  <w:gridSpan w:val="3"/>
                  <w:vAlign w:val="center"/>
                </w:tcPr>
                <w:p w:rsidR="000E02C5" w:rsidRPr="00687B52" w:rsidRDefault="000E02C5" w:rsidP="00B527D4">
                  <w:pPr>
                    <w:pStyle w:val="a7"/>
                    <w:rPr>
                      <w:color w:val="000000" w:themeColor="text1"/>
                    </w:rPr>
                  </w:pPr>
                  <w:r w:rsidRPr="00687B52">
                    <w:rPr>
                      <w:rFonts w:hint="eastAsia"/>
                      <w:color w:val="000000" w:themeColor="text1"/>
                    </w:rPr>
                    <w:t>生产厂房及密闭工艺设备</w:t>
                  </w:r>
                </w:p>
              </w:tc>
            </w:tr>
            <w:tr w:rsidR="000E02C5" w:rsidRPr="00687B52" w:rsidTr="00B527D4">
              <w:tc>
                <w:tcPr>
                  <w:tcW w:w="1207" w:type="dxa"/>
                  <w:vMerge/>
                  <w:vAlign w:val="center"/>
                </w:tcPr>
                <w:p w:rsidR="000E02C5" w:rsidRPr="00687B52" w:rsidRDefault="000E02C5" w:rsidP="00B527D4">
                  <w:pPr>
                    <w:pStyle w:val="a7"/>
                    <w:rPr>
                      <w:color w:val="000000" w:themeColor="text1"/>
                    </w:rPr>
                  </w:pPr>
                </w:p>
              </w:tc>
              <w:tc>
                <w:tcPr>
                  <w:tcW w:w="1164" w:type="dxa"/>
                  <w:vMerge/>
                  <w:vAlign w:val="center"/>
                </w:tcPr>
                <w:p w:rsidR="000E02C5" w:rsidRPr="00687B52" w:rsidRDefault="000E02C5" w:rsidP="00B527D4">
                  <w:pPr>
                    <w:pStyle w:val="a7"/>
                    <w:rPr>
                      <w:color w:val="000000" w:themeColor="text1"/>
                    </w:rPr>
                  </w:pPr>
                </w:p>
              </w:tc>
              <w:tc>
                <w:tcPr>
                  <w:tcW w:w="1104" w:type="dxa"/>
                  <w:vAlign w:val="center"/>
                </w:tcPr>
                <w:p w:rsidR="000E02C5" w:rsidRPr="00687B52" w:rsidRDefault="000E02C5" w:rsidP="00B527D4">
                  <w:pPr>
                    <w:pStyle w:val="a7"/>
                    <w:rPr>
                      <w:color w:val="000000" w:themeColor="text1"/>
                    </w:rPr>
                  </w:pPr>
                  <w:r w:rsidRPr="00687B52">
                    <w:rPr>
                      <w:rFonts w:hint="eastAsia"/>
                      <w:color w:val="000000" w:themeColor="text1"/>
                    </w:rPr>
                    <w:t>液化石油气</w:t>
                  </w:r>
                </w:p>
              </w:tc>
              <w:tc>
                <w:tcPr>
                  <w:tcW w:w="1104" w:type="dxa"/>
                  <w:vAlign w:val="center"/>
                </w:tcPr>
                <w:p w:rsidR="000E02C5" w:rsidRPr="00687B52" w:rsidRDefault="000E02C5" w:rsidP="00B527D4">
                  <w:pPr>
                    <w:pStyle w:val="a7"/>
                    <w:rPr>
                      <w:color w:val="000000" w:themeColor="text1"/>
                    </w:rPr>
                  </w:pPr>
                  <w:r w:rsidRPr="00687B52">
                    <w:rPr>
                      <w:rFonts w:hint="eastAsia"/>
                      <w:color w:val="000000" w:themeColor="text1"/>
                    </w:rPr>
                    <w:t>甲</w:t>
                  </w:r>
                  <w:r w:rsidRPr="00687B52">
                    <w:rPr>
                      <w:rFonts w:hint="eastAsia"/>
                      <w:color w:val="000000" w:themeColor="text1"/>
                      <w:vertAlign w:val="subscript"/>
                    </w:rPr>
                    <w:t>B</w:t>
                  </w:r>
                  <w:r w:rsidRPr="00687B52">
                    <w:rPr>
                      <w:rFonts w:hint="eastAsia"/>
                      <w:color w:val="000000" w:themeColor="text1"/>
                    </w:rPr>
                    <w:t>、乙类</w:t>
                  </w:r>
                </w:p>
              </w:tc>
              <w:tc>
                <w:tcPr>
                  <w:tcW w:w="1103" w:type="dxa"/>
                  <w:vAlign w:val="center"/>
                </w:tcPr>
                <w:p w:rsidR="000E02C5" w:rsidRPr="00687B52" w:rsidRDefault="000E02C5" w:rsidP="00B527D4">
                  <w:pPr>
                    <w:pStyle w:val="a7"/>
                    <w:rPr>
                      <w:color w:val="000000" w:themeColor="text1"/>
                    </w:rPr>
                  </w:pPr>
                  <w:r w:rsidRPr="00687B52">
                    <w:rPr>
                      <w:rFonts w:hint="eastAsia"/>
                      <w:color w:val="000000" w:themeColor="text1"/>
                    </w:rPr>
                    <w:t>丙类</w:t>
                  </w:r>
                </w:p>
              </w:tc>
            </w:tr>
            <w:tr w:rsidR="000E02C5" w:rsidRPr="00687B52" w:rsidTr="00B527D4">
              <w:tc>
                <w:tcPr>
                  <w:tcW w:w="1207" w:type="dxa"/>
                  <w:vAlign w:val="center"/>
                </w:tcPr>
                <w:p w:rsidR="000E02C5" w:rsidRPr="00687B52" w:rsidRDefault="000E02C5" w:rsidP="00B527D4">
                  <w:pPr>
                    <w:pStyle w:val="a7"/>
                    <w:rPr>
                      <w:color w:val="000000" w:themeColor="text1"/>
                    </w:rPr>
                  </w:pPr>
                  <w:r w:rsidRPr="00687B52">
                    <w:rPr>
                      <w:rFonts w:hint="eastAsia"/>
                      <w:color w:val="000000" w:themeColor="text1"/>
                    </w:rPr>
                    <w:t>甲</w:t>
                  </w:r>
                  <w:r w:rsidRPr="00687B52">
                    <w:rPr>
                      <w:rFonts w:hint="eastAsia"/>
                      <w:color w:val="000000" w:themeColor="text1"/>
                    </w:rPr>
                    <w:t>B</w:t>
                  </w:r>
                  <w:r w:rsidRPr="00687B52">
                    <w:rPr>
                      <w:rFonts w:hint="eastAsia"/>
                      <w:color w:val="000000" w:themeColor="text1"/>
                    </w:rPr>
                    <w:t>、乙类油品装卸鹤管</w:t>
                  </w:r>
                </w:p>
              </w:tc>
              <w:tc>
                <w:tcPr>
                  <w:tcW w:w="1164" w:type="dxa"/>
                  <w:vAlign w:val="center"/>
                </w:tcPr>
                <w:p w:rsidR="000E02C5" w:rsidRPr="00687B52" w:rsidRDefault="000E02C5" w:rsidP="00B527D4">
                  <w:pPr>
                    <w:pStyle w:val="a7"/>
                    <w:rPr>
                      <w:color w:val="000000" w:themeColor="text1"/>
                    </w:rPr>
                  </w:pPr>
                  <w:r w:rsidRPr="00687B52">
                    <w:rPr>
                      <w:rFonts w:hint="eastAsia"/>
                      <w:color w:val="000000" w:themeColor="text1"/>
                    </w:rPr>
                    <w:t>8</w:t>
                  </w:r>
                </w:p>
              </w:tc>
              <w:tc>
                <w:tcPr>
                  <w:tcW w:w="1104" w:type="dxa"/>
                  <w:vAlign w:val="center"/>
                </w:tcPr>
                <w:p w:rsidR="000E02C5" w:rsidRPr="00687B52" w:rsidRDefault="000E02C5" w:rsidP="00B527D4">
                  <w:pPr>
                    <w:pStyle w:val="a7"/>
                    <w:rPr>
                      <w:color w:val="000000" w:themeColor="text1"/>
                    </w:rPr>
                  </w:pPr>
                  <w:r w:rsidRPr="00687B52">
                    <w:rPr>
                      <w:rFonts w:hint="eastAsia"/>
                      <w:color w:val="000000" w:themeColor="text1"/>
                    </w:rPr>
                    <w:t>25</w:t>
                  </w:r>
                </w:p>
              </w:tc>
              <w:tc>
                <w:tcPr>
                  <w:tcW w:w="1104" w:type="dxa"/>
                  <w:vAlign w:val="center"/>
                </w:tcPr>
                <w:p w:rsidR="000E02C5" w:rsidRPr="00687B52" w:rsidRDefault="000E02C5" w:rsidP="00B527D4">
                  <w:pPr>
                    <w:pStyle w:val="a7"/>
                    <w:rPr>
                      <w:color w:val="000000" w:themeColor="text1"/>
                    </w:rPr>
                  </w:pPr>
                  <w:r w:rsidRPr="00687B52">
                    <w:rPr>
                      <w:rFonts w:hint="eastAsia"/>
                      <w:color w:val="000000" w:themeColor="text1"/>
                    </w:rPr>
                    <w:t>15</w:t>
                  </w:r>
                </w:p>
              </w:tc>
              <w:tc>
                <w:tcPr>
                  <w:tcW w:w="1103" w:type="dxa"/>
                  <w:vAlign w:val="center"/>
                </w:tcPr>
                <w:p w:rsidR="000E02C5" w:rsidRPr="00687B52" w:rsidRDefault="000E02C5" w:rsidP="00B527D4">
                  <w:pPr>
                    <w:pStyle w:val="a7"/>
                    <w:rPr>
                      <w:color w:val="000000" w:themeColor="text1"/>
                    </w:rPr>
                  </w:pPr>
                  <w:r w:rsidRPr="00687B52">
                    <w:rPr>
                      <w:rFonts w:hint="eastAsia"/>
                      <w:color w:val="000000" w:themeColor="text1"/>
                    </w:rPr>
                    <w:t>10</w:t>
                  </w:r>
                </w:p>
              </w:tc>
            </w:tr>
          </w:tbl>
          <w:p w:rsidR="000E02C5" w:rsidRPr="00687B52" w:rsidRDefault="000E02C5" w:rsidP="00B527D4">
            <w:pPr>
              <w:pStyle w:val="a7"/>
              <w:jc w:val="both"/>
              <w:rPr>
                <w:color w:val="000000" w:themeColor="text1"/>
              </w:rPr>
            </w:pP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6.7.3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1"/>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液化石油气铁路和汽车的装卸设施，应符合下列要求：</w:t>
            </w:r>
          </w:p>
          <w:p w:rsidR="000E02C5" w:rsidRPr="00687B52" w:rsidRDefault="000E02C5" w:rsidP="00B527D4">
            <w:pPr>
              <w:pStyle w:val="a7"/>
              <w:jc w:val="both"/>
              <w:rPr>
                <w:color w:val="000000" w:themeColor="text1"/>
              </w:rPr>
            </w:pPr>
            <w:r w:rsidRPr="00687B52">
              <w:rPr>
                <w:rFonts w:hint="eastAsia"/>
                <w:color w:val="000000" w:themeColor="text1"/>
              </w:rPr>
              <w:t>①铁路装卸栈台宜单独设置；若不同时作业，也可与油品装卸鹤管共台设置。</w:t>
            </w:r>
          </w:p>
          <w:p w:rsidR="000E02C5" w:rsidRPr="00687B52" w:rsidRDefault="000E02C5" w:rsidP="00B527D4">
            <w:pPr>
              <w:pStyle w:val="a7"/>
              <w:jc w:val="both"/>
              <w:rPr>
                <w:color w:val="000000" w:themeColor="text1"/>
              </w:rPr>
            </w:pPr>
            <w:r w:rsidRPr="00687B52">
              <w:rPr>
                <w:rFonts w:hint="eastAsia"/>
                <w:color w:val="000000" w:themeColor="text1"/>
              </w:rPr>
              <w:t>②罐车装车过程中，排气管宜采用气相平衡式，也可接至低压燃料气或火炬放空系统，不得就地排放。</w:t>
            </w:r>
          </w:p>
          <w:p w:rsidR="000E02C5" w:rsidRPr="00687B52" w:rsidRDefault="000E02C5" w:rsidP="00B527D4">
            <w:pPr>
              <w:pStyle w:val="a7"/>
              <w:jc w:val="both"/>
              <w:rPr>
                <w:color w:val="000000" w:themeColor="text1"/>
              </w:rPr>
            </w:pPr>
            <w:r w:rsidRPr="00687B52">
              <w:rPr>
                <w:rFonts w:hint="eastAsia"/>
                <w:color w:val="000000" w:themeColor="text1"/>
              </w:rPr>
              <w:t>③汽车装卸鹤管之间的距离不应小于</w:t>
            </w:r>
            <w:r w:rsidRPr="00687B52">
              <w:rPr>
                <w:rFonts w:hint="eastAsia"/>
                <w:color w:val="000000" w:themeColor="text1"/>
              </w:rPr>
              <w:t>4m</w:t>
            </w:r>
            <w:r w:rsidRPr="00687B52">
              <w:rPr>
                <w:rFonts w:hint="eastAsia"/>
                <w:color w:val="000000" w:themeColor="text1"/>
              </w:rPr>
              <w:t>。</w:t>
            </w:r>
          </w:p>
          <w:p w:rsidR="000E02C5" w:rsidRPr="00687B52" w:rsidRDefault="000E02C5" w:rsidP="00B527D4">
            <w:pPr>
              <w:pStyle w:val="a7"/>
              <w:jc w:val="both"/>
              <w:rPr>
                <w:color w:val="000000" w:themeColor="text1"/>
              </w:rPr>
            </w:pPr>
            <w:r w:rsidRPr="00687B52">
              <w:rPr>
                <w:rFonts w:hint="eastAsia"/>
                <w:color w:val="000000" w:themeColor="text1"/>
              </w:rPr>
              <w:t>④汽车装卸车场应采用现浇混凝土地面。</w:t>
            </w:r>
          </w:p>
          <w:p w:rsidR="000E02C5" w:rsidRPr="00687B52" w:rsidRDefault="000E02C5" w:rsidP="00B527D4">
            <w:pPr>
              <w:pStyle w:val="a7"/>
              <w:jc w:val="both"/>
              <w:rPr>
                <w:color w:val="000000" w:themeColor="text1"/>
              </w:rPr>
            </w:pPr>
            <w:r w:rsidRPr="00687B52">
              <w:rPr>
                <w:rFonts w:hint="eastAsia"/>
                <w:color w:val="000000" w:themeColor="text1"/>
              </w:rPr>
              <w:t>⑤铁路装卸设施。</w:t>
            </w:r>
          </w:p>
          <w:p w:rsidR="000E02C5" w:rsidRPr="00687B52" w:rsidRDefault="000E02C5" w:rsidP="00B527D4">
            <w:pPr>
              <w:pStyle w:val="a7"/>
              <w:jc w:val="both"/>
              <w:rPr>
                <w:color w:val="000000" w:themeColor="text1"/>
              </w:rPr>
            </w:pPr>
            <w:r w:rsidRPr="00687B52">
              <w:rPr>
                <w:rFonts w:hint="eastAsia"/>
                <w:color w:val="000000" w:themeColor="text1"/>
              </w:rPr>
              <w:t>⑥装卸栈桥两端和沿线桥每隔</w:t>
            </w:r>
            <w:r w:rsidRPr="00687B52">
              <w:rPr>
                <w:rFonts w:hint="eastAsia"/>
                <w:color w:val="000000" w:themeColor="text1"/>
              </w:rPr>
              <w:t>60~80m</w:t>
            </w:r>
            <w:r w:rsidRPr="00687B52">
              <w:rPr>
                <w:rFonts w:hint="eastAsia"/>
                <w:color w:val="000000" w:themeColor="text1"/>
              </w:rPr>
              <w:t>，应设安全斜梯。</w:t>
            </w:r>
          </w:p>
          <w:p w:rsidR="000E02C5" w:rsidRPr="00687B52" w:rsidRDefault="000E02C5" w:rsidP="00B527D4">
            <w:pPr>
              <w:pStyle w:val="a7"/>
              <w:jc w:val="both"/>
              <w:rPr>
                <w:color w:val="000000" w:themeColor="text1"/>
              </w:rPr>
            </w:pPr>
            <w:r w:rsidRPr="00687B52">
              <w:rPr>
                <w:rFonts w:hint="eastAsia"/>
                <w:color w:val="000000" w:themeColor="text1"/>
              </w:rPr>
              <w:t>⑦在距装车栈桥边缘</w:t>
            </w:r>
            <w:r w:rsidRPr="00687B52">
              <w:rPr>
                <w:rFonts w:hint="eastAsia"/>
                <w:color w:val="000000" w:themeColor="text1"/>
              </w:rPr>
              <w:t>10m</w:t>
            </w:r>
            <w:r w:rsidRPr="00687B52">
              <w:rPr>
                <w:rFonts w:hint="eastAsia"/>
                <w:color w:val="000000" w:themeColor="text1"/>
              </w:rPr>
              <w:t>以外的油品输入管道上，应设便于操作的紧急切断阀。</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6.7.4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B527D4">
            <w:pPr>
              <w:pStyle w:val="a7"/>
              <w:rPr>
                <w:b/>
                <w:color w:val="000000" w:themeColor="text1"/>
              </w:rPr>
            </w:pPr>
            <w:r w:rsidRPr="00687B52">
              <w:rPr>
                <w:rFonts w:hint="eastAsia"/>
                <w:b/>
                <w:color w:val="000000" w:themeColor="text1"/>
              </w:rPr>
              <w:t>3.4</w:t>
            </w:r>
          </w:p>
        </w:tc>
        <w:tc>
          <w:tcPr>
            <w:tcW w:w="2750" w:type="pct"/>
            <w:vAlign w:val="center"/>
          </w:tcPr>
          <w:p w:rsidR="000E02C5" w:rsidRPr="00687B52" w:rsidRDefault="000E02C5" w:rsidP="00B527D4">
            <w:pPr>
              <w:pStyle w:val="a7"/>
              <w:jc w:val="left"/>
              <w:rPr>
                <w:b/>
                <w:color w:val="000000" w:themeColor="text1"/>
              </w:rPr>
            </w:pPr>
            <w:r w:rsidRPr="00687B52">
              <w:rPr>
                <w:rFonts w:hint="eastAsia"/>
                <w:b/>
                <w:color w:val="000000" w:themeColor="text1"/>
              </w:rPr>
              <w:t>站场消防系统与应急设施</w:t>
            </w:r>
          </w:p>
        </w:tc>
        <w:tc>
          <w:tcPr>
            <w:tcW w:w="930" w:type="pct"/>
            <w:vAlign w:val="center"/>
          </w:tcPr>
          <w:p w:rsidR="000E02C5" w:rsidRPr="00687B52" w:rsidRDefault="000E02C5" w:rsidP="00B527D4">
            <w:pPr>
              <w:pStyle w:val="a7"/>
              <w:jc w:val="left"/>
              <w:rPr>
                <w:b/>
                <w:color w:val="000000" w:themeColor="text1"/>
              </w:rPr>
            </w:pPr>
          </w:p>
        </w:tc>
        <w:tc>
          <w:tcPr>
            <w:tcW w:w="860" w:type="pct"/>
            <w:vAlign w:val="center"/>
          </w:tcPr>
          <w:p w:rsidR="000E02C5" w:rsidRPr="00687B52" w:rsidRDefault="000E02C5" w:rsidP="00B527D4">
            <w:pPr>
              <w:pStyle w:val="a7"/>
              <w:jc w:val="left"/>
              <w:rPr>
                <w:b/>
                <w:color w:val="000000" w:themeColor="text1"/>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消防控制系统设计应符合下列规定：</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①消防控制系统宜由控制单元、可燃（有毒）气体检测系统、火灾自动报警系统和消防泵及相关阀门组成；</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②在有储油罐的站场宜设置独立的消防控制系统；其他的站场宜设置可燃（有毒）气体检测系统和火灾自动报警系统，其报警信号应引入安全仪表系统；</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③在进出站阀组区、泵区、计量区和储罐区宜设置可燃气体检测仪表，泵区和储罐区宜设置火焰检测仪表；</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④在站场的控制室、配电间区域内，宜设置火灾自动报警系统；</w:t>
            </w:r>
          </w:p>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⑤储罐区消防控制系统启动报警信号应传送至站控制系统。</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7.3.5</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油气站场内消防车道布置应符合下列要求：</w:t>
            </w:r>
          </w:p>
          <w:p w:rsidR="000E02C5" w:rsidRPr="00687B52" w:rsidRDefault="000E02C5" w:rsidP="00B527D4">
            <w:pPr>
              <w:pStyle w:val="a7"/>
              <w:jc w:val="left"/>
              <w:rPr>
                <w:color w:val="000000" w:themeColor="text1"/>
              </w:rPr>
            </w:pPr>
            <w:r w:rsidRPr="00687B52">
              <w:rPr>
                <w:rFonts w:hint="eastAsia"/>
                <w:color w:val="000000" w:themeColor="text1"/>
              </w:rPr>
              <w:t>①油气站场储罐组宜设环形消防车道。四、五级油气站场或受地形等条件限制的一、二、三级油气站场内的油罐组，可设有回车场的尽头式消防车道，回车场的面积应按当地所配消防车辆车型确定，但不宜小于</w:t>
            </w:r>
            <w:r w:rsidRPr="00687B52">
              <w:rPr>
                <w:rFonts w:hint="eastAsia"/>
                <w:color w:val="000000" w:themeColor="text1"/>
              </w:rPr>
              <w:t>15m</w:t>
            </w:r>
            <w:r w:rsidRPr="00687B52">
              <w:rPr>
                <w:rFonts w:hint="eastAsia"/>
                <w:color w:val="000000" w:themeColor="text1"/>
              </w:rPr>
              <w:t>×</w:t>
            </w:r>
            <w:r w:rsidRPr="00687B52">
              <w:rPr>
                <w:rFonts w:hint="eastAsia"/>
                <w:color w:val="000000" w:themeColor="text1"/>
              </w:rPr>
              <w:t>15m</w:t>
            </w:r>
            <w:r w:rsidRPr="00687B52">
              <w:rPr>
                <w:rFonts w:hint="eastAsia"/>
                <w:color w:val="000000" w:themeColor="text1"/>
              </w:rPr>
              <w:t>。</w:t>
            </w:r>
          </w:p>
          <w:p w:rsidR="000E02C5" w:rsidRPr="00687B52" w:rsidRDefault="000E02C5" w:rsidP="00B527D4">
            <w:pPr>
              <w:pStyle w:val="a7"/>
              <w:jc w:val="left"/>
              <w:rPr>
                <w:color w:val="000000" w:themeColor="text1"/>
              </w:rPr>
            </w:pPr>
            <w:r w:rsidRPr="00687B52">
              <w:rPr>
                <w:rFonts w:hint="eastAsia"/>
                <w:color w:val="000000" w:themeColor="text1"/>
              </w:rPr>
              <w:t>②储罐组消防车道与防火堤的外坡脚线之间的距离不应小于</w:t>
            </w:r>
            <w:r w:rsidRPr="00687B52">
              <w:rPr>
                <w:rFonts w:hint="eastAsia"/>
                <w:color w:val="000000" w:themeColor="text1"/>
              </w:rPr>
              <w:t>3m</w:t>
            </w:r>
            <w:r w:rsidRPr="00687B52">
              <w:rPr>
                <w:rFonts w:hint="eastAsia"/>
                <w:color w:val="000000" w:themeColor="text1"/>
              </w:rPr>
              <w:t>。储罐中心与最近的消防车道之间的距离不应大于</w:t>
            </w:r>
            <w:r w:rsidRPr="00687B52">
              <w:rPr>
                <w:rFonts w:hint="eastAsia"/>
                <w:color w:val="000000" w:themeColor="text1"/>
              </w:rPr>
              <w:t>80m</w:t>
            </w:r>
            <w:r w:rsidRPr="00687B52">
              <w:rPr>
                <w:rFonts w:hint="eastAsia"/>
                <w:color w:val="000000" w:themeColor="text1"/>
              </w:rPr>
              <w:t>。</w:t>
            </w:r>
          </w:p>
          <w:p w:rsidR="000E02C5" w:rsidRPr="00687B52" w:rsidRDefault="000E02C5" w:rsidP="00B527D4">
            <w:pPr>
              <w:pStyle w:val="a7"/>
              <w:jc w:val="left"/>
              <w:rPr>
                <w:color w:val="000000" w:themeColor="text1"/>
              </w:rPr>
            </w:pPr>
            <w:r w:rsidRPr="00687B52">
              <w:rPr>
                <w:rFonts w:hint="eastAsia"/>
                <w:color w:val="000000" w:themeColor="text1"/>
              </w:rPr>
              <w:t>③铁路装卸设施应设消防车道，消防车道应与站场内道路构成环形，受条件限制的，可设有回车场的尽头车道，消防车道与装卸栈桥的距离不应大于</w:t>
            </w:r>
            <w:r w:rsidRPr="00687B52">
              <w:rPr>
                <w:rFonts w:hint="eastAsia"/>
                <w:color w:val="000000" w:themeColor="text1"/>
              </w:rPr>
              <w:t>80m</w:t>
            </w:r>
            <w:r w:rsidRPr="00687B52">
              <w:rPr>
                <w:rFonts w:hint="eastAsia"/>
                <w:color w:val="000000" w:themeColor="text1"/>
              </w:rPr>
              <w:t>且不应小于</w:t>
            </w:r>
            <w:r w:rsidRPr="00687B52">
              <w:rPr>
                <w:rFonts w:hint="eastAsia"/>
                <w:color w:val="000000" w:themeColor="text1"/>
              </w:rPr>
              <w:t>15m</w:t>
            </w:r>
            <w:r w:rsidRPr="00687B52">
              <w:rPr>
                <w:rFonts w:hint="eastAsia"/>
                <w:color w:val="000000" w:themeColor="text1"/>
              </w:rPr>
              <w:t>。</w:t>
            </w:r>
          </w:p>
          <w:p w:rsidR="000E02C5" w:rsidRPr="00687B52" w:rsidRDefault="000E02C5" w:rsidP="00B527D4">
            <w:pPr>
              <w:pStyle w:val="a7"/>
              <w:jc w:val="left"/>
              <w:rPr>
                <w:color w:val="000000" w:themeColor="text1"/>
              </w:rPr>
            </w:pPr>
            <w:r w:rsidRPr="00687B52">
              <w:rPr>
                <w:rFonts w:hint="eastAsia"/>
                <w:color w:val="000000" w:themeColor="text1"/>
              </w:rPr>
              <w:t>④甲、乙类液体厂房及油气密闭工艺设备距消防车道的间距不宜小于</w:t>
            </w:r>
            <w:r w:rsidRPr="00687B52">
              <w:rPr>
                <w:rFonts w:hint="eastAsia"/>
                <w:color w:val="000000" w:themeColor="text1"/>
              </w:rPr>
              <w:t>5m</w:t>
            </w:r>
            <w:r w:rsidRPr="00687B52">
              <w:rPr>
                <w:rFonts w:hint="eastAsia"/>
                <w:color w:val="000000" w:themeColor="text1"/>
              </w:rPr>
              <w:t>。</w:t>
            </w:r>
          </w:p>
          <w:p w:rsidR="000E02C5" w:rsidRPr="00687B52" w:rsidRDefault="000E02C5" w:rsidP="00B527D4">
            <w:pPr>
              <w:pStyle w:val="a7"/>
              <w:jc w:val="left"/>
              <w:rPr>
                <w:color w:val="000000" w:themeColor="text1"/>
              </w:rPr>
            </w:pPr>
            <w:r w:rsidRPr="00687B52">
              <w:rPr>
                <w:rFonts w:hint="eastAsia"/>
                <w:color w:val="000000" w:themeColor="text1"/>
              </w:rPr>
              <w:t>⑤消防车道的净空高度不应小于</w:t>
            </w:r>
            <w:r w:rsidRPr="00687B52">
              <w:rPr>
                <w:rFonts w:hint="eastAsia"/>
                <w:color w:val="000000" w:themeColor="text1"/>
              </w:rPr>
              <w:t>5m</w:t>
            </w:r>
            <w:r w:rsidRPr="00687B52">
              <w:rPr>
                <w:rFonts w:hint="eastAsia"/>
                <w:color w:val="000000" w:themeColor="text1"/>
              </w:rPr>
              <w:t>；一、二、三级油气站场消防车道转弯半径不应小于</w:t>
            </w:r>
            <w:r w:rsidRPr="00687B52">
              <w:rPr>
                <w:rFonts w:hint="eastAsia"/>
                <w:color w:val="000000" w:themeColor="text1"/>
              </w:rPr>
              <w:t>12m</w:t>
            </w:r>
            <w:r w:rsidRPr="00687B52">
              <w:rPr>
                <w:rFonts w:hint="eastAsia"/>
                <w:color w:val="000000" w:themeColor="text1"/>
              </w:rPr>
              <w:t>纵向坡度不宜大于</w:t>
            </w:r>
            <w:r w:rsidRPr="00687B52">
              <w:rPr>
                <w:rFonts w:hint="eastAsia"/>
                <w:color w:val="000000" w:themeColor="text1"/>
              </w:rPr>
              <w:t>8%</w:t>
            </w:r>
            <w:r w:rsidRPr="00687B52">
              <w:rPr>
                <w:rFonts w:hint="eastAsia"/>
                <w:color w:val="000000" w:themeColor="text1"/>
              </w:rPr>
              <w:t>。</w:t>
            </w:r>
          </w:p>
          <w:p w:rsidR="000E02C5" w:rsidRPr="00687B52" w:rsidRDefault="000E02C5" w:rsidP="00B527D4">
            <w:pPr>
              <w:pStyle w:val="a7"/>
              <w:jc w:val="left"/>
              <w:rPr>
                <w:color w:val="000000" w:themeColor="text1"/>
              </w:rPr>
            </w:pPr>
            <w:r w:rsidRPr="00687B52">
              <w:rPr>
                <w:rFonts w:hint="eastAsia"/>
                <w:color w:val="000000" w:themeColor="text1"/>
              </w:rPr>
              <w:t>⑥消防车道与站场内铁路平面相交时，交叉点应在铁路机车停车限界之外；平交的角度宜为</w:t>
            </w:r>
            <w:r w:rsidRPr="00687B52">
              <w:rPr>
                <w:rFonts w:hint="eastAsia"/>
                <w:color w:val="000000" w:themeColor="text1"/>
              </w:rPr>
              <w:t>90</w:t>
            </w:r>
            <w:r w:rsidRPr="00687B52">
              <w:rPr>
                <w:rFonts w:hint="eastAsia"/>
                <w:color w:val="000000" w:themeColor="text1"/>
              </w:rPr>
              <w:t>°，困难时，不应小于</w:t>
            </w:r>
            <w:r w:rsidRPr="00687B52">
              <w:rPr>
                <w:rFonts w:hint="eastAsia"/>
                <w:color w:val="000000" w:themeColor="text1"/>
              </w:rPr>
              <w:t>45</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5.3.2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一级站场内消防车道的路面宽度不宜小于</w:t>
            </w:r>
            <w:r w:rsidRPr="00687B52">
              <w:rPr>
                <w:rFonts w:hint="eastAsia"/>
                <w:color w:val="000000" w:themeColor="text1"/>
              </w:rPr>
              <w:t>6m</w:t>
            </w:r>
            <w:r w:rsidRPr="00687B52">
              <w:rPr>
                <w:rFonts w:hint="eastAsia"/>
                <w:color w:val="000000" w:themeColor="text1"/>
              </w:rPr>
              <w:t>，若为单车道时，应有往返车辆错车通行的措施。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5.3.3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固定和半固定消防系统中的设备及材料应符合下列规定：</w:t>
            </w:r>
          </w:p>
          <w:p w:rsidR="000E02C5" w:rsidRPr="00687B52" w:rsidRDefault="000E02C5" w:rsidP="00B527D4">
            <w:pPr>
              <w:pStyle w:val="a7"/>
              <w:jc w:val="both"/>
              <w:rPr>
                <w:color w:val="000000" w:themeColor="text1"/>
              </w:rPr>
            </w:pPr>
            <w:r w:rsidRPr="00687B52">
              <w:rPr>
                <w:rFonts w:hint="eastAsia"/>
                <w:color w:val="000000" w:themeColor="text1"/>
              </w:rPr>
              <w:t>①应选用消防专用设备。</w:t>
            </w:r>
          </w:p>
          <w:p w:rsidR="000E02C5" w:rsidRPr="00687B52" w:rsidRDefault="000E02C5" w:rsidP="00B527D4">
            <w:pPr>
              <w:pStyle w:val="a7"/>
              <w:jc w:val="both"/>
              <w:rPr>
                <w:color w:val="000000" w:themeColor="text1"/>
              </w:rPr>
            </w:pPr>
            <w:r w:rsidRPr="00687B52">
              <w:rPr>
                <w:rFonts w:hint="eastAsia"/>
                <w:color w:val="000000" w:themeColor="text1"/>
              </w:rPr>
              <w:t>②油罐防火堤内冷却水和泡沫混合液管道宜采用热镀锌钢罐。油罐上泡沫混合液管道设计应采取防爆炸破坏的措施。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8.1.4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消防站及消防车的设置应符合下列规定：</w:t>
            </w:r>
          </w:p>
          <w:p w:rsidR="000E02C5" w:rsidRPr="00687B52" w:rsidRDefault="000E02C5" w:rsidP="00B527D4">
            <w:pPr>
              <w:pStyle w:val="a7"/>
              <w:jc w:val="both"/>
              <w:rPr>
                <w:color w:val="000000" w:themeColor="text1"/>
              </w:rPr>
            </w:pPr>
            <w:r w:rsidRPr="00687B52">
              <w:rPr>
                <w:rFonts w:hint="eastAsia"/>
                <w:color w:val="000000" w:themeColor="text1"/>
              </w:rPr>
              <w:t>①输油管道的站场设置固定消防系统时，可不设消防站，如果邻近消防协作力量不能在</w:t>
            </w:r>
            <w:r w:rsidRPr="00687B52">
              <w:rPr>
                <w:rFonts w:hint="eastAsia"/>
                <w:color w:val="000000" w:themeColor="text1"/>
              </w:rPr>
              <w:t>30min</w:t>
            </w:r>
            <w:r w:rsidRPr="00687B52">
              <w:rPr>
                <w:rFonts w:hint="eastAsia"/>
                <w:color w:val="000000" w:themeColor="text1"/>
              </w:rPr>
              <w:t>内到达，可按下列要求设置消防车或消防站：</w:t>
            </w:r>
            <w:r w:rsidRPr="00687B52">
              <w:rPr>
                <w:rFonts w:hint="eastAsia"/>
                <w:color w:val="000000" w:themeColor="text1"/>
              </w:rPr>
              <w:t>a</w:t>
            </w:r>
            <w:r w:rsidRPr="00687B52">
              <w:rPr>
                <w:rFonts w:hint="eastAsia"/>
                <w:color w:val="000000" w:themeColor="text1"/>
              </w:rPr>
              <w:t>油品储罐总容量等于或大于</w:t>
            </w:r>
            <w:r w:rsidRPr="00687B52">
              <w:rPr>
                <w:rFonts w:hint="eastAsia"/>
                <w:color w:val="000000" w:themeColor="text1"/>
              </w:rPr>
              <w:t>50000m</w:t>
            </w:r>
            <w:r w:rsidRPr="00687B52">
              <w:rPr>
                <w:rFonts w:hint="eastAsia"/>
                <w:color w:val="000000" w:themeColor="text1"/>
                <w:vertAlign w:val="superscript"/>
              </w:rPr>
              <w:t>3</w:t>
            </w:r>
            <w:r w:rsidRPr="00687B52">
              <w:rPr>
                <w:rFonts w:hint="eastAsia"/>
                <w:color w:val="000000" w:themeColor="text1"/>
              </w:rPr>
              <w:t>的二级站场中，固定顶罐单罐容量不小于</w:t>
            </w:r>
            <w:r w:rsidRPr="00687B52">
              <w:rPr>
                <w:rFonts w:hint="eastAsia"/>
                <w:color w:val="000000" w:themeColor="text1"/>
              </w:rPr>
              <w:t>5000m</w:t>
            </w:r>
            <w:r w:rsidRPr="00687B52">
              <w:rPr>
                <w:rFonts w:hint="eastAsia"/>
                <w:color w:val="000000" w:themeColor="text1"/>
                <w:vertAlign w:val="superscript"/>
              </w:rPr>
              <w:t>3</w:t>
            </w:r>
            <w:r w:rsidRPr="00687B52">
              <w:rPr>
                <w:rFonts w:hint="eastAsia"/>
                <w:color w:val="000000" w:themeColor="text1"/>
              </w:rPr>
              <w:t>或浮顶罐单罐容量不小于</w:t>
            </w:r>
            <w:r w:rsidRPr="00687B52">
              <w:rPr>
                <w:rFonts w:hint="eastAsia"/>
                <w:color w:val="000000" w:themeColor="text1"/>
              </w:rPr>
              <w:t>20000m</w:t>
            </w:r>
            <w:r w:rsidRPr="00687B52">
              <w:rPr>
                <w:rFonts w:hint="eastAsia"/>
                <w:color w:val="000000" w:themeColor="text1"/>
                <w:vertAlign w:val="superscript"/>
              </w:rPr>
              <w:t>3</w:t>
            </w:r>
            <w:r w:rsidRPr="00687B52">
              <w:rPr>
                <w:rFonts w:hint="eastAsia"/>
                <w:color w:val="000000" w:themeColor="text1"/>
              </w:rPr>
              <w:t>时，应配备</w:t>
            </w:r>
            <w:r w:rsidRPr="00687B52">
              <w:rPr>
                <w:rFonts w:hint="eastAsia"/>
                <w:color w:val="000000" w:themeColor="text1"/>
              </w:rPr>
              <w:t>1</w:t>
            </w:r>
            <w:r w:rsidRPr="00687B52">
              <w:rPr>
                <w:rFonts w:hint="eastAsia"/>
                <w:color w:val="000000" w:themeColor="text1"/>
              </w:rPr>
              <w:t>辆泡沫消防车。</w:t>
            </w:r>
            <w:r w:rsidRPr="00687B52">
              <w:rPr>
                <w:rFonts w:hint="eastAsia"/>
                <w:color w:val="000000" w:themeColor="text1"/>
              </w:rPr>
              <w:t>b</w:t>
            </w:r>
            <w:r w:rsidRPr="00687B52">
              <w:rPr>
                <w:rFonts w:hint="eastAsia"/>
                <w:color w:val="000000" w:themeColor="text1"/>
              </w:rPr>
              <w:t>油品储罐总容量大于或等于</w:t>
            </w:r>
            <w:r w:rsidRPr="00687B52">
              <w:rPr>
                <w:rFonts w:hint="eastAsia"/>
                <w:color w:val="000000" w:themeColor="text1"/>
              </w:rPr>
              <w:t>100000m</w:t>
            </w:r>
            <w:r w:rsidRPr="00687B52">
              <w:rPr>
                <w:rFonts w:hint="eastAsia"/>
                <w:color w:val="000000" w:themeColor="text1"/>
                <w:vertAlign w:val="superscript"/>
              </w:rPr>
              <w:t>3</w:t>
            </w:r>
            <w:r w:rsidRPr="00687B52">
              <w:rPr>
                <w:rFonts w:hint="eastAsia"/>
                <w:color w:val="000000" w:themeColor="text1"/>
              </w:rPr>
              <w:t>的一级站场中，固定顶罐单罐容量不小于</w:t>
            </w:r>
            <w:r w:rsidRPr="00687B52">
              <w:rPr>
                <w:rFonts w:hint="eastAsia"/>
                <w:color w:val="000000" w:themeColor="text1"/>
              </w:rPr>
              <w:t>5000m</w:t>
            </w:r>
            <w:r w:rsidRPr="00687B52">
              <w:rPr>
                <w:rFonts w:hint="eastAsia"/>
                <w:color w:val="000000" w:themeColor="text1"/>
                <w:vertAlign w:val="superscript"/>
              </w:rPr>
              <w:t>3</w:t>
            </w:r>
            <w:r w:rsidRPr="00687B52">
              <w:rPr>
                <w:rFonts w:hint="eastAsia"/>
                <w:color w:val="000000" w:themeColor="text1"/>
              </w:rPr>
              <w:t>或浮顶油罐单罐容量不小于</w:t>
            </w:r>
            <w:r w:rsidRPr="00687B52">
              <w:rPr>
                <w:rFonts w:hint="eastAsia"/>
                <w:color w:val="000000" w:themeColor="text1"/>
              </w:rPr>
              <w:t>20000m</w:t>
            </w:r>
            <w:r w:rsidRPr="00687B52">
              <w:rPr>
                <w:rFonts w:hint="eastAsia"/>
                <w:color w:val="000000" w:themeColor="text1"/>
                <w:vertAlign w:val="superscript"/>
              </w:rPr>
              <w:t>3</w:t>
            </w:r>
            <w:r w:rsidRPr="00687B52">
              <w:rPr>
                <w:rFonts w:hint="eastAsia"/>
                <w:color w:val="000000" w:themeColor="text1"/>
              </w:rPr>
              <w:t>时，应配备</w:t>
            </w:r>
            <w:r w:rsidRPr="00687B52">
              <w:rPr>
                <w:rFonts w:hint="eastAsia"/>
                <w:color w:val="000000" w:themeColor="text1"/>
              </w:rPr>
              <w:t>2</w:t>
            </w:r>
            <w:r w:rsidRPr="00687B52">
              <w:rPr>
                <w:rFonts w:hint="eastAsia"/>
                <w:color w:val="000000" w:themeColor="text1"/>
              </w:rPr>
              <w:t>台泡沫消防车。</w:t>
            </w:r>
          </w:p>
          <w:p w:rsidR="000E02C5" w:rsidRPr="00687B52" w:rsidRDefault="000E02C5" w:rsidP="00B527D4">
            <w:pPr>
              <w:pStyle w:val="a7"/>
              <w:jc w:val="both"/>
              <w:rPr>
                <w:color w:val="000000" w:themeColor="text1"/>
              </w:rPr>
            </w:pPr>
            <w:r w:rsidRPr="00687B52">
              <w:rPr>
                <w:rFonts w:hint="eastAsia"/>
                <w:color w:val="000000" w:themeColor="text1"/>
              </w:rPr>
              <w:t>②输气管道的四级压气站设置固定消防系统时，可不设消防站和消防车。</w:t>
            </w:r>
            <w:r w:rsidRPr="00687B52">
              <w:rPr>
                <w:rFonts w:hint="eastAsia"/>
                <w:color w:val="000000" w:themeColor="text1"/>
              </w:rPr>
              <w:t>3</w:t>
            </w:r>
            <w:r w:rsidRPr="00687B52">
              <w:rPr>
                <w:rFonts w:hint="eastAsia"/>
                <w:color w:val="000000" w:themeColor="text1"/>
              </w:rPr>
              <w:t>）参照消防泵房确定站内消防车库与油气生产设施的距离。</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8.2.1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消防用水可由给水管道、消防水池或天然水源供给，应满足水质、水量、水压、水温要求。当利用天然水源时，应确保枯水期最低水位时消防用水量的要求，并设置可靠的取水设施。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8.3.1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储罐区和天然气处理厂装置区的消防给水管网应布置成环状，并应采用易识别启闭状态的阀将管网分成若干独立段，每段内消火栓的数量不宜超过</w:t>
            </w:r>
            <w:r w:rsidRPr="00687B52">
              <w:rPr>
                <w:rFonts w:hint="eastAsia"/>
                <w:color w:val="000000" w:themeColor="text1"/>
              </w:rPr>
              <w:t>5</w:t>
            </w:r>
            <w:r w:rsidRPr="00687B52">
              <w:rPr>
                <w:rFonts w:hint="eastAsia"/>
                <w:color w:val="000000" w:themeColor="text1"/>
              </w:rPr>
              <w:t>个。从消防泵房至环状管网的供水干管不应小于两条。其他部位可设支状管道。寒冷地区的消火栓井、阀井和管道等应有可靠的防冻措施。采用半固定低压制消防供水的站场，如条件允许宜设</w:t>
            </w:r>
            <w:r w:rsidRPr="00687B52">
              <w:rPr>
                <w:rFonts w:hint="eastAsia"/>
                <w:color w:val="000000" w:themeColor="text1"/>
              </w:rPr>
              <w:t>2</w:t>
            </w:r>
            <w:r w:rsidRPr="00687B52">
              <w:rPr>
                <w:rFonts w:hint="eastAsia"/>
                <w:color w:val="000000" w:themeColor="text1"/>
              </w:rPr>
              <w:t>条站外消防供水管道。</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8.3.3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消防水池（罐）的设置应符合下列规定：</w:t>
            </w:r>
          </w:p>
          <w:p w:rsidR="000E02C5" w:rsidRPr="00687B52" w:rsidRDefault="000E02C5" w:rsidP="00B527D4">
            <w:pPr>
              <w:pStyle w:val="a7"/>
              <w:jc w:val="both"/>
              <w:rPr>
                <w:color w:val="000000" w:themeColor="text1"/>
              </w:rPr>
            </w:pPr>
            <w:r w:rsidRPr="00687B52">
              <w:rPr>
                <w:rFonts w:hint="eastAsia"/>
                <w:color w:val="000000" w:themeColor="text1"/>
              </w:rPr>
              <w:t>①水池（罐）的容量应同时满足最大一次火灾灭火和冷却用水要求。在火灾情况下能保证连续补水时，消防水池（罐）的容量可减去火灾延续时间内补充的水量。</w:t>
            </w:r>
          </w:p>
          <w:p w:rsidR="000E02C5" w:rsidRPr="00687B52" w:rsidRDefault="000E02C5" w:rsidP="00B527D4">
            <w:pPr>
              <w:pStyle w:val="a7"/>
              <w:jc w:val="both"/>
              <w:rPr>
                <w:color w:val="000000" w:themeColor="text1"/>
              </w:rPr>
            </w:pPr>
            <w:r w:rsidRPr="00687B52">
              <w:rPr>
                <w:rFonts w:hint="eastAsia"/>
                <w:color w:val="000000" w:themeColor="text1"/>
              </w:rPr>
              <w:t>②当消防水池（罐）和生产、生活用水水池（罐）合并设置时，应采取确保消防用水不作它用的技术措施，在寒冷地区专用的消防水池（罐）应采取防冻措施。</w:t>
            </w:r>
          </w:p>
          <w:p w:rsidR="000E02C5" w:rsidRPr="00687B52" w:rsidRDefault="000E02C5" w:rsidP="00B527D4">
            <w:pPr>
              <w:pStyle w:val="a7"/>
              <w:jc w:val="both"/>
              <w:rPr>
                <w:color w:val="000000" w:themeColor="text1"/>
              </w:rPr>
            </w:pPr>
            <w:r w:rsidRPr="00687B52">
              <w:rPr>
                <w:rFonts w:hint="eastAsia"/>
                <w:color w:val="000000" w:themeColor="text1"/>
              </w:rPr>
              <w:t>③供消防车取水的消防水池（罐）的保护半径不应大于</w:t>
            </w:r>
            <w:r w:rsidRPr="00687B52">
              <w:rPr>
                <w:rFonts w:hint="eastAsia"/>
                <w:color w:val="000000" w:themeColor="text1"/>
              </w:rPr>
              <w:t>150m</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8.3.4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消火栓的设置应符合下列规定：</w:t>
            </w:r>
          </w:p>
          <w:p w:rsidR="000E02C5" w:rsidRPr="00687B52" w:rsidRDefault="000E02C5" w:rsidP="00B527D4">
            <w:pPr>
              <w:pStyle w:val="a7"/>
              <w:jc w:val="both"/>
              <w:rPr>
                <w:color w:val="000000" w:themeColor="text1"/>
              </w:rPr>
            </w:pPr>
            <w:r w:rsidRPr="00687B52">
              <w:rPr>
                <w:rFonts w:hint="eastAsia"/>
                <w:color w:val="000000" w:themeColor="text1"/>
              </w:rPr>
              <w:t>①消火栓应沿道路布置，油罐区的消火栓应设在防火堤与消防道路之间，距路边宜为</w:t>
            </w:r>
            <w:r w:rsidRPr="00687B52">
              <w:rPr>
                <w:rFonts w:hint="eastAsia"/>
                <w:color w:val="000000" w:themeColor="text1"/>
              </w:rPr>
              <w:t>1~5m</w:t>
            </w:r>
            <w:r w:rsidRPr="00687B52">
              <w:rPr>
                <w:rFonts w:hint="eastAsia"/>
                <w:color w:val="000000" w:themeColor="text1"/>
              </w:rPr>
              <w:t>，并应有明显标志。</w:t>
            </w:r>
          </w:p>
          <w:p w:rsidR="000E02C5" w:rsidRPr="00687B52" w:rsidRDefault="000E02C5" w:rsidP="00B527D4">
            <w:pPr>
              <w:pStyle w:val="a7"/>
              <w:jc w:val="both"/>
              <w:rPr>
                <w:color w:val="000000" w:themeColor="text1"/>
              </w:rPr>
            </w:pPr>
            <w:r w:rsidRPr="00687B52">
              <w:rPr>
                <w:rFonts w:hint="eastAsia"/>
                <w:color w:val="000000" w:themeColor="text1"/>
              </w:rPr>
              <w:t>②当油罐采用固定式冷却系统时，在罐区四周应设置备用消火栓，其数量不应少于</w:t>
            </w:r>
            <w:r w:rsidRPr="00687B52">
              <w:rPr>
                <w:rFonts w:hint="eastAsia"/>
                <w:color w:val="000000" w:themeColor="text1"/>
              </w:rPr>
              <w:t>4</w:t>
            </w:r>
            <w:r w:rsidRPr="00687B52">
              <w:rPr>
                <w:rFonts w:hint="eastAsia"/>
                <w:color w:val="000000" w:themeColor="text1"/>
              </w:rPr>
              <w:t>个，间距不应大于</w:t>
            </w:r>
            <w:r w:rsidRPr="00687B52">
              <w:rPr>
                <w:rFonts w:hint="eastAsia"/>
                <w:color w:val="000000" w:themeColor="text1"/>
              </w:rPr>
              <w:t>60m</w:t>
            </w:r>
            <w:r w:rsidRPr="00687B52">
              <w:rPr>
                <w:rFonts w:hint="eastAsia"/>
                <w:color w:val="000000" w:themeColor="text1"/>
              </w:rPr>
              <w:t>。当采用半固定冷却系统时，</w:t>
            </w:r>
            <w:r w:rsidRPr="00687B52">
              <w:rPr>
                <w:rFonts w:hint="eastAsia"/>
                <w:color w:val="000000" w:themeColor="text1"/>
              </w:rPr>
              <w:t>2</w:t>
            </w:r>
            <w:r w:rsidRPr="00687B52">
              <w:rPr>
                <w:rFonts w:hint="eastAsia"/>
                <w:color w:val="000000" w:themeColor="text1"/>
              </w:rPr>
              <w:t>个消火栓的间距不宜小于</w:t>
            </w:r>
            <w:r w:rsidRPr="00687B52">
              <w:rPr>
                <w:rFonts w:hint="eastAsia"/>
                <w:color w:val="000000" w:themeColor="text1"/>
              </w:rPr>
              <w:t>10m</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8.3.5</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除本规范另有规定外，油罐区应设置灭火系统和消防冷却水系统，且灭火系统宜为低倍数泡沫灭火系统。</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8.4.1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油罐区低倍数泡沫灭火系统的设置，应符合下列规定：</w:t>
            </w:r>
          </w:p>
          <w:p w:rsidR="000E02C5" w:rsidRPr="00687B52" w:rsidRDefault="000E02C5" w:rsidP="00B527D4">
            <w:pPr>
              <w:pStyle w:val="a7"/>
              <w:jc w:val="both"/>
              <w:rPr>
                <w:color w:val="000000" w:themeColor="text1"/>
              </w:rPr>
            </w:pPr>
            <w:r w:rsidRPr="00687B52">
              <w:rPr>
                <w:rFonts w:hint="eastAsia"/>
                <w:color w:val="000000" w:themeColor="text1"/>
              </w:rPr>
              <w:t>①单罐容量不小于</w:t>
            </w:r>
            <w:r w:rsidRPr="00687B52">
              <w:rPr>
                <w:rFonts w:hint="eastAsia"/>
                <w:color w:val="000000" w:themeColor="text1"/>
              </w:rPr>
              <w:t>10000m</w:t>
            </w:r>
            <w:r w:rsidRPr="00687B52">
              <w:rPr>
                <w:rFonts w:hint="eastAsia"/>
                <w:color w:val="000000" w:themeColor="text1"/>
                <w:vertAlign w:val="superscript"/>
              </w:rPr>
              <w:t>3</w:t>
            </w:r>
            <w:r w:rsidRPr="00687B52">
              <w:rPr>
                <w:rFonts w:hint="eastAsia"/>
                <w:color w:val="000000" w:themeColor="text1"/>
              </w:rPr>
              <w:t>的固定顶罐、单罐容量不小于</w:t>
            </w:r>
            <w:r w:rsidRPr="00687B52">
              <w:rPr>
                <w:rFonts w:hint="eastAsia"/>
                <w:color w:val="000000" w:themeColor="text1"/>
              </w:rPr>
              <w:t>50000m</w:t>
            </w:r>
            <w:r w:rsidRPr="00687B52">
              <w:rPr>
                <w:rFonts w:hint="eastAsia"/>
                <w:color w:val="000000" w:themeColor="text1"/>
                <w:vertAlign w:val="superscript"/>
              </w:rPr>
              <w:t>3</w:t>
            </w:r>
            <w:r w:rsidRPr="00687B52">
              <w:rPr>
                <w:rFonts w:hint="eastAsia"/>
                <w:color w:val="000000" w:themeColor="text1"/>
              </w:rPr>
              <w:t>的浮顶罐、机动消防设施不能进行保护或地形复杂消防车扑救困难的储罐区，应设置固定式低倍数灭火系统。</w:t>
            </w:r>
          </w:p>
          <w:p w:rsidR="000E02C5" w:rsidRPr="00687B52" w:rsidRDefault="000E02C5" w:rsidP="00B527D4">
            <w:pPr>
              <w:pStyle w:val="a7"/>
              <w:jc w:val="both"/>
              <w:rPr>
                <w:color w:val="000000" w:themeColor="text1"/>
              </w:rPr>
            </w:pPr>
            <w:r w:rsidRPr="00687B52">
              <w:rPr>
                <w:rFonts w:hint="eastAsia"/>
                <w:color w:val="000000" w:themeColor="text1"/>
              </w:rPr>
              <w:t>②罐壁高度小于</w:t>
            </w:r>
            <w:r w:rsidRPr="00687B52">
              <w:rPr>
                <w:rFonts w:hint="eastAsia"/>
                <w:color w:val="000000" w:themeColor="text1"/>
              </w:rPr>
              <w:t>7m</w:t>
            </w:r>
            <w:r w:rsidRPr="00687B52">
              <w:rPr>
                <w:rFonts w:hint="eastAsia"/>
                <w:color w:val="000000" w:themeColor="text1"/>
              </w:rPr>
              <w:t>或容积不大于</w:t>
            </w:r>
            <w:r w:rsidRPr="00687B52">
              <w:rPr>
                <w:rFonts w:hint="eastAsia"/>
                <w:color w:val="000000" w:themeColor="text1"/>
              </w:rPr>
              <w:t>200m</w:t>
            </w:r>
            <w:r w:rsidRPr="00687B52">
              <w:rPr>
                <w:rFonts w:hint="eastAsia"/>
                <w:color w:val="000000" w:themeColor="text1"/>
                <w:vertAlign w:val="superscript"/>
              </w:rPr>
              <w:t>3</w:t>
            </w:r>
            <w:r w:rsidRPr="00687B52">
              <w:rPr>
                <w:rFonts w:hint="eastAsia"/>
                <w:color w:val="000000" w:themeColor="text1"/>
              </w:rPr>
              <w:t>的立式油罐、卧式油罐可采用移动式泡沫灭火系统。</w:t>
            </w:r>
          </w:p>
          <w:p w:rsidR="000E02C5" w:rsidRPr="00687B52" w:rsidRDefault="000E02C5" w:rsidP="00B527D4">
            <w:pPr>
              <w:pStyle w:val="a7"/>
              <w:jc w:val="both"/>
              <w:rPr>
                <w:color w:val="000000" w:themeColor="text1"/>
              </w:rPr>
            </w:pPr>
            <w:r w:rsidRPr="00687B52">
              <w:rPr>
                <w:rFonts w:hint="eastAsia"/>
                <w:color w:val="000000" w:themeColor="text1"/>
              </w:rPr>
              <w:t>③除①与②款规定外的油罐区宜采用半固定式泡沫灭火系统。</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8.4.2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单罐容量不小于</w:t>
            </w:r>
            <w:r w:rsidRPr="00687B52">
              <w:rPr>
                <w:rFonts w:hint="eastAsia"/>
                <w:color w:val="000000" w:themeColor="text1"/>
              </w:rPr>
              <w:t>20000m</w:t>
            </w:r>
            <w:r w:rsidRPr="00687B52">
              <w:rPr>
                <w:rFonts w:hint="eastAsia"/>
                <w:color w:val="000000" w:themeColor="text1"/>
                <w:vertAlign w:val="superscript"/>
              </w:rPr>
              <w:t>3</w:t>
            </w:r>
            <w:r w:rsidRPr="00687B52">
              <w:rPr>
                <w:rFonts w:hint="eastAsia"/>
                <w:color w:val="000000" w:themeColor="text1"/>
              </w:rPr>
              <w:t>的固定顶油罐，其泡沫灭火系统与消防冷却水系统应具备连锁程序操纵功能。单罐容量不小于</w:t>
            </w:r>
            <w:r w:rsidRPr="00687B52">
              <w:rPr>
                <w:rFonts w:hint="eastAsia"/>
                <w:color w:val="000000" w:themeColor="text1"/>
              </w:rPr>
              <w:t>50000m</w:t>
            </w:r>
            <w:r w:rsidRPr="00687B52">
              <w:rPr>
                <w:rFonts w:hint="eastAsia"/>
                <w:color w:val="000000" w:themeColor="text1"/>
                <w:vertAlign w:val="superscript"/>
              </w:rPr>
              <w:t>3</w:t>
            </w:r>
            <w:r w:rsidRPr="00687B52">
              <w:rPr>
                <w:rFonts w:hint="eastAsia"/>
                <w:color w:val="000000" w:themeColor="text1"/>
              </w:rPr>
              <w:t>的浮顶油罐应设置火灾自动报警系统。单罐容量不小于</w:t>
            </w:r>
            <w:r w:rsidRPr="00687B52">
              <w:rPr>
                <w:rFonts w:hint="eastAsia"/>
                <w:color w:val="000000" w:themeColor="text1"/>
              </w:rPr>
              <w:t>100000m</w:t>
            </w:r>
            <w:r w:rsidRPr="00687B52">
              <w:rPr>
                <w:rFonts w:hint="eastAsia"/>
                <w:color w:val="000000" w:themeColor="text1"/>
                <w:vertAlign w:val="superscript"/>
              </w:rPr>
              <w:t>3</w:t>
            </w:r>
            <w:r w:rsidRPr="00687B52">
              <w:rPr>
                <w:rFonts w:hint="eastAsia"/>
                <w:color w:val="000000" w:themeColor="text1"/>
              </w:rPr>
              <w:t>的浮顶油罐，其泡沫灭火系统与消防冷却水系统应具备自动操纵功能。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8.4.3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油罐区消防冷却水系统设置形式应符合下列规定：</w:t>
            </w:r>
          </w:p>
          <w:p w:rsidR="000E02C5" w:rsidRPr="00687B52" w:rsidRDefault="000E02C5" w:rsidP="00B527D4">
            <w:pPr>
              <w:pStyle w:val="a7"/>
              <w:jc w:val="both"/>
              <w:rPr>
                <w:color w:val="000000" w:themeColor="text1"/>
              </w:rPr>
            </w:pPr>
            <w:r w:rsidRPr="00687B52">
              <w:rPr>
                <w:rFonts w:hint="eastAsia"/>
                <w:color w:val="000000" w:themeColor="text1"/>
              </w:rPr>
              <w:t>①单罐容量不小于</w:t>
            </w:r>
            <w:r w:rsidRPr="00687B52">
              <w:rPr>
                <w:rFonts w:hint="eastAsia"/>
                <w:color w:val="000000" w:themeColor="text1"/>
              </w:rPr>
              <w:t>10000m</w:t>
            </w:r>
            <w:r w:rsidRPr="00687B52">
              <w:rPr>
                <w:rFonts w:hint="eastAsia"/>
                <w:color w:val="000000" w:themeColor="text1"/>
                <w:vertAlign w:val="superscript"/>
              </w:rPr>
              <w:t>3</w:t>
            </w:r>
            <w:r w:rsidRPr="00687B52">
              <w:rPr>
                <w:rFonts w:hint="eastAsia"/>
                <w:color w:val="000000" w:themeColor="text1"/>
              </w:rPr>
              <w:t>的固定顶油罐、单罐容量不小于</w:t>
            </w:r>
            <w:r w:rsidRPr="00687B52">
              <w:rPr>
                <w:rFonts w:hint="eastAsia"/>
                <w:color w:val="000000" w:themeColor="text1"/>
              </w:rPr>
              <w:t>50000m</w:t>
            </w:r>
            <w:r w:rsidRPr="00687B52">
              <w:rPr>
                <w:rFonts w:hint="eastAsia"/>
                <w:color w:val="000000" w:themeColor="text1"/>
                <w:vertAlign w:val="superscript"/>
              </w:rPr>
              <w:t>3</w:t>
            </w:r>
            <w:r w:rsidRPr="00687B52">
              <w:rPr>
                <w:rFonts w:hint="eastAsia"/>
                <w:color w:val="000000" w:themeColor="text1"/>
              </w:rPr>
              <w:t>的浮顶油罐，应设置固定式消防冷却水系统。</w:t>
            </w:r>
          </w:p>
          <w:p w:rsidR="000E02C5" w:rsidRPr="00687B52" w:rsidRDefault="000E02C5" w:rsidP="00B527D4">
            <w:pPr>
              <w:pStyle w:val="a7"/>
              <w:jc w:val="both"/>
              <w:rPr>
                <w:color w:val="000000" w:themeColor="text1"/>
              </w:rPr>
            </w:pPr>
            <w:r w:rsidRPr="00687B52">
              <w:rPr>
                <w:rFonts w:hint="eastAsia"/>
                <w:color w:val="000000" w:themeColor="text1"/>
              </w:rPr>
              <w:t>②单罐容量小于</w:t>
            </w:r>
            <w:r w:rsidRPr="00687B52">
              <w:rPr>
                <w:rFonts w:hint="eastAsia"/>
                <w:color w:val="000000" w:themeColor="text1"/>
              </w:rPr>
              <w:t>10000m</w:t>
            </w:r>
            <w:r w:rsidRPr="00687B52">
              <w:rPr>
                <w:rFonts w:hint="eastAsia"/>
                <w:color w:val="000000" w:themeColor="text1"/>
                <w:vertAlign w:val="superscript"/>
              </w:rPr>
              <w:t>3</w:t>
            </w:r>
            <w:r w:rsidRPr="00687B52">
              <w:rPr>
                <w:rFonts w:hint="eastAsia"/>
                <w:color w:val="000000" w:themeColor="text1"/>
              </w:rPr>
              <w:t>、大于</w:t>
            </w:r>
            <w:r w:rsidRPr="00687B52">
              <w:rPr>
                <w:rFonts w:hint="eastAsia"/>
                <w:color w:val="000000" w:themeColor="text1"/>
              </w:rPr>
              <w:t>500m</w:t>
            </w:r>
            <w:r w:rsidRPr="00687B52">
              <w:rPr>
                <w:rFonts w:hint="eastAsia"/>
                <w:color w:val="000000" w:themeColor="text1"/>
                <w:vertAlign w:val="superscript"/>
              </w:rPr>
              <w:t>3</w:t>
            </w:r>
            <w:r w:rsidRPr="00687B52">
              <w:rPr>
                <w:rFonts w:hint="eastAsia"/>
                <w:color w:val="000000" w:themeColor="text1"/>
              </w:rPr>
              <w:t>的固定顶油罐与单罐容量小于</w:t>
            </w:r>
            <w:r w:rsidRPr="00687B52">
              <w:rPr>
                <w:rFonts w:hint="eastAsia"/>
                <w:color w:val="000000" w:themeColor="text1"/>
              </w:rPr>
              <w:t>50000m</w:t>
            </w:r>
            <w:r w:rsidRPr="00687B52">
              <w:rPr>
                <w:rFonts w:hint="eastAsia"/>
                <w:color w:val="000000" w:themeColor="text1"/>
                <w:vertAlign w:val="superscript"/>
              </w:rPr>
              <w:t>3</w:t>
            </w:r>
            <w:r w:rsidRPr="00687B52">
              <w:rPr>
                <w:rFonts w:hint="eastAsia"/>
                <w:color w:val="000000" w:themeColor="text1"/>
              </w:rPr>
              <w:t>的浮顶油罐，可设置半固定式消防冷却水系统。</w:t>
            </w:r>
          </w:p>
          <w:p w:rsidR="000E02C5" w:rsidRPr="00687B52" w:rsidRDefault="000E02C5" w:rsidP="00B527D4">
            <w:pPr>
              <w:pStyle w:val="a7"/>
              <w:jc w:val="both"/>
              <w:rPr>
                <w:color w:val="000000" w:themeColor="text1"/>
              </w:rPr>
            </w:pPr>
            <w:r w:rsidRPr="00687B52">
              <w:rPr>
                <w:rFonts w:hint="eastAsia"/>
                <w:color w:val="000000" w:themeColor="text1"/>
              </w:rPr>
              <w:t>③单罐容量不大于</w:t>
            </w:r>
            <w:r w:rsidRPr="00687B52">
              <w:rPr>
                <w:rFonts w:hint="eastAsia"/>
                <w:color w:val="000000" w:themeColor="text1"/>
              </w:rPr>
              <w:t>500m</w:t>
            </w:r>
            <w:r w:rsidRPr="00687B52">
              <w:rPr>
                <w:rFonts w:hint="eastAsia"/>
                <w:color w:val="000000" w:themeColor="text1"/>
                <w:vertAlign w:val="superscript"/>
              </w:rPr>
              <w:t>3</w:t>
            </w:r>
            <w:r w:rsidRPr="00687B52">
              <w:rPr>
                <w:rFonts w:hint="eastAsia"/>
                <w:color w:val="000000" w:themeColor="text1"/>
              </w:rPr>
              <w:t>的固定顶油罐、卧式油罐，可设置移动式消防冷却水系统。</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8.4.5</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直径大于</w:t>
            </w:r>
            <w:r w:rsidRPr="00687B52">
              <w:rPr>
                <w:rFonts w:hint="eastAsia"/>
                <w:color w:val="000000" w:themeColor="text1"/>
              </w:rPr>
              <w:t>20m</w:t>
            </w:r>
            <w:r w:rsidRPr="00687B52">
              <w:rPr>
                <w:rFonts w:hint="eastAsia"/>
                <w:color w:val="000000" w:themeColor="text1"/>
              </w:rPr>
              <w:t>的地上固定顶油罐的消防冷却水连续供给时间，不应小于</w:t>
            </w:r>
            <w:r w:rsidRPr="00687B52">
              <w:rPr>
                <w:rFonts w:hint="eastAsia"/>
                <w:color w:val="000000" w:themeColor="text1"/>
              </w:rPr>
              <w:t>6h</w:t>
            </w:r>
            <w:r w:rsidRPr="00687B52">
              <w:rPr>
                <w:rFonts w:hint="eastAsia"/>
                <w:color w:val="000000" w:themeColor="text1"/>
              </w:rPr>
              <w:t>；其他立式油罐的消防冷却水连续供给时间，不应小于</w:t>
            </w:r>
            <w:r w:rsidRPr="00687B52">
              <w:rPr>
                <w:rFonts w:hint="eastAsia"/>
                <w:color w:val="000000" w:themeColor="text1"/>
              </w:rPr>
              <w:t>4h</w:t>
            </w:r>
            <w:r w:rsidRPr="00687B52">
              <w:rPr>
                <w:rFonts w:hint="eastAsia"/>
                <w:color w:val="000000" w:themeColor="text1"/>
              </w:rPr>
              <w:t>；地上卧式油罐的消防冷却水连续供给时间不应小于</w:t>
            </w:r>
            <w:r w:rsidRPr="00687B52">
              <w:rPr>
                <w:rFonts w:hint="eastAsia"/>
                <w:color w:val="000000" w:themeColor="text1"/>
              </w:rPr>
              <w:t>1h.</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8.4.8</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油罐固定式消防冷却水系统的设置，应符合下列规定：</w:t>
            </w:r>
          </w:p>
          <w:p w:rsidR="000E02C5" w:rsidRPr="00687B52" w:rsidRDefault="000E02C5" w:rsidP="00B527D4">
            <w:pPr>
              <w:pStyle w:val="a7"/>
              <w:jc w:val="both"/>
              <w:rPr>
                <w:color w:val="000000" w:themeColor="text1"/>
              </w:rPr>
            </w:pPr>
            <w:r w:rsidRPr="00687B52">
              <w:rPr>
                <w:rFonts w:hint="eastAsia"/>
                <w:color w:val="000000" w:themeColor="text1"/>
              </w:rPr>
              <w:t>①应设置冷却喷头，喷头的喷水方向与罐壁的夹角应在</w:t>
            </w:r>
            <w:r w:rsidRPr="00687B52">
              <w:rPr>
                <w:rFonts w:hint="eastAsia"/>
                <w:color w:val="000000" w:themeColor="text1"/>
              </w:rPr>
              <w:t>30</w:t>
            </w:r>
            <w:r w:rsidRPr="00687B52">
              <w:rPr>
                <w:rFonts w:hint="eastAsia"/>
                <w:color w:val="000000" w:themeColor="text1"/>
              </w:rPr>
              <w:t>°</w:t>
            </w:r>
            <w:r w:rsidRPr="00687B52">
              <w:rPr>
                <w:rFonts w:hint="eastAsia"/>
                <w:color w:val="000000" w:themeColor="text1"/>
              </w:rPr>
              <w:t>~60</w:t>
            </w:r>
            <w:r w:rsidRPr="00687B52">
              <w:rPr>
                <w:rFonts w:hint="eastAsia"/>
                <w:color w:val="000000" w:themeColor="text1"/>
              </w:rPr>
              <w:t>°。</w:t>
            </w:r>
          </w:p>
          <w:p w:rsidR="000E02C5" w:rsidRPr="00687B52" w:rsidRDefault="000E02C5" w:rsidP="00B527D4">
            <w:pPr>
              <w:pStyle w:val="a7"/>
              <w:jc w:val="both"/>
              <w:rPr>
                <w:color w:val="000000" w:themeColor="text1"/>
              </w:rPr>
            </w:pPr>
            <w:r w:rsidRPr="00687B52">
              <w:rPr>
                <w:rFonts w:hint="eastAsia"/>
                <w:color w:val="000000" w:themeColor="text1"/>
              </w:rPr>
              <w:t>②油罐抗风圈或加强圈无导流设施时，其下面应设冷却喷水圈管。</w:t>
            </w:r>
          </w:p>
          <w:p w:rsidR="000E02C5" w:rsidRPr="00687B52" w:rsidRDefault="000E02C5" w:rsidP="00B527D4">
            <w:pPr>
              <w:pStyle w:val="a7"/>
              <w:jc w:val="both"/>
              <w:rPr>
                <w:color w:val="000000" w:themeColor="text1"/>
              </w:rPr>
            </w:pPr>
            <w:r w:rsidRPr="00687B52">
              <w:rPr>
                <w:rFonts w:hint="eastAsia"/>
                <w:color w:val="000000" w:themeColor="text1"/>
              </w:rPr>
              <w:t>③当储罐上的环形冷却水管分割成两个或两个以上弧形管段时，各弧形管段间不应连通，并应分别从防火堤外连接水管；且应分别在防火堤外的进水管道上设置能识别启闭状态的控制阀。</w:t>
            </w:r>
          </w:p>
          <w:p w:rsidR="000E02C5" w:rsidRPr="00687B52" w:rsidRDefault="000E02C5" w:rsidP="00B527D4">
            <w:pPr>
              <w:pStyle w:val="a7"/>
              <w:jc w:val="both"/>
              <w:rPr>
                <w:color w:val="000000" w:themeColor="text1"/>
              </w:rPr>
            </w:pPr>
            <w:r w:rsidRPr="00687B52">
              <w:rPr>
                <w:rFonts w:hint="eastAsia"/>
                <w:color w:val="000000" w:themeColor="text1"/>
              </w:rPr>
              <w:t>④冷却水立管应用管卡固定的罐壁上，其间距不宜大于</w:t>
            </w:r>
            <w:r w:rsidRPr="00687B52">
              <w:rPr>
                <w:rFonts w:hint="eastAsia"/>
                <w:color w:val="000000" w:themeColor="text1"/>
              </w:rPr>
              <w:t>3m</w:t>
            </w:r>
            <w:r w:rsidRPr="00687B52">
              <w:rPr>
                <w:rFonts w:hint="eastAsia"/>
                <w:color w:val="000000" w:themeColor="text1"/>
              </w:rPr>
              <w:t>。立管下端应设锈渣清扫口，锈渣清扫口距罐基础顶面应大于</w:t>
            </w:r>
            <w:r w:rsidRPr="00687B52">
              <w:rPr>
                <w:rFonts w:hint="eastAsia"/>
                <w:color w:val="000000" w:themeColor="text1"/>
              </w:rPr>
              <w:t>300mm</w:t>
            </w:r>
            <w:r w:rsidRPr="00687B52">
              <w:rPr>
                <w:rFonts w:hint="eastAsia"/>
                <w:color w:val="000000" w:themeColor="text1"/>
              </w:rPr>
              <w:t>，且集锈渣的管段长度不宜小于</w:t>
            </w:r>
            <w:r w:rsidRPr="00687B52">
              <w:rPr>
                <w:rFonts w:hint="eastAsia"/>
                <w:color w:val="000000" w:themeColor="text1"/>
              </w:rPr>
              <w:t>300mm</w:t>
            </w:r>
            <w:r w:rsidRPr="00687B52">
              <w:rPr>
                <w:rFonts w:hint="eastAsia"/>
                <w:color w:val="000000" w:themeColor="text1"/>
              </w:rPr>
              <w:t>。</w:t>
            </w:r>
          </w:p>
          <w:p w:rsidR="000E02C5" w:rsidRPr="00687B52" w:rsidRDefault="000E02C5" w:rsidP="00B527D4">
            <w:pPr>
              <w:pStyle w:val="a7"/>
              <w:jc w:val="both"/>
              <w:rPr>
                <w:color w:val="000000" w:themeColor="text1"/>
              </w:rPr>
            </w:pPr>
            <w:r w:rsidRPr="00687B52">
              <w:rPr>
                <w:rFonts w:hint="eastAsia"/>
                <w:color w:val="000000" w:themeColor="text1"/>
              </w:rPr>
              <w:t>⑤在防火堤外消防冷却水管道的最低处应设置放空阀。</w:t>
            </w:r>
          </w:p>
          <w:p w:rsidR="000E02C5" w:rsidRPr="00687B52" w:rsidRDefault="000E02C5" w:rsidP="00B527D4">
            <w:pPr>
              <w:pStyle w:val="a7"/>
              <w:jc w:val="both"/>
              <w:rPr>
                <w:color w:val="000000" w:themeColor="text1"/>
              </w:rPr>
            </w:pPr>
            <w:r w:rsidRPr="00687B52">
              <w:rPr>
                <w:rFonts w:hint="eastAsia"/>
                <w:color w:val="000000" w:themeColor="text1"/>
              </w:rPr>
              <w:t>⑥当消防冷却水水源为地面水时，宜设置过滤器。</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8.4.9</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液化石油气罐区应设置消防冷却水系统，并应配置移动式干粉等灭火设施。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8.5.1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液化石油气罐区总容量大于</w:t>
            </w:r>
            <w:r w:rsidRPr="00687B52">
              <w:rPr>
                <w:rFonts w:hint="eastAsia"/>
                <w:color w:val="000000" w:themeColor="text1"/>
              </w:rPr>
              <w:t>50m</w:t>
            </w:r>
            <w:r w:rsidRPr="00687B52">
              <w:rPr>
                <w:rFonts w:hint="eastAsia"/>
                <w:color w:val="000000" w:themeColor="text1"/>
                <w:vertAlign w:val="superscript"/>
              </w:rPr>
              <w:t>3</w:t>
            </w:r>
            <w:r w:rsidRPr="00687B52">
              <w:rPr>
                <w:rFonts w:hint="eastAsia"/>
                <w:color w:val="000000" w:themeColor="text1"/>
              </w:rPr>
              <w:t>或单罐容量大于</w:t>
            </w:r>
            <w:r w:rsidRPr="00687B52">
              <w:rPr>
                <w:rFonts w:hint="eastAsia"/>
                <w:color w:val="000000" w:themeColor="text1"/>
              </w:rPr>
              <w:t>20m</w:t>
            </w:r>
            <w:r w:rsidRPr="00687B52">
              <w:rPr>
                <w:rFonts w:hint="eastAsia"/>
                <w:color w:val="000000" w:themeColor="text1"/>
                <w:vertAlign w:val="superscript"/>
              </w:rPr>
              <w:t>3</w:t>
            </w:r>
            <w:r w:rsidRPr="00687B52">
              <w:rPr>
                <w:rFonts w:hint="eastAsia"/>
                <w:color w:val="000000" w:themeColor="text1"/>
              </w:rPr>
              <w:t>时，应设置固定式水喷雾或水喷淋系统和辅助水枪（水炮）；总容量不大于</w:t>
            </w:r>
            <w:r w:rsidRPr="00687B52">
              <w:rPr>
                <w:rFonts w:hint="eastAsia"/>
                <w:color w:val="000000" w:themeColor="text1"/>
              </w:rPr>
              <w:t>50m</w:t>
            </w:r>
            <w:r w:rsidRPr="00687B52">
              <w:rPr>
                <w:rFonts w:hint="eastAsia"/>
                <w:color w:val="000000" w:themeColor="text1"/>
                <w:vertAlign w:val="superscript"/>
              </w:rPr>
              <w:t>3</w:t>
            </w:r>
            <w:r w:rsidRPr="00687B52">
              <w:rPr>
                <w:rFonts w:hint="eastAsia"/>
                <w:color w:val="000000" w:themeColor="text1"/>
              </w:rPr>
              <w:t>或单罐容量不大于</w:t>
            </w:r>
            <w:r w:rsidRPr="00687B52">
              <w:rPr>
                <w:rFonts w:hint="eastAsia"/>
                <w:color w:val="000000" w:themeColor="text1"/>
              </w:rPr>
              <w:t>20m</w:t>
            </w:r>
            <w:r w:rsidRPr="00687B52">
              <w:rPr>
                <w:rFonts w:hint="eastAsia"/>
                <w:color w:val="000000" w:themeColor="text1"/>
                <w:vertAlign w:val="superscript"/>
              </w:rPr>
              <w:t>3</w:t>
            </w:r>
            <w:r w:rsidRPr="00687B52">
              <w:rPr>
                <w:rFonts w:hint="eastAsia"/>
                <w:color w:val="000000" w:themeColor="text1"/>
              </w:rPr>
              <w:t>时，可设置半固定式消防冷却水系统。</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8.5.2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固定式消防冷却水管道的设置，应符合下列规定：</w:t>
            </w:r>
          </w:p>
          <w:p w:rsidR="000E02C5" w:rsidRPr="00687B52" w:rsidRDefault="000E02C5" w:rsidP="00B527D4">
            <w:pPr>
              <w:pStyle w:val="a7"/>
              <w:jc w:val="both"/>
              <w:rPr>
                <w:color w:val="000000" w:themeColor="text1"/>
              </w:rPr>
            </w:pPr>
            <w:r w:rsidRPr="00687B52">
              <w:rPr>
                <w:rFonts w:hint="eastAsia"/>
                <w:color w:val="000000" w:themeColor="text1"/>
              </w:rPr>
              <w:t>①储罐容量大于</w:t>
            </w:r>
            <w:r w:rsidRPr="00687B52">
              <w:rPr>
                <w:rFonts w:hint="eastAsia"/>
                <w:color w:val="000000" w:themeColor="text1"/>
              </w:rPr>
              <w:t>400m</w:t>
            </w:r>
            <w:r w:rsidRPr="00687B52">
              <w:rPr>
                <w:rFonts w:hint="eastAsia"/>
                <w:color w:val="000000" w:themeColor="text1"/>
                <w:vertAlign w:val="superscript"/>
              </w:rPr>
              <w:t>3</w:t>
            </w:r>
            <w:r w:rsidRPr="00687B52">
              <w:rPr>
                <w:rFonts w:hint="eastAsia"/>
                <w:color w:val="000000" w:themeColor="text1"/>
              </w:rPr>
              <w:t>时，供水竖管不宜小于两条，均匀布置。</w:t>
            </w:r>
          </w:p>
          <w:p w:rsidR="000E02C5" w:rsidRPr="00687B52" w:rsidRDefault="000E02C5" w:rsidP="00B527D4">
            <w:pPr>
              <w:pStyle w:val="a7"/>
              <w:jc w:val="both"/>
              <w:rPr>
                <w:color w:val="000000" w:themeColor="text1"/>
              </w:rPr>
            </w:pPr>
            <w:r w:rsidRPr="00687B52">
              <w:rPr>
                <w:rFonts w:hint="eastAsia"/>
                <w:color w:val="000000" w:themeColor="text1"/>
              </w:rPr>
              <w:t>②消防冷却水系统的控制阀应设于防火堤外且距罐壁不小于</w:t>
            </w:r>
            <w:r w:rsidRPr="00687B52">
              <w:rPr>
                <w:rFonts w:hint="eastAsia"/>
                <w:color w:val="000000" w:themeColor="text1"/>
              </w:rPr>
              <w:t>15m</w:t>
            </w:r>
            <w:r w:rsidRPr="00687B52">
              <w:rPr>
                <w:rFonts w:hint="eastAsia"/>
                <w:color w:val="000000" w:themeColor="text1"/>
              </w:rPr>
              <w:t>的地点。</w:t>
            </w:r>
          </w:p>
          <w:p w:rsidR="000E02C5" w:rsidRPr="00687B52" w:rsidRDefault="000E02C5" w:rsidP="00B527D4">
            <w:pPr>
              <w:pStyle w:val="a7"/>
              <w:jc w:val="both"/>
              <w:rPr>
                <w:color w:val="000000" w:themeColor="text1"/>
              </w:rPr>
            </w:pPr>
            <w:r w:rsidRPr="00687B52">
              <w:rPr>
                <w:rFonts w:hint="eastAsia"/>
                <w:color w:val="000000" w:themeColor="text1"/>
              </w:rPr>
              <w:t>③控制阀至储罐间的冷却水管道应设过滤器。</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8.5.9</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石油天然气生产装置采用计算机控制的集中控制室和仪表控制间，应设置火灾报警系统和手提式、推车式气体灭火器。</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8.6.7</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color w:val="000000" w:themeColor="text1"/>
              </w:rPr>
              <w:t>甲、乙、丙类液体储罐区及露天生产装置区灭火器配置，应符合下列规定：</w:t>
            </w:r>
          </w:p>
          <w:p w:rsidR="000E02C5" w:rsidRPr="00687B52" w:rsidRDefault="000E02C5" w:rsidP="00B527D4">
            <w:pPr>
              <w:pStyle w:val="a7"/>
              <w:jc w:val="left"/>
              <w:rPr>
                <w:color w:val="000000" w:themeColor="text1"/>
              </w:rPr>
            </w:pPr>
            <w:r w:rsidRPr="00687B52">
              <w:rPr>
                <w:rFonts w:hint="eastAsia"/>
                <w:color w:val="000000" w:themeColor="text1"/>
              </w:rPr>
              <w:t>①</w:t>
            </w:r>
            <w:r w:rsidRPr="00687B52">
              <w:rPr>
                <w:color w:val="000000" w:themeColor="text1"/>
              </w:rPr>
              <w:t>油气站场的甲、乙、丙类液体储罐区当设有固定式或半固定式消防系统时，固定顶罐配置灭火器可按应配置数量的</w:t>
            </w:r>
            <w:r w:rsidRPr="00687B52">
              <w:rPr>
                <w:color w:val="000000" w:themeColor="text1"/>
              </w:rPr>
              <w:t>10</w:t>
            </w:r>
            <w:r w:rsidRPr="00687B52">
              <w:rPr>
                <w:rFonts w:hint="eastAsia"/>
                <w:color w:val="000000" w:themeColor="text1"/>
              </w:rPr>
              <w:t>%</w:t>
            </w:r>
            <w:r w:rsidRPr="00687B52">
              <w:rPr>
                <w:color w:val="000000" w:themeColor="text1"/>
              </w:rPr>
              <w:t>设置，浮顶罐按应配置数量的</w:t>
            </w:r>
            <w:r w:rsidRPr="00687B52">
              <w:rPr>
                <w:color w:val="000000" w:themeColor="text1"/>
              </w:rPr>
              <w:t>5</w:t>
            </w:r>
            <w:r w:rsidRPr="00687B52">
              <w:rPr>
                <w:color w:val="000000" w:themeColor="text1"/>
              </w:rPr>
              <w:t>％设置。当储罐组内储罐数量超过</w:t>
            </w:r>
            <w:r w:rsidRPr="00687B52">
              <w:rPr>
                <w:color w:val="000000" w:themeColor="text1"/>
              </w:rPr>
              <w:t>2</w:t>
            </w:r>
            <w:r w:rsidRPr="00687B52">
              <w:rPr>
                <w:color w:val="000000" w:themeColor="text1"/>
              </w:rPr>
              <w:t>座时，灭火器配置数量应按其中</w:t>
            </w:r>
            <w:r w:rsidRPr="00687B52">
              <w:rPr>
                <w:color w:val="000000" w:themeColor="text1"/>
              </w:rPr>
              <w:t>2</w:t>
            </w:r>
            <w:r w:rsidRPr="00687B52">
              <w:rPr>
                <w:color w:val="000000" w:themeColor="text1"/>
              </w:rPr>
              <w:t>个较大储罐计算确定；但每个储罐配置的数量不宜多于</w:t>
            </w:r>
            <w:r w:rsidRPr="00687B52">
              <w:rPr>
                <w:color w:val="000000" w:themeColor="text1"/>
              </w:rPr>
              <w:t>3</w:t>
            </w:r>
            <w:r w:rsidRPr="00687B52">
              <w:rPr>
                <w:color w:val="000000" w:themeColor="text1"/>
              </w:rPr>
              <w:t>个，少于</w:t>
            </w:r>
            <w:r w:rsidRPr="00687B52">
              <w:rPr>
                <w:color w:val="000000" w:themeColor="text1"/>
              </w:rPr>
              <w:t>1</w:t>
            </w:r>
            <w:r w:rsidRPr="00687B52">
              <w:rPr>
                <w:color w:val="000000" w:themeColor="text1"/>
              </w:rPr>
              <w:t>个手提式灭火器，所配灭火器应分组布置；</w:t>
            </w:r>
          </w:p>
          <w:p w:rsidR="000E02C5" w:rsidRPr="00687B52" w:rsidRDefault="000E02C5" w:rsidP="00B527D4">
            <w:pPr>
              <w:pStyle w:val="a7"/>
              <w:jc w:val="left"/>
              <w:rPr>
                <w:color w:val="000000" w:themeColor="text1"/>
              </w:rPr>
            </w:pPr>
            <w:r w:rsidRPr="00687B52">
              <w:rPr>
                <w:rFonts w:hint="eastAsia"/>
                <w:color w:val="000000" w:themeColor="text1"/>
              </w:rPr>
              <w:t>②</w:t>
            </w:r>
            <w:r w:rsidRPr="00687B52">
              <w:rPr>
                <w:color w:val="000000" w:themeColor="text1"/>
              </w:rPr>
              <w:t>露天生产装置当设有固定式或半固定式消防系统时，按应配置数量的</w:t>
            </w:r>
            <w:r w:rsidRPr="00687B52">
              <w:rPr>
                <w:color w:val="000000" w:themeColor="text1"/>
              </w:rPr>
              <w:t>30</w:t>
            </w:r>
            <w:r w:rsidRPr="00687B52">
              <w:rPr>
                <w:rFonts w:hint="eastAsia"/>
                <w:color w:val="000000" w:themeColor="text1"/>
              </w:rPr>
              <w:t>%</w:t>
            </w:r>
            <w:r w:rsidRPr="00687B52">
              <w:rPr>
                <w:color w:val="000000" w:themeColor="text1"/>
              </w:rPr>
              <w:t>设置。手提灭火器的保护距离不宜大于</w:t>
            </w:r>
            <w:r w:rsidRPr="00687B52">
              <w:rPr>
                <w:color w:val="000000" w:themeColor="text1"/>
              </w:rPr>
              <w:t>9m</w:t>
            </w:r>
            <w:r w:rsidRPr="00687B52">
              <w:rPr>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8.9.2</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ascii="宋体" w:hAnsi="宋体" w:cs="宋体"/>
                <w:color w:val="000000" w:themeColor="text1"/>
                <w:kern w:val="0"/>
              </w:rPr>
              <w:t>同一场所应选用灭火剂相容的灭火器，选用灭火器时还应考虑灭火剂与当地消防车采用的灭火剂相容。</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8.9.3</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2"/>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rFonts w:ascii="宋体" w:hAnsi="宋体" w:cs="宋体"/>
                <w:color w:val="000000" w:themeColor="text1"/>
                <w:kern w:val="0"/>
              </w:rPr>
            </w:pPr>
            <w:r w:rsidRPr="00687B52">
              <w:rPr>
                <w:rFonts w:ascii="宋体" w:hAnsi="宋体" w:cs="宋体"/>
                <w:color w:val="000000" w:themeColor="text1"/>
                <w:kern w:val="0"/>
              </w:rPr>
              <w:t>天然气压缩机厂房应配置推车式灭火器。</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8.9.4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B527D4">
            <w:pPr>
              <w:pStyle w:val="a7"/>
              <w:rPr>
                <w:b/>
                <w:color w:val="000000" w:themeColor="text1"/>
              </w:rPr>
            </w:pPr>
            <w:r w:rsidRPr="00687B52">
              <w:rPr>
                <w:rFonts w:hint="eastAsia"/>
                <w:b/>
                <w:color w:val="000000" w:themeColor="text1"/>
              </w:rPr>
              <w:t>3.5</w:t>
            </w:r>
          </w:p>
        </w:tc>
        <w:tc>
          <w:tcPr>
            <w:tcW w:w="2750" w:type="pct"/>
            <w:vAlign w:val="center"/>
          </w:tcPr>
          <w:p w:rsidR="000E02C5" w:rsidRPr="00687B52" w:rsidRDefault="000E02C5" w:rsidP="00B527D4">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站场采暖通风</w:t>
            </w:r>
          </w:p>
        </w:tc>
        <w:tc>
          <w:tcPr>
            <w:tcW w:w="930" w:type="pct"/>
            <w:vAlign w:val="center"/>
          </w:tcPr>
          <w:p w:rsidR="000E02C5" w:rsidRPr="00687B52" w:rsidRDefault="000E02C5" w:rsidP="00B527D4">
            <w:pPr>
              <w:pStyle w:val="a7"/>
              <w:rPr>
                <w:color w:val="000000" w:themeColor="text1"/>
              </w:rPr>
            </w:pP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化验室的通风宜采用局部排风，当采用全面换气时，其通风换气次数不宜小于</w:t>
            </w:r>
            <w:r w:rsidRPr="00687B52">
              <w:rPr>
                <w:rFonts w:hint="eastAsia"/>
                <w:color w:val="000000" w:themeColor="text1"/>
              </w:rPr>
              <w:t>5</w:t>
            </w:r>
            <w:r w:rsidRPr="00687B52">
              <w:rPr>
                <w:rFonts w:hint="eastAsia"/>
                <w:color w:val="000000" w:themeColor="text1"/>
              </w:rPr>
              <w:t>次</w:t>
            </w:r>
            <w:r w:rsidRPr="00687B52">
              <w:rPr>
                <w:rFonts w:hint="eastAsia"/>
                <w:color w:val="000000" w:themeColor="text1"/>
              </w:rPr>
              <w:t>/h</w:t>
            </w:r>
            <w:r w:rsidRPr="00687B52">
              <w:rPr>
                <w:rFonts w:hint="eastAsia"/>
                <w:color w:val="000000" w:themeColor="text1"/>
              </w:rPr>
              <w:t>。排风设备应采用防爆型。</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6.9.4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输油泵房、计量间、阀组间等放散可燃气体的工作场所，应设置事故通风装置，其通风换气次数不宜小于</w:t>
            </w:r>
            <w:r w:rsidRPr="00687B52">
              <w:rPr>
                <w:rFonts w:hint="eastAsia"/>
                <w:color w:val="000000" w:themeColor="text1"/>
              </w:rPr>
              <w:t>12</w:t>
            </w:r>
            <w:r w:rsidRPr="00687B52">
              <w:rPr>
                <w:rFonts w:hint="eastAsia"/>
                <w:color w:val="000000" w:themeColor="text1"/>
              </w:rPr>
              <w:t>次</w:t>
            </w:r>
            <w:r w:rsidRPr="00687B52">
              <w:rPr>
                <w:rFonts w:hint="eastAsia"/>
                <w:color w:val="000000" w:themeColor="text1"/>
              </w:rPr>
              <w:t>/h</w:t>
            </w:r>
            <w:r w:rsidRPr="00687B52">
              <w:rPr>
                <w:rFonts w:hint="eastAsia"/>
                <w:color w:val="000000" w:themeColor="text1"/>
              </w:rPr>
              <w:t>。</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6.9.6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积聚容量大于空气、并具有爆炸危险气体的建（构）筑物，应设置机械排风设施。其排风口的位置应能有效排除室内地坪最低处积聚的可燃和有害气体。</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6.9.7</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采用热风采暖、空气调节和机械通风装置的场所，其进风口应设置在室外空气清洁区，对有防火防爆要求的通风系统，其进风口应设在不可能有火花溅落的安全地点，排风口应设在室外安全处。</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6.9.8</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输油站内控制室、机柜间、化验室、变频间可设置空气调节装置。</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6.9.10</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rFonts w:hint="eastAsia"/>
                <w:color w:val="000000" w:themeColor="text1"/>
              </w:rPr>
              <w:t>当设置较大型集中式空调系统时，应考虑选用风冷式冷却系统。当采用水冷式冷却系统时，应采用循环水式水冷却系统。</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6.9.11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散发有爆炸危险气体的压缩机厂房除正常换气外，还应另外设置保证每小时不小于房内容积8次换气量的事故排风设施。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GB50251-2012</w:t>
            </w:r>
            <w:r w:rsidRPr="00687B52">
              <w:rPr>
                <w:rFonts w:hint="eastAsia"/>
                <w:color w:val="000000" w:themeColor="text1"/>
              </w:rPr>
              <w:t>第</w:t>
            </w:r>
            <w:r w:rsidRPr="00687B52">
              <w:rPr>
                <w:rFonts w:hint="eastAsia"/>
                <w:color w:val="000000" w:themeColor="text1"/>
              </w:rPr>
              <w:t>10.3.4</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输气站内其他可能突然散发大量有害或有爆炸危险的气体的建筑物也应设事故通风系统。事故通风量应根据工艺条件和可能发生的事故状态计算确定。事故通风宜由正常使用的通风系统和事故通风系统共同承担，当事故状态难以确定时，通风总量应按每小时不小于房内容积的12次换气量确定。</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GB50251-2012</w:t>
            </w:r>
            <w:r w:rsidRPr="00687B52">
              <w:rPr>
                <w:rFonts w:hint="eastAsia"/>
                <w:color w:val="000000" w:themeColor="text1"/>
              </w:rPr>
              <w:t>第</w:t>
            </w:r>
            <w:r w:rsidRPr="00687B52">
              <w:rPr>
                <w:rFonts w:hint="eastAsia"/>
                <w:color w:val="000000" w:themeColor="text1"/>
              </w:rPr>
              <w:t>10.3.5</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阀室应采用自然通风。</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GB50251-2012</w:t>
            </w:r>
            <w:r w:rsidRPr="00687B52">
              <w:rPr>
                <w:rFonts w:hint="eastAsia"/>
                <w:color w:val="000000" w:themeColor="text1"/>
              </w:rPr>
              <w:t>第</w:t>
            </w:r>
            <w:r w:rsidRPr="00687B52">
              <w:rPr>
                <w:rFonts w:hint="eastAsia"/>
                <w:color w:val="000000" w:themeColor="text1"/>
              </w:rPr>
              <w:t>10.3.6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设有机械排风的房间应设置有效的补风措施。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GB50251-2012</w:t>
            </w:r>
            <w:r w:rsidRPr="00687B52">
              <w:rPr>
                <w:rFonts w:hint="eastAsia"/>
                <w:color w:val="000000" w:themeColor="text1"/>
              </w:rPr>
              <w:t>第</w:t>
            </w:r>
            <w:r w:rsidRPr="00687B52">
              <w:rPr>
                <w:rFonts w:hint="eastAsia"/>
                <w:color w:val="000000" w:themeColor="text1"/>
              </w:rPr>
              <w:t>10.3.7</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3"/>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对于可能有气体积聚的地下、半地下建（构）筑物内，应设置固定的或移动的机械排风设施。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GB50251-2012</w:t>
            </w:r>
            <w:r w:rsidRPr="00687B52">
              <w:rPr>
                <w:rFonts w:hint="eastAsia"/>
                <w:color w:val="000000" w:themeColor="text1"/>
              </w:rPr>
              <w:t>第</w:t>
            </w:r>
            <w:r w:rsidRPr="00687B52">
              <w:rPr>
                <w:rFonts w:hint="eastAsia"/>
                <w:color w:val="000000" w:themeColor="text1"/>
              </w:rPr>
              <w:t>10.3.8</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B527D4">
            <w:pPr>
              <w:pStyle w:val="a7"/>
              <w:rPr>
                <w:b/>
                <w:color w:val="000000" w:themeColor="text1"/>
              </w:rPr>
            </w:pPr>
            <w:r w:rsidRPr="00687B52">
              <w:rPr>
                <w:rFonts w:hint="eastAsia"/>
                <w:b/>
                <w:color w:val="000000" w:themeColor="text1"/>
              </w:rPr>
              <w:t>3.6</w:t>
            </w:r>
          </w:p>
        </w:tc>
        <w:tc>
          <w:tcPr>
            <w:tcW w:w="2750" w:type="pct"/>
            <w:vAlign w:val="center"/>
          </w:tcPr>
          <w:p w:rsidR="000E02C5" w:rsidRPr="00687B52" w:rsidRDefault="000E02C5" w:rsidP="00B527D4">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通信</w:t>
            </w:r>
          </w:p>
        </w:tc>
        <w:tc>
          <w:tcPr>
            <w:tcW w:w="930" w:type="pct"/>
            <w:vAlign w:val="center"/>
          </w:tcPr>
          <w:p w:rsidR="000E02C5" w:rsidRPr="00687B52" w:rsidRDefault="000E02C5" w:rsidP="00B527D4">
            <w:pPr>
              <w:pStyle w:val="a7"/>
              <w:rPr>
                <w:color w:val="000000" w:themeColor="text1"/>
              </w:rPr>
            </w:pP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输油管道应设调度电话系统。调度电话系统可与行政电话系统、会议电话系统共用一套电话交换系统，也可独立设置。</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8.0.6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管道通信系统的通信业务应根据输气工艺、监控和数据采集（SCADA）系统数据传输和生产管理运行等需要设置。</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9.0.6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color w:val="000000" w:themeColor="text1"/>
              </w:rPr>
            </w:pPr>
            <w:r w:rsidRPr="00687B52">
              <w:rPr>
                <w:color w:val="000000" w:themeColor="text1"/>
              </w:rPr>
              <w:t>消防泵房值班室应设置对外联络的通信设施。</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8.8.6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4"/>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输油管道消防值班室应设火警电话，火警电话宜为公网直拨电话或消防部门专用火警系统电话。</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《输油管道工程设计规范》</w:t>
            </w:r>
            <w:r w:rsidRPr="00687B52">
              <w:rPr>
                <w:rFonts w:hint="eastAsia"/>
                <w:color w:val="000000" w:themeColor="text1"/>
              </w:rPr>
              <w:t>GB50253-2014</w:t>
            </w:r>
          </w:p>
          <w:p w:rsidR="000E02C5" w:rsidRPr="00687B52" w:rsidRDefault="000E02C5" w:rsidP="00B527D4">
            <w:pPr>
              <w:pStyle w:val="a7"/>
              <w:rPr>
                <w:color w:val="000000" w:themeColor="text1"/>
              </w:rPr>
            </w:pPr>
            <w:r w:rsidRPr="00687B52">
              <w:rPr>
                <w:rFonts w:hint="eastAsia"/>
                <w:color w:val="000000" w:themeColor="text1"/>
              </w:rPr>
              <w:t>第</w:t>
            </w:r>
            <w:r w:rsidRPr="00687B52">
              <w:rPr>
                <w:rFonts w:hint="eastAsia"/>
                <w:color w:val="000000" w:themeColor="text1"/>
              </w:rPr>
              <w:t>8.0.8</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B527D4">
            <w:pPr>
              <w:pStyle w:val="a7"/>
              <w:rPr>
                <w:b/>
                <w:color w:val="000000" w:themeColor="text1"/>
              </w:rPr>
            </w:pPr>
            <w:r w:rsidRPr="00687B52">
              <w:rPr>
                <w:rFonts w:hint="eastAsia"/>
                <w:b/>
                <w:color w:val="000000" w:themeColor="text1"/>
              </w:rPr>
              <w:t>3.7</w:t>
            </w:r>
          </w:p>
        </w:tc>
        <w:tc>
          <w:tcPr>
            <w:tcW w:w="2750" w:type="pct"/>
            <w:vAlign w:val="center"/>
          </w:tcPr>
          <w:p w:rsidR="000E02C5" w:rsidRPr="00687B52" w:rsidRDefault="000E02C5" w:rsidP="00B527D4">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给排水</w:t>
            </w:r>
          </w:p>
        </w:tc>
        <w:tc>
          <w:tcPr>
            <w:tcW w:w="930" w:type="pct"/>
            <w:vAlign w:val="center"/>
          </w:tcPr>
          <w:p w:rsidR="000E02C5" w:rsidRPr="00687B52" w:rsidRDefault="000E02C5" w:rsidP="00B527D4">
            <w:pPr>
              <w:pStyle w:val="a7"/>
              <w:rPr>
                <w:color w:val="000000" w:themeColor="text1"/>
              </w:rPr>
            </w:pP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5"/>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both"/>
              <w:rPr>
                <w:color w:val="000000" w:themeColor="text1"/>
              </w:rPr>
            </w:pPr>
            <w:r w:rsidRPr="00687B52">
              <w:rPr>
                <w:rFonts w:hint="eastAsia"/>
                <w:color w:val="000000" w:themeColor="text1"/>
              </w:rPr>
              <w:t>含油污水应排入含油污水管道或工业下水道，其连接处应设水封井，并应采取防冻措施。含油污水管道在通过油气站场围墙处应设置水封井，水封井与围墙之间的排水管道应采用暗渠或暗管。</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第</w:t>
            </w:r>
            <w:r w:rsidRPr="00687B52">
              <w:rPr>
                <w:rFonts w:hint="eastAsia"/>
                <w:color w:val="000000" w:themeColor="text1"/>
              </w:rPr>
              <w:t>6.1.11</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0E02C5" w:rsidRPr="00687B52" w:rsidTr="00563F92">
        <w:trPr>
          <w:jc w:val="center"/>
        </w:trPr>
        <w:tc>
          <w:tcPr>
            <w:tcW w:w="460" w:type="pct"/>
            <w:vAlign w:val="center"/>
          </w:tcPr>
          <w:p w:rsidR="000E02C5" w:rsidRPr="00687B52" w:rsidRDefault="000E02C5" w:rsidP="00D9787F">
            <w:pPr>
              <w:pStyle w:val="a7"/>
              <w:numPr>
                <w:ilvl w:val="0"/>
                <w:numId w:val="125"/>
              </w:numPr>
              <w:rPr>
                <w:rFonts w:asciiTheme="minorEastAsia" w:eastAsiaTheme="minorEastAsia" w:hAnsiTheme="minorEastAsia"/>
                <w:color w:val="000000" w:themeColor="text1"/>
                <w:szCs w:val="24"/>
              </w:rPr>
            </w:pPr>
          </w:p>
        </w:tc>
        <w:tc>
          <w:tcPr>
            <w:tcW w:w="2750" w:type="pct"/>
            <w:vAlign w:val="center"/>
          </w:tcPr>
          <w:p w:rsidR="000E02C5" w:rsidRPr="00687B52" w:rsidRDefault="000E02C5" w:rsidP="00B527D4">
            <w:pPr>
              <w:pStyle w:val="a7"/>
              <w:jc w:val="left"/>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输气站生产的污液宜集中收集，应根据污物源的点位、数量、物性参数等设计排污管道系统，排污管道的终端应设排污池或排污罐。</w:t>
            </w:r>
          </w:p>
        </w:tc>
        <w:tc>
          <w:tcPr>
            <w:tcW w:w="930" w:type="pct"/>
            <w:vAlign w:val="center"/>
          </w:tcPr>
          <w:p w:rsidR="000E02C5" w:rsidRPr="00687B52" w:rsidRDefault="000E02C5" w:rsidP="00B527D4">
            <w:pPr>
              <w:pStyle w:val="a7"/>
              <w:rPr>
                <w:color w:val="000000" w:themeColor="text1"/>
              </w:rPr>
            </w:pPr>
            <w:r w:rsidRPr="00687B52">
              <w:rPr>
                <w:rFonts w:hint="eastAsia"/>
                <w:color w:val="000000" w:themeColor="text1"/>
              </w:rPr>
              <w:t>《输气管道工程设计规范》</w:t>
            </w:r>
            <w:r w:rsidRPr="00687B52">
              <w:rPr>
                <w:rFonts w:hint="eastAsia"/>
                <w:color w:val="000000" w:themeColor="text1"/>
              </w:rPr>
              <w:t>GB50251-2015</w:t>
            </w:r>
            <w:r w:rsidRPr="00687B52">
              <w:rPr>
                <w:rFonts w:hint="eastAsia"/>
                <w:color w:val="000000" w:themeColor="text1"/>
              </w:rPr>
              <w:t>第</w:t>
            </w:r>
            <w:r w:rsidRPr="00687B52">
              <w:rPr>
                <w:rFonts w:hint="eastAsia"/>
                <w:color w:val="000000" w:themeColor="text1"/>
              </w:rPr>
              <w:t>6.2.6</w:t>
            </w:r>
            <w:r w:rsidRPr="00687B52">
              <w:rPr>
                <w:rFonts w:hint="eastAsia"/>
                <w:color w:val="000000" w:themeColor="text1"/>
              </w:rPr>
              <w:t>条</w:t>
            </w:r>
          </w:p>
        </w:tc>
        <w:tc>
          <w:tcPr>
            <w:tcW w:w="860" w:type="pct"/>
          </w:tcPr>
          <w:p w:rsidR="000E02C5" w:rsidRPr="00687B52" w:rsidRDefault="000E02C5" w:rsidP="00B527D4">
            <w:pPr>
              <w:pStyle w:val="a7"/>
              <w:rPr>
                <w:rFonts w:asciiTheme="minorEastAsia" w:eastAsiaTheme="minorEastAsia" w:hAnsiTheme="minorEastAsia"/>
                <w:color w:val="000000" w:themeColor="text1"/>
                <w:szCs w:val="24"/>
              </w:rPr>
            </w:pPr>
          </w:p>
        </w:tc>
      </w:tr>
      <w:tr w:rsidR="00ED5C9E" w:rsidRPr="00687B52" w:rsidTr="00563F92">
        <w:trPr>
          <w:jc w:val="center"/>
        </w:trPr>
        <w:tc>
          <w:tcPr>
            <w:tcW w:w="460" w:type="pct"/>
            <w:vAlign w:val="center"/>
          </w:tcPr>
          <w:p w:rsidR="00ED5C9E" w:rsidRPr="00687B52" w:rsidRDefault="00ED5C9E" w:rsidP="00ED5C9E">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3.8</w:t>
            </w:r>
          </w:p>
        </w:tc>
        <w:tc>
          <w:tcPr>
            <w:tcW w:w="2750" w:type="pct"/>
            <w:vAlign w:val="center"/>
          </w:tcPr>
          <w:p w:rsidR="00ED5C9E" w:rsidRPr="00687B52" w:rsidRDefault="00ED5C9E" w:rsidP="00B527D4">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其他</w:t>
            </w:r>
          </w:p>
        </w:tc>
        <w:tc>
          <w:tcPr>
            <w:tcW w:w="930" w:type="pct"/>
            <w:vAlign w:val="center"/>
          </w:tcPr>
          <w:p w:rsidR="00ED5C9E" w:rsidRPr="00687B52" w:rsidRDefault="00ED5C9E" w:rsidP="00B527D4">
            <w:pPr>
              <w:pStyle w:val="a7"/>
              <w:rPr>
                <w:color w:val="000000" w:themeColor="text1"/>
              </w:rPr>
            </w:pPr>
          </w:p>
        </w:tc>
        <w:tc>
          <w:tcPr>
            <w:tcW w:w="860" w:type="pct"/>
          </w:tcPr>
          <w:p w:rsidR="00ED5C9E" w:rsidRPr="00687B52" w:rsidRDefault="00ED5C9E" w:rsidP="00B527D4">
            <w:pPr>
              <w:pStyle w:val="a7"/>
              <w:rPr>
                <w:rFonts w:asciiTheme="minorEastAsia" w:eastAsiaTheme="minorEastAsia" w:hAnsiTheme="minorEastAsia"/>
                <w:color w:val="000000" w:themeColor="text1"/>
                <w:szCs w:val="24"/>
              </w:rPr>
            </w:pPr>
          </w:p>
        </w:tc>
      </w:tr>
      <w:tr w:rsidR="00ED5C9E" w:rsidRPr="00687B52" w:rsidTr="00563F92">
        <w:trPr>
          <w:jc w:val="center"/>
        </w:trPr>
        <w:tc>
          <w:tcPr>
            <w:tcW w:w="460" w:type="pct"/>
            <w:vAlign w:val="center"/>
          </w:tcPr>
          <w:p w:rsidR="00ED5C9E" w:rsidRPr="00687B52" w:rsidRDefault="00ED5C9E" w:rsidP="00ED5C9E">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3.8.1</w:t>
            </w:r>
          </w:p>
        </w:tc>
        <w:tc>
          <w:tcPr>
            <w:tcW w:w="2750" w:type="pct"/>
            <w:vAlign w:val="center"/>
          </w:tcPr>
          <w:p w:rsidR="00ED5C9E" w:rsidRPr="00687B52" w:rsidRDefault="00ED5C9E" w:rsidP="00656820">
            <w:pPr>
              <w:widowControl/>
              <w:jc w:val="left"/>
              <w:rPr>
                <w:rFonts w:ascii="宋体" w:hAnsi="宋体" w:cs="Arial"/>
                <w:bCs/>
                <w:color w:val="000000" w:themeColor="text1"/>
                <w:sz w:val="24"/>
                <w:szCs w:val="24"/>
                <w:highlight w:val="magenta"/>
              </w:rPr>
            </w:pPr>
            <w:r w:rsidRPr="00687B52">
              <w:rPr>
                <w:rFonts w:ascii="宋体" w:hAnsi="宋体" w:cs="宋体"/>
                <w:bCs/>
                <w:color w:val="000000" w:themeColor="text1"/>
                <w:kern w:val="0"/>
                <w:sz w:val="24"/>
                <w:szCs w:val="24"/>
              </w:rPr>
              <w:t>构成重大危险源的场所</w:t>
            </w:r>
            <w:r w:rsidRPr="00687B52">
              <w:rPr>
                <w:rFonts w:ascii="宋体" w:hAnsi="宋体" w:cs="宋体" w:hint="eastAsia"/>
                <w:bCs/>
                <w:color w:val="000000" w:themeColor="text1"/>
                <w:kern w:val="0"/>
                <w:sz w:val="24"/>
                <w:szCs w:val="24"/>
              </w:rPr>
              <w:t>应</w:t>
            </w:r>
            <w:r w:rsidRPr="00687B52">
              <w:rPr>
                <w:rFonts w:ascii="宋体" w:hAnsi="宋体" w:cs="宋体"/>
                <w:bCs/>
                <w:color w:val="000000" w:themeColor="text1"/>
                <w:kern w:val="0"/>
                <w:sz w:val="24"/>
                <w:szCs w:val="24"/>
              </w:rPr>
              <w:t>按《危险化学品重大危险源监督管理暂行规定》（安监总局令第40号令发布，第79号修订)）确定外部安全防护距离，并计算风险；下列敏感目标是否在安全防护距离之外，个人风险和社会风险是否可接受：</w:t>
            </w:r>
            <w:r w:rsidRPr="00687B52">
              <w:rPr>
                <w:rFonts w:ascii="宋体" w:hAnsi="宋体" w:cs="宋体"/>
                <w:bCs/>
                <w:color w:val="000000" w:themeColor="text1"/>
                <w:kern w:val="0"/>
                <w:sz w:val="24"/>
                <w:szCs w:val="24"/>
              </w:rPr>
              <w:br/>
              <w:t>① 居民区、商业中心、公园等人口密集区域；</w:t>
            </w:r>
            <w:r w:rsidRPr="00687B52">
              <w:rPr>
                <w:rFonts w:ascii="宋体" w:hAnsi="宋体" w:cs="宋体"/>
                <w:bCs/>
                <w:color w:val="000000" w:themeColor="text1"/>
                <w:kern w:val="0"/>
                <w:sz w:val="24"/>
                <w:szCs w:val="24"/>
              </w:rPr>
              <w:br/>
              <w:t>② 学校、医院、影剧院、体育场（馆）等公共设施；</w:t>
            </w:r>
            <w:r w:rsidRPr="00687B52">
              <w:rPr>
                <w:rFonts w:ascii="宋体" w:hAnsi="宋体" w:cs="宋体"/>
                <w:bCs/>
                <w:color w:val="000000" w:themeColor="text1"/>
                <w:kern w:val="0"/>
                <w:sz w:val="24"/>
                <w:szCs w:val="24"/>
              </w:rPr>
              <w:br/>
              <w:t>③ 供水水源、水厂及水源保护区；</w:t>
            </w:r>
            <w:r w:rsidRPr="00687B52">
              <w:rPr>
                <w:rFonts w:ascii="宋体" w:hAnsi="宋体" w:cs="宋体"/>
                <w:bCs/>
                <w:color w:val="000000" w:themeColor="text1"/>
                <w:kern w:val="0"/>
                <w:sz w:val="24"/>
                <w:szCs w:val="24"/>
              </w:rPr>
              <w:br/>
              <w:t>④ 车站、码头（按照国家规定，经批准专门从事危险化学品装卸作业的除外）、机场以及公路、铁路、水路交通干线、地铁风亭及出入口；</w:t>
            </w:r>
            <w:r w:rsidRPr="00687B52">
              <w:rPr>
                <w:rFonts w:ascii="宋体" w:hAnsi="宋体" w:cs="宋体"/>
                <w:bCs/>
                <w:color w:val="000000" w:themeColor="text1"/>
                <w:kern w:val="0"/>
                <w:sz w:val="24"/>
                <w:szCs w:val="24"/>
              </w:rPr>
              <w:br/>
              <w:t>⑤ 基本农田保护区、畜牧区、渔业水域和种子、种畜、水产苗种生产基；</w:t>
            </w:r>
            <w:r w:rsidRPr="00687B52">
              <w:rPr>
                <w:rFonts w:ascii="宋体" w:hAnsi="宋体" w:cs="宋体"/>
                <w:bCs/>
                <w:color w:val="000000" w:themeColor="text1"/>
                <w:kern w:val="0"/>
                <w:sz w:val="24"/>
                <w:szCs w:val="24"/>
              </w:rPr>
              <w:br/>
              <w:t>⑥ 河流、湖泊、风景名胜区和自然保护区；</w:t>
            </w:r>
            <w:r w:rsidRPr="00687B52">
              <w:rPr>
                <w:rFonts w:ascii="宋体" w:hAnsi="宋体" w:cs="宋体"/>
                <w:bCs/>
                <w:color w:val="000000" w:themeColor="text1"/>
                <w:kern w:val="0"/>
                <w:sz w:val="24"/>
                <w:szCs w:val="24"/>
              </w:rPr>
              <w:br/>
              <w:t>⑦ 军事禁区、军事管理区；</w:t>
            </w:r>
            <w:r w:rsidRPr="00687B52">
              <w:rPr>
                <w:rFonts w:ascii="宋体" w:hAnsi="宋体" w:cs="宋体"/>
                <w:bCs/>
                <w:color w:val="000000" w:themeColor="text1"/>
                <w:kern w:val="0"/>
                <w:sz w:val="24"/>
                <w:szCs w:val="24"/>
              </w:rPr>
              <w:br/>
              <w:t>⑧ 法律、行政法规规定予以保护的其他区域。</w:t>
            </w:r>
          </w:p>
        </w:tc>
        <w:tc>
          <w:tcPr>
            <w:tcW w:w="930" w:type="pct"/>
            <w:vAlign w:val="center"/>
          </w:tcPr>
          <w:p w:rsidR="00ED5C9E" w:rsidRPr="00687B52" w:rsidRDefault="00ED5C9E" w:rsidP="00656820">
            <w:pPr>
              <w:pStyle w:val="a7"/>
              <w:rPr>
                <w:rFonts w:ascii="宋体" w:hAnsi="宋体"/>
                <w:bCs/>
                <w:color w:val="000000" w:themeColor="text1"/>
                <w:szCs w:val="24"/>
                <w:highlight w:val="magenta"/>
              </w:rPr>
            </w:pPr>
            <w:r w:rsidRPr="00687B52">
              <w:rPr>
                <w:rFonts w:ascii="宋体" w:hAnsi="宋体" w:cs="宋体" w:hint="eastAsia"/>
                <w:bCs/>
                <w:color w:val="000000" w:themeColor="text1"/>
                <w:kern w:val="0"/>
                <w:szCs w:val="24"/>
              </w:rPr>
              <w:t>《危险化学品安全管理条例》第十九条</w:t>
            </w:r>
          </w:p>
        </w:tc>
        <w:tc>
          <w:tcPr>
            <w:tcW w:w="860" w:type="pct"/>
          </w:tcPr>
          <w:p w:rsidR="00ED5C9E" w:rsidRPr="00687B52" w:rsidRDefault="00ED5C9E" w:rsidP="00B527D4">
            <w:pPr>
              <w:pStyle w:val="a7"/>
              <w:rPr>
                <w:rFonts w:asciiTheme="minorEastAsia" w:eastAsiaTheme="minorEastAsia" w:hAnsiTheme="minorEastAsia"/>
                <w:color w:val="000000" w:themeColor="text1"/>
                <w:szCs w:val="24"/>
              </w:rPr>
            </w:pPr>
          </w:p>
        </w:tc>
      </w:tr>
    </w:tbl>
    <w:p w:rsidR="000E02C5" w:rsidRPr="00687B52" w:rsidRDefault="000E02C5" w:rsidP="000E02C5">
      <w:pPr>
        <w:spacing w:line="360" w:lineRule="exact"/>
        <w:rPr>
          <w:rFonts w:asciiTheme="minorEastAsia" w:hAnsiTheme="minorEastAsia"/>
          <w:color w:val="000000" w:themeColor="text1"/>
          <w:szCs w:val="21"/>
        </w:rPr>
      </w:pPr>
      <w:r w:rsidRPr="00687B52">
        <w:rPr>
          <w:rFonts w:asciiTheme="minorEastAsia" w:hAnsiTheme="minorEastAsia" w:hint="eastAsia"/>
          <w:color w:val="000000" w:themeColor="text1"/>
          <w:szCs w:val="21"/>
        </w:rPr>
        <w:t>备注：</w:t>
      </w:r>
    </w:p>
    <w:p w:rsidR="000E02C5" w:rsidRPr="00687B52" w:rsidRDefault="000E02C5" w:rsidP="00D9787F">
      <w:pPr>
        <w:pStyle w:val="ab"/>
        <w:numPr>
          <w:ilvl w:val="0"/>
          <w:numId w:val="132"/>
        </w:numPr>
        <w:adjustRightInd w:val="0"/>
        <w:snapToGrid w:val="0"/>
        <w:spacing w:line="360" w:lineRule="exact"/>
        <w:ind w:firstLineChars="0"/>
        <w:jc w:val="left"/>
        <w:rPr>
          <w:rFonts w:asciiTheme="minorEastAsia" w:hAnsiTheme="minorEastAsia"/>
          <w:color w:val="000000" w:themeColor="text1"/>
          <w:szCs w:val="21"/>
        </w:rPr>
      </w:pPr>
      <w:r w:rsidRPr="00687B52">
        <w:rPr>
          <w:rFonts w:asciiTheme="minorEastAsia" w:hAnsiTheme="minorEastAsia" w:hint="eastAsia"/>
          <w:color w:val="000000" w:themeColor="text1"/>
          <w:szCs w:val="21"/>
        </w:rPr>
        <w:t>因《石油天然气工程设计防火规范》GB50183-2015暂缓实施，故本表仍依据GB50183-2004编制，GB50183-2015实施后应更新检查内容。</w:t>
      </w:r>
    </w:p>
    <w:p w:rsidR="000E02C5" w:rsidRPr="00687B52" w:rsidRDefault="000E02C5" w:rsidP="00D9787F">
      <w:pPr>
        <w:pStyle w:val="ab"/>
        <w:numPr>
          <w:ilvl w:val="0"/>
          <w:numId w:val="132"/>
        </w:numPr>
        <w:adjustRightInd w:val="0"/>
        <w:snapToGrid w:val="0"/>
        <w:spacing w:line="360" w:lineRule="exact"/>
        <w:ind w:left="420" w:hangingChars="200" w:hanging="420"/>
        <w:jc w:val="left"/>
        <w:rPr>
          <w:rFonts w:asciiTheme="minorEastAsia" w:hAnsiTheme="minorEastAsia"/>
          <w:color w:val="000000" w:themeColor="text1"/>
          <w:szCs w:val="21"/>
        </w:rPr>
      </w:pPr>
      <w:r w:rsidRPr="00687B52">
        <w:rPr>
          <w:rFonts w:ascii="宋体" w:eastAsia="宋体" w:hAnsi="宋体" w:cs="Times New Roman" w:hint="eastAsia"/>
          <w:color w:val="000000" w:themeColor="text1"/>
          <w:szCs w:val="21"/>
        </w:rPr>
        <w:t>石油天然气站场</w:t>
      </w:r>
      <w:r w:rsidRPr="00687B52">
        <w:rPr>
          <w:rFonts w:asciiTheme="minorEastAsia" w:hAnsiTheme="minorEastAsia" w:hint="eastAsia"/>
          <w:color w:val="000000" w:themeColor="text1"/>
          <w:szCs w:val="21"/>
        </w:rPr>
        <w:t>是指</w:t>
      </w:r>
      <w:r w:rsidRPr="00687B52">
        <w:rPr>
          <w:rFonts w:ascii="宋体" w:eastAsia="宋体" w:hAnsi="宋体" w:cs="Times New Roman" w:hint="eastAsia"/>
          <w:color w:val="000000" w:themeColor="text1"/>
          <w:szCs w:val="21"/>
        </w:rPr>
        <w:t>具有石油天然气收集、净化处理、储运功能的站、库、厂、场、油气井的统称，简称油气站场或站场。</w:t>
      </w:r>
      <w:r w:rsidRPr="00687B52">
        <w:rPr>
          <w:rFonts w:asciiTheme="minorEastAsia" w:hAnsiTheme="minorEastAsia" w:hint="eastAsia"/>
          <w:color w:val="000000" w:themeColor="text1"/>
          <w:szCs w:val="21"/>
        </w:rPr>
        <w:t>本表编制内容仅包含具有石油天然气储运功能的站场，不包含具有</w:t>
      </w:r>
      <w:r w:rsidRPr="00687B52">
        <w:rPr>
          <w:rFonts w:ascii="宋体" w:eastAsia="宋体" w:hAnsi="宋体" w:cs="Times New Roman" w:hint="eastAsia"/>
          <w:color w:val="000000" w:themeColor="text1"/>
          <w:szCs w:val="21"/>
        </w:rPr>
        <w:t>石油天然气收集、净化处理</w:t>
      </w:r>
      <w:r w:rsidRPr="00687B52">
        <w:rPr>
          <w:rFonts w:asciiTheme="minorEastAsia" w:hAnsiTheme="minorEastAsia" w:hint="eastAsia"/>
          <w:color w:val="000000" w:themeColor="text1"/>
          <w:szCs w:val="21"/>
        </w:rPr>
        <w:t>的站场、液化石油气站场及</w:t>
      </w:r>
      <w:r w:rsidRPr="00687B52">
        <w:rPr>
          <w:rFonts w:ascii="宋体" w:eastAsia="宋体" w:hAnsi="宋体" w:cs="Times New Roman" w:hint="eastAsia"/>
          <w:color w:val="000000" w:themeColor="text1"/>
          <w:szCs w:val="21"/>
        </w:rPr>
        <w:t>油气井</w:t>
      </w:r>
      <w:r w:rsidRPr="00687B52">
        <w:rPr>
          <w:rFonts w:asciiTheme="minorEastAsia" w:hAnsiTheme="minorEastAsia" w:hint="eastAsia"/>
          <w:color w:val="000000" w:themeColor="text1"/>
          <w:szCs w:val="21"/>
        </w:rPr>
        <w:t>。</w:t>
      </w:r>
    </w:p>
    <w:p w:rsidR="000E02C5" w:rsidRPr="00687B52" w:rsidRDefault="000E02C5" w:rsidP="00D9787F">
      <w:pPr>
        <w:pStyle w:val="ab"/>
        <w:numPr>
          <w:ilvl w:val="0"/>
          <w:numId w:val="132"/>
        </w:numPr>
        <w:adjustRightInd w:val="0"/>
        <w:snapToGrid w:val="0"/>
        <w:spacing w:line="360" w:lineRule="exact"/>
        <w:ind w:left="420" w:hangingChars="200" w:hanging="420"/>
        <w:jc w:val="left"/>
        <w:rPr>
          <w:rFonts w:asciiTheme="minorEastAsia" w:hAnsiTheme="minorEastAsia"/>
          <w:color w:val="000000" w:themeColor="text1"/>
          <w:szCs w:val="21"/>
        </w:rPr>
      </w:pPr>
      <w:r w:rsidRPr="00687B52">
        <w:rPr>
          <w:rFonts w:asciiTheme="minorEastAsia" w:hAnsiTheme="minorEastAsia" w:hint="eastAsia"/>
          <w:color w:val="000000" w:themeColor="text1"/>
          <w:szCs w:val="21"/>
        </w:rPr>
        <w:t>长输管道</w:t>
      </w:r>
      <w:r w:rsidRPr="00687B52">
        <w:rPr>
          <w:rFonts w:asciiTheme="minorEastAsia" w:hAnsiTheme="minorEastAsia"/>
          <w:color w:val="000000" w:themeColor="text1"/>
          <w:szCs w:val="21"/>
        </w:rPr>
        <w:t>是指产地、储存库、</w:t>
      </w:r>
      <w:r w:rsidRPr="00687B52">
        <w:rPr>
          <w:rFonts w:asciiTheme="minorEastAsia" w:hAnsiTheme="minorEastAsia" w:hint="eastAsia"/>
          <w:color w:val="000000" w:themeColor="text1"/>
          <w:szCs w:val="21"/>
        </w:rPr>
        <w:t>用户</w:t>
      </w:r>
      <w:r w:rsidRPr="00687B52">
        <w:rPr>
          <w:rFonts w:asciiTheme="minorEastAsia" w:hAnsiTheme="minorEastAsia"/>
          <w:color w:val="000000" w:themeColor="text1"/>
          <w:szCs w:val="21"/>
        </w:rPr>
        <w:t>间的用于输送</w:t>
      </w:r>
      <w:r w:rsidRPr="00687B52">
        <w:rPr>
          <w:rFonts w:asciiTheme="minorEastAsia" w:hAnsiTheme="minorEastAsia" w:hint="eastAsia"/>
          <w:color w:val="000000" w:themeColor="text1"/>
          <w:szCs w:val="21"/>
        </w:rPr>
        <w:t>油、气介质的管道。</w:t>
      </w:r>
    </w:p>
    <w:p w:rsidR="000E02C5" w:rsidRPr="00687B52" w:rsidRDefault="000E02C5" w:rsidP="00D9787F">
      <w:pPr>
        <w:pStyle w:val="ab"/>
        <w:numPr>
          <w:ilvl w:val="0"/>
          <w:numId w:val="132"/>
        </w:numPr>
        <w:adjustRightInd w:val="0"/>
        <w:snapToGrid w:val="0"/>
        <w:spacing w:line="360" w:lineRule="exact"/>
        <w:ind w:left="420" w:hangingChars="200" w:hanging="420"/>
        <w:jc w:val="left"/>
        <w:rPr>
          <w:rFonts w:asciiTheme="minorEastAsia" w:hAnsiTheme="minorEastAsia"/>
          <w:color w:val="000000" w:themeColor="text1"/>
          <w:szCs w:val="21"/>
        </w:rPr>
      </w:pPr>
      <w:r w:rsidRPr="00687B52">
        <w:rPr>
          <w:rFonts w:asciiTheme="minorEastAsia" w:hAnsiTheme="minorEastAsia" w:hint="eastAsia"/>
          <w:color w:val="000000" w:themeColor="text1"/>
          <w:szCs w:val="21"/>
        </w:rPr>
        <w:t>输油管道工程是指用管道输送原油、成品油和液化石油气的建设工程。一般包括输油管线、输油站及辅助设施等工程内容。</w:t>
      </w:r>
    </w:p>
    <w:p w:rsidR="000E02C5" w:rsidRPr="00687B52" w:rsidRDefault="000E02C5" w:rsidP="00D9787F">
      <w:pPr>
        <w:pStyle w:val="ab"/>
        <w:numPr>
          <w:ilvl w:val="0"/>
          <w:numId w:val="132"/>
        </w:numPr>
        <w:adjustRightInd w:val="0"/>
        <w:snapToGrid w:val="0"/>
        <w:spacing w:line="360" w:lineRule="exact"/>
        <w:ind w:left="420" w:hangingChars="200" w:hanging="420"/>
        <w:jc w:val="left"/>
        <w:rPr>
          <w:rFonts w:asciiTheme="minorEastAsia" w:hAnsiTheme="minorEastAsia"/>
          <w:color w:val="000000" w:themeColor="text1"/>
          <w:szCs w:val="21"/>
        </w:rPr>
      </w:pPr>
      <w:r w:rsidRPr="00687B52">
        <w:rPr>
          <w:rFonts w:asciiTheme="minorEastAsia" w:hAnsiTheme="minorEastAsia" w:hint="eastAsia"/>
          <w:color w:val="000000" w:themeColor="text1"/>
          <w:szCs w:val="21"/>
        </w:rPr>
        <w:t>输气管道工程是指用管道输送天然气、煤层气和煤质天然气的工程。一般包括输气管道、输气站、管道穿（跨）越及辅助生产设施等工程内容。</w:t>
      </w:r>
    </w:p>
    <w:p w:rsidR="000E02C5" w:rsidRPr="00687B52" w:rsidRDefault="000E02C5" w:rsidP="00D9787F">
      <w:pPr>
        <w:pStyle w:val="ab"/>
        <w:numPr>
          <w:ilvl w:val="0"/>
          <w:numId w:val="132"/>
        </w:numPr>
        <w:adjustRightInd w:val="0"/>
        <w:snapToGrid w:val="0"/>
        <w:spacing w:line="360" w:lineRule="exact"/>
        <w:ind w:left="420" w:hangingChars="200" w:hanging="420"/>
        <w:jc w:val="left"/>
        <w:rPr>
          <w:rFonts w:asciiTheme="minorEastAsia" w:hAnsiTheme="minorEastAsia"/>
          <w:color w:val="000000" w:themeColor="text1"/>
          <w:szCs w:val="21"/>
        </w:rPr>
      </w:pPr>
      <w:r w:rsidRPr="00687B52">
        <w:rPr>
          <w:color w:val="000000" w:themeColor="text1"/>
        </w:rPr>
        <w:t>管道附属设施</w:t>
      </w:r>
      <w:r w:rsidRPr="00687B52">
        <w:rPr>
          <w:rFonts w:hint="eastAsia"/>
          <w:color w:val="000000" w:themeColor="text1"/>
        </w:rPr>
        <w:t>包括①</w:t>
      </w:r>
      <w:r w:rsidRPr="00687B52">
        <w:rPr>
          <w:color w:val="000000" w:themeColor="text1"/>
        </w:rPr>
        <w:t>管道的加压站、加热站、计量站、集油站、集气站、输油站、输气站、配气站、处理场、清管站、阀室、阀井、放空设施、油库、储气库、装卸</w:t>
      </w:r>
      <w:hyperlink r:id="rId62" w:tgtFrame="_blank" w:history="1">
        <w:r w:rsidRPr="00687B52">
          <w:rPr>
            <w:color w:val="000000" w:themeColor="text1"/>
          </w:rPr>
          <w:t>栈桥</w:t>
        </w:r>
      </w:hyperlink>
      <w:r w:rsidRPr="00687B52">
        <w:rPr>
          <w:color w:val="000000" w:themeColor="text1"/>
        </w:rPr>
        <w:t>、装卸场；</w:t>
      </w:r>
      <w:r w:rsidRPr="00687B52">
        <w:rPr>
          <w:rFonts w:hint="eastAsia"/>
          <w:color w:val="000000" w:themeColor="text1"/>
        </w:rPr>
        <w:t>②</w:t>
      </w:r>
      <w:r w:rsidRPr="00687B52">
        <w:rPr>
          <w:color w:val="000000" w:themeColor="text1"/>
        </w:rPr>
        <w:t>管道的水工防护设施、防风设施、防雷设施、抗震设施、通信设施、安全监控设施、电力设施、管堤、管桥以及管道专用涵洞、隧道等穿跨越设施；</w:t>
      </w:r>
      <w:r w:rsidRPr="00687B52">
        <w:rPr>
          <w:rFonts w:hint="eastAsia"/>
          <w:color w:val="000000" w:themeColor="text1"/>
        </w:rPr>
        <w:t>③</w:t>
      </w:r>
      <w:r w:rsidRPr="00687B52">
        <w:rPr>
          <w:color w:val="000000" w:themeColor="text1"/>
        </w:rPr>
        <w:t>管道的阴极保护站、阴极保护测试桩、阳极地床、杂散电流排流站等防腐设施；</w:t>
      </w:r>
      <w:r w:rsidRPr="00687B52">
        <w:rPr>
          <w:rFonts w:hint="eastAsia"/>
          <w:color w:val="000000" w:themeColor="text1"/>
        </w:rPr>
        <w:t>④</w:t>
      </w:r>
      <w:r w:rsidRPr="00687B52">
        <w:rPr>
          <w:color w:val="000000" w:themeColor="text1"/>
        </w:rPr>
        <w:t>管道穿越铁路、公路的检漏装置；</w:t>
      </w:r>
      <w:r w:rsidRPr="00687B52">
        <w:rPr>
          <w:rFonts w:hint="eastAsia"/>
          <w:color w:val="000000" w:themeColor="text1"/>
        </w:rPr>
        <w:t>⑤</w:t>
      </w:r>
      <w:r w:rsidRPr="00687B52">
        <w:rPr>
          <w:color w:val="000000" w:themeColor="text1"/>
        </w:rPr>
        <w:t>管道的其他附属设施</w:t>
      </w:r>
      <w:r w:rsidRPr="00687B52">
        <w:rPr>
          <w:rFonts w:hint="eastAsia"/>
          <w:color w:val="000000" w:themeColor="text1"/>
        </w:rPr>
        <w:t>。</w:t>
      </w:r>
    </w:p>
    <w:p w:rsidR="000E02C5" w:rsidRPr="00687B52" w:rsidRDefault="000E02C5" w:rsidP="00D9787F">
      <w:pPr>
        <w:pStyle w:val="ab"/>
        <w:numPr>
          <w:ilvl w:val="0"/>
          <w:numId w:val="132"/>
        </w:numPr>
        <w:adjustRightInd w:val="0"/>
        <w:snapToGrid w:val="0"/>
        <w:spacing w:line="360" w:lineRule="exact"/>
        <w:ind w:left="420" w:hangingChars="200" w:hanging="420"/>
        <w:jc w:val="left"/>
        <w:rPr>
          <w:rFonts w:asciiTheme="minorEastAsia" w:hAnsiTheme="minorEastAsia"/>
          <w:color w:val="000000" w:themeColor="text1"/>
          <w:szCs w:val="21"/>
        </w:rPr>
      </w:pPr>
      <w:r w:rsidRPr="00687B52">
        <w:rPr>
          <w:rFonts w:hint="eastAsia"/>
          <w:color w:val="000000" w:themeColor="text1"/>
        </w:rPr>
        <w:t>弹性敷设是指管道在外力或自重作用下产生弹性弯曲变形，利用这种变形进行管道敷设的一种方式。</w:t>
      </w:r>
    </w:p>
    <w:p w:rsidR="000E02C5" w:rsidRPr="00687B52" w:rsidRDefault="000E02C5" w:rsidP="00D9787F">
      <w:pPr>
        <w:pStyle w:val="ab"/>
        <w:numPr>
          <w:ilvl w:val="0"/>
          <w:numId w:val="132"/>
        </w:numPr>
        <w:adjustRightInd w:val="0"/>
        <w:snapToGrid w:val="0"/>
        <w:spacing w:line="360" w:lineRule="exact"/>
        <w:ind w:left="420" w:hangingChars="200" w:hanging="420"/>
        <w:jc w:val="left"/>
        <w:rPr>
          <w:rFonts w:asciiTheme="minorEastAsia" w:hAnsiTheme="minorEastAsia"/>
          <w:color w:val="000000" w:themeColor="text1"/>
          <w:szCs w:val="21"/>
        </w:rPr>
      </w:pPr>
      <w:r w:rsidRPr="00687B52">
        <w:rPr>
          <w:rFonts w:hint="eastAsia"/>
          <w:color w:val="000000" w:themeColor="text1"/>
        </w:rPr>
        <w:t>管道跨越过程是指输送管道从天然或人工障碍物上部架空通过的建设工程。</w:t>
      </w:r>
    </w:p>
    <w:p w:rsidR="000E02C5" w:rsidRPr="00687B52" w:rsidRDefault="000E02C5" w:rsidP="00D9787F">
      <w:pPr>
        <w:pStyle w:val="ab"/>
        <w:numPr>
          <w:ilvl w:val="0"/>
          <w:numId w:val="132"/>
        </w:numPr>
        <w:adjustRightInd w:val="0"/>
        <w:snapToGrid w:val="0"/>
        <w:spacing w:line="360" w:lineRule="exact"/>
        <w:ind w:left="420" w:hangingChars="200" w:hanging="420"/>
        <w:jc w:val="left"/>
        <w:rPr>
          <w:color w:val="000000" w:themeColor="text1"/>
        </w:rPr>
        <w:sectPr w:rsidR="000E02C5" w:rsidRPr="00687B52" w:rsidSect="00D22E6D">
          <w:footerReference w:type="default" r:id="rId63"/>
          <w:pgSz w:w="16838" w:h="11906" w:orient="landscape"/>
          <w:pgMar w:top="1457" w:right="1780" w:bottom="1457" w:left="1780" w:header="851" w:footer="907" w:gutter="0"/>
          <w:cols w:space="425"/>
          <w:docGrid w:type="lines" w:linePitch="312"/>
        </w:sectPr>
      </w:pPr>
      <w:r w:rsidRPr="00687B52">
        <w:rPr>
          <w:rFonts w:hint="eastAsia"/>
          <w:color w:val="000000" w:themeColor="text1"/>
        </w:rPr>
        <w:t>管道穿越工程是指管道从天然或人工障碍物下部通过的建设工程。</w:t>
      </w:r>
    </w:p>
    <w:p w:rsidR="000E02C5" w:rsidRPr="00687B52" w:rsidRDefault="00552F8F" w:rsidP="00552F8F">
      <w:pPr>
        <w:pStyle w:val="aff3"/>
        <w:numPr>
          <w:ilvl w:val="0"/>
          <w:numId w:val="0"/>
        </w:numPr>
        <w:rPr>
          <w:color w:val="000000" w:themeColor="text1"/>
          <w:szCs w:val="28"/>
        </w:rPr>
      </w:pPr>
      <w:bookmarkStart w:id="63" w:name="_Toc492634907"/>
      <w:r w:rsidRPr="00687B52">
        <w:rPr>
          <w:rFonts w:hint="eastAsia"/>
          <w:color w:val="000000" w:themeColor="text1"/>
        </w:rPr>
        <w:t>表</w:t>
      </w:r>
      <w:r w:rsidRPr="00687B52">
        <w:rPr>
          <w:rFonts w:hint="eastAsia"/>
          <w:color w:val="000000" w:themeColor="text1"/>
        </w:rPr>
        <w:t>3-6.1</w:t>
      </w:r>
      <w:r w:rsidRPr="00687B52">
        <w:rPr>
          <w:rFonts w:hint="eastAsia"/>
          <w:color w:val="000000" w:themeColor="text1"/>
        </w:rPr>
        <w:t>危险化学品储存、经营企业专业检查表</w:t>
      </w:r>
      <w:r w:rsidR="008C3BBE" w:rsidRPr="00687B52">
        <w:rPr>
          <w:rFonts w:hint="eastAsia"/>
          <w:color w:val="000000" w:themeColor="text1"/>
        </w:rPr>
        <w:t>（</w:t>
      </w:r>
      <w:r w:rsidR="000E02C5" w:rsidRPr="00687B52">
        <w:rPr>
          <w:rFonts w:hint="eastAsia"/>
          <w:color w:val="000000" w:themeColor="text1"/>
          <w:szCs w:val="28"/>
        </w:rPr>
        <w:t>气体充装</w:t>
      </w:r>
      <w:r w:rsidRPr="00687B52">
        <w:rPr>
          <w:rFonts w:hint="eastAsia"/>
          <w:color w:val="000000" w:themeColor="text1"/>
          <w:szCs w:val="28"/>
        </w:rPr>
        <w:t>-</w:t>
      </w:r>
      <w:r w:rsidR="000E02C5" w:rsidRPr="00687B52">
        <w:rPr>
          <w:rFonts w:hint="eastAsia"/>
          <w:color w:val="000000" w:themeColor="text1"/>
          <w:szCs w:val="28"/>
        </w:rPr>
        <w:t>氧、氮、氩等）</w:t>
      </w:r>
      <w:bookmarkEnd w:id="63"/>
    </w:p>
    <w:p w:rsidR="000E02C5" w:rsidRPr="00687B52" w:rsidRDefault="000E02C5" w:rsidP="0000642E">
      <w:pPr>
        <w:adjustRightInd w:val="0"/>
        <w:snapToGrid w:val="0"/>
        <w:spacing w:line="480" w:lineRule="exact"/>
        <w:jc w:val="left"/>
        <w:rPr>
          <w:rFonts w:ascii="黑体" w:eastAsia="黑体" w:hAnsi="黑体"/>
          <w:color w:val="000000" w:themeColor="text1"/>
          <w:sz w:val="28"/>
          <w:szCs w:val="28"/>
        </w:rPr>
      </w:pPr>
      <w:r w:rsidRPr="00687B52">
        <w:rPr>
          <w:rFonts w:ascii="宋体" w:hAnsi="宋体" w:cs="宋体" w:hint="eastAsia"/>
          <w:bCs/>
          <w:color w:val="000000" w:themeColor="text1"/>
          <w:sz w:val="24"/>
          <w:szCs w:val="24"/>
        </w:rPr>
        <w:t>本表适用于氧气、氮气、氩气等气体充装企业（不含生产、使用）</w:t>
      </w:r>
      <w:r w:rsidRPr="00687B52">
        <w:rPr>
          <w:rFonts w:ascii="宋体" w:hAnsi="宋体" w:cs="宋体" w:hint="eastAsia"/>
          <w:color w:val="000000" w:themeColor="text1"/>
          <w:sz w:val="24"/>
          <w:szCs w:val="24"/>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2"/>
        <w:gridCol w:w="2648"/>
        <w:gridCol w:w="1417"/>
        <w:gridCol w:w="1417"/>
        <w:gridCol w:w="1134"/>
        <w:gridCol w:w="3354"/>
        <w:gridCol w:w="3342"/>
      </w:tblGrid>
      <w:tr w:rsidR="000E02C5" w:rsidRPr="00687B52" w:rsidTr="00552F8F">
        <w:trPr>
          <w:tblHeade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序号</w:t>
            </w:r>
          </w:p>
        </w:tc>
        <w:tc>
          <w:tcPr>
            <w:tcW w:w="2334" w:type="pct"/>
            <w:gridSpan w:val="4"/>
            <w:vAlign w:val="center"/>
          </w:tcPr>
          <w:p w:rsidR="000E02C5" w:rsidRPr="00687B52" w:rsidRDefault="000E02C5" w:rsidP="00B527D4">
            <w:pPr>
              <w:pStyle w:val="a7"/>
              <w:rPr>
                <w:rFonts w:ascii="宋体" w:hAnsi="宋体"/>
                <w:color w:val="000000" w:themeColor="text1"/>
                <w:szCs w:val="24"/>
              </w:rPr>
            </w:pPr>
            <w:r w:rsidRPr="00687B52">
              <w:rPr>
                <w:rFonts w:ascii="宋体" w:hAnsi="宋体" w:hint="eastAsia"/>
                <w:color w:val="000000" w:themeColor="text1"/>
                <w:szCs w:val="24"/>
              </w:rPr>
              <w:t>标准要求</w:t>
            </w:r>
          </w:p>
        </w:tc>
        <w:tc>
          <w:tcPr>
            <w:tcW w:w="1183" w:type="pct"/>
            <w:vAlign w:val="center"/>
          </w:tcPr>
          <w:p w:rsidR="000E02C5" w:rsidRPr="00687B52" w:rsidRDefault="000E02C5" w:rsidP="00B527D4">
            <w:pPr>
              <w:pStyle w:val="a7"/>
              <w:rPr>
                <w:rFonts w:ascii="宋体" w:hAnsi="宋体"/>
                <w:color w:val="000000" w:themeColor="text1"/>
                <w:szCs w:val="24"/>
              </w:rPr>
            </w:pPr>
            <w:r w:rsidRPr="00687B52">
              <w:rPr>
                <w:rFonts w:ascii="宋体" w:hAnsi="宋体" w:hint="eastAsia"/>
                <w:color w:val="000000" w:themeColor="text1"/>
                <w:szCs w:val="24"/>
              </w:rPr>
              <w:t>检查依据</w:t>
            </w:r>
          </w:p>
        </w:tc>
        <w:tc>
          <w:tcPr>
            <w:tcW w:w="1179" w:type="pct"/>
            <w:tcBorders>
              <w:right w:val="single" w:sz="4" w:space="0" w:color="auto"/>
            </w:tcBorders>
            <w:vAlign w:val="center"/>
          </w:tcPr>
          <w:p w:rsidR="000E02C5" w:rsidRPr="00687B52" w:rsidRDefault="000E02C5" w:rsidP="00B527D4">
            <w:pPr>
              <w:pStyle w:val="a7"/>
              <w:rPr>
                <w:rFonts w:ascii="宋体" w:hAnsi="宋体"/>
                <w:color w:val="000000" w:themeColor="text1"/>
                <w:szCs w:val="24"/>
              </w:rPr>
            </w:pPr>
            <w:r w:rsidRPr="00687B52">
              <w:rPr>
                <w:rFonts w:ascii="宋体" w:hAnsi="宋体" w:hint="eastAsia"/>
                <w:color w:val="000000" w:themeColor="text1"/>
                <w:szCs w:val="24"/>
              </w:rPr>
              <w:t>实际情况</w:t>
            </w:r>
          </w:p>
        </w:tc>
      </w:tr>
      <w:tr w:rsidR="000E02C5" w:rsidRPr="00687B52" w:rsidTr="00552F8F">
        <w:trPr>
          <w:jc w:val="center"/>
        </w:trPr>
        <w:tc>
          <w:tcPr>
            <w:tcW w:w="304" w:type="pct"/>
            <w:vAlign w:val="center"/>
          </w:tcPr>
          <w:p w:rsidR="000E02C5" w:rsidRPr="00687B52" w:rsidRDefault="000E02C5" w:rsidP="00552F8F">
            <w:pPr>
              <w:pStyle w:val="a7"/>
              <w:rPr>
                <w:rFonts w:ascii="宋体" w:hAnsi="宋体"/>
                <w:b/>
                <w:color w:val="000000" w:themeColor="text1"/>
                <w:szCs w:val="24"/>
              </w:rPr>
            </w:pPr>
            <w:r w:rsidRPr="00687B52">
              <w:rPr>
                <w:rFonts w:ascii="宋体" w:hAnsi="宋体" w:hint="eastAsia"/>
                <w:b/>
                <w:color w:val="000000" w:themeColor="text1"/>
                <w:szCs w:val="24"/>
              </w:rPr>
              <w:t>1</w:t>
            </w:r>
          </w:p>
        </w:tc>
        <w:tc>
          <w:tcPr>
            <w:tcW w:w="2334" w:type="pct"/>
            <w:gridSpan w:val="4"/>
            <w:tcBorders>
              <w:right w:val="single" w:sz="4" w:space="0" w:color="auto"/>
            </w:tcBorders>
            <w:vAlign w:val="center"/>
          </w:tcPr>
          <w:p w:rsidR="000E02C5" w:rsidRPr="00687B52" w:rsidRDefault="000E02C5" w:rsidP="00B527D4">
            <w:pPr>
              <w:pStyle w:val="a7"/>
              <w:jc w:val="left"/>
              <w:rPr>
                <w:rFonts w:ascii="宋体" w:hAnsi="宋体"/>
                <w:b/>
                <w:color w:val="000000" w:themeColor="text1"/>
                <w:szCs w:val="24"/>
              </w:rPr>
            </w:pPr>
            <w:r w:rsidRPr="00687B52">
              <w:rPr>
                <w:rFonts w:ascii="宋体" w:hAnsi="宋体" w:hint="eastAsia"/>
                <w:b/>
                <w:color w:val="000000" w:themeColor="text1"/>
                <w:szCs w:val="24"/>
              </w:rPr>
              <w:t>选址、布置与建筑</w:t>
            </w:r>
          </w:p>
        </w:tc>
        <w:tc>
          <w:tcPr>
            <w:tcW w:w="1183" w:type="pct"/>
            <w:tcBorders>
              <w:right w:val="single" w:sz="4" w:space="0" w:color="auto"/>
            </w:tcBorders>
            <w:vAlign w:val="center"/>
          </w:tcPr>
          <w:p w:rsidR="000E02C5" w:rsidRPr="00687B52" w:rsidRDefault="000E02C5" w:rsidP="00B527D4">
            <w:pPr>
              <w:pStyle w:val="a7"/>
              <w:jc w:val="left"/>
              <w:rPr>
                <w:rFonts w:ascii="宋体" w:hAnsi="宋体"/>
                <w:b/>
                <w:color w:val="000000" w:themeColor="text1"/>
                <w:szCs w:val="24"/>
              </w:rPr>
            </w:pPr>
          </w:p>
        </w:tc>
        <w:tc>
          <w:tcPr>
            <w:tcW w:w="1179" w:type="pct"/>
            <w:tcBorders>
              <w:right w:val="single" w:sz="4" w:space="0" w:color="auto"/>
            </w:tcBorders>
            <w:vAlign w:val="center"/>
          </w:tcPr>
          <w:p w:rsidR="000E02C5" w:rsidRPr="00687B52" w:rsidRDefault="000E02C5" w:rsidP="00B527D4">
            <w:pPr>
              <w:pStyle w:val="a7"/>
              <w:jc w:val="left"/>
              <w:rPr>
                <w:rFonts w:ascii="宋体" w:hAnsi="宋体"/>
                <w:b/>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1.1</w:t>
            </w:r>
          </w:p>
        </w:tc>
        <w:tc>
          <w:tcPr>
            <w:tcW w:w="2334" w:type="pct"/>
            <w:gridSpan w:val="4"/>
            <w:vAlign w:val="center"/>
          </w:tcPr>
          <w:p w:rsidR="000E02C5" w:rsidRPr="00687B52" w:rsidRDefault="000E02C5" w:rsidP="00514736">
            <w:pPr>
              <w:spacing w:line="320" w:lineRule="exact"/>
              <w:jc w:val="left"/>
              <w:rPr>
                <w:rFonts w:ascii="宋体" w:hAnsi="宋体" w:cs="宋体"/>
                <w:bCs/>
                <w:color w:val="000000" w:themeColor="text1"/>
                <w:sz w:val="24"/>
                <w:szCs w:val="24"/>
              </w:rPr>
            </w:pPr>
            <w:r w:rsidRPr="00687B52">
              <w:rPr>
                <w:rFonts w:ascii="宋体" w:hAnsi="宋体" w:cs="宋体"/>
                <w:bCs/>
                <w:color w:val="000000" w:themeColor="text1"/>
                <w:sz w:val="24"/>
                <w:szCs w:val="24"/>
              </w:rPr>
              <w:t>厂址应位于不受洪水、潮水或内涝威胁的地带，并应符合下列规定：</w:t>
            </w:r>
          </w:p>
          <w:p w:rsidR="000E02C5" w:rsidRPr="00687B52" w:rsidRDefault="000E02C5" w:rsidP="00484714">
            <w:pPr>
              <w:spacing w:line="320" w:lineRule="exact"/>
              <w:jc w:val="left"/>
              <w:rPr>
                <w:rFonts w:ascii="Times New Roman" w:hAnsi="Times New Roman"/>
                <w:color w:val="000000" w:themeColor="text1"/>
                <w:sz w:val="24"/>
                <w:szCs w:val="24"/>
                <w:highlight w:val="green"/>
              </w:rPr>
            </w:pPr>
            <w:r w:rsidRPr="00687B52">
              <w:rPr>
                <w:rFonts w:ascii="宋体" w:hAnsi="宋体" w:cs="宋体" w:hint="eastAsia"/>
                <w:bCs/>
                <w:color w:val="000000" w:themeColor="text1"/>
                <w:sz w:val="24"/>
                <w:szCs w:val="24"/>
              </w:rPr>
              <w:t>1 当厂址不可避免不受洪水、潮水、或内涝威胁的地带时，必 须采取防洪、排涝 措施</w:t>
            </w:r>
            <w:r w:rsidR="00484714" w:rsidRPr="00687B52">
              <w:rPr>
                <w:rFonts w:ascii="宋体" w:hAnsi="宋体" w:cs="宋体" w:hint="eastAsia"/>
                <w:bCs/>
                <w:color w:val="000000" w:themeColor="text1"/>
                <w:sz w:val="24"/>
                <w:szCs w:val="24"/>
              </w:rPr>
              <w:t>.</w:t>
            </w:r>
          </w:p>
        </w:tc>
        <w:tc>
          <w:tcPr>
            <w:tcW w:w="1183" w:type="pct"/>
            <w:vAlign w:val="center"/>
          </w:tcPr>
          <w:p w:rsidR="000E02C5" w:rsidRPr="00687B52" w:rsidRDefault="000E02C5" w:rsidP="00514736">
            <w:pPr>
              <w:pStyle w:val="a7"/>
              <w:rPr>
                <w:rFonts w:ascii="宋体" w:hAnsi="宋体"/>
                <w:bCs/>
                <w:color w:val="000000" w:themeColor="text1"/>
                <w:szCs w:val="24"/>
              </w:rPr>
            </w:pPr>
            <w:r w:rsidRPr="00687B52">
              <w:rPr>
                <w:rFonts w:ascii="宋体" w:hAnsi="宋体"/>
                <w:bCs/>
                <w:color w:val="000000" w:themeColor="text1"/>
                <w:szCs w:val="24"/>
              </w:rPr>
              <w:t>《工业企业总平面设计规范 》</w:t>
            </w:r>
            <w:r w:rsidRPr="00687B52">
              <w:rPr>
                <w:rFonts w:ascii="宋体" w:hAnsi="宋体"/>
                <w:bCs/>
                <w:color w:val="000000" w:themeColor="text1"/>
                <w:szCs w:val="24"/>
              </w:rPr>
              <w:br w:type="column"/>
              <w:t>GB50187-2012</w:t>
            </w:r>
            <w:r w:rsidRPr="00687B52">
              <w:rPr>
                <w:rFonts w:ascii="宋体" w:hAnsi="宋体" w:hint="eastAsia"/>
                <w:bCs/>
                <w:color w:val="000000" w:themeColor="text1"/>
                <w:szCs w:val="24"/>
              </w:rPr>
              <w:t>第3.0.12条</w:t>
            </w:r>
          </w:p>
        </w:tc>
        <w:tc>
          <w:tcPr>
            <w:tcW w:w="1179" w:type="pct"/>
            <w:vAlign w:val="center"/>
          </w:tcPr>
          <w:p w:rsidR="000E02C5" w:rsidRPr="00687B52" w:rsidRDefault="000E02C5" w:rsidP="00B527D4">
            <w:pPr>
              <w:rPr>
                <w:rFonts w:ascii="宋体" w:hAnsi="宋体"/>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1.2</w:t>
            </w:r>
          </w:p>
        </w:tc>
        <w:tc>
          <w:tcPr>
            <w:tcW w:w="2334" w:type="pct"/>
            <w:gridSpan w:val="4"/>
            <w:vAlign w:val="center"/>
          </w:tcPr>
          <w:p w:rsidR="000E02C5" w:rsidRPr="00687B52" w:rsidRDefault="000E02C5" w:rsidP="00514736">
            <w:pPr>
              <w:spacing w:line="320" w:lineRule="exact"/>
              <w:jc w:val="left"/>
              <w:rPr>
                <w:rFonts w:ascii="宋体" w:hAnsi="宋体" w:cs="宋体"/>
                <w:bCs/>
                <w:color w:val="000000" w:themeColor="text1"/>
                <w:sz w:val="24"/>
                <w:szCs w:val="24"/>
              </w:rPr>
            </w:pPr>
            <w:r w:rsidRPr="00687B52">
              <w:rPr>
                <w:rFonts w:ascii="宋体" w:hAnsi="宋体" w:cs="宋体" w:hint="eastAsia"/>
                <w:bCs/>
                <w:color w:val="000000" w:themeColor="text1"/>
                <w:sz w:val="24"/>
                <w:szCs w:val="24"/>
              </w:rPr>
              <w:t>山区建厂，当厂址位于山坡或山脚处时，应采取防止山 洪、泥石流等</w:t>
            </w:r>
          </w:p>
          <w:p w:rsidR="000E02C5" w:rsidRPr="00687B52" w:rsidRDefault="000E02C5" w:rsidP="00514736">
            <w:pPr>
              <w:spacing w:line="320" w:lineRule="exact"/>
              <w:jc w:val="left"/>
              <w:rPr>
                <w:rFonts w:ascii="宋体" w:hAnsi="宋体" w:cs="Arial"/>
                <w:color w:val="000000" w:themeColor="text1"/>
                <w:sz w:val="24"/>
                <w:szCs w:val="24"/>
              </w:rPr>
            </w:pPr>
            <w:r w:rsidRPr="00687B52">
              <w:rPr>
                <w:rFonts w:ascii="宋体" w:hAnsi="宋体" w:cs="宋体" w:hint="eastAsia"/>
                <w:bCs/>
                <w:color w:val="000000" w:themeColor="text1"/>
                <w:sz w:val="24"/>
                <w:szCs w:val="24"/>
              </w:rPr>
              <w:t>自然灾害的危害的加固措施，应对山坡的稳定性等作 出地质灾害 的危险性评估报告。</w:t>
            </w:r>
          </w:p>
        </w:tc>
        <w:tc>
          <w:tcPr>
            <w:tcW w:w="1183" w:type="pct"/>
            <w:vAlign w:val="center"/>
          </w:tcPr>
          <w:p w:rsidR="000E02C5" w:rsidRPr="00687B52" w:rsidRDefault="000E02C5" w:rsidP="00514736">
            <w:pPr>
              <w:pStyle w:val="a7"/>
              <w:rPr>
                <w:rFonts w:ascii="宋体" w:hAnsi="宋体"/>
                <w:bCs/>
                <w:color w:val="000000" w:themeColor="text1"/>
                <w:szCs w:val="24"/>
              </w:rPr>
            </w:pPr>
            <w:r w:rsidRPr="00687B52">
              <w:rPr>
                <w:rFonts w:ascii="宋体" w:hAnsi="宋体"/>
                <w:bCs/>
                <w:color w:val="000000" w:themeColor="text1"/>
                <w:szCs w:val="24"/>
              </w:rPr>
              <w:t>《工业企业总平面设计规范 》</w:t>
            </w:r>
            <w:r w:rsidRPr="00687B52">
              <w:rPr>
                <w:rFonts w:ascii="宋体" w:hAnsi="宋体"/>
                <w:bCs/>
                <w:color w:val="000000" w:themeColor="text1"/>
                <w:szCs w:val="24"/>
              </w:rPr>
              <w:br w:type="column"/>
              <w:t>GB50187-2012</w:t>
            </w:r>
            <w:r w:rsidRPr="00687B52">
              <w:rPr>
                <w:rFonts w:ascii="宋体" w:hAnsi="宋体" w:hint="eastAsia"/>
                <w:bCs/>
                <w:color w:val="000000" w:themeColor="text1"/>
                <w:szCs w:val="24"/>
              </w:rPr>
              <w:t>第3.0.13条</w:t>
            </w:r>
          </w:p>
        </w:tc>
        <w:tc>
          <w:tcPr>
            <w:tcW w:w="1179" w:type="pct"/>
            <w:vAlign w:val="center"/>
          </w:tcPr>
          <w:p w:rsidR="000E02C5" w:rsidRPr="00687B52" w:rsidRDefault="000E02C5" w:rsidP="00B527D4">
            <w:pPr>
              <w:rPr>
                <w:rFonts w:ascii="宋体" w:hAnsi="宋体"/>
                <w:color w:val="000000" w:themeColor="text1"/>
                <w:sz w:val="24"/>
                <w:szCs w:val="24"/>
                <w:highlight w:val="green"/>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1.3</w:t>
            </w:r>
          </w:p>
        </w:tc>
        <w:tc>
          <w:tcPr>
            <w:tcW w:w="2334" w:type="pct"/>
            <w:gridSpan w:val="4"/>
            <w:vAlign w:val="center"/>
          </w:tcPr>
          <w:p w:rsidR="000E02C5" w:rsidRPr="00687B52" w:rsidRDefault="000E02C5" w:rsidP="00514736">
            <w:pPr>
              <w:spacing w:before="100" w:line="320" w:lineRule="exact"/>
              <w:jc w:val="left"/>
              <w:rPr>
                <w:rFonts w:ascii="Times New Roman" w:hAnsi="Times New Roman"/>
                <w:color w:val="000000" w:themeColor="text1"/>
                <w:sz w:val="24"/>
                <w:szCs w:val="24"/>
              </w:rPr>
            </w:pPr>
            <w:r w:rsidRPr="00687B52">
              <w:rPr>
                <w:rFonts w:ascii="Times New Roman" w:hAnsi="Times New Roman"/>
                <w:color w:val="000000" w:themeColor="text1"/>
                <w:sz w:val="24"/>
                <w:szCs w:val="24"/>
              </w:rPr>
              <w:t>下列地段和地区不应选为厂址：</w:t>
            </w:r>
          </w:p>
          <w:p w:rsidR="000E02C5" w:rsidRPr="00687B52" w:rsidRDefault="000E02C5" w:rsidP="00514736">
            <w:pPr>
              <w:spacing w:line="320" w:lineRule="exact"/>
              <w:jc w:val="left"/>
              <w:outlineLvl w:val="0"/>
              <w:rPr>
                <w:rFonts w:ascii="宋体" w:hAnsi="宋体" w:cs="宋体"/>
                <w:color w:val="000000" w:themeColor="text1"/>
                <w:sz w:val="24"/>
                <w:szCs w:val="24"/>
              </w:rPr>
            </w:pPr>
            <w:r w:rsidRPr="00687B52">
              <w:rPr>
                <w:rFonts w:ascii="宋体" w:hAnsi="宋体" w:cs="宋体" w:hint="eastAsia"/>
                <w:bCs/>
                <w:color w:val="000000" w:themeColor="text1"/>
                <w:sz w:val="24"/>
                <w:szCs w:val="24"/>
              </w:rPr>
              <w:t xml:space="preserve">1）发震断层和抗震设防烈度为9度及高于9度的地震区； </w:t>
            </w:r>
          </w:p>
          <w:p w:rsidR="000E02C5" w:rsidRPr="00687B52" w:rsidRDefault="000E02C5" w:rsidP="00514736">
            <w:pPr>
              <w:spacing w:line="320" w:lineRule="exact"/>
              <w:jc w:val="left"/>
              <w:rPr>
                <w:rFonts w:ascii="宋体" w:hAnsi="宋体" w:cs="宋体"/>
                <w:color w:val="000000" w:themeColor="text1"/>
                <w:sz w:val="24"/>
                <w:szCs w:val="24"/>
              </w:rPr>
            </w:pPr>
            <w:r w:rsidRPr="00687B52">
              <w:rPr>
                <w:rFonts w:ascii="宋体" w:hAnsi="宋体" w:cs="宋体" w:hint="eastAsia"/>
                <w:bCs/>
                <w:color w:val="000000" w:themeColor="text1"/>
                <w:sz w:val="24"/>
                <w:szCs w:val="24"/>
              </w:rPr>
              <w:t>2）有泥石流、滑坡、流沙、溶洞等直接危害的 地段；</w:t>
            </w:r>
          </w:p>
          <w:p w:rsidR="000E02C5" w:rsidRPr="00687B52" w:rsidRDefault="000E02C5" w:rsidP="00514736">
            <w:pPr>
              <w:spacing w:line="320" w:lineRule="exact"/>
              <w:jc w:val="left"/>
              <w:rPr>
                <w:rFonts w:ascii="宋体" w:hAnsi="宋体" w:cs="宋体"/>
                <w:color w:val="000000" w:themeColor="text1"/>
                <w:sz w:val="24"/>
                <w:szCs w:val="24"/>
              </w:rPr>
            </w:pPr>
            <w:r w:rsidRPr="00687B52">
              <w:rPr>
                <w:rFonts w:ascii="宋体" w:hAnsi="宋体" w:cs="宋体" w:hint="eastAsia"/>
                <w:bCs/>
                <w:color w:val="000000" w:themeColor="text1"/>
                <w:sz w:val="24"/>
                <w:szCs w:val="24"/>
              </w:rPr>
              <w:t>3）采矿陷落（错动）区地表界限内；</w:t>
            </w:r>
          </w:p>
          <w:p w:rsidR="000E02C5" w:rsidRPr="00687B52" w:rsidRDefault="000E02C5" w:rsidP="00514736">
            <w:pPr>
              <w:spacing w:line="320" w:lineRule="exact"/>
              <w:jc w:val="left"/>
              <w:rPr>
                <w:rFonts w:ascii="宋体" w:hAnsi="宋体" w:cs="宋体"/>
                <w:color w:val="000000" w:themeColor="text1"/>
                <w:sz w:val="24"/>
                <w:szCs w:val="24"/>
              </w:rPr>
            </w:pPr>
            <w:r w:rsidRPr="00687B52">
              <w:rPr>
                <w:rFonts w:ascii="宋体" w:hAnsi="宋体" w:cs="宋体" w:hint="eastAsia"/>
                <w:bCs/>
                <w:color w:val="000000" w:themeColor="text1"/>
                <w:sz w:val="24"/>
                <w:szCs w:val="24"/>
              </w:rPr>
              <w:t>4）爆破危险界限内；</w:t>
            </w:r>
          </w:p>
          <w:p w:rsidR="000E02C5" w:rsidRPr="00687B52" w:rsidRDefault="000E02C5" w:rsidP="00514736">
            <w:pPr>
              <w:spacing w:line="320" w:lineRule="exact"/>
              <w:jc w:val="left"/>
              <w:rPr>
                <w:rFonts w:ascii="宋体" w:hAnsi="宋体" w:cs="宋体"/>
                <w:bCs/>
                <w:color w:val="000000" w:themeColor="text1"/>
                <w:sz w:val="24"/>
                <w:szCs w:val="24"/>
              </w:rPr>
            </w:pPr>
            <w:r w:rsidRPr="00687B52">
              <w:rPr>
                <w:rFonts w:ascii="宋体" w:hAnsi="宋体" w:cs="宋体" w:hint="eastAsia"/>
                <w:bCs/>
                <w:color w:val="000000" w:themeColor="text1"/>
                <w:sz w:val="24"/>
                <w:szCs w:val="24"/>
              </w:rPr>
              <w:t>5）坝或堤决溃后可能淹没的地区；</w:t>
            </w:r>
          </w:p>
          <w:p w:rsidR="000E02C5" w:rsidRPr="00687B52" w:rsidRDefault="000E02C5" w:rsidP="00514736">
            <w:pPr>
              <w:spacing w:line="320" w:lineRule="exact"/>
              <w:jc w:val="left"/>
              <w:rPr>
                <w:rFonts w:ascii="宋体" w:hAnsi="宋体" w:cs="宋体"/>
                <w:color w:val="000000" w:themeColor="text1"/>
                <w:sz w:val="24"/>
                <w:szCs w:val="24"/>
              </w:rPr>
            </w:pPr>
            <w:r w:rsidRPr="00687B52">
              <w:rPr>
                <w:rFonts w:ascii="宋体" w:hAnsi="宋体" w:cs="宋体" w:hint="eastAsia"/>
                <w:bCs/>
                <w:color w:val="000000" w:themeColor="text1"/>
                <w:sz w:val="24"/>
                <w:szCs w:val="24"/>
              </w:rPr>
              <w:t>6）有严重放射性物质污染影响区；</w:t>
            </w:r>
          </w:p>
          <w:p w:rsidR="000E02C5" w:rsidRPr="00687B52" w:rsidRDefault="000E02C5" w:rsidP="00514736">
            <w:pPr>
              <w:spacing w:line="320" w:lineRule="exact"/>
              <w:jc w:val="left"/>
              <w:rPr>
                <w:rFonts w:ascii="宋体" w:hAnsi="宋体" w:cs="宋体"/>
                <w:color w:val="000000" w:themeColor="text1"/>
                <w:sz w:val="24"/>
                <w:szCs w:val="24"/>
              </w:rPr>
            </w:pPr>
            <w:r w:rsidRPr="00687B52">
              <w:rPr>
                <w:rFonts w:ascii="宋体" w:hAnsi="宋体" w:cs="宋体" w:hint="eastAsia"/>
                <w:bCs/>
                <w:color w:val="000000" w:themeColor="text1"/>
                <w:sz w:val="24"/>
                <w:szCs w:val="24"/>
              </w:rPr>
              <w:t>7）生活居住区、文教区、水源保护区、名胜古迹、风景游览区、温泉、疗养区、自然保护区和其它需要特别保护的区域；</w:t>
            </w:r>
          </w:p>
          <w:p w:rsidR="000E02C5" w:rsidRPr="00687B52" w:rsidRDefault="000E02C5" w:rsidP="00514736">
            <w:pPr>
              <w:spacing w:line="320" w:lineRule="exact"/>
              <w:jc w:val="left"/>
              <w:rPr>
                <w:rFonts w:ascii="宋体" w:hAnsi="宋体" w:cs="Arial"/>
                <w:color w:val="000000" w:themeColor="text1"/>
                <w:sz w:val="24"/>
                <w:szCs w:val="24"/>
              </w:rPr>
            </w:pPr>
            <w:r w:rsidRPr="00687B52">
              <w:rPr>
                <w:rFonts w:ascii="宋体" w:hAnsi="宋体" w:cs="宋体" w:hint="eastAsia"/>
                <w:bCs/>
                <w:color w:val="000000" w:themeColor="text1"/>
                <w:sz w:val="24"/>
                <w:szCs w:val="24"/>
              </w:rPr>
              <w:t>8）对飞机起落、电台 通讯、电 视转播、雷达导航和重要的天文、气象、地震观察以及军事设施等规定有影响的范围内。</w:t>
            </w:r>
          </w:p>
        </w:tc>
        <w:tc>
          <w:tcPr>
            <w:tcW w:w="1183" w:type="pct"/>
            <w:vAlign w:val="center"/>
          </w:tcPr>
          <w:p w:rsidR="000E02C5" w:rsidRPr="00687B52" w:rsidRDefault="000E02C5" w:rsidP="00514736">
            <w:pPr>
              <w:pStyle w:val="a7"/>
              <w:rPr>
                <w:rFonts w:ascii="宋体" w:hAnsi="宋体"/>
                <w:bCs/>
                <w:color w:val="000000" w:themeColor="text1"/>
                <w:szCs w:val="24"/>
              </w:rPr>
            </w:pPr>
            <w:r w:rsidRPr="00687B52">
              <w:rPr>
                <w:rFonts w:ascii="宋体" w:hAnsi="宋体"/>
                <w:bCs/>
                <w:color w:val="000000" w:themeColor="text1"/>
                <w:szCs w:val="24"/>
              </w:rPr>
              <w:t>《工业企业总平面设计规范 》</w:t>
            </w:r>
            <w:r w:rsidRPr="00687B52">
              <w:rPr>
                <w:rFonts w:ascii="宋体" w:hAnsi="宋体"/>
                <w:bCs/>
                <w:color w:val="000000" w:themeColor="text1"/>
                <w:szCs w:val="24"/>
              </w:rPr>
              <w:br w:type="column"/>
              <w:t>GB50187-2012</w:t>
            </w:r>
            <w:r w:rsidRPr="00687B52">
              <w:rPr>
                <w:rFonts w:ascii="宋体" w:hAnsi="宋体" w:hint="eastAsia"/>
                <w:bCs/>
                <w:color w:val="000000" w:themeColor="text1"/>
                <w:szCs w:val="24"/>
              </w:rPr>
              <w:t>第3.0.14条</w:t>
            </w:r>
          </w:p>
        </w:tc>
        <w:tc>
          <w:tcPr>
            <w:tcW w:w="1179" w:type="pct"/>
            <w:vAlign w:val="center"/>
          </w:tcPr>
          <w:p w:rsidR="000E02C5" w:rsidRPr="00687B52" w:rsidRDefault="000E02C5" w:rsidP="00B527D4">
            <w:pPr>
              <w:rPr>
                <w:rFonts w:ascii="宋体" w:hAnsi="宋体"/>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1.4</w:t>
            </w:r>
          </w:p>
        </w:tc>
        <w:tc>
          <w:tcPr>
            <w:tcW w:w="2334" w:type="pct"/>
            <w:gridSpan w:val="4"/>
            <w:vAlign w:val="center"/>
          </w:tcPr>
          <w:p w:rsidR="000E02C5" w:rsidRPr="00687B52" w:rsidRDefault="000E02C5" w:rsidP="00ED5C9E">
            <w:pPr>
              <w:widowControl/>
              <w:jc w:val="left"/>
              <w:rPr>
                <w:rFonts w:ascii="宋体" w:hAnsi="宋体" w:cs="Arial"/>
                <w:bCs/>
                <w:color w:val="000000" w:themeColor="text1"/>
                <w:sz w:val="24"/>
                <w:szCs w:val="24"/>
                <w:highlight w:val="magenta"/>
              </w:rPr>
            </w:pPr>
            <w:r w:rsidRPr="00687B52">
              <w:rPr>
                <w:rFonts w:ascii="宋体" w:hAnsi="宋体" w:cs="宋体"/>
                <w:bCs/>
                <w:color w:val="000000" w:themeColor="text1"/>
                <w:kern w:val="0"/>
                <w:sz w:val="24"/>
                <w:szCs w:val="24"/>
              </w:rPr>
              <w:t>构成重大危险源的场所</w:t>
            </w:r>
            <w:r w:rsidR="00ED5C9E" w:rsidRPr="00687B52">
              <w:rPr>
                <w:rFonts w:ascii="宋体" w:hAnsi="宋体" w:cs="宋体" w:hint="eastAsia"/>
                <w:bCs/>
                <w:color w:val="000000" w:themeColor="text1"/>
                <w:kern w:val="0"/>
                <w:sz w:val="24"/>
                <w:szCs w:val="24"/>
              </w:rPr>
              <w:t>应</w:t>
            </w:r>
            <w:r w:rsidRPr="00687B52">
              <w:rPr>
                <w:rFonts w:ascii="宋体" w:hAnsi="宋体" w:cs="宋体"/>
                <w:bCs/>
                <w:color w:val="000000" w:themeColor="text1"/>
                <w:kern w:val="0"/>
                <w:sz w:val="24"/>
                <w:szCs w:val="24"/>
              </w:rPr>
              <w:t>按《危险化学品重大危险源监督管理暂行规定》（安监总局令第40号令发布，第79号修订)）确定外部安全防护距离，并计算风险；下列敏感目标是否在安全防护距离之外，个人风险和社会风险是否可接受：</w:t>
            </w:r>
            <w:r w:rsidRPr="00687B52">
              <w:rPr>
                <w:rFonts w:ascii="宋体" w:hAnsi="宋体" w:cs="宋体"/>
                <w:bCs/>
                <w:color w:val="000000" w:themeColor="text1"/>
                <w:kern w:val="0"/>
                <w:sz w:val="24"/>
                <w:szCs w:val="24"/>
              </w:rPr>
              <w:br/>
              <w:t>① 居民区、商业中心、公园等人口密集区域；</w:t>
            </w:r>
            <w:r w:rsidRPr="00687B52">
              <w:rPr>
                <w:rFonts w:ascii="宋体" w:hAnsi="宋体" w:cs="宋体"/>
                <w:bCs/>
                <w:color w:val="000000" w:themeColor="text1"/>
                <w:kern w:val="0"/>
                <w:sz w:val="24"/>
                <w:szCs w:val="24"/>
              </w:rPr>
              <w:br/>
              <w:t>② 学校、医院、影剧院、体育场（馆）等公共设施；</w:t>
            </w:r>
            <w:r w:rsidRPr="00687B52">
              <w:rPr>
                <w:rFonts w:ascii="宋体" w:hAnsi="宋体" w:cs="宋体"/>
                <w:bCs/>
                <w:color w:val="000000" w:themeColor="text1"/>
                <w:kern w:val="0"/>
                <w:sz w:val="24"/>
                <w:szCs w:val="24"/>
              </w:rPr>
              <w:br/>
              <w:t>③ 供水水源、水厂及水源保护区；</w:t>
            </w:r>
            <w:r w:rsidRPr="00687B52">
              <w:rPr>
                <w:rFonts w:ascii="宋体" w:hAnsi="宋体" w:cs="宋体"/>
                <w:bCs/>
                <w:color w:val="000000" w:themeColor="text1"/>
                <w:kern w:val="0"/>
                <w:sz w:val="24"/>
                <w:szCs w:val="24"/>
              </w:rPr>
              <w:br/>
              <w:t>④ 车站、码头（按照国家规定，经批准专门从事危险化学品装卸作业的除外）、机场以及公路、铁路、水路交通干线、地铁风亭及出入口；</w:t>
            </w:r>
            <w:r w:rsidRPr="00687B52">
              <w:rPr>
                <w:rFonts w:ascii="宋体" w:hAnsi="宋体" w:cs="宋体"/>
                <w:bCs/>
                <w:color w:val="000000" w:themeColor="text1"/>
                <w:kern w:val="0"/>
                <w:sz w:val="24"/>
                <w:szCs w:val="24"/>
              </w:rPr>
              <w:br/>
              <w:t>⑤ 基本农田保护区、畜牧区、渔业水域和种子、种畜、水产苗种生产基；</w:t>
            </w:r>
            <w:r w:rsidRPr="00687B52">
              <w:rPr>
                <w:rFonts w:ascii="宋体" w:hAnsi="宋体" w:cs="宋体"/>
                <w:bCs/>
                <w:color w:val="000000" w:themeColor="text1"/>
                <w:kern w:val="0"/>
                <w:sz w:val="24"/>
                <w:szCs w:val="24"/>
              </w:rPr>
              <w:br/>
              <w:t>⑥ 河流、湖泊、风景名胜区和自然保护区；</w:t>
            </w:r>
            <w:r w:rsidRPr="00687B52">
              <w:rPr>
                <w:rFonts w:ascii="宋体" w:hAnsi="宋体" w:cs="宋体"/>
                <w:bCs/>
                <w:color w:val="000000" w:themeColor="text1"/>
                <w:kern w:val="0"/>
                <w:sz w:val="24"/>
                <w:szCs w:val="24"/>
              </w:rPr>
              <w:br/>
              <w:t>⑦ 军事禁区、军事管理区；</w:t>
            </w:r>
            <w:r w:rsidRPr="00687B52">
              <w:rPr>
                <w:rFonts w:ascii="宋体" w:hAnsi="宋体" w:cs="宋体"/>
                <w:bCs/>
                <w:color w:val="000000" w:themeColor="text1"/>
                <w:kern w:val="0"/>
                <w:sz w:val="24"/>
                <w:szCs w:val="24"/>
              </w:rPr>
              <w:br/>
              <w:t>⑧ 法律、行政法规规定予以保护的其他区域。</w:t>
            </w:r>
          </w:p>
        </w:tc>
        <w:tc>
          <w:tcPr>
            <w:tcW w:w="1183" w:type="pct"/>
            <w:vAlign w:val="center"/>
          </w:tcPr>
          <w:p w:rsidR="000E02C5" w:rsidRPr="00687B52" w:rsidRDefault="000E02C5" w:rsidP="00B527D4">
            <w:pPr>
              <w:pStyle w:val="a7"/>
              <w:rPr>
                <w:rFonts w:ascii="宋体" w:hAnsi="宋体"/>
                <w:bCs/>
                <w:color w:val="000000" w:themeColor="text1"/>
                <w:szCs w:val="24"/>
                <w:highlight w:val="magenta"/>
              </w:rPr>
            </w:pPr>
            <w:r w:rsidRPr="00687B52">
              <w:rPr>
                <w:rFonts w:ascii="宋体" w:hAnsi="宋体" w:cs="宋体" w:hint="eastAsia"/>
                <w:bCs/>
                <w:color w:val="000000" w:themeColor="text1"/>
                <w:kern w:val="0"/>
                <w:szCs w:val="24"/>
              </w:rPr>
              <w:t>《危险化学品安全管理条例》第十九条</w:t>
            </w:r>
          </w:p>
        </w:tc>
        <w:tc>
          <w:tcPr>
            <w:tcW w:w="1179" w:type="pct"/>
            <w:vAlign w:val="center"/>
          </w:tcPr>
          <w:p w:rsidR="000E02C5" w:rsidRPr="00687B52" w:rsidRDefault="000E02C5" w:rsidP="00B527D4">
            <w:pPr>
              <w:rPr>
                <w:rFonts w:ascii="宋体" w:hAnsi="宋体"/>
                <w:color w:val="000000" w:themeColor="text1"/>
                <w:sz w:val="24"/>
                <w:szCs w:val="24"/>
                <w:highlight w:val="magenta"/>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1.5</w:t>
            </w:r>
          </w:p>
        </w:tc>
        <w:tc>
          <w:tcPr>
            <w:tcW w:w="2334" w:type="pct"/>
            <w:gridSpan w:val="4"/>
            <w:vAlign w:val="center"/>
          </w:tcPr>
          <w:p w:rsidR="000E02C5" w:rsidRPr="00687B52" w:rsidRDefault="000E02C5" w:rsidP="00B527D4">
            <w:pPr>
              <w:pStyle w:val="af8"/>
              <w:rPr>
                <w:rFonts w:cs="Arial"/>
                <w:color w:val="000000" w:themeColor="text1"/>
                <w:kern w:val="2"/>
              </w:rPr>
            </w:pPr>
            <w:r w:rsidRPr="00687B52">
              <w:rPr>
                <w:rFonts w:cs="Arial" w:hint="eastAsia"/>
                <w:color w:val="000000" w:themeColor="text1"/>
                <w:kern w:val="2"/>
              </w:rPr>
              <w:t>氧气站火灾危险性为乙类的建筑物及氧气贮罐与其他各类建筑物、构筑物之间的防火间距不应小于表3.0.4的规定。</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《氧气站设计规范》GB50030-2013第3.0.4条</w:t>
            </w:r>
          </w:p>
        </w:tc>
        <w:tc>
          <w:tcPr>
            <w:tcW w:w="1179" w:type="pct"/>
            <w:vAlign w:val="center"/>
          </w:tcPr>
          <w:p w:rsidR="000E02C5" w:rsidRPr="00687B52" w:rsidRDefault="000E02C5" w:rsidP="00B527D4">
            <w:pPr>
              <w:rPr>
                <w:rFonts w:ascii="宋体" w:hAnsi="宋体"/>
                <w:b/>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1.6</w:t>
            </w:r>
          </w:p>
        </w:tc>
        <w:tc>
          <w:tcPr>
            <w:tcW w:w="2334" w:type="pct"/>
            <w:gridSpan w:val="4"/>
            <w:vAlign w:val="center"/>
          </w:tcPr>
          <w:p w:rsidR="000E02C5" w:rsidRPr="00687B52" w:rsidRDefault="000E02C5" w:rsidP="00B527D4">
            <w:pPr>
              <w:pStyle w:val="af8"/>
              <w:rPr>
                <w:rFonts w:cs="Arial"/>
                <w:color w:val="000000" w:themeColor="text1"/>
                <w:kern w:val="2"/>
              </w:rPr>
            </w:pPr>
            <w:r w:rsidRPr="00687B52">
              <w:rPr>
                <w:rFonts w:cs="Arial" w:hint="eastAsia"/>
                <w:color w:val="000000" w:themeColor="text1"/>
                <w:kern w:val="2"/>
              </w:rPr>
              <w:t>氧气站的火灾危险性为乙类的建筑物，与火灾危险性为甲类的建筑物之间的最小防火间距，应按本规范表3.0.4对其他各类建筑物之间规定的间距增加2m。</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《氧气站设计规范》GB50030-2013第3.0.5条</w:t>
            </w:r>
          </w:p>
        </w:tc>
        <w:tc>
          <w:tcPr>
            <w:tcW w:w="1179" w:type="pct"/>
            <w:vAlign w:val="center"/>
          </w:tcPr>
          <w:p w:rsidR="000E02C5" w:rsidRPr="00687B52" w:rsidRDefault="000E02C5" w:rsidP="00B527D4">
            <w:pPr>
              <w:rPr>
                <w:rFonts w:ascii="宋体" w:hAnsi="宋体"/>
                <w:b/>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1.7</w:t>
            </w:r>
          </w:p>
        </w:tc>
        <w:tc>
          <w:tcPr>
            <w:tcW w:w="2334" w:type="pct"/>
            <w:gridSpan w:val="4"/>
            <w:vAlign w:val="center"/>
          </w:tcPr>
          <w:p w:rsidR="000E02C5" w:rsidRPr="00687B52" w:rsidRDefault="000E02C5" w:rsidP="00484714">
            <w:pPr>
              <w:pStyle w:val="a7"/>
              <w:tabs>
                <w:tab w:val="left" w:pos="1488"/>
              </w:tabs>
              <w:jc w:val="left"/>
              <w:rPr>
                <w:rFonts w:ascii="宋体" w:hAnsi="宋体"/>
                <w:color w:val="000000" w:themeColor="text1"/>
                <w:szCs w:val="24"/>
              </w:rPr>
            </w:pPr>
            <w:r w:rsidRPr="00687B52">
              <w:rPr>
                <w:rFonts w:ascii="宋体" w:hAnsi="宋体" w:hint="eastAsia"/>
                <w:color w:val="000000" w:themeColor="text1"/>
                <w:szCs w:val="24"/>
              </w:rPr>
              <w:t>湿式氧气贮罐与可燃液体贮罐（液化石油气储罐除外）、可燃材料堆场之间的最小防火间距，应符合表3.0.4对室外变、配电站之间规定的间距</w:t>
            </w:r>
            <w:r w:rsidR="001F7993" w:rsidRPr="00687B52">
              <w:rPr>
                <w:rFonts w:ascii="宋体" w:hAnsi="宋体" w:hint="eastAsia"/>
                <w:color w:val="000000" w:themeColor="text1"/>
                <w:szCs w:val="24"/>
              </w:rPr>
              <w:t>。</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《氧气站设计规范》GB50030-2013第3.0.6条</w:t>
            </w:r>
          </w:p>
        </w:tc>
        <w:tc>
          <w:tcPr>
            <w:tcW w:w="1179" w:type="pct"/>
            <w:vAlign w:val="center"/>
          </w:tcPr>
          <w:p w:rsidR="000E02C5" w:rsidRPr="00687B52" w:rsidRDefault="000E02C5" w:rsidP="00B527D4">
            <w:pPr>
              <w:rPr>
                <w:rFonts w:ascii="宋体" w:hAnsi="宋体"/>
                <w:b/>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1.8</w:t>
            </w:r>
          </w:p>
        </w:tc>
        <w:tc>
          <w:tcPr>
            <w:tcW w:w="2334" w:type="pct"/>
            <w:gridSpan w:val="4"/>
            <w:vAlign w:val="center"/>
          </w:tcPr>
          <w:p w:rsidR="000E02C5" w:rsidRPr="00687B52" w:rsidRDefault="000E02C5" w:rsidP="00B527D4">
            <w:pPr>
              <w:pStyle w:val="af8"/>
              <w:rPr>
                <w:rFonts w:cs="Arial"/>
                <w:color w:val="000000" w:themeColor="text1"/>
                <w:kern w:val="2"/>
              </w:rPr>
            </w:pPr>
            <w:r w:rsidRPr="00687B52">
              <w:rPr>
                <w:rFonts w:cs="Arial" w:hint="eastAsia"/>
                <w:color w:val="000000" w:themeColor="text1"/>
                <w:kern w:val="2"/>
              </w:rPr>
              <w:t>氧气贮罐之间的防火间距不应小于相邻较大罐的半径。氧气贮罐与可燃气体贮罐之间的防火间距不应小于相邻较大罐的直径。</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《氧气站设计规范》GB50030-2013第3.0.9条</w:t>
            </w:r>
          </w:p>
        </w:tc>
        <w:tc>
          <w:tcPr>
            <w:tcW w:w="1179" w:type="pct"/>
            <w:vAlign w:val="center"/>
          </w:tcPr>
          <w:p w:rsidR="000E02C5" w:rsidRPr="00687B52" w:rsidRDefault="000E02C5" w:rsidP="00B527D4">
            <w:pPr>
              <w:rPr>
                <w:rFonts w:ascii="宋体" w:hAnsi="宋体"/>
                <w:b/>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1.9</w:t>
            </w:r>
          </w:p>
        </w:tc>
        <w:tc>
          <w:tcPr>
            <w:tcW w:w="2334" w:type="pct"/>
            <w:gridSpan w:val="4"/>
            <w:vAlign w:val="center"/>
          </w:tcPr>
          <w:p w:rsidR="000E02C5" w:rsidRPr="00687B52" w:rsidRDefault="000E02C5" w:rsidP="00B527D4">
            <w:pPr>
              <w:pStyle w:val="a7"/>
              <w:jc w:val="left"/>
              <w:rPr>
                <w:rFonts w:ascii="宋体" w:hAnsi="宋体"/>
                <w:color w:val="000000" w:themeColor="text1"/>
                <w:szCs w:val="24"/>
              </w:rPr>
            </w:pPr>
            <w:r w:rsidRPr="00687B52">
              <w:rPr>
                <w:rFonts w:ascii="宋体" w:hAnsi="宋体" w:hint="eastAsia"/>
                <w:color w:val="000000" w:themeColor="text1"/>
                <w:szCs w:val="24"/>
              </w:rPr>
              <w:t>制氧站房、灌氧站房、氧气压缩机间宜布置成独立建筑物，但可与不低于其耐火等级的除火灾危险性属甲、乙类的生产车间，以及无明火或散发火花作业的其他生产车间毗连建造，其毗连的墙应为无门、窗、洞的防火墙，并应设不少于一个直通室外的安全出口。</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《氧气站设计规范》GB50030-2013第3.0.10条</w:t>
            </w:r>
          </w:p>
        </w:tc>
        <w:tc>
          <w:tcPr>
            <w:tcW w:w="1179" w:type="pct"/>
            <w:vAlign w:val="center"/>
          </w:tcPr>
          <w:p w:rsidR="000E02C5" w:rsidRPr="00687B52" w:rsidRDefault="000E02C5" w:rsidP="00B527D4">
            <w:pPr>
              <w:jc w:val="left"/>
              <w:rPr>
                <w:rFonts w:ascii="宋体" w:hAnsi="宋体"/>
                <w:b/>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1.10</w:t>
            </w:r>
          </w:p>
        </w:tc>
        <w:tc>
          <w:tcPr>
            <w:tcW w:w="2334" w:type="pct"/>
            <w:gridSpan w:val="4"/>
            <w:vAlign w:val="center"/>
          </w:tcPr>
          <w:p w:rsidR="000E02C5" w:rsidRPr="00687B52" w:rsidRDefault="000E02C5" w:rsidP="00B527D4">
            <w:pPr>
              <w:pStyle w:val="a7"/>
              <w:jc w:val="left"/>
              <w:rPr>
                <w:rFonts w:ascii="宋体" w:hAnsi="宋体"/>
                <w:color w:val="000000" w:themeColor="text1"/>
                <w:szCs w:val="24"/>
              </w:rPr>
            </w:pPr>
            <w:r w:rsidRPr="00687B52">
              <w:rPr>
                <w:rFonts w:ascii="宋体" w:hAnsi="宋体" w:hint="eastAsia"/>
                <w:color w:val="000000" w:themeColor="text1"/>
                <w:szCs w:val="24"/>
              </w:rPr>
              <w:t>输氧量不超过60m</w:t>
            </w:r>
            <w:r w:rsidRPr="00687B52">
              <w:rPr>
                <w:rFonts w:ascii="宋体" w:hAnsi="宋体" w:hint="eastAsia"/>
                <w:color w:val="000000" w:themeColor="text1"/>
                <w:szCs w:val="24"/>
                <w:vertAlign w:val="superscript"/>
              </w:rPr>
              <w:t>3</w:t>
            </w:r>
            <w:r w:rsidRPr="00687B52">
              <w:rPr>
                <w:rFonts w:ascii="宋体" w:hAnsi="宋体" w:hint="eastAsia"/>
                <w:color w:val="000000" w:themeColor="text1"/>
                <w:szCs w:val="24"/>
              </w:rPr>
              <w:t>/h的氧气汇流排间、氧气压力调节阀组的阀门室可设在不低于三级耐火等级的用户厂房内靠外墙处，并应采用耐火极限不低于2.0h的不燃烧体隔墙和丙级防火门，与厂房的其他部分隔开。</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GB50030-2013第3.0.11条</w:t>
            </w:r>
          </w:p>
        </w:tc>
        <w:tc>
          <w:tcPr>
            <w:tcW w:w="1179" w:type="pct"/>
            <w:vAlign w:val="center"/>
          </w:tcPr>
          <w:p w:rsidR="000E02C5" w:rsidRPr="00687B52" w:rsidRDefault="000E02C5" w:rsidP="00B527D4">
            <w:pPr>
              <w:jc w:val="left"/>
              <w:rPr>
                <w:rFonts w:ascii="宋体" w:hAnsi="宋体"/>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1.11</w:t>
            </w:r>
          </w:p>
        </w:tc>
        <w:tc>
          <w:tcPr>
            <w:tcW w:w="2334" w:type="pct"/>
            <w:gridSpan w:val="4"/>
            <w:vAlign w:val="center"/>
          </w:tcPr>
          <w:p w:rsidR="000E02C5" w:rsidRPr="00687B52" w:rsidRDefault="000E02C5" w:rsidP="00B527D4">
            <w:pPr>
              <w:pStyle w:val="a7"/>
              <w:jc w:val="left"/>
              <w:rPr>
                <w:rFonts w:ascii="宋体" w:hAnsi="宋体"/>
                <w:color w:val="000000" w:themeColor="text1"/>
                <w:szCs w:val="24"/>
              </w:rPr>
            </w:pPr>
            <w:r w:rsidRPr="00687B52">
              <w:rPr>
                <w:rFonts w:ascii="宋体" w:hAnsi="宋体" w:hint="eastAsia"/>
                <w:color w:val="000000" w:themeColor="text1"/>
                <w:szCs w:val="24"/>
              </w:rPr>
              <w:t>输氧量超过60m</w:t>
            </w:r>
            <w:r w:rsidRPr="00687B52">
              <w:rPr>
                <w:rFonts w:ascii="宋体" w:hAnsi="宋体" w:hint="eastAsia"/>
                <w:color w:val="000000" w:themeColor="text1"/>
                <w:szCs w:val="24"/>
                <w:vertAlign w:val="superscript"/>
              </w:rPr>
              <w:t>3</w:t>
            </w:r>
            <w:r w:rsidRPr="00687B52">
              <w:rPr>
                <w:rFonts w:ascii="宋体" w:hAnsi="宋体" w:hint="eastAsia"/>
                <w:color w:val="000000" w:themeColor="text1"/>
                <w:szCs w:val="24"/>
              </w:rPr>
              <w:t>/h的氧气汇流排间、氧气压力调节阀组的阀门室宜布置成独立建筑物，当与用户厂房毗连时，其毗连的厂房的耐火等级不应低于二级，并应采用耐火极限不低于2.0h的不燃烧体无门、窗、洞的隔墙与该厂房隔开。</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GB50030-2013第3.0.12条</w:t>
            </w:r>
          </w:p>
        </w:tc>
        <w:tc>
          <w:tcPr>
            <w:tcW w:w="1179" w:type="pct"/>
            <w:vAlign w:val="center"/>
          </w:tcPr>
          <w:p w:rsidR="000E02C5" w:rsidRPr="00687B52" w:rsidRDefault="000E02C5" w:rsidP="00B527D4">
            <w:pPr>
              <w:jc w:val="center"/>
              <w:rPr>
                <w:rFonts w:ascii="宋体" w:hAnsi="宋体"/>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1.12</w:t>
            </w:r>
          </w:p>
        </w:tc>
        <w:tc>
          <w:tcPr>
            <w:tcW w:w="2334" w:type="pct"/>
            <w:gridSpan w:val="4"/>
            <w:vAlign w:val="center"/>
          </w:tcPr>
          <w:p w:rsidR="000E02C5" w:rsidRPr="00687B52" w:rsidRDefault="000E02C5" w:rsidP="00B527D4">
            <w:pPr>
              <w:pStyle w:val="a7"/>
              <w:jc w:val="left"/>
              <w:rPr>
                <w:rFonts w:ascii="宋体" w:hAnsi="宋体"/>
                <w:color w:val="000000" w:themeColor="text1"/>
                <w:szCs w:val="24"/>
              </w:rPr>
            </w:pPr>
            <w:r w:rsidRPr="00687B52">
              <w:rPr>
                <w:rFonts w:ascii="宋体" w:hAnsi="宋体" w:hint="eastAsia"/>
                <w:color w:val="000000" w:themeColor="text1"/>
                <w:szCs w:val="24"/>
              </w:rPr>
              <w:t>氧气汇流排间可与同一使用目的的可燃气体供气装置或供气站毗连建造在耐火等级不低于二级的同一建筑物中，但应以无门、窗、洞的防火墙相互隔开。</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GB50030-2013第3.0.13条</w:t>
            </w:r>
          </w:p>
        </w:tc>
        <w:tc>
          <w:tcPr>
            <w:tcW w:w="1179" w:type="pct"/>
            <w:vAlign w:val="center"/>
          </w:tcPr>
          <w:p w:rsidR="000E02C5" w:rsidRPr="00687B52" w:rsidRDefault="000E02C5" w:rsidP="00B527D4">
            <w:pPr>
              <w:jc w:val="center"/>
              <w:rPr>
                <w:rFonts w:ascii="宋体" w:hAnsi="宋体"/>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1.13</w:t>
            </w:r>
          </w:p>
        </w:tc>
        <w:tc>
          <w:tcPr>
            <w:tcW w:w="2334" w:type="pct"/>
            <w:gridSpan w:val="4"/>
            <w:vAlign w:val="center"/>
          </w:tcPr>
          <w:p w:rsidR="000E02C5" w:rsidRPr="00687B52" w:rsidRDefault="000E02C5" w:rsidP="00B527D4">
            <w:pPr>
              <w:pStyle w:val="a7"/>
              <w:jc w:val="left"/>
              <w:rPr>
                <w:rFonts w:ascii="宋体" w:hAnsi="宋体"/>
                <w:color w:val="000000" w:themeColor="text1"/>
                <w:szCs w:val="24"/>
              </w:rPr>
            </w:pPr>
            <w:r w:rsidRPr="00687B52">
              <w:rPr>
                <w:rFonts w:ascii="宋体" w:hAnsi="宋体" w:hint="eastAsia"/>
                <w:color w:val="000000" w:themeColor="text1"/>
                <w:szCs w:val="24"/>
              </w:rPr>
              <w:t>液氧贮罐和输送设备的液体接口下方周围5m范围内不应有可燃物，不应铺设沥青路面，在机动输送液氧设备下方的不燃材料地面不应小于车辆的全长。</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GB50030-2013第3.0.14条</w:t>
            </w:r>
          </w:p>
        </w:tc>
        <w:tc>
          <w:tcPr>
            <w:tcW w:w="1179" w:type="pct"/>
            <w:vAlign w:val="center"/>
          </w:tcPr>
          <w:p w:rsidR="000E02C5" w:rsidRPr="00687B52" w:rsidRDefault="000E02C5" w:rsidP="00B527D4">
            <w:pPr>
              <w:jc w:val="center"/>
              <w:rPr>
                <w:rFonts w:ascii="宋体" w:hAnsi="宋体"/>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1.14</w:t>
            </w:r>
          </w:p>
        </w:tc>
        <w:tc>
          <w:tcPr>
            <w:tcW w:w="2334" w:type="pct"/>
            <w:gridSpan w:val="4"/>
            <w:vAlign w:val="center"/>
          </w:tcPr>
          <w:p w:rsidR="000E02C5" w:rsidRPr="00687B52" w:rsidRDefault="000E02C5" w:rsidP="00B527D4">
            <w:pPr>
              <w:pStyle w:val="a7"/>
              <w:jc w:val="left"/>
              <w:rPr>
                <w:rFonts w:ascii="宋体" w:hAnsi="宋体"/>
                <w:color w:val="000000" w:themeColor="text1"/>
                <w:szCs w:val="24"/>
              </w:rPr>
            </w:pPr>
            <w:r w:rsidRPr="00687B52">
              <w:rPr>
                <w:rFonts w:ascii="宋体" w:hAnsi="宋体" w:hint="eastAsia"/>
                <w:color w:val="000000" w:themeColor="text1"/>
                <w:szCs w:val="24"/>
              </w:rPr>
              <w:t>氧气站的乙类生产场所不得设置在地下室或半地下室。</w:t>
            </w:r>
          </w:p>
        </w:tc>
        <w:tc>
          <w:tcPr>
            <w:tcW w:w="1183" w:type="pct"/>
            <w:vAlign w:val="center"/>
          </w:tcPr>
          <w:p w:rsidR="000E02C5" w:rsidRPr="00687B52" w:rsidRDefault="000E02C5" w:rsidP="00B527D4">
            <w:pPr>
              <w:pStyle w:val="a7"/>
              <w:rPr>
                <w:rFonts w:ascii="宋体" w:hAnsi="宋体"/>
                <w:color w:val="000000" w:themeColor="text1"/>
                <w:szCs w:val="24"/>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w:t>
            </w:r>
          </w:p>
          <w:p w:rsidR="000E02C5" w:rsidRPr="00687B52" w:rsidRDefault="000E02C5" w:rsidP="00B527D4">
            <w:pPr>
              <w:pStyle w:val="a7"/>
              <w:rPr>
                <w:rFonts w:ascii="宋体" w:hAnsi="宋体"/>
                <w:color w:val="000000" w:themeColor="text1"/>
                <w:szCs w:val="24"/>
              </w:rPr>
            </w:pPr>
            <w:r w:rsidRPr="00687B52">
              <w:rPr>
                <w:rFonts w:ascii="宋体" w:hAnsi="宋体" w:hint="eastAsia"/>
                <w:color w:val="000000" w:themeColor="text1"/>
                <w:szCs w:val="24"/>
              </w:rPr>
              <w:t>第3.0.15条</w:t>
            </w:r>
          </w:p>
        </w:tc>
        <w:tc>
          <w:tcPr>
            <w:tcW w:w="1179" w:type="pct"/>
            <w:vAlign w:val="center"/>
          </w:tcPr>
          <w:p w:rsidR="000E02C5" w:rsidRPr="00687B52" w:rsidRDefault="000E02C5" w:rsidP="00B527D4">
            <w:pPr>
              <w:jc w:val="center"/>
              <w:rPr>
                <w:rFonts w:ascii="宋体" w:hAnsi="宋体"/>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1.15</w:t>
            </w:r>
          </w:p>
        </w:tc>
        <w:tc>
          <w:tcPr>
            <w:tcW w:w="2334" w:type="pct"/>
            <w:gridSpan w:val="4"/>
            <w:vAlign w:val="center"/>
          </w:tcPr>
          <w:p w:rsidR="000E02C5" w:rsidRPr="00687B52" w:rsidRDefault="000E02C5" w:rsidP="00B527D4">
            <w:pPr>
              <w:adjustRightInd w:val="0"/>
              <w:snapToGrid w:val="0"/>
              <w:spacing w:line="276" w:lineRule="auto"/>
              <w:rPr>
                <w:rFonts w:ascii="宋体" w:hAnsi="宋体" w:cs="Arial"/>
                <w:color w:val="000000" w:themeColor="text1"/>
                <w:sz w:val="24"/>
                <w:szCs w:val="24"/>
              </w:rPr>
            </w:pPr>
            <w:r w:rsidRPr="00687B52">
              <w:rPr>
                <w:rFonts w:ascii="宋体" w:hAnsi="宋体" w:cs="Arial" w:hint="eastAsia"/>
                <w:color w:val="000000" w:themeColor="text1"/>
                <w:sz w:val="24"/>
                <w:szCs w:val="24"/>
              </w:rPr>
              <w:t>液氧贮罐、低温液体贮槽宜室外布置，它与各类建筑物、构筑物的防火间距应符合表3.0.4的规定，当液氧贮罐的容积不超过3m</w:t>
            </w:r>
            <w:r w:rsidRPr="00687B52">
              <w:rPr>
                <w:rFonts w:ascii="宋体" w:hAnsi="宋体" w:cs="Arial" w:hint="eastAsia"/>
                <w:color w:val="000000" w:themeColor="text1"/>
                <w:sz w:val="24"/>
                <w:szCs w:val="24"/>
                <w:vertAlign w:val="superscript"/>
              </w:rPr>
              <w:t>3</w:t>
            </w:r>
            <w:r w:rsidRPr="00687B52">
              <w:rPr>
                <w:rFonts w:ascii="宋体" w:hAnsi="宋体" w:cs="Arial" w:hint="eastAsia"/>
                <w:color w:val="000000" w:themeColor="text1"/>
                <w:sz w:val="24"/>
                <w:szCs w:val="24"/>
              </w:rPr>
              <w:t>时，与所有使用建筑的防火间距可减为10m。当液氧贮罐、低温液体贮槽确需室内布置时，宜设置在单独的房间内，且液氧贮罐的总几何容积不得超过10m</w:t>
            </w:r>
            <w:r w:rsidRPr="00687B52">
              <w:rPr>
                <w:rFonts w:ascii="宋体" w:hAnsi="宋体" w:cs="Arial" w:hint="eastAsia"/>
                <w:color w:val="000000" w:themeColor="text1"/>
                <w:sz w:val="24"/>
                <w:szCs w:val="24"/>
                <w:vertAlign w:val="superscript"/>
              </w:rPr>
              <w:t>3</w:t>
            </w:r>
            <w:r w:rsidRPr="00687B52">
              <w:rPr>
                <w:rFonts w:ascii="宋体" w:hAnsi="宋体" w:cs="Arial" w:hint="eastAsia"/>
                <w:color w:val="000000" w:themeColor="text1"/>
                <w:sz w:val="24"/>
                <w:szCs w:val="24"/>
              </w:rPr>
              <w:t>，并应符合下列规定：</w:t>
            </w:r>
          </w:p>
          <w:p w:rsidR="000E02C5" w:rsidRPr="00687B52" w:rsidRDefault="000E02C5" w:rsidP="00B527D4">
            <w:pPr>
              <w:adjustRightInd w:val="0"/>
              <w:snapToGrid w:val="0"/>
              <w:spacing w:line="276" w:lineRule="auto"/>
              <w:rPr>
                <w:rFonts w:ascii="宋体" w:hAnsi="宋体" w:cs="Arial"/>
                <w:color w:val="000000" w:themeColor="text1"/>
                <w:sz w:val="24"/>
                <w:szCs w:val="24"/>
              </w:rPr>
            </w:pPr>
            <w:r w:rsidRPr="00687B52">
              <w:rPr>
                <w:rFonts w:ascii="宋体" w:hAnsi="宋体" w:cs="Arial" w:hint="eastAsia"/>
                <w:color w:val="000000" w:themeColor="text1"/>
                <w:sz w:val="24"/>
                <w:szCs w:val="24"/>
              </w:rPr>
              <w:t>1）当设置在独立的一、二级耐火等级的专用建筑物内，且与使用建筑一侧为无门、窗、洞的防火墙时，其防火间距不应小于6m；</w:t>
            </w:r>
          </w:p>
          <w:p w:rsidR="000E02C5" w:rsidRPr="00687B52" w:rsidRDefault="000E02C5" w:rsidP="00B527D4">
            <w:pPr>
              <w:adjustRightInd w:val="0"/>
              <w:snapToGrid w:val="0"/>
              <w:spacing w:line="276" w:lineRule="auto"/>
              <w:rPr>
                <w:rFonts w:ascii="宋体" w:hAnsi="宋体" w:cs="Arial"/>
                <w:color w:val="000000" w:themeColor="text1"/>
                <w:sz w:val="24"/>
                <w:szCs w:val="24"/>
              </w:rPr>
            </w:pPr>
            <w:r w:rsidRPr="00687B52">
              <w:rPr>
                <w:rFonts w:ascii="宋体" w:hAnsi="宋体" w:cs="Arial" w:hint="eastAsia"/>
                <w:color w:val="000000" w:themeColor="text1"/>
                <w:sz w:val="24"/>
                <w:szCs w:val="24"/>
              </w:rPr>
              <w:t>2）当设置在一、二级耐火等级的贮罐间内，且一面贴邻使用建筑物外墙时，应采用无门、窗、洞的耐火极限不低于2.0h的不燃烧体墙分隔，并应设直通室外的出口。</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GB50030-2013第3.0.16条</w:t>
            </w:r>
          </w:p>
        </w:tc>
        <w:tc>
          <w:tcPr>
            <w:tcW w:w="1179" w:type="pct"/>
            <w:vAlign w:val="center"/>
          </w:tcPr>
          <w:p w:rsidR="000E02C5" w:rsidRPr="00687B52" w:rsidRDefault="000E02C5" w:rsidP="00B527D4">
            <w:pPr>
              <w:jc w:val="center"/>
              <w:rPr>
                <w:rFonts w:ascii="宋体" w:hAnsi="宋体"/>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1.16</w:t>
            </w:r>
          </w:p>
        </w:tc>
        <w:tc>
          <w:tcPr>
            <w:tcW w:w="2334" w:type="pct"/>
            <w:gridSpan w:val="4"/>
            <w:vAlign w:val="center"/>
          </w:tcPr>
          <w:p w:rsidR="000E02C5" w:rsidRPr="00687B52" w:rsidRDefault="000E02C5" w:rsidP="00B527D4">
            <w:pPr>
              <w:widowControl/>
              <w:jc w:val="left"/>
              <w:rPr>
                <w:rFonts w:ascii="宋体" w:hAnsi="宋体" w:cs="Arial"/>
                <w:color w:val="000000" w:themeColor="text1"/>
                <w:sz w:val="24"/>
                <w:szCs w:val="24"/>
              </w:rPr>
            </w:pPr>
            <w:r w:rsidRPr="00687B52">
              <w:rPr>
                <w:rFonts w:ascii="宋体" w:hAnsi="宋体" w:cs="Arial" w:hint="eastAsia"/>
                <w:color w:val="000000" w:themeColor="text1"/>
                <w:sz w:val="24"/>
                <w:szCs w:val="24"/>
              </w:rPr>
              <w:t>液氧贮罐和汽化器的周围宜设围墙或栅栏，并应设明显的禁火标志。</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GB50030-2013第3.0.17条</w:t>
            </w:r>
          </w:p>
        </w:tc>
        <w:tc>
          <w:tcPr>
            <w:tcW w:w="1179" w:type="pct"/>
            <w:vAlign w:val="center"/>
          </w:tcPr>
          <w:p w:rsidR="000E02C5" w:rsidRPr="00687B52" w:rsidRDefault="000E02C5" w:rsidP="00B527D4">
            <w:pPr>
              <w:jc w:val="center"/>
              <w:rPr>
                <w:rFonts w:ascii="宋体" w:hAnsi="宋体"/>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1.17</w:t>
            </w:r>
          </w:p>
        </w:tc>
        <w:tc>
          <w:tcPr>
            <w:tcW w:w="2334" w:type="pct"/>
            <w:gridSpan w:val="4"/>
            <w:vAlign w:val="center"/>
          </w:tcPr>
          <w:p w:rsidR="000E02C5" w:rsidRPr="00687B52" w:rsidRDefault="000E02C5" w:rsidP="00B527D4">
            <w:pPr>
              <w:rPr>
                <w:color w:val="000000" w:themeColor="text1"/>
              </w:rPr>
            </w:pPr>
            <w:r w:rsidRPr="00687B52">
              <w:rPr>
                <w:rFonts w:hint="eastAsia"/>
                <w:color w:val="000000" w:themeColor="text1"/>
              </w:rPr>
              <w:t>氧气站内建筑最低耐火等级应符合下表要求</w:t>
            </w:r>
          </w:p>
          <w:p w:rsidR="000E02C5" w:rsidRPr="00687B52" w:rsidRDefault="000E02C5" w:rsidP="00B527D4">
            <w:pPr>
              <w:adjustRightInd w:val="0"/>
              <w:snapToGrid w:val="0"/>
              <w:spacing w:line="360" w:lineRule="auto"/>
              <w:jc w:val="center"/>
              <w:rPr>
                <w:rFonts w:ascii="Segoe UI" w:hAnsi="Segoe UI" w:cs="Segoe UI"/>
                <w:color w:val="000000" w:themeColor="text1"/>
                <w:szCs w:val="24"/>
              </w:rPr>
            </w:pPr>
            <w:r w:rsidRPr="00687B52">
              <w:rPr>
                <w:rFonts w:ascii="Segoe UI" w:hAnsi="Segoe UI" w:cs="Segoe UI"/>
                <w:color w:val="000000" w:themeColor="text1"/>
                <w:szCs w:val="24"/>
              </w:rPr>
              <w:t>表</w:t>
            </w:r>
            <w:r w:rsidRPr="00687B52">
              <w:rPr>
                <w:rFonts w:ascii="Segoe UI" w:hAnsi="Segoe UI" w:cs="Segoe UI" w:hint="eastAsia"/>
                <w:color w:val="000000" w:themeColor="text1"/>
                <w:szCs w:val="24"/>
              </w:rPr>
              <w:t>A</w:t>
            </w:r>
            <w:r w:rsidRPr="00687B52">
              <w:rPr>
                <w:rFonts w:ascii="Segoe UI" w:hAnsi="Segoe UI" w:cs="Segoe UI"/>
                <w:color w:val="000000" w:themeColor="text1"/>
                <w:szCs w:val="24"/>
              </w:rPr>
              <w:t>氧气站内各类房间的火灾危险性类别及最低耐火等级</w:t>
            </w:r>
          </w:p>
          <w:tbl>
            <w:tblPr>
              <w:tblW w:w="5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729"/>
              <w:gridCol w:w="1613"/>
              <w:gridCol w:w="1375"/>
            </w:tblGrid>
            <w:tr w:rsidR="000E02C5" w:rsidRPr="00687B52" w:rsidTr="00552F8F">
              <w:trPr>
                <w:trHeight w:val="397"/>
              </w:trPr>
              <w:tc>
                <w:tcPr>
                  <w:tcW w:w="2729"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站房，房间名称</w:t>
                  </w:r>
                </w:p>
              </w:tc>
              <w:tc>
                <w:tcPr>
                  <w:tcW w:w="1613"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火灾危险性类别</w:t>
                  </w:r>
                </w:p>
              </w:tc>
              <w:tc>
                <w:tcPr>
                  <w:tcW w:w="1375"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hint="eastAsia"/>
                      <w:color w:val="000000" w:themeColor="text1"/>
                      <w:kern w:val="2"/>
                      <w:sz w:val="21"/>
                      <w:szCs w:val="21"/>
                    </w:rPr>
                    <w:t>最</w:t>
                  </w:r>
                  <w:r w:rsidRPr="00687B52">
                    <w:rPr>
                      <w:rStyle w:val="7pt"/>
                      <w:rFonts w:ascii="Segoe UI" w:eastAsia="宋体" w:hAnsi="Segoe UI" w:cs="Segoe UI"/>
                      <w:color w:val="000000" w:themeColor="text1"/>
                      <w:kern w:val="2"/>
                      <w:sz w:val="21"/>
                      <w:szCs w:val="21"/>
                    </w:rPr>
                    <w:t>低耐火等级</w:t>
                  </w:r>
                </w:p>
              </w:tc>
            </w:tr>
            <w:tr w:rsidR="000E02C5" w:rsidRPr="00687B52" w:rsidTr="00552F8F">
              <w:trPr>
                <w:trHeight w:val="397"/>
              </w:trPr>
              <w:tc>
                <w:tcPr>
                  <w:tcW w:w="2729"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制氧站房、制氧间、气化站房</w:t>
                  </w:r>
                </w:p>
              </w:tc>
              <w:tc>
                <w:tcPr>
                  <w:tcW w:w="1613"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乙类</w:t>
                  </w:r>
                </w:p>
              </w:tc>
              <w:tc>
                <w:tcPr>
                  <w:tcW w:w="1375"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二级</w:t>
                  </w:r>
                </w:p>
              </w:tc>
            </w:tr>
            <w:tr w:rsidR="000E02C5" w:rsidRPr="00687B52" w:rsidTr="00552F8F">
              <w:trPr>
                <w:trHeight w:val="397"/>
              </w:trPr>
              <w:tc>
                <w:tcPr>
                  <w:tcW w:w="2729"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液氧系统设施</w:t>
                  </w:r>
                </w:p>
              </w:tc>
              <w:tc>
                <w:tcPr>
                  <w:tcW w:w="1613"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乙类</w:t>
                  </w:r>
                </w:p>
              </w:tc>
              <w:tc>
                <w:tcPr>
                  <w:tcW w:w="1375"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二级</w:t>
                  </w:r>
                </w:p>
              </w:tc>
            </w:tr>
            <w:tr w:rsidR="000E02C5" w:rsidRPr="00687B52" w:rsidTr="00552F8F">
              <w:trPr>
                <w:trHeight w:val="397"/>
              </w:trPr>
              <w:tc>
                <w:tcPr>
                  <w:tcW w:w="2729"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液氮、液氩系统设施</w:t>
                  </w:r>
                </w:p>
              </w:tc>
              <w:tc>
                <w:tcPr>
                  <w:tcW w:w="1613"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戊类</w:t>
                  </w:r>
                </w:p>
              </w:tc>
              <w:tc>
                <w:tcPr>
                  <w:tcW w:w="1375"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四级</w:t>
                  </w:r>
                </w:p>
              </w:tc>
            </w:tr>
            <w:tr w:rsidR="000E02C5" w:rsidRPr="00687B52" w:rsidTr="00552F8F">
              <w:trPr>
                <w:trHeight w:val="397"/>
              </w:trPr>
              <w:tc>
                <w:tcPr>
                  <w:tcW w:w="2729"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氧气调节阀组的调压阀室</w:t>
                  </w:r>
                </w:p>
              </w:tc>
              <w:tc>
                <w:tcPr>
                  <w:tcW w:w="1613"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乙类</w:t>
                  </w:r>
                </w:p>
              </w:tc>
              <w:tc>
                <w:tcPr>
                  <w:tcW w:w="1375"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二级</w:t>
                  </w:r>
                </w:p>
              </w:tc>
            </w:tr>
            <w:tr w:rsidR="000E02C5" w:rsidRPr="00687B52" w:rsidTr="00552F8F">
              <w:trPr>
                <w:trHeight w:val="397"/>
              </w:trPr>
              <w:tc>
                <w:tcPr>
                  <w:tcW w:w="2729"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氧气灌瓶站房</w:t>
                  </w:r>
                </w:p>
              </w:tc>
              <w:tc>
                <w:tcPr>
                  <w:tcW w:w="1613"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乙类</w:t>
                  </w:r>
                </w:p>
              </w:tc>
              <w:tc>
                <w:tcPr>
                  <w:tcW w:w="1375"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二级</w:t>
                  </w:r>
                </w:p>
              </w:tc>
            </w:tr>
            <w:tr w:rsidR="000E02C5" w:rsidRPr="00687B52" w:rsidTr="00552F8F">
              <w:trPr>
                <w:trHeight w:val="397"/>
              </w:trPr>
              <w:tc>
                <w:tcPr>
                  <w:tcW w:w="2729"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氧气压缩机间</w:t>
                  </w:r>
                </w:p>
              </w:tc>
              <w:tc>
                <w:tcPr>
                  <w:tcW w:w="1613"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乙类</w:t>
                  </w:r>
                </w:p>
              </w:tc>
              <w:tc>
                <w:tcPr>
                  <w:tcW w:w="1375"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二级</w:t>
                  </w:r>
                </w:p>
              </w:tc>
            </w:tr>
            <w:tr w:rsidR="000E02C5" w:rsidRPr="00687B52" w:rsidTr="00552F8F">
              <w:trPr>
                <w:trHeight w:val="397"/>
              </w:trPr>
              <w:tc>
                <w:tcPr>
                  <w:tcW w:w="2729"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氮气、氩气灌瓶间</w:t>
                  </w:r>
                </w:p>
              </w:tc>
              <w:tc>
                <w:tcPr>
                  <w:tcW w:w="1613"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戊类</w:t>
                  </w:r>
                </w:p>
              </w:tc>
              <w:tc>
                <w:tcPr>
                  <w:tcW w:w="1375"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四级</w:t>
                  </w:r>
                </w:p>
              </w:tc>
            </w:tr>
            <w:tr w:rsidR="000E02C5" w:rsidRPr="00687B52" w:rsidTr="00552F8F">
              <w:trPr>
                <w:trHeight w:val="397"/>
              </w:trPr>
              <w:tc>
                <w:tcPr>
                  <w:tcW w:w="2729"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氮气、氩气压缩机间</w:t>
                  </w:r>
                </w:p>
              </w:tc>
              <w:tc>
                <w:tcPr>
                  <w:tcW w:w="1613"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戊类</w:t>
                  </w:r>
                </w:p>
              </w:tc>
              <w:tc>
                <w:tcPr>
                  <w:tcW w:w="1375"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四级</w:t>
                  </w:r>
                </w:p>
              </w:tc>
            </w:tr>
            <w:tr w:rsidR="000E02C5" w:rsidRPr="00687B52" w:rsidTr="00552F8F">
              <w:trPr>
                <w:trHeight w:val="397"/>
              </w:trPr>
              <w:tc>
                <w:tcPr>
                  <w:tcW w:w="2729"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氩气净化间等</w:t>
                  </w:r>
                  <w:r w:rsidRPr="00687B52">
                    <w:rPr>
                      <w:rStyle w:val="7pt"/>
                      <w:rFonts w:ascii="Segoe UI" w:eastAsia="宋体" w:hAnsi="Segoe UI" w:cs="Segoe UI" w:hint="eastAsia"/>
                      <w:color w:val="000000" w:themeColor="text1"/>
                      <w:kern w:val="2"/>
                      <w:sz w:val="21"/>
                      <w:szCs w:val="21"/>
                    </w:rPr>
                    <w:t>（</w:t>
                  </w:r>
                  <w:r w:rsidRPr="00687B52">
                    <w:rPr>
                      <w:rStyle w:val="7pt"/>
                      <w:rFonts w:ascii="Segoe UI" w:eastAsia="宋体" w:hAnsi="Segoe UI" w:cs="Segoe UI"/>
                      <w:color w:val="000000" w:themeColor="text1"/>
                      <w:kern w:val="2"/>
                      <w:sz w:val="21"/>
                      <w:szCs w:val="21"/>
                    </w:rPr>
                    <w:t>加氢催化）</w:t>
                  </w:r>
                </w:p>
              </w:tc>
              <w:tc>
                <w:tcPr>
                  <w:tcW w:w="1613"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甲类</w:t>
                  </w:r>
                </w:p>
              </w:tc>
              <w:tc>
                <w:tcPr>
                  <w:tcW w:w="1375"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二级</w:t>
                  </w:r>
                </w:p>
              </w:tc>
            </w:tr>
            <w:tr w:rsidR="000E02C5" w:rsidRPr="00687B52" w:rsidTr="00552F8F">
              <w:trPr>
                <w:trHeight w:val="397"/>
              </w:trPr>
              <w:tc>
                <w:tcPr>
                  <w:tcW w:w="2729"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氧气汇流排间、氧气贮罐间</w:t>
                  </w:r>
                </w:p>
              </w:tc>
              <w:tc>
                <w:tcPr>
                  <w:tcW w:w="1613"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乙类</w:t>
                  </w:r>
                </w:p>
              </w:tc>
              <w:tc>
                <w:tcPr>
                  <w:tcW w:w="1375"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二级</w:t>
                  </w:r>
                </w:p>
              </w:tc>
            </w:tr>
            <w:tr w:rsidR="000E02C5" w:rsidRPr="00687B52" w:rsidTr="00552F8F">
              <w:trPr>
                <w:trHeight w:val="397"/>
              </w:trPr>
              <w:tc>
                <w:tcPr>
                  <w:tcW w:w="2729"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氮气、氩气汇流排间、氮气贮罐间</w:t>
                  </w:r>
                </w:p>
              </w:tc>
              <w:tc>
                <w:tcPr>
                  <w:tcW w:w="1613"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戊类</w:t>
                  </w:r>
                </w:p>
              </w:tc>
              <w:tc>
                <w:tcPr>
                  <w:tcW w:w="1375"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三、四级</w:t>
                  </w:r>
                </w:p>
              </w:tc>
            </w:tr>
            <w:tr w:rsidR="000E02C5" w:rsidRPr="00687B52" w:rsidTr="00552F8F">
              <w:trPr>
                <w:trHeight w:val="397"/>
              </w:trPr>
              <w:tc>
                <w:tcPr>
                  <w:tcW w:w="2729"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水泵间、水处理间、维修间</w:t>
                  </w:r>
                </w:p>
              </w:tc>
              <w:tc>
                <w:tcPr>
                  <w:tcW w:w="1613"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戊类</w:t>
                  </w:r>
                </w:p>
              </w:tc>
              <w:tc>
                <w:tcPr>
                  <w:tcW w:w="1375"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三、四级</w:t>
                  </w:r>
                </w:p>
              </w:tc>
            </w:tr>
            <w:tr w:rsidR="000E02C5" w:rsidRPr="00687B52" w:rsidTr="00552F8F">
              <w:trPr>
                <w:trHeight w:val="397"/>
              </w:trPr>
              <w:tc>
                <w:tcPr>
                  <w:tcW w:w="2729"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润滑油间</w:t>
                  </w:r>
                </w:p>
              </w:tc>
              <w:tc>
                <w:tcPr>
                  <w:tcW w:w="1613"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丙类</w:t>
                  </w:r>
                </w:p>
              </w:tc>
              <w:tc>
                <w:tcPr>
                  <w:tcW w:w="1375"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二级</w:t>
                  </w:r>
                </w:p>
              </w:tc>
            </w:tr>
            <w:tr w:rsidR="000E02C5" w:rsidRPr="00687B52" w:rsidTr="00552F8F">
              <w:trPr>
                <w:trHeight w:val="397"/>
              </w:trPr>
              <w:tc>
                <w:tcPr>
                  <w:tcW w:w="2729"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氧气站专用变配电站</w:t>
                  </w:r>
                </w:p>
              </w:tc>
              <w:tc>
                <w:tcPr>
                  <w:tcW w:w="1613"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丙类</w:t>
                  </w:r>
                </w:p>
              </w:tc>
              <w:tc>
                <w:tcPr>
                  <w:tcW w:w="1375"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二级</w:t>
                  </w:r>
                </w:p>
              </w:tc>
            </w:tr>
            <w:tr w:rsidR="000E02C5" w:rsidRPr="00687B52" w:rsidTr="00552F8F">
              <w:trPr>
                <w:trHeight w:val="397"/>
              </w:trPr>
              <w:tc>
                <w:tcPr>
                  <w:tcW w:w="2729"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油</w:t>
                  </w:r>
                  <w:r w:rsidRPr="00687B52">
                    <w:rPr>
                      <w:rStyle w:val="7pt"/>
                      <w:rFonts w:ascii="Segoe UI" w:eastAsia="宋体" w:hAnsi="Segoe UI" w:cs="Segoe UI" w:hint="eastAsia"/>
                      <w:color w:val="000000" w:themeColor="text1"/>
                      <w:kern w:val="2"/>
                      <w:sz w:val="21"/>
                      <w:szCs w:val="21"/>
                    </w:rPr>
                    <w:t>浸</w:t>
                  </w:r>
                  <w:r w:rsidRPr="00687B52">
                    <w:rPr>
                      <w:rStyle w:val="7pt"/>
                      <w:rFonts w:ascii="Segoe UI" w:eastAsia="宋体" w:hAnsi="Segoe UI" w:cs="Segoe UI"/>
                      <w:color w:val="000000" w:themeColor="text1"/>
                      <w:kern w:val="2"/>
                      <w:sz w:val="21"/>
                      <w:szCs w:val="21"/>
                    </w:rPr>
                    <w:t>变压器室</w:t>
                  </w:r>
                </w:p>
              </w:tc>
              <w:tc>
                <w:tcPr>
                  <w:tcW w:w="1613"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丙类</w:t>
                  </w:r>
                </w:p>
              </w:tc>
              <w:tc>
                <w:tcPr>
                  <w:tcW w:w="1375" w:type="dxa"/>
                  <w:shd w:val="clear" w:color="auto" w:fill="FFFFFF"/>
                  <w:vAlign w:val="center"/>
                </w:tcPr>
                <w:p w:rsidR="000E02C5" w:rsidRPr="00687B52" w:rsidRDefault="000E02C5"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kern w:val="2"/>
                      <w:sz w:val="21"/>
                      <w:szCs w:val="21"/>
                    </w:rPr>
                  </w:pPr>
                  <w:r w:rsidRPr="00687B52">
                    <w:rPr>
                      <w:rStyle w:val="7pt"/>
                      <w:rFonts w:ascii="Segoe UI" w:eastAsia="宋体" w:hAnsi="Segoe UI" w:cs="Segoe UI"/>
                      <w:color w:val="000000" w:themeColor="text1"/>
                      <w:kern w:val="2"/>
                      <w:sz w:val="21"/>
                      <w:szCs w:val="21"/>
                    </w:rPr>
                    <w:t>二级</w:t>
                  </w:r>
                </w:p>
              </w:tc>
            </w:tr>
          </w:tbl>
          <w:p w:rsidR="000E02C5" w:rsidRPr="00687B52" w:rsidRDefault="000E02C5" w:rsidP="00B527D4">
            <w:pPr>
              <w:adjustRightInd w:val="0"/>
              <w:snapToGrid w:val="0"/>
              <w:spacing w:line="276" w:lineRule="auto"/>
              <w:rPr>
                <w:rFonts w:ascii="Segoe UI" w:hAnsi="Segoe UI" w:cs="Segoe UI"/>
                <w:color w:val="000000" w:themeColor="text1"/>
                <w:szCs w:val="24"/>
              </w:rPr>
            </w:pPr>
            <w:r w:rsidRPr="00687B52">
              <w:rPr>
                <w:rFonts w:ascii="Segoe UI" w:hAnsi="Segoe UI" w:cs="Segoe UI"/>
                <w:color w:val="000000" w:themeColor="text1"/>
                <w:szCs w:val="24"/>
              </w:rPr>
              <w:t>注：</w:t>
            </w:r>
            <w:r w:rsidRPr="00687B52">
              <w:rPr>
                <w:rFonts w:ascii="Segoe UI" w:hAnsi="Segoe UI" w:cs="Segoe UI"/>
                <w:color w:val="000000" w:themeColor="text1"/>
                <w:szCs w:val="24"/>
              </w:rPr>
              <w:t>1</w:t>
            </w:r>
            <w:r w:rsidRPr="00687B52">
              <w:rPr>
                <w:rFonts w:ascii="Segoe UI" w:hAnsi="Segoe UI" w:cs="Segoe UI" w:hint="eastAsia"/>
                <w:color w:val="000000" w:themeColor="text1"/>
                <w:szCs w:val="24"/>
              </w:rPr>
              <w:t>）</w:t>
            </w:r>
            <w:r w:rsidRPr="00687B52">
              <w:rPr>
                <w:rFonts w:ascii="Segoe UI" w:hAnsi="Segoe UI" w:cs="Segoe UI"/>
                <w:color w:val="000000" w:themeColor="text1"/>
                <w:szCs w:val="24"/>
              </w:rPr>
              <w:t>液氧系统设施包括液氧贮罐、液氧泵、汽化器和阀门室；</w:t>
            </w:r>
          </w:p>
          <w:p w:rsidR="000E02C5" w:rsidRPr="00687B52" w:rsidRDefault="000E02C5" w:rsidP="00B527D4">
            <w:pPr>
              <w:adjustRightInd w:val="0"/>
              <w:snapToGrid w:val="0"/>
              <w:spacing w:line="276" w:lineRule="auto"/>
              <w:ind w:firstLineChars="200" w:firstLine="420"/>
              <w:rPr>
                <w:rFonts w:ascii="Segoe UI" w:hAnsi="Segoe UI" w:cs="Segoe UI"/>
                <w:color w:val="000000" w:themeColor="text1"/>
                <w:szCs w:val="24"/>
              </w:rPr>
            </w:pPr>
            <w:r w:rsidRPr="00687B52">
              <w:rPr>
                <w:rFonts w:ascii="Segoe UI" w:hAnsi="Segoe UI" w:cs="Segoe UI"/>
                <w:color w:val="000000" w:themeColor="text1"/>
                <w:szCs w:val="24"/>
              </w:rPr>
              <w:t>2</w:t>
            </w:r>
            <w:r w:rsidRPr="00687B52">
              <w:rPr>
                <w:rFonts w:ascii="Segoe UI" w:hAnsi="Segoe UI" w:cs="Segoe UI" w:hint="eastAsia"/>
                <w:color w:val="000000" w:themeColor="text1"/>
                <w:szCs w:val="24"/>
              </w:rPr>
              <w:t>）</w:t>
            </w:r>
            <w:r w:rsidRPr="00687B52">
              <w:rPr>
                <w:rFonts w:ascii="Segoe UI" w:hAnsi="Segoe UI" w:cs="Segoe UI"/>
                <w:color w:val="000000" w:themeColor="text1"/>
                <w:szCs w:val="24"/>
              </w:rPr>
              <w:t>氧气灌瓶站房包括氧气灌瓶间，</w:t>
            </w:r>
            <w:r w:rsidRPr="00687B52">
              <w:rPr>
                <w:rFonts w:ascii="Segoe UI" w:hAnsi="Segoe UI" w:cs="Segoe UI" w:hint="eastAsia"/>
                <w:color w:val="000000" w:themeColor="text1"/>
                <w:szCs w:val="24"/>
              </w:rPr>
              <w:t>氧</w:t>
            </w:r>
            <w:r w:rsidRPr="00687B52">
              <w:rPr>
                <w:rFonts w:ascii="Segoe UI" w:hAnsi="Segoe UI" w:cs="Segoe UI"/>
                <w:color w:val="000000" w:themeColor="text1"/>
                <w:szCs w:val="24"/>
              </w:rPr>
              <w:t>气空、实瓶间以及相应辅助生产间</w:t>
            </w:r>
            <w:r w:rsidRPr="00687B52">
              <w:rPr>
                <w:rFonts w:ascii="Segoe UI" w:hAnsi="Segoe UI" w:cs="Segoe UI" w:hint="eastAsia"/>
                <w:color w:val="000000" w:themeColor="text1"/>
                <w:szCs w:val="24"/>
              </w:rPr>
              <w:t>；</w:t>
            </w:r>
          </w:p>
          <w:p w:rsidR="000E02C5" w:rsidRPr="00687B52" w:rsidRDefault="000E02C5" w:rsidP="00B527D4">
            <w:pPr>
              <w:adjustRightInd w:val="0"/>
              <w:snapToGrid w:val="0"/>
              <w:spacing w:line="276" w:lineRule="auto"/>
              <w:ind w:firstLineChars="200" w:firstLine="420"/>
              <w:rPr>
                <w:rFonts w:ascii="Segoe UI" w:hAnsi="Segoe UI" w:cs="Segoe UI"/>
                <w:color w:val="000000" w:themeColor="text1"/>
                <w:szCs w:val="24"/>
              </w:rPr>
            </w:pPr>
            <w:r w:rsidRPr="00687B52">
              <w:rPr>
                <w:rFonts w:ascii="Segoe UI" w:hAnsi="Segoe UI" w:cs="Segoe UI"/>
                <w:color w:val="000000" w:themeColor="text1"/>
                <w:szCs w:val="24"/>
              </w:rPr>
              <w:t>3</w:t>
            </w:r>
            <w:r w:rsidRPr="00687B52">
              <w:rPr>
                <w:rFonts w:ascii="Segoe UI" w:hAnsi="Segoe UI" w:cs="Segoe UI" w:hint="eastAsia"/>
                <w:color w:val="000000" w:themeColor="text1"/>
                <w:szCs w:val="24"/>
              </w:rPr>
              <w:t>）</w:t>
            </w:r>
            <w:r w:rsidRPr="00687B52">
              <w:rPr>
                <w:rFonts w:ascii="Segoe UI" w:hAnsi="Segoe UI" w:cs="Segoe UI"/>
                <w:color w:val="000000" w:themeColor="text1"/>
                <w:szCs w:val="24"/>
              </w:rPr>
              <w:t>氮气、氩气灌瓶间包括氮气和氩气空、实瓶间以及相应辅助生产间；</w:t>
            </w:r>
          </w:p>
          <w:p w:rsidR="000E02C5" w:rsidRPr="00687B52" w:rsidRDefault="000E02C5" w:rsidP="00B527D4">
            <w:pPr>
              <w:adjustRightInd w:val="0"/>
              <w:snapToGrid w:val="0"/>
              <w:spacing w:line="276" w:lineRule="auto"/>
              <w:ind w:firstLineChars="200" w:firstLine="420"/>
              <w:rPr>
                <w:rFonts w:ascii="Segoe UI" w:hAnsi="Segoe UI" w:cs="Segoe UI"/>
                <w:color w:val="000000" w:themeColor="text1"/>
                <w:szCs w:val="24"/>
              </w:rPr>
            </w:pPr>
            <w:r w:rsidRPr="00687B52">
              <w:rPr>
                <w:rFonts w:ascii="Segoe UI" w:hAnsi="Segoe UI" w:cs="Segoe UI"/>
                <w:color w:val="000000" w:themeColor="text1"/>
                <w:szCs w:val="24"/>
              </w:rPr>
              <w:t>4</w:t>
            </w:r>
            <w:r w:rsidRPr="00687B52">
              <w:rPr>
                <w:rFonts w:ascii="Segoe UI" w:hAnsi="Segoe UI" w:cs="Segoe UI" w:hint="eastAsia"/>
                <w:color w:val="000000" w:themeColor="text1"/>
                <w:szCs w:val="24"/>
              </w:rPr>
              <w:t>）</w:t>
            </w:r>
            <w:r w:rsidRPr="00687B52">
              <w:rPr>
                <w:rFonts w:ascii="Segoe UI" w:hAnsi="Segoe UI" w:cs="Segoe UI"/>
                <w:color w:val="000000" w:themeColor="text1"/>
                <w:szCs w:val="24"/>
              </w:rPr>
              <w:t>氧气贮罐间包括气态氧压力贮罐或液氧贮罐；</w:t>
            </w:r>
          </w:p>
          <w:p w:rsidR="000E02C5" w:rsidRPr="00687B52" w:rsidRDefault="000E02C5" w:rsidP="00B527D4">
            <w:pPr>
              <w:ind w:firstLineChars="200" w:firstLine="420"/>
              <w:rPr>
                <w:rFonts w:ascii="黑体" w:eastAsia="黑体" w:hAnsi="黑体" w:cs="Segoe UI"/>
                <w:color w:val="000000" w:themeColor="text1"/>
                <w:sz w:val="24"/>
                <w:szCs w:val="24"/>
                <w:highlight w:val="magenta"/>
              </w:rPr>
            </w:pPr>
            <w:r w:rsidRPr="00687B52">
              <w:rPr>
                <w:rFonts w:ascii="Segoe UI" w:hAnsi="Segoe UI" w:cs="Segoe UI"/>
                <w:color w:val="000000" w:themeColor="text1"/>
                <w:szCs w:val="24"/>
              </w:rPr>
              <w:t>5</w:t>
            </w:r>
            <w:r w:rsidRPr="00687B52">
              <w:rPr>
                <w:rFonts w:ascii="Segoe UI" w:hAnsi="Segoe UI" w:cs="Segoe UI" w:hint="eastAsia"/>
                <w:color w:val="000000" w:themeColor="text1"/>
                <w:szCs w:val="24"/>
              </w:rPr>
              <w:t>）</w:t>
            </w:r>
            <w:r w:rsidRPr="00687B52">
              <w:rPr>
                <w:rFonts w:ascii="Segoe UI" w:hAnsi="Segoe UI" w:cs="Segoe UI"/>
                <w:color w:val="000000" w:themeColor="text1"/>
                <w:szCs w:val="24"/>
              </w:rPr>
              <w:t>氮气贮罐间包括气态氮压力贮罐或液氮贮罐。</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GB50030-2013第1.0.3条</w:t>
            </w:r>
          </w:p>
        </w:tc>
        <w:tc>
          <w:tcPr>
            <w:tcW w:w="1179" w:type="pct"/>
            <w:vAlign w:val="center"/>
          </w:tcPr>
          <w:p w:rsidR="000E02C5" w:rsidRPr="00687B52" w:rsidRDefault="000E02C5" w:rsidP="00B527D4">
            <w:pPr>
              <w:rPr>
                <w:rFonts w:ascii="宋体" w:hAnsi="宋体"/>
                <w:b/>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1.18</w:t>
            </w:r>
          </w:p>
        </w:tc>
        <w:tc>
          <w:tcPr>
            <w:tcW w:w="2334" w:type="pct"/>
            <w:gridSpan w:val="4"/>
            <w:vAlign w:val="center"/>
          </w:tcPr>
          <w:p w:rsidR="000E02C5" w:rsidRPr="00687B52" w:rsidRDefault="000E02C5" w:rsidP="00B527D4">
            <w:pPr>
              <w:adjustRightInd w:val="0"/>
              <w:snapToGrid w:val="0"/>
              <w:spacing w:line="276" w:lineRule="auto"/>
              <w:rPr>
                <w:rFonts w:ascii="黑体" w:eastAsia="黑体" w:hAnsi="黑体" w:cs="Segoe UI"/>
                <w:color w:val="000000" w:themeColor="text1"/>
                <w:sz w:val="24"/>
                <w:szCs w:val="24"/>
                <w:highlight w:val="magenta"/>
              </w:rPr>
            </w:pPr>
            <w:r w:rsidRPr="00687B52">
              <w:rPr>
                <w:rFonts w:ascii="Segoe UI" w:hAnsi="Segoe UI" w:cs="Segoe UI"/>
                <w:color w:val="000000" w:themeColor="text1"/>
                <w:sz w:val="24"/>
                <w:szCs w:val="24"/>
              </w:rPr>
              <w:t>氧气站的生产性站房宜为单层建筑物。</w:t>
            </w:r>
          </w:p>
        </w:tc>
        <w:tc>
          <w:tcPr>
            <w:tcW w:w="1183" w:type="pct"/>
            <w:vAlign w:val="center"/>
          </w:tcPr>
          <w:p w:rsidR="000E02C5" w:rsidRPr="00687B52" w:rsidRDefault="000E02C5" w:rsidP="00552F8F">
            <w:pPr>
              <w:pStyle w:val="a7"/>
              <w:rPr>
                <w:rFonts w:ascii="宋体" w:hAnsi="宋体"/>
                <w:b/>
                <w:color w:val="000000" w:themeColor="text1"/>
                <w:szCs w:val="24"/>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GB50030-2013第7.0.1条</w:t>
            </w:r>
          </w:p>
        </w:tc>
        <w:tc>
          <w:tcPr>
            <w:tcW w:w="1179" w:type="pct"/>
            <w:vAlign w:val="center"/>
          </w:tcPr>
          <w:p w:rsidR="000E02C5" w:rsidRPr="00687B52" w:rsidRDefault="000E02C5" w:rsidP="00B527D4">
            <w:pPr>
              <w:rPr>
                <w:rFonts w:ascii="宋体" w:hAnsi="宋体"/>
                <w:b/>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1.19</w:t>
            </w:r>
          </w:p>
        </w:tc>
        <w:tc>
          <w:tcPr>
            <w:tcW w:w="2334" w:type="pct"/>
            <w:gridSpan w:val="4"/>
            <w:vAlign w:val="center"/>
          </w:tcPr>
          <w:p w:rsidR="000E02C5" w:rsidRPr="00687B52" w:rsidRDefault="000E02C5" w:rsidP="00B527D4">
            <w:pPr>
              <w:adjustRightInd w:val="0"/>
              <w:snapToGrid w:val="0"/>
              <w:spacing w:line="276" w:lineRule="auto"/>
              <w:rPr>
                <w:rFonts w:ascii="Segoe UI" w:hAnsi="Segoe UI" w:cs="Segoe UI"/>
                <w:color w:val="000000" w:themeColor="text1"/>
                <w:sz w:val="24"/>
                <w:szCs w:val="24"/>
                <w:highlight w:val="magenta"/>
              </w:rPr>
            </w:pPr>
            <w:r w:rsidRPr="00687B52">
              <w:rPr>
                <w:rFonts w:ascii="宋体" w:hAnsi="宋体" w:cs="宋体" w:hint="eastAsia"/>
                <w:bCs/>
                <w:color w:val="000000" w:themeColor="text1"/>
                <w:sz w:val="24"/>
                <w:szCs w:val="24"/>
              </w:rPr>
              <w:t>当制氧站房或液氧系统设施和灌氧站房布置在同一建筑物内时，应采用耐火极限不低于2.0h的不燃烧体隔墙和乙级防火门进行分隔，并应通过走廊相通。</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《氧气站设计规范》</w:t>
            </w:r>
            <w:r w:rsidRPr="00687B52">
              <w:rPr>
                <w:rFonts w:ascii="宋体" w:hAnsi="宋体" w:hint="eastAsia"/>
                <w:bCs/>
                <w:color w:val="000000" w:themeColor="text1"/>
                <w:szCs w:val="24"/>
              </w:rPr>
              <w:t>GB50030-2013第7.0.3条</w:t>
            </w:r>
          </w:p>
        </w:tc>
        <w:tc>
          <w:tcPr>
            <w:tcW w:w="1179" w:type="pct"/>
            <w:vAlign w:val="center"/>
          </w:tcPr>
          <w:p w:rsidR="000E02C5" w:rsidRPr="00687B52" w:rsidRDefault="000E02C5" w:rsidP="00B527D4">
            <w:pPr>
              <w:rPr>
                <w:rFonts w:ascii="宋体" w:hAnsi="宋体"/>
                <w:b/>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1.20</w:t>
            </w:r>
          </w:p>
        </w:tc>
        <w:tc>
          <w:tcPr>
            <w:tcW w:w="2334" w:type="pct"/>
            <w:gridSpan w:val="4"/>
            <w:vAlign w:val="center"/>
          </w:tcPr>
          <w:p w:rsidR="000E02C5" w:rsidRPr="00687B52" w:rsidRDefault="000E02C5" w:rsidP="00B527D4">
            <w:pPr>
              <w:adjustRightInd w:val="0"/>
              <w:snapToGrid w:val="0"/>
              <w:spacing w:line="276" w:lineRule="auto"/>
              <w:rPr>
                <w:rFonts w:ascii="Segoe UI" w:hAnsi="Segoe UI" w:cs="Segoe UI"/>
                <w:color w:val="000000" w:themeColor="text1"/>
                <w:sz w:val="24"/>
                <w:szCs w:val="24"/>
                <w:highlight w:val="magenta"/>
              </w:rPr>
            </w:pPr>
            <w:r w:rsidRPr="00687B52">
              <w:rPr>
                <w:rFonts w:ascii="宋体" w:hAnsi="宋体" w:cs="宋体" w:hint="eastAsia"/>
                <w:bCs/>
                <w:color w:val="000000" w:themeColor="text1"/>
                <w:sz w:val="24"/>
                <w:szCs w:val="24"/>
              </w:rPr>
              <w:t>氧气贮气囊间、氧气压缩机间、氧气灌瓶间、氧气实瓶间、氧气贮罐间、液氧贮罐间、氧气汇流排间、氧气调压阀间等房间相互之间应采用耐火极限不低于2.0h的不燃烧体隔墙和乙级防火门窗进行分隔。</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《氧气站设计规范》</w:t>
            </w:r>
            <w:r w:rsidRPr="00687B52">
              <w:rPr>
                <w:rFonts w:ascii="宋体" w:hAnsi="宋体" w:hint="eastAsia"/>
                <w:bCs/>
                <w:color w:val="000000" w:themeColor="text1"/>
                <w:szCs w:val="24"/>
              </w:rPr>
              <w:t>GB50030-2013第7.0.4条</w:t>
            </w:r>
          </w:p>
        </w:tc>
        <w:tc>
          <w:tcPr>
            <w:tcW w:w="1179" w:type="pct"/>
            <w:vAlign w:val="center"/>
          </w:tcPr>
          <w:p w:rsidR="000E02C5" w:rsidRPr="00687B52" w:rsidRDefault="000E02C5" w:rsidP="00B527D4">
            <w:pPr>
              <w:rPr>
                <w:rFonts w:ascii="宋体" w:hAnsi="宋体"/>
                <w:b/>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1.21</w:t>
            </w:r>
          </w:p>
        </w:tc>
        <w:tc>
          <w:tcPr>
            <w:tcW w:w="2334" w:type="pct"/>
            <w:gridSpan w:val="4"/>
            <w:vAlign w:val="center"/>
          </w:tcPr>
          <w:p w:rsidR="000E02C5" w:rsidRPr="00687B52" w:rsidRDefault="000E02C5" w:rsidP="00B527D4">
            <w:pPr>
              <w:adjustRightInd w:val="0"/>
              <w:snapToGrid w:val="0"/>
              <w:spacing w:line="276" w:lineRule="auto"/>
              <w:rPr>
                <w:rFonts w:ascii="Segoe UI" w:hAnsi="Segoe UI" w:cs="Segoe UI"/>
                <w:color w:val="000000" w:themeColor="text1"/>
                <w:sz w:val="24"/>
                <w:szCs w:val="24"/>
                <w:highlight w:val="magenta"/>
              </w:rPr>
            </w:pPr>
            <w:r w:rsidRPr="00687B52">
              <w:rPr>
                <w:rFonts w:ascii="宋体" w:hAnsi="宋体" w:cs="宋体" w:hint="eastAsia"/>
                <w:bCs/>
                <w:color w:val="000000" w:themeColor="text1"/>
                <w:sz w:val="24"/>
                <w:szCs w:val="24"/>
              </w:rPr>
              <w:t>氧气压缩机间、氧气灌瓶间、氧气贮气囊间、氧气实瓶间、氧气贮罐间、液氧贮罐间、氧气汇流排间、氧气调压阀间等与其他毗连房间之间应采用耐火极限不低于2.0h的不燃烧体隔墙和乙级防火门窗进行分隔。</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《氧气站设计规范》</w:t>
            </w:r>
            <w:r w:rsidRPr="00687B52">
              <w:rPr>
                <w:rFonts w:ascii="宋体" w:hAnsi="宋体" w:hint="eastAsia"/>
                <w:bCs/>
                <w:color w:val="000000" w:themeColor="text1"/>
                <w:szCs w:val="24"/>
              </w:rPr>
              <w:t>GB50030-2013第7.0.5条</w:t>
            </w:r>
          </w:p>
        </w:tc>
        <w:tc>
          <w:tcPr>
            <w:tcW w:w="1179" w:type="pct"/>
            <w:vAlign w:val="center"/>
          </w:tcPr>
          <w:p w:rsidR="000E02C5" w:rsidRPr="00687B52" w:rsidRDefault="000E02C5" w:rsidP="00B527D4">
            <w:pPr>
              <w:rPr>
                <w:rFonts w:ascii="宋体" w:hAnsi="宋体"/>
                <w:b/>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1.22</w:t>
            </w:r>
          </w:p>
        </w:tc>
        <w:tc>
          <w:tcPr>
            <w:tcW w:w="2334" w:type="pct"/>
            <w:gridSpan w:val="4"/>
            <w:vAlign w:val="center"/>
          </w:tcPr>
          <w:p w:rsidR="000E02C5" w:rsidRPr="00687B52" w:rsidRDefault="000E02C5" w:rsidP="00B527D4">
            <w:pPr>
              <w:adjustRightInd w:val="0"/>
              <w:snapToGrid w:val="0"/>
              <w:spacing w:line="276" w:lineRule="auto"/>
              <w:rPr>
                <w:rFonts w:ascii="Segoe UI" w:hAnsi="Segoe UI" w:cs="Segoe UI"/>
                <w:color w:val="000000" w:themeColor="text1"/>
                <w:sz w:val="24"/>
                <w:szCs w:val="24"/>
                <w:highlight w:val="magenta"/>
              </w:rPr>
            </w:pPr>
            <w:r w:rsidRPr="00687B52">
              <w:rPr>
                <w:rFonts w:ascii="Segoe UI" w:hAnsi="Segoe UI" w:cs="Segoe UI"/>
                <w:color w:val="000000" w:themeColor="text1"/>
                <w:sz w:val="24"/>
                <w:szCs w:val="24"/>
              </w:rPr>
              <w:t>氧气站的主要生产间，其围护结构上的门窗应向外开启，并不得采用木质等可燃材料制作。</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GB50030-2013第7.0.6条</w:t>
            </w:r>
          </w:p>
        </w:tc>
        <w:tc>
          <w:tcPr>
            <w:tcW w:w="1179" w:type="pct"/>
            <w:vAlign w:val="center"/>
          </w:tcPr>
          <w:p w:rsidR="000E02C5" w:rsidRPr="00687B52" w:rsidRDefault="000E02C5" w:rsidP="00B527D4">
            <w:pPr>
              <w:rPr>
                <w:rFonts w:ascii="宋体" w:hAnsi="宋体"/>
                <w:b/>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1.23</w:t>
            </w:r>
          </w:p>
        </w:tc>
        <w:tc>
          <w:tcPr>
            <w:tcW w:w="2334" w:type="pct"/>
            <w:gridSpan w:val="4"/>
            <w:vAlign w:val="center"/>
          </w:tcPr>
          <w:p w:rsidR="000E02C5" w:rsidRPr="00687B52" w:rsidRDefault="000E02C5" w:rsidP="00B527D4">
            <w:pPr>
              <w:adjustRightInd w:val="0"/>
              <w:snapToGrid w:val="0"/>
              <w:spacing w:line="276" w:lineRule="auto"/>
              <w:rPr>
                <w:rFonts w:ascii="Segoe UI" w:hAnsi="Segoe UI" w:cs="Segoe UI"/>
                <w:color w:val="000000" w:themeColor="text1"/>
                <w:sz w:val="24"/>
                <w:szCs w:val="24"/>
                <w:highlight w:val="magenta"/>
              </w:rPr>
            </w:pPr>
            <w:r w:rsidRPr="00687B52">
              <w:rPr>
                <w:rFonts w:ascii="Segoe UI" w:hAnsi="Segoe UI" w:cs="Segoe UI"/>
                <w:color w:val="000000" w:themeColor="text1"/>
                <w:sz w:val="24"/>
                <w:szCs w:val="24"/>
              </w:rPr>
              <w:t>灌瓶间、实瓶间、汇流排间和贮气囊间的窗玻璃宜采用磨砂玻璃或涂白漆等措施，防止阳光直接照射。</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GB50030-2013第7.0.7条</w:t>
            </w:r>
          </w:p>
        </w:tc>
        <w:tc>
          <w:tcPr>
            <w:tcW w:w="1179" w:type="pct"/>
            <w:vAlign w:val="center"/>
          </w:tcPr>
          <w:p w:rsidR="000E02C5" w:rsidRPr="00687B52" w:rsidRDefault="000E02C5" w:rsidP="00B527D4">
            <w:pPr>
              <w:rPr>
                <w:rFonts w:ascii="宋体" w:hAnsi="宋体"/>
                <w:b/>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1.24</w:t>
            </w:r>
          </w:p>
        </w:tc>
        <w:tc>
          <w:tcPr>
            <w:tcW w:w="2334" w:type="pct"/>
            <w:gridSpan w:val="4"/>
            <w:vAlign w:val="center"/>
          </w:tcPr>
          <w:p w:rsidR="000E02C5" w:rsidRPr="00687B52" w:rsidRDefault="000E02C5" w:rsidP="00B527D4">
            <w:pPr>
              <w:adjustRightInd w:val="0"/>
              <w:snapToGrid w:val="0"/>
              <w:spacing w:line="276" w:lineRule="auto"/>
              <w:rPr>
                <w:rFonts w:ascii="Segoe UI" w:hAnsi="Segoe UI" w:cs="Segoe UI"/>
                <w:color w:val="000000" w:themeColor="text1"/>
                <w:sz w:val="24"/>
                <w:szCs w:val="24"/>
                <w:highlight w:val="magenta"/>
              </w:rPr>
            </w:pPr>
            <w:r w:rsidRPr="00687B52">
              <w:rPr>
                <w:rFonts w:ascii="宋体" w:hAnsi="宋体" w:cs="宋体" w:hint="eastAsia"/>
                <w:bCs/>
                <w:color w:val="000000" w:themeColor="text1"/>
                <w:sz w:val="24"/>
                <w:szCs w:val="24"/>
              </w:rPr>
              <w:t>灌瓶间的充灌台应设置高度不小于2m、厚度大于或等于200mm的钢筋混凝土防护墙。气瓶装卸平台应设置大于平台宽度的雨篷，雨篷和支撑应采用不燃烧体。</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《氧气站设计规范》</w:t>
            </w:r>
            <w:r w:rsidRPr="00687B52">
              <w:rPr>
                <w:rFonts w:ascii="宋体" w:hAnsi="宋体" w:hint="eastAsia"/>
                <w:bCs/>
                <w:color w:val="000000" w:themeColor="text1"/>
                <w:szCs w:val="24"/>
              </w:rPr>
              <w:t>GB50030-2013第7.0.8条</w:t>
            </w:r>
          </w:p>
        </w:tc>
        <w:tc>
          <w:tcPr>
            <w:tcW w:w="1179" w:type="pct"/>
            <w:vAlign w:val="center"/>
          </w:tcPr>
          <w:p w:rsidR="000E02C5" w:rsidRPr="00687B52" w:rsidRDefault="000E02C5" w:rsidP="00B527D4">
            <w:pPr>
              <w:rPr>
                <w:rFonts w:ascii="宋体" w:hAnsi="宋体"/>
                <w:b/>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1.25</w:t>
            </w:r>
          </w:p>
        </w:tc>
        <w:tc>
          <w:tcPr>
            <w:tcW w:w="2334" w:type="pct"/>
            <w:gridSpan w:val="4"/>
            <w:vAlign w:val="center"/>
          </w:tcPr>
          <w:p w:rsidR="000E02C5" w:rsidRPr="00687B52" w:rsidRDefault="000E02C5" w:rsidP="00B527D4">
            <w:pPr>
              <w:adjustRightInd w:val="0"/>
              <w:snapToGrid w:val="0"/>
              <w:spacing w:line="276" w:lineRule="auto"/>
              <w:rPr>
                <w:rFonts w:ascii="Segoe UI" w:hAnsi="Segoe UI" w:cs="Segoe UI"/>
                <w:color w:val="000000" w:themeColor="text1"/>
                <w:sz w:val="24"/>
                <w:szCs w:val="24"/>
                <w:highlight w:val="magenta"/>
              </w:rPr>
            </w:pPr>
            <w:r w:rsidRPr="00687B52">
              <w:rPr>
                <w:rFonts w:ascii="Segoe UI" w:hAnsi="Segoe UI" w:cs="Segoe UI"/>
                <w:color w:val="000000" w:themeColor="text1"/>
                <w:sz w:val="24"/>
                <w:szCs w:val="24"/>
              </w:rPr>
              <w:t>灌瓶间、汇流排间、空瓶间、实瓶间的地坪应平整、耐磨和防滑。</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GB50030-2013第7.0.9条</w:t>
            </w:r>
          </w:p>
        </w:tc>
        <w:tc>
          <w:tcPr>
            <w:tcW w:w="1179" w:type="pct"/>
            <w:vAlign w:val="center"/>
          </w:tcPr>
          <w:p w:rsidR="000E02C5" w:rsidRPr="00687B52" w:rsidRDefault="000E02C5" w:rsidP="00B527D4">
            <w:pPr>
              <w:rPr>
                <w:rFonts w:ascii="宋体" w:hAnsi="宋体"/>
                <w:b/>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1.26</w:t>
            </w:r>
          </w:p>
        </w:tc>
        <w:tc>
          <w:tcPr>
            <w:tcW w:w="2334" w:type="pct"/>
            <w:gridSpan w:val="4"/>
            <w:vAlign w:val="center"/>
          </w:tcPr>
          <w:p w:rsidR="000E02C5" w:rsidRPr="00687B52" w:rsidRDefault="000E02C5" w:rsidP="00B527D4">
            <w:pPr>
              <w:adjustRightInd w:val="0"/>
              <w:snapToGrid w:val="0"/>
              <w:spacing w:line="276" w:lineRule="auto"/>
              <w:rPr>
                <w:rFonts w:ascii="Segoe UI" w:hAnsi="Segoe UI" w:cs="Segoe UI"/>
                <w:color w:val="000000" w:themeColor="text1"/>
                <w:sz w:val="24"/>
                <w:szCs w:val="24"/>
                <w:highlight w:val="magenta"/>
              </w:rPr>
            </w:pPr>
            <w:r w:rsidRPr="00687B52">
              <w:rPr>
                <w:rFonts w:ascii="宋体" w:hAnsi="宋体" w:cs="宋体" w:hint="eastAsia"/>
                <w:bCs/>
                <w:color w:val="000000" w:themeColor="text1"/>
                <w:sz w:val="24"/>
                <w:szCs w:val="24"/>
              </w:rPr>
              <w:t>氧气站内的氢气瓶间应设置在靠外墙，且有直接通向室外的安全出口的专用房间内，氢气瓶间与相邻的房间应采用不低于2.0h耐火极限的无门、窗、洞的不燃烧体墙体分隔。</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《氧气站设计规范》</w:t>
            </w:r>
            <w:r w:rsidRPr="00687B52">
              <w:rPr>
                <w:rFonts w:ascii="宋体" w:hAnsi="宋体" w:hint="eastAsia"/>
                <w:bCs/>
                <w:color w:val="000000" w:themeColor="text1"/>
                <w:szCs w:val="24"/>
              </w:rPr>
              <w:t>GB50030-2013第7.0.11条</w:t>
            </w:r>
          </w:p>
        </w:tc>
        <w:tc>
          <w:tcPr>
            <w:tcW w:w="1179" w:type="pct"/>
            <w:vAlign w:val="center"/>
          </w:tcPr>
          <w:p w:rsidR="000E02C5" w:rsidRPr="00687B52" w:rsidRDefault="000E02C5" w:rsidP="00B527D4">
            <w:pPr>
              <w:rPr>
                <w:rFonts w:ascii="宋体" w:hAnsi="宋体"/>
                <w:b/>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1.27</w:t>
            </w:r>
          </w:p>
        </w:tc>
        <w:tc>
          <w:tcPr>
            <w:tcW w:w="2334" w:type="pct"/>
            <w:gridSpan w:val="4"/>
            <w:vAlign w:val="center"/>
          </w:tcPr>
          <w:p w:rsidR="000E02C5" w:rsidRPr="00687B52" w:rsidRDefault="000E02C5" w:rsidP="00B527D4">
            <w:pPr>
              <w:adjustRightInd w:val="0"/>
              <w:snapToGrid w:val="0"/>
              <w:spacing w:line="276" w:lineRule="auto"/>
              <w:rPr>
                <w:rFonts w:ascii="Segoe UI" w:hAnsi="Segoe UI" w:cs="Segoe UI"/>
                <w:color w:val="000000" w:themeColor="text1"/>
                <w:sz w:val="24"/>
                <w:szCs w:val="24"/>
                <w:highlight w:val="magenta"/>
              </w:rPr>
            </w:pPr>
            <w:r w:rsidRPr="00687B52">
              <w:rPr>
                <w:rFonts w:ascii="宋体" w:hAnsi="宋体" w:cs="宋体" w:hint="eastAsia"/>
                <w:bCs/>
                <w:color w:val="000000" w:themeColor="text1"/>
                <w:sz w:val="24"/>
                <w:szCs w:val="24"/>
              </w:rPr>
              <w:t>制氧站房、灌氧站房、氧气压缩机间、氧气储罐间、液氧储罐间、氢气瓶间、液氧系统和氧气汇流排间等严禁采用明火或电加热散热器采暖。</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《氧气站设计规范》</w:t>
            </w:r>
            <w:r w:rsidRPr="00687B52">
              <w:rPr>
                <w:rFonts w:ascii="宋体" w:hAnsi="宋体" w:hint="eastAsia"/>
                <w:bCs/>
                <w:color w:val="000000" w:themeColor="text1"/>
                <w:szCs w:val="24"/>
              </w:rPr>
              <w:t>GB50030-2013第10.0.1条</w:t>
            </w:r>
          </w:p>
        </w:tc>
        <w:tc>
          <w:tcPr>
            <w:tcW w:w="1179" w:type="pct"/>
            <w:vAlign w:val="center"/>
          </w:tcPr>
          <w:p w:rsidR="000E02C5" w:rsidRPr="00687B52" w:rsidRDefault="000E02C5" w:rsidP="00B527D4">
            <w:pPr>
              <w:rPr>
                <w:rFonts w:ascii="宋体" w:hAnsi="宋体"/>
                <w:b/>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1.28</w:t>
            </w:r>
          </w:p>
        </w:tc>
        <w:tc>
          <w:tcPr>
            <w:tcW w:w="2334" w:type="pct"/>
            <w:gridSpan w:val="4"/>
            <w:vAlign w:val="center"/>
          </w:tcPr>
          <w:p w:rsidR="000E02C5" w:rsidRPr="00687B52" w:rsidRDefault="000E02C5" w:rsidP="00B527D4">
            <w:pPr>
              <w:adjustRightInd w:val="0"/>
              <w:snapToGrid w:val="0"/>
              <w:spacing w:line="276" w:lineRule="auto"/>
              <w:rPr>
                <w:rFonts w:ascii="宋体" w:hAnsi="宋体" w:cs="宋体"/>
                <w:b/>
                <w:bCs/>
                <w:color w:val="000000" w:themeColor="text1"/>
                <w:sz w:val="24"/>
                <w:szCs w:val="24"/>
              </w:rPr>
            </w:pPr>
            <w:r w:rsidRPr="00687B52">
              <w:rPr>
                <w:rFonts w:ascii="宋体" w:hAnsi="宋体" w:cs="宋体" w:hint="eastAsia"/>
                <w:color w:val="000000" w:themeColor="text1"/>
                <w:kern w:val="0"/>
                <w:sz w:val="24"/>
              </w:rPr>
              <w:t>氧气汇流排间可与同一用途的气态乙炔站或乙炔汇流排间,毗连建造在耐火等级不低于二级的同一建筑物中,但应以无门、窗、洞的防护墙相互隔开。</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《深度冷冻法生产氧气机相关气体安全技术规程》GB16912-2008第4.6.4条</w:t>
            </w:r>
          </w:p>
        </w:tc>
        <w:tc>
          <w:tcPr>
            <w:tcW w:w="1179" w:type="pct"/>
            <w:vAlign w:val="center"/>
          </w:tcPr>
          <w:p w:rsidR="000E02C5" w:rsidRPr="00687B52" w:rsidRDefault="000E02C5" w:rsidP="00B527D4">
            <w:pPr>
              <w:rPr>
                <w:rFonts w:ascii="宋体" w:hAnsi="宋体"/>
                <w:b/>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1.29</w:t>
            </w:r>
          </w:p>
        </w:tc>
        <w:tc>
          <w:tcPr>
            <w:tcW w:w="2334" w:type="pct"/>
            <w:gridSpan w:val="4"/>
            <w:vAlign w:val="center"/>
          </w:tcPr>
          <w:p w:rsidR="000E02C5" w:rsidRPr="00687B52" w:rsidRDefault="000E02C5" w:rsidP="00B527D4">
            <w:pPr>
              <w:adjustRightInd w:val="0"/>
              <w:snapToGrid w:val="0"/>
              <w:spacing w:line="276" w:lineRule="auto"/>
              <w:rPr>
                <w:rFonts w:ascii="宋体" w:hAnsi="宋体" w:cs="宋体"/>
                <w:b/>
                <w:bCs/>
                <w:color w:val="000000" w:themeColor="text1"/>
                <w:sz w:val="24"/>
                <w:szCs w:val="24"/>
              </w:rPr>
            </w:pPr>
            <w:r w:rsidRPr="00687B52">
              <w:rPr>
                <w:rFonts w:ascii="宋体" w:hAnsi="宋体" w:cs="宋体" w:hint="eastAsia"/>
                <w:color w:val="000000" w:themeColor="text1"/>
                <w:kern w:val="0"/>
                <w:sz w:val="24"/>
              </w:rPr>
              <w:t>灌氧（氮、氩、氢）站房充装台应设高不低于2m、厚不小于200mm的钢筋混凝土防护墙。</w:t>
            </w:r>
          </w:p>
        </w:tc>
        <w:tc>
          <w:tcPr>
            <w:tcW w:w="1183" w:type="pct"/>
            <w:vAlign w:val="center"/>
          </w:tcPr>
          <w:p w:rsidR="000E02C5" w:rsidRPr="00687B52" w:rsidRDefault="000E02C5" w:rsidP="00552F8F">
            <w:pPr>
              <w:pStyle w:val="a7"/>
              <w:rPr>
                <w:rFonts w:ascii="宋体" w:hAnsi="宋体"/>
                <w:b/>
                <w:bCs/>
                <w:color w:val="000000" w:themeColor="text1"/>
                <w:szCs w:val="24"/>
              </w:rPr>
            </w:pPr>
            <w:r w:rsidRPr="00687B52">
              <w:rPr>
                <w:rFonts w:ascii="宋体" w:hAnsi="宋体" w:hint="eastAsia"/>
                <w:color w:val="000000" w:themeColor="text1"/>
                <w:szCs w:val="24"/>
              </w:rPr>
              <w:t>《深度冷冻法生产氧气机相关气体安全技术规程》GB16912-2008第4.6.5条</w:t>
            </w:r>
          </w:p>
        </w:tc>
        <w:tc>
          <w:tcPr>
            <w:tcW w:w="1179" w:type="pct"/>
            <w:vAlign w:val="center"/>
          </w:tcPr>
          <w:p w:rsidR="000E02C5" w:rsidRPr="00687B52" w:rsidRDefault="000E02C5" w:rsidP="00B527D4">
            <w:pPr>
              <w:rPr>
                <w:rFonts w:ascii="宋体" w:hAnsi="宋体"/>
                <w:b/>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1.30</w:t>
            </w:r>
          </w:p>
        </w:tc>
        <w:tc>
          <w:tcPr>
            <w:tcW w:w="2334" w:type="pct"/>
            <w:gridSpan w:val="4"/>
            <w:vAlign w:val="center"/>
          </w:tcPr>
          <w:p w:rsidR="000E02C5" w:rsidRPr="00687B52" w:rsidRDefault="000E02C5" w:rsidP="00B527D4">
            <w:pPr>
              <w:widowControl/>
              <w:adjustRightInd w:val="0"/>
              <w:snapToGrid w:val="0"/>
              <w:spacing w:line="360" w:lineRule="auto"/>
              <w:jc w:val="left"/>
              <w:rPr>
                <w:rFonts w:ascii="宋体" w:hAnsi="宋体" w:cs="宋体"/>
                <w:color w:val="000000" w:themeColor="text1"/>
                <w:kern w:val="0"/>
                <w:sz w:val="24"/>
                <w:highlight w:val="magenta"/>
              </w:rPr>
            </w:pPr>
            <w:r w:rsidRPr="00687B52">
              <w:rPr>
                <w:rFonts w:ascii="宋体" w:hAnsi="宋体" w:cs="宋体" w:hint="eastAsia"/>
                <w:color w:val="000000" w:themeColor="text1"/>
                <w:kern w:val="0"/>
                <w:sz w:val="24"/>
              </w:rPr>
              <w:t>氢气瓶间、储罐间、低温液体储槽间、汇流排间，均应设有安全出口。</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《深度冷冻法生产氧气机相关气体安全技术规程》GB16912-2008第4.6.13条</w:t>
            </w:r>
          </w:p>
        </w:tc>
        <w:tc>
          <w:tcPr>
            <w:tcW w:w="1179" w:type="pct"/>
            <w:vAlign w:val="center"/>
          </w:tcPr>
          <w:p w:rsidR="000E02C5" w:rsidRPr="00687B52" w:rsidRDefault="000E02C5" w:rsidP="00B527D4">
            <w:pPr>
              <w:rPr>
                <w:rFonts w:ascii="宋体" w:hAnsi="宋体"/>
                <w:b/>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1.31</w:t>
            </w:r>
          </w:p>
        </w:tc>
        <w:tc>
          <w:tcPr>
            <w:tcW w:w="2334" w:type="pct"/>
            <w:gridSpan w:val="4"/>
            <w:vAlign w:val="center"/>
          </w:tcPr>
          <w:p w:rsidR="000E02C5" w:rsidRPr="00687B52" w:rsidRDefault="000E02C5" w:rsidP="00B527D4">
            <w:pPr>
              <w:widowControl/>
              <w:adjustRightInd w:val="0"/>
              <w:snapToGrid w:val="0"/>
              <w:spacing w:line="360" w:lineRule="auto"/>
              <w:jc w:val="left"/>
              <w:rPr>
                <w:rStyle w:val="af5"/>
                <w:rFonts w:ascii="宋体" w:hAnsi="宋体" w:cs="宋体"/>
                <w:color w:val="000000" w:themeColor="text1"/>
                <w:sz w:val="24"/>
                <w:szCs w:val="22"/>
              </w:rPr>
            </w:pPr>
            <w:r w:rsidRPr="00687B52">
              <w:rPr>
                <w:rFonts w:ascii="宋体" w:hAnsi="宋体" w:cs="宋体" w:hint="eastAsia"/>
                <w:color w:val="000000" w:themeColor="text1"/>
                <w:kern w:val="0"/>
                <w:sz w:val="24"/>
              </w:rPr>
              <w:t>厂区四周应设围墙或围栏。</w:t>
            </w:r>
          </w:p>
        </w:tc>
        <w:tc>
          <w:tcPr>
            <w:tcW w:w="1183" w:type="pct"/>
            <w:vAlign w:val="center"/>
          </w:tcPr>
          <w:p w:rsidR="000E02C5" w:rsidRPr="00687B52" w:rsidRDefault="000E02C5" w:rsidP="00552F8F">
            <w:pPr>
              <w:pStyle w:val="a7"/>
              <w:rPr>
                <w:rFonts w:ascii="宋体" w:hAnsi="宋体"/>
                <w:color w:val="000000" w:themeColor="text1"/>
                <w:szCs w:val="24"/>
                <w:highlight w:val="magenta"/>
              </w:rPr>
            </w:pPr>
            <w:r w:rsidRPr="00687B52">
              <w:rPr>
                <w:rFonts w:ascii="宋体" w:hAnsi="宋体" w:hint="eastAsia"/>
                <w:color w:val="000000" w:themeColor="text1"/>
                <w:szCs w:val="24"/>
              </w:rPr>
              <w:t>《深度冷冻法生产氧气机相关气体安全技术规程》GB16912-2008第4.4.1条</w:t>
            </w:r>
          </w:p>
        </w:tc>
        <w:tc>
          <w:tcPr>
            <w:tcW w:w="1179" w:type="pct"/>
            <w:vAlign w:val="center"/>
          </w:tcPr>
          <w:p w:rsidR="000E02C5" w:rsidRPr="00687B52" w:rsidRDefault="000E02C5" w:rsidP="00B527D4">
            <w:pPr>
              <w:rPr>
                <w:rFonts w:ascii="宋体" w:hAnsi="宋体"/>
                <w:b/>
                <w:color w:val="000000" w:themeColor="text1"/>
                <w:sz w:val="24"/>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b/>
                <w:color w:val="000000" w:themeColor="text1"/>
                <w:szCs w:val="24"/>
              </w:rPr>
            </w:pPr>
            <w:r w:rsidRPr="00687B52">
              <w:rPr>
                <w:rFonts w:ascii="宋体" w:hAnsi="宋体" w:hint="eastAsia"/>
                <w:b/>
                <w:color w:val="000000" w:themeColor="text1"/>
                <w:szCs w:val="24"/>
              </w:rPr>
              <w:t>2</w:t>
            </w:r>
          </w:p>
        </w:tc>
        <w:tc>
          <w:tcPr>
            <w:tcW w:w="2334" w:type="pct"/>
            <w:gridSpan w:val="4"/>
          </w:tcPr>
          <w:p w:rsidR="000E02C5" w:rsidRPr="00687B52" w:rsidRDefault="000E02C5" w:rsidP="00B527D4">
            <w:pPr>
              <w:pStyle w:val="a7"/>
              <w:jc w:val="left"/>
              <w:rPr>
                <w:rFonts w:ascii="宋体" w:hAnsi="宋体"/>
                <w:b/>
                <w:color w:val="000000" w:themeColor="text1"/>
                <w:szCs w:val="24"/>
              </w:rPr>
            </w:pPr>
            <w:r w:rsidRPr="00687B52">
              <w:rPr>
                <w:rFonts w:ascii="宋体" w:hAnsi="宋体" w:cs="宋体"/>
                <w:b/>
                <w:bCs/>
                <w:color w:val="000000" w:themeColor="text1"/>
                <w:kern w:val="0"/>
                <w:sz w:val="22"/>
                <w:szCs w:val="22"/>
              </w:rPr>
              <w:t>工艺</w:t>
            </w:r>
            <w:r w:rsidRPr="00687B52">
              <w:rPr>
                <w:rFonts w:ascii="宋体" w:hAnsi="宋体" w:cs="宋体" w:hint="eastAsia"/>
                <w:b/>
                <w:bCs/>
                <w:color w:val="000000" w:themeColor="text1"/>
                <w:kern w:val="0"/>
                <w:sz w:val="22"/>
                <w:szCs w:val="22"/>
              </w:rPr>
              <w:t>系统与设备设施</w:t>
            </w:r>
          </w:p>
        </w:tc>
        <w:tc>
          <w:tcPr>
            <w:tcW w:w="1183" w:type="pct"/>
          </w:tcPr>
          <w:p w:rsidR="000E02C5" w:rsidRPr="00687B52" w:rsidRDefault="000E02C5" w:rsidP="00B527D4">
            <w:pPr>
              <w:pStyle w:val="a7"/>
              <w:rPr>
                <w:rFonts w:ascii="宋体" w:hAnsi="宋体"/>
                <w:b/>
                <w:color w:val="000000" w:themeColor="text1"/>
                <w:szCs w:val="24"/>
              </w:rPr>
            </w:pPr>
          </w:p>
        </w:tc>
        <w:tc>
          <w:tcPr>
            <w:tcW w:w="1179" w:type="pct"/>
          </w:tcPr>
          <w:p w:rsidR="000E02C5" w:rsidRPr="00687B52" w:rsidRDefault="000E02C5" w:rsidP="00B527D4">
            <w:pPr>
              <w:pStyle w:val="a7"/>
              <w:rPr>
                <w:rFonts w:ascii="宋体" w:hAnsi="宋体"/>
                <w:b/>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2.1</w:t>
            </w:r>
          </w:p>
        </w:tc>
        <w:tc>
          <w:tcPr>
            <w:tcW w:w="2334" w:type="pct"/>
            <w:gridSpan w:val="4"/>
            <w:vAlign w:val="center"/>
          </w:tcPr>
          <w:p w:rsidR="000E02C5" w:rsidRPr="00687B52" w:rsidRDefault="000E02C5" w:rsidP="00B527D4">
            <w:pPr>
              <w:pStyle w:val="af8"/>
              <w:rPr>
                <w:rFonts w:cs="Arial"/>
                <w:color w:val="000000" w:themeColor="text1"/>
                <w:kern w:val="2"/>
              </w:rPr>
            </w:pPr>
            <w:r w:rsidRPr="00687B52">
              <w:rPr>
                <w:rFonts w:cs="Arial" w:hint="eastAsia"/>
                <w:color w:val="000000" w:themeColor="text1"/>
                <w:kern w:val="2"/>
              </w:rPr>
              <w:t>低温液体加压用的低温液体泵应设置人口过滤器、轴封气和加温气体人口，以及低温液体泵出口设压力报警装置、轴承温度过高报警装置。</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GB50030-2013第4.0.18条</w:t>
            </w:r>
          </w:p>
        </w:tc>
        <w:tc>
          <w:tcPr>
            <w:tcW w:w="1179" w:type="pct"/>
          </w:tcPr>
          <w:p w:rsidR="000E02C5" w:rsidRPr="00687B52" w:rsidRDefault="000E02C5" w:rsidP="00B527D4">
            <w:pPr>
              <w:pStyle w:val="a7"/>
              <w:rPr>
                <w:rFonts w:ascii="宋体" w:hAnsi="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2.2</w:t>
            </w:r>
          </w:p>
        </w:tc>
        <w:tc>
          <w:tcPr>
            <w:tcW w:w="2334" w:type="pct"/>
            <w:gridSpan w:val="4"/>
            <w:vAlign w:val="center"/>
          </w:tcPr>
          <w:p w:rsidR="000E02C5" w:rsidRPr="00687B52" w:rsidRDefault="000E02C5" w:rsidP="00B527D4">
            <w:pPr>
              <w:pStyle w:val="af8"/>
              <w:rPr>
                <w:rFonts w:cs="Arial"/>
                <w:color w:val="000000" w:themeColor="text1"/>
                <w:kern w:val="2"/>
              </w:rPr>
            </w:pPr>
            <w:r w:rsidRPr="00687B52">
              <w:rPr>
                <w:rFonts w:cs="Arial" w:hint="eastAsia"/>
                <w:color w:val="000000" w:themeColor="text1"/>
                <w:kern w:val="2"/>
              </w:rPr>
              <w:t>低温液体产品采用水浴式汽化器时，应设置水温调节装置和出口气体温度过低报警装置。</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GB50030-2013第4.0.19条</w:t>
            </w:r>
          </w:p>
        </w:tc>
        <w:tc>
          <w:tcPr>
            <w:tcW w:w="1179" w:type="pct"/>
          </w:tcPr>
          <w:p w:rsidR="000E02C5" w:rsidRPr="00687B52" w:rsidRDefault="000E02C5" w:rsidP="00B527D4">
            <w:pPr>
              <w:pStyle w:val="a7"/>
              <w:rPr>
                <w:rFonts w:ascii="宋体" w:hAnsi="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2.3</w:t>
            </w:r>
          </w:p>
        </w:tc>
        <w:tc>
          <w:tcPr>
            <w:tcW w:w="2334" w:type="pct"/>
            <w:gridSpan w:val="4"/>
            <w:vAlign w:val="center"/>
          </w:tcPr>
          <w:p w:rsidR="000E02C5" w:rsidRPr="00687B52" w:rsidRDefault="000E02C5" w:rsidP="00B527D4">
            <w:pPr>
              <w:pStyle w:val="af8"/>
              <w:rPr>
                <w:rFonts w:cs="Arial"/>
                <w:color w:val="000000" w:themeColor="text1"/>
                <w:kern w:val="2"/>
              </w:rPr>
            </w:pPr>
            <w:r w:rsidRPr="00687B52">
              <w:rPr>
                <w:rFonts w:cs="Arial" w:hint="eastAsia"/>
                <w:color w:val="000000" w:themeColor="text1"/>
                <w:kern w:val="2"/>
              </w:rPr>
              <w:t>氧气、氮气、氩气钢瓶的灌装应符合下列规定：</w:t>
            </w:r>
          </w:p>
          <w:p w:rsidR="000E02C5" w:rsidRPr="00687B52" w:rsidRDefault="000E02C5" w:rsidP="00B527D4">
            <w:pPr>
              <w:pStyle w:val="af8"/>
              <w:rPr>
                <w:rFonts w:cs="Arial"/>
                <w:color w:val="000000" w:themeColor="text1"/>
                <w:kern w:val="2"/>
              </w:rPr>
            </w:pPr>
            <w:r w:rsidRPr="00687B52">
              <w:rPr>
                <w:rFonts w:cs="Arial" w:hint="eastAsia"/>
                <w:color w:val="000000" w:themeColor="text1"/>
                <w:kern w:val="2"/>
              </w:rPr>
              <w:t>1气态气体的灌装宜采用高压气体压缩机和充装台或钢瓶集装格灌装；</w:t>
            </w:r>
          </w:p>
          <w:p w:rsidR="000E02C5" w:rsidRPr="00687B52" w:rsidRDefault="000E02C5" w:rsidP="00B527D4">
            <w:pPr>
              <w:pStyle w:val="af8"/>
              <w:rPr>
                <w:rFonts w:cs="Arial"/>
                <w:color w:val="000000" w:themeColor="text1"/>
                <w:kern w:val="2"/>
              </w:rPr>
            </w:pPr>
            <w:r w:rsidRPr="00687B52">
              <w:rPr>
                <w:rFonts w:cs="Arial" w:hint="eastAsia"/>
                <w:color w:val="000000" w:themeColor="text1"/>
                <w:kern w:val="2"/>
              </w:rPr>
              <w:t>2液态气体的灌装宜采用低温液体泵一汽化器一充装台灌装；</w:t>
            </w:r>
          </w:p>
          <w:p w:rsidR="000E02C5" w:rsidRPr="00687B52" w:rsidRDefault="000E02C5" w:rsidP="00B527D4">
            <w:pPr>
              <w:pStyle w:val="af8"/>
              <w:rPr>
                <w:rFonts w:cs="Arial"/>
                <w:color w:val="000000" w:themeColor="text1"/>
                <w:kern w:val="2"/>
              </w:rPr>
            </w:pPr>
            <w:r w:rsidRPr="00687B52">
              <w:rPr>
                <w:rFonts w:cs="Arial" w:hint="eastAsia"/>
                <w:color w:val="000000" w:themeColor="text1"/>
                <w:kern w:val="2"/>
              </w:rPr>
              <w:t>3充装台前的气体管道上应设有紧急切断阀、安全阀、放空阀。</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GB50030-2013第4.0.21条</w:t>
            </w:r>
          </w:p>
        </w:tc>
        <w:tc>
          <w:tcPr>
            <w:tcW w:w="1179" w:type="pct"/>
          </w:tcPr>
          <w:p w:rsidR="000E02C5" w:rsidRPr="00687B52" w:rsidRDefault="000E02C5" w:rsidP="00B527D4">
            <w:pPr>
              <w:pStyle w:val="a7"/>
              <w:rPr>
                <w:rFonts w:ascii="宋体" w:hAnsi="宋体"/>
                <w:color w:val="000000" w:themeColor="text1"/>
                <w:szCs w:val="24"/>
              </w:rPr>
            </w:pPr>
          </w:p>
        </w:tc>
      </w:tr>
      <w:tr w:rsidR="000E02C5" w:rsidRPr="00687B52" w:rsidTr="00552F8F">
        <w:trPr>
          <w:trHeight w:val="505"/>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2.4</w:t>
            </w:r>
          </w:p>
        </w:tc>
        <w:tc>
          <w:tcPr>
            <w:tcW w:w="2334" w:type="pct"/>
            <w:gridSpan w:val="4"/>
            <w:vAlign w:val="center"/>
          </w:tcPr>
          <w:p w:rsidR="000E02C5" w:rsidRPr="00687B52" w:rsidRDefault="000E02C5" w:rsidP="00B527D4">
            <w:pPr>
              <w:pStyle w:val="af8"/>
              <w:spacing w:before="0" w:beforeAutospacing="0" w:after="0" w:afterAutospacing="0" w:line="480" w:lineRule="exact"/>
              <w:rPr>
                <w:rFonts w:cs="Arial"/>
                <w:color w:val="000000" w:themeColor="text1"/>
                <w:kern w:val="2"/>
              </w:rPr>
            </w:pPr>
            <w:r w:rsidRPr="00687B52">
              <w:rPr>
                <w:rFonts w:cs="Arial" w:hint="eastAsia"/>
                <w:color w:val="000000" w:themeColor="text1"/>
                <w:kern w:val="2"/>
              </w:rPr>
              <w:t>氧气、氮气、氩气充装台的设置应符合下列规定：</w:t>
            </w:r>
          </w:p>
          <w:p w:rsidR="000E02C5" w:rsidRPr="00687B52" w:rsidRDefault="000E02C5" w:rsidP="00B527D4">
            <w:pPr>
              <w:pStyle w:val="af8"/>
              <w:spacing w:before="0" w:beforeAutospacing="0" w:after="0" w:afterAutospacing="0" w:line="480" w:lineRule="exact"/>
              <w:rPr>
                <w:rFonts w:cs="Arial"/>
                <w:color w:val="000000" w:themeColor="text1"/>
                <w:kern w:val="2"/>
              </w:rPr>
            </w:pPr>
            <w:r w:rsidRPr="00687B52">
              <w:rPr>
                <w:rFonts w:cs="Arial" w:hint="eastAsia"/>
                <w:color w:val="000000" w:themeColor="text1"/>
                <w:kern w:val="2"/>
              </w:rPr>
              <w:t>1氧气、氮气、氩气充装台应设有超压泄放用安全阀；</w:t>
            </w:r>
          </w:p>
          <w:p w:rsidR="000E02C5" w:rsidRPr="00687B52" w:rsidRDefault="000E02C5" w:rsidP="00B527D4">
            <w:pPr>
              <w:pStyle w:val="af8"/>
              <w:spacing w:before="0" w:beforeAutospacing="0" w:after="0" w:afterAutospacing="0" w:line="480" w:lineRule="exact"/>
              <w:rPr>
                <w:rFonts w:cs="Arial"/>
                <w:color w:val="000000" w:themeColor="text1"/>
                <w:kern w:val="2"/>
              </w:rPr>
            </w:pPr>
            <w:r w:rsidRPr="00687B52">
              <w:rPr>
                <w:rFonts w:cs="Arial" w:hint="eastAsia"/>
                <w:color w:val="000000" w:themeColor="text1"/>
                <w:kern w:val="2"/>
              </w:rPr>
              <w:t>2氧气、氮气、氩气充装台应设有吹扫放空阀，放空管应接至室外安全处；</w:t>
            </w:r>
          </w:p>
          <w:p w:rsidR="000E02C5" w:rsidRPr="00687B52" w:rsidRDefault="000E02C5" w:rsidP="00B527D4">
            <w:pPr>
              <w:pStyle w:val="af8"/>
              <w:spacing w:before="0" w:beforeAutospacing="0" w:after="0" w:afterAutospacing="0" w:line="480" w:lineRule="exact"/>
              <w:rPr>
                <w:rFonts w:cs="Arial"/>
                <w:color w:val="000000" w:themeColor="text1"/>
                <w:kern w:val="2"/>
              </w:rPr>
            </w:pPr>
            <w:r w:rsidRPr="00687B52">
              <w:rPr>
                <w:rFonts w:cs="Arial" w:hint="eastAsia"/>
                <w:color w:val="000000" w:themeColor="text1"/>
                <w:kern w:val="2"/>
              </w:rPr>
              <w:t>3应设有分组切断阀、防错装接头等；</w:t>
            </w:r>
          </w:p>
          <w:p w:rsidR="000E02C5" w:rsidRPr="00687B52" w:rsidRDefault="000E02C5" w:rsidP="00B527D4">
            <w:pPr>
              <w:pStyle w:val="af8"/>
              <w:spacing w:before="0" w:beforeAutospacing="0" w:after="0" w:afterAutospacing="0" w:line="480" w:lineRule="exact"/>
              <w:rPr>
                <w:rFonts w:cs="Arial"/>
                <w:color w:val="000000" w:themeColor="text1"/>
                <w:kern w:val="2"/>
              </w:rPr>
            </w:pPr>
            <w:r w:rsidRPr="00687B52">
              <w:rPr>
                <w:rFonts w:cs="Arial" w:hint="eastAsia"/>
                <w:color w:val="000000" w:themeColor="text1"/>
                <w:kern w:val="2"/>
              </w:rPr>
              <w:t>4应设有灌装气体压力和钢瓶内余气压力的测试仪表。</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《氧气站设计规范》</w:t>
            </w:r>
            <w:r w:rsidRPr="00687B52">
              <w:rPr>
                <w:rFonts w:ascii="宋体" w:hAnsi="宋体" w:hint="eastAsia"/>
                <w:bCs/>
                <w:color w:val="000000" w:themeColor="text1"/>
                <w:szCs w:val="24"/>
              </w:rPr>
              <w:t>GB50030-2013第4.0.23条</w:t>
            </w:r>
          </w:p>
        </w:tc>
        <w:tc>
          <w:tcPr>
            <w:tcW w:w="1179" w:type="pct"/>
          </w:tcPr>
          <w:p w:rsidR="000E02C5" w:rsidRPr="00687B52" w:rsidRDefault="000E02C5" w:rsidP="00B527D4">
            <w:pPr>
              <w:pStyle w:val="a7"/>
              <w:rPr>
                <w:rFonts w:ascii="宋体" w:hAnsi="宋体"/>
                <w:color w:val="000000" w:themeColor="text1"/>
                <w:szCs w:val="24"/>
              </w:rPr>
            </w:pPr>
          </w:p>
        </w:tc>
      </w:tr>
      <w:tr w:rsidR="000E02C5" w:rsidRPr="00687B52" w:rsidTr="00552F8F">
        <w:trPr>
          <w:trHeight w:val="502"/>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2.5</w:t>
            </w:r>
          </w:p>
        </w:tc>
        <w:tc>
          <w:tcPr>
            <w:tcW w:w="2334" w:type="pct"/>
            <w:gridSpan w:val="4"/>
            <w:vAlign w:val="center"/>
          </w:tcPr>
          <w:p w:rsidR="000E02C5" w:rsidRPr="00687B52" w:rsidRDefault="000E02C5" w:rsidP="00B527D4">
            <w:pPr>
              <w:pStyle w:val="af8"/>
              <w:rPr>
                <w:rFonts w:cs="Arial"/>
                <w:color w:val="000000" w:themeColor="text1"/>
                <w:kern w:val="2"/>
              </w:rPr>
            </w:pPr>
            <w:r w:rsidRPr="00687B52">
              <w:rPr>
                <w:rFonts w:cs="Arial" w:hint="eastAsia"/>
                <w:color w:val="000000" w:themeColor="text1"/>
                <w:kern w:val="2"/>
              </w:rPr>
              <w:t>氧气站中氧气、氮气设备和管道中有冷凝水时，应经各自的专用疏水装置排至室外。</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GB50030-2013第4.0.24条</w:t>
            </w:r>
          </w:p>
        </w:tc>
        <w:tc>
          <w:tcPr>
            <w:tcW w:w="1179" w:type="pct"/>
          </w:tcPr>
          <w:p w:rsidR="000E02C5" w:rsidRPr="00687B52" w:rsidRDefault="000E02C5" w:rsidP="00B527D4">
            <w:pPr>
              <w:pStyle w:val="a7"/>
              <w:rPr>
                <w:rFonts w:ascii="宋体" w:hAnsi="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2.6</w:t>
            </w:r>
          </w:p>
        </w:tc>
        <w:tc>
          <w:tcPr>
            <w:tcW w:w="2334" w:type="pct"/>
            <w:gridSpan w:val="4"/>
            <w:vAlign w:val="center"/>
          </w:tcPr>
          <w:p w:rsidR="000E02C5" w:rsidRPr="00687B52" w:rsidRDefault="000E02C5" w:rsidP="00B527D4">
            <w:pPr>
              <w:pStyle w:val="af8"/>
              <w:shd w:val="clear" w:color="auto" w:fill="FFFFFF"/>
              <w:spacing w:before="0" w:beforeAutospacing="0" w:after="0" w:afterAutospacing="0"/>
              <w:rPr>
                <w:rFonts w:ascii="Times New Roman" w:hAnsi="Arial" w:cs="Arial"/>
                <w:color w:val="000000" w:themeColor="text1"/>
                <w:kern w:val="2"/>
                <w:szCs w:val="21"/>
              </w:rPr>
            </w:pPr>
            <w:r w:rsidRPr="00687B52">
              <w:rPr>
                <w:rFonts w:ascii="Segoe UI" w:hAnsi="Segoe UI" w:cs="Segoe UI"/>
                <w:color w:val="000000" w:themeColor="text1"/>
              </w:rPr>
              <w:t>灌装用充装台不应少于两组，其中一组充装时，另一组倒换钢瓶。每组钢瓶的数量应按充装用气体压缩机的排气量和充装时间确定。当确定有困难时，宜按用户一昼夜用气瓶数的</w:t>
            </w:r>
            <w:r w:rsidRPr="00687B52">
              <w:rPr>
                <w:rFonts w:ascii="Segoe UI" w:hAnsi="Segoe UI" w:cs="Segoe UI"/>
                <w:color w:val="000000" w:themeColor="text1"/>
              </w:rPr>
              <w:t>3</w:t>
            </w:r>
            <w:r w:rsidRPr="00687B52">
              <w:rPr>
                <w:rFonts w:ascii="Segoe UI" w:hAnsi="Segoe UI" w:cs="Segoe UI"/>
                <w:color w:val="000000" w:themeColor="text1"/>
              </w:rPr>
              <w:t>倍确定。</w:t>
            </w:r>
          </w:p>
        </w:tc>
        <w:tc>
          <w:tcPr>
            <w:tcW w:w="1183" w:type="pct"/>
            <w:vAlign w:val="center"/>
          </w:tcPr>
          <w:p w:rsidR="000E02C5" w:rsidRPr="00687B52" w:rsidRDefault="000E02C5" w:rsidP="00B527D4">
            <w:pPr>
              <w:pStyle w:val="a7"/>
              <w:rPr>
                <w:rFonts w:ascii="宋体" w:hAnsi="宋体"/>
                <w:color w:val="000000" w:themeColor="text1"/>
                <w:szCs w:val="24"/>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w:t>
            </w:r>
          </w:p>
          <w:p w:rsidR="000E02C5" w:rsidRPr="00687B52" w:rsidRDefault="000E02C5" w:rsidP="00B527D4">
            <w:pPr>
              <w:pStyle w:val="a7"/>
              <w:rPr>
                <w:rFonts w:ascii="宋体" w:hAnsi="宋体"/>
                <w:color w:val="000000" w:themeColor="text1"/>
                <w:szCs w:val="24"/>
              </w:rPr>
            </w:pPr>
            <w:r w:rsidRPr="00687B52">
              <w:rPr>
                <w:rFonts w:ascii="宋体" w:hAnsi="宋体" w:hint="eastAsia"/>
                <w:color w:val="000000" w:themeColor="text1"/>
                <w:szCs w:val="24"/>
              </w:rPr>
              <w:t>第5.0.9，5.0.11条</w:t>
            </w:r>
          </w:p>
        </w:tc>
        <w:tc>
          <w:tcPr>
            <w:tcW w:w="1179" w:type="pct"/>
          </w:tcPr>
          <w:p w:rsidR="000E02C5" w:rsidRPr="00687B52" w:rsidRDefault="000E02C5" w:rsidP="00B527D4">
            <w:pPr>
              <w:pStyle w:val="a7"/>
              <w:rPr>
                <w:rFonts w:ascii="宋体" w:hAnsi="宋体"/>
                <w:color w:val="000000" w:themeColor="text1"/>
                <w:szCs w:val="24"/>
              </w:rPr>
            </w:pPr>
          </w:p>
        </w:tc>
      </w:tr>
      <w:tr w:rsidR="000E02C5" w:rsidRPr="00687B52" w:rsidTr="00552F8F">
        <w:trPr>
          <w:trHeight w:val="670"/>
          <w:jc w:val="center"/>
        </w:trPr>
        <w:tc>
          <w:tcPr>
            <w:tcW w:w="304" w:type="pct"/>
            <w:vMerge w:val="restar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2.7</w:t>
            </w:r>
          </w:p>
        </w:tc>
        <w:tc>
          <w:tcPr>
            <w:tcW w:w="934" w:type="pct"/>
            <w:vMerge w:val="restart"/>
            <w:tcBorders>
              <w:right w:val="single" w:sz="4" w:space="0" w:color="auto"/>
            </w:tcBorders>
            <w:vAlign w:val="center"/>
          </w:tcPr>
          <w:p w:rsidR="000E02C5" w:rsidRPr="00687B52" w:rsidRDefault="000E02C5" w:rsidP="00B527D4">
            <w:pPr>
              <w:pStyle w:val="af8"/>
              <w:shd w:val="clear" w:color="auto" w:fill="FFFFFF"/>
              <w:spacing w:before="0" w:beforeAutospacing="0" w:after="0" w:afterAutospacing="0"/>
              <w:rPr>
                <w:color w:val="000000" w:themeColor="text1"/>
              </w:rPr>
            </w:pPr>
            <w:r w:rsidRPr="00687B52">
              <w:rPr>
                <w:rFonts w:ascii="Segoe UI" w:hAnsi="Segoe UI" w:cs="Segoe UI"/>
                <w:color w:val="000000" w:themeColor="text1"/>
              </w:rPr>
              <w:t>独立氧气瓶库的气瓶贮量应根据氧气灌装量、气瓶周转量和运输条件等因素确定。独立氧气瓶库的最大贮量不应超过表</w:t>
            </w:r>
            <w:r w:rsidRPr="00687B52">
              <w:rPr>
                <w:rFonts w:ascii="Segoe UI" w:hAnsi="Segoe UI" w:cs="Segoe UI"/>
                <w:color w:val="000000" w:themeColor="text1"/>
              </w:rPr>
              <w:t>6.0.6</w:t>
            </w:r>
            <w:r w:rsidRPr="00687B52">
              <w:rPr>
                <w:rFonts w:ascii="Segoe UI" w:hAnsi="Segoe UI" w:cs="Segoe UI"/>
                <w:color w:val="000000" w:themeColor="text1"/>
              </w:rPr>
              <w:t>的规定。</w:t>
            </w:r>
          </w:p>
        </w:tc>
        <w:tc>
          <w:tcPr>
            <w:tcW w:w="500" w:type="pct"/>
            <w:tcBorders>
              <w:left w:val="single" w:sz="4" w:space="0" w:color="auto"/>
              <w:bottom w:val="single" w:sz="4" w:space="0" w:color="auto"/>
              <w:right w:val="single" w:sz="4" w:space="0" w:color="auto"/>
            </w:tcBorders>
            <w:vAlign w:val="center"/>
          </w:tcPr>
          <w:p w:rsidR="000E02C5" w:rsidRPr="00687B52" w:rsidRDefault="000E02C5" w:rsidP="00B527D4">
            <w:pPr>
              <w:pStyle w:val="af8"/>
              <w:shd w:val="clear" w:color="auto" w:fill="FFFFFF"/>
              <w:spacing w:before="0" w:beforeAutospacing="0" w:after="0" w:afterAutospacing="0"/>
              <w:rPr>
                <w:rFonts w:ascii="Segoe UI" w:hAnsi="Segoe UI" w:cs="Segoe UI"/>
                <w:color w:val="000000" w:themeColor="text1"/>
              </w:rPr>
            </w:pPr>
            <w:r w:rsidRPr="00687B52">
              <w:rPr>
                <w:rFonts w:ascii="Segoe UI" w:hAnsi="Segoe UI" w:cs="Segoe UI" w:hint="eastAsia"/>
                <w:color w:val="000000" w:themeColor="text1"/>
              </w:rPr>
              <w:t>建筑物耐火等级</w:t>
            </w:r>
          </w:p>
        </w:tc>
        <w:tc>
          <w:tcPr>
            <w:tcW w:w="500" w:type="pct"/>
            <w:tcBorders>
              <w:left w:val="single" w:sz="4" w:space="0" w:color="auto"/>
              <w:bottom w:val="single" w:sz="4" w:space="0" w:color="auto"/>
              <w:right w:val="single" w:sz="4" w:space="0" w:color="auto"/>
            </w:tcBorders>
            <w:vAlign w:val="center"/>
          </w:tcPr>
          <w:p w:rsidR="000E02C5" w:rsidRPr="00687B52" w:rsidRDefault="000E02C5" w:rsidP="00B527D4">
            <w:pPr>
              <w:pStyle w:val="af8"/>
              <w:shd w:val="clear" w:color="auto" w:fill="FFFFFF"/>
              <w:spacing w:before="0" w:beforeAutospacing="0" w:after="0" w:afterAutospacing="0"/>
              <w:rPr>
                <w:rFonts w:ascii="Segoe UI" w:hAnsi="Segoe UI" w:cs="Segoe UI"/>
                <w:color w:val="000000" w:themeColor="text1"/>
              </w:rPr>
            </w:pPr>
            <w:r w:rsidRPr="00687B52">
              <w:rPr>
                <w:rFonts w:ascii="Segoe UI" w:hAnsi="Segoe UI" w:cs="Segoe UI" w:hint="eastAsia"/>
                <w:color w:val="000000" w:themeColor="text1"/>
              </w:rPr>
              <w:t>每座库房</w:t>
            </w:r>
          </w:p>
        </w:tc>
        <w:tc>
          <w:tcPr>
            <w:tcW w:w="400" w:type="pct"/>
            <w:tcBorders>
              <w:left w:val="single" w:sz="4" w:space="0" w:color="auto"/>
              <w:bottom w:val="single" w:sz="4" w:space="0" w:color="auto"/>
            </w:tcBorders>
            <w:vAlign w:val="center"/>
          </w:tcPr>
          <w:p w:rsidR="000E02C5" w:rsidRPr="00687B52" w:rsidRDefault="000E02C5" w:rsidP="00B527D4">
            <w:pPr>
              <w:pStyle w:val="af8"/>
              <w:shd w:val="clear" w:color="auto" w:fill="FFFFFF"/>
              <w:spacing w:before="0" w:beforeAutospacing="0" w:after="0" w:afterAutospacing="0"/>
              <w:rPr>
                <w:rFonts w:ascii="Segoe UI" w:hAnsi="Segoe UI" w:cs="Segoe UI"/>
                <w:color w:val="000000" w:themeColor="text1"/>
              </w:rPr>
            </w:pPr>
            <w:r w:rsidRPr="00687B52">
              <w:rPr>
                <w:rFonts w:ascii="Segoe UI" w:hAnsi="Segoe UI" w:cs="Segoe UI" w:hint="eastAsia"/>
                <w:color w:val="000000" w:themeColor="text1"/>
              </w:rPr>
              <w:t>每个防火分区</w:t>
            </w:r>
          </w:p>
        </w:tc>
        <w:tc>
          <w:tcPr>
            <w:tcW w:w="1183" w:type="pct"/>
            <w:vMerge w:val="restar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GB50030-2013第6.0.6条</w:t>
            </w:r>
          </w:p>
        </w:tc>
        <w:tc>
          <w:tcPr>
            <w:tcW w:w="1179" w:type="pct"/>
            <w:vMerge w:val="restart"/>
          </w:tcPr>
          <w:p w:rsidR="000E02C5" w:rsidRPr="00687B52" w:rsidRDefault="000E02C5" w:rsidP="00B527D4">
            <w:pPr>
              <w:pStyle w:val="a7"/>
              <w:rPr>
                <w:rFonts w:ascii="宋体" w:hAnsi="宋体"/>
                <w:color w:val="000000" w:themeColor="text1"/>
                <w:szCs w:val="24"/>
              </w:rPr>
            </w:pPr>
          </w:p>
        </w:tc>
      </w:tr>
      <w:tr w:rsidR="000E02C5" w:rsidRPr="00687B52" w:rsidTr="00552F8F">
        <w:trPr>
          <w:trHeight w:val="755"/>
          <w:jc w:val="center"/>
        </w:trPr>
        <w:tc>
          <w:tcPr>
            <w:tcW w:w="304" w:type="pct"/>
            <w:vMerge/>
            <w:vAlign w:val="center"/>
          </w:tcPr>
          <w:p w:rsidR="000E02C5" w:rsidRPr="00687B52" w:rsidRDefault="000E02C5" w:rsidP="00552F8F">
            <w:pPr>
              <w:pStyle w:val="a7"/>
              <w:rPr>
                <w:rFonts w:ascii="宋体" w:hAnsi="宋体"/>
                <w:color w:val="000000" w:themeColor="text1"/>
                <w:szCs w:val="24"/>
              </w:rPr>
            </w:pPr>
          </w:p>
        </w:tc>
        <w:tc>
          <w:tcPr>
            <w:tcW w:w="934" w:type="pct"/>
            <w:vMerge/>
            <w:tcBorders>
              <w:right w:val="single" w:sz="4" w:space="0" w:color="auto"/>
            </w:tcBorders>
            <w:vAlign w:val="center"/>
          </w:tcPr>
          <w:p w:rsidR="000E02C5" w:rsidRPr="00687B52" w:rsidRDefault="000E02C5" w:rsidP="00B527D4">
            <w:pPr>
              <w:pStyle w:val="af8"/>
              <w:shd w:val="clear" w:color="auto" w:fill="FFFFFF"/>
              <w:spacing w:before="0" w:beforeAutospacing="0" w:after="0" w:afterAutospacing="0"/>
              <w:rPr>
                <w:rFonts w:ascii="Segoe UI" w:hAnsi="Segoe UI" w:cs="Segoe UI"/>
                <w:color w:val="000000" w:themeColor="text1"/>
              </w:rPr>
            </w:pPr>
          </w:p>
        </w:tc>
        <w:tc>
          <w:tcPr>
            <w:tcW w:w="500" w:type="pct"/>
            <w:tcBorders>
              <w:top w:val="single" w:sz="4" w:space="0" w:color="auto"/>
              <w:left w:val="single" w:sz="4" w:space="0" w:color="auto"/>
              <w:bottom w:val="single" w:sz="4" w:space="0" w:color="auto"/>
              <w:right w:val="single" w:sz="4" w:space="0" w:color="auto"/>
            </w:tcBorders>
            <w:vAlign w:val="center"/>
          </w:tcPr>
          <w:p w:rsidR="000E02C5" w:rsidRPr="00687B52" w:rsidRDefault="000E02C5" w:rsidP="00B527D4">
            <w:pPr>
              <w:pStyle w:val="af8"/>
              <w:shd w:val="clear" w:color="auto" w:fill="FFFFFF"/>
              <w:spacing w:before="0" w:beforeAutospacing="0" w:after="0" w:afterAutospacing="0"/>
              <w:rPr>
                <w:rFonts w:ascii="Segoe UI" w:hAnsi="Segoe UI" w:cs="Segoe UI"/>
                <w:color w:val="000000" w:themeColor="text1"/>
              </w:rPr>
            </w:pPr>
            <w:r w:rsidRPr="00687B52">
              <w:rPr>
                <w:rFonts w:ascii="Segoe UI" w:hAnsi="Segoe UI" w:cs="Segoe UI" w:hint="eastAsia"/>
                <w:color w:val="000000" w:themeColor="text1"/>
              </w:rPr>
              <w:t>一、二级</w:t>
            </w:r>
          </w:p>
        </w:tc>
        <w:tc>
          <w:tcPr>
            <w:tcW w:w="500" w:type="pct"/>
            <w:tcBorders>
              <w:top w:val="single" w:sz="4" w:space="0" w:color="auto"/>
              <w:left w:val="single" w:sz="4" w:space="0" w:color="auto"/>
              <w:bottom w:val="single" w:sz="4" w:space="0" w:color="auto"/>
              <w:right w:val="single" w:sz="4" w:space="0" w:color="auto"/>
            </w:tcBorders>
            <w:vAlign w:val="center"/>
          </w:tcPr>
          <w:p w:rsidR="000E02C5" w:rsidRPr="00687B52" w:rsidRDefault="000E02C5" w:rsidP="00B527D4">
            <w:pPr>
              <w:pStyle w:val="af8"/>
              <w:shd w:val="clear" w:color="auto" w:fill="FFFFFF"/>
              <w:spacing w:before="0" w:beforeAutospacing="0" w:after="0" w:afterAutospacing="0"/>
              <w:rPr>
                <w:rFonts w:ascii="Segoe UI" w:hAnsi="Segoe UI" w:cs="Segoe UI"/>
                <w:color w:val="000000" w:themeColor="text1"/>
              </w:rPr>
            </w:pPr>
            <w:r w:rsidRPr="00687B52">
              <w:rPr>
                <w:rFonts w:ascii="Segoe UI" w:hAnsi="Segoe UI" w:cs="Segoe UI" w:hint="eastAsia"/>
                <w:color w:val="000000" w:themeColor="text1"/>
              </w:rPr>
              <w:t>13600</w:t>
            </w:r>
          </w:p>
        </w:tc>
        <w:tc>
          <w:tcPr>
            <w:tcW w:w="400" w:type="pct"/>
            <w:tcBorders>
              <w:top w:val="single" w:sz="4" w:space="0" w:color="auto"/>
              <w:left w:val="single" w:sz="4" w:space="0" w:color="auto"/>
              <w:bottom w:val="single" w:sz="4" w:space="0" w:color="auto"/>
            </w:tcBorders>
            <w:vAlign w:val="center"/>
          </w:tcPr>
          <w:p w:rsidR="000E02C5" w:rsidRPr="00687B52" w:rsidRDefault="000E02C5" w:rsidP="00B527D4">
            <w:pPr>
              <w:pStyle w:val="af8"/>
              <w:shd w:val="clear" w:color="auto" w:fill="FFFFFF"/>
              <w:spacing w:before="0" w:beforeAutospacing="0" w:after="0" w:afterAutospacing="0"/>
              <w:rPr>
                <w:rFonts w:ascii="Segoe UI" w:hAnsi="Segoe UI" w:cs="Segoe UI"/>
                <w:color w:val="000000" w:themeColor="text1"/>
              </w:rPr>
            </w:pPr>
            <w:r w:rsidRPr="00687B52">
              <w:rPr>
                <w:rFonts w:ascii="Segoe UI" w:hAnsi="Segoe UI" w:cs="Segoe UI" w:hint="eastAsia"/>
                <w:color w:val="000000" w:themeColor="text1"/>
              </w:rPr>
              <w:t>3400</w:t>
            </w:r>
          </w:p>
        </w:tc>
        <w:tc>
          <w:tcPr>
            <w:tcW w:w="1183" w:type="pct"/>
            <w:vMerge/>
            <w:vAlign w:val="center"/>
          </w:tcPr>
          <w:p w:rsidR="000E02C5" w:rsidRPr="00687B52" w:rsidRDefault="000E02C5" w:rsidP="00B527D4">
            <w:pPr>
              <w:pStyle w:val="a7"/>
              <w:rPr>
                <w:rFonts w:ascii="宋体" w:hAnsi="宋体"/>
                <w:color w:val="000000" w:themeColor="text1"/>
                <w:szCs w:val="24"/>
              </w:rPr>
            </w:pPr>
          </w:p>
        </w:tc>
        <w:tc>
          <w:tcPr>
            <w:tcW w:w="1179" w:type="pct"/>
            <w:vMerge/>
          </w:tcPr>
          <w:p w:rsidR="000E02C5" w:rsidRPr="00687B52" w:rsidRDefault="000E02C5" w:rsidP="00B527D4">
            <w:pPr>
              <w:pStyle w:val="a7"/>
              <w:rPr>
                <w:rFonts w:ascii="宋体" w:hAnsi="宋体"/>
                <w:color w:val="000000" w:themeColor="text1"/>
                <w:szCs w:val="24"/>
              </w:rPr>
            </w:pPr>
          </w:p>
        </w:tc>
      </w:tr>
      <w:tr w:rsidR="000E02C5" w:rsidRPr="00687B52" w:rsidTr="00552F8F">
        <w:trPr>
          <w:trHeight w:val="1091"/>
          <w:jc w:val="center"/>
        </w:trPr>
        <w:tc>
          <w:tcPr>
            <w:tcW w:w="304" w:type="pct"/>
            <w:vMerge/>
            <w:vAlign w:val="center"/>
          </w:tcPr>
          <w:p w:rsidR="000E02C5" w:rsidRPr="00687B52" w:rsidRDefault="000E02C5" w:rsidP="00552F8F">
            <w:pPr>
              <w:pStyle w:val="a7"/>
              <w:rPr>
                <w:rFonts w:ascii="宋体" w:hAnsi="宋体"/>
                <w:color w:val="000000" w:themeColor="text1"/>
                <w:szCs w:val="24"/>
              </w:rPr>
            </w:pPr>
          </w:p>
        </w:tc>
        <w:tc>
          <w:tcPr>
            <w:tcW w:w="934" w:type="pct"/>
            <w:vMerge/>
            <w:tcBorders>
              <w:right w:val="single" w:sz="4" w:space="0" w:color="auto"/>
            </w:tcBorders>
            <w:vAlign w:val="center"/>
          </w:tcPr>
          <w:p w:rsidR="000E02C5" w:rsidRPr="00687B52" w:rsidRDefault="000E02C5" w:rsidP="00B527D4">
            <w:pPr>
              <w:pStyle w:val="af8"/>
              <w:shd w:val="clear" w:color="auto" w:fill="FFFFFF"/>
              <w:spacing w:before="0" w:beforeAutospacing="0" w:after="0" w:afterAutospacing="0"/>
              <w:rPr>
                <w:rFonts w:ascii="Segoe UI" w:hAnsi="Segoe UI" w:cs="Segoe UI"/>
                <w:color w:val="000000" w:themeColor="text1"/>
              </w:rPr>
            </w:pPr>
          </w:p>
        </w:tc>
        <w:tc>
          <w:tcPr>
            <w:tcW w:w="500" w:type="pct"/>
            <w:tcBorders>
              <w:top w:val="single" w:sz="4" w:space="0" w:color="auto"/>
              <w:left w:val="single" w:sz="4" w:space="0" w:color="auto"/>
              <w:right w:val="single" w:sz="4" w:space="0" w:color="auto"/>
            </w:tcBorders>
            <w:vAlign w:val="center"/>
          </w:tcPr>
          <w:p w:rsidR="000E02C5" w:rsidRPr="00687B52" w:rsidRDefault="000E02C5" w:rsidP="00B527D4">
            <w:pPr>
              <w:pStyle w:val="af8"/>
              <w:shd w:val="clear" w:color="auto" w:fill="FFFFFF"/>
              <w:spacing w:before="0" w:beforeAutospacing="0" w:after="0" w:afterAutospacing="0"/>
              <w:rPr>
                <w:rFonts w:ascii="Segoe UI" w:hAnsi="Segoe UI" w:cs="Segoe UI"/>
                <w:color w:val="000000" w:themeColor="text1"/>
              </w:rPr>
            </w:pPr>
            <w:r w:rsidRPr="00687B52">
              <w:rPr>
                <w:rFonts w:ascii="Segoe UI" w:hAnsi="Segoe UI" w:cs="Segoe UI" w:hint="eastAsia"/>
                <w:color w:val="000000" w:themeColor="text1"/>
              </w:rPr>
              <w:t>三级</w:t>
            </w:r>
          </w:p>
        </w:tc>
        <w:tc>
          <w:tcPr>
            <w:tcW w:w="500" w:type="pct"/>
            <w:tcBorders>
              <w:top w:val="single" w:sz="4" w:space="0" w:color="auto"/>
              <w:left w:val="single" w:sz="4" w:space="0" w:color="auto"/>
              <w:right w:val="single" w:sz="4" w:space="0" w:color="auto"/>
            </w:tcBorders>
            <w:vAlign w:val="center"/>
          </w:tcPr>
          <w:p w:rsidR="000E02C5" w:rsidRPr="00687B52" w:rsidRDefault="000E02C5" w:rsidP="00B527D4">
            <w:pPr>
              <w:pStyle w:val="af8"/>
              <w:shd w:val="clear" w:color="auto" w:fill="FFFFFF"/>
              <w:spacing w:before="0" w:beforeAutospacing="0" w:after="0" w:afterAutospacing="0"/>
              <w:rPr>
                <w:rFonts w:ascii="Segoe UI" w:hAnsi="Segoe UI" w:cs="Segoe UI"/>
                <w:color w:val="000000" w:themeColor="text1"/>
              </w:rPr>
            </w:pPr>
            <w:r w:rsidRPr="00687B52">
              <w:rPr>
                <w:rFonts w:ascii="Segoe UI" w:hAnsi="Segoe UI" w:cs="Segoe UI" w:hint="eastAsia"/>
                <w:color w:val="000000" w:themeColor="text1"/>
              </w:rPr>
              <w:t>4500</w:t>
            </w:r>
          </w:p>
        </w:tc>
        <w:tc>
          <w:tcPr>
            <w:tcW w:w="400" w:type="pct"/>
            <w:tcBorders>
              <w:top w:val="single" w:sz="4" w:space="0" w:color="auto"/>
              <w:left w:val="single" w:sz="4" w:space="0" w:color="auto"/>
            </w:tcBorders>
            <w:vAlign w:val="center"/>
          </w:tcPr>
          <w:p w:rsidR="000E02C5" w:rsidRPr="00687B52" w:rsidRDefault="000E02C5" w:rsidP="00B527D4">
            <w:pPr>
              <w:pStyle w:val="af8"/>
              <w:shd w:val="clear" w:color="auto" w:fill="FFFFFF"/>
              <w:spacing w:before="0" w:beforeAutospacing="0" w:after="0" w:afterAutospacing="0"/>
              <w:rPr>
                <w:rFonts w:ascii="Segoe UI" w:hAnsi="Segoe UI" w:cs="Segoe UI"/>
                <w:color w:val="000000" w:themeColor="text1"/>
              </w:rPr>
            </w:pPr>
            <w:r w:rsidRPr="00687B52">
              <w:rPr>
                <w:rFonts w:ascii="Segoe UI" w:hAnsi="Segoe UI" w:cs="Segoe UI" w:hint="eastAsia"/>
                <w:color w:val="000000" w:themeColor="text1"/>
              </w:rPr>
              <w:t>1500</w:t>
            </w:r>
          </w:p>
        </w:tc>
        <w:tc>
          <w:tcPr>
            <w:tcW w:w="1183" w:type="pct"/>
            <w:vMerge/>
            <w:vAlign w:val="center"/>
          </w:tcPr>
          <w:p w:rsidR="000E02C5" w:rsidRPr="00687B52" w:rsidRDefault="000E02C5" w:rsidP="00B527D4">
            <w:pPr>
              <w:pStyle w:val="a7"/>
              <w:rPr>
                <w:rFonts w:ascii="宋体" w:hAnsi="宋体"/>
                <w:color w:val="000000" w:themeColor="text1"/>
                <w:szCs w:val="24"/>
              </w:rPr>
            </w:pPr>
          </w:p>
        </w:tc>
        <w:tc>
          <w:tcPr>
            <w:tcW w:w="1179" w:type="pct"/>
            <w:vMerge/>
          </w:tcPr>
          <w:p w:rsidR="000E02C5" w:rsidRPr="00687B52" w:rsidRDefault="000E02C5" w:rsidP="00B527D4">
            <w:pPr>
              <w:pStyle w:val="a7"/>
              <w:rPr>
                <w:rFonts w:ascii="宋体" w:hAnsi="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2.8</w:t>
            </w:r>
          </w:p>
        </w:tc>
        <w:tc>
          <w:tcPr>
            <w:tcW w:w="2334" w:type="pct"/>
            <w:gridSpan w:val="4"/>
            <w:vAlign w:val="center"/>
          </w:tcPr>
          <w:p w:rsidR="000E02C5" w:rsidRPr="00687B52" w:rsidRDefault="000E02C5" w:rsidP="00B527D4">
            <w:pPr>
              <w:adjustRightInd w:val="0"/>
              <w:snapToGrid w:val="0"/>
              <w:spacing w:line="276" w:lineRule="auto"/>
              <w:rPr>
                <w:rFonts w:ascii="Segoe UI" w:hAnsi="Segoe UI" w:cs="Segoe UI"/>
                <w:color w:val="000000" w:themeColor="text1"/>
                <w:sz w:val="24"/>
                <w:szCs w:val="24"/>
              </w:rPr>
            </w:pPr>
            <w:r w:rsidRPr="00687B52">
              <w:rPr>
                <w:rFonts w:ascii="Segoe UI" w:hAnsi="Segoe UI" w:cs="Segoe UI"/>
                <w:color w:val="000000" w:themeColor="text1"/>
                <w:kern w:val="0"/>
                <w:sz w:val="24"/>
                <w:szCs w:val="24"/>
              </w:rPr>
              <w:t>氧气站的氧气、氮气等放散管和液氧、液氮等排放管均应引至室外安全处，放散管口距地面不得低于</w:t>
            </w:r>
            <w:r w:rsidRPr="00687B52">
              <w:rPr>
                <w:rFonts w:ascii="Segoe UI" w:hAnsi="Segoe UI" w:cs="Segoe UI"/>
                <w:color w:val="000000" w:themeColor="text1"/>
                <w:kern w:val="0"/>
                <w:sz w:val="24"/>
                <w:szCs w:val="24"/>
              </w:rPr>
              <w:t>4.5m</w:t>
            </w:r>
            <w:r w:rsidRPr="00687B52">
              <w:rPr>
                <w:rFonts w:ascii="Segoe UI" w:hAnsi="Segoe UI" w:cs="Segoe UI"/>
                <w:color w:val="000000" w:themeColor="text1"/>
                <w:kern w:val="0"/>
                <w:sz w:val="24"/>
                <w:szCs w:val="24"/>
              </w:rPr>
              <w:t>。</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GB50030-2013第6.0.13条</w:t>
            </w:r>
          </w:p>
        </w:tc>
        <w:tc>
          <w:tcPr>
            <w:tcW w:w="1179" w:type="pct"/>
          </w:tcPr>
          <w:p w:rsidR="000E02C5" w:rsidRPr="00687B52" w:rsidRDefault="000E02C5" w:rsidP="00B527D4">
            <w:pPr>
              <w:pStyle w:val="a7"/>
              <w:rPr>
                <w:rFonts w:ascii="宋体" w:hAnsi="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2.9</w:t>
            </w:r>
          </w:p>
        </w:tc>
        <w:tc>
          <w:tcPr>
            <w:tcW w:w="2334" w:type="pct"/>
            <w:gridSpan w:val="4"/>
            <w:vAlign w:val="center"/>
          </w:tcPr>
          <w:p w:rsidR="000E02C5" w:rsidRPr="00687B52" w:rsidRDefault="000E02C5" w:rsidP="00B527D4">
            <w:pPr>
              <w:adjustRightInd w:val="0"/>
              <w:snapToGrid w:val="0"/>
              <w:spacing w:line="276" w:lineRule="auto"/>
              <w:rPr>
                <w:rFonts w:ascii="Segoe UI" w:hAnsi="Segoe UI" w:cs="Segoe UI"/>
                <w:color w:val="000000" w:themeColor="text1"/>
                <w:kern w:val="0"/>
                <w:sz w:val="24"/>
                <w:szCs w:val="24"/>
              </w:rPr>
            </w:pPr>
            <w:r w:rsidRPr="00687B52">
              <w:rPr>
                <w:rFonts w:ascii="Segoe UI" w:hAnsi="Segoe UI" w:cs="Segoe UI"/>
                <w:color w:val="000000" w:themeColor="text1"/>
                <w:kern w:val="0"/>
                <w:sz w:val="24"/>
                <w:szCs w:val="24"/>
              </w:rPr>
              <w:t>气体灌装设施的布置应符合下列规定：</w:t>
            </w:r>
          </w:p>
          <w:p w:rsidR="000E02C5" w:rsidRPr="00687B52" w:rsidRDefault="000E02C5" w:rsidP="00B527D4">
            <w:pPr>
              <w:adjustRightInd w:val="0"/>
              <w:snapToGrid w:val="0"/>
              <w:spacing w:line="276" w:lineRule="auto"/>
              <w:rPr>
                <w:rFonts w:ascii="Segoe UI" w:hAnsi="Segoe UI" w:cs="Segoe UI"/>
                <w:color w:val="000000" w:themeColor="text1"/>
                <w:kern w:val="0"/>
                <w:sz w:val="24"/>
                <w:szCs w:val="24"/>
              </w:rPr>
            </w:pPr>
            <w:r w:rsidRPr="00687B52">
              <w:rPr>
                <w:rFonts w:ascii="Segoe UI" w:hAnsi="Segoe UI" w:cs="Segoe UI"/>
                <w:color w:val="000000" w:themeColor="text1"/>
                <w:kern w:val="0"/>
                <w:sz w:val="24"/>
                <w:szCs w:val="24"/>
              </w:rPr>
              <w:t>1</w:t>
            </w:r>
            <w:r w:rsidRPr="00687B52">
              <w:rPr>
                <w:rFonts w:ascii="Segoe UI" w:hAnsi="Segoe UI" w:cs="Segoe UI" w:hint="eastAsia"/>
                <w:color w:val="000000" w:themeColor="text1"/>
                <w:kern w:val="0"/>
                <w:sz w:val="24"/>
                <w:szCs w:val="24"/>
              </w:rPr>
              <w:t>）</w:t>
            </w:r>
            <w:r w:rsidRPr="00687B52">
              <w:rPr>
                <w:rFonts w:ascii="Segoe UI" w:hAnsi="Segoe UI" w:cs="Segoe UI"/>
                <w:color w:val="000000" w:themeColor="text1"/>
                <w:kern w:val="0"/>
                <w:sz w:val="24"/>
                <w:szCs w:val="24"/>
              </w:rPr>
              <w:t>灌瓶间、空瓶间和实瓶间的通道净宽度应根据气瓶运输方式确定，但不宜小于</w:t>
            </w:r>
            <w:r w:rsidRPr="00687B52">
              <w:rPr>
                <w:rFonts w:ascii="Segoe UI" w:hAnsi="Segoe UI" w:cs="Segoe UI"/>
                <w:color w:val="000000" w:themeColor="text1"/>
                <w:kern w:val="0"/>
                <w:sz w:val="24"/>
                <w:szCs w:val="24"/>
              </w:rPr>
              <w:t>1.5m</w:t>
            </w:r>
            <w:r w:rsidRPr="00687B52">
              <w:rPr>
                <w:rFonts w:ascii="Segoe UI" w:hAnsi="Segoe UI" w:cs="Segoe UI"/>
                <w:color w:val="000000" w:themeColor="text1"/>
                <w:kern w:val="0"/>
                <w:sz w:val="24"/>
                <w:szCs w:val="24"/>
              </w:rPr>
              <w:t>；采用集装格钢瓶组时，不宜小于</w:t>
            </w:r>
            <w:r w:rsidRPr="00687B52">
              <w:rPr>
                <w:rFonts w:ascii="Segoe UI" w:hAnsi="Segoe UI" w:cs="Segoe UI"/>
                <w:color w:val="000000" w:themeColor="text1"/>
                <w:kern w:val="0"/>
                <w:sz w:val="24"/>
                <w:szCs w:val="24"/>
              </w:rPr>
              <w:t>2.0</w:t>
            </w:r>
            <w:r w:rsidRPr="00687B52">
              <w:rPr>
                <w:rFonts w:ascii="Segoe UI" w:hAnsi="Segoe UI" w:cs="Segoe UI" w:hint="eastAsia"/>
                <w:color w:val="000000" w:themeColor="text1"/>
                <w:kern w:val="0"/>
                <w:sz w:val="24"/>
                <w:szCs w:val="24"/>
              </w:rPr>
              <w:t>m</w:t>
            </w:r>
            <w:r w:rsidRPr="00687B52">
              <w:rPr>
                <w:rFonts w:ascii="Segoe UI" w:hAnsi="Segoe UI" w:cs="Segoe UI"/>
                <w:color w:val="000000" w:themeColor="text1"/>
                <w:kern w:val="0"/>
                <w:sz w:val="24"/>
                <w:szCs w:val="24"/>
              </w:rPr>
              <w:t>；</w:t>
            </w:r>
          </w:p>
          <w:p w:rsidR="000E02C5" w:rsidRPr="00687B52" w:rsidRDefault="000E02C5" w:rsidP="00B527D4">
            <w:pPr>
              <w:adjustRightInd w:val="0"/>
              <w:snapToGrid w:val="0"/>
              <w:spacing w:line="276" w:lineRule="auto"/>
              <w:rPr>
                <w:rFonts w:ascii="Segoe UI" w:hAnsi="Segoe UI" w:cs="Segoe UI"/>
                <w:color w:val="000000" w:themeColor="text1"/>
                <w:kern w:val="0"/>
                <w:sz w:val="24"/>
                <w:szCs w:val="24"/>
              </w:rPr>
            </w:pPr>
            <w:r w:rsidRPr="00687B52">
              <w:rPr>
                <w:rFonts w:ascii="Segoe UI" w:hAnsi="Segoe UI" w:cs="Segoe UI"/>
                <w:color w:val="000000" w:themeColor="text1"/>
                <w:kern w:val="0"/>
                <w:sz w:val="24"/>
                <w:szCs w:val="24"/>
              </w:rPr>
              <w:t>2</w:t>
            </w:r>
            <w:r w:rsidRPr="00687B52">
              <w:rPr>
                <w:rFonts w:ascii="Segoe UI" w:hAnsi="Segoe UI" w:cs="Segoe UI" w:hint="eastAsia"/>
                <w:color w:val="000000" w:themeColor="text1"/>
                <w:kern w:val="0"/>
                <w:sz w:val="24"/>
                <w:szCs w:val="24"/>
              </w:rPr>
              <w:t>）</w:t>
            </w:r>
            <w:r w:rsidRPr="00687B52">
              <w:rPr>
                <w:rFonts w:ascii="Segoe UI" w:hAnsi="Segoe UI" w:cs="Segoe UI"/>
                <w:color w:val="000000" w:themeColor="text1"/>
                <w:kern w:val="0"/>
                <w:sz w:val="24"/>
                <w:szCs w:val="24"/>
              </w:rPr>
              <w:t>空瓶间、实瓶间应设置钢瓶装卸平台。平台宽度宜为</w:t>
            </w:r>
            <w:r w:rsidRPr="00687B52">
              <w:rPr>
                <w:rFonts w:ascii="Segoe UI" w:hAnsi="Segoe UI" w:cs="Segoe UI"/>
                <w:color w:val="000000" w:themeColor="text1"/>
                <w:kern w:val="0"/>
                <w:sz w:val="24"/>
                <w:szCs w:val="24"/>
              </w:rPr>
              <w:t>2m</w:t>
            </w:r>
            <w:r w:rsidRPr="00687B52">
              <w:rPr>
                <w:rFonts w:ascii="Segoe UI" w:hAnsi="Segoe UI" w:cs="Segoe UI"/>
                <w:color w:val="000000" w:themeColor="text1"/>
                <w:kern w:val="0"/>
                <w:sz w:val="24"/>
                <w:szCs w:val="24"/>
              </w:rPr>
              <w:t>，高度应按气瓶运输工具确定，宜高出室外地坪</w:t>
            </w:r>
            <w:r w:rsidRPr="00687B52">
              <w:rPr>
                <w:rFonts w:ascii="Segoe UI" w:hAnsi="Segoe UI" w:cs="Segoe UI"/>
                <w:color w:val="000000" w:themeColor="text1"/>
                <w:kern w:val="0"/>
                <w:sz w:val="24"/>
                <w:szCs w:val="24"/>
              </w:rPr>
              <w:t>0.4</w:t>
            </w:r>
            <w:r w:rsidRPr="00687B52">
              <w:rPr>
                <w:rFonts w:ascii="Segoe UI" w:hAnsi="Segoe UI" w:cs="Segoe UI" w:hint="eastAsia"/>
                <w:color w:val="000000" w:themeColor="text1"/>
                <w:kern w:val="0"/>
                <w:sz w:val="24"/>
                <w:szCs w:val="24"/>
              </w:rPr>
              <w:t>m-</w:t>
            </w:r>
            <w:r w:rsidRPr="00687B52">
              <w:rPr>
                <w:rFonts w:ascii="Segoe UI" w:hAnsi="Segoe UI" w:cs="Segoe UI"/>
                <w:color w:val="000000" w:themeColor="text1"/>
                <w:kern w:val="0"/>
                <w:sz w:val="24"/>
                <w:szCs w:val="24"/>
              </w:rPr>
              <w:t>1.1</w:t>
            </w:r>
            <w:r w:rsidRPr="00687B52">
              <w:rPr>
                <w:rFonts w:ascii="Segoe UI" w:hAnsi="Segoe UI" w:cs="Segoe UI" w:hint="eastAsia"/>
                <w:color w:val="000000" w:themeColor="text1"/>
                <w:kern w:val="0"/>
                <w:sz w:val="24"/>
                <w:szCs w:val="24"/>
              </w:rPr>
              <w:t>m</w:t>
            </w:r>
            <w:r w:rsidRPr="00687B52">
              <w:rPr>
                <w:rFonts w:ascii="Segoe UI" w:hAnsi="Segoe UI" w:cs="Segoe UI"/>
                <w:color w:val="000000" w:themeColor="text1"/>
                <w:kern w:val="0"/>
                <w:sz w:val="24"/>
                <w:szCs w:val="24"/>
              </w:rPr>
              <w:t>；</w:t>
            </w:r>
          </w:p>
          <w:p w:rsidR="000E02C5" w:rsidRPr="00687B52" w:rsidRDefault="000E02C5" w:rsidP="00B527D4">
            <w:pPr>
              <w:adjustRightInd w:val="0"/>
              <w:snapToGrid w:val="0"/>
              <w:spacing w:line="276" w:lineRule="auto"/>
              <w:rPr>
                <w:rFonts w:ascii="宋体" w:hAnsi="宋体"/>
                <w:color w:val="000000" w:themeColor="text1"/>
                <w:szCs w:val="24"/>
              </w:rPr>
            </w:pPr>
            <w:r w:rsidRPr="00687B52">
              <w:rPr>
                <w:rFonts w:ascii="Segoe UI" w:hAnsi="Segoe UI" w:cs="Segoe UI"/>
                <w:color w:val="000000" w:themeColor="text1"/>
                <w:kern w:val="0"/>
                <w:sz w:val="24"/>
                <w:szCs w:val="24"/>
              </w:rPr>
              <w:t>3</w:t>
            </w:r>
            <w:r w:rsidRPr="00687B52">
              <w:rPr>
                <w:rFonts w:ascii="Segoe UI" w:hAnsi="Segoe UI" w:cs="Segoe UI" w:hint="eastAsia"/>
                <w:color w:val="000000" w:themeColor="text1"/>
                <w:kern w:val="0"/>
                <w:sz w:val="24"/>
                <w:szCs w:val="24"/>
              </w:rPr>
              <w:t>）</w:t>
            </w:r>
            <w:r w:rsidRPr="00687B52">
              <w:rPr>
                <w:rFonts w:ascii="Segoe UI" w:hAnsi="Segoe UI" w:cs="Segoe UI"/>
                <w:color w:val="000000" w:themeColor="text1"/>
                <w:kern w:val="0"/>
                <w:sz w:val="24"/>
                <w:szCs w:val="24"/>
              </w:rPr>
              <w:t>灌瓶间、空瓶间和实瓶间均应设有防止瓶倒的措施。</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GB50030-2013第6.0.11条</w:t>
            </w:r>
          </w:p>
        </w:tc>
        <w:tc>
          <w:tcPr>
            <w:tcW w:w="1179" w:type="pct"/>
          </w:tcPr>
          <w:p w:rsidR="000E02C5" w:rsidRPr="00687B52" w:rsidRDefault="000E02C5" w:rsidP="00B527D4">
            <w:pPr>
              <w:pStyle w:val="a7"/>
              <w:rPr>
                <w:rFonts w:ascii="宋体" w:hAnsi="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2.10</w:t>
            </w:r>
          </w:p>
        </w:tc>
        <w:tc>
          <w:tcPr>
            <w:tcW w:w="2334" w:type="pct"/>
            <w:gridSpan w:val="4"/>
            <w:vAlign w:val="center"/>
          </w:tcPr>
          <w:p w:rsidR="000E02C5" w:rsidRPr="00687B52" w:rsidRDefault="000E02C5" w:rsidP="00B527D4">
            <w:pPr>
              <w:pStyle w:val="a7"/>
              <w:jc w:val="left"/>
              <w:rPr>
                <w:rFonts w:ascii="宋体" w:hAnsi="宋体"/>
                <w:color w:val="000000" w:themeColor="text1"/>
                <w:szCs w:val="24"/>
              </w:rPr>
            </w:pPr>
            <w:r w:rsidRPr="00687B52">
              <w:rPr>
                <w:rFonts w:ascii="Segoe UI" w:hAnsi="Segoe UI" w:cs="Segoe UI"/>
                <w:color w:val="000000" w:themeColor="text1"/>
                <w:szCs w:val="24"/>
              </w:rPr>
              <w:t>灌瓶间的充灌台应设置高度不小于</w:t>
            </w:r>
            <w:r w:rsidRPr="00687B52">
              <w:rPr>
                <w:rFonts w:ascii="Segoe UI" w:hAnsi="Segoe UI" w:cs="Segoe UI"/>
                <w:color w:val="000000" w:themeColor="text1"/>
                <w:szCs w:val="24"/>
              </w:rPr>
              <w:t>2</w:t>
            </w:r>
            <w:r w:rsidRPr="00687B52">
              <w:rPr>
                <w:rFonts w:ascii="Segoe UI" w:hAnsi="Segoe UI" w:cs="Segoe UI" w:hint="eastAsia"/>
                <w:color w:val="000000" w:themeColor="text1"/>
                <w:szCs w:val="24"/>
              </w:rPr>
              <w:t>m</w:t>
            </w:r>
            <w:r w:rsidRPr="00687B52">
              <w:rPr>
                <w:rFonts w:ascii="Segoe UI" w:hAnsi="Segoe UI" w:cs="Segoe UI"/>
                <w:color w:val="000000" w:themeColor="text1"/>
                <w:szCs w:val="24"/>
              </w:rPr>
              <w:t>、厚度大于或等于</w:t>
            </w:r>
            <w:r w:rsidRPr="00687B52">
              <w:rPr>
                <w:rFonts w:ascii="Segoe UI" w:hAnsi="Segoe UI" w:cs="Segoe UI"/>
                <w:color w:val="000000" w:themeColor="text1"/>
                <w:szCs w:val="24"/>
              </w:rPr>
              <w:t>200mm</w:t>
            </w:r>
            <w:r w:rsidRPr="00687B52">
              <w:rPr>
                <w:rFonts w:ascii="Segoe UI" w:hAnsi="Segoe UI" w:cs="Segoe UI"/>
                <w:color w:val="000000" w:themeColor="text1"/>
                <w:szCs w:val="24"/>
              </w:rPr>
              <w:t>的钢筋混凝土防护墙。气瓶装卸平台应设置大于平台宽度的雨篷，雨篷和支撑应采用不燃烧体。</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GB50030-2013第7.0.8条</w:t>
            </w:r>
          </w:p>
        </w:tc>
        <w:tc>
          <w:tcPr>
            <w:tcW w:w="1179" w:type="pct"/>
          </w:tcPr>
          <w:p w:rsidR="000E02C5" w:rsidRPr="00687B52" w:rsidRDefault="000E02C5" w:rsidP="00B527D4">
            <w:pPr>
              <w:pStyle w:val="a7"/>
              <w:rPr>
                <w:rFonts w:ascii="宋体" w:hAnsi="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2.11</w:t>
            </w:r>
          </w:p>
        </w:tc>
        <w:tc>
          <w:tcPr>
            <w:tcW w:w="2334" w:type="pct"/>
            <w:gridSpan w:val="4"/>
            <w:vAlign w:val="center"/>
          </w:tcPr>
          <w:p w:rsidR="000E02C5" w:rsidRPr="00687B52" w:rsidRDefault="000E02C5" w:rsidP="00B527D4">
            <w:pPr>
              <w:pStyle w:val="af8"/>
              <w:shd w:val="clear" w:color="auto" w:fill="FFFFFF"/>
              <w:spacing w:before="0" w:beforeAutospacing="0" w:after="0" w:afterAutospacing="0"/>
              <w:rPr>
                <w:rFonts w:ascii="Segoe UI" w:hAnsi="Segoe UI" w:cs="Segoe UI"/>
                <w:color w:val="000000" w:themeColor="text1"/>
              </w:rPr>
            </w:pPr>
            <w:r w:rsidRPr="00687B52">
              <w:rPr>
                <w:rFonts w:ascii="Segoe UI" w:hAnsi="Segoe UI" w:cs="Segoe UI"/>
                <w:color w:val="000000" w:themeColor="text1"/>
              </w:rPr>
              <w:t>氧气站内的各种气体压缩机应根据其振动特性、允许振幅等要求，除合理进行设备及管道布置外，应采取防振、隔振措施。</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GB50030-2013第6.0.18条</w:t>
            </w:r>
          </w:p>
        </w:tc>
        <w:tc>
          <w:tcPr>
            <w:tcW w:w="1179" w:type="pct"/>
          </w:tcPr>
          <w:p w:rsidR="000E02C5" w:rsidRPr="00687B52" w:rsidRDefault="000E02C5" w:rsidP="00B527D4">
            <w:pPr>
              <w:pStyle w:val="a7"/>
              <w:rPr>
                <w:rFonts w:ascii="宋体" w:hAnsi="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2.12</w:t>
            </w:r>
          </w:p>
        </w:tc>
        <w:tc>
          <w:tcPr>
            <w:tcW w:w="2334" w:type="pct"/>
            <w:gridSpan w:val="4"/>
            <w:vAlign w:val="center"/>
          </w:tcPr>
          <w:p w:rsidR="000E02C5" w:rsidRPr="00687B52" w:rsidRDefault="000E02C5" w:rsidP="00B527D4">
            <w:pPr>
              <w:adjustRightInd w:val="0"/>
              <w:snapToGrid w:val="0"/>
              <w:spacing w:line="276" w:lineRule="auto"/>
              <w:rPr>
                <w:rFonts w:ascii="Segoe UI" w:hAnsi="Segoe UI" w:cs="Segoe UI"/>
                <w:color w:val="000000" w:themeColor="text1"/>
                <w:sz w:val="24"/>
                <w:szCs w:val="24"/>
              </w:rPr>
            </w:pPr>
            <w:r w:rsidRPr="00687B52">
              <w:rPr>
                <w:rFonts w:ascii="Segoe UI" w:hAnsi="Segoe UI" w:cs="Segoe UI"/>
                <w:color w:val="000000" w:themeColor="text1"/>
                <w:sz w:val="24"/>
                <w:szCs w:val="24"/>
              </w:rPr>
              <w:t>氧气管道宜采用架空敷设。当架空敷设有困难时，可采用不通行地沟敷设或直接埋地敷设。</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GB50030-2013第11.0.1条</w:t>
            </w:r>
          </w:p>
        </w:tc>
        <w:tc>
          <w:tcPr>
            <w:tcW w:w="1179" w:type="pct"/>
          </w:tcPr>
          <w:p w:rsidR="000E02C5" w:rsidRPr="00687B52" w:rsidRDefault="000E02C5" w:rsidP="00B527D4">
            <w:pPr>
              <w:pStyle w:val="a7"/>
              <w:rPr>
                <w:rFonts w:ascii="宋体" w:hAnsi="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2.13</w:t>
            </w:r>
          </w:p>
        </w:tc>
        <w:tc>
          <w:tcPr>
            <w:tcW w:w="2334" w:type="pct"/>
            <w:gridSpan w:val="4"/>
            <w:vAlign w:val="center"/>
          </w:tcPr>
          <w:p w:rsidR="000E02C5" w:rsidRPr="00687B52" w:rsidRDefault="000E02C5" w:rsidP="00B527D4">
            <w:pPr>
              <w:adjustRightInd w:val="0"/>
              <w:snapToGrid w:val="0"/>
              <w:spacing w:line="276" w:lineRule="auto"/>
              <w:rPr>
                <w:rFonts w:ascii="Segoe UI" w:hAnsi="Segoe UI" w:cs="Segoe UI"/>
                <w:color w:val="000000" w:themeColor="text1"/>
                <w:sz w:val="24"/>
                <w:szCs w:val="24"/>
              </w:rPr>
            </w:pPr>
            <w:r w:rsidRPr="00687B52">
              <w:rPr>
                <w:rFonts w:ascii="Segoe UI" w:hAnsi="Segoe UI" w:cs="Segoe UI"/>
                <w:color w:val="000000" w:themeColor="text1"/>
                <w:sz w:val="24"/>
                <w:szCs w:val="24"/>
              </w:rPr>
              <w:t>厂区管道架空敷设时，应符合下列规定：</w:t>
            </w:r>
          </w:p>
          <w:p w:rsidR="000E02C5" w:rsidRPr="00687B52" w:rsidRDefault="000E02C5" w:rsidP="00B527D4">
            <w:pPr>
              <w:adjustRightInd w:val="0"/>
              <w:snapToGrid w:val="0"/>
              <w:spacing w:line="276" w:lineRule="auto"/>
              <w:rPr>
                <w:rFonts w:ascii="宋体" w:hAnsi="宋体" w:cs="宋体"/>
                <w:bCs/>
                <w:color w:val="000000" w:themeColor="text1"/>
                <w:sz w:val="24"/>
                <w:szCs w:val="24"/>
              </w:rPr>
            </w:pPr>
            <w:r w:rsidRPr="00687B52">
              <w:rPr>
                <w:rFonts w:ascii="宋体" w:hAnsi="宋体" w:cs="宋体" w:hint="eastAsia"/>
                <w:bCs/>
                <w:color w:val="000000" w:themeColor="text1"/>
                <w:sz w:val="24"/>
                <w:szCs w:val="24"/>
              </w:rPr>
              <w:t>1）氧气管道应敷设在不燃烧体的支架上；</w:t>
            </w:r>
          </w:p>
          <w:p w:rsidR="000E02C5" w:rsidRPr="00687B52" w:rsidRDefault="000E02C5" w:rsidP="00B527D4">
            <w:pPr>
              <w:adjustRightInd w:val="0"/>
              <w:snapToGrid w:val="0"/>
              <w:spacing w:line="276" w:lineRule="auto"/>
              <w:rPr>
                <w:rFonts w:ascii="宋体" w:hAnsi="宋体" w:cs="宋体"/>
                <w:bCs/>
                <w:color w:val="000000" w:themeColor="text1"/>
                <w:sz w:val="24"/>
                <w:szCs w:val="24"/>
              </w:rPr>
            </w:pPr>
            <w:r w:rsidRPr="00687B52">
              <w:rPr>
                <w:rFonts w:ascii="宋体" w:hAnsi="宋体" w:cs="宋体" w:hint="eastAsia"/>
                <w:bCs/>
                <w:color w:val="000000" w:themeColor="text1"/>
                <w:sz w:val="24"/>
                <w:szCs w:val="24"/>
              </w:rPr>
              <w:t>2）除氧气管道专用的导电线路外，其他导电线路不得与氧气管道敷设在同一支架上；</w:t>
            </w:r>
          </w:p>
          <w:p w:rsidR="000E02C5" w:rsidRPr="00687B52" w:rsidRDefault="000E02C5" w:rsidP="00B527D4">
            <w:pPr>
              <w:adjustRightInd w:val="0"/>
              <w:snapToGrid w:val="0"/>
              <w:spacing w:line="276" w:lineRule="auto"/>
              <w:rPr>
                <w:rFonts w:ascii="Segoe UI" w:hAnsi="Segoe UI" w:cs="Segoe UI"/>
                <w:color w:val="000000" w:themeColor="text1"/>
                <w:sz w:val="24"/>
                <w:szCs w:val="24"/>
              </w:rPr>
            </w:pPr>
            <w:r w:rsidRPr="00687B52">
              <w:rPr>
                <w:rFonts w:ascii="Segoe UI" w:hAnsi="Segoe UI" w:cs="Segoe UI"/>
                <w:color w:val="000000" w:themeColor="text1"/>
                <w:sz w:val="24"/>
                <w:szCs w:val="24"/>
              </w:rPr>
              <w:t>3</w:t>
            </w:r>
            <w:r w:rsidRPr="00687B52">
              <w:rPr>
                <w:rFonts w:ascii="Segoe UI" w:hAnsi="Segoe UI" w:cs="Segoe UI" w:hint="eastAsia"/>
                <w:color w:val="000000" w:themeColor="text1"/>
                <w:sz w:val="24"/>
                <w:szCs w:val="24"/>
              </w:rPr>
              <w:t>）</w:t>
            </w:r>
            <w:r w:rsidRPr="00687B52">
              <w:rPr>
                <w:rFonts w:ascii="Segoe UI" w:hAnsi="Segoe UI" w:cs="Segoe UI"/>
                <w:color w:val="000000" w:themeColor="text1"/>
                <w:sz w:val="24"/>
                <w:szCs w:val="24"/>
              </w:rPr>
              <w:t>当沿建筑物的外墙或屋顶上敷设时，该建筑物应为一、二级耐火等级，并应是与氧气生产或使用有关的车间建筑物；</w:t>
            </w:r>
          </w:p>
          <w:p w:rsidR="000E02C5" w:rsidRPr="00687B52" w:rsidRDefault="000E02C5" w:rsidP="00B527D4">
            <w:pPr>
              <w:adjustRightInd w:val="0"/>
              <w:snapToGrid w:val="0"/>
              <w:spacing w:line="276" w:lineRule="auto"/>
              <w:rPr>
                <w:rFonts w:ascii="Segoe UI" w:hAnsi="Segoe UI" w:cs="Segoe UI"/>
                <w:color w:val="000000" w:themeColor="text1"/>
                <w:sz w:val="24"/>
                <w:szCs w:val="24"/>
              </w:rPr>
            </w:pPr>
            <w:r w:rsidRPr="00687B52">
              <w:rPr>
                <w:rFonts w:ascii="Segoe UI" w:hAnsi="Segoe UI" w:cs="Segoe UI"/>
                <w:color w:val="000000" w:themeColor="text1"/>
                <w:sz w:val="24"/>
                <w:szCs w:val="24"/>
              </w:rPr>
              <w:t>4</w:t>
            </w:r>
            <w:r w:rsidRPr="00687B52">
              <w:rPr>
                <w:rFonts w:ascii="Segoe UI" w:hAnsi="Segoe UI" w:cs="Segoe UI" w:hint="eastAsia"/>
                <w:color w:val="000000" w:themeColor="text1"/>
                <w:sz w:val="24"/>
                <w:szCs w:val="24"/>
              </w:rPr>
              <w:t>）</w:t>
            </w:r>
            <w:r w:rsidRPr="00687B52">
              <w:rPr>
                <w:rFonts w:ascii="Segoe UI" w:hAnsi="Segoe UI" w:cs="Segoe UI"/>
                <w:color w:val="000000" w:themeColor="text1"/>
                <w:sz w:val="24"/>
                <w:szCs w:val="24"/>
              </w:rPr>
              <w:t>氧气管道、管架与建筑物、构筑物、铁路、道路等之间的最小净距应符合本规范附录</w:t>
            </w:r>
            <w:r w:rsidRPr="00687B52">
              <w:rPr>
                <w:rFonts w:ascii="Segoe UI" w:hAnsi="Segoe UI" w:cs="Segoe UI"/>
                <w:color w:val="000000" w:themeColor="text1"/>
                <w:sz w:val="24"/>
                <w:szCs w:val="24"/>
              </w:rPr>
              <w:t>B</w:t>
            </w:r>
            <w:r w:rsidRPr="00687B52">
              <w:rPr>
                <w:rFonts w:ascii="Segoe UI" w:hAnsi="Segoe UI" w:cs="Segoe UI"/>
                <w:color w:val="000000" w:themeColor="text1"/>
                <w:sz w:val="24"/>
                <w:szCs w:val="24"/>
              </w:rPr>
              <w:t>的规定；</w:t>
            </w:r>
          </w:p>
          <w:p w:rsidR="000E02C5" w:rsidRPr="00687B52" w:rsidRDefault="000E02C5" w:rsidP="00B527D4">
            <w:pPr>
              <w:adjustRightInd w:val="0"/>
              <w:snapToGrid w:val="0"/>
              <w:spacing w:line="276" w:lineRule="auto"/>
              <w:rPr>
                <w:rFonts w:ascii="Segoe UI" w:hAnsi="Segoe UI" w:cs="Segoe UI"/>
                <w:color w:val="000000" w:themeColor="text1"/>
                <w:sz w:val="24"/>
                <w:szCs w:val="24"/>
              </w:rPr>
            </w:pPr>
            <w:r w:rsidRPr="00687B52">
              <w:rPr>
                <w:rFonts w:ascii="Segoe UI" w:hAnsi="Segoe UI" w:cs="Segoe UI"/>
                <w:color w:val="000000" w:themeColor="text1"/>
                <w:sz w:val="24"/>
                <w:szCs w:val="24"/>
              </w:rPr>
              <w:t>5</w:t>
            </w:r>
            <w:r w:rsidRPr="00687B52">
              <w:rPr>
                <w:rFonts w:ascii="Segoe UI" w:hAnsi="Segoe UI" w:cs="Segoe UI" w:hint="eastAsia"/>
                <w:color w:val="000000" w:themeColor="text1"/>
                <w:sz w:val="24"/>
                <w:szCs w:val="24"/>
              </w:rPr>
              <w:t>）</w:t>
            </w:r>
            <w:r w:rsidRPr="00687B52">
              <w:rPr>
                <w:rFonts w:ascii="Segoe UI" w:hAnsi="Segoe UI" w:cs="Segoe UI"/>
                <w:color w:val="000000" w:themeColor="text1"/>
                <w:sz w:val="24"/>
                <w:szCs w:val="24"/>
              </w:rPr>
              <w:t>氧气管道与其他气体、液体管道共架敷设时，宜布置在其他管道外侧，并宜布置在燃油管道的上面。各种管线之间的最小净距应符合本规范附录</w:t>
            </w:r>
            <w:r w:rsidRPr="00687B52">
              <w:rPr>
                <w:rFonts w:ascii="Segoe UI" w:hAnsi="Segoe UI" w:cs="Segoe UI"/>
                <w:color w:val="000000" w:themeColor="text1"/>
                <w:sz w:val="24"/>
                <w:szCs w:val="24"/>
              </w:rPr>
              <w:t>C</w:t>
            </w:r>
            <w:r w:rsidRPr="00687B52">
              <w:rPr>
                <w:rFonts w:ascii="Segoe UI" w:hAnsi="Segoe UI" w:cs="Segoe UI"/>
                <w:color w:val="000000" w:themeColor="text1"/>
                <w:sz w:val="24"/>
                <w:szCs w:val="24"/>
              </w:rPr>
              <w:t>的规定；</w:t>
            </w:r>
          </w:p>
          <w:p w:rsidR="000E02C5" w:rsidRPr="00687B52" w:rsidRDefault="000E02C5" w:rsidP="00B527D4">
            <w:pPr>
              <w:adjustRightInd w:val="0"/>
              <w:snapToGrid w:val="0"/>
              <w:spacing w:line="276" w:lineRule="auto"/>
              <w:rPr>
                <w:rFonts w:ascii="Segoe UI" w:hAnsi="Segoe UI" w:cs="Segoe UI"/>
                <w:color w:val="000000" w:themeColor="text1"/>
                <w:sz w:val="24"/>
                <w:szCs w:val="24"/>
              </w:rPr>
            </w:pPr>
            <w:r w:rsidRPr="00687B52">
              <w:rPr>
                <w:rFonts w:ascii="Segoe UI" w:hAnsi="Segoe UI" w:cs="Segoe UI"/>
                <w:color w:val="000000" w:themeColor="text1"/>
                <w:sz w:val="24"/>
                <w:szCs w:val="24"/>
              </w:rPr>
              <w:t>6</w:t>
            </w:r>
            <w:r w:rsidRPr="00687B52">
              <w:rPr>
                <w:rFonts w:ascii="Segoe UI" w:hAnsi="Segoe UI" w:cs="Segoe UI" w:hint="eastAsia"/>
                <w:color w:val="000000" w:themeColor="text1"/>
                <w:sz w:val="24"/>
                <w:szCs w:val="24"/>
              </w:rPr>
              <w:t>）</w:t>
            </w:r>
            <w:r w:rsidRPr="00687B52">
              <w:rPr>
                <w:rFonts w:ascii="Segoe UI" w:hAnsi="Segoe UI" w:cs="Segoe UI"/>
                <w:color w:val="000000" w:themeColor="text1"/>
                <w:sz w:val="24"/>
                <w:szCs w:val="24"/>
              </w:rPr>
              <w:t>氧气管道上设有阀门时，应设置操作平台；</w:t>
            </w:r>
          </w:p>
          <w:p w:rsidR="000E02C5" w:rsidRPr="00687B52" w:rsidRDefault="000E02C5" w:rsidP="00B527D4">
            <w:pPr>
              <w:adjustRightInd w:val="0"/>
              <w:snapToGrid w:val="0"/>
              <w:spacing w:line="276" w:lineRule="auto"/>
              <w:rPr>
                <w:rFonts w:ascii="Segoe UI" w:hAnsi="Segoe UI" w:cs="Segoe UI"/>
                <w:color w:val="000000" w:themeColor="text1"/>
                <w:sz w:val="24"/>
                <w:szCs w:val="24"/>
                <w:highlight w:val="magenta"/>
              </w:rPr>
            </w:pPr>
            <w:r w:rsidRPr="00687B52">
              <w:rPr>
                <w:rFonts w:ascii="Segoe UI" w:hAnsi="Segoe UI" w:cs="Segoe UI"/>
                <w:color w:val="000000" w:themeColor="text1"/>
                <w:sz w:val="24"/>
                <w:szCs w:val="24"/>
              </w:rPr>
              <w:t>7</w:t>
            </w:r>
            <w:r w:rsidRPr="00687B52">
              <w:rPr>
                <w:rFonts w:ascii="Segoe UI" w:hAnsi="Segoe UI" w:cs="Segoe UI" w:hint="eastAsia"/>
                <w:color w:val="000000" w:themeColor="text1"/>
                <w:sz w:val="24"/>
                <w:szCs w:val="24"/>
              </w:rPr>
              <w:t>）</w:t>
            </w:r>
            <w:r w:rsidRPr="00687B52">
              <w:rPr>
                <w:rFonts w:ascii="Segoe UI" w:hAnsi="Segoe UI" w:cs="Segoe UI"/>
                <w:color w:val="000000" w:themeColor="text1"/>
                <w:sz w:val="24"/>
                <w:szCs w:val="24"/>
              </w:rPr>
              <w:t>寒冷地区的含湿气体管道应采取防护措施。</w:t>
            </w:r>
          </w:p>
        </w:tc>
        <w:tc>
          <w:tcPr>
            <w:tcW w:w="1183" w:type="pct"/>
            <w:vAlign w:val="center"/>
          </w:tcPr>
          <w:p w:rsidR="000E02C5" w:rsidRPr="00687B52" w:rsidRDefault="000E02C5" w:rsidP="00B527D4">
            <w:pPr>
              <w:pStyle w:val="a7"/>
              <w:rPr>
                <w:rFonts w:ascii="宋体" w:hAnsi="宋体"/>
                <w:color w:val="000000" w:themeColor="text1"/>
                <w:szCs w:val="24"/>
              </w:rPr>
            </w:pPr>
            <w:r w:rsidRPr="00687B52">
              <w:rPr>
                <w:rFonts w:ascii="宋体" w:hAnsi="宋体" w:hint="eastAsia"/>
                <w:color w:val="000000" w:themeColor="text1"/>
                <w:szCs w:val="24"/>
              </w:rPr>
              <w:t>《氧气站设计规范》GB50030-2013</w:t>
            </w:r>
          </w:p>
          <w:p w:rsidR="000E02C5" w:rsidRPr="00687B52" w:rsidRDefault="000E02C5" w:rsidP="00B527D4">
            <w:pPr>
              <w:pStyle w:val="a7"/>
              <w:rPr>
                <w:rFonts w:ascii="宋体" w:hAnsi="宋体"/>
                <w:color w:val="000000" w:themeColor="text1"/>
                <w:szCs w:val="24"/>
              </w:rPr>
            </w:pPr>
            <w:r w:rsidRPr="00687B52">
              <w:rPr>
                <w:rFonts w:ascii="宋体" w:hAnsi="宋体" w:hint="eastAsia"/>
                <w:color w:val="000000" w:themeColor="text1"/>
                <w:szCs w:val="24"/>
              </w:rPr>
              <w:t>第11.0.2条</w:t>
            </w:r>
          </w:p>
        </w:tc>
        <w:tc>
          <w:tcPr>
            <w:tcW w:w="1179" w:type="pct"/>
          </w:tcPr>
          <w:p w:rsidR="000E02C5" w:rsidRPr="00687B52" w:rsidRDefault="000E02C5" w:rsidP="00B527D4">
            <w:pPr>
              <w:pStyle w:val="a7"/>
              <w:rPr>
                <w:rFonts w:ascii="宋体" w:hAnsi="宋体"/>
                <w:b/>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2.14</w:t>
            </w:r>
          </w:p>
        </w:tc>
        <w:tc>
          <w:tcPr>
            <w:tcW w:w="2334" w:type="pct"/>
            <w:gridSpan w:val="4"/>
            <w:vAlign w:val="center"/>
          </w:tcPr>
          <w:p w:rsidR="000E02C5" w:rsidRPr="00687B52" w:rsidRDefault="000E02C5" w:rsidP="00B527D4">
            <w:pPr>
              <w:adjustRightInd w:val="0"/>
              <w:snapToGrid w:val="0"/>
              <w:spacing w:line="276" w:lineRule="auto"/>
              <w:rPr>
                <w:rFonts w:ascii="Segoe UI" w:hAnsi="Segoe UI" w:cs="Segoe UI"/>
                <w:color w:val="000000" w:themeColor="text1"/>
                <w:sz w:val="24"/>
                <w:szCs w:val="24"/>
              </w:rPr>
            </w:pPr>
            <w:r w:rsidRPr="00687B52">
              <w:rPr>
                <w:rFonts w:ascii="Segoe UI" w:hAnsi="Segoe UI" w:cs="Segoe UI"/>
                <w:color w:val="000000" w:themeColor="text1"/>
                <w:sz w:val="24"/>
                <w:szCs w:val="24"/>
              </w:rPr>
              <w:t>厂区管道直接埋地敷设或采用不通行地沟敷设时，应符合下列规定：</w:t>
            </w:r>
          </w:p>
          <w:p w:rsidR="000E02C5" w:rsidRPr="00687B52" w:rsidRDefault="000E02C5" w:rsidP="00B527D4">
            <w:pPr>
              <w:adjustRightInd w:val="0"/>
              <w:snapToGrid w:val="0"/>
              <w:spacing w:line="276" w:lineRule="auto"/>
              <w:rPr>
                <w:rFonts w:ascii="宋体" w:hAnsi="宋体" w:cs="宋体"/>
                <w:bCs/>
                <w:color w:val="000000" w:themeColor="text1"/>
                <w:sz w:val="24"/>
                <w:szCs w:val="24"/>
              </w:rPr>
            </w:pPr>
            <w:r w:rsidRPr="00687B52">
              <w:rPr>
                <w:rFonts w:ascii="宋体" w:hAnsi="宋体" w:cs="宋体" w:hint="eastAsia"/>
                <w:bCs/>
                <w:color w:val="000000" w:themeColor="text1"/>
                <w:sz w:val="24"/>
                <w:szCs w:val="24"/>
              </w:rPr>
              <w:t>1）氧气管道严禁埋设在不使用氧气的建筑物、构筑物或露天堆场下面或穿过烟道；</w:t>
            </w:r>
          </w:p>
          <w:p w:rsidR="000E02C5" w:rsidRPr="00687B52" w:rsidRDefault="000E02C5" w:rsidP="00B527D4">
            <w:pPr>
              <w:adjustRightInd w:val="0"/>
              <w:snapToGrid w:val="0"/>
              <w:spacing w:line="276" w:lineRule="auto"/>
              <w:rPr>
                <w:rFonts w:ascii="宋体" w:hAnsi="宋体" w:cs="宋体"/>
                <w:bCs/>
                <w:color w:val="000000" w:themeColor="text1"/>
                <w:sz w:val="24"/>
                <w:szCs w:val="24"/>
              </w:rPr>
            </w:pPr>
            <w:r w:rsidRPr="00687B52">
              <w:rPr>
                <w:rFonts w:ascii="宋体" w:hAnsi="宋体" w:cs="宋体" w:hint="eastAsia"/>
                <w:bCs/>
                <w:color w:val="000000" w:themeColor="text1"/>
                <w:sz w:val="24"/>
                <w:szCs w:val="24"/>
              </w:rPr>
              <w:t>2）氧气管道采用不通行地沟敷设时，沟上应设防止可燃物料、火花和雨水侵入的不燃烧体盖板；严禁氧气管道与油品管道、腐蚀性介质管道和各种导电线路敷设在同一地沟内，并不得与该类管线地沟相通；</w:t>
            </w:r>
          </w:p>
          <w:p w:rsidR="000E02C5" w:rsidRPr="00687B52" w:rsidRDefault="000E02C5" w:rsidP="00B527D4">
            <w:pPr>
              <w:adjustRightInd w:val="0"/>
              <w:snapToGrid w:val="0"/>
              <w:spacing w:line="276" w:lineRule="auto"/>
              <w:rPr>
                <w:rFonts w:ascii="宋体" w:hAnsi="宋体" w:cs="宋体"/>
                <w:bCs/>
                <w:color w:val="000000" w:themeColor="text1"/>
                <w:sz w:val="24"/>
                <w:szCs w:val="24"/>
              </w:rPr>
            </w:pPr>
            <w:r w:rsidRPr="00687B52">
              <w:rPr>
                <w:rFonts w:ascii="宋体" w:hAnsi="宋体" w:cs="宋体" w:hint="eastAsia"/>
                <w:bCs/>
                <w:color w:val="000000" w:themeColor="text1"/>
                <w:sz w:val="24"/>
                <w:szCs w:val="24"/>
              </w:rPr>
              <w:t>3）直接埋地或不通行地沟敷设的氧气管道上不应装设阀门或法兰连接点，当必须设阀门时，应设独立阀门井，</w:t>
            </w:r>
          </w:p>
          <w:p w:rsidR="000E02C5" w:rsidRPr="00687B52" w:rsidRDefault="000E02C5" w:rsidP="00B527D4">
            <w:pPr>
              <w:adjustRightInd w:val="0"/>
              <w:snapToGrid w:val="0"/>
              <w:spacing w:line="276" w:lineRule="auto"/>
              <w:rPr>
                <w:rFonts w:ascii="宋体" w:hAnsi="宋体" w:cs="宋体"/>
                <w:bCs/>
                <w:color w:val="000000" w:themeColor="text1"/>
                <w:sz w:val="24"/>
                <w:szCs w:val="24"/>
              </w:rPr>
            </w:pPr>
            <w:r w:rsidRPr="00687B52">
              <w:rPr>
                <w:rFonts w:ascii="宋体" w:hAnsi="宋体" w:cs="宋体" w:hint="eastAsia"/>
                <w:bCs/>
                <w:color w:val="000000" w:themeColor="text1"/>
                <w:sz w:val="24"/>
                <w:szCs w:val="24"/>
              </w:rPr>
              <w:t>4）氧气管道不应与燃气管道同沟敷设，当氧气管道与同一使用目的燃气管道同沟敷设时，沟内应填满沙子，并严禁与其他地沟直接相通；</w:t>
            </w:r>
          </w:p>
          <w:p w:rsidR="000E02C5" w:rsidRPr="00687B52" w:rsidRDefault="000E02C5" w:rsidP="00B527D4">
            <w:pPr>
              <w:adjustRightInd w:val="0"/>
              <w:snapToGrid w:val="0"/>
              <w:spacing w:line="276" w:lineRule="auto"/>
              <w:rPr>
                <w:rFonts w:ascii="Segoe UI" w:hAnsi="Segoe UI" w:cs="Segoe UI"/>
                <w:color w:val="000000" w:themeColor="text1"/>
                <w:sz w:val="24"/>
                <w:szCs w:val="24"/>
              </w:rPr>
            </w:pPr>
            <w:r w:rsidRPr="00687B52">
              <w:rPr>
                <w:rFonts w:ascii="Segoe UI" w:hAnsi="Segoe UI" w:cs="Segoe UI"/>
                <w:color w:val="000000" w:themeColor="text1"/>
                <w:sz w:val="24"/>
                <w:szCs w:val="24"/>
              </w:rPr>
              <w:t>5</w:t>
            </w:r>
            <w:r w:rsidRPr="00687B52">
              <w:rPr>
                <w:rFonts w:ascii="Segoe UI" w:hAnsi="Segoe UI" w:cs="Segoe UI" w:hint="eastAsia"/>
                <w:color w:val="000000" w:themeColor="text1"/>
                <w:sz w:val="24"/>
                <w:szCs w:val="24"/>
              </w:rPr>
              <w:t>）</w:t>
            </w:r>
            <w:r w:rsidRPr="00687B52">
              <w:rPr>
                <w:rFonts w:ascii="Segoe UI" w:hAnsi="Segoe UI" w:cs="Segoe UI"/>
                <w:color w:val="000000" w:themeColor="text1"/>
                <w:sz w:val="24"/>
                <w:szCs w:val="24"/>
              </w:rPr>
              <w:t>埋地深度应根据地面上的荷载决定。管顶距地面不宜小于</w:t>
            </w:r>
            <w:r w:rsidRPr="00687B52">
              <w:rPr>
                <w:rFonts w:ascii="Segoe UI" w:hAnsi="Segoe UI" w:cs="Segoe UI"/>
                <w:color w:val="000000" w:themeColor="text1"/>
                <w:sz w:val="24"/>
                <w:szCs w:val="24"/>
              </w:rPr>
              <w:t>7m</w:t>
            </w:r>
            <w:r w:rsidRPr="00687B52">
              <w:rPr>
                <w:rFonts w:ascii="Segoe UI" w:hAnsi="Segoe UI" w:cs="Segoe UI"/>
                <w:color w:val="000000" w:themeColor="text1"/>
                <w:sz w:val="24"/>
                <w:szCs w:val="24"/>
              </w:rPr>
              <w:t>；含湿气体管道应敷设在冻土层以下，并应在最低点设排水装置。管道穿过铁路和道路时应设套管，其交叉角不宜小于</w:t>
            </w:r>
            <w:r w:rsidRPr="00687B52">
              <w:rPr>
                <w:rFonts w:ascii="Segoe UI" w:hAnsi="Segoe UI" w:cs="Segoe UI"/>
                <w:color w:val="000000" w:themeColor="text1"/>
                <w:sz w:val="24"/>
                <w:szCs w:val="24"/>
              </w:rPr>
              <w:t>45</w:t>
            </w:r>
            <w:r w:rsidRPr="00687B52">
              <w:rPr>
                <w:rFonts w:ascii="Segoe UI" w:hAnsi="Segoe UI" w:cs="Segoe UI" w:hint="eastAsia"/>
                <w:color w:val="000000" w:themeColor="text1"/>
                <w:sz w:val="24"/>
                <w:szCs w:val="24"/>
              </w:rPr>
              <w:t>°</w:t>
            </w:r>
            <w:r w:rsidRPr="00687B52">
              <w:rPr>
                <w:rFonts w:ascii="Segoe UI" w:hAnsi="Segoe UI" w:cs="Segoe UI"/>
                <w:color w:val="000000" w:themeColor="text1"/>
                <w:sz w:val="24"/>
                <w:szCs w:val="24"/>
              </w:rPr>
              <w:t>；</w:t>
            </w:r>
          </w:p>
          <w:p w:rsidR="000E02C5" w:rsidRPr="00687B52" w:rsidRDefault="000E02C5" w:rsidP="00B527D4">
            <w:pPr>
              <w:adjustRightInd w:val="0"/>
              <w:snapToGrid w:val="0"/>
              <w:spacing w:line="276" w:lineRule="auto"/>
              <w:rPr>
                <w:rFonts w:ascii="Segoe UI" w:hAnsi="Segoe UI" w:cs="Segoe UI"/>
                <w:color w:val="000000" w:themeColor="text1"/>
                <w:sz w:val="24"/>
                <w:szCs w:val="24"/>
              </w:rPr>
            </w:pPr>
            <w:r w:rsidRPr="00687B52">
              <w:rPr>
                <w:rFonts w:ascii="Segoe UI" w:hAnsi="Segoe UI" w:cs="Segoe UI"/>
                <w:color w:val="000000" w:themeColor="text1"/>
                <w:sz w:val="24"/>
                <w:szCs w:val="24"/>
              </w:rPr>
              <w:t>6</w:t>
            </w:r>
            <w:r w:rsidRPr="00687B52">
              <w:rPr>
                <w:rFonts w:ascii="Segoe UI" w:hAnsi="Segoe UI" w:cs="Segoe UI" w:hint="eastAsia"/>
                <w:color w:val="000000" w:themeColor="text1"/>
                <w:sz w:val="24"/>
                <w:szCs w:val="24"/>
              </w:rPr>
              <w:t>）</w:t>
            </w:r>
            <w:r w:rsidRPr="00687B52">
              <w:rPr>
                <w:rFonts w:ascii="Segoe UI" w:hAnsi="Segoe UI" w:cs="Segoe UI"/>
                <w:color w:val="000000" w:themeColor="text1"/>
                <w:sz w:val="24"/>
                <w:szCs w:val="24"/>
              </w:rPr>
              <w:t>氧气管道与建筑物、构筑物及其他埋地管线之间的最小净距应符合本规范附录</w:t>
            </w:r>
            <w:r w:rsidRPr="00687B52">
              <w:rPr>
                <w:rFonts w:ascii="Segoe UI" w:hAnsi="Segoe UI" w:cs="Segoe UI"/>
                <w:color w:val="000000" w:themeColor="text1"/>
                <w:sz w:val="24"/>
                <w:szCs w:val="24"/>
              </w:rPr>
              <w:t>D</w:t>
            </w:r>
            <w:r w:rsidRPr="00687B52">
              <w:rPr>
                <w:rFonts w:ascii="Segoe UI" w:hAnsi="Segoe UI" w:cs="Segoe UI"/>
                <w:color w:val="000000" w:themeColor="text1"/>
                <w:sz w:val="24"/>
                <w:szCs w:val="24"/>
              </w:rPr>
              <w:t>的规定；</w:t>
            </w:r>
          </w:p>
          <w:p w:rsidR="000E02C5" w:rsidRPr="00687B52" w:rsidRDefault="000E02C5" w:rsidP="00B527D4">
            <w:pPr>
              <w:adjustRightInd w:val="0"/>
              <w:snapToGrid w:val="0"/>
              <w:spacing w:line="276" w:lineRule="auto"/>
              <w:rPr>
                <w:rFonts w:ascii="Segoe UI" w:hAnsi="Segoe UI" w:cs="Segoe UI"/>
                <w:color w:val="000000" w:themeColor="text1"/>
                <w:sz w:val="24"/>
                <w:szCs w:val="24"/>
              </w:rPr>
            </w:pPr>
            <w:r w:rsidRPr="00687B52">
              <w:rPr>
                <w:rFonts w:ascii="Segoe UI" w:hAnsi="Segoe UI" w:cs="Segoe UI"/>
                <w:color w:val="000000" w:themeColor="text1"/>
                <w:sz w:val="24"/>
                <w:szCs w:val="24"/>
              </w:rPr>
              <w:t>7</w:t>
            </w:r>
            <w:r w:rsidRPr="00687B52">
              <w:rPr>
                <w:rFonts w:ascii="Segoe UI" w:hAnsi="Segoe UI" w:cs="Segoe UI" w:hint="eastAsia"/>
                <w:color w:val="000000" w:themeColor="text1"/>
                <w:sz w:val="24"/>
                <w:szCs w:val="24"/>
              </w:rPr>
              <w:t>）</w:t>
            </w:r>
            <w:r w:rsidRPr="00687B52">
              <w:rPr>
                <w:rFonts w:ascii="Segoe UI" w:hAnsi="Segoe UI" w:cs="Segoe UI"/>
                <w:color w:val="000000" w:themeColor="text1"/>
                <w:sz w:val="24"/>
                <w:szCs w:val="24"/>
              </w:rPr>
              <w:t>直接埋地管道应根据埋设地带土壤的腐蚀等级采取相应的防腐蚀措施。</w:t>
            </w:r>
          </w:p>
          <w:p w:rsidR="000E02C5" w:rsidRPr="00687B52" w:rsidRDefault="000E02C5" w:rsidP="00B527D4">
            <w:pPr>
              <w:adjustRightInd w:val="0"/>
              <w:snapToGrid w:val="0"/>
              <w:spacing w:line="276" w:lineRule="auto"/>
              <w:rPr>
                <w:rFonts w:ascii="Segoe UI" w:hAnsi="Segoe UI" w:cs="Segoe UI"/>
                <w:color w:val="000000" w:themeColor="text1"/>
                <w:sz w:val="24"/>
                <w:szCs w:val="24"/>
                <w:highlight w:val="magenta"/>
              </w:rPr>
            </w:pPr>
            <w:r w:rsidRPr="00687B52">
              <w:rPr>
                <w:rFonts w:ascii="Segoe UI" w:hAnsi="Segoe UI" w:cs="Segoe UI"/>
                <w:color w:val="000000" w:themeColor="text1"/>
                <w:sz w:val="24"/>
                <w:szCs w:val="24"/>
              </w:rPr>
              <w:t>8</w:t>
            </w:r>
            <w:r w:rsidRPr="00687B52">
              <w:rPr>
                <w:rFonts w:ascii="Segoe UI" w:hAnsi="Segoe UI" w:cs="Segoe UI" w:hint="eastAsia"/>
                <w:color w:val="000000" w:themeColor="text1"/>
                <w:sz w:val="24"/>
                <w:szCs w:val="24"/>
              </w:rPr>
              <w:t>）</w:t>
            </w:r>
            <w:r w:rsidRPr="00687B52">
              <w:rPr>
                <w:rFonts w:ascii="Segoe UI" w:hAnsi="Segoe UI" w:cs="Segoe UI"/>
                <w:color w:val="000000" w:themeColor="text1"/>
                <w:sz w:val="24"/>
                <w:szCs w:val="24"/>
              </w:rPr>
              <w:t>当氧气管道与其他不燃气体或水管同沟敷设时，氧气管道应布置在上面，地沟应能排除积水。</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《氧气站设计规范》GB50030-2013第11.0.2条</w:t>
            </w:r>
          </w:p>
        </w:tc>
        <w:tc>
          <w:tcPr>
            <w:tcW w:w="1179" w:type="pct"/>
          </w:tcPr>
          <w:p w:rsidR="000E02C5" w:rsidRPr="00687B52" w:rsidRDefault="000E02C5" w:rsidP="00B527D4">
            <w:pPr>
              <w:pStyle w:val="a7"/>
              <w:rPr>
                <w:rFonts w:ascii="宋体" w:hAnsi="宋体"/>
                <w:b/>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2.15</w:t>
            </w:r>
          </w:p>
        </w:tc>
        <w:tc>
          <w:tcPr>
            <w:tcW w:w="2334" w:type="pct"/>
            <w:gridSpan w:val="4"/>
            <w:vAlign w:val="center"/>
          </w:tcPr>
          <w:p w:rsidR="000E02C5" w:rsidRPr="00687B52" w:rsidRDefault="000E02C5" w:rsidP="00B527D4">
            <w:pPr>
              <w:adjustRightInd w:val="0"/>
              <w:snapToGrid w:val="0"/>
              <w:spacing w:line="276" w:lineRule="auto"/>
              <w:rPr>
                <w:rFonts w:ascii="Segoe UI" w:hAnsi="Segoe UI" w:cs="Segoe UI"/>
                <w:color w:val="000000" w:themeColor="text1"/>
                <w:sz w:val="24"/>
                <w:szCs w:val="24"/>
              </w:rPr>
            </w:pPr>
            <w:r w:rsidRPr="00687B52">
              <w:rPr>
                <w:rFonts w:ascii="Segoe UI" w:hAnsi="Segoe UI" w:cs="Segoe UI"/>
                <w:color w:val="000000" w:themeColor="text1"/>
                <w:sz w:val="24"/>
                <w:szCs w:val="24"/>
              </w:rPr>
              <w:t>车间内氧气管道的敷设应符合下列规定：</w:t>
            </w:r>
          </w:p>
          <w:p w:rsidR="000E02C5" w:rsidRPr="00687B52" w:rsidRDefault="000E02C5" w:rsidP="00B527D4">
            <w:pPr>
              <w:adjustRightInd w:val="0"/>
              <w:snapToGrid w:val="0"/>
              <w:spacing w:line="276" w:lineRule="auto"/>
              <w:rPr>
                <w:rFonts w:ascii="宋体" w:hAnsi="宋体" w:cs="宋体"/>
                <w:bCs/>
                <w:color w:val="000000" w:themeColor="text1"/>
                <w:sz w:val="24"/>
                <w:szCs w:val="24"/>
              </w:rPr>
            </w:pPr>
            <w:r w:rsidRPr="00687B52">
              <w:rPr>
                <w:rFonts w:ascii="宋体" w:hAnsi="宋体" w:cs="宋体" w:hint="eastAsia"/>
                <w:bCs/>
                <w:color w:val="000000" w:themeColor="text1"/>
                <w:sz w:val="24"/>
                <w:szCs w:val="24"/>
              </w:rPr>
              <w:t>1）氧气管道不得穿过生活间、办公室；</w:t>
            </w:r>
          </w:p>
          <w:p w:rsidR="000E02C5" w:rsidRPr="00687B52" w:rsidRDefault="000E02C5" w:rsidP="00B527D4">
            <w:pPr>
              <w:adjustRightInd w:val="0"/>
              <w:snapToGrid w:val="0"/>
              <w:spacing w:line="276" w:lineRule="auto"/>
              <w:rPr>
                <w:rFonts w:ascii="Segoe UI" w:hAnsi="Segoe UI" w:cs="Segoe UI"/>
                <w:color w:val="000000" w:themeColor="text1"/>
                <w:sz w:val="24"/>
                <w:szCs w:val="24"/>
              </w:rPr>
            </w:pPr>
            <w:r w:rsidRPr="00687B52">
              <w:rPr>
                <w:rFonts w:ascii="Segoe UI" w:hAnsi="Segoe UI" w:cs="Segoe UI"/>
                <w:color w:val="000000" w:themeColor="text1"/>
                <w:sz w:val="24"/>
                <w:szCs w:val="24"/>
              </w:rPr>
              <w:t>2</w:t>
            </w:r>
            <w:r w:rsidRPr="00687B52">
              <w:rPr>
                <w:rFonts w:ascii="Segoe UI" w:hAnsi="Segoe UI" w:cs="Segoe UI" w:hint="eastAsia"/>
                <w:color w:val="000000" w:themeColor="text1"/>
                <w:sz w:val="24"/>
                <w:szCs w:val="24"/>
              </w:rPr>
              <w:t>）</w:t>
            </w:r>
            <w:r w:rsidRPr="00687B52">
              <w:rPr>
                <w:rFonts w:ascii="Segoe UI" w:hAnsi="Segoe UI" w:cs="Segoe UI"/>
                <w:color w:val="000000" w:themeColor="text1"/>
                <w:sz w:val="24"/>
                <w:szCs w:val="24"/>
              </w:rPr>
              <w:t>车间内氧气管道宜沿墙、柱或专设的支架架空敷设，其高度应不妨碍交通和便于检修；</w:t>
            </w:r>
          </w:p>
          <w:p w:rsidR="000E02C5" w:rsidRPr="00687B52" w:rsidRDefault="000E02C5" w:rsidP="00B527D4">
            <w:pPr>
              <w:adjustRightInd w:val="0"/>
              <w:snapToGrid w:val="0"/>
              <w:spacing w:line="276" w:lineRule="auto"/>
              <w:rPr>
                <w:rFonts w:ascii="Segoe UI" w:hAnsi="Segoe UI" w:cs="Segoe UI"/>
                <w:color w:val="000000" w:themeColor="text1"/>
                <w:sz w:val="24"/>
                <w:szCs w:val="24"/>
              </w:rPr>
            </w:pPr>
            <w:r w:rsidRPr="00687B52">
              <w:rPr>
                <w:rFonts w:ascii="Segoe UI" w:hAnsi="Segoe UI" w:cs="Segoe UI"/>
                <w:color w:val="000000" w:themeColor="text1"/>
                <w:sz w:val="24"/>
                <w:szCs w:val="24"/>
              </w:rPr>
              <w:t>3</w:t>
            </w:r>
            <w:r w:rsidRPr="00687B52">
              <w:rPr>
                <w:rFonts w:ascii="Segoe UI" w:hAnsi="Segoe UI" w:cs="Segoe UI" w:hint="eastAsia"/>
                <w:color w:val="000000" w:themeColor="text1"/>
                <w:sz w:val="24"/>
                <w:szCs w:val="24"/>
              </w:rPr>
              <w:t>）</w:t>
            </w:r>
            <w:r w:rsidRPr="00687B52">
              <w:rPr>
                <w:rFonts w:ascii="Segoe UI" w:hAnsi="Segoe UI" w:cs="Segoe UI"/>
                <w:color w:val="000000" w:themeColor="text1"/>
                <w:sz w:val="24"/>
                <w:szCs w:val="24"/>
              </w:rPr>
              <w:t>氧气管道与其他管线共架敷设时，</w:t>
            </w:r>
            <w:r w:rsidR="00CB2E4D" w:rsidRPr="00687B52">
              <w:rPr>
                <w:rFonts w:ascii="Segoe UI" w:eastAsia="宋体" w:hAnsi="Segoe UI" w:cs="Segoe UI"/>
                <w:color w:val="000000" w:themeColor="text1"/>
                <w:sz w:val="24"/>
                <w:szCs w:val="24"/>
              </w:rPr>
              <w:t>宜布置在其他管道外侧，并宜布置在燃油管道的上面。各种管线之间的最小净距应符合本规范附录</w:t>
            </w:r>
            <w:r w:rsidR="00CB2E4D" w:rsidRPr="00687B52">
              <w:rPr>
                <w:rFonts w:ascii="Segoe UI" w:eastAsia="宋体" w:hAnsi="Segoe UI" w:cs="Segoe UI"/>
                <w:color w:val="000000" w:themeColor="text1"/>
                <w:sz w:val="24"/>
                <w:szCs w:val="24"/>
              </w:rPr>
              <w:t>C</w:t>
            </w:r>
            <w:r w:rsidR="00CB2E4D" w:rsidRPr="00687B52">
              <w:rPr>
                <w:rFonts w:ascii="Segoe UI" w:eastAsia="宋体" w:hAnsi="Segoe UI" w:cs="Segoe UI"/>
                <w:color w:val="000000" w:themeColor="text1"/>
                <w:sz w:val="24"/>
                <w:szCs w:val="24"/>
              </w:rPr>
              <w:t>的规定</w:t>
            </w:r>
            <w:r w:rsidRPr="00687B52">
              <w:rPr>
                <w:rFonts w:ascii="Segoe UI" w:hAnsi="Segoe UI" w:cs="Segoe UI"/>
                <w:color w:val="000000" w:themeColor="text1"/>
                <w:sz w:val="24"/>
                <w:szCs w:val="24"/>
              </w:rPr>
              <w:t>；</w:t>
            </w:r>
          </w:p>
          <w:p w:rsidR="000E02C5" w:rsidRPr="00687B52" w:rsidRDefault="000E02C5" w:rsidP="00B527D4">
            <w:pPr>
              <w:adjustRightInd w:val="0"/>
              <w:snapToGrid w:val="0"/>
              <w:spacing w:line="276" w:lineRule="auto"/>
              <w:rPr>
                <w:rFonts w:ascii="Segoe UI" w:hAnsi="Segoe UI" w:cs="Segoe UI"/>
                <w:color w:val="000000" w:themeColor="text1"/>
                <w:sz w:val="24"/>
                <w:szCs w:val="24"/>
              </w:rPr>
            </w:pPr>
            <w:r w:rsidRPr="00687B52">
              <w:rPr>
                <w:rFonts w:ascii="Segoe UI" w:hAnsi="Segoe UI" w:cs="Segoe UI"/>
                <w:color w:val="000000" w:themeColor="text1"/>
                <w:sz w:val="24"/>
                <w:szCs w:val="24"/>
              </w:rPr>
              <w:t>4</w:t>
            </w:r>
            <w:r w:rsidRPr="00687B52">
              <w:rPr>
                <w:rFonts w:ascii="Segoe UI" w:hAnsi="Segoe UI" w:cs="Segoe UI" w:hint="eastAsia"/>
                <w:color w:val="000000" w:themeColor="text1"/>
                <w:sz w:val="24"/>
                <w:szCs w:val="24"/>
              </w:rPr>
              <w:t>）</w:t>
            </w:r>
            <w:r w:rsidRPr="00687B52">
              <w:rPr>
                <w:rFonts w:ascii="Segoe UI" w:hAnsi="Segoe UI" w:cs="Segoe UI"/>
                <w:color w:val="000000" w:themeColor="text1"/>
                <w:sz w:val="24"/>
                <w:szCs w:val="24"/>
              </w:rPr>
              <w:t>当不能架空敷设时，可采用不通行地沟敷设，但应符合</w:t>
            </w:r>
            <w:r w:rsidR="00CB2E4D" w:rsidRPr="00687B52">
              <w:rPr>
                <w:rFonts w:ascii="Segoe UI" w:hAnsi="Segoe UI" w:cs="Segoe UI" w:hint="eastAsia"/>
                <w:color w:val="000000" w:themeColor="text1"/>
                <w:sz w:val="24"/>
                <w:szCs w:val="24"/>
              </w:rPr>
              <w:t>：①</w:t>
            </w:r>
            <w:r w:rsidR="00CB2E4D" w:rsidRPr="00687B52">
              <w:rPr>
                <w:rFonts w:ascii="Segoe UI" w:eastAsia="宋体" w:hAnsi="Segoe UI" w:cs="Segoe UI"/>
                <w:color w:val="000000" w:themeColor="text1"/>
                <w:sz w:val="24"/>
                <w:szCs w:val="24"/>
              </w:rPr>
              <w:t>氧气管道采用不通行地沟敷设时，沟上应设防止可燃物料、火花和雨水侵入的不燃烧体盖板；严禁氧气管道与油品管道、腐蚀性介质管道和各种导电线路敷设在同一地沟内，并不得与该类管线地沟相通</w:t>
            </w:r>
            <w:r w:rsidRPr="00687B52">
              <w:rPr>
                <w:rFonts w:ascii="Segoe UI" w:hAnsi="Segoe UI" w:cs="Segoe UI"/>
                <w:color w:val="000000" w:themeColor="text1"/>
                <w:sz w:val="24"/>
                <w:szCs w:val="24"/>
              </w:rPr>
              <w:t>；</w:t>
            </w:r>
            <w:r w:rsidR="00CB2E4D" w:rsidRPr="00687B52">
              <w:rPr>
                <w:rFonts w:ascii="Segoe UI" w:hAnsi="Segoe UI" w:cs="Segoe UI" w:hint="eastAsia"/>
                <w:color w:val="000000" w:themeColor="text1"/>
                <w:sz w:val="24"/>
                <w:szCs w:val="24"/>
              </w:rPr>
              <w:t>②</w:t>
            </w:r>
            <w:r w:rsidR="00CB2E4D" w:rsidRPr="00687B52">
              <w:rPr>
                <w:rFonts w:ascii="Segoe UI" w:eastAsia="宋体" w:hAnsi="Segoe UI" w:cs="Segoe UI"/>
                <w:color w:val="000000" w:themeColor="text1"/>
                <w:sz w:val="24"/>
                <w:szCs w:val="24"/>
              </w:rPr>
              <w:t>氧气管道不应与燃气管道同沟敷设，当氧气管道与同一使用目的燃气管道同沟敷设时，沟内应填满沙子，并严禁与其他地沟直接相通；</w:t>
            </w:r>
            <w:r w:rsidR="00CB2E4D" w:rsidRPr="00687B52">
              <w:rPr>
                <w:rFonts w:ascii="Segoe UI" w:hAnsi="Segoe UI" w:cs="Segoe UI" w:hint="eastAsia"/>
                <w:color w:val="000000" w:themeColor="text1"/>
                <w:sz w:val="24"/>
                <w:szCs w:val="24"/>
              </w:rPr>
              <w:t>③</w:t>
            </w:r>
            <w:r w:rsidR="00CB2E4D" w:rsidRPr="00687B52">
              <w:rPr>
                <w:rFonts w:ascii="Segoe UI" w:eastAsia="宋体" w:hAnsi="Segoe UI" w:cs="Segoe UI"/>
                <w:color w:val="000000" w:themeColor="text1"/>
                <w:sz w:val="24"/>
                <w:szCs w:val="24"/>
              </w:rPr>
              <w:t>当氧气管道与其他不燃气体或水管同沟敷设时，氧气管道应布置在上面，地沟应能排除积水。</w:t>
            </w:r>
          </w:p>
          <w:p w:rsidR="000E02C5" w:rsidRPr="00687B52" w:rsidRDefault="000E02C5" w:rsidP="00B527D4">
            <w:pPr>
              <w:adjustRightInd w:val="0"/>
              <w:snapToGrid w:val="0"/>
              <w:spacing w:line="276" w:lineRule="auto"/>
              <w:rPr>
                <w:rFonts w:ascii="Segoe UI" w:hAnsi="Segoe UI" w:cs="Segoe UI"/>
                <w:color w:val="000000" w:themeColor="text1"/>
                <w:sz w:val="24"/>
                <w:szCs w:val="24"/>
              </w:rPr>
            </w:pPr>
            <w:r w:rsidRPr="00687B52">
              <w:rPr>
                <w:rFonts w:ascii="Segoe UI" w:hAnsi="Segoe UI" w:cs="Segoe UI"/>
                <w:color w:val="000000" w:themeColor="text1"/>
                <w:sz w:val="24"/>
                <w:szCs w:val="24"/>
              </w:rPr>
              <w:t>5</w:t>
            </w:r>
            <w:r w:rsidRPr="00687B52">
              <w:rPr>
                <w:rFonts w:ascii="Segoe UI" w:hAnsi="Segoe UI" w:cs="Segoe UI" w:hint="eastAsia"/>
                <w:color w:val="000000" w:themeColor="text1"/>
                <w:sz w:val="24"/>
                <w:szCs w:val="24"/>
              </w:rPr>
              <w:t>）</w:t>
            </w:r>
            <w:r w:rsidRPr="00687B52">
              <w:rPr>
                <w:rFonts w:ascii="Segoe UI" w:hAnsi="Segoe UI" w:cs="Segoe UI"/>
                <w:color w:val="000000" w:themeColor="text1"/>
                <w:sz w:val="24"/>
                <w:szCs w:val="24"/>
              </w:rPr>
              <w:t>进入用户车间的氧气主管应在车间入口处装设切断阀、压力表，并宜在适当位置设放散管；</w:t>
            </w:r>
          </w:p>
          <w:p w:rsidR="000E02C5" w:rsidRPr="00687B52" w:rsidRDefault="000E02C5" w:rsidP="00B527D4">
            <w:pPr>
              <w:adjustRightInd w:val="0"/>
              <w:snapToGrid w:val="0"/>
              <w:spacing w:line="276" w:lineRule="auto"/>
              <w:rPr>
                <w:rFonts w:ascii="Segoe UI" w:hAnsi="Segoe UI" w:cs="Segoe UI"/>
                <w:color w:val="000000" w:themeColor="text1"/>
                <w:sz w:val="24"/>
                <w:szCs w:val="24"/>
              </w:rPr>
            </w:pPr>
            <w:r w:rsidRPr="00687B52">
              <w:rPr>
                <w:rFonts w:ascii="Segoe UI" w:hAnsi="Segoe UI" w:cs="Segoe UI"/>
                <w:color w:val="000000" w:themeColor="text1"/>
                <w:sz w:val="24"/>
                <w:szCs w:val="24"/>
              </w:rPr>
              <w:t>6</w:t>
            </w:r>
            <w:r w:rsidRPr="00687B52">
              <w:rPr>
                <w:rFonts w:ascii="Segoe UI" w:hAnsi="Segoe UI" w:cs="Segoe UI" w:hint="eastAsia"/>
                <w:color w:val="000000" w:themeColor="text1"/>
                <w:sz w:val="24"/>
                <w:szCs w:val="24"/>
              </w:rPr>
              <w:t>）</w:t>
            </w:r>
            <w:r w:rsidRPr="00687B52">
              <w:rPr>
                <w:rFonts w:ascii="Segoe UI" w:hAnsi="Segoe UI" w:cs="Segoe UI"/>
                <w:color w:val="000000" w:themeColor="text1"/>
                <w:sz w:val="24"/>
                <w:szCs w:val="24"/>
              </w:rPr>
              <w:t>氧气管道的放散管应引至室外，并应高出附近操作面</w:t>
            </w:r>
            <w:r w:rsidRPr="00687B52">
              <w:rPr>
                <w:rFonts w:ascii="Segoe UI" w:hAnsi="Segoe UI" w:cs="Segoe UI"/>
                <w:color w:val="000000" w:themeColor="text1"/>
                <w:sz w:val="24"/>
                <w:szCs w:val="24"/>
              </w:rPr>
              <w:t>4</w:t>
            </w:r>
            <w:r w:rsidRPr="00687B52">
              <w:rPr>
                <w:rFonts w:ascii="Segoe UI" w:hAnsi="Segoe UI" w:cs="Segoe UI" w:hint="eastAsia"/>
                <w:color w:val="000000" w:themeColor="text1"/>
                <w:sz w:val="24"/>
                <w:szCs w:val="24"/>
              </w:rPr>
              <w:t>m</w:t>
            </w:r>
            <w:r w:rsidRPr="00687B52">
              <w:rPr>
                <w:rFonts w:ascii="Segoe UI" w:hAnsi="Segoe UI" w:cs="Segoe UI"/>
                <w:color w:val="000000" w:themeColor="text1"/>
                <w:sz w:val="24"/>
                <w:szCs w:val="24"/>
              </w:rPr>
              <w:t>以上的无明火场所；</w:t>
            </w:r>
          </w:p>
          <w:p w:rsidR="000E02C5" w:rsidRPr="00687B52" w:rsidRDefault="000E02C5" w:rsidP="00B527D4">
            <w:pPr>
              <w:adjustRightInd w:val="0"/>
              <w:snapToGrid w:val="0"/>
              <w:spacing w:line="276" w:lineRule="auto"/>
              <w:rPr>
                <w:rFonts w:ascii="Segoe UI" w:hAnsi="Segoe UI" w:cs="Segoe UI"/>
                <w:color w:val="000000" w:themeColor="text1"/>
                <w:sz w:val="24"/>
                <w:szCs w:val="24"/>
              </w:rPr>
            </w:pPr>
            <w:r w:rsidRPr="00687B52">
              <w:rPr>
                <w:rFonts w:ascii="Segoe UI" w:hAnsi="Segoe UI" w:cs="Segoe UI"/>
                <w:color w:val="000000" w:themeColor="text1"/>
                <w:sz w:val="24"/>
                <w:szCs w:val="24"/>
              </w:rPr>
              <w:t>7</w:t>
            </w:r>
            <w:r w:rsidRPr="00687B52">
              <w:rPr>
                <w:rFonts w:ascii="Segoe UI" w:hAnsi="Segoe UI" w:cs="Segoe UI" w:hint="eastAsia"/>
                <w:color w:val="000000" w:themeColor="text1"/>
                <w:sz w:val="24"/>
                <w:szCs w:val="24"/>
              </w:rPr>
              <w:t>）</w:t>
            </w:r>
            <w:r w:rsidRPr="00687B52">
              <w:rPr>
                <w:rFonts w:ascii="Segoe UI" w:hAnsi="Segoe UI" w:cs="Segoe UI"/>
                <w:color w:val="000000" w:themeColor="text1"/>
                <w:sz w:val="24"/>
                <w:szCs w:val="24"/>
              </w:rPr>
              <w:t>氧气管道不得穿过高温作业及火焰区域。当必须穿过时，应在该管段增设隔热措施，其管壁温度不应超过</w:t>
            </w:r>
            <w:r w:rsidRPr="00687B52">
              <w:rPr>
                <w:rFonts w:ascii="Segoe UI" w:hAnsi="Segoe UI" w:cs="Segoe UI"/>
                <w:color w:val="000000" w:themeColor="text1"/>
                <w:sz w:val="24"/>
                <w:szCs w:val="24"/>
              </w:rPr>
              <w:t>70</w:t>
            </w:r>
            <w:r w:rsidRPr="00687B52">
              <w:rPr>
                <w:rFonts w:ascii="Segoe UI" w:hAnsi="Segoe UI" w:cs="Segoe UI" w:hint="eastAsia"/>
                <w:color w:val="000000" w:themeColor="text1"/>
                <w:sz w:val="24"/>
                <w:szCs w:val="24"/>
              </w:rPr>
              <w:t>℃</w:t>
            </w:r>
            <w:r w:rsidRPr="00687B52">
              <w:rPr>
                <w:rFonts w:ascii="Segoe UI" w:hAnsi="Segoe UI" w:cs="Segoe UI"/>
                <w:color w:val="000000" w:themeColor="text1"/>
                <w:sz w:val="24"/>
                <w:szCs w:val="24"/>
              </w:rPr>
              <w:t>；</w:t>
            </w:r>
          </w:p>
          <w:p w:rsidR="000E02C5" w:rsidRPr="00687B52" w:rsidRDefault="000E02C5" w:rsidP="00B527D4">
            <w:pPr>
              <w:adjustRightInd w:val="0"/>
              <w:snapToGrid w:val="0"/>
              <w:spacing w:line="276" w:lineRule="auto"/>
              <w:rPr>
                <w:rFonts w:ascii="Segoe UI" w:hAnsi="Segoe UI" w:cs="Segoe UI"/>
                <w:color w:val="000000" w:themeColor="text1"/>
                <w:sz w:val="24"/>
                <w:szCs w:val="24"/>
              </w:rPr>
            </w:pPr>
            <w:r w:rsidRPr="00687B52">
              <w:rPr>
                <w:rFonts w:ascii="Segoe UI" w:hAnsi="Segoe UI" w:cs="Segoe UI"/>
                <w:color w:val="000000" w:themeColor="text1"/>
                <w:sz w:val="24"/>
                <w:szCs w:val="24"/>
              </w:rPr>
              <w:t>8</w:t>
            </w:r>
            <w:r w:rsidRPr="00687B52">
              <w:rPr>
                <w:rFonts w:ascii="Segoe UI" w:hAnsi="Segoe UI" w:cs="Segoe UI" w:hint="eastAsia"/>
                <w:color w:val="000000" w:themeColor="text1"/>
                <w:sz w:val="24"/>
                <w:szCs w:val="24"/>
              </w:rPr>
              <w:t>）</w:t>
            </w:r>
            <w:r w:rsidRPr="00687B52">
              <w:rPr>
                <w:rFonts w:ascii="Segoe UI" w:hAnsi="Segoe UI" w:cs="Segoe UI"/>
                <w:color w:val="000000" w:themeColor="text1"/>
                <w:sz w:val="24"/>
                <w:szCs w:val="24"/>
              </w:rPr>
              <w:t>穿过墙壁、楼板的氧气管道应敷设在套管内；套管内不得有焊缝，管子与套管间的间隙应采用不燃烧的软质材料填实；</w:t>
            </w:r>
          </w:p>
          <w:p w:rsidR="000E02C5" w:rsidRPr="00687B52" w:rsidRDefault="000E02C5" w:rsidP="00B527D4">
            <w:pPr>
              <w:adjustRightInd w:val="0"/>
              <w:snapToGrid w:val="0"/>
              <w:spacing w:line="276" w:lineRule="auto"/>
              <w:rPr>
                <w:rFonts w:ascii="Segoe UI" w:hAnsi="Segoe UI" w:cs="Segoe UI"/>
                <w:color w:val="000000" w:themeColor="text1"/>
                <w:sz w:val="24"/>
                <w:szCs w:val="24"/>
              </w:rPr>
            </w:pPr>
            <w:r w:rsidRPr="00687B52">
              <w:rPr>
                <w:rFonts w:ascii="Segoe UI" w:hAnsi="Segoe UI" w:cs="Segoe UI"/>
                <w:color w:val="000000" w:themeColor="text1"/>
                <w:sz w:val="24"/>
                <w:szCs w:val="24"/>
              </w:rPr>
              <w:t>9</w:t>
            </w:r>
            <w:r w:rsidRPr="00687B52">
              <w:rPr>
                <w:rFonts w:ascii="Segoe UI" w:hAnsi="Segoe UI" w:cs="Segoe UI" w:hint="eastAsia"/>
                <w:color w:val="000000" w:themeColor="text1"/>
                <w:sz w:val="24"/>
                <w:szCs w:val="24"/>
              </w:rPr>
              <w:t>）</w:t>
            </w:r>
            <w:r w:rsidRPr="00687B52">
              <w:rPr>
                <w:rFonts w:ascii="Segoe UI" w:hAnsi="Segoe UI" w:cs="Segoe UI"/>
                <w:color w:val="000000" w:themeColor="text1"/>
                <w:sz w:val="24"/>
                <w:szCs w:val="24"/>
              </w:rPr>
              <w:t>氧气管道不应穿过不使用氧气的房间。当必须通过不使用氧气的房间时，其在房间内的管段上不得设有阀门、法兰和螺纹连接，并应采取防止氧气泄漏的措施；</w:t>
            </w:r>
          </w:p>
          <w:p w:rsidR="000E02C5" w:rsidRPr="00687B52" w:rsidRDefault="000E02C5" w:rsidP="00CB2E4D">
            <w:pPr>
              <w:adjustRightInd w:val="0"/>
              <w:snapToGrid w:val="0"/>
              <w:spacing w:line="276" w:lineRule="auto"/>
              <w:rPr>
                <w:rFonts w:ascii="Segoe UI" w:hAnsi="Segoe UI" w:cs="Segoe UI"/>
                <w:color w:val="000000" w:themeColor="text1"/>
              </w:rPr>
            </w:pPr>
            <w:r w:rsidRPr="00687B52">
              <w:rPr>
                <w:rFonts w:ascii="Segoe UI" w:hAnsi="Segoe UI" w:cs="Segoe UI"/>
                <w:color w:val="000000" w:themeColor="text1"/>
                <w:sz w:val="24"/>
                <w:szCs w:val="24"/>
              </w:rPr>
              <w:t>10</w:t>
            </w:r>
            <w:r w:rsidRPr="00687B52">
              <w:rPr>
                <w:rFonts w:ascii="Segoe UI" w:hAnsi="Segoe UI" w:cs="Segoe UI" w:hint="eastAsia"/>
                <w:color w:val="000000" w:themeColor="text1"/>
                <w:sz w:val="24"/>
                <w:szCs w:val="24"/>
              </w:rPr>
              <w:t>）</w:t>
            </w:r>
            <w:r w:rsidRPr="00687B52">
              <w:rPr>
                <w:rFonts w:ascii="Segoe UI" w:hAnsi="Segoe UI" w:cs="Segoe UI"/>
                <w:color w:val="000000" w:themeColor="text1"/>
                <w:sz w:val="24"/>
                <w:szCs w:val="24"/>
              </w:rPr>
              <w:t>供切割、焊接用氧的管道与切割、焊接工具或设备用软管连接时，供氧嘴头及切断阀应设置在用不燃烧材料制作的保护箱内。</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GB50030-2013第11.0.4条</w:t>
            </w:r>
          </w:p>
        </w:tc>
        <w:tc>
          <w:tcPr>
            <w:tcW w:w="1179" w:type="pct"/>
          </w:tcPr>
          <w:p w:rsidR="000E02C5" w:rsidRPr="00687B52" w:rsidRDefault="000E02C5" w:rsidP="00B527D4">
            <w:pPr>
              <w:pStyle w:val="a7"/>
              <w:rPr>
                <w:rFonts w:ascii="宋体" w:hAnsi="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2.16</w:t>
            </w:r>
          </w:p>
        </w:tc>
        <w:tc>
          <w:tcPr>
            <w:tcW w:w="2334" w:type="pct"/>
            <w:gridSpan w:val="4"/>
            <w:vAlign w:val="center"/>
          </w:tcPr>
          <w:p w:rsidR="000E02C5" w:rsidRPr="00687B52" w:rsidRDefault="000E02C5" w:rsidP="00B527D4">
            <w:pPr>
              <w:adjustRightInd w:val="0"/>
              <w:snapToGrid w:val="0"/>
              <w:spacing w:line="276" w:lineRule="auto"/>
              <w:rPr>
                <w:rFonts w:ascii="Segoe UI" w:hAnsi="Segoe UI" w:cs="Segoe UI"/>
                <w:color w:val="000000" w:themeColor="text1"/>
                <w:sz w:val="24"/>
                <w:szCs w:val="24"/>
                <w:highlight w:val="magenta"/>
              </w:rPr>
            </w:pPr>
            <w:r w:rsidRPr="00687B52">
              <w:rPr>
                <w:rFonts w:ascii="宋体" w:hAnsi="宋体" w:cs="宋体" w:hint="eastAsia"/>
                <w:bCs/>
                <w:color w:val="000000" w:themeColor="text1"/>
                <w:sz w:val="24"/>
                <w:szCs w:val="24"/>
              </w:rPr>
              <w:t>通往氧气压缩机的氧气管道以及装有压力、流量调节阀的氧气管道上，应在靠近机器入口处或压力、流量调节阀的上游侧装设过滤器，过滤器的材料应为不锈钢、镍铜合金、铜、铜基合金。</w:t>
            </w:r>
          </w:p>
        </w:tc>
        <w:tc>
          <w:tcPr>
            <w:tcW w:w="1183" w:type="pct"/>
            <w:vAlign w:val="center"/>
          </w:tcPr>
          <w:p w:rsidR="000E02C5" w:rsidRPr="00687B52" w:rsidRDefault="000E02C5" w:rsidP="00552F8F">
            <w:pPr>
              <w:pStyle w:val="a7"/>
              <w:rPr>
                <w:rFonts w:ascii="宋体" w:hAnsi="宋体"/>
                <w:bCs/>
                <w:color w:val="000000" w:themeColor="text1"/>
                <w:szCs w:val="24"/>
                <w:highlight w:val="magenta"/>
              </w:rPr>
            </w:pPr>
            <w:r w:rsidRPr="00687B52">
              <w:rPr>
                <w:rFonts w:ascii="宋体" w:hAnsi="宋体" w:hint="eastAsia"/>
                <w:color w:val="000000" w:themeColor="text1"/>
                <w:szCs w:val="24"/>
              </w:rPr>
              <w:t>《氧气站设计规范》</w:t>
            </w:r>
            <w:r w:rsidRPr="00687B52">
              <w:rPr>
                <w:rFonts w:ascii="宋体" w:hAnsi="宋体" w:hint="eastAsia"/>
                <w:bCs/>
                <w:color w:val="000000" w:themeColor="text1"/>
                <w:szCs w:val="24"/>
              </w:rPr>
              <w:t>GB50030-2013第11.0.5条</w:t>
            </w:r>
          </w:p>
        </w:tc>
        <w:tc>
          <w:tcPr>
            <w:tcW w:w="1179" w:type="pct"/>
          </w:tcPr>
          <w:p w:rsidR="000E02C5" w:rsidRPr="00687B52" w:rsidRDefault="000E02C5" w:rsidP="00B527D4">
            <w:pPr>
              <w:pStyle w:val="a7"/>
              <w:rPr>
                <w:rFonts w:ascii="宋体" w:hAnsi="宋体"/>
                <w:color w:val="000000" w:themeColor="text1"/>
                <w:szCs w:val="24"/>
                <w:highlight w:val="magenta"/>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2.17</w:t>
            </w:r>
          </w:p>
        </w:tc>
        <w:tc>
          <w:tcPr>
            <w:tcW w:w="2334" w:type="pct"/>
            <w:gridSpan w:val="4"/>
            <w:vAlign w:val="center"/>
          </w:tcPr>
          <w:p w:rsidR="000E02C5" w:rsidRPr="00687B52" w:rsidRDefault="000E02C5" w:rsidP="00B527D4">
            <w:pPr>
              <w:adjustRightInd w:val="0"/>
              <w:snapToGrid w:val="0"/>
              <w:spacing w:line="276" w:lineRule="auto"/>
              <w:rPr>
                <w:rFonts w:ascii="宋体" w:hAnsi="宋体" w:cs="宋体"/>
                <w:bCs/>
                <w:color w:val="000000" w:themeColor="text1"/>
                <w:sz w:val="24"/>
                <w:szCs w:val="24"/>
              </w:rPr>
            </w:pPr>
            <w:r w:rsidRPr="00687B52">
              <w:rPr>
                <w:rFonts w:ascii="宋体" w:hAnsi="宋体" w:cs="宋体" w:hint="eastAsia"/>
                <w:bCs/>
                <w:color w:val="000000" w:themeColor="text1"/>
                <w:sz w:val="24"/>
                <w:szCs w:val="24"/>
              </w:rPr>
              <w:t>氧气、氮气、氩气管道敷设在通行地沟或半通行地沟时，必须设有可靠的通风安全措施。</w:t>
            </w:r>
          </w:p>
        </w:tc>
        <w:tc>
          <w:tcPr>
            <w:tcW w:w="1183" w:type="pct"/>
            <w:vAlign w:val="center"/>
          </w:tcPr>
          <w:p w:rsidR="000E02C5" w:rsidRPr="00687B52" w:rsidRDefault="000E02C5" w:rsidP="00552F8F">
            <w:pPr>
              <w:pStyle w:val="a7"/>
              <w:rPr>
                <w:rFonts w:ascii="宋体" w:hAnsi="宋体"/>
                <w:bCs/>
                <w:color w:val="000000" w:themeColor="text1"/>
                <w:szCs w:val="24"/>
              </w:rPr>
            </w:pPr>
            <w:r w:rsidRPr="00687B52">
              <w:rPr>
                <w:rFonts w:ascii="宋体" w:hAnsi="宋体" w:hint="eastAsia"/>
                <w:color w:val="000000" w:themeColor="text1"/>
                <w:szCs w:val="24"/>
              </w:rPr>
              <w:t>《氧气站设计规范》</w:t>
            </w:r>
            <w:r w:rsidRPr="00687B52">
              <w:rPr>
                <w:rFonts w:ascii="宋体" w:hAnsi="宋体" w:hint="eastAsia"/>
                <w:bCs/>
                <w:color w:val="000000" w:themeColor="text1"/>
                <w:szCs w:val="24"/>
              </w:rPr>
              <w:t>GB50030-2013第11.0.7条</w:t>
            </w:r>
          </w:p>
        </w:tc>
        <w:tc>
          <w:tcPr>
            <w:tcW w:w="1179" w:type="pct"/>
          </w:tcPr>
          <w:p w:rsidR="000E02C5" w:rsidRPr="00687B52" w:rsidRDefault="000E02C5" w:rsidP="00B527D4">
            <w:pPr>
              <w:pStyle w:val="a7"/>
              <w:rPr>
                <w:rFonts w:ascii="宋体" w:hAnsi="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2.18</w:t>
            </w:r>
          </w:p>
        </w:tc>
        <w:tc>
          <w:tcPr>
            <w:tcW w:w="2334" w:type="pct"/>
            <w:gridSpan w:val="4"/>
            <w:vAlign w:val="center"/>
          </w:tcPr>
          <w:p w:rsidR="000E02C5" w:rsidRPr="00687B52" w:rsidRDefault="000E02C5" w:rsidP="00B527D4">
            <w:pPr>
              <w:pStyle w:val="af8"/>
              <w:shd w:val="clear" w:color="auto" w:fill="FFFFFF"/>
              <w:spacing w:before="0" w:beforeAutospacing="0" w:after="0" w:afterAutospacing="0"/>
              <w:rPr>
                <w:rFonts w:ascii="Segoe UI" w:hAnsi="Segoe UI" w:cs="Segoe UI"/>
                <w:color w:val="000000" w:themeColor="text1"/>
              </w:rPr>
            </w:pPr>
            <w:r w:rsidRPr="00687B52">
              <w:rPr>
                <w:rFonts w:ascii="Segoe UI" w:hAnsi="Segoe UI" w:cs="Segoe UI" w:hint="eastAsia"/>
                <w:color w:val="000000" w:themeColor="text1"/>
              </w:rPr>
              <w:t>氧气（包括液氧）设备、管道、阀门上的法兰连接和螺纹连接处，应采用金属导线跨接。</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《深度冷冻法生产氧气机相关气体安全技术规程》GB16912-2008第4.7.4条</w:t>
            </w:r>
          </w:p>
        </w:tc>
        <w:tc>
          <w:tcPr>
            <w:tcW w:w="1179" w:type="pct"/>
          </w:tcPr>
          <w:p w:rsidR="000E02C5" w:rsidRPr="00687B52" w:rsidRDefault="000E02C5" w:rsidP="00B527D4">
            <w:pPr>
              <w:pStyle w:val="a7"/>
              <w:rPr>
                <w:rFonts w:ascii="宋体" w:hAnsi="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2.19</w:t>
            </w:r>
          </w:p>
        </w:tc>
        <w:tc>
          <w:tcPr>
            <w:tcW w:w="2334" w:type="pct"/>
            <w:gridSpan w:val="4"/>
            <w:vAlign w:val="center"/>
          </w:tcPr>
          <w:p w:rsidR="000E02C5" w:rsidRPr="00687B52" w:rsidRDefault="000E02C5" w:rsidP="00B527D4">
            <w:pPr>
              <w:spacing w:line="320" w:lineRule="exact"/>
              <w:jc w:val="left"/>
              <w:rPr>
                <w:rFonts w:ascii="Segoe UI" w:hAnsi="Segoe UI" w:cs="Segoe UI"/>
                <w:color w:val="000000" w:themeColor="text1"/>
                <w:kern w:val="0"/>
                <w:sz w:val="24"/>
                <w:szCs w:val="24"/>
              </w:rPr>
            </w:pPr>
            <w:r w:rsidRPr="00687B52">
              <w:rPr>
                <w:rFonts w:ascii="Segoe UI" w:hAnsi="Segoe UI" w:cs="Segoe UI" w:hint="eastAsia"/>
                <w:color w:val="000000" w:themeColor="text1"/>
                <w:kern w:val="0"/>
                <w:sz w:val="24"/>
                <w:szCs w:val="24"/>
              </w:rPr>
              <w:t>氧气管道必须架设在不燃烧体的支架上。</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《深度冷冻法生产氧气机相关气体安全技术规程》GB16912-2008第8.1.1条</w:t>
            </w:r>
          </w:p>
        </w:tc>
        <w:tc>
          <w:tcPr>
            <w:tcW w:w="1179" w:type="pct"/>
          </w:tcPr>
          <w:p w:rsidR="000E02C5" w:rsidRPr="00687B52" w:rsidRDefault="000E02C5" w:rsidP="00B527D4">
            <w:pPr>
              <w:pStyle w:val="a7"/>
              <w:rPr>
                <w:rFonts w:ascii="宋体" w:hAnsi="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2.20</w:t>
            </w:r>
          </w:p>
        </w:tc>
        <w:tc>
          <w:tcPr>
            <w:tcW w:w="2334" w:type="pct"/>
            <w:gridSpan w:val="4"/>
            <w:vAlign w:val="center"/>
          </w:tcPr>
          <w:p w:rsidR="000E02C5" w:rsidRPr="00687B52" w:rsidRDefault="000E02C5" w:rsidP="00B527D4">
            <w:pPr>
              <w:spacing w:line="320" w:lineRule="exact"/>
              <w:rPr>
                <w:rFonts w:ascii="Segoe UI" w:hAnsi="Segoe UI" w:cs="Segoe UI"/>
                <w:color w:val="000000" w:themeColor="text1"/>
                <w:kern w:val="0"/>
                <w:sz w:val="24"/>
                <w:szCs w:val="24"/>
              </w:rPr>
            </w:pPr>
            <w:r w:rsidRPr="00687B52">
              <w:rPr>
                <w:rFonts w:ascii="Segoe UI" w:hAnsi="Segoe UI" w:cs="Segoe UI" w:hint="eastAsia"/>
                <w:color w:val="000000" w:themeColor="text1"/>
                <w:kern w:val="0"/>
                <w:sz w:val="24"/>
                <w:szCs w:val="24"/>
              </w:rPr>
              <w:t>氧气管道的阀门应选用专用氧气阀门。</w:t>
            </w:r>
          </w:p>
          <w:p w:rsidR="000E02C5" w:rsidRPr="00687B52" w:rsidRDefault="000E02C5" w:rsidP="00B527D4">
            <w:pPr>
              <w:spacing w:line="320" w:lineRule="exact"/>
              <w:rPr>
                <w:rFonts w:ascii="Segoe UI" w:hAnsi="Segoe UI" w:cs="Segoe UI"/>
                <w:color w:val="000000" w:themeColor="text1"/>
                <w:kern w:val="0"/>
                <w:sz w:val="24"/>
                <w:szCs w:val="24"/>
              </w:rPr>
            </w:pPr>
          </w:p>
          <w:p w:rsidR="000E02C5" w:rsidRPr="00687B52" w:rsidRDefault="000E02C5" w:rsidP="00B527D4">
            <w:pPr>
              <w:spacing w:line="320" w:lineRule="exact"/>
              <w:rPr>
                <w:rFonts w:ascii="Segoe UI" w:hAnsi="Segoe UI" w:cs="Segoe UI"/>
                <w:color w:val="000000" w:themeColor="text1"/>
                <w:kern w:val="0"/>
                <w:sz w:val="24"/>
                <w:szCs w:val="24"/>
              </w:rPr>
            </w:pPr>
          </w:p>
        </w:tc>
        <w:tc>
          <w:tcPr>
            <w:tcW w:w="1183" w:type="pct"/>
            <w:vAlign w:val="center"/>
          </w:tcPr>
          <w:p w:rsidR="000E02C5" w:rsidRPr="00687B52" w:rsidRDefault="000E02C5" w:rsidP="00B527D4">
            <w:pPr>
              <w:pStyle w:val="a7"/>
              <w:rPr>
                <w:rFonts w:ascii="宋体" w:hAnsi="宋体"/>
                <w:color w:val="000000" w:themeColor="text1"/>
                <w:szCs w:val="24"/>
              </w:rPr>
            </w:pPr>
            <w:r w:rsidRPr="00687B52">
              <w:rPr>
                <w:rFonts w:ascii="宋体" w:hAnsi="宋体" w:hint="eastAsia"/>
                <w:color w:val="000000" w:themeColor="text1"/>
                <w:szCs w:val="24"/>
              </w:rPr>
              <w:t>《深度冷冻法生产氧气机相关气体安全技术规程》GB16912-2008</w:t>
            </w:r>
          </w:p>
          <w:p w:rsidR="000E02C5" w:rsidRPr="00687B52" w:rsidRDefault="000E02C5" w:rsidP="00B527D4">
            <w:pPr>
              <w:pStyle w:val="a7"/>
              <w:rPr>
                <w:rFonts w:ascii="宋体" w:hAnsi="宋体"/>
                <w:color w:val="000000" w:themeColor="text1"/>
                <w:szCs w:val="24"/>
              </w:rPr>
            </w:pPr>
            <w:r w:rsidRPr="00687B52">
              <w:rPr>
                <w:rFonts w:ascii="宋体" w:hAnsi="宋体" w:hint="eastAsia"/>
                <w:color w:val="000000" w:themeColor="text1"/>
                <w:szCs w:val="24"/>
              </w:rPr>
              <w:t>第8.5.1条</w:t>
            </w:r>
          </w:p>
        </w:tc>
        <w:tc>
          <w:tcPr>
            <w:tcW w:w="1179" w:type="pct"/>
          </w:tcPr>
          <w:p w:rsidR="000E02C5" w:rsidRPr="00687B52" w:rsidRDefault="000E02C5" w:rsidP="00B527D4">
            <w:pPr>
              <w:pStyle w:val="a7"/>
              <w:rPr>
                <w:rFonts w:ascii="宋体" w:hAnsi="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2.21</w:t>
            </w:r>
          </w:p>
        </w:tc>
        <w:tc>
          <w:tcPr>
            <w:tcW w:w="2334" w:type="pct"/>
            <w:gridSpan w:val="4"/>
            <w:vAlign w:val="center"/>
          </w:tcPr>
          <w:p w:rsidR="000E02C5" w:rsidRPr="00687B52" w:rsidRDefault="000E02C5" w:rsidP="00B527D4">
            <w:pPr>
              <w:pStyle w:val="a7"/>
              <w:jc w:val="both"/>
              <w:rPr>
                <w:rFonts w:ascii="宋体" w:hAnsi="宋体"/>
                <w:color w:val="000000" w:themeColor="text1"/>
                <w:szCs w:val="24"/>
              </w:rPr>
            </w:pPr>
            <w:r w:rsidRPr="00687B52">
              <w:rPr>
                <w:rFonts w:ascii="宋体" w:hAnsi="宋体" w:hint="eastAsia"/>
                <w:color w:val="000000" w:themeColor="text1"/>
                <w:szCs w:val="24"/>
              </w:rPr>
              <w:t>灌氧站房、汇流排间、空瓶间和实瓶间，均应有防止瓶倒的措施。</w:t>
            </w:r>
          </w:p>
          <w:p w:rsidR="000E02C5" w:rsidRPr="00687B52" w:rsidRDefault="000E02C5" w:rsidP="00B527D4">
            <w:pPr>
              <w:pStyle w:val="a7"/>
              <w:rPr>
                <w:rFonts w:ascii="宋体" w:hAnsi="宋体"/>
                <w:color w:val="000000" w:themeColor="text1"/>
                <w:szCs w:val="24"/>
              </w:rPr>
            </w:pP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《深度冷冻法生产氧气机相关气体安全技术规程》GB16912-2008第4.6.14</w:t>
            </w:r>
          </w:p>
        </w:tc>
        <w:tc>
          <w:tcPr>
            <w:tcW w:w="1179" w:type="pct"/>
          </w:tcPr>
          <w:p w:rsidR="000E02C5" w:rsidRPr="00687B52" w:rsidRDefault="000E02C5" w:rsidP="00B527D4">
            <w:pPr>
              <w:pStyle w:val="a7"/>
              <w:rPr>
                <w:rFonts w:ascii="宋体" w:hAnsi="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2.22</w:t>
            </w:r>
          </w:p>
        </w:tc>
        <w:tc>
          <w:tcPr>
            <w:tcW w:w="2334" w:type="pct"/>
            <w:gridSpan w:val="4"/>
            <w:vAlign w:val="center"/>
          </w:tcPr>
          <w:p w:rsidR="000E02C5" w:rsidRPr="00687B52" w:rsidRDefault="000E02C5" w:rsidP="00B527D4">
            <w:pPr>
              <w:spacing w:line="320" w:lineRule="exact"/>
              <w:jc w:val="left"/>
              <w:rPr>
                <w:rFonts w:ascii="Segoe UI" w:hAnsi="Segoe UI" w:cs="Segoe UI"/>
                <w:color w:val="000000" w:themeColor="text1"/>
                <w:kern w:val="0"/>
                <w:sz w:val="24"/>
                <w:szCs w:val="24"/>
              </w:rPr>
            </w:pPr>
            <w:r w:rsidRPr="00687B52">
              <w:rPr>
                <w:rFonts w:ascii="Segoe UI" w:hAnsi="Segoe UI" w:cs="Segoe UI" w:hint="eastAsia"/>
                <w:color w:val="000000" w:themeColor="text1"/>
                <w:kern w:val="0"/>
                <w:sz w:val="24"/>
                <w:szCs w:val="24"/>
              </w:rPr>
              <w:t>容器的充满率不得大于</w:t>
            </w:r>
            <w:r w:rsidRPr="00687B52">
              <w:rPr>
                <w:rFonts w:ascii="Segoe UI" w:hAnsi="Segoe UI" w:cs="Segoe UI" w:hint="eastAsia"/>
                <w:color w:val="000000" w:themeColor="text1"/>
                <w:kern w:val="0"/>
                <w:sz w:val="24"/>
                <w:szCs w:val="24"/>
              </w:rPr>
              <w:t>0.95</w:t>
            </w:r>
            <w:r w:rsidRPr="00687B52">
              <w:rPr>
                <w:rFonts w:ascii="Segoe UI" w:hAnsi="Segoe UI" w:cs="Segoe UI" w:hint="eastAsia"/>
                <w:color w:val="000000" w:themeColor="text1"/>
                <w:kern w:val="0"/>
                <w:sz w:val="24"/>
                <w:szCs w:val="24"/>
              </w:rPr>
              <w:t>，严禁过量充装。</w:t>
            </w:r>
          </w:p>
        </w:tc>
        <w:tc>
          <w:tcPr>
            <w:tcW w:w="1183" w:type="pct"/>
            <w:vAlign w:val="center"/>
          </w:tcPr>
          <w:p w:rsidR="000E02C5" w:rsidRPr="00687B52" w:rsidRDefault="000E02C5" w:rsidP="00B527D4">
            <w:pPr>
              <w:spacing w:line="320" w:lineRule="exact"/>
              <w:jc w:val="center"/>
              <w:rPr>
                <w:rFonts w:ascii="宋体" w:hAnsi="宋体" w:cs="Arial"/>
                <w:color w:val="000000" w:themeColor="text1"/>
                <w:sz w:val="24"/>
                <w:szCs w:val="24"/>
              </w:rPr>
            </w:pPr>
            <w:r w:rsidRPr="00687B52">
              <w:rPr>
                <w:rFonts w:ascii="宋体" w:hAnsi="宋体" w:hint="eastAsia"/>
                <w:color w:val="000000" w:themeColor="text1"/>
                <w:sz w:val="24"/>
                <w:szCs w:val="24"/>
              </w:rPr>
              <w:t>《低温液体贮运设备使用安全规则》</w:t>
            </w:r>
            <w:r w:rsidRPr="00687B52">
              <w:rPr>
                <w:rFonts w:ascii="宋体" w:hAnsi="宋体" w:cs="Arial" w:hint="eastAsia"/>
                <w:color w:val="000000" w:themeColor="text1"/>
                <w:sz w:val="24"/>
                <w:szCs w:val="24"/>
              </w:rPr>
              <w:t>JB/T6898-2015</w:t>
            </w:r>
          </w:p>
          <w:p w:rsidR="000E02C5" w:rsidRPr="00687B52" w:rsidRDefault="000E02C5" w:rsidP="00B527D4">
            <w:pPr>
              <w:spacing w:line="320" w:lineRule="exact"/>
              <w:jc w:val="center"/>
              <w:rPr>
                <w:rFonts w:ascii="宋体" w:hAnsi="宋体"/>
                <w:color w:val="000000" w:themeColor="text1"/>
                <w:szCs w:val="24"/>
              </w:rPr>
            </w:pPr>
            <w:r w:rsidRPr="00687B52">
              <w:rPr>
                <w:rFonts w:ascii="宋体" w:hAnsi="宋体" w:cs="Arial" w:hint="eastAsia"/>
                <w:color w:val="000000" w:themeColor="text1"/>
                <w:sz w:val="24"/>
                <w:szCs w:val="24"/>
              </w:rPr>
              <w:t>第4.4.1条</w:t>
            </w:r>
          </w:p>
        </w:tc>
        <w:tc>
          <w:tcPr>
            <w:tcW w:w="1179" w:type="pct"/>
          </w:tcPr>
          <w:p w:rsidR="000E02C5" w:rsidRPr="00687B52" w:rsidRDefault="000E02C5" w:rsidP="00B527D4">
            <w:pPr>
              <w:pStyle w:val="a7"/>
              <w:rPr>
                <w:rFonts w:ascii="宋体" w:hAnsi="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b/>
                <w:color w:val="000000" w:themeColor="text1"/>
                <w:szCs w:val="24"/>
              </w:rPr>
            </w:pPr>
            <w:r w:rsidRPr="00687B52">
              <w:rPr>
                <w:rFonts w:ascii="宋体" w:hAnsi="宋体" w:hint="eastAsia"/>
                <w:b/>
                <w:color w:val="000000" w:themeColor="text1"/>
                <w:szCs w:val="24"/>
              </w:rPr>
              <w:t>3</w:t>
            </w:r>
          </w:p>
        </w:tc>
        <w:tc>
          <w:tcPr>
            <w:tcW w:w="2334" w:type="pct"/>
            <w:gridSpan w:val="4"/>
          </w:tcPr>
          <w:p w:rsidR="000E02C5" w:rsidRPr="00687B52" w:rsidRDefault="000E02C5" w:rsidP="00B527D4">
            <w:pPr>
              <w:pStyle w:val="a7"/>
              <w:jc w:val="left"/>
              <w:rPr>
                <w:rFonts w:ascii="宋体" w:hAnsi="宋体"/>
                <w:b/>
                <w:color w:val="000000" w:themeColor="text1"/>
                <w:szCs w:val="24"/>
              </w:rPr>
            </w:pPr>
            <w:r w:rsidRPr="00687B52">
              <w:rPr>
                <w:rFonts w:asciiTheme="minorEastAsia" w:eastAsiaTheme="minorEastAsia" w:hAnsiTheme="minorEastAsia" w:hint="eastAsia"/>
                <w:b/>
                <w:color w:val="000000" w:themeColor="text1"/>
                <w:szCs w:val="24"/>
              </w:rPr>
              <w:t>公用工程</w:t>
            </w:r>
          </w:p>
        </w:tc>
        <w:tc>
          <w:tcPr>
            <w:tcW w:w="1183" w:type="pct"/>
          </w:tcPr>
          <w:p w:rsidR="000E02C5" w:rsidRPr="00687B52" w:rsidRDefault="000E02C5" w:rsidP="00B527D4">
            <w:pPr>
              <w:pStyle w:val="a7"/>
              <w:rPr>
                <w:rFonts w:ascii="宋体" w:hAnsi="宋体"/>
                <w:b/>
                <w:color w:val="000000" w:themeColor="text1"/>
                <w:szCs w:val="24"/>
              </w:rPr>
            </w:pPr>
          </w:p>
        </w:tc>
        <w:tc>
          <w:tcPr>
            <w:tcW w:w="1179" w:type="pct"/>
          </w:tcPr>
          <w:p w:rsidR="000E02C5" w:rsidRPr="00687B52" w:rsidRDefault="000E02C5" w:rsidP="00B527D4">
            <w:pPr>
              <w:pStyle w:val="a7"/>
              <w:rPr>
                <w:rFonts w:ascii="宋体" w:hAnsi="宋体"/>
                <w:b/>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3.1</w:t>
            </w:r>
          </w:p>
        </w:tc>
        <w:tc>
          <w:tcPr>
            <w:tcW w:w="2334" w:type="pct"/>
            <w:gridSpan w:val="4"/>
            <w:vAlign w:val="center"/>
          </w:tcPr>
          <w:p w:rsidR="000E02C5" w:rsidRPr="00687B52" w:rsidRDefault="000E02C5" w:rsidP="00B527D4">
            <w:pPr>
              <w:pStyle w:val="af8"/>
              <w:shd w:val="clear" w:color="auto" w:fill="FFFFFF"/>
              <w:spacing w:before="0" w:beforeAutospacing="0" w:after="0" w:afterAutospacing="0" w:line="480" w:lineRule="exact"/>
              <w:rPr>
                <w:b/>
                <w:color w:val="000000" w:themeColor="text1"/>
              </w:rPr>
            </w:pPr>
            <w:r w:rsidRPr="00687B52">
              <w:rPr>
                <w:rFonts w:ascii="Segoe UI" w:hAnsi="Segoe UI" w:cs="Segoe UI" w:hint="eastAsia"/>
                <w:color w:val="000000" w:themeColor="text1"/>
              </w:rPr>
              <w:t>有爆炸危险、火灾危险的房间或区域内的电气设施应符合现行国家标准《爆炸和火灾危险环境电力装置设计规范》</w:t>
            </w:r>
            <w:r w:rsidRPr="00687B52">
              <w:rPr>
                <w:rFonts w:ascii="Segoe UI" w:hAnsi="Segoe UI" w:cs="Segoe UI" w:hint="eastAsia"/>
                <w:color w:val="000000" w:themeColor="text1"/>
              </w:rPr>
              <w:t>GB50058</w:t>
            </w:r>
            <w:r w:rsidRPr="00687B52">
              <w:rPr>
                <w:rFonts w:ascii="Segoe UI" w:hAnsi="Segoe UI" w:cs="Segoe UI" w:hint="eastAsia"/>
                <w:color w:val="000000" w:themeColor="text1"/>
              </w:rPr>
              <w:t>的有关规定。液氧系统设施，氧气灌瓶间、氧气贮罐间等应为</w:t>
            </w:r>
            <w:r w:rsidRPr="00687B52">
              <w:rPr>
                <w:rFonts w:ascii="Segoe UI" w:hAnsi="Segoe UI" w:cs="Segoe UI" w:hint="eastAsia"/>
                <w:color w:val="000000" w:themeColor="text1"/>
              </w:rPr>
              <w:t>2</w:t>
            </w:r>
            <w:r w:rsidRPr="00687B52">
              <w:rPr>
                <w:rFonts w:ascii="Segoe UI" w:hAnsi="Segoe UI" w:cs="Segoe UI" w:hint="eastAsia"/>
                <w:color w:val="000000" w:themeColor="text1"/>
              </w:rPr>
              <w:t>区。</w:t>
            </w:r>
          </w:p>
        </w:tc>
        <w:tc>
          <w:tcPr>
            <w:tcW w:w="1183" w:type="pct"/>
            <w:vAlign w:val="center"/>
          </w:tcPr>
          <w:p w:rsidR="000E02C5" w:rsidRPr="00687B52" w:rsidRDefault="000E02C5" w:rsidP="00B527D4">
            <w:pPr>
              <w:pStyle w:val="a7"/>
              <w:rPr>
                <w:color w:val="000000" w:themeColor="text1"/>
                <w:highlight w:val="green"/>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GB50030-2013第8.0.2条</w:t>
            </w:r>
          </w:p>
        </w:tc>
        <w:tc>
          <w:tcPr>
            <w:tcW w:w="1179" w:type="pct"/>
          </w:tcPr>
          <w:p w:rsidR="000E02C5" w:rsidRPr="00687B52" w:rsidRDefault="000E02C5" w:rsidP="00B527D4">
            <w:pPr>
              <w:pStyle w:val="a7"/>
              <w:rPr>
                <w:color w:val="000000" w:themeColor="text1"/>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3.2</w:t>
            </w:r>
          </w:p>
        </w:tc>
        <w:tc>
          <w:tcPr>
            <w:tcW w:w="2334" w:type="pct"/>
            <w:gridSpan w:val="4"/>
            <w:vAlign w:val="center"/>
          </w:tcPr>
          <w:p w:rsidR="000E02C5" w:rsidRPr="00687B52" w:rsidRDefault="000E02C5" w:rsidP="00B527D4">
            <w:pPr>
              <w:pStyle w:val="af8"/>
              <w:shd w:val="clear" w:color="auto" w:fill="FFFFFF"/>
              <w:spacing w:before="0" w:beforeAutospacing="0" w:after="0" w:afterAutospacing="0"/>
              <w:rPr>
                <w:b/>
                <w:color w:val="000000" w:themeColor="text1"/>
              </w:rPr>
            </w:pPr>
            <w:r w:rsidRPr="00687B52">
              <w:rPr>
                <w:rFonts w:ascii="Segoe UI" w:hAnsi="Segoe UI" w:cs="Segoe UI"/>
                <w:color w:val="000000" w:themeColor="text1"/>
              </w:rPr>
              <w:t>设有高压油开关的房间内，其贮油量不应大于</w:t>
            </w:r>
            <w:r w:rsidRPr="00687B52">
              <w:rPr>
                <w:rFonts w:ascii="Segoe UI" w:hAnsi="Segoe UI" w:cs="Segoe UI"/>
                <w:color w:val="000000" w:themeColor="text1"/>
              </w:rPr>
              <w:t>25</w:t>
            </w:r>
            <w:r w:rsidRPr="00687B52">
              <w:rPr>
                <w:rFonts w:ascii="Segoe UI" w:hAnsi="Segoe UI" w:cs="Segoe UI" w:hint="eastAsia"/>
                <w:color w:val="000000" w:themeColor="text1"/>
              </w:rPr>
              <w:t>Kg</w:t>
            </w:r>
            <w:r w:rsidRPr="00687B52">
              <w:rPr>
                <w:rFonts w:ascii="Segoe UI" w:hAnsi="Segoe UI" w:cs="Segoe UI"/>
                <w:color w:val="000000" w:themeColor="text1"/>
              </w:rPr>
              <w:t>。</w:t>
            </w:r>
          </w:p>
        </w:tc>
        <w:tc>
          <w:tcPr>
            <w:tcW w:w="1183" w:type="pct"/>
            <w:vAlign w:val="center"/>
          </w:tcPr>
          <w:p w:rsidR="000E02C5" w:rsidRPr="00687B52" w:rsidRDefault="000E02C5" w:rsidP="00B527D4">
            <w:pPr>
              <w:pStyle w:val="a7"/>
              <w:rPr>
                <w:color w:val="000000" w:themeColor="text1"/>
                <w:highlight w:val="green"/>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GB50030-2013第8.0.4条</w:t>
            </w:r>
          </w:p>
        </w:tc>
        <w:tc>
          <w:tcPr>
            <w:tcW w:w="1179" w:type="pct"/>
          </w:tcPr>
          <w:p w:rsidR="000E02C5" w:rsidRPr="00687B52" w:rsidRDefault="000E02C5" w:rsidP="00B527D4">
            <w:pPr>
              <w:pStyle w:val="a7"/>
              <w:rPr>
                <w:color w:val="000000" w:themeColor="text1"/>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3.3</w:t>
            </w:r>
          </w:p>
        </w:tc>
        <w:tc>
          <w:tcPr>
            <w:tcW w:w="2334" w:type="pct"/>
            <w:gridSpan w:val="4"/>
            <w:vAlign w:val="center"/>
          </w:tcPr>
          <w:p w:rsidR="000E02C5" w:rsidRPr="00687B52" w:rsidRDefault="000E02C5" w:rsidP="00B527D4">
            <w:pPr>
              <w:adjustRightInd w:val="0"/>
              <w:snapToGrid w:val="0"/>
              <w:spacing w:line="276" w:lineRule="auto"/>
              <w:rPr>
                <w:rFonts w:ascii="黑体" w:eastAsia="黑体" w:hAnsi="黑体" w:cs="Segoe UI"/>
                <w:color w:val="000000" w:themeColor="text1"/>
                <w:sz w:val="24"/>
                <w:szCs w:val="24"/>
                <w:highlight w:val="magenta"/>
              </w:rPr>
            </w:pPr>
            <w:r w:rsidRPr="00687B52">
              <w:rPr>
                <w:rFonts w:ascii="宋体" w:hAnsi="宋体" w:cs="宋体" w:hint="eastAsia"/>
                <w:bCs/>
                <w:color w:val="000000" w:themeColor="text1"/>
                <w:sz w:val="24"/>
                <w:szCs w:val="24"/>
              </w:rPr>
              <w:t>积聚液氧、液体空气的各类设备、氧气压缩机、氧气灌充台和氧气管道应设导除静电的接地装置，接地电阻不应大于10Ω。</w:t>
            </w:r>
          </w:p>
        </w:tc>
        <w:tc>
          <w:tcPr>
            <w:tcW w:w="1183" w:type="pct"/>
            <w:vAlign w:val="center"/>
          </w:tcPr>
          <w:p w:rsidR="000E02C5" w:rsidRPr="00687B52" w:rsidRDefault="000E02C5" w:rsidP="00B527D4">
            <w:pPr>
              <w:pStyle w:val="a7"/>
              <w:rPr>
                <w:rFonts w:ascii="宋体" w:hAnsi="宋体"/>
                <w:color w:val="000000" w:themeColor="text1"/>
                <w:szCs w:val="24"/>
                <w:highlight w:val="magenta"/>
              </w:rPr>
            </w:pPr>
            <w:r w:rsidRPr="00687B52">
              <w:rPr>
                <w:rFonts w:ascii="宋体" w:hAnsi="宋体" w:hint="eastAsia"/>
                <w:bCs/>
                <w:color w:val="000000" w:themeColor="text1"/>
                <w:szCs w:val="24"/>
              </w:rPr>
              <w:t>《氧气站设计规范》</w:t>
            </w:r>
            <w:r w:rsidRPr="00687B52">
              <w:rPr>
                <w:rFonts w:ascii="宋体" w:hAnsi="宋体" w:hint="eastAsia"/>
                <w:color w:val="000000" w:themeColor="text1"/>
                <w:szCs w:val="24"/>
              </w:rPr>
              <w:t>GB50030-2013第8.0.4条</w:t>
            </w:r>
          </w:p>
        </w:tc>
        <w:tc>
          <w:tcPr>
            <w:tcW w:w="1179" w:type="pct"/>
          </w:tcPr>
          <w:p w:rsidR="000E02C5" w:rsidRPr="00687B52" w:rsidRDefault="000E02C5" w:rsidP="00B527D4">
            <w:pPr>
              <w:pStyle w:val="a7"/>
              <w:rPr>
                <w:color w:val="000000" w:themeColor="text1"/>
                <w:highlight w:val="magenta"/>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3.4</w:t>
            </w:r>
          </w:p>
        </w:tc>
        <w:tc>
          <w:tcPr>
            <w:tcW w:w="2334" w:type="pct"/>
            <w:gridSpan w:val="4"/>
            <w:vAlign w:val="center"/>
          </w:tcPr>
          <w:p w:rsidR="000E02C5" w:rsidRPr="00687B52" w:rsidRDefault="000E02C5" w:rsidP="00B527D4">
            <w:pPr>
              <w:adjustRightInd w:val="0"/>
              <w:snapToGrid w:val="0"/>
              <w:spacing w:line="276" w:lineRule="auto"/>
              <w:rPr>
                <w:rFonts w:ascii="宋体" w:hAnsi="宋体" w:cs="宋体"/>
                <w:bCs/>
                <w:color w:val="000000" w:themeColor="text1"/>
                <w:sz w:val="24"/>
                <w:szCs w:val="24"/>
              </w:rPr>
            </w:pPr>
            <w:r w:rsidRPr="00687B52">
              <w:rPr>
                <w:rFonts w:ascii="宋体" w:hAnsi="宋体" w:cs="宋体" w:hint="eastAsia"/>
                <w:bCs/>
                <w:color w:val="000000" w:themeColor="text1"/>
                <w:sz w:val="24"/>
                <w:szCs w:val="24"/>
              </w:rPr>
              <w:t>氧气管道应设置导除静电的接地装置，并应符合下列规定：</w:t>
            </w:r>
          </w:p>
          <w:p w:rsidR="000E02C5" w:rsidRPr="00687B52" w:rsidRDefault="000E02C5" w:rsidP="00B527D4">
            <w:pPr>
              <w:adjustRightInd w:val="0"/>
              <w:snapToGrid w:val="0"/>
              <w:spacing w:line="276" w:lineRule="auto"/>
              <w:rPr>
                <w:rFonts w:ascii="宋体" w:hAnsi="宋体" w:cs="宋体"/>
                <w:bCs/>
                <w:color w:val="000000" w:themeColor="text1"/>
                <w:sz w:val="24"/>
                <w:szCs w:val="24"/>
              </w:rPr>
            </w:pPr>
            <w:r w:rsidRPr="00687B52">
              <w:rPr>
                <w:rFonts w:ascii="宋体" w:hAnsi="宋体" w:cs="宋体" w:hint="eastAsia"/>
                <w:bCs/>
                <w:color w:val="000000" w:themeColor="text1"/>
                <w:sz w:val="24"/>
                <w:szCs w:val="24"/>
              </w:rPr>
              <w:t>1）厂区架空或地沟敷设管道，在分岔处或无分支管道每隔80m-100m处，以及与架空电力电缆交叉处应设接地装置；</w:t>
            </w:r>
          </w:p>
          <w:p w:rsidR="000E02C5" w:rsidRPr="00687B52" w:rsidRDefault="000E02C5" w:rsidP="00B527D4">
            <w:pPr>
              <w:adjustRightInd w:val="0"/>
              <w:snapToGrid w:val="0"/>
              <w:spacing w:line="276" w:lineRule="auto"/>
              <w:rPr>
                <w:rFonts w:ascii="宋体" w:hAnsi="宋体" w:cs="宋体"/>
                <w:bCs/>
                <w:color w:val="000000" w:themeColor="text1"/>
                <w:sz w:val="24"/>
                <w:szCs w:val="24"/>
              </w:rPr>
            </w:pPr>
            <w:r w:rsidRPr="00687B52">
              <w:rPr>
                <w:rFonts w:ascii="宋体" w:hAnsi="宋体" w:cs="宋体" w:hint="eastAsia"/>
                <w:bCs/>
                <w:color w:val="000000" w:themeColor="text1"/>
                <w:sz w:val="24"/>
                <w:szCs w:val="24"/>
              </w:rPr>
              <w:t>2）进、出车间或用户建筑物处应设接地装置；</w:t>
            </w:r>
          </w:p>
          <w:p w:rsidR="000E02C5" w:rsidRPr="00687B52" w:rsidRDefault="000E02C5" w:rsidP="00B527D4">
            <w:pPr>
              <w:adjustRightInd w:val="0"/>
              <w:snapToGrid w:val="0"/>
              <w:spacing w:line="276" w:lineRule="auto"/>
              <w:rPr>
                <w:rFonts w:ascii="宋体" w:hAnsi="宋体" w:cs="宋体"/>
                <w:bCs/>
                <w:color w:val="000000" w:themeColor="text1"/>
                <w:sz w:val="24"/>
                <w:szCs w:val="24"/>
              </w:rPr>
            </w:pPr>
            <w:r w:rsidRPr="00687B52">
              <w:rPr>
                <w:rFonts w:ascii="宋体" w:hAnsi="宋体" w:cs="宋体" w:hint="eastAsia"/>
                <w:bCs/>
                <w:color w:val="000000" w:themeColor="text1"/>
                <w:sz w:val="24"/>
                <w:szCs w:val="24"/>
              </w:rPr>
              <w:t>3）直接埋地敷设管道应在埋地之前及出地后各接地一次；</w:t>
            </w:r>
          </w:p>
          <w:p w:rsidR="000E02C5" w:rsidRPr="00687B52" w:rsidRDefault="000E02C5" w:rsidP="00B527D4">
            <w:pPr>
              <w:adjustRightInd w:val="0"/>
              <w:snapToGrid w:val="0"/>
              <w:spacing w:line="276" w:lineRule="auto"/>
              <w:rPr>
                <w:rFonts w:ascii="宋体" w:hAnsi="宋体" w:cs="宋体"/>
                <w:bCs/>
                <w:color w:val="000000" w:themeColor="text1"/>
                <w:sz w:val="24"/>
                <w:szCs w:val="24"/>
              </w:rPr>
            </w:pPr>
            <w:r w:rsidRPr="00687B52">
              <w:rPr>
                <w:rFonts w:ascii="宋体" w:hAnsi="宋体" w:cs="宋体" w:hint="eastAsia"/>
                <w:bCs/>
                <w:color w:val="000000" w:themeColor="text1"/>
                <w:sz w:val="24"/>
                <w:szCs w:val="24"/>
              </w:rPr>
              <w:t>4）车间或用户建筑物内部管道应与建筑物的静电接地干线相连接；</w:t>
            </w:r>
          </w:p>
          <w:p w:rsidR="000E02C5" w:rsidRPr="00687B52" w:rsidRDefault="000E02C5" w:rsidP="00B527D4">
            <w:pPr>
              <w:adjustRightInd w:val="0"/>
              <w:snapToGrid w:val="0"/>
              <w:spacing w:line="276" w:lineRule="auto"/>
              <w:rPr>
                <w:rFonts w:ascii="宋体" w:hAnsi="宋体" w:cs="宋体"/>
                <w:bCs/>
                <w:color w:val="000000" w:themeColor="text1"/>
                <w:sz w:val="24"/>
                <w:szCs w:val="24"/>
              </w:rPr>
            </w:pPr>
            <w:r w:rsidRPr="00687B52">
              <w:rPr>
                <w:rFonts w:ascii="宋体" w:hAnsi="宋体" w:cs="宋体" w:hint="eastAsia"/>
                <w:bCs/>
                <w:color w:val="000000" w:themeColor="text1"/>
                <w:sz w:val="24"/>
                <w:szCs w:val="24"/>
              </w:rPr>
              <w:t>5）每对法兰或螺纹接头间应设跨接导线，电阻值应小于0.03欧姆。</w:t>
            </w:r>
          </w:p>
        </w:tc>
        <w:tc>
          <w:tcPr>
            <w:tcW w:w="1183" w:type="pct"/>
            <w:vAlign w:val="center"/>
          </w:tcPr>
          <w:p w:rsidR="000E02C5" w:rsidRPr="00687B52" w:rsidRDefault="000E02C5" w:rsidP="00B527D4">
            <w:pPr>
              <w:pStyle w:val="a7"/>
              <w:rPr>
                <w:rFonts w:ascii="宋体" w:hAnsi="宋体"/>
                <w:bCs/>
                <w:color w:val="000000" w:themeColor="text1"/>
                <w:szCs w:val="24"/>
              </w:rPr>
            </w:pPr>
            <w:r w:rsidRPr="00687B52">
              <w:rPr>
                <w:rFonts w:ascii="宋体" w:hAnsi="宋体" w:hint="eastAsia"/>
                <w:color w:val="000000" w:themeColor="text1"/>
                <w:szCs w:val="24"/>
              </w:rPr>
              <w:t>《氧气站设计规范》</w:t>
            </w:r>
            <w:r w:rsidRPr="00687B52">
              <w:rPr>
                <w:rFonts w:ascii="宋体" w:hAnsi="宋体" w:hint="eastAsia"/>
                <w:bCs/>
                <w:color w:val="000000" w:themeColor="text1"/>
                <w:szCs w:val="24"/>
              </w:rPr>
              <w:t>GB50030-2013</w:t>
            </w:r>
          </w:p>
          <w:p w:rsidR="000E02C5" w:rsidRPr="00687B52" w:rsidRDefault="000E02C5" w:rsidP="00B527D4">
            <w:pPr>
              <w:pStyle w:val="a7"/>
              <w:rPr>
                <w:rFonts w:ascii="宋体" w:hAnsi="宋体"/>
                <w:color w:val="000000" w:themeColor="text1"/>
                <w:szCs w:val="24"/>
              </w:rPr>
            </w:pPr>
            <w:r w:rsidRPr="00687B52">
              <w:rPr>
                <w:rFonts w:ascii="宋体" w:hAnsi="宋体" w:hint="eastAsia"/>
                <w:bCs/>
                <w:color w:val="000000" w:themeColor="text1"/>
                <w:szCs w:val="24"/>
              </w:rPr>
              <w:t>第11.0.7条</w:t>
            </w:r>
          </w:p>
        </w:tc>
        <w:tc>
          <w:tcPr>
            <w:tcW w:w="1179" w:type="pct"/>
          </w:tcPr>
          <w:p w:rsidR="000E02C5" w:rsidRPr="00687B52" w:rsidRDefault="000E02C5" w:rsidP="00B527D4">
            <w:pPr>
              <w:pStyle w:val="a7"/>
              <w:rPr>
                <w:rFonts w:ascii="宋体" w:hAnsi="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3.5</w:t>
            </w:r>
          </w:p>
        </w:tc>
        <w:tc>
          <w:tcPr>
            <w:tcW w:w="2334" w:type="pct"/>
            <w:gridSpan w:val="4"/>
            <w:vAlign w:val="center"/>
          </w:tcPr>
          <w:p w:rsidR="000E02C5" w:rsidRPr="00687B52" w:rsidRDefault="000E02C5" w:rsidP="00B527D4">
            <w:pPr>
              <w:pStyle w:val="a7"/>
              <w:jc w:val="left"/>
              <w:rPr>
                <w:rFonts w:ascii="宋体" w:hAnsi="宋体" w:cs="宋体"/>
                <w:color w:val="000000" w:themeColor="text1"/>
                <w:kern w:val="0"/>
                <w:sz w:val="22"/>
                <w:szCs w:val="22"/>
              </w:rPr>
            </w:pPr>
            <w:r w:rsidRPr="00687B52">
              <w:rPr>
                <w:rFonts w:ascii="Segoe UI" w:hAnsi="Segoe UI" w:cs="Segoe UI"/>
                <w:bCs/>
                <w:color w:val="000000" w:themeColor="text1"/>
                <w:kern w:val="0"/>
                <w:szCs w:val="24"/>
              </w:rPr>
              <w:t>与氧气接触的仪表必须无油脂。</w:t>
            </w:r>
          </w:p>
        </w:tc>
        <w:tc>
          <w:tcPr>
            <w:tcW w:w="1183"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《氧气站设计规范》</w:t>
            </w:r>
            <w:r w:rsidRPr="00687B52">
              <w:rPr>
                <w:rFonts w:ascii="宋体" w:hAnsi="宋体" w:hint="eastAsia"/>
                <w:bCs/>
                <w:color w:val="000000" w:themeColor="text1"/>
                <w:szCs w:val="24"/>
              </w:rPr>
              <w:t>GB50030-2013第8.0.7条</w:t>
            </w:r>
          </w:p>
        </w:tc>
        <w:tc>
          <w:tcPr>
            <w:tcW w:w="1179" w:type="pct"/>
          </w:tcPr>
          <w:p w:rsidR="000E02C5" w:rsidRPr="00687B52" w:rsidRDefault="000E02C5" w:rsidP="00B527D4">
            <w:pPr>
              <w:pStyle w:val="a7"/>
              <w:rPr>
                <w:rFonts w:ascii="宋体" w:hAnsi="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3.6</w:t>
            </w:r>
          </w:p>
        </w:tc>
        <w:tc>
          <w:tcPr>
            <w:tcW w:w="2334" w:type="pct"/>
            <w:gridSpan w:val="4"/>
            <w:vAlign w:val="center"/>
          </w:tcPr>
          <w:p w:rsidR="000E02C5" w:rsidRPr="00687B52" w:rsidRDefault="000E02C5" w:rsidP="00B527D4">
            <w:pPr>
              <w:adjustRightInd w:val="0"/>
              <w:snapToGrid w:val="0"/>
              <w:spacing w:line="276" w:lineRule="auto"/>
              <w:rPr>
                <w:rFonts w:ascii="宋体" w:hAnsi="宋体" w:cs="宋体"/>
                <w:color w:val="000000" w:themeColor="text1"/>
                <w:sz w:val="24"/>
                <w:szCs w:val="24"/>
              </w:rPr>
            </w:pPr>
            <w:r w:rsidRPr="00687B52">
              <w:rPr>
                <w:rFonts w:ascii="宋体" w:hAnsi="宋体" w:cs="宋体" w:hint="eastAsia"/>
                <w:color w:val="000000" w:themeColor="text1"/>
                <w:sz w:val="24"/>
                <w:szCs w:val="24"/>
              </w:rPr>
              <w:t>氧气站应根据气体生产、储存、输送和灌装的需要设置下列分析仪器：</w:t>
            </w:r>
          </w:p>
          <w:p w:rsidR="000E02C5" w:rsidRPr="00687B52" w:rsidRDefault="000E02C5" w:rsidP="00B527D4">
            <w:pPr>
              <w:adjustRightInd w:val="0"/>
              <w:snapToGrid w:val="0"/>
              <w:spacing w:line="276" w:lineRule="auto"/>
              <w:rPr>
                <w:rFonts w:ascii="宋体" w:hAnsi="宋体" w:cs="宋体"/>
                <w:color w:val="000000" w:themeColor="text1"/>
                <w:sz w:val="24"/>
                <w:szCs w:val="24"/>
              </w:rPr>
            </w:pPr>
            <w:r w:rsidRPr="00687B52">
              <w:rPr>
                <w:rFonts w:ascii="宋体" w:hAnsi="宋体" w:cs="宋体" w:hint="eastAsia"/>
                <w:color w:val="000000" w:themeColor="text1"/>
                <w:sz w:val="24"/>
                <w:szCs w:val="24"/>
              </w:rPr>
              <w:t>氮气贮罐间、氮气灌瓶间等的空气中氧含量定期检测。</w:t>
            </w:r>
          </w:p>
        </w:tc>
        <w:tc>
          <w:tcPr>
            <w:tcW w:w="1183" w:type="pct"/>
            <w:vAlign w:val="center"/>
          </w:tcPr>
          <w:p w:rsidR="000E02C5" w:rsidRPr="00687B52" w:rsidRDefault="000E02C5" w:rsidP="00552F8F">
            <w:pPr>
              <w:pStyle w:val="a7"/>
              <w:rPr>
                <w:rFonts w:ascii="宋体" w:hAnsi="宋体" w:cs="宋体"/>
                <w:color w:val="000000" w:themeColor="text1"/>
                <w:szCs w:val="24"/>
              </w:rPr>
            </w:pPr>
            <w:r w:rsidRPr="00687B52">
              <w:rPr>
                <w:rFonts w:ascii="宋体" w:hAnsi="宋体" w:hint="eastAsia"/>
                <w:bCs/>
                <w:color w:val="000000" w:themeColor="text1"/>
                <w:szCs w:val="24"/>
              </w:rPr>
              <w:t>《氧气站设计规范》</w:t>
            </w:r>
            <w:r w:rsidRPr="00687B52">
              <w:rPr>
                <w:rFonts w:ascii="宋体" w:hAnsi="宋体" w:cs="宋体" w:hint="eastAsia"/>
                <w:color w:val="000000" w:themeColor="text1"/>
                <w:szCs w:val="24"/>
              </w:rPr>
              <w:t>GB50030-2013第8.0.10条</w:t>
            </w:r>
          </w:p>
        </w:tc>
        <w:tc>
          <w:tcPr>
            <w:tcW w:w="1179" w:type="pct"/>
          </w:tcPr>
          <w:p w:rsidR="000E02C5" w:rsidRPr="00687B52" w:rsidRDefault="000E02C5" w:rsidP="00B527D4">
            <w:pPr>
              <w:pStyle w:val="a7"/>
              <w:rPr>
                <w:rFonts w:ascii="宋体" w:hAnsi="宋体" w:cs="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3.7</w:t>
            </w:r>
          </w:p>
        </w:tc>
        <w:tc>
          <w:tcPr>
            <w:tcW w:w="2334" w:type="pct"/>
            <w:gridSpan w:val="4"/>
            <w:vAlign w:val="center"/>
          </w:tcPr>
          <w:p w:rsidR="000E02C5" w:rsidRPr="00687B52" w:rsidRDefault="000E02C5" w:rsidP="00B527D4">
            <w:pPr>
              <w:spacing w:line="320" w:lineRule="exact"/>
              <w:jc w:val="left"/>
              <w:rPr>
                <w:rFonts w:ascii="宋体" w:hAnsi="宋体" w:cs="宋体"/>
                <w:color w:val="000000" w:themeColor="text1"/>
                <w:sz w:val="24"/>
                <w:szCs w:val="24"/>
              </w:rPr>
            </w:pPr>
            <w:r w:rsidRPr="00687B52">
              <w:rPr>
                <w:rFonts w:ascii="宋体" w:hAnsi="宋体" w:cs="宋体" w:hint="eastAsia"/>
                <w:color w:val="000000" w:themeColor="text1"/>
                <w:sz w:val="24"/>
                <w:szCs w:val="24"/>
              </w:rPr>
              <w:t>低温液体汽化器的气体出口温度不低于-20℃。</w:t>
            </w:r>
          </w:p>
        </w:tc>
        <w:tc>
          <w:tcPr>
            <w:tcW w:w="1183" w:type="pct"/>
            <w:vAlign w:val="center"/>
          </w:tcPr>
          <w:p w:rsidR="000E02C5" w:rsidRPr="00687B52" w:rsidRDefault="000E02C5" w:rsidP="00B527D4">
            <w:pPr>
              <w:spacing w:line="320" w:lineRule="exact"/>
              <w:jc w:val="center"/>
              <w:rPr>
                <w:rFonts w:ascii="宋体" w:hAnsi="宋体" w:cs="宋体"/>
                <w:color w:val="000000" w:themeColor="text1"/>
                <w:sz w:val="24"/>
                <w:szCs w:val="24"/>
              </w:rPr>
            </w:pPr>
            <w:r w:rsidRPr="00687B52">
              <w:rPr>
                <w:rFonts w:ascii="宋体" w:hAnsi="宋体" w:hint="eastAsia"/>
                <w:color w:val="000000" w:themeColor="text1"/>
                <w:sz w:val="24"/>
                <w:szCs w:val="24"/>
              </w:rPr>
              <w:t>《低温液体贮运设备使用安全规则》</w:t>
            </w:r>
            <w:r w:rsidRPr="00687B52">
              <w:rPr>
                <w:rFonts w:ascii="宋体" w:hAnsi="宋体" w:cs="宋体" w:hint="eastAsia"/>
                <w:color w:val="000000" w:themeColor="text1"/>
                <w:sz w:val="24"/>
                <w:szCs w:val="24"/>
              </w:rPr>
              <w:t>JB/T6898-2015</w:t>
            </w:r>
          </w:p>
          <w:p w:rsidR="000E02C5" w:rsidRPr="00687B52" w:rsidRDefault="000E02C5" w:rsidP="00B527D4">
            <w:pPr>
              <w:spacing w:line="320" w:lineRule="exact"/>
              <w:jc w:val="center"/>
              <w:rPr>
                <w:rFonts w:ascii="宋体" w:hAnsi="宋体" w:cs="宋体"/>
                <w:color w:val="000000" w:themeColor="text1"/>
                <w:sz w:val="24"/>
                <w:szCs w:val="24"/>
              </w:rPr>
            </w:pPr>
            <w:r w:rsidRPr="00687B52">
              <w:rPr>
                <w:rFonts w:ascii="宋体" w:hAnsi="宋体" w:cs="宋体" w:hint="eastAsia"/>
                <w:color w:val="000000" w:themeColor="text1"/>
                <w:sz w:val="24"/>
                <w:szCs w:val="24"/>
              </w:rPr>
              <w:t>第4.4.1条</w:t>
            </w:r>
          </w:p>
        </w:tc>
        <w:tc>
          <w:tcPr>
            <w:tcW w:w="1179" w:type="pct"/>
          </w:tcPr>
          <w:p w:rsidR="000E02C5" w:rsidRPr="00687B52" w:rsidRDefault="000E02C5" w:rsidP="00B527D4">
            <w:pPr>
              <w:pStyle w:val="a7"/>
              <w:rPr>
                <w:rFonts w:ascii="宋体" w:hAnsi="宋体" w:cs="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3.8</w:t>
            </w:r>
          </w:p>
        </w:tc>
        <w:tc>
          <w:tcPr>
            <w:tcW w:w="2334" w:type="pct"/>
            <w:gridSpan w:val="4"/>
            <w:vAlign w:val="center"/>
          </w:tcPr>
          <w:p w:rsidR="000E02C5" w:rsidRPr="00687B52" w:rsidRDefault="000E02C5" w:rsidP="00B527D4">
            <w:pPr>
              <w:spacing w:line="320" w:lineRule="exact"/>
              <w:jc w:val="left"/>
              <w:rPr>
                <w:rFonts w:ascii="宋体" w:hAnsi="宋体" w:cs="宋体"/>
                <w:color w:val="000000" w:themeColor="text1"/>
                <w:sz w:val="24"/>
                <w:szCs w:val="24"/>
              </w:rPr>
            </w:pPr>
            <w:r w:rsidRPr="00687B52">
              <w:rPr>
                <w:rFonts w:ascii="宋体" w:hAnsi="宋体" w:cs="宋体" w:hint="eastAsia"/>
                <w:color w:val="000000" w:themeColor="text1"/>
                <w:sz w:val="24"/>
                <w:szCs w:val="24"/>
              </w:rPr>
              <w:t>所用压力表必须是禁油压力表；安全阀、防爆装置的材质应选用不锈钢、铜或铝，并必须脱脂去油。</w:t>
            </w:r>
          </w:p>
        </w:tc>
        <w:tc>
          <w:tcPr>
            <w:tcW w:w="1183" w:type="pct"/>
            <w:vAlign w:val="center"/>
          </w:tcPr>
          <w:p w:rsidR="000E02C5" w:rsidRPr="00687B52" w:rsidRDefault="000E02C5" w:rsidP="00B527D4">
            <w:pPr>
              <w:spacing w:line="320" w:lineRule="exact"/>
              <w:jc w:val="center"/>
              <w:rPr>
                <w:rFonts w:ascii="宋体" w:hAnsi="宋体" w:cs="宋体"/>
                <w:color w:val="000000" w:themeColor="text1"/>
                <w:sz w:val="24"/>
                <w:szCs w:val="24"/>
              </w:rPr>
            </w:pPr>
            <w:r w:rsidRPr="00687B52">
              <w:rPr>
                <w:rFonts w:ascii="宋体" w:hAnsi="宋体" w:hint="eastAsia"/>
                <w:color w:val="000000" w:themeColor="text1"/>
                <w:sz w:val="24"/>
                <w:szCs w:val="24"/>
              </w:rPr>
              <w:t>《低温液体贮运设备使用安全规则》</w:t>
            </w:r>
            <w:r w:rsidRPr="00687B52">
              <w:rPr>
                <w:rFonts w:ascii="宋体" w:hAnsi="宋体" w:cs="宋体" w:hint="eastAsia"/>
                <w:color w:val="000000" w:themeColor="text1"/>
                <w:sz w:val="24"/>
                <w:szCs w:val="24"/>
              </w:rPr>
              <w:t>JB/T6898-2015</w:t>
            </w:r>
          </w:p>
          <w:p w:rsidR="000E02C5" w:rsidRPr="00687B52" w:rsidRDefault="000E02C5" w:rsidP="00B527D4">
            <w:pPr>
              <w:spacing w:line="320" w:lineRule="exact"/>
              <w:jc w:val="center"/>
              <w:rPr>
                <w:rFonts w:ascii="宋体" w:hAnsi="宋体" w:cs="宋体"/>
                <w:color w:val="000000" w:themeColor="text1"/>
                <w:sz w:val="24"/>
                <w:szCs w:val="24"/>
              </w:rPr>
            </w:pPr>
            <w:r w:rsidRPr="00687B52">
              <w:rPr>
                <w:rFonts w:ascii="宋体" w:hAnsi="宋体" w:cs="宋体" w:hint="eastAsia"/>
                <w:color w:val="000000" w:themeColor="text1"/>
                <w:sz w:val="24"/>
                <w:szCs w:val="24"/>
              </w:rPr>
              <w:t>第4.4.2条</w:t>
            </w:r>
          </w:p>
        </w:tc>
        <w:tc>
          <w:tcPr>
            <w:tcW w:w="1179" w:type="pct"/>
          </w:tcPr>
          <w:p w:rsidR="000E02C5" w:rsidRPr="00687B52" w:rsidRDefault="000E02C5" w:rsidP="00B527D4">
            <w:pPr>
              <w:pStyle w:val="a7"/>
              <w:rPr>
                <w:rFonts w:ascii="宋体" w:hAnsi="宋体" w:cs="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3.9</w:t>
            </w:r>
          </w:p>
        </w:tc>
        <w:tc>
          <w:tcPr>
            <w:tcW w:w="2334" w:type="pct"/>
            <w:gridSpan w:val="4"/>
            <w:vAlign w:val="center"/>
          </w:tcPr>
          <w:p w:rsidR="000E02C5" w:rsidRPr="00687B52" w:rsidRDefault="000E02C5" w:rsidP="00B527D4">
            <w:pPr>
              <w:pStyle w:val="a7"/>
              <w:jc w:val="left"/>
              <w:rPr>
                <w:rFonts w:ascii="宋体" w:hAnsi="宋体" w:cs="宋体"/>
                <w:color w:val="000000" w:themeColor="text1"/>
                <w:kern w:val="0"/>
                <w:szCs w:val="24"/>
              </w:rPr>
            </w:pPr>
            <w:r w:rsidRPr="00687B52">
              <w:rPr>
                <w:rFonts w:ascii="宋体" w:hAnsi="宋体" w:cs="宋体" w:hint="eastAsia"/>
                <w:color w:val="000000" w:themeColor="text1"/>
                <w:kern w:val="0"/>
                <w:szCs w:val="24"/>
              </w:rPr>
              <w:t>厂房的耐火等级、层数和每个防火分区的最大允许建筑面积除本规范另有规定者外，应符合表3.3.1的规定。</w:t>
            </w:r>
          </w:p>
        </w:tc>
        <w:tc>
          <w:tcPr>
            <w:tcW w:w="1183" w:type="pct"/>
            <w:vAlign w:val="center"/>
          </w:tcPr>
          <w:p w:rsidR="000E02C5" w:rsidRPr="00687B52" w:rsidRDefault="000E02C5" w:rsidP="00552F8F">
            <w:pPr>
              <w:pStyle w:val="a7"/>
              <w:rPr>
                <w:rFonts w:ascii="宋体" w:hAnsi="宋体" w:cs="宋体"/>
                <w:color w:val="000000" w:themeColor="text1"/>
                <w:szCs w:val="24"/>
              </w:rPr>
            </w:pPr>
            <w:r w:rsidRPr="00687B52">
              <w:rPr>
                <w:rFonts w:ascii="宋体" w:hAnsi="宋体" w:cs="宋体" w:hint="eastAsia"/>
                <w:color w:val="000000" w:themeColor="text1"/>
                <w:szCs w:val="24"/>
              </w:rPr>
              <w:t>《建筑设计防火规范》GB50016-2014第3.3.1条</w:t>
            </w:r>
          </w:p>
        </w:tc>
        <w:tc>
          <w:tcPr>
            <w:tcW w:w="1179" w:type="pct"/>
          </w:tcPr>
          <w:p w:rsidR="000E02C5" w:rsidRPr="00687B52" w:rsidRDefault="000E02C5" w:rsidP="00B527D4">
            <w:pPr>
              <w:pStyle w:val="a7"/>
              <w:rPr>
                <w:rFonts w:ascii="宋体" w:hAnsi="宋体" w:cs="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3.10</w:t>
            </w:r>
          </w:p>
        </w:tc>
        <w:tc>
          <w:tcPr>
            <w:tcW w:w="2334" w:type="pct"/>
            <w:gridSpan w:val="4"/>
            <w:vAlign w:val="center"/>
          </w:tcPr>
          <w:p w:rsidR="000E02C5" w:rsidRPr="00687B52" w:rsidRDefault="000E02C5" w:rsidP="00B527D4">
            <w:pPr>
              <w:pStyle w:val="a7"/>
              <w:jc w:val="left"/>
              <w:rPr>
                <w:rFonts w:ascii="宋体" w:hAnsi="宋体" w:cs="宋体"/>
                <w:color w:val="000000" w:themeColor="text1"/>
                <w:kern w:val="0"/>
                <w:szCs w:val="24"/>
              </w:rPr>
            </w:pPr>
            <w:r w:rsidRPr="00687B52">
              <w:rPr>
                <w:rFonts w:ascii="宋体" w:hAnsi="宋体" w:cs="宋体" w:hint="eastAsia"/>
                <w:color w:val="000000" w:themeColor="text1"/>
                <w:kern w:val="0"/>
                <w:szCs w:val="24"/>
              </w:rPr>
              <w:t>乙类单层厂房耐火等级为二级时，其最大允许占地面积不得超过4000m</w:t>
            </w:r>
            <w:r w:rsidRPr="00687B52">
              <w:rPr>
                <w:rFonts w:ascii="宋体" w:hAnsi="宋体" w:cs="宋体" w:hint="eastAsia"/>
                <w:color w:val="000000" w:themeColor="text1"/>
                <w:kern w:val="0"/>
                <w:szCs w:val="24"/>
                <w:vertAlign w:val="superscript"/>
              </w:rPr>
              <w:t>2</w:t>
            </w:r>
          </w:p>
        </w:tc>
        <w:tc>
          <w:tcPr>
            <w:tcW w:w="1183" w:type="pct"/>
            <w:vAlign w:val="center"/>
          </w:tcPr>
          <w:p w:rsidR="000E02C5" w:rsidRPr="00687B52" w:rsidRDefault="000E02C5" w:rsidP="00552F8F">
            <w:pPr>
              <w:pStyle w:val="a7"/>
              <w:rPr>
                <w:rFonts w:ascii="宋体" w:hAnsi="宋体" w:cs="宋体"/>
                <w:color w:val="000000" w:themeColor="text1"/>
                <w:szCs w:val="24"/>
              </w:rPr>
            </w:pPr>
            <w:r w:rsidRPr="00687B52">
              <w:rPr>
                <w:rFonts w:ascii="宋体" w:hAnsi="宋体" w:cs="宋体" w:hint="eastAsia"/>
                <w:color w:val="000000" w:themeColor="text1"/>
                <w:szCs w:val="24"/>
              </w:rPr>
              <w:t>《建筑设计防火规范》GB50016-2014第3.3.1条</w:t>
            </w:r>
          </w:p>
        </w:tc>
        <w:tc>
          <w:tcPr>
            <w:tcW w:w="1179" w:type="pct"/>
          </w:tcPr>
          <w:p w:rsidR="000E02C5" w:rsidRPr="00687B52" w:rsidRDefault="000E02C5" w:rsidP="00B527D4">
            <w:pPr>
              <w:pStyle w:val="a7"/>
              <w:rPr>
                <w:rFonts w:ascii="宋体" w:hAnsi="宋体" w:cs="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3.11</w:t>
            </w:r>
          </w:p>
        </w:tc>
        <w:tc>
          <w:tcPr>
            <w:tcW w:w="2334" w:type="pct"/>
            <w:gridSpan w:val="4"/>
            <w:vAlign w:val="center"/>
          </w:tcPr>
          <w:p w:rsidR="000E02C5" w:rsidRPr="00687B52" w:rsidRDefault="000E02C5" w:rsidP="00B527D4">
            <w:pPr>
              <w:pStyle w:val="a7"/>
              <w:jc w:val="left"/>
              <w:rPr>
                <w:rFonts w:ascii="宋体" w:hAnsi="宋体" w:cs="宋体"/>
                <w:color w:val="000000" w:themeColor="text1"/>
                <w:kern w:val="0"/>
                <w:szCs w:val="24"/>
              </w:rPr>
            </w:pPr>
            <w:r w:rsidRPr="00687B52">
              <w:rPr>
                <w:rFonts w:ascii="宋体" w:hAnsi="宋体" w:cs="宋体" w:hint="eastAsia"/>
                <w:color w:val="000000" w:themeColor="text1"/>
                <w:kern w:val="0"/>
                <w:szCs w:val="24"/>
              </w:rPr>
              <w:t>消防车道的净宽度和净空高度均不应小于4m。</w:t>
            </w:r>
          </w:p>
        </w:tc>
        <w:tc>
          <w:tcPr>
            <w:tcW w:w="1183" w:type="pct"/>
            <w:vAlign w:val="center"/>
          </w:tcPr>
          <w:p w:rsidR="000E02C5" w:rsidRPr="00687B52" w:rsidRDefault="000E02C5" w:rsidP="00552F8F">
            <w:pPr>
              <w:pStyle w:val="a7"/>
              <w:rPr>
                <w:rFonts w:ascii="宋体" w:hAnsi="宋体" w:cs="宋体"/>
                <w:color w:val="000000" w:themeColor="text1"/>
                <w:szCs w:val="24"/>
              </w:rPr>
            </w:pPr>
            <w:r w:rsidRPr="00687B52">
              <w:rPr>
                <w:rFonts w:ascii="宋体" w:hAnsi="宋体" w:cs="宋体" w:hint="eastAsia"/>
                <w:color w:val="000000" w:themeColor="text1"/>
                <w:szCs w:val="24"/>
              </w:rPr>
              <w:t>《建筑设计防火规范》GB50016-2014第6.0.9条</w:t>
            </w:r>
          </w:p>
        </w:tc>
        <w:tc>
          <w:tcPr>
            <w:tcW w:w="1179" w:type="pct"/>
          </w:tcPr>
          <w:p w:rsidR="000E02C5" w:rsidRPr="00687B52" w:rsidRDefault="000E02C5" w:rsidP="00B527D4">
            <w:pPr>
              <w:pStyle w:val="a7"/>
              <w:rPr>
                <w:rFonts w:ascii="宋体" w:hAnsi="宋体" w:cs="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3.12</w:t>
            </w:r>
          </w:p>
        </w:tc>
        <w:tc>
          <w:tcPr>
            <w:tcW w:w="2334" w:type="pct"/>
            <w:gridSpan w:val="4"/>
            <w:vAlign w:val="center"/>
          </w:tcPr>
          <w:p w:rsidR="000E02C5" w:rsidRPr="00687B52" w:rsidRDefault="000E02C5" w:rsidP="00B527D4">
            <w:pPr>
              <w:pStyle w:val="a7"/>
              <w:jc w:val="left"/>
              <w:rPr>
                <w:rFonts w:ascii="宋体" w:hAnsi="宋体" w:cs="宋体"/>
                <w:color w:val="000000" w:themeColor="text1"/>
                <w:kern w:val="0"/>
                <w:szCs w:val="24"/>
              </w:rPr>
            </w:pPr>
            <w:r w:rsidRPr="00687B52">
              <w:rPr>
                <w:rFonts w:ascii="宋体" w:hAnsi="宋体" w:cs="宋体" w:hint="eastAsia"/>
                <w:color w:val="000000" w:themeColor="text1"/>
                <w:kern w:val="0"/>
                <w:szCs w:val="24"/>
              </w:rPr>
              <w:t>厂房（仓库）、储罐（区）、堆场应设室外消火栓；民用建筑、厂房（仓库）应设室内消火栓，并满足规范要求。</w:t>
            </w:r>
          </w:p>
        </w:tc>
        <w:tc>
          <w:tcPr>
            <w:tcW w:w="1183" w:type="pct"/>
            <w:vAlign w:val="center"/>
          </w:tcPr>
          <w:p w:rsidR="000E02C5" w:rsidRPr="00687B52" w:rsidRDefault="000E02C5" w:rsidP="00552F8F">
            <w:pPr>
              <w:pStyle w:val="a7"/>
              <w:rPr>
                <w:rFonts w:ascii="宋体" w:hAnsi="宋体" w:cs="宋体"/>
                <w:color w:val="000000" w:themeColor="text1"/>
                <w:szCs w:val="24"/>
              </w:rPr>
            </w:pPr>
            <w:r w:rsidRPr="00687B52">
              <w:rPr>
                <w:rFonts w:ascii="宋体" w:hAnsi="宋体" w:cs="宋体" w:hint="eastAsia"/>
                <w:color w:val="000000" w:themeColor="text1"/>
                <w:szCs w:val="24"/>
              </w:rPr>
              <w:t>《建筑设计防火规范》GB50016-2014第8.1.2条</w:t>
            </w:r>
          </w:p>
        </w:tc>
        <w:tc>
          <w:tcPr>
            <w:tcW w:w="1179" w:type="pct"/>
          </w:tcPr>
          <w:p w:rsidR="000E02C5" w:rsidRPr="00687B52" w:rsidRDefault="000E02C5" w:rsidP="00B527D4">
            <w:pPr>
              <w:pStyle w:val="a7"/>
              <w:rPr>
                <w:rFonts w:ascii="宋体" w:hAnsi="宋体" w:cs="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3.13</w:t>
            </w:r>
          </w:p>
        </w:tc>
        <w:tc>
          <w:tcPr>
            <w:tcW w:w="2334" w:type="pct"/>
            <w:gridSpan w:val="4"/>
            <w:vAlign w:val="center"/>
          </w:tcPr>
          <w:p w:rsidR="000E02C5" w:rsidRPr="00687B52" w:rsidRDefault="000E02C5" w:rsidP="00B527D4">
            <w:pPr>
              <w:pStyle w:val="a7"/>
              <w:jc w:val="left"/>
              <w:rPr>
                <w:rFonts w:ascii="宋体" w:hAnsi="宋体" w:cs="宋体"/>
                <w:color w:val="000000" w:themeColor="text1"/>
                <w:kern w:val="0"/>
                <w:szCs w:val="24"/>
              </w:rPr>
            </w:pPr>
            <w:r w:rsidRPr="00687B52">
              <w:rPr>
                <w:rFonts w:ascii="宋体" w:hAnsi="宋体" w:cs="宋体" w:hint="eastAsia"/>
                <w:color w:val="000000" w:themeColor="text1"/>
                <w:kern w:val="0"/>
                <w:szCs w:val="24"/>
              </w:rPr>
              <w:t>工厂、仓库、堆场、储罐（区）和民用建筑的室外消防水量，应按同一时间内的火灾次数和一次灭火用水量确定。</w:t>
            </w:r>
          </w:p>
        </w:tc>
        <w:tc>
          <w:tcPr>
            <w:tcW w:w="1183" w:type="pct"/>
            <w:vAlign w:val="center"/>
          </w:tcPr>
          <w:p w:rsidR="000E02C5" w:rsidRPr="00687B52" w:rsidRDefault="000E02C5" w:rsidP="00552F8F">
            <w:pPr>
              <w:pStyle w:val="a7"/>
              <w:rPr>
                <w:rFonts w:ascii="宋体" w:hAnsi="宋体" w:cs="宋体"/>
                <w:color w:val="000000" w:themeColor="text1"/>
                <w:szCs w:val="24"/>
              </w:rPr>
            </w:pPr>
            <w:r w:rsidRPr="00687B52">
              <w:rPr>
                <w:rFonts w:ascii="宋体" w:hAnsi="宋体" w:cs="宋体" w:hint="eastAsia"/>
                <w:color w:val="000000" w:themeColor="text1"/>
                <w:szCs w:val="24"/>
              </w:rPr>
              <w:t>《建筑设计防火规范》GB50016-2014第8.2.2条</w:t>
            </w:r>
          </w:p>
        </w:tc>
        <w:tc>
          <w:tcPr>
            <w:tcW w:w="1179" w:type="pct"/>
          </w:tcPr>
          <w:p w:rsidR="000E02C5" w:rsidRPr="00687B52" w:rsidRDefault="000E02C5" w:rsidP="00B527D4">
            <w:pPr>
              <w:pStyle w:val="a7"/>
              <w:rPr>
                <w:rFonts w:ascii="宋体" w:hAnsi="宋体" w:cs="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3.14</w:t>
            </w:r>
          </w:p>
        </w:tc>
        <w:tc>
          <w:tcPr>
            <w:tcW w:w="2334" w:type="pct"/>
            <w:gridSpan w:val="4"/>
            <w:vAlign w:val="center"/>
          </w:tcPr>
          <w:p w:rsidR="000E02C5" w:rsidRPr="00687B52" w:rsidRDefault="000E02C5" w:rsidP="00B527D4">
            <w:pPr>
              <w:pStyle w:val="a7"/>
              <w:jc w:val="left"/>
              <w:rPr>
                <w:rFonts w:ascii="宋体" w:hAnsi="宋体" w:cs="宋体"/>
                <w:color w:val="000000" w:themeColor="text1"/>
                <w:kern w:val="0"/>
                <w:szCs w:val="24"/>
              </w:rPr>
            </w:pPr>
            <w:r w:rsidRPr="00687B52">
              <w:rPr>
                <w:rFonts w:ascii="宋体" w:hAnsi="宋体" w:cs="宋体" w:hint="eastAsia"/>
                <w:color w:val="000000" w:themeColor="text1"/>
                <w:kern w:val="0"/>
                <w:szCs w:val="24"/>
              </w:rPr>
              <w:t>室外消防给水网应布置成环状。</w:t>
            </w:r>
          </w:p>
        </w:tc>
        <w:tc>
          <w:tcPr>
            <w:tcW w:w="1183" w:type="pct"/>
            <w:vAlign w:val="center"/>
          </w:tcPr>
          <w:p w:rsidR="000E02C5" w:rsidRPr="00687B52" w:rsidRDefault="000E02C5" w:rsidP="00B527D4">
            <w:pPr>
              <w:pStyle w:val="a7"/>
              <w:rPr>
                <w:rFonts w:ascii="宋体" w:hAnsi="宋体" w:cs="宋体"/>
                <w:color w:val="000000" w:themeColor="text1"/>
                <w:szCs w:val="24"/>
              </w:rPr>
            </w:pPr>
            <w:r w:rsidRPr="00687B52">
              <w:rPr>
                <w:rFonts w:ascii="宋体" w:hAnsi="宋体" w:cs="宋体" w:hint="eastAsia"/>
                <w:color w:val="000000" w:themeColor="text1"/>
                <w:szCs w:val="24"/>
              </w:rPr>
              <w:t>《建筑设计防火规范》GB50016-2014</w:t>
            </w:r>
          </w:p>
          <w:p w:rsidR="000E02C5" w:rsidRPr="00687B52" w:rsidRDefault="000E02C5" w:rsidP="00B527D4">
            <w:pPr>
              <w:pStyle w:val="a7"/>
              <w:rPr>
                <w:rFonts w:ascii="宋体" w:hAnsi="宋体" w:cs="宋体"/>
                <w:color w:val="000000" w:themeColor="text1"/>
                <w:szCs w:val="24"/>
              </w:rPr>
            </w:pPr>
            <w:r w:rsidRPr="00687B52">
              <w:rPr>
                <w:rFonts w:ascii="宋体" w:hAnsi="宋体" w:cs="宋体" w:hint="eastAsia"/>
                <w:color w:val="000000" w:themeColor="text1"/>
                <w:szCs w:val="24"/>
              </w:rPr>
              <w:t>第8.2.7条</w:t>
            </w:r>
          </w:p>
        </w:tc>
        <w:tc>
          <w:tcPr>
            <w:tcW w:w="1179" w:type="pct"/>
          </w:tcPr>
          <w:p w:rsidR="000E02C5" w:rsidRPr="00687B52" w:rsidRDefault="000E02C5" w:rsidP="00B527D4">
            <w:pPr>
              <w:pStyle w:val="a7"/>
              <w:rPr>
                <w:rFonts w:ascii="宋体" w:hAnsi="宋体" w:cs="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3.15</w:t>
            </w:r>
          </w:p>
        </w:tc>
        <w:tc>
          <w:tcPr>
            <w:tcW w:w="2334" w:type="pct"/>
            <w:gridSpan w:val="4"/>
            <w:vAlign w:val="center"/>
          </w:tcPr>
          <w:p w:rsidR="000E02C5" w:rsidRPr="00687B52" w:rsidRDefault="000E02C5" w:rsidP="00B527D4">
            <w:pPr>
              <w:pStyle w:val="a7"/>
              <w:jc w:val="left"/>
              <w:rPr>
                <w:rFonts w:ascii="宋体" w:hAnsi="宋体" w:cs="宋体"/>
                <w:color w:val="000000" w:themeColor="text1"/>
                <w:kern w:val="0"/>
                <w:szCs w:val="24"/>
              </w:rPr>
            </w:pPr>
            <w:r w:rsidRPr="00687B52">
              <w:rPr>
                <w:rFonts w:ascii="宋体" w:hAnsi="宋体" w:cs="宋体" w:hint="eastAsia"/>
                <w:color w:val="000000" w:themeColor="text1"/>
                <w:kern w:val="0"/>
                <w:szCs w:val="24"/>
              </w:rPr>
              <w:t>室内消火栓竖管管径不应小于DN100，室内消防竖管应连成环状。</w:t>
            </w:r>
          </w:p>
        </w:tc>
        <w:tc>
          <w:tcPr>
            <w:tcW w:w="1183" w:type="pct"/>
            <w:vAlign w:val="center"/>
          </w:tcPr>
          <w:p w:rsidR="000E02C5" w:rsidRPr="00687B52" w:rsidRDefault="000E02C5" w:rsidP="00B527D4">
            <w:pPr>
              <w:pStyle w:val="a7"/>
              <w:rPr>
                <w:rFonts w:ascii="宋体" w:hAnsi="宋体" w:cs="宋体"/>
                <w:color w:val="000000" w:themeColor="text1"/>
                <w:szCs w:val="24"/>
              </w:rPr>
            </w:pPr>
            <w:r w:rsidRPr="00687B52">
              <w:rPr>
                <w:rFonts w:ascii="宋体" w:hAnsi="宋体" w:cs="宋体" w:hint="eastAsia"/>
                <w:color w:val="000000" w:themeColor="text1"/>
                <w:szCs w:val="24"/>
              </w:rPr>
              <w:t>《建筑设计防火规范》GB50016-2014第8.4.2.3条</w:t>
            </w:r>
          </w:p>
        </w:tc>
        <w:tc>
          <w:tcPr>
            <w:tcW w:w="1179" w:type="pct"/>
          </w:tcPr>
          <w:p w:rsidR="000E02C5" w:rsidRPr="00687B52" w:rsidRDefault="000E02C5" w:rsidP="00B527D4">
            <w:pPr>
              <w:pStyle w:val="a7"/>
              <w:rPr>
                <w:rFonts w:ascii="宋体" w:hAnsi="宋体" w:cs="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3.16</w:t>
            </w:r>
          </w:p>
        </w:tc>
        <w:tc>
          <w:tcPr>
            <w:tcW w:w="2334" w:type="pct"/>
            <w:gridSpan w:val="4"/>
            <w:vAlign w:val="center"/>
          </w:tcPr>
          <w:p w:rsidR="000E02C5" w:rsidRPr="00687B52" w:rsidRDefault="000E02C5" w:rsidP="00B527D4">
            <w:pPr>
              <w:pStyle w:val="a7"/>
              <w:jc w:val="left"/>
              <w:rPr>
                <w:rFonts w:ascii="宋体" w:hAnsi="宋体" w:cs="宋体"/>
                <w:color w:val="000000" w:themeColor="text1"/>
                <w:kern w:val="0"/>
                <w:szCs w:val="24"/>
              </w:rPr>
            </w:pPr>
            <w:r w:rsidRPr="00687B52">
              <w:rPr>
                <w:rFonts w:ascii="宋体" w:hAnsi="宋体" w:cs="宋体" w:hint="eastAsia"/>
                <w:color w:val="000000" w:themeColor="text1"/>
                <w:kern w:val="0"/>
                <w:szCs w:val="24"/>
              </w:rPr>
              <w:t>除无可燃层外，设置室内消火栓的建筑，其各层均应设置消火栓。</w:t>
            </w:r>
          </w:p>
        </w:tc>
        <w:tc>
          <w:tcPr>
            <w:tcW w:w="1183" w:type="pct"/>
            <w:vAlign w:val="center"/>
          </w:tcPr>
          <w:p w:rsidR="000E02C5" w:rsidRPr="00687B52" w:rsidRDefault="000E02C5" w:rsidP="00B527D4">
            <w:pPr>
              <w:pStyle w:val="a7"/>
              <w:rPr>
                <w:rFonts w:ascii="宋体" w:hAnsi="宋体" w:cs="宋体"/>
                <w:color w:val="000000" w:themeColor="text1"/>
                <w:szCs w:val="24"/>
              </w:rPr>
            </w:pPr>
            <w:r w:rsidRPr="00687B52">
              <w:rPr>
                <w:rFonts w:ascii="宋体" w:hAnsi="宋体" w:cs="宋体" w:hint="eastAsia"/>
                <w:color w:val="000000" w:themeColor="text1"/>
                <w:szCs w:val="24"/>
              </w:rPr>
              <w:t>《建筑设计防火规范》GB50016-2014第8.4.3.1条</w:t>
            </w:r>
          </w:p>
        </w:tc>
        <w:tc>
          <w:tcPr>
            <w:tcW w:w="1179" w:type="pct"/>
          </w:tcPr>
          <w:p w:rsidR="000E02C5" w:rsidRPr="00687B52" w:rsidRDefault="000E02C5" w:rsidP="00B527D4">
            <w:pPr>
              <w:pStyle w:val="a7"/>
              <w:rPr>
                <w:rFonts w:ascii="宋体" w:hAnsi="宋体" w:cs="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3.17</w:t>
            </w:r>
          </w:p>
        </w:tc>
        <w:tc>
          <w:tcPr>
            <w:tcW w:w="2334" w:type="pct"/>
            <w:gridSpan w:val="4"/>
            <w:vAlign w:val="center"/>
          </w:tcPr>
          <w:p w:rsidR="000E02C5" w:rsidRPr="00687B52" w:rsidRDefault="000E02C5" w:rsidP="00B527D4">
            <w:pPr>
              <w:pStyle w:val="a7"/>
              <w:jc w:val="left"/>
              <w:rPr>
                <w:rFonts w:ascii="宋体" w:hAnsi="宋体" w:cs="宋体"/>
                <w:color w:val="000000" w:themeColor="text1"/>
                <w:kern w:val="0"/>
                <w:szCs w:val="24"/>
              </w:rPr>
            </w:pPr>
            <w:r w:rsidRPr="00687B52">
              <w:rPr>
                <w:rFonts w:ascii="宋体" w:hAnsi="宋体" w:cs="宋体" w:hint="eastAsia"/>
                <w:color w:val="000000" w:themeColor="text1"/>
                <w:kern w:val="0"/>
                <w:szCs w:val="24"/>
              </w:rPr>
              <w:t>室内消火栓应设置在位置明显且易于操作的部位。室内消火栓的间距应由计算确定；甲、乙类厂房中室内消火栓的间距不应大于30m。</w:t>
            </w:r>
          </w:p>
        </w:tc>
        <w:tc>
          <w:tcPr>
            <w:tcW w:w="1183" w:type="pct"/>
            <w:vAlign w:val="center"/>
          </w:tcPr>
          <w:p w:rsidR="000E02C5" w:rsidRPr="00687B52" w:rsidRDefault="000E02C5" w:rsidP="00B527D4">
            <w:pPr>
              <w:pStyle w:val="a7"/>
              <w:rPr>
                <w:rFonts w:ascii="宋体" w:hAnsi="宋体" w:cs="宋体"/>
                <w:color w:val="000000" w:themeColor="text1"/>
                <w:szCs w:val="24"/>
              </w:rPr>
            </w:pPr>
            <w:r w:rsidRPr="00687B52">
              <w:rPr>
                <w:rFonts w:ascii="宋体" w:hAnsi="宋体" w:cs="宋体" w:hint="eastAsia"/>
                <w:color w:val="000000" w:themeColor="text1"/>
                <w:szCs w:val="24"/>
              </w:rPr>
              <w:t>《建筑设计防火规范》GB50016-2014第8.4.3.3条、第8.4.3.5条</w:t>
            </w:r>
          </w:p>
        </w:tc>
        <w:tc>
          <w:tcPr>
            <w:tcW w:w="1179" w:type="pct"/>
          </w:tcPr>
          <w:p w:rsidR="000E02C5" w:rsidRPr="00687B52" w:rsidRDefault="000E02C5" w:rsidP="00B527D4">
            <w:pPr>
              <w:pStyle w:val="a7"/>
              <w:rPr>
                <w:rFonts w:ascii="宋体" w:hAnsi="宋体" w:cs="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3.18</w:t>
            </w:r>
          </w:p>
        </w:tc>
        <w:tc>
          <w:tcPr>
            <w:tcW w:w="2334" w:type="pct"/>
            <w:gridSpan w:val="4"/>
            <w:vAlign w:val="center"/>
          </w:tcPr>
          <w:p w:rsidR="000E02C5" w:rsidRPr="00687B52" w:rsidRDefault="000E02C5" w:rsidP="00B527D4">
            <w:pPr>
              <w:pStyle w:val="a7"/>
              <w:jc w:val="left"/>
              <w:rPr>
                <w:rFonts w:ascii="宋体" w:hAnsi="宋体" w:cs="宋体"/>
                <w:color w:val="000000" w:themeColor="text1"/>
                <w:kern w:val="0"/>
                <w:szCs w:val="24"/>
              </w:rPr>
            </w:pPr>
            <w:r w:rsidRPr="00687B52">
              <w:rPr>
                <w:rFonts w:ascii="宋体" w:hAnsi="宋体" w:cs="宋体" w:hint="eastAsia"/>
                <w:color w:val="000000" w:themeColor="text1"/>
                <w:kern w:val="0"/>
                <w:szCs w:val="24"/>
              </w:rPr>
              <w:t>室内消火栓的布置应保证每一个防火分区同层有两支水枪的充实水柱同时到达任何部位。</w:t>
            </w:r>
          </w:p>
        </w:tc>
        <w:tc>
          <w:tcPr>
            <w:tcW w:w="1183" w:type="pct"/>
            <w:vAlign w:val="center"/>
          </w:tcPr>
          <w:p w:rsidR="000E02C5" w:rsidRPr="00687B52" w:rsidRDefault="000E02C5" w:rsidP="00B527D4">
            <w:pPr>
              <w:pStyle w:val="a7"/>
              <w:rPr>
                <w:rFonts w:ascii="宋体" w:hAnsi="宋体" w:cs="宋体"/>
                <w:color w:val="000000" w:themeColor="text1"/>
                <w:szCs w:val="24"/>
              </w:rPr>
            </w:pPr>
            <w:r w:rsidRPr="00687B52">
              <w:rPr>
                <w:rFonts w:ascii="宋体" w:hAnsi="宋体" w:cs="宋体" w:hint="eastAsia"/>
                <w:color w:val="000000" w:themeColor="text1"/>
                <w:szCs w:val="24"/>
              </w:rPr>
              <w:t>《建筑设计防火规范》GB50016-2014第8.4.3.7条</w:t>
            </w:r>
          </w:p>
        </w:tc>
        <w:tc>
          <w:tcPr>
            <w:tcW w:w="1179" w:type="pct"/>
          </w:tcPr>
          <w:p w:rsidR="000E02C5" w:rsidRPr="00687B52" w:rsidRDefault="000E02C5" w:rsidP="00B527D4">
            <w:pPr>
              <w:pStyle w:val="a7"/>
              <w:rPr>
                <w:rFonts w:ascii="宋体" w:hAnsi="宋体" w:cs="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3.19</w:t>
            </w:r>
          </w:p>
        </w:tc>
        <w:tc>
          <w:tcPr>
            <w:tcW w:w="2334" w:type="pct"/>
            <w:gridSpan w:val="4"/>
            <w:vAlign w:val="center"/>
          </w:tcPr>
          <w:p w:rsidR="000E02C5" w:rsidRPr="00687B52" w:rsidRDefault="000E02C5" w:rsidP="00B527D4">
            <w:pPr>
              <w:pStyle w:val="a7"/>
              <w:jc w:val="left"/>
              <w:rPr>
                <w:rFonts w:ascii="宋体" w:hAnsi="宋体" w:cs="宋体"/>
                <w:color w:val="000000" w:themeColor="text1"/>
                <w:kern w:val="0"/>
                <w:szCs w:val="24"/>
              </w:rPr>
            </w:pPr>
            <w:r w:rsidRPr="00687B52">
              <w:rPr>
                <w:rFonts w:ascii="宋体" w:hAnsi="宋体" w:cs="宋体" w:hint="eastAsia"/>
                <w:color w:val="000000" w:themeColor="text1"/>
                <w:kern w:val="0"/>
                <w:szCs w:val="24"/>
              </w:rPr>
              <w:t>按《建筑灭火器配置设计规范》GB50140-2005的要求，配备适当种类、数量的相应灭火器。</w:t>
            </w:r>
          </w:p>
        </w:tc>
        <w:tc>
          <w:tcPr>
            <w:tcW w:w="1183" w:type="pct"/>
            <w:vAlign w:val="center"/>
          </w:tcPr>
          <w:p w:rsidR="000E02C5" w:rsidRPr="00687B52" w:rsidRDefault="000E02C5" w:rsidP="00B527D4">
            <w:pPr>
              <w:pStyle w:val="a7"/>
              <w:rPr>
                <w:rFonts w:ascii="宋体" w:hAnsi="宋体" w:cs="宋体"/>
                <w:color w:val="000000" w:themeColor="text1"/>
                <w:szCs w:val="24"/>
              </w:rPr>
            </w:pPr>
            <w:r w:rsidRPr="00687B52">
              <w:rPr>
                <w:rFonts w:ascii="宋体" w:hAnsi="宋体" w:cs="宋体" w:hint="eastAsia"/>
                <w:color w:val="000000" w:themeColor="text1"/>
                <w:szCs w:val="24"/>
              </w:rPr>
              <w:t>《建筑灭火器配置设计规范》GB50140-2005</w:t>
            </w:r>
          </w:p>
        </w:tc>
        <w:tc>
          <w:tcPr>
            <w:tcW w:w="1179" w:type="pct"/>
          </w:tcPr>
          <w:p w:rsidR="000E02C5" w:rsidRPr="00687B52" w:rsidRDefault="000E02C5" w:rsidP="00B527D4">
            <w:pPr>
              <w:pStyle w:val="a7"/>
              <w:rPr>
                <w:rFonts w:ascii="宋体" w:hAnsi="宋体" w:cs="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3.20</w:t>
            </w:r>
          </w:p>
        </w:tc>
        <w:tc>
          <w:tcPr>
            <w:tcW w:w="2334" w:type="pct"/>
            <w:gridSpan w:val="4"/>
            <w:vAlign w:val="center"/>
          </w:tcPr>
          <w:p w:rsidR="000E02C5" w:rsidRPr="00687B52" w:rsidRDefault="000E02C5" w:rsidP="00B527D4">
            <w:pPr>
              <w:pStyle w:val="a7"/>
              <w:jc w:val="left"/>
              <w:rPr>
                <w:rFonts w:ascii="宋体" w:hAnsi="宋体" w:cs="宋体"/>
                <w:color w:val="000000" w:themeColor="text1"/>
                <w:kern w:val="0"/>
                <w:szCs w:val="24"/>
              </w:rPr>
            </w:pPr>
            <w:r w:rsidRPr="00687B52">
              <w:rPr>
                <w:rFonts w:ascii="宋体" w:hAnsi="宋体" w:cs="宋体" w:hint="eastAsia"/>
                <w:color w:val="000000" w:themeColor="text1"/>
                <w:kern w:val="0"/>
                <w:szCs w:val="24"/>
              </w:rPr>
              <w:t>化工企业设置专职消防站，也可与地方消防站联合设置，当区域联合消防时，消防车队必须在报警后五分钟内到达火灾现场。</w:t>
            </w:r>
          </w:p>
        </w:tc>
        <w:tc>
          <w:tcPr>
            <w:tcW w:w="1183" w:type="pct"/>
            <w:vAlign w:val="center"/>
          </w:tcPr>
          <w:p w:rsidR="000E02C5" w:rsidRPr="00687B52" w:rsidRDefault="000E02C5" w:rsidP="00552F8F">
            <w:pPr>
              <w:pStyle w:val="a7"/>
              <w:rPr>
                <w:rFonts w:ascii="宋体" w:hAnsi="宋体" w:cs="宋体"/>
                <w:color w:val="000000" w:themeColor="text1"/>
                <w:szCs w:val="24"/>
              </w:rPr>
            </w:pPr>
            <w:r w:rsidRPr="00687B52">
              <w:rPr>
                <w:rFonts w:ascii="宋体" w:hAnsi="宋体" w:cs="宋体" w:hint="eastAsia"/>
                <w:color w:val="000000" w:themeColor="text1"/>
                <w:szCs w:val="24"/>
              </w:rPr>
              <w:t>《化工企业安全卫生设计规范》HG20571-2014第6.4.2条</w:t>
            </w:r>
          </w:p>
        </w:tc>
        <w:tc>
          <w:tcPr>
            <w:tcW w:w="1179" w:type="pct"/>
          </w:tcPr>
          <w:p w:rsidR="000E02C5" w:rsidRPr="00687B52" w:rsidRDefault="000E02C5" w:rsidP="00B527D4">
            <w:pPr>
              <w:pStyle w:val="a7"/>
              <w:rPr>
                <w:rFonts w:ascii="宋体" w:hAnsi="宋体" w:cs="宋体"/>
                <w:color w:val="000000" w:themeColor="text1"/>
                <w:szCs w:val="24"/>
              </w:rPr>
            </w:pPr>
          </w:p>
        </w:tc>
      </w:tr>
      <w:tr w:rsidR="000E02C5" w:rsidRPr="00687B52" w:rsidTr="00552F8F">
        <w:trPr>
          <w:jc w:val="center"/>
        </w:trPr>
        <w:tc>
          <w:tcPr>
            <w:tcW w:w="304" w:type="pct"/>
            <w:vAlign w:val="center"/>
          </w:tcPr>
          <w:p w:rsidR="000E02C5" w:rsidRPr="00687B52" w:rsidRDefault="000E02C5" w:rsidP="00552F8F">
            <w:pPr>
              <w:pStyle w:val="a7"/>
              <w:rPr>
                <w:rFonts w:ascii="宋体" w:hAnsi="宋体"/>
                <w:color w:val="000000" w:themeColor="text1"/>
                <w:szCs w:val="24"/>
              </w:rPr>
            </w:pPr>
            <w:r w:rsidRPr="00687B52">
              <w:rPr>
                <w:rFonts w:ascii="宋体" w:hAnsi="宋体" w:hint="eastAsia"/>
                <w:color w:val="000000" w:themeColor="text1"/>
                <w:szCs w:val="24"/>
              </w:rPr>
              <w:t>3.21</w:t>
            </w:r>
          </w:p>
        </w:tc>
        <w:tc>
          <w:tcPr>
            <w:tcW w:w="2334" w:type="pct"/>
            <w:gridSpan w:val="4"/>
            <w:vAlign w:val="center"/>
          </w:tcPr>
          <w:p w:rsidR="000E02C5" w:rsidRPr="00687B52" w:rsidRDefault="000E02C5" w:rsidP="00B527D4">
            <w:pPr>
              <w:adjustRightInd w:val="0"/>
              <w:snapToGrid w:val="0"/>
              <w:spacing w:line="276" w:lineRule="auto"/>
              <w:rPr>
                <w:rFonts w:ascii="宋体" w:hAnsi="宋体" w:cs="宋体"/>
                <w:color w:val="000000" w:themeColor="text1"/>
                <w:sz w:val="24"/>
                <w:szCs w:val="24"/>
              </w:rPr>
            </w:pPr>
            <w:r w:rsidRPr="00687B52">
              <w:rPr>
                <w:rFonts w:ascii="宋体" w:hAnsi="宋体" w:cs="宋体" w:hint="eastAsia"/>
                <w:color w:val="000000" w:themeColor="text1"/>
                <w:sz w:val="24"/>
                <w:szCs w:val="24"/>
              </w:rPr>
              <w:t>氧气站设备的给水和排水系统应能放尽存水。</w:t>
            </w:r>
          </w:p>
        </w:tc>
        <w:tc>
          <w:tcPr>
            <w:tcW w:w="1183" w:type="pct"/>
            <w:vAlign w:val="center"/>
          </w:tcPr>
          <w:p w:rsidR="000E02C5" w:rsidRPr="00687B52" w:rsidRDefault="000E02C5" w:rsidP="00552F8F">
            <w:pPr>
              <w:pStyle w:val="a7"/>
              <w:rPr>
                <w:rFonts w:ascii="宋体" w:hAnsi="宋体" w:cs="宋体"/>
                <w:color w:val="000000" w:themeColor="text1"/>
                <w:szCs w:val="24"/>
              </w:rPr>
            </w:pPr>
            <w:r w:rsidRPr="00687B52">
              <w:rPr>
                <w:rFonts w:ascii="宋体" w:hAnsi="宋体" w:cs="宋体" w:hint="eastAsia"/>
                <w:color w:val="000000" w:themeColor="text1"/>
                <w:szCs w:val="24"/>
              </w:rPr>
              <w:t>《氧气站设计规范》GB50030-2013第9.0.3条</w:t>
            </w:r>
          </w:p>
        </w:tc>
        <w:tc>
          <w:tcPr>
            <w:tcW w:w="1179" w:type="pct"/>
          </w:tcPr>
          <w:p w:rsidR="000E02C5" w:rsidRPr="00687B52" w:rsidRDefault="000E02C5" w:rsidP="00B527D4">
            <w:pPr>
              <w:pStyle w:val="a7"/>
              <w:rPr>
                <w:rFonts w:ascii="宋体" w:hAnsi="宋体" w:cs="宋体"/>
                <w:color w:val="000000" w:themeColor="text1"/>
                <w:szCs w:val="24"/>
              </w:rPr>
            </w:pPr>
          </w:p>
        </w:tc>
      </w:tr>
    </w:tbl>
    <w:p w:rsidR="000E02C5" w:rsidRPr="00687B52" w:rsidRDefault="000E02C5" w:rsidP="00552F8F">
      <w:pPr>
        <w:pStyle w:val="ae"/>
        <w:ind w:firstLineChars="0" w:firstLine="0"/>
        <w:rPr>
          <w:color w:val="000000" w:themeColor="text1"/>
          <w:sz w:val="24"/>
        </w:rPr>
      </w:pPr>
    </w:p>
    <w:p w:rsidR="000E02C5" w:rsidRPr="00687B52" w:rsidRDefault="000E02C5" w:rsidP="00552F8F">
      <w:pPr>
        <w:pStyle w:val="ab"/>
        <w:ind w:left="360" w:firstLineChars="0" w:firstLine="0"/>
        <w:rPr>
          <w:color w:val="000000" w:themeColor="text1"/>
        </w:rPr>
        <w:sectPr w:rsidR="000E02C5" w:rsidRPr="00687B52" w:rsidSect="00D22E6D">
          <w:footerReference w:type="default" r:id="rId64"/>
          <w:pgSz w:w="16838" w:h="11906" w:orient="landscape"/>
          <w:pgMar w:top="1800" w:right="1440" w:bottom="1800" w:left="1440" w:header="851" w:footer="907" w:gutter="0"/>
          <w:cols w:space="425"/>
          <w:docGrid w:type="lines" w:linePitch="312"/>
        </w:sectPr>
      </w:pPr>
    </w:p>
    <w:p w:rsidR="000E02C5" w:rsidRPr="00687B52" w:rsidRDefault="00552F8F" w:rsidP="00552F8F">
      <w:pPr>
        <w:pStyle w:val="aff3"/>
        <w:numPr>
          <w:ilvl w:val="0"/>
          <w:numId w:val="0"/>
        </w:numPr>
        <w:rPr>
          <w:color w:val="000000" w:themeColor="text1"/>
          <w:szCs w:val="28"/>
        </w:rPr>
      </w:pPr>
      <w:bookmarkStart w:id="64" w:name="_Toc492634908"/>
      <w:r w:rsidRPr="00687B52">
        <w:rPr>
          <w:rFonts w:hint="eastAsia"/>
          <w:color w:val="000000" w:themeColor="text1"/>
        </w:rPr>
        <w:t>表</w:t>
      </w:r>
      <w:r w:rsidRPr="00687B52">
        <w:rPr>
          <w:rFonts w:hint="eastAsia"/>
          <w:color w:val="000000" w:themeColor="text1"/>
        </w:rPr>
        <w:t>3-6.2</w:t>
      </w:r>
      <w:r w:rsidRPr="00687B52">
        <w:rPr>
          <w:rFonts w:hint="eastAsia"/>
          <w:color w:val="000000" w:themeColor="text1"/>
        </w:rPr>
        <w:t>危险化学品储存、经营企业专业检查表（</w:t>
      </w:r>
      <w:r w:rsidR="000E02C5" w:rsidRPr="00687B52">
        <w:rPr>
          <w:rFonts w:hint="eastAsia"/>
          <w:color w:val="000000" w:themeColor="text1"/>
          <w:szCs w:val="28"/>
        </w:rPr>
        <w:t>气体充装</w:t>
      </w:r>
      <w:r w:rsidRPr="00687B52">
        <w:rPr>
          <w:rFonts w:hint="eastAsia"/>
          <w:color w:val="000000" w:themeColor="text1"/>
          <w:szCs w:val="28"/>
        </w:rPr>
        <w:t>—氢气）</w:t>
      </w:r>
      <w:bookmarkEnd w:id="64"/>
    </w:p>
    <w:p w:rsidR="000E02C5" w:rsidRPr="00687B52" w:rsidRDefault="000E02C5" w:rsidP="00552F8F">
      <w:pPr>
        <w:adjustRightInd w:val="0"/>
        <w:snapToGrid w:val="0"/>
        <w:spacing w:line="480" w:lineRule="exact"/>
        <w:jc w:val="left"/>
        <w:rPr>
          <w:rFonts w:ascii="黑体" w:eastAsia="黑体" w:hAnsi="黑体"/>
          <w:color w:val="000000" w:themeColor="text1"/>
          <w:sz w:val="28"/>
          <w:szCs w:val="28"/>
        </w:rPr>
      </w:pPr>
      <w:r w:rsidRPr="00687B52">
        <w:rPr>
          <w:rFonts w:ascii="宋体" w:hAnsi="宋体" w:cs="宋体" w:hint="eastAsia"/>
          <w:bCs/>
          <w:color w:val="000000" w:themeColor="text1"/>
          <w:sz w:val="24"/>
          <w:szCs w:val="24"/>
        </w:rPr>
        <w:t>本表适用于氢气充装站（不含生产、使用）。</w:t>
      </w:r>
    </w:p>
    <w:tbl>
      <w:tblPr>
        <w:tblStyle w:val="a6"/>
        <w:tblW w:w="5000" w:type="pct"/>
        <w:jc w:val="center"/>
        <w:tblLook w:val="04A0" w:firstRow="1" w:lastRow="0" w:firstColumn="1" w:lastColumn="0" w:noHBand="0" w:noVBand="1"/>
      </w:tblPr>
      <w:tblGrid>
        <w:gridCol w:w="915"/>
        <w:gridCol w:w="5997"/>
        <w:gridCol w:w="291"/>
        <w:gridCol w:w="2850"/>
        <w:gridCol w:w="3441"/>
      </w:tblGrid>
      <w:tr w:rsidR="000E02C5" w:rsidRPr="00687B52" w:rsidTr="00B527D4">
        <w:trPr>
          <w:tblHeade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序号</w:t>
            </w:r>
          </w:p>
        </w:tc>
        <w:tc>
          <w:tcPr>
            <w:tcW w:w="2330" w:type="pct"/>
            <w:gridSpan w:val="2"/>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标准要求</w:t>
            </w:r>
          </w:p>
        </w:tc>
        <w:tc>
          <w:tcPr>
            <w:tcW w:w="1056"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检查依据</w:t>
            </w:r>
          </w:p>
        </w:tc>
        <w:tc>
          <w:tcPr>
            <w:tcW w:w="1275" w:type="pct"/>
            <w:tcBorders>
              <w:right w:val="single" w:sz="4" w:space="0" w:color="auto"/>
            </w:tcBorders>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实际情况</w:t>
            </w:r>
          </w:p>
        </w:tc>
      </w:tr>
      <w:tr w:rsidR="000E02C5" w:rsidRPr="00687B52" w:rsidTr="00B527D4">
        <w:trPr>
          <w:jc w:val="center"/>
        </w:trPr>
        <w:tc>
          <w:tcPr>
            <w:tcW w:w="339" w:type="pct"/>
            <w:vAlign w:val="center"/>
          </w:tcPr>
          <w:p w:rsidR="000E02C5" w:rsidRPr="00687B52" w:rsidRDefault="000E02C5" w:rsidP="004A22DA">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1</w:t>
            </w:r>
          </w:p>
        </w:tc>
        <w:tc>
          <w:tcPr>
            <w:tcW w:w="4661" w:type="pct"/>
            <w:gridSpan w:val="4"/>
            <w:tcBorders>
              <w:right w:val="single" w:sz="4" w:space="0" w:color="auto"/>
            </w:tcBorders>
            <w:vAlign w:val="center"/>
          </w:tcPr>
          <w:p w:rsidR="000E02C5" w:rsidRPr="00687B52" w:rsidRDefault="000E02C5" w:rsidP="004A22DA">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区域位置、总图布置与建筑</w:t>
            </w: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w:t>
            </w:r>
          </w:p>
        </w:tc>
        <w:tc>
          <w:tcPr>
            <w:tcW w:w="2222" w:type="pct"/>
            <w:vAlign w:val="center"/>
          </w:tcPr>
          <w:p w:rsidR="000E02C5" w:rsidRPr="00687B52" w:rsidRDefault="000E02C5" w:rsidP="004A22DA">
            <w:pPr>
              <w:spacing w:line="320" w:lineRule="exact"/>
              <w:jc w:val="left"/>
              <w:rPr>
                <w:rFonts w:ascii="Times New Roman" w:hAnsi="Times New Roman"/>
                <w:color w:val="000000" w:themeColor="text1"/>
                <w:sz w:val="24"/>
                <w:szCs w:val="24"/>
              </w:rPr>
            </w:pPr>
            <w:r w:rsidRPr="00687B52">
              <w:rPr>
                <w:rFonts w:ascii="Times New Roman" w:hAnsi="Times New Roman"/>
                <w:color w:val="000000" w:themeColor="text1"/>
                <w:sz w:val="24"/>
                <w:szCs w:val="24"/>
              </w:rPr>
              <w:t>厂址应位于不受洪水、潮水或内涝威胁的地带，并应符合下列规定：</w:t>
            </w:r>
          </w:p>
          <w:p w:rsidR="000E02C5" w:rsidRPr="00687B52" w:rsidRDefault="000E02C5" w:rsidP="004A22DA">
            <w:pPr>
              <w:spacing w:before="100" w:line="320" w:lineRule="exact"/>
              <w:jc w:val="left"/>
              <w:rPr>
                <w:rFonts w:asciiTheme="minorEastAsia" w:hAnsiTheme="minorEastAsia" w:cs="Arial"/>
                <w:color w:val="000000" w:themeColor="text1"/>
                <w:sz w:val="24"/>
                <w:szCs w:val="24"/>
              </w:rPr>
            </w:pPr>
            <w:r w:rsidRPr="00687B52">
              <w:rPr>
                <w:rFonts w:ascii="宋体" w:hAnsi="宋体" w:cs="宋体" w:hint="eastAsia"/>
                <w:bCs/>
                <w:color w:val="000000" w:themeColor="text1"/>
                <w:sz w:val="24"/>
                <w:szCs w:val="24"/>
              </w:rPr>
              <w:t>1 当厂址不可避免不受洪水、潮水、或内涝威胁的地带时，必须采取防洪、排涝 措施；</w:t>
            </w:r>
          </w:p>
        </w:tc>
        <w:tc>
          <w:tcPr>
            <w:tcW w:w="1164" w:type="pct"/>
            <w:gridSpan w:val="2"/>
            <w:vAlign w:val="center"/>
          </w:tcPr>
          <w:p w:rsidR="000E02C5" w:rsidRPr="00687B52" w:rsidRDefault="000E02C5" w:rsidP="004A22DA">
            <w:pPr>
              <w:pStyle w:val="a7"/>
              <w:rPr>
                <w:rFonts w:ascii="宋体" w:hAnsi="宋体"/>
                <w:bCs/>
                <w:color w:val="000000" w:themeColor="text1"/>
                <w:szCs w:val="24"/>
              </w:rPr>
            </w:pPr>
            <w:r w:rsidRPr="00687B52">
              <w:rPr>
                <w:rFonts w:ascii="宋体" w:hAnsi="宋体"/>
                <w:bCs/>
                <w:color w:val="000000" w:themeColor="text1"/>
                <w:szCs w:val="24"/>
              </w:rPr>
              <w:t>《工业企业总平面设计规范 》</w:t>
            </w:r>
            <w:r w:rsidRPr="00687B52">
              <w:rPr>
                <w:rFonts w:ascii="宋体" w:hAnsi="宋体"/>
                <w:bCs/>
                <w:color w:val="000000" w:themeColor="text1"/>
                <w:szCs w:val="24"/>
              </w:rPr>
              <w:br w:type="column"/>
              <w:t>GB50187-2012</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宋体" w:hAnsi="宋体" w:hint="eastAsia"/>
                <w:bCs/>
                <w:color w:val="000000" w:themeColor="text1"/>
                <w:szCs w:val="24"/>
              </w:rPr>
              <w:t>第3.0.12条</w:t>
            </w:r>
          </w:p>
        </w:tc>
        <w:tc>
          <w:tcPr>
            <w:tcW w:w="1275" w:type="pct"/>
            <w:vAlign w:val="center"/>
          </w:tcPr>
          <w:p w:rsidR="000E02C5" w:rsidRPr="00687B52" w:rsidRDefault="000E02C5" w:rsidP="004A22DA">
            <w:pPr>
              <w:spacing w:line="320" w:lineRule="exact"/>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w:t>
            </w:r>
          </w:p>
        </w:tc>
        <w:tc>
          <w:tcPr>
            <w:tcW w:w="2222" w:type="pct"/>
            <w:vAlign w:val="center"/>
          </w:tcPr>
          <w:p w:rsidR="000E02C5" w:rsidRPr="00687B52" w:rsidRDefault="000E02C5" w:rsidP="004A22DA">
            <w:pPr>
              <w:spacing w:line="320" w:lineRule="exact"/>
              <w:jc w:val="left"/>
              <w:rPr>
                <w:rFonts w:ascii="宋体" w:hAnsi="宋体" w:cs="宋体"/>
                <w:bCs/>
                <w:color w:val="000000" w:themeColor="text1"/>
                <w:sz w:val="24"/>
                <w:szCs w:val="24"/>
              </w:rPr>
            </w:pPr>
            <w:r w:rsidRPr="00687B52">
              <w:rPr>
                <w:rFonts w:ascii="宋体" w:hAnsi="宋体" w:cs="宋体" w:hint="eastAsia"/>
                <w:bCs/>
                <w:color w:val="000000" w:themeColor="text1"/>
                <w:sz w:val="24"/>
                <w:szCs w:val="24"/>
              </w:rPr>
              <w:t>山区 建厂，当 厂址位于 山坡或山 脚处时，应采取防止山 洪、泥石 流等</w:t>
            </w:r>
          </w:p>
          <w:p w:rsidR="000E02C5" w:rsidRPr="00687B52" w:rsidRDefault="000E02C5" w:rsidP="004A22DA">
            <w:pPr>
              <w:spacing w:line="320" w:lineRule="exact"/>
              <w:jc w:val="left"/>
              <w:rPr>
                <w:rFonts w:asciiTheme="minorEastAsia" w:hAnsiTheme="minorEastAsia" w:cs="Arial"/>
                <w:color w:val="000000" w:themeColor="text1"/>
                <w:sz w:val="24"/>
                <w:szCs w:val="24"/>
              </w:rPr>
            </w:pPr>
            <w:r w:rsidRPr="00687B52">
              <w:rPr>
                <w:rFonts w:ascii="宋体" w:hAnsi="宋体" w:cs="宋体" w:hint="eastAsia"/>
                <w:bCs/>
                <w:color w:val="000000" w:themeColor="text1"/>
                <w:sz w:val="24"/>
                <w:szCs w:val="24"/>
              </w:rPr>
              <w:t>自然灾害的危害的加 固措施，应对山坡的稳定性等作出地质灾害的危险性评估报告 。</w:t>
            </w:r>
          </w:p>
        </w:tc>
        <w:tc>
          <w:tcPr>
            <w:tcW w:w="1164" w:type="pct"/>
            <w:gridSpan w:val="2"/>
            <w:vAlign w:val="center"/>
          </w:tcPr>
          <w:p w:rsidR="000E02C5" w:rsidRPr="00687B52" w:rsidRDefault="000E02C5" w:rsidP="004A22DA">
            <w:pPr>
              <w:pStyle w:val="a7"/>
              <w:rPr>
                <w:rFonts w:ascii="宋体" w:hAnsi="宋体"/>
                <w:bCs/>
                <w:color w:val="000000" w:themeColor="text1"/>
                <w:szCs w:val="24"/>
              </w:rPr>
            </w:pPr>
            <w:r w:rsidRPr="00687B52">
              <w:rPr>
                <w:rFonts w:ascii="宋体" w:hAnsi="宋体"/>
                <w:bCs/>
                <w:color w:val="000000" w:themeColor="text1"/>
                <w:szCs w:val="24"/>
              </w:rPr>
              <w:t>《工业企业总平面设计规范 》</w:t>
            </w:r>
            <w:r w:rsidRPr="00687B52">
              <w:rPr>
                <w:rFonts w:ascii="宋体" w:hAnsi="宋体"/>
                <w:bCs/>
                <w:color w:val="000000" w:themeColor="text1"/>
                <w:szCs w:val="24"/>
              </w:rPr>
              <w:br w:type="column"/>
              <w:t>GB50187-2012</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宋体" w:hAnsi="宋体" w:hint="eastAsia"/>
                <w:bCs/>
                <w:color w:val="000000" w:themeColor="text1"/>
                <w:szCs w:val="24"/>
              </w:rPr>
              <w:t>第3.0.13条</w:t>
            </w:r>
          </w:p>
        </w:tc>
        <w:tc>
          <w:tcPr>
            <w:tcW w:w="1275" w:type="pct"/>
            <w:vAlign w:val="center"/>
          </w:tcPr>
          <w:p w:rsidR="000E02C5" w:rsidRPr="00687B52" w:rsidRDefault="000E02C5" w:rsidP="004A22DA">
            <w:pPr>
              <w:spacing w:line="320" w:lineRule="exact"/>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1.3</w:t>
            </w:r>
          </w:p>
        </w:tc>
        <w:tc>
          <w:tcPr>
            <w:tcW w:w="2222" w:type="pct"/>
            <w:vAlign w:val="center"/>
          </w:tcPr>
          <w:p w:rsidR="000E02C5" w:rsidRPr="00687B52" w:rsidRDefault="000E02C5" w:rsidP="004A22DA">
            <w:pPr>
              <w:spacing w:before="100" w:line="320" w:lineRule="exact"/>
              <w:jc w:val="left"/>
              <w:rPr>
                <w:rFonts w:ascii="Times New Roman" w:hAnsi="Times New Roman"/>
                <w:color w:val="000000" w:themeColor="text1"/>
                <w:sz w:val="24"/>
                <w:szCs w:val="24"/>
              </w:rPr>
            </w:pPr>
            <w:r w:rsidRPr="00687B52">
              <w:rPr>
                <w:rFonts w:ascii="Times New Roman" w:hAnsi="Times New Roman"/>
                <w:color w:val="000000" w:themeColor="text1"/>
                <w:sz w:val="24"/>
                <w:szCs w:val="24"/>
              </w:rPr>
              <w:t>下列地段和地区不应选为厂址：</w:t>
            </w:r>
          </w:p>
          <w:p w:rsidR="000E02C5" w:rsidRPr="00687B52" w:rsidRDefault="000E02C5" w:rsidP="004A22DA">
            <w:pPr>
              <w:spacing w:line="320" w:lineRule="exact"/>
              <w:jc w:val="left"/>
              <w:outlineLvl w:val="0"/>
              <w:rPr>
                <w:rFonts w:ascii="宋体" w:hAnsi="宋体" w:cs="宋体"/>
                <w:color w:val="000000" w:themeColor="text1"/>
                <w:sz w:val="24"/>
                <w:szCs w:val="24"/>
              </w:rPr>
            </w:pPr>
            <w:r w:rsidRPr="00687B52">
              <w:rPr>
                <w:rFonts w:ascii="宋体" w:hAnsi="宋体" w:cs="宋体" w:hint="eastAsia"/>
                <w:bCs/>
                <w:color w:val="000000" w:themeColor="text1"/>
                <w:sz w:val="24"/>
                <w:szCs w:val="24"/>
              </w:rPr>
              <w:t>1）发震断层和抗震设防烈度为</w:t>
            </w:r>
            <w:r w:rsidR="004A22DA" w:rsidRPr="00687B52">
              <w:rPr>
                <w:rFonts w:ascii="宋体" w:hAnsi="宋体" w:cs="宋体" w:hint="eastAsia"/>
                <w:bCs/>
                <w:color w:val="000000" w:themeColor="text1"/>
                <w:sz w:val="24"/>
                <w:szCs w:val="24"/>
              </w:rPr>
              <w:t>9</w:t>
            </w:r>
            <w:r w:rsidRPr="00687B52">
              <w:rPr>
                <w:rFonts w:ascii="宋体" w:hAnsi="宋体" w:cs="宋体" w:hint="eastAsia"/>
                <w:bCs/>
                <w:color w:val="000000" w:themeColor="text1"/>
                <w:sz w:val="24"/>
                <w:szCs w:val="24"/>
              </w:rPr>
              <w:t>度及高于</w:t>
            </w:r>
            <w:r w:rsidR="004A22DA" w:rsidRPr="00687B52">
              <w:rPr>
                <w:rFonts w:ascii="宋体" w:hAnsi="宋体" w:cs="宋体" w:hint="eastAsia"/>
                <w:bCs/>
                <w:color w:val="000000" w:themeColor="text1"/>
                <w:sz w:val="24"/>
                <w:szCs w:val="24"/>
              </w:rPr>
              <w:t>9</w:t>
            </w:r>
            <w:r w:rsidRPr="00687B52">
              <w:rPr>
                <w:rFonts w:ascii="宋体" w:hAnsi="宋体" w:cs="宋体" w:hint="eastAsia"/>
                <w:bCs/>
                <w:color w:val="000000" w:themeColor="text1"/>
                <w:sz w:val="24"/>
                <w:szCs w:val="24"/>
              </w:rPr>
              <w:t xml:space="preserve">度的地震区； </w:t>
            </w:r>
          </w:p>
          <w:p w:rsidR="000E02C5" w:rsidRPr="00687B52" w:rsidRDefault="000E02C5" w:rsidP="004A22DA">
            <w:pPr>
              <w:spacing w:line="320" w:lineRule="exact"/>
              <w:jc w:val="left"/>
              <w:rPr>
                <w:rFonts w:ascii="宋体" w:hAnsi="宋体" w:cs="宋体"/>
                <w:color w:val="000000" w:themeColor="text1"/>
                <w:sz w:val="24"/>
                <w:szCs w:val="24"/>
              </w:rPr>
            </w:pPr>
            <w:r w:rsidRPr="00687B52">
              <w:rPr>
                <w:rFonts w:ascii="宋体" w:hAnsi="宋体" w:cs="宋体" w:hint="eastAsia"/>
                <w:bCs/>
                <w:color w:val="000000" w:themeColor="text1"/>
                <w:sz w:val="24"/>
                <w:szCs w:val="24"/>
              </w:rPr>
              <w:t>2）有泥石流、滑坡、流沙、溶洞等直接危害的地段；</w:t>
            </w:r>
          </w:p>
          <w:p w:rsidR="000E02C5" w:rsidRPr="00687B52" w:rsidRDefault="000E02C5" w:rsidP="004A22DA">
            <w:pPr>
              <w:spacing w:line="320" w:lineRule="exact"/>
              <w:jc w:val="left"/>
              <w:rPr>
                <w:rFonts w:ascii="宋体" w:hAnsi="宋体" w:cs="宋体"/>
                <w:color w:val="000000" w:themeColor="text1"/>
                <w:sz w:val="24"/>
                <w:szCs w:val="24"/>
              </w:rPr>
            </w:pPr>
            <w:r w:rsidRPr="00687B52">
              <w:rPr>
                <w:rFonts w:ascii="宋体" w:hAnsi="宋体" w:cs="宋体" w:hint="eastAsia"/>
                <w:bCs/>
                <w:color w:val="000000" w:themeColor="text1"/>
                <w:sz w:val="24"/>
                <w:szCs w:val="24"/>
              </w:rPr>
              <w:t xml:space="preserve">3）采矿陷落（错动）区地表界限内； </w:t>
            </w:r>
          </w:p>
          <w:p w:rsidR="000E02C5" w:rsidRPr="00687B52" w:rsidRDefault="000E02C5" w:rsidP="004A22DA">
            <w:pPr>
              <w:spacing w:line="320" w:lineRule="exact"/>
              <w:jc w:val="left"/>
              <w:rPr>
                <w:rFonts w:ascii="宋体" w:hAnsi="宋体" w:cs="宋体"/>
                <w:color w:val="000000" w:themeColor="text1"/>
                <w:sz w:val="24"/>
                <w:szCs w:val="24"/>
              </w:rPr>
            </w:pPr>
            <w:r w:rsidRPr="00687B52">
              <w:rPr>
                <w:rFonts w:ascii="宋体" w:hAnsi="宋体" w:cs="宋体" w:hint="eastAsia"/>
                <w:bCs/>
                <w:color w:val="000000" w:themeColor="text1"/>
                <w:sz w:val="24"/>
                <w:szCs w:val="24"/>
              </w:rPr>
              <w:t xml:space="preserve">4）爆破危险界限内； </w:t>
            </w:r>
          </w:p>
          <w:p w:rsidR="000E02C5" w:rsidRPr="00687B52" w:rsidRDefault="000E02C5" w:rsidP="004A22DA">
            <w:pPr>
              <w:spacing w:line="320" w:lineRule="exact"/>
              <w:jc w:val="left"/>
              <w:rPr>
                <w:rFonts w:ascii="宋体" w:hAnsi="宋体" w:cs="宋体"/>
                <w:bCs/>
                <w:color w:val="000000" w:themeColor="text1"/>
                <w:sz w:val="24"/>
                <w:szCs w:val="24"/>
              </w:rPr>
            </w:pPr>
            <w:r w:rsidRPr="00687B52">
              <w:rPr>
                <w:rFonts w:ascii="宋体" w:hAnsi="宋体" w:cs="宋体" w:hint="eastAsia"/>
                <w:bCs/>
                <w:color w:val="000000" w:themeColor="text1"/>
                <w:sz w:val="24"/>
                <w:szCs w:val="24"/>
              </w:rPr>
              <w:t>5）坝或堤决溃后可能淹没的地区；</w:t>
            </w:r>
          </w:p>
          <w:p w:rsidR="000E02C5" w:rsidRPr="00687B52" w:rsidRDefault="000E02C5" w:rsidP="004A22DA">
            <w:pPr>
              <w:spacing w:line="320" w:lineRule="exact"/>
              <w:jc w:val="left"/>
              <w:rPr>
                <w:rFonts w:ascii="宋体" w:hAnsi="宋体" w:cs="宋体"/>
                <w:color w:val="000000" w:themeColor="text1"/>
                <w:sz w:val="24"/>
                <w:szCs w:val="24"/>
              </w:rPr>
            </w:pPr>
            <w:r w:rsidRPr="00687B52">
              <w:rPr>
                <w:rFonts w:ascii="宋体" w:hAnsi="宋体" w:cs="宋体" w:hint="eastAsia"/>
                <w:bCs/>
                <w:color w:val="000000" w:themeColor="text1"/>
                <w:sz w:val="24"/>
                <w:szCs w:val="24"/>
              </w:rPr>
              <w:t xml:space="preserve">6） 有严重放射性物质污染影响区； </w:t>
            </w:r>
          </w:p>
          <w:p w:rsidR="000E02C5" w:rsidRPr="00687B52" w:rsidRDefault="000E02C5" w:rsidP="004A22DA">
            <w:pPr>
              <w:spacing w:line="320" w:lineRule="exact"/>
              <w:jc w:val="left"/>
              <w:rPr>
                <w:rFonts w:ascii="宋体" w:hAnsi="宋体" w:cs="宋体"/>
                <w:color w:val="000000" w:themeColor="text1"/>
                <w:sz w:val="24"/>
                <w:szCs w:val="24"/>
              </w:rPr>
            </w:pPr>
            <w:r w:rsidRPr="00687B52">
              <w:rPr>
                <w:rFonts w:ascii="宋体" w:hAnsi="宋体" w:cs="宋体" w:hint="eastAsia"/>
                <w:bCs/>
                <w:color w:val="000000" w:themeColor="text1"/>
                <w:sz w:val="24"/>
                <w:szCs w:val="24"/>
              </w:rPr>
              <w:t xml:space="preserve">7）生活居住区、文教区、水源保护区、 名胜古迹、 风景游览区、温泉、疗养区 、自然保护区和其它需要特别保护的区域； </w:t>
            </w:r>
          </w:p>
          <w:p w:rsidR="000E02C5" w:rsidRPr="00687B52" w:rsidRDefault="000E02C5" w:rsidP="004A22DA">
            <w:pPr>
              <w:spacing w:line="320" w:lineRule="exact"/>
              <w:jc w:val="left"/>
              <w:rPr>
                <w:rFonts w:asciiTheme="minorEastAsia" w:hAnsiTheme="minorEastAsia" w:cs="Arial"/>
                <w:color w:val="000000" w:themeColor="text1"/>
                <w:sz w:val="24"/>
                <w:szCs w:val="24"/>
              </w:rPr>
            </w:pPr>
            <w:r w:rsidRPr="00687B52">
              <w:rPr>
                <w:rFonts w:ascii="宋体" w:hAnsi="宋体" w:cs="宋体" w:hint="eastAsia"/>
                <w:bCs/>
                <w:color w:val="000000" w:themeColor="text1"/>
                <w:sz w:val="24"/>
                <w:szCs w:val="24"/>
              </w:rPr>
              <w:t>8）对飞机起落、电台 通讯、电 视转播、 雷达导航和 重要的天文 、气象、地震观察以及军事设施等规定有影响的范围内。</w:t>
            </w:r>
          </w:p>
        </w:tc>
        <w:tc>
          <w:tcPr>
            <w:tcW w:w="1164" w:type="pct"/>
            <w:gridSpan w:val="2"/>
            <w:vAlign w:val="center"/>
          </w:tcPr>
          <w:p w:rsidR="000E02C5" w:rsidRPr="00687B52" w:rsidRDefault="000E02C5" w:rsidP="004A22DA">
            <w:pPr>
              <w:pStyle w:val="a7"/>
              <w:rPr>
                <w:rFonts w:ascii="宋体" w:hAnsi="宋体"/>
                <w:bCs/>
                <w:color w:val="000000" w:themeColor="text1"/>
                <w:szCs w:val="24"/>
              </w:rPr>
            </w:pPr>
            <w:r w:rsidRPr="00687B52">
              <w:rPr>
                <w:rFonts w:ascii="宋体" w:hAnsi="宋体"/>
                <w:bCs/>
                <w:color w:val="000000" w:themeColor="text1"/>
                <w:szCs w:val="24"/>
              </w:rPr>
              <w:t>《工业企业总平面设计规范 》</w:t>
            </w:r>
            <w:r w:rsidRPr="00687B52">
              <w:rPr>
                <w:rFonts w:ascii="宋体" w:hAnsi="宋体"/>
                <w:bCs/>
                <w:color w:val="000000" w:themeColor="text1"/>
                <w:szCs w:val="24"/>
              </w:rPr>
              <w:br w:type="column"/>
              <w:t>GB50187-2012</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宋体" w:hAnsi="宋体" w:hint="eastAsia"/>
                <w:bCs/>
                <w:color w:val="000000" w:themeColor="text1"/>
                <w:szCs w:val="24"/>
              </w:rPr>
              <w:t>第3.0.14条</w:t>
            </w:r>
          </w:p>
        </w:tc>
        <w:tc>
          <w:tcPr>
            <w:tcW w:w="1275" w:type="pct"/>
            <w:vAlign w:val="center"/>
          </w:tcPr>
          <w:p w:rsidR="000E02C5" w:rsidRPr="00687B52" w:rsidRDefault="000E02C5" w:rsidP="004A22DA">
            <w:pPr>
              <w:spacing w:line="320" w:lineRule="exact"/>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1.4</w:t>
            </w:r>
          </w:p>
        </w:tc>
        <w:tc>
          <w:tcPr>
            <w:tcW w:w="2222" w:type="pct"/>
            <w:vAlign w:val="center"/>
          </w:tcPr>
          <w:p w:rsidR="000E02C5" w:rsidRPr="00687B52" w:rsidRDefault="000E02C5" w:rsidP="004A22DA">
            <w:pPr>
              <w:widowControl/>
              <w:spacing w:line="320" w:lineRule="exact"/>
              <w:jc w:val="left"/>
              <w:rPr>
                <w:rFonts w:ascii="宋体" w:hAnsi="宋体" w:cs="宋体"/>
                <w:bCs/>
                <w:color w:val="000000" w:themeColor="text1"/>
                <w:sz w:val="24"/>
                <w:szCs w:val="24"/>
              </w:rPr>
            </w:pPr>
            <w:r w:rsidRPr="00687B52">
              <w:rPr>
                <w:rFonts w:ascii="宋体" w:hAnsi="宋体" w:cs="宋体"/>
                <w:bCs/>
                <w:color w:val="000000" w:themeColor="text1"/>
                <w:kern w:val="0"/>
                <w:sz w:val="24"/>
                <w:szCs w:val="24"/>
              </w:rPr>
              <w:t>构成重大危险源的场所是否按《危险化学品重大危险源监督管理暂行规定》（安监总局令第40号令发布，第79号修订)）确定外部安全防护距离，并计算风险；下列敏感目标是否在安全防护距离之外，个人风险和社会风险是否可接受：</w:t>
            </w:r>
            <w:r w:rsidRPr="00687B52">
              <w:rPr>
                <w:rFonts w:ascii="宋体" w:hAnsi="宋体" w:cs="宋体"/>
                <w:bCs/>
                <w:color w:val="000000" w:themeColor="text1"/>
                <w:kern w:val="0"/>
                <w:sz w:val="24"/>
                <w:szCs w:val="24"/>
              </w:rPr>
              <w:br/>
              <w:t>① 居民区、商业中心、公园等人口密集区域；</w:t>
            </w:r>
            <w:r w:rsidRPr="00687B52">
              <w:rPr>
                <w:rFonts w:ascii="宋体" w:hAnsi="宋体" w:cs="宋体"/>
                <w:bCs/>
                <w:color w:val="000000" w:themeColor="text1"/>
                <w:kern w:val="0"/>
                <w:sz w:val="24"/>
                <w:szCs w:val="24"/>
              </w:rPr>
              <w:br/>
              <w:t>② 学校、医院、影剧院、体育场（馆）等公共设施；</w:t>
            </w:r>
            <w:r w:rsidRPr="00687B52">
              <w:rPr>
                <w:rFonts w:ascii="宋体" w:hAnsi="宋体" w:cs="宋体"/>
                <w:bCs/>
                <w:color w:val="000000" w:themeColor="text1"/>
                <w:kern w:val="0"/>
                <w:sz w:val="24"/>
                <w:szCs w:val="24"/>
              </w:rPr>
              <w:br/>
              <w:t>③ 供水水源、水厂及水源保护区；</w:t>
            </w:r>
            <w:r w:rsidRPr="00687B52">
              <w:rPr>
                <w:rFonts w:ascii="宋体" w:hAnsi="宋体" w:cs="宋体"/>
                <w:bCs/>
                <w:color w:val="000000" w:themeColor="text1"/>
                <w:kern w:val="0"/>
                <w:sz w:val="24"/>
                <w:szCs w:val="24"/>
              </w:rPr>
              <w:br/>
              <w:t>④ 车站、码头（按照国家规定，经批准专门从事危险化学品装卸作业的除外）、机场以及公路、铁路、水路交通干线、地铁风亭及出入口；</w:t>
            </w:r>
            <w:r w:rsidRPr="00687B52">
              <w:rPr>
                <w:rFonts w:ascii="宋体" w:hAnsi="宋体" w:cs="宋体"/>
                <w:bCs/>
                <w:color w:val="000000" w:themeColor="text1"/>
                <w:kern w:val="0"/>
                <w:sz w:val="24"/>
                <w:szCs w:val="24"/>
              </w:rPr>
              <w:br/>
              <w:t>⑤ 基本农田保护区、畜牧区、渔业水域和种子、种畜、水产苗种生产基；</w:t>
            </w:r>
            <w:r w:rsidRPr="00687B52">
              <w:rPr>
                <w:rFonts w:ascii="宋体" w:hAnsi="宋体" w:cs="宋体"/>
                <w:bCs/>
                <w:color w:val="000000" w:themeColor="text1"/>
                <w:kern w:val="0"/>
                <w:sz w:val="24"/>
                <w:szCs w:val="24"/>
              </w:rPr>
              <w:br/>
              <w:t>⑥ 河流、湖泊、风景名胜区和自然保护区；</w:t>
            </w:r>
            <w:r w:rsidRPr="00687B52">
              <w:rPr>
                <w:rFonts w:ascii="宋体" w:hAnsi="宋体" w:cs="宋体"/>
                <w:bCs/>
                <w:color w:val="000000" w:themeColor="text1"/>
                <w:kern w:val="0"/>
                <w:sz w:val="24"/>
                <w:szCs w:val="24"/>
              </w:rPr>
              <w:br/>
              <w:t>⑦ 军事禁区、军事管理区；</w:t>
            </w:r>
            <w:r w:rsidRPr="00687B52">
              <w:rPr>
                <w:rFonts w:ascii="宋体" w:hAnsi="宋体" w:cs="宋体"/>
                <w:bCs/>
                <w:color w:val="000000" w:themeColor="text1"/>
                <w:kern w:val="0"/>
                <w:sz w:val="24"/>
                <w:szCs w:val="24"/>
              </w:rPr>
              <w:br/>
              <w:t xml:space="preserve">⑧ 法律、行政法规规定予以保护的其他区域。 </w:t>
            </w:r>
          </w:p>
        </w:tc>
        <w:tc>
          <w:tcPr>
            <w:tcW w:w="1164" w:type="pct"/>
            <w:gridSpan w:val="2"/>
            <w:vAlign w:val="center"/>
          </w:tcPr>
          <w:p w:rsidR="000E02C5" w:rsidRPr="00687B52" w:rsidRDefault="000E02C5" w:rsidP="004A22DA">
            <w:pPr>
              <w:pStyle w:val="a7"/>
              <w:rPr>
                <w:rFonts w:ascii="宋体" w:hAnsi="宋体" w:cs="宋体"/>
                <w:bCs/>
                <w:color w:val="000000" w:themeColor="text1"/>
                <w:kern w:val="0"/>
                <w:szCs w:val="24"/>
              </w:rPr>
            </w:pPr>
          </w:p>
          <w:p w:rsidR="000E02C5" w:rsidRPr="00687B52" w:rsidRDefault="000E02C5" w:rsidP="004A22DA">
            <w:pPr>
              <w:pStyle w:val="a7"/>
              <w:rPr>
                <w:rFonts w:ascii="宋体" w:hAnsi="宋体" w:cs="宋体"/>
                <w:bCs/>
                <w:color w:val="000000" w:themeColor="text1"/>
                <w:kern w:val="0"/>
                <w:szCs w:val="24"/>
              </w:rPr>
            </w:pPr>
          </w:p>
          <w:p w:rsidR="000E02C5" w:rsidRPr="00687B52" w:rsidRDefault="000E02C5" w:rsidP="004A22DA">
            <w:pPr>
              <w:pStyle w:val="a7"/>
              <w:rPr>
                <w:rFonts w:ascii="宋体" w:hAnsi="宋体" w:cs="宋体"/>
                <w:bCs/>
                <w:color w:val="000000" w:themeColor="text1"/>
                <w:kern w:val="0"/>
                <w:szCs w:val="24"/>
              </w:rPr>
            </w:pPr>
          </w:p>
          <w:p w:rsidR="000E02C5" w:rsidRPr="00687B52" w:rsidRDefault="000E02C5" w:rsidP="004A22DA">
            <w:pPr>
              <w:pStyle w:val="a7"/>
              <w:rPr>
                <w:rFonts w:ascii="宋体" w:hAnsi="宋体"/>
                <w:bCs/>
                <w:color w:val="000000" w:themeColor="text1"/>
                <w:szCs w:val="24"/>
              </w:rPr>
            </w:pPr>
            <w:r w:rsidRPr="00687B52">
              <w:rPr>
                <w:rFonts w:ascii="宋体" w:hAnsi="宋体" w:cs="宋体" w:hint="eastAsia"/>
                <w:bCs/>
                <w:color w:val="000000" w:themeColor="text1"/>
                <w:kern w:val="0"/>
                <w:szCs w:val="24"/>
              </w:rPr>
              <w:t>《危险化学品安全管理条例》第十九条</w:t>
            </w:r>
          </w:p>
        </w:tc>
        <w:tc>
          <w:tcPr>
            <w:tcW w:w="1275" w:type="pct"/>
            <w:vAlign w:val="center"/>
          </w:tcPr>
          <w:p w:rsidR="000E02C5" w:rsidRPr="00687B52" w:rsidRDefault="000E02C5" w:rsidP="004A22DA">
            <w:pPr>
              <w:spacing w:line="320" w:lineRule="exact"/>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1.5</w:t>
            </w:r>
          </w:p>
        </w:tc>
        <w:tc>
          <w:tcPr>
            <w:tcW w:w="2222" w:type="pct"/>
            <w:vAlign w:val="center"/>
          </w:tcPr>
          <w:p w:rsidR="000E02C5" w:rsidRPr="00687B52" w:rsidRDefault="000E02C5" w:rsidP="004A22DA">
            <w:pPr>
              <w:pStyle w:val="af8"/>
              <w:spacing w:line="320" w:lineRule="exact"/>
              <w:rPr>
                <w:rFonts w:asciiTheme="minorEastAsia" w:hAnsiTheme="minorEastAsia" w:cs="Arial"/>
                <w:color w:val="000000" w:themeColor="text1"/>
                <w:kern w:val="2"/>
              </w:rPr>
            </w:pPr>
            <w:r w:rsidRPr="00687B52">
              <w:rPr>
                <w:rFonts w:asciiTheme="minorEastAsia" w:hAnsiTheme="minorEastAsia" w:cs="Arial" w:hint="eastAsia"/>
                <w:color w:val="000000" w:themeColor="text1"/>
                <w:kern w:val="2"/>
              </w:rPr>
              <w:t>供氢站、氢气罐的布置，应按下列要求经综合比较确定：1 宜布置在工厂常年最小频率风向的下风侧，并应远离有明火或散发火花的地点；</w:t>
            </w:r>
            <w:r w:rsidRPr="00687B52">
              <w:rPr>
                <w:rFonts w:asciiTheme="minorEastAsia" w:hAnsiTheme="minorEastAsia" w:cs="Arial" w:hint="eastAsia"/>
                <w:color w:val="000000" w:themeColor="text1"/>
                <w:kern w:val="2"/>
              </w:rPr>
              <w:br/>
              <w:t>2 宜布置为独立</w:t>
            </w:r>
            <w:hyperlink r:id="rId65" w:tgtFrame="_blank" w:history="1">
              <w:r w:rsidRPr="00687B52">
                <w:rPr>
                  <w:rFonts w:asciiTheme="minorEastAsia" w:hAnsiTheme="minorEastAsia" w:cs="Arial" w:hint="eastAsia"/>
                  <w:color w:val="000000" w:themeColor="text1"/>
                  <w:kern w:val="2"/>
                </w:rPr>
                <w:t>建筑</w:t>
              </w:r>
            </w:hyperlink>
            <w:r w:rsidRPr="00687B52">
              <w:rPr>
                <w:rFonts w:asciiTheme="minorEastAsia" w:hAnsiTheme="minorEastAsia" w:cs="Arial" w:hint="eastAsia"/>
                <w:color w:val="000000" w:themeColor="text1"/>
                <w:kern w:val="2"/>
              </w:rPr>
              <w:t>物、构筑物；</w:t>
            </w:r>
            <w:r w:rsidRPr="00687B52">
              <w:rPr>
                <w:rFonts w:asciiTheme="minorEastAsia" w:hAnsiTheme="minorEastAsia" w:cs="Arial" w:hint="eastAsia"/>
                <w:color w:val="000000" w:themeColor="text1"/>
                <w:kern w:val="2"/>
              </w:rPr>
              <w:br/>
              <w:t>3 不得布置在人员密集地段和主要交通要道邻近处；</w:t>
            </w:r>
            <w:r w:rsidRPr="00687B52">
              <w:rPr>
                <w:rFonts w:asciiTheme="minorEastAsia" w:hAnsiTheme="minorEastAsia" w:cs="Arial" w:hint="eastAsia"/>
                <w:color w:val="000000" w:themeColor="text1"/>
                <w:kern w:val="2"/>
              </w:rPr>
              <w:br/>
              <w:t>4 氢气站、供氢站、氢气罐区，宜设置不燃烧体的实体围墙，其高度不应小于2.5m；</w:t>
            </w:r>
            <w:r w:rsidRPr="00687B52">
              <w:rPr>
                <w:rFonts w:asciiTheme="minorEastAsia" w:hAnsiTheme="minorEastAsia" w:cs="Arial" w:hint="eastAsia"/>
                <w:color w:val="000000" w:themeColor="text1"/>
                <w:kern w:val="2"/>
              </w:rPr>
              <w:br/>
              <w:t>5 宜留有扩建的余地。</w:t>
            </w:r>
          </w:p>
        </w:tc>
        <w:tc>
          <w:tcPr>
            <w:tcW w:w="1164" w:type="pct"/>
            <w:gridSpan w:val="2"/>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第3.0.1条</w:t>
            </w:r>
          </w:p>
        </w:tc>
        <w:tc>
          <w:tcPr>
            <w:tcW w:w="1275" w:type="pct"/>
            <w:vAlign w:val="center"/>
          </w:tcPr>
          <w:p w:rsidR="000E02C5" w:rsidRPr="00687B52" w:rsidRDefault="000E02C5" w:rsidP="004A22DA">
            <w:pPr>
              <w:spacing w:line="320" w:lineRule="exact"/>
              <w:rPr>
                <w:rFonts w:asciiTheme="minorEastAsia" w:hAnsiTheme="minorEastAsia"/>
                <w:color w:val="000000" w:themeColor="text1"/>
                <w:sz w:val="24"/>
                <w:szCs w:val="24"/>
              </w:rPr>
            </w:pPr>
          </w:p>
        </w:tc>
      </w:tr>
      <w:tr w:rsidR="000E02C5" w:rsidRPr="00687B52" w:rsidTr="00F76305">
        <w:trPr>
          <w:trHeight w:val="7489"/>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1.6</w:t>
            </w:r>
          </w:p>
        </w:tc>
        <w:tc>
          <w:tcPr>
            <w:tcW w:w="2222" w:type="pct"/>
            <w:vAlign w:val="center"/>
          </w:tcPr>
          <w:p w:rsidR="000E02C5" w:rsidRPr="00687B52" w:rsidRDefault="000E02C5" w:rsidP="004A22D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氢气站、供氢站、氢气罐与</w:t>
            </w:r>
            <w:hyperlink r:id="rId66" w:tgtFrame="_blank" w:history="1">
              <w:r w:rsidRPr="00687B52">
                <w:rPr>
                  <w:rFonts w:asciiTheme="minorEastAsia" w:eastAsiaTheme="minorEastAsia" w:hAnsiTheme="minorEastAsia" w:hint="eastAsia"/>
                  <w:bCs/>
                  <w:color w:val="000000" w:themeColor="text1"/>
                  <w:szCs w:val="24"/>
                </w:rPr>
                <w:t>建筑</w:t>
              </w:r>
            </w:hyperlink>
            <w:r w:rsidRPr="00687B52">
              <w:rPr>
                <w:rFonts w:asciiTheme="minorEastAsia" w:eastAsiaTheme="minorEastAsia" w:hAnsiTheme="minorEastAsia" w:hint="eastAsia"/>
                <w:bCs/>
                <w:color w:val="000000" w:themeColor="text1"/>
                <w:szCs w:val="24"/>
              </w:rPr>
              <w:t>物、构筑物的防火间距，不应小于</w:t>
            </w:r>
            <w:r w:rsidR="00845860" w:rsidRPr="00687B52">
              <w:rPr>
                <w:rFonts w:asciiTheme="minorEastAsia" w:eastAsiaTheme="minorEastAsia" w:hAnsiTheme="minorEastAsia" w:hint="eastAsia"/>
                <w:bCs/>
                <w:color w:val="000000" w:themeColor="text1"/>
                <w:szCs w:val="24"/>
              </w:rPr>
              <w:t>下表</w:t>
            </w:r>
            <w:r w:rsidRPr="00687B52">
              <w:rPr>
                <w:rFonts w:asciiTheme="minorEastAsia" w:eastAsiaTheme="minorEastAsia" w:hAnsiTheme="minorEastAsia" w:hint="eastAsia"/>
                <w:bCs/>
                <w:color w:val="000000" w:themeColor="text1"/>
                <w:szCs w:val="24"/>
              </w:rPr>
              <w:t>的规定。</w:t>
            </w:r>
          </w:p>
          <w:p w:rsidR="000E02C5" w:rsidRPr="00687B52" w:rsidRDefault="00A0611B" w:rsidP="004A22DA">
            <w:pPr>
              <w:pStyle w:val="a7"/>
              <w:jc w:val="left"/>
              <w:rPr>
                <w:rFonts w:asciiTheme="minorEastAsia" w:eastAsiaTheme="minorEastAsia" w:hAnsiTheme="minorEastAsia"/>
                <w:b/>
                <w:bCs/>
                <w:color w:val="000000" w:themeColor="text1"/>
                <w:szCs w:val="24"/>
              </w:rPr>
            </w:pPr>
            <w:r w:rsidRPr="00687B52">
              <w:rPr>
                <w:rFonts w:asciiTheme="minorEastAsia" w:eastAsiaTheme="minorEastAsia" w:hAnsiTheme="minorEastAsia"/>
                <w:b/>
                <w:bCs/>
                <w:noProof/>
                <w:color w:val="000000" w:themeColor="text1"/>
                <w:szCs w:val="24"/>
              </w:rPr>
              <w:drawing>
                <wp:anchor distT="0" distB="0" distL="0" distR="0" simplePos="0" relativeHeight="251665408" behindDoc="0" locked="0" layoutInCell="1" allowOverlap="1">
                  <wp:simplePos x="0" y="0"/>
                  <wp:positionH relativeFrom="column">
                    <wp:posOffset>69850</wp:posOffset>
                  </wp:positionH>
                  <wp:positionV relativeFrom="paragraph">
                    <wp:posOffset>36195</wp:posOffset>
                  </wp:positionV>
                  <wp:extent cx="3252470" cy="2009140"/>
                  <wp:effectExtent l="19050" t="0" r="5080" b="0"/>
                  <wp:wrapNone/>
                  <wp:docPr id="9" name="图片 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03"/>
                          <pic:cNvPicPr>
                            <a:picLocks noChangeAspect="1" noChangeArrowheads="1"/>
                          </pic:cNvPicPr>
                        </pic:nvPicPr>
                        <pic:blipFill>
                          <a:blip r:embed="rId67" cstate="print"/>
                          <a:srcRect/>
                          <a:stretch>
                            <a:fillRect/>
                          </a:stretch>
                        </pic:blipFill>
                        <pic:spPr>
                          <a:xfrm>
                            <a:off x="0" y="0"/>
                            <a:ext cx="3252470" cy="2009140"/>
                          </a:xfrm>
                          <a:prstGeom prst="rect">
                            <a:avLst/>
                          </a:prstGeom>
                          <a:noFill/>
                          <a:ln w="9525">
                            <a:noFill/>
                            <a:miter lim="800000"/>
                            <a:headEnd/>
                            <a:tailEnd/>
                          </a:ln>
                        </pic:spPr>
                      </pic:pic>
                    </a:graphicData>
                  </a:graphic>
                </wp:anchor>
              </w:drawing>
            </w: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A0611B" w:rsidP="004A22DA">
            <w:pPr>
              <w:pStyle w:val="a7"/>
              <w:jc w:val="left"/>
              <w:rPr>
                <w:rFonts w:asciiTheme="minorEastAsia" w:eastAsiaTheme="minorEastAsia" w:hAnsiTheme="minorEastAsia"/>
                <w:b/>
                <w:bCs/>
                <w:color w:val="000000" w:themeColor="text1"/>
                <w:szCs w:val="24"/>
              </w:rPr>
            </w:pPr>
            <w:r w:rsidRPr="00687B52">
              <w:rPr>
                <w:rFonts w:asciiTheme="minorEastAsia" w:eastAsiaTheme="minorEastAsia" w:hAnsiTheme="minorEastAsia"/>
                <w:b/>
                <w:bCs/>
                <w:noProof/>
                <w:color w:val="000000" w:themeColor="text1"/>
                <w:szCs w:val="24"/>
              </w:rPr>
              <w:drawing>
                <wp:anchor distT="0" distB="0" distL="0" distR="0" simplePos="0" relativeHeight="251666432" behindDoc="0" locked="0" layoutInCell="1" allowOverlap="1">
                  <wp:simplePos x="0" y="0"/>
                  <wp:positionH relativeFrom="column">
                    <wp:posOffset>3175</wp:posOffset>
                  </wp:positionH>
                  <wp:positionV relativeFrom="paragraph">
                    <wp:posOffset>13970</wp:posOffset>
                  </wp:positionV>
                  <wp:extent cx="3202305" cy="2179320"/>
                  <wp:effectExtent l="19050" t="0" r="0" b="0"/>
                  <wp:wrapNone/>
                  <wp:docPr id="10" name="图片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03"/>
                          <pic:cNvPicPr>
                            <a:picLocks noChangeAspect="1" noChangeArrowheads="1"/>
                          </pic:cNvPicPr>
                        </pic:nvPicPr>
                        <pic:blipFill>
                          <a:blip r:embed="rId68" cstate="print"/>
                          <a:srcRect/>
                          <a:stretch>
                            <a:fillRect/>
                          </a:stretch>
                        </pic:blipFill>
                        <pic:spPr>
                          <a:xfrm>
                            <a:off x="0" y="0"/>
                            <a:ext cx="3202305" cy="2179320"/>
                          </a:xfrm>
                          <a:prstGeom prst="rect">
                            <a:avLst/>
                          </a:prstGeom>
                          <a:noFill/>
                          <a:ln w="9525">
                            <a:noFill/>
                            <a:miter lim="800000"/>
                            <a:headEnd/>
                            <a:tailEnd/>
                          </a:ln>
                        </pic:spPr>
                      </pic:pic>
                    </a:graphicData>
                  </a:graphic>
                </wp:anchor>
              </w:drawing>
            </w: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0E02C5" w:rsidP="004A22DA">
            <w:pPr>
              <w:pStyle w:val="a7"/>
              <w:jc w:val="left"/>
              <w:rPr>
                <w:rFonts w:asciiTheme="minorEastAsia" w:eastAsiaTheme="minorEastAsia" w:hAnsiTheme="minorEastAsia"/>
                <w:b/>
                <w:bCs/>
                <w:color w:val="000000" w:themeColor="text1"/>
                <w:szCs w:val="24"/>
              </w:rPr>
            </w:pPr>
          </w:p>
        </w:tc>
        <w:tc>
          <w:tcPr>
            <w:tcW w:w="1164" w:type="pct"/>
            <w:gridSpan w:val="2"/>
            <w:vAlign w:val="center"/>
          </w:tcPr>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b/>
                <w:bCs/>
                <w:color w:val="000000" w:themeColor="text1"/>
                <w:szCs w:val="24"/>
              </w:rPr>
            </w:pPr>
            <w:r w:rsidRPr="00687B52">
              <w:rPr>
                <w:rFonts w:asciiTheme="minorEastAsia" w:eastAsiaTheme="minorEastAsia" w:hAnsiTheme="minorEastAsia" w:hint="eastAsia"/>
                <w:bCs/>
                <w:color w:val="000000" w:themeColor="text1"/>
                <w:szCs w:val="24"/>
              </w:rPr>
              <w:t>第3.0.2条</w:t>
            </w:r>
          </w:p>
        </w:tc>
        <w:tc>
          <w:tcPr>
            <w:tcW w:w="1275" w:type="pct"/>
            <w:vAlign w:val="center"/>
          </w:tcPr>
          <w:p w:rsidR="000E02C5" w:rsidRPr="00687B52" w:rsidRDefault="000E02C5" w:rsidP="004A22DA">
            <w:pPr>
              <w:spacing w:line="320" w:lineRule="exact"/>
              <w:rPr>
                <w:rFonts w:asciiTheme="minorEastAsia" w:hAnsiTheme="minorEastAsia"/>
                <w:b/>
                <w:bCs/>
                <w:color w:val="000000" w:themeColor="text1"/>
                <w:sz w:val="24"/>
                <w:szCs w:val="24"/>
              </w:rPr>
            </w:pPr>
          </w:p>
        </w:tc>
      </w:tr>
      <w:tr w:rsidR="000E02C5" w:rsidRPr="00687B52" w:rsidTr="00F76305">
        <w:trPr>
          <w:trHeight w:val="3512"/>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1.7</w:t>
            </w:r>
          </w:p>
        </w:tc>
        <w:tc>
          <w:tcPr>
            <w:tcW w:w="2222" w:type="pct"/>
            <w:vAlign w:val="center"/>
          </w:tcPr>
          <w:p w:rsidR="000E02C5" w:rsidRPr="00687B52" w:rsidRDefault="000E02C5" w:rsidP="004A22DA">
            <w:pPr>
              <w:pStyle w:val="a7"/>
              <w:jc w:val="left"/>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氢气站、供氢站、氢气罐与铁路、道路的防火间距，不应小于表3．0．3的规定。</w:t>
            </w:r>
          </w:p>
          <w:p w:rsidR="000E02C5" w:rsidRPr="00687B52" w:rsidRDefault="000E02C5" w:rsidP="004A22DA">
            <w:pPr>
              <w:pStyle w:val="a7"/>
              <w:jc w:val="left"/>
              <w:rPr>
                <w:rFonts w:asciiTheme="minorEastAsia" w:eastAsiaTheme="minorEastAsia" w:hAnsiTheme="minorEastAsia"/>
                <w:b/>
                <w:bCs/>
                <w:color w:val="000000" w:themeColor="text1"/>
                <w:szCs w:val="24"/>
              </w:rPr>
            </w:pPr>
            <w:r w:rsidRPr="00687B52">
              <w:rPr>
                <w:rStyle w:val="af3"/>
                <w:b w:val="0"/>
                <w:noProof/>
                <w:color w:val="000000" w:themeColor="text1"/>
                <w:szCs w:val="24"/>
              </w:rPr>
              <w:drawing>
                <wp:anchor distT="0" distB="0" distL="0" distR="0" simplePos="0" relativeHeight="251664384" behindDoc="0" locked="0" layoutInCell="1" allowOverlap="1">
                  <wp:simplePos x="0" y="0"/>
                  <wp:positionH relativeFrom="column">
                    <wp:posOffset>-38735</wp:posOffset>
                  </wp:positionH>
                  <wp:positionV relativeFrom="paragraph">
                    <wp:posOffset>136525</wp:posOffset>
                  </wp:positionV>
                  <wp:extent cx="3361055" cy="1769745"/>
                  <wp:effectExtent l="0" t="0" r="10795" b="1905"/>
                  <wp:wrapNone/>
                  <wp:docPr id="11" name="图片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03"/>
                          <pic:cNvPicPr>
                            <a:picLocks noChangeAspect="1" noChangeArrowheads="1"/>
                          </pic:cNvPicPr>
                        </pic:nvPicPr>
                        <pic:blipFill>
                          <a:blip r:embed="rId69" cstate="print"/>
                          <a:srcRect/>
                          <a:stretch>
                            <a:fillRect/>
                          </a:stretch>
                        </pic:blipFill>
                        <pic:spPr>
                          <a:xfrm>
                            <a:off x="0" y="0"/>
                            <a:ext cx="3361055" cy="1769745"/>
                          </a:xfrm>
                          <a:prstGeom prst="rect">
                            <a:avLst/>
                          </a:prstGeom>
                          <a:noFill/>
                          <a:ln w="9525">
                            <a:noFill/>
                            <a:miter lim="800000"/>
                            <a:headEnd/>
                            <a:tailEnd/>
                          </a:ln>
                        </pic:spPr>
                      </pic:pic>
                    </a:graphicData>
                  </a:graphic>
                </wp:anchor>
              </w:drawing>
            </w: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0E02C5" w:rsidP="004A22DA">
            <w:pPr>
              <w:pStyle w:val="a7"/>
              <w:jc w:val="left"/>
              <w:rPr>
                <w:rFonts w:asciiTheme="minorEastAsia" w:eastAsiaTheme="minorEastAsia" w:hAnsiTheme="minorEastAsia"/>
                <w:b/>
                <w:bCs/>
                <w:color w:val="000000" w:themeColor="text1"/>
                <w:szCs w:val="24"/>
              </w:rPr>
            </w:pPr>
          </w:p>
          <w:p w:rsidR="000E02C5" w:rsidRPr="00687B52" w:rsidRDefault="000E02C5" w:rsidP="004A22DA">
            <w:pPr>
              <w:pStyle w:val="a7"/>
              <w:jc w:val="left"/>
              <w:rPr>
                <w:rFonts w:asciiTheme="minorEastAsia" w:eastAsiaTheme="minorEastAsia" w:hAnsiTheme="minorEastAsia"/>
                <w:b/>
                <w:bCs/>
                <w:color w:val="000000" w:themeColor="text1"/>
                <w:szCs w:val="24"/>
              </w:rPr>
            </w:pPr>
          </w:p>
        </w:tc>
        <w:tc>
          <w:tcPr>
            <w:tcW w:w="1164" w:type="pct"/>
            <w:gridSpan w:val="2"/>
            <w:vAlign w:val="center"/>
          </w:tcPr>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b/>
                <w:bCs/>
                <w:color w:val="000000" w:themeColor="text1"/>
                <w:szCs w:val="24"/>
              </w:rPr>
            </w:pPr>
            <w:r w:rsidRPr="00687B52">
              <w:rPr>
                <w:rFonts w:asciiTheme="minorEastAsia" w:eastAsiaTheme="minorEastAsia" w:hAnsiTheme="minorEastAsia" w:hint="eastAsia"/>
                <w:bCs/>
                <w:color w:val="000000" w:themeColor="text1"/>
                <w:szCs w:val="24"/>
              </w:rPr>
              <w:t>第3.0.3条</w:t>
            </w:r>
          </w:p>
        </w:tc>
        <w:tc>
          <w:tcPr>
            <w:tcW w:w="1275" w:type="pct"/>
            <w:vAlign w:val="center"/>
          </w:tcPr>
          <w:p w:rsidR="000E02C5" w:rsidRPr="00687B52" w:rsidRDefault="000E02C5" w:rsidP="004A22DA">
            <w:pPr>
              <w:pStyle w:val="a7"/>
              <w:jc w:val="both"/>
              <w:rPr>
                <w:rFonts w:asciiTheme="minorEastAsia" w:eastAsiaTheme="minorEastAsia" w:hAnsiTheme="minorEastAsia"/>
                <w:b/>
                <w:bCs/>
                <w:color w:val="000000" w:themeColor="text1"/>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1.8</w:t>
            </w:r>
          </w:p>
        </w:tc>
        <w:tc>
          <w:tcPr>
            <w:tcW w:w="2222" w:type="pct"/>
            <w:vAlign w:val="center"/>
          </w:tcPr>
          <w:p w:rsidR="000E02C5" w:rsidRPr="00687B52" w:rsidRDefault="000E02C5" w:rsidP="004A22DA">
            <w:pPr>
              <w:pStyle w:val="af8"/>
              <w:spacing w:before="0" w:beforeAutospacing="0" w:after="0" w:afterAutospacing="0" w:line="320" w:lineRule="exact"/>
              <w:rPr>
                <w:rFonts w:asciiTheme="minorEastAsia" w:hAnsiTheme="minorEastAsia" w:cs="Arial"/>
                <w:bCs/>
                <w:color w:val="000000" w:themeColor="text1"/>
                <w:kern w:val="2"/>
              </w:rPr>
            </w:pPr>
            <w:r w:rsidRPr="00687B52">
              <w:rPr>
                <w:rFonts w:asciiTheme="minorEastAsia" w:hAnsiTheme="minorEastAsia" w:cs="Arial" w:hint="eastAsia"/>
                <w:bCs/>
                <w:color w:val="000000" w:themeColor="text1"/>
                <w:kern w:val="2"/>
              </w:rPr>
              <w:t>氢气罐或罐区之间的防火间距，应符合下列规定：1 湿式氢气罐之间的防火间距，不应小于相邻较大罐(罐径较大者，下同)的半径；</w:t>
            </w:r>
            <w:r w:rsidRPr="00687B52">
              <w:rPr>
                <w:rFonts w:asciiTheme="minorEastAsia" w:hAnsiTheme="minorEastAsia" w:cs="Arial" w:hint="eastAsia"/>
                <w:bCs/>
                <w:color w:val="000000" w:themeColor="text1"/>
                <w:kern w:val="2"/>
              </w:rPr>
              <w:br/>
              <w:t>2 卧式氢气罐之间的防火间距，不应小于相邻较大罐直径的2/3；立式罐之间、球形罐之间的防火间距，不应小于相邻较大罐的直径；</w:t>
            </w:r>
            <w:r w:rsidRPr="00687B52">
              <w:rPr>
                <w:rFonts w:asciiTheme="minorEastAsia" w:hAnsiTheme="minorEastAsia" w:cs="Arial" w:hint="eastAsia"/>
                <w:bCs/>
                <w:color w:val="000000" w:themeColor="text1"/>
                <w:kern w:val="2"/>
              </w:rPr>
              <w:br/>
              <w:t>3 卧式、立式、球形氢气罐与湿式氢气罐之间的防火间距，应按其中较大者确定；</w:t>
            </w:r>
          </w:p>
          <w:p w:rsidR="000E02C5" w:rsidRPr="00687B52" w:rsidRDefault="000E02C5" w:rsidP="004A22DA">
            <w:pPr>
              <w:pStyle w:val="af8"/>
              <w:spacing w:before="0" w:beforeAutospacing="0" w:after="0" w:afterAutospacing="0" w:line="320" w:lineRule="exact"/>
              <w:rPr>
                <w:rFonts w:asciiTheme="minorEastAsia" w:hAnsiTheme="minorEastAsia"/>
                <w:bCs/>
                <w:color w:val="000000" w:themeColor="text1"/>
              </w:rPr>
            </w:pPr>
            <w:r w:rsidRPr="00687B52">
              <w:rPr>
                <w:rFonts w:asciiTheme="minorEastAsia" w:hAnsiTheme="minorEastAsia" w:cs="Arial" w:hint="eastAsia"/>
                <w:bCs/>
                <w:color w:val="000000" w:themeColor="text1"/>
                <w:kern w:val="2"/>
              </w:rPr>
              <w:t>4 一组卧式或立式或球形氢气罐的总容积不应超过30000m</w:t>
            </w:r>
            <w:r w:rsidRPr="00687B52">
              <w:rPr>
                <w:rFonts w:asciiTheme="minorEastAsia" w:hAnsiTheme="minorEastAsia" w:cs="Arial" w:hint="eastAsia"/>
                <w:bCs/>
                <w:color w:val="000000" w:themeColor="text1"/>
                <w:kern w:val="2"/>
                <w:vertAlign w:val="superscript"/>
              </w:rPr>
              <w:t>3</w:t>
            </w:r>
            <w:r w:rsidRPr="00687B52">
              <w:rPr>
                <w:rFonts w:asciiTheme="minorEastAsia" w:hAnsiTheme="minorEastAsia" w:cs="Arial" w:hint="eastAsia"/>
                <w:bCs/>
                <w:color w:val="000000" w:themeColor="text1"/>
                <w:kern w:val="2"/>
              </w:rPr>
              <w:t>。组与组的防火间距，卧式氢气罐不应小于相邻较大罐长度的一半；立式、球形罐不应小于相邻较大罐的直径，并不应小于1Om。</w:t>
            </w:r>
          </w:p>
        </w:tc>
        <w:tc>
          <w:tcPr>
            <w:tcW w:w="1164" w:type="pct"/>
            <w:gridSpan w:val="2"/>
            <w:vAlign w:val="center"/>
          </w:tcPr>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第3.0.4条</w:t>
            </w:r>
          </w:p>
        </w:tc>
        <w:tc>
          <w:tcPr>
            <w:tcW w:w="1275" w:type="pct"/>
            <w:vAlign w:val="center"/>
          </w:tcPr>
          <w:p w:rsidR="000E02C5" w:rsidRPr="00687B52" w:rsidRDefault="000E02C5" w:rsidP="004A22DA">
            <w:pPr>
              <w:spacing w:line="320" w:lineRule="exact"/>
              <w:rPr>
                <w:rFonts w:asciiTheme="minorEastAsia" w:hAnsiTheme="minorEastAsia"/>
                <w:b/>
                <w:bCs/>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1.9</w:t>
            </w:r>
          </w:p>
        </w:tc>
        <w:tc>
          <w:tcPr>
            <w:tcW w:w="2222" w:type="pct"/>
            <w:vAlign w:val="center"/>
          </w:tcPr>
          <w:p w:rsidR="000E02C5" w:rsidRPr="00687B52" w:rsidRDefault="000E02C5" w:rsidP="004A22DA">
            <w:pPr>
              <w:pStyle w:val="a7"/>
              <w:jc w:val="left"/>
              <w:rPr>
                <w:rFonts w:asciiTheme="minorEastAsia" w:eastAsiaTheme="minorEastAsia" w:hAnsiTheme="minorEastAsia"/>
                <w:color w:val="000000" w:themeColor="text1"/>
                <w:szCs w:val="24"/>
              </w:rPr>
            </w:pPr>
            <w:r w:rsidRPr="00687B52">
              <w:rPr>
                <w:color w:val="000000" w:themeColor="text1"/>
                <w:szCs w:val="24"/>
              </w:rPr>
              <w:t>供氢站内氢气实瓶数不超过</w:t>
            </w:r>
            <w:r w:rsidRPr="00687B52">
              <w:rPr>
                <w:color w:val="000000" w:themeColor="text1"/>
                <w:szCs w:val="24"/>
              </w:rPr>
              <w:t>60</w:t>
            </w:r>
            <w:r w:rsidRPr="00687B52">
              <w:rPr>
                <w:color w:val="000000" w:themeColor="text1"/>
                <w:szCs w:val="24"/>
              </w:rPr>
              <w:t>瓶或占地面积不超过</w:t>
            </w:r>
            <w:r w:rsidRPr="00687B52">
              <w:rPr>
                <w:color w:val="000000" w:themeColor="text1"/>
                <w:szCs w:val="24"/>
              </w:rPr>
              <w:t>500m</w:t>
            </w:r>
            <w:r w:rsidRPr="00687B52">
              <w:rPr>
                <w:color w:val="000000" w:themeColor="text1"/>
                <w:szCs w:val="24"/>
                <w:vertAlign w:val="superscript"/>
              </w:rPr>
              <w:t>2</w:t>
            </w:r>
            <w:r w:rsidRPr="00687B52">
              <w:rPr>
                <w:color w:val="000000" w:themeColor="text1"/>
                <w:szCs w:val="24"/>
              </w:rPr>
              <w:t>时，可与耐火等级不低于二级的用氢车间或其他非明火作业的丁、戊类车间毗连，其毗连的墙应为无门、窗、洞的防爆防护墙，并宜布置在靠厂房的外墙或端部。</w:t>
            </w:r>
          </w:p>
        </w:tc>
        <w:tc>
          <w:tcPr>
            <w:tcW w:w="1164" w:type="pct"/>
            <w:gridSpan w:val="2"/>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第3.0.6条</w:t>
            </w:r>
          </w:p>
        </w:tc>
        <w:tc>
          <w:tcPr>
            <w:tcW w:w="1275" w:type="pct"/>
            <w:vAlign w:val="center"/>
          </w:tcPr>
          <w:p w:rsidR="000E02C5" w:rsidRPr="00687B52" w:rsidRDefault="000E02C5" w:rsidP="004A22DA">
            <w:pPr>
              <w:spacing w:line="320" w:lineRule="exact"/>
              <w:jc w:val="left"/>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1.10</w:t>
            </w:r>
          </w:p>
        </w:tc>
        <w:tc>
          <w:tcPr>
            <w:tcW w:w="2222" w:type="pct"/>
            <w:vAlign w:val="center"/>
          </w:tcPr>
          <w:p w:rsidR="000E02C5" w:rsidRPr="00687B52" w:rsidRDefault="000E02C5" w:rsidP="004A22DA">
            <w:pPr>
              <w:pStyle w:val="a7"/>
              <w:jc w:val="left"/>
              <w:rPr>
                <w:rFonts w:asciiTheme="minorEastAsia" w:eastAsiaTheme="minorEastAsia" w:hAnsiTheme="minorEastAsia"/>
                <w:color w:val="000000" w:themeColor="text1"/>
                <w:szCs w:val="24"/>
              </w:rPr>
            </w:pPr>
            <w:r w:rsidRPr="00687B52">
              <w:rPr>
                <w:color w:val="000000" w:themeColor="text1"/>
                <w:szCs w:val="24"/>
              </w:rPr>
              <w:t>氢气站内的氢气灌瓶间、实瓶间、空瓶间，宜布置在厂房的边缘部分。</w:t>
            </w:r>
          </w:p>
        </w:tc>
        <w:tc>
          <w:tcPr>
            <w:tcW w:w="1164" w:type="pct"/>
            <w:gridSpan w:val="2"/>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第3.0.7条</w:t>
            </w:r>
          </w:p>
        </w:tc>
        <w:tc>
          <w:tcPr>
            <w:tcW w:w="1275" w:type="pct"/>
            <w:vAlign w:val="center"/>
          </w:tcPr>
          <w:p w:rsidR="000E02C5" w:rsidRPr="00687B52" w:rsidRDefault="000E02C5" w:rsidP="004A22DA">
            <w:pPr>
              <w:spacing w:line="320" w:lineRule="exact"/>
              <w:jc w:val="left"/>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1.11</w:t>
            </w:r>
          </w:p>
        </w:tc>
        <w:tc>
          <w:tcPr>
            <w:tcW w:w="2222" w:type="pct"/>
            <w:vAlign w:val="center"/>
          </w:tcPr>
          <w:p w:rsidR="000E02C5" w:rsidRPr="00687B52" w:rsidRDefault="000E02C5" w:rsidP="004A22DA">
            <w:pPr>
              <w:pStyle w:val="a7"/>
              <w:jc w:val="left"/>
              <w:rPr>
                <w:color w:val="000000" w:themeColor="text1"/>
                <w:szCs w:val="24"/>
              </w:rPr>
            </w:pPr>
            <w:r w:rsidRPr="00687B52">
              <w:rPr>
                <w:rFonts w:ascii="宋体" w:hAnsi="宋体" w:cs="宋体"/>
                <w:color w:val="000000" w:themeColor="text1"/>
                <w:kern w:val="0"/>
                <w:szCs w:val="24"/>
              </w:rPr>
              <w:t>氢气站、供氢站的耐火等级不应低于二级，并宜为单层</w:t>
            </w:r>
            <w:hyperlink r:id="rId70" w:tgtFrame="_blank" w:history="1">
              <w:r w:rsidRPr="00687B52">
                <w:rPr>
                  <w:rFonts w:ascii="宋体" w:hAnsi="宋体" w:cs="宋体"/>
                  <w:bCs/>
                  <w:color w:val="000000" w:themeColor="text1"/>
                  <w:kern w:val="0"/>
                  <w:szCs w:val="24"/>
                </w:rPr>
                <w:t>建筑</w:t>
              </w:r>
            </w:hyperlink>
            <w:r w:rsidRPr="00687B52">
              <w:rPr>
                <w:rFonts w:ascii="宋体" w:hAnsi="宋体" w:cs="宋体"/>
                <w:color w:val="000000" w:themeColor="text1"/>
                <w:kern w:val="0"/>
                <w:szCs w:val="24"/>
              </w:rPr>
              <w:t>。</w:t>
            </w:r>
          </w:p>
        </w:tc>
        <w:tc>
          <w:tcPr>
            <w:tcW w:w="1164" w:type="pct"/>
            <w:gridSpan w:val="2"/>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第7.0.1条</w:t>
            </w:r>
          </w:p>
        </w:tc>
        <w:tc>
          <w:tcPr>
            <w:tcW w:w="1275" w:type="pct"/>
            <w:vAlign w:val="center"/>
          </w:tcPr>
          <w:p w:rsidR="000E02C5" w:rsidRPr="00687B52" w:rsidRDefault="000E02C5" w:rsidP="004A22DA">
            <w:pPr>
              <w:spacing w:line="320" w:lineRule="exact"/>
              <w:jc w:val="left"/>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1.12</w:t>
            </w:r>
          </w:p>
        </w:tc>
        <w:tc>
          <w:tcPr>
            <w:tcW w:w="2222" w:type="pct"/>
            <w:vAlign w:val="center"/>
          </w:tcPr>
          <w:p w:rsidR="000E02C5" w:rsidRPr="00687B52" w:rsidRDefault="000E02C5" w:rsidP="004A22DA">
            <w:pPr>
              <w:pStyle w:val="a7"/>
              <w:jc w:val="left"/>
              <w:rPr>
                <w:rFonts w:ascii="宋体" w:hAnsi="宋体" w:cs="宋体"/>
                <w:color w:val="000000" w:themeColor="text1"/>
                <w:kern w:val="0"/>
                <w:szCs w:val="24"/>
              </w:rPr>
            </w:pPr>
            <w:r w:rsidRPr="00687B52">
              <w:rPr>
                <w:rFonts w:ascii="宋体" w:hAnsi="宋体" w:cs="宋体"/>
                <w:color w:val="000000" w:themeColor="text1"/>
                <w:kern w:val="0"/>
                <w:szCs w:val="24"/>
              </w:rPr>
              <w:t>氢气站、供氢站内有爆炸危险房间应按现行国家标准《</w:t>
            </w:r>
            <w:hyperlink r:id="rId71" w:tgtFrame="_blank" w:history="1">
              <w:r w:rsidRPr="00687B52">
                <w:rPr>
                  <w:rFonts w:ascii="宋体" w:hAnsi="宋体" w:cs="宋体"/>
                  <w:color w:val="000000" w:themeColor="text1"/>
                  <w:kern w:val="0"/>
                  <w:szCs w:val="24"/>
                </w:rPr>
                <w:t>建筑</w:t>
              </w:r>
            </w:hyperlink>
            <w:hyperlink r:id="rId72" w:tgtFrame="_blank" w:history="1">
              <w:r w:rsidRPr="00687B52">
                <w:rPr>
                  <w:rFonts w:ascii="宋体" w:hAnsi="宋体" w:cs="宋体"/>
                  <w:color w:val="000000" w:themeColor="text1"/>
                  <w:kern w:val="0"/>
                  <w:szCs w:val="24"/>
                </w:rPr>
                <w:t>设计</w:t>
              </w:r>
            </w:hyperlink>
            <w:r w:rsidRPr="00687B52">
              <w:rPr>
                <w:rFonts w:ascii="宋体" w:hAnsi="宋体" w:cs="宋体"/>
                <w:color w:val="000000" w:themeColor="text1"/>
                <w:kern w:val="0"/>
                <w:szCs w:val="24"/>
              </w:rPr>
              <w:t>防火</w:t>
            </w:r>
            <w:hyperlink r:id="rId73" w:tgtFrame="_blank" w:history="1">
              <w:r w:rsidRPr="00687B52">
                <w:rPr>
                  <w:rFonts w:ascii="宋体" w:hAnsi="宋体" w:cs="宋体"/>
                  <w:color w:val="000000" w:themeColor="text1"/>
                  <w:kern w:val="0"/>
                  <w:szCs w:val="24"/>
                </w:rPr>
                <w:t>规范</w:t>
              </w:r>
            </w:hyperlink>
            <w:r w:rsidRPr="00687B52">
              <w:rPr>
                <w:rFonts w:ascii="宋体" w:hAnsi="宋体" w:cs="宋体"/>
                <w:color w:val="000000" w:themeColor="text1"/>
                <w:kern w:val="0"/>
                <w:szCs w:val="24"/>
              </w:rPr>
              <w:t>》GB</w:t>
            </w:r>
            <w:r w:rsidRPr="00687B52">
              <w:rPr>
                <w:rFonts w:ascii="宋体" w:hAnsi="宋体" w:cs="宋体" w:hint="eastAsia"/>
                <w:color w:val="000000" w:themeColor="text1"/>
                <w:kern w:val="0"/>
                <w:szCs w:val="24"/>
              </w:rPr>
              <w:t>500</w:t>
            </w:r>
            <w:r w:rsidRPr="00687B52">
              <w:rPr>
                <w:rFonts w:ascii="宋体" w:hAnsi="宋体" w:cs="宋体"/>
                <w:color w:val="000000" w:themeColor="text1"/>
                <w:kern w:val="0"/>
                <w:szCs w:val="24"/>
              </w:rPr>
              <w:t>16的规定，设置泄压设施。</w:t>
            </w:r>
          </w:p>
          <w:p w:rsidR="000E02C5" w:rsidRPr="00687B52" w:rsidRDefault="000E02C5" w:rsidP="004A22DA">
            <w:pPr>
              <w:pStyle w:val="a7"/>
              <w:jc w:val="left"/>
              <w:rPr>
                <w:rFonts w:ascii="宋体" w:hAnsi="宋体" w:cs="宋体"/>
                <w:color w:val="000000" w:themeColor="text1"/>
                <w:kern w:val="0"/>
                <w:szCs w:val="24"/>
              </w:rPr>
            </w:pPr>
            <w:r w:rsidRPr="00687B52">
              <w:rPr>
                <w:rFonts w:ascii="宋体" w:hAnsi="宋体" w:cs="宋体" w:hint="eastAsia"/>
                <w:color w:val="000000" w:themeColor="text1"/>
                <w:kern w:val="0"/>
                <w:szCs w:val="24"/>
              </w:rPr>
              <w:t>有爆炸危险的厂房或厂房内有爆炸危险的部位应设置泄压设施。</w:t>
            </w:r>
          </w:p>
          <w:p w:rsidR="000E02C5" w:rsidRPr="00687B52" w:rsidRDefault="000E02C5" w:rsidP="004A22DA">
            <w:pPr>
              <w:pStyle w:val="a7"/>
              <w:jc w:val="left"/>
              <w:rPr>
                <w:rFonts w:ascii="宋体" w:hAnsi="宋体" w:cs="宋体"/>
                <w:bCs/>
                <w:color w:val="000000" w:themeColor="text1"/>
                <w:kern w:val="0"/>
                <w:szCs w:val="24"/>
              </w:rPr>
            </w:pPr>
            <w:r w:rsidRPr="00687B52">
              <w:rPr>
                <w:rFonts w:ascii="宋体" w:hAnsi="宋体" w:cs="宋体" w:hint="eastAsia"/>
                <w:bCs/>
                <w:color w:val="000000" w:themeColor="text1"/>
                <w:kern w:val="0"/>
                <w:szCs w:val="24"/>
              </w:rPr>
              <w:t>泄压设施宜采用轻质面板、轻质墙体和易于泄压的门、窗等，应采用安全玻璃等在爆炸时不产生尖锐碎片的材料。</w:t>
            </w:r>
          </w:p>
          <w:p w:rsidR="000E02C5" w:rsidRPr="00687B52" w:rsidRDefault="000E02C5" w:rsidP="004A22DA">
            <w:pPr>
              <w:pStyle w:val="a7"/>
              <w:jc w:val="left"/>
              <w:rPr>
                <w:rFonts w:ascii="宋体" w:hAnsi="宋体" w:cs="宋体"/>
                <w:bCs/>
                <w:color w:val="000000" w:themeColor="text1"/>
                <w:kern w:val="0"/>
                <w:szCs w:val="24"/>
              </w:rPr>
            </w:pPr>
            <w:r w:rsidRPr="00687B52">
              <w:rPr>
                <w:rFonts w:ascii="宋体" w:hAnsi="宋体" w:cs="宋体" w:hint="eastAsia"/>
                <w:bCs/>
                <w:color w:val="000000" w:themeColor="text1"/>
                <w:kern w:val="0"/>
                <w:szCs w:val="24"/>
              </w:rPr>
              <w:t>泄压设施的设置应避开人员密集场所和主要交通道路，并宜靠近有爆炸危险的部位。作为泄压设施的轻质屋面板和墙体的质量不宜大于60Kg/㎡。</w:t>
            </w:r>
          </w:p>
          <w:p w:rsidR="000E02C5" w:rsidRPr="00687B52" w:rsidRDefault="000E02C5" w:rsidP="004A22DA">
            <w:pPr>
              <w:pStyle w:val="a7"/>
              <w:jc w:val="left"/>
              <w:rPr>
                <w:rFonts w:ascii="宋体" w:hAnsi="宋体" w:cs="宋体"/>
                <w:color w:val="000000" w:themeColor="text1"/>
                <w:kern w:val="0"/>
                <w:szCs w:val="24"/>
              </w:rPr>
            </w:pPr>
            <w:r w:rsidRPr="00687B52">
              <w:rPr>
                <w:rFonts w:ascii="宋体" w:hAnsi="宋体" w:cs="宋体" w:hint="eastAsia"/>
                <w:bCs/>
                <w:color w:val="000000" w:themeColor="text1"/>
                <w:kern w:val="0"/>
                <w:szCs w:val="24"/>
              </w:rPr>
              <w:t>屋顶上的泄压设施应采取防冰雪积聚措施。</w:t>
            </w:r>
          </w:p>
        </w:tc>
        <w:tc>
          <w:tcPr>
            <w:tcW w:w="1164" w:type="pct"/>
            <w:gridSpan w:val="2"/>
            <w:vAlign w:val="center"/>
          </w:tcPr>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第7.0.3条</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bCs/>
                <w:color w:val="000000" w:themeColor="text1"/>
                <w:szCs w:val="24"/>
              </w:rPr>
              <w:t>《建筑设计防火规范》GB50016-2014第3.6.2</w:t>
            </w:r>
            <w:r w:rsidRPr="00687B52">
              <w:rPr>
                <w:rFonts w:asciiTheme="minorEastAsia" w:eastAsiaTheme="minorEastAsia" w:hAnsiTheme="minorEastAsia" w:hint="eastAsia"/>
                <w:color w:val="000000" w:themeColor="text1"/>
                <w:szCs w:val="24"/>
              </w:rPr>
              <w:t>、3.6.3条</w:t>
            </w:r>
          </w:p>
        </w:tc>
        <w:tc>
          <w:tcPr>
            <w:tcW w:w="1275" w:type="pct"/>
            <w:vAlign w:val="center"/>
          </w:tcPr>
          <w:p w:rsidR="000E02C5" w:rsidRPr="00687B52" w:rsidRDefault="000E02C5" w:rsidP="004A22DA">
            <w:pPr>
              <w:spacing w:line="320" w:lineRule="exact"/>
              <w:jc w:val="left"/>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1.13</w:t>
            </w:r>
          </w:p>
        </w:tc>
        <w:tc>
          <w:tcPr>
            <w:tcW w:w="2222" w:type="pct"/>
            <w:vAlign w:val="center"/>
          </w:tcPr>
          <w:p w:rsidR="000E02C5" w:rsidRPr="00687B52" w:rsidRDefault="000E02C5" w:rsidP="004A22DA">
            <w:pPr>
              <w:pStyle w:val="a7"/>
              <w:jc w:val="left"/>
              <w:rPr>
                <w:color w:val="000000" w:themeColor="text1"/>
                <w:szCs w:val="24"/>
              </w:rPr>
            </w:pPr>
            <w:r w:rsidRPr="00687B52">
              <w:rPr>
                <w:rFonts w:ascii="宋体" w:hAnsi="宋体" w:cs="宋体"/>
                <w:color w:val="000000" w:themeColor="text1"/>
                <w:kern w:val="0"/>
                <w:szCs w:val="24"/>
              </w:rPr>
              <w:t>有爆炸危险房间的安全出入口，不应少于2个，其中1个应直通室外。但面积不超过100m</w:t>
            </w:r>
            <w:r w:rsidRPr="00687B52">
              <w:rPr>
                <w:rFonts w:ascii="宋体" w:hAnsi="宋体" w:cs="宋体"/>
                <w:color w:val="000000" w:themeColor="text1"/>
                <w:kern w:val="0"/>
                <w:szCs w:val="24"/>
                <w:vertAlign w:val="superscript"/>
              </w:rPr>
              <w:t>2</w:t>
            </w:r>
            <w:r w:rsidRPr="00687B52">
              <w:rPr>
                <w:rFonts w:ascii="宋体" w:hAnsi="宋体" w:cs="宋体"/>
                <w:color w:val="000000" w:themeColor="text1"/>
                <w:kern w:val="0"/>
                <w:szCs w:val="24"/>
              </w:rPr>
              <w:t>的房间，可只设1个直通室外出入口。</w:t>
            </w:r>
          </w:p>
        </w:tc>
        <w:tc>
          <w:tcPr>
            <w:tcW w:w="1164" w:type="pct"/>
            <w:gridSpan w:val="2"/>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第7.0.5条</w:t>
            </w:r>
          </w:p>
        </w:tc>
        <w:tc>
          <w:tcPr>
            <w:tcW w:w="1275" w:type="pct"/>
            <w:vAlign w:val="center"/>
          </w:tcPr>
          <w:p w:rsidR="000E02C5" w:rsidRPr="00687B52" w:rsidRDefault="000E02C5" w:rsidP="004A22DA">
            <w:pPr>
              <w:spacing w:line="320" w:lineRule="exact"/>
              <w:jc w:val="left"/>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1.14</w:t>
            </w:r>
          </w:p>
        </w:tc>
        <w:tc>
          <w:tcPr>
            <w:tcW w:w="2222" w:type="pct"/>
            <w:vAlign w:val="center"/>
          </w:tcPr>
          <w:p w:rsidR="000E02C5" w:rsidRPr="00687B52" w:rsidRDefault="000E02C5" w:rsidP="004A22DA">
            <w:pPr>
              <w:pStyle w:val="a7"/>
              <w:jc w:val="left"/>
              <w:rPr>
                <w:color w:val="000000" w:themeColor="text1"/>
                <w:szCs w:val="24"/>
              </w:rPr>
            </w:pPr>
            <w:r w:rsidRPr="00687B52">
              <w:rPr>
                <w:rFonts w:ascii="宋体" w:hAnsi="宋体" w:cs="宋体"/>
                <w:color w:val="000000" w:themeColor="text1"/>
                <w:kern w:val="0"/>
                <w:szCs w:val="24"/>
              </w:rPr>
              <w:t>有爆炸危险房间与无爆炸危险房间之间，应采用耐火极限不低于3.0h的不燃烧体防爆防护墙隔开。当设置双门斗相通时，门的耐火极限不应低于1.2h。有爆炸危险房间与无爆炸危险房间之间，当必须穿过管线时，应采用不燃烧体材料填塞空隙。</w:t>
            </w:r>
          </w:p>
        </w:tc>
        <w:tc>
          <w:tcPr>
            <w:tcW w:w="1164" w:type="pct"/>
            <w:gridSpan w:val="2"/>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bCs/>
                <w:color w:val="000000" w:themeColor="text1"/>
                <w:szCs w:val="24"/>
              </w:rPr>
              <w:t>《氢气站设计规范》</w:t>
            </w:r>
            <w:r w:rsidRPr="00687B52">
              <w:rPr>
                <w:rFonts w:asciiTheme="minorEastAsia" w:eastAsiaTheme="minorEastAsia" w:hAnsiTheme="minorEastAsia" w:hint="eastAsia"/>
                <w:color w:val="000000" w:themeColor="text1"/>
                <w:szCs w:val="24"/>
              </w:rPr>
              <w:t>GB50177-2005</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第7.0.6条</w:t>
            </w:r>
          </w:p>
        </w:tc>
        <w:tc>
          <w:tcPr>
            <w:tcW w:w="1275" w:type="pct"/>
            <w:vAlign w:val="center"/>
          </w:tcPr>
          <w:p w:rsidR="000E02C5" w:rsidRPr="00687B52" w:rsidRDefault="000E02C5" w:rsidP="004A22DA">
            <w:pPr>
              <w:spacing w:line="320" w:lineRule="exact"/>
              <w:jc w:val="left"/>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1.15</w:t>
            </w:r>
          </w:p>
        </w:tc>
        <w:tc>
          <w:tcPr>
            <w:tcW w:w="2222" w:type="pct"/>
            <w:vAlign w:val="center"/>
          </w:tcPr>
          <w:p w:rsidR="000E02C5" w:rsidRPr="00687B52" w:rsidRDefault="000E02C5" w:rsidP="004A22DA">
            <w:pPr>
              <w:pStyle w:val="a7"/>
              <w:jc w:val="left"/>
              <w:rPr>
                <w:color w:val="000000" w:themeColor="text1"/>
                <w:szCs w:val="24"/>
              </w:rPr>
            </w:pPr>
            <w:r w:rsidRPr="00687B52">
              <w:rPr>
                <w:rFonts w:ascii="宋体" w:hAnsi="宋体" w:cs="宋体"/>
                <w:color w:val="000000" w:themeColor="text1"/>
                <w:kern w:val="0"/>
                <w:szCs w:val="24"/>
              </w:rPr>
              <w:t>有爆炸危险房间的门窗均应向外开启，并宜采用撞击时不产生火花的材料制作。</w:t>
            </w:r>
          </w:p>
        </w:tc>
        <w:tc>
          <w:tcPr>
            <w:tcW w:w="1164" w:type="pct"/>
            <w:gridSpan w:val="2"/>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第7.0.7条</w:t>
            </w:r>
          </w:p>
        </w:tc>
        <w:tc>
          <w:tcPr>
            <w:tcW w:w="1275" w:type="pct"/>
            <w:vAlign w:val="center"/>
          </w:tcPr>
          <w:p w:rsidR="000E02C5" w:rsidRPr="00687B52" w:rsidRDefault="000E02C5" w:rsidP="004A22DA">
            <w:pPr>
              <w:spacing w:line="320" w:lineRule="exact"/>
              <w:jc w:val="left"/>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1.16</w:t>
            </w:r>
          </w:p>
        </w:tc>
        <w:tc>
          <w:tcPr>
            <w:tcW w:w="2222" w:type="pct"/>
            <w:vAlign w:val="center"/>
          </w:tcPr>
          <w:p w:rsidR="000E02C5" w:rsidRPr="00687B52" w:rsidRDefault="000E02C5" w:rsidP="004A22DA">
            <w:pPr>
              <w:pStyle w:val="a7"/>
              <w:jc w:val="left"/>
              <w:rPr>
                <w:color w:val="000000" w:themeColor="text1"/>
                <w:szCs w:val="24"/>
              </w:rPr>
            </w:pPr>
            <w:r w:rsidRPr="00687B52">
              <w:rPr>
                <w:rFonts w:ascii="宋体" w:hAnsi="宋体" w:cs="宋体"/>
                <w:color w:val="000000" w:themeColor="text1"/>
                <w:kern w:val="0"/>
                <w:szCs w:val="24"/>
              </w:rPr>
              <w:t>氢气灌瓶间内，应设置高度不低于2m的防护墙。</w:t>
            </w:r>
            <w:r w:rsidRPr="00687B52">
              <w:rPr>
                <w:rFonts w:ascii="宋体" w:hAnsi="宋体" w:cs="宋体"/>
                <w:color w:val="000000" w:themeColor="text1"/>
                <w:kern w:val="0"/>
                <w:szCs w:val="24"/>
              </w:rPr>
              <w:br/>
              <w:t>氢气灌瓶间、氢气汇流排间和实瓶间，应采取防止阳光直射气瓶的措施。</w:t>
            </w:r>
          </w:p>
        </w:tc>
        <w:tc>
          <w:tcPr>
            <w:tcW w:w="1164" w:type="pct"/>
            <w:gridSpan w:val="2"/>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第7.0.9条</w:t>
            </w:r>
          </w:p>
        </w:tc>
        <w:tc>
          <w:tcPr>
            <w:tcW w:w="1275" w:type="pct"/>
            <w:vAlign w:val="center"/>
          </w:tcPr>
          <w:p w:rsidR="000E02C5" w:rsidRPr="00687B52" w:rsidRDefault="000E02C5" w:rsidP="004A22DA">
            <w:pPr>
              <w:spacing w:line="320" w:lineRule="exact"/>
              <w:jc w:val="left"/>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1.17</w:t>
            </w:r>
          </w:p>
        </w:tc>
        <w:tc>
          <w:tcPr>
            <w:tcW w:w="2222" w:type="pct"/>
            <w:vAlign w:val="center"/>
          </w:tcPr>
          <w:p w:rsidR="000E02C5" w:rsidRPr="00687B52" w:rsidRDefault="000E02C5" w:rsidP="004A22DA">
            <w:pPr>
              <w:pStyle w:val="a7"/>
              <w:jc w:val="left"/>
              <w:rPr>
                <w:color w:val="000000" w:themeColor="text1"/>
                <w:szCs w:val="24"/>
              </w:rPr>
            </w:pPr>
            <w:r w:rsidRPr="00687B52">
              <w:rPr>
                <w:rFonts w:ascii="宋体" w:hAnsi="宋体" w:cs="宋体"/>
                <w:color w:val="000000" w:themeColor="text1"/>
                <w:kern w:val="0"/>
                <w:szCs w:val="24"/>
              </w:rPr>
              <w:t>有爆炸危险房间的上部空间，应通风良好。顶棚内表面应平整，避免死角。</w:t>
            </w:r>
          </w:p>
        </w:tc>
        <w:tc>
          <w:tcPr>
            <w:tcW w:w="1164" w:type="pct"/>
            <w:gridSpan w:val="2"/>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bCs/>
                <w:color w:val="000000" w:themeColor="text1"/>
                <w:szCs w:val="24"/>
              </w:rPr>
              <w:t>《氢气站设计规范》</w:t>
            </w:r>
            <w:r w:rsidRPr="00687B52">
              <w:rPr>
                <w:rFonts w:asciiTheme="minorEastAsia" w:eastAsiaTheme="minorEastAsia" w:hAnsiTheme="minorEastAsia" w:hint="eastAsia"/>
                <w:color w:val="000000" w:themeColor="text1"/>
                <w:szCs w:val="24"/>
              </w:rPr>
              <w:t>GB50177-2005</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第7.0.10条</w:t>
            </w:r>
          </w:p>
        </w:tc>
        <w:tc>
          <w:tcPr>
            <w:tcW w:w="1275" w:type="pct"/>
            <w:vAlign w:val="center"/>
          </w:tcPr>
          <w:p w:rsidR="000E02C5" w:rsidRPr="00687B52" w:rsidRDefault="000E02C5" w:rsidP="004A22DA">
            <w:pPr>
              <w:spacing w:line="320" w:lineRule="exact"/>
              <w:jc w:val="left"/>
              <w:rPr>
                <w:rFonts w:asciiTheme="minorEastAsia" w:hAnsiTheme="minorEastAsia"/>
                <w:b/>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1.18</w:t>
            </w:r>
          </w:p>
        </w:tc>
        <w:tc>
          <w:tcPr>
            <w:tcW w:w="2222" w:type="pct"/>
            <w:vAlign w:val="center"/>
          </w:tcPr>
          <w:p w:rsidR="000E02C5" w:rsidRPr="00687B52" w:rsidRDefault="000E02C5" w:rsidP="004A22DA">
            <w:pPr>
              <w:pStyle w:val="a7"/>
              <w:jc w:val="left"/>
              <w:rPr>
                <w:color w:val="000000" w:themeColor="text1"/>
                <w:szCs w:val="24"/>
              </w:rPr>
            </w:pPr>
            <w:r w:rsidRPr="00687B52">
              <w:rPr>
                <w:rFonts w:ascii="宋体" w:hAnsi="宋体" w:cs="宋体"/>
                <w:color w:val="000000" w:themeColor="text1"/>
                <w:kern w:val="0"/>
                <w:szCs w:val="24"/>
              </w:rPr>
              <w:t>氢气站、供氢站严禁使用明火取暖。当设集中采暖时，应采用易于消除灰尘的散热器。</w:t>
            </w:r>
          </w:p>
        </w:tc>
        <w:tc>
          <w:tcPr>
            <w:tcW w:w="1164" w:type="pct"/>
            <w:gridSpan w:val="2"/>
            <w:vAlign w:val="center"/>
          </w:tcPr>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第11.0.1条</w:t>
            </w:r>
          </w:p>
        </w:tc>
        <w:tc>
          <w:tcPr>
            <w:tcW w:w="1275" w:type="pct"/>
            <w:vAlign w:val="center"/>
          </w:tcPr>
          <w:p w:rsidR="000E02C5" w:rsidRPr="00687B52" w:rsidRDefault="000E02C5" w:rsidP="004A22DA">
            <w:pPr>
              <w:spacing w:line="320" w:lineRule="exact"/>
              <w:jc w:val="left"/>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1.19</w:t>
            </w:r>
          </w:p>
        </w:tc>
        <w:tc>
          <w:tcPr>
            <w:tcW w:w="2222" w:type="pct"/>
            <w:vAlign w:val="center"/>
          </w:tcPr>
          <w:p w:rsidR="000E02C5" w:rsidRPr="00687B52" w:rsidRDefault="000E02C5" w:rsidP="004A22DA">
            <w:pPr>
              <w:pStyle w:val="a7"/>
              <w:jc w:val="left"/>
              <w:rPr>
                <w:color w:val="000000" w:themeColor="text1"/>
                <w:szCs w:val="24"/>
              </w:rPr>
            </w:pPr>
            <w:r w:rsidRPr="00687B52">
              <w:rPr>
                <w:rFonts w:ascii="宋体" w:hAnsi="宋体" w:cs="宋体"/>
                <w:color w:val="000000" w:themeColor="text1"/>
                <w:kern w:val="0"/>
                <w:szCs w:val="24"/>
              </w:rPr>
              <w:t>有爆炸危险房间的自然通风换气次数，每小时不得少于3次；事故排风装置换气次数每小时不得少于12次，并与氢气检漏装置联锁。</w:t>
            </w:r>
          </w:p>
        </w:tc>
        <w:tc>
          <w:tcPr>
            <w:tcW w:w="1164" w:type="pct"/>
            <w:gridSpan w:val="2"/>
            <w:vAlign w:val="center"/>
          </w:tcPr>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第11.0.5条</w:t>
            </w:r>
          </w:p>
        </w:tc>
        <w:tc>
          <w:tcPr>
            <w:tcW w:w="1275" w:type="pct"/>
            <w:vAlign w:val="center"/>
          </w:tcPr>
          <w:p w:rsidR="000E02C5" w:rsidRPr="00687B52" w:rsidRDefault="000E02C5" w:rsidP="004A22DA">
            <w:pPr>
              <w:spacing w:line="320" w:lineRule="exact"/>
              <w:jc w:val="left"/>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1.20</w:t>
            </w:r>
          </w:p>
        </w:tc>
        <w:tc>
          <w:tcPr>
            <w:tcW w:w="2222" w:type="pct"/>
            <w:vAlign w:val="center"/>
          </w:tcPr>
          <w:p w:rsidR="000E02C5" w:rsidRPr="00687B52" w:rsidRDefault="000E02C5" w:rsidP="004A22DA">
            <w:pPr>
              <w:pStyle w:val="a7"/>
              <w:jc w:val="left"/>
              <w:rPr>
                <w:color w:val="000000" w:themeColor="text1"/>
                <w:szCs w:val="24"/>
              </w:rPr>
            </w:pPr>
            <w:r w:rsidRPr="00687B52">
              <w:rPr>
                <w:rFonts w:ascii="宋体" w:hAnsi="宋体" w:cs="宋体"/>
                <w:color w:val="000000" w:themeColor="text1"/>
                <w:kern w:val="0"/>
                <w:szCs w:val="24"/>
              </w:rPr>
              <w:t>有爆炸危险房间，事故排风机的选型，应符合现行国家标准《爆炸和火灾危险环境</w:t>
            </w:r>
            <w:hyperlink r:id="rId74" w:tgtFrame="_blank" w:history="1">
              <w:r w:rsidRPr="00687B52">
                <w:rPr>
                  <w:rFonts w:ascii="宋体" w:hAnsi="宋体" w:cs="宋体"/>
                  <w:color w:val="000000" w:themeColor="text1"/>
                  <w:kern w:val="0"/>
                  <w:szCs w:val="24"/>
                </w:rPr>
                <w:t>电力</w:t>
              </w:r>
            </w:hyperlink>
            <w:r w:rsidRPr="00687B52">
              <w:rPr>
                <w:rFonts w:ascii="宋体" w:hAnsi="宋体" w:cs="宋体"/>
                <w:color w:val="000000" w:themeColor="text1"/>
                <w:kern w:val="0"/>
                <w:szCs w:val="24"/>
              </w:rPr>
              <w:t>装置</w:t>
            </w:r>
            <w:hyperlink r:id="rId75" w:tgtFrame="_blank" w:history="1">
              <w:r w:rsidRPr="00687B52">
                <w:rPr>
                  <w:rFonts w:ascii="宋体" w:hAnsi="宋体" w:cs="宋体"/>
                  <w:color w:val="000000" w:themeColor="text1"/>
                  <w:kern w:val="0"/>
                  <w:szCs w:val="24"/>
                </w:rPr>
                <w:t>设计</w:t>
              </w:r>
            </w:hyperlink>
            <w:hyperlink r:id="rId76" w:tgtFrame="_blank" w:history="1">
              <w:r w:rsidRPr="00687B52">
                <w:rPr>
                  <w:rFonts w:ascii="宋体" w:hAnsi="宋体" w:cs="宋体"/>
                  <w:color w:val="000000" w:themeColor="text1"/>
                  <w:kern w:val="0"/>
                  <w:szCs w:val="24"/>
                </w:rPr>
                <w:t>规范</w:t>
              </w:r>
            </w:hyperlink>
            <w:r w:rsidRPr="00687B52">
              <w:rPr>
                <w:rFonts w:ascii="宋体" w:hAnsi="宋体" w:cs="宋体"/>
                <w:color w:val="000000" w:themeColor="text1"/>
                <w:kern w:val="0"/>
                <w:szCs w:val="24"/>
              </w:rPr>
              <w:t>》GB 50058的规定，并不应低于氢气爆炸混合物的级别、组别(ⅡCT1)。</w:t>
            </w:r>
          </w:p>
        </w:tc>
        <w:tc>
          <w:tcPr>
            <w:tcW w:w="1164" w:type="pct"/>
            <w:gridSpan w:val="2"/>
            <w:vAlign w:val="center"/>
          </w:tcPr>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第11.0.7条</w:t>
            </w:r>
          </w:p>
        </w:tc>
        <w:tc>
          <w:tcPr>
            <w:tcW w:w="1275" w:type="pct"/>
            <w:vAlign w:val="center"/>
          </w:tcPr>
          <w:p w:rsidR="000E02C5" w:rsidRPr="00687B52" w:rsidRDefault="000E02C5" w:rsidP="004A22DA">
            <w:pPr>
              <w:spacing w:line="320" w:lineRule="exact"/>
              <w:jc w:val="left"/>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宋体" w:hAnsi="宋体" w:cs="宋体" w:hint="eastAsia"/>
                <w:b/>
                <w:bCs/>
                <w:color w:val="000000" w:themeColor="text1"/>
                <w:kern w:val="0"/>
                <w:szCs w:val="24"/>
              </w:rPr>
              <w:t>2</w:t>
            </w:r>
          </w:p>
        </w:tc>
        <w:tc>
          <w:tcPr>
            <w:tcW w:w="2222" w:type="pct"/>
          </w:tcPr>
          <w:p w:rsidR="000E02C5" w:rsidRPr="00687B52" w:rsidRDefault="000E02C5" w:rsidP="004A22DA">
            <w:pPr>
              <w:pStyle w:val="a7"/>
              <w:jc w:val="left"/>
              <w:rPr>
                <w:rFonts w:ascii="宋体" w:hAnsi="宋体" w:cs="宋体"/>
                <w:b/>
                <w:bCs/>
                <w:color w:val="000000" w:themeColor="text1"/>
                <w:kern w:val="0"/>
                <w:szCs w:val="24"/>
              </w:rPr>
            </w:pPr>
            <w:r w:rsidRPr="00687B52">
              <w:rPr>
                <w:rFonts w:ascii="宋体" w:hAnsi="宋体" w:cs="宋体"/>
                <w:b/>
                <w:bCs/>
                <w:color w:val="000000" w:themeColor="text1"/>
                <w:kern w:val="0"/>
                <w:szCs w:val="24"/>
              </w:rPr>
              <w:t>工艺</w:t>
            </w:r>
            <w:r w:rsidRPr="00687B52">
              <w:rPr>
                <w:rFonts w:ascii="宋体" w:hAnsi="宋体" w:cs="宋体" w:hint="eastAsia"/>
                <w:b/>
                <w:bCs/>
                <w:color w:val="000000" w:themeColor="text1"/>
                <w:kern w:val="0"/>
                <w:szCs w:val="24"/>
              </w:rPr>
              <w:t>系统与设备设施</w:t>
            </w:r>
          </w:p>
        </w:tc>
        <w:tc>
          <w:tcPr>
            <w:tcW w:w="1164" w:type="pct"/>
            <w:gridSpan w:val="2"/>
          </w:tcPr>
          <w:p w:rsidR="000E02C5" w:rsidRPr="00687B52" w:rsidRDefault="000E02C5" w:rsidP="004A22DA">
            <w:pPr>
              <w:pStyle w:val="a7"/>
              <w:jc w:val="left"/>
              <w:rPr>
                <w:rFonts w:ascii="宋体" w:hAnsi="宋体" w:cs="宋体"/>
                <w:b/>
                <w:bCs/>
                <w:color w:val="000000" w:themeColor="text1"/>
                <w:kern w:val="0"/>
                <w:szCs w:val="24"/>
              </w:rPr>
            </w:pPr>
          </w:p>
        </w:tc>
        <w:tc>
          <w:tcPr>
            <w:tcW w:w="1275" w:type="pct"/>
          </w:tcPr>
          <w:p w:rsidR="000E02C5" w:rsidRPr="00687B52" w:rsidRDefault="000E02C5" w:rsidP="004A22DA">
            <w:pPr>
              <w:pStyle w:val="a7"/>
              <w:jc w:val="left"/>
              <w:rPr>
                <w:rFonts w:ascii="宋体" w:hAnsi="宋体" w:cs="宋体"/>
                <w:b/>
                <w:bCs/>
                <w:color w:val="000000" w:themeColor="text1"/>
                <w:kern w:val="0"/>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w:t>
            </w:r>
          </w:p>
        </w:tc>
        <w:tc>
          <w:tcPr>
            <w:tcW w:w="2222" w:type="pct"/>
            <w:vAlign w:val="center"/>
          </w:tcPr>
          <w:p w:rsidR="000E02C5" w:rsidRPr="00687B52" w:rsidRDefault="000E02C5" w:rsidP="004A22DA">
            <w:pPr>
              <w:pStyle w:val="a7"/>
              <w:jc w:val="left"/>
              <w:rPr>
                <w:rStyle w:val="af3"/>
                <w:b w:val="0"/>
                <w:bCs w:val="0"/>
                <w:color w:val="000000" w:themeColor="text1"/>
                <w:szCs w:val="24"/>
              </w:rPr>
            </w:pPr>
            <w:r w:rsidRPr="00687B52">
              <w:rPr>
                <w:rStyle w:val="af3"/>
                <w:b w:val="0"/>
                <w:color w:val="000000" w:themeColor="text1"/>
                <w:szCs w:val="24"/>
              </w:rPr>
              <w:t>氢气站、供氢站的氢气罐安全设施设置，应符合下列规定：</w:t>
            </w:r>
          </w:p>
          <w:p w:rsidR="000E02C5" w:rsidRPr="00687B52" w:rsidRDefault="000E02C5" w:rsidP="004A22DA">
            <w:pPr>
              <w:pStyle w:val="a7"/>
              <w:jc w:val="left"/>
              <w:rPr>
                <w:color w:val="000000" w:themeColor="text1"/>
                <w:szCs w:val="24"/>
              </w:rPr>
            </w:pPr>
            <w:r w:rsidRPr="00687B52">
              <w:rPr>
                <w:rStyle w:val="af3"/>
                <w:b w:val="0"/>
                <w:color w:val="000000" w:themeColor="text1"/>
                <w:szCs w:val="24"/>
              </w:rPr>
              <w:t>1</w:t>
            </w:r>
            <w:r w:rsidRPr="00687B52">
              <w:rPr>
                <w:rStyle w:val="af3"/>
                <w:rFonts w:hint="eastAsia"/>
                <w:b w:val="0"/>
                <w:color w:val="000000" w:themeColor="text1"/>
                <w:szCs w:val="24"/>
              </w:rPr>
              <w:t>）</w:t>
            </w:r>
            <w:r w:rsidRPr="00687B52">
              <w:rPr>
                <w:rStyle w:val="af3"/>
                <w:b w:val="0"/>
                <w:color w:val="000000" w:themeColor="text1"/>
                <w:szCs w:val="24"/>
              </w:rPr>
              <w:t>应设有安全泄压装置，如安全阀等；</w:t>
            </w:r>
            <w:r w:rsidRPr="00687B52">
              <w:rPr>
                <w:color w:val="000000" w:themeColor="text1"/>
                <w:szCs w:val="24"/>
              </w:rPr>
              <w:br/>
            </w:r>
            <w:r w:rsidRPr="00687B52">
              <w:rPr>
                <w:rStyle w:val="af3"/>
                <w:b w:val="0"/>
                <w:color w:val="000000" w:themeColor="text1"/>
                <w:szCs w:val="24"/>
              </w:rPr>
              <w:t>2</w:t>
            </w:r>
            <w:r w:rsidRPr="00687B52">
              <w:rPr>
                <w:rStyle w:val="af3"/>
                <w:rFonts w:hint="eastAsia"/>
                <w:b w:val="0"/>
                <w:color w:val="000000" w:themeColor="text1"/>
                <w:szCs w:val="24"/>
              </w:rPr>
              <w:t>）</w:t>
            </w:r>
            <w:r w:rsidRPr="00687B52">
              <w:rPr>
                <w:rStyle w:val="af3"/>
                <w:b w:val="0"/>
                <w:color w:val="000000" w:themeColor="text1"/>
                <w:szCs w:val="24"/>
              </w:rPr>
              <w:t>氢气罐顶部最高点，应设氢气放空管；</w:t>
            </w:r>
            <w:r w:rsidRPr="00687B52">
              <w:rPr>
                <w:color w:val="000000" w:themeColor="text1"/>
                <w:szCs w:val="24"/>
              </w:rPr>
              <w:br/>
            </w:r>
            <w:r w:rsidRPr="00687B52">
              <w:rPr>
                <w:rStyle w:val="af3"/>
                <w:b w:val="0"/>
                <w:color w:val="000000" w:themeColor="text1"/>
                <w:szCs w:val="24"/>
              </w:rPr>
              <w:t>3</w:t>
            </w:r>
            <w:r w:rsidRPr="00687B52">
              <w:rPr>
                <w:rStyle w:val="af3"/>
                <w:rFonts w:hint="eastAsia"/>
                <w:b w:val="0"/>
                <w:color w:val="000000" w:themeColor="text1"/>
                <w:szCs w:val="24"/>
              </w:rPr>
              <w:t>）</w:t>
            </w:r>
            <w:r w:rsidRPr="00687B52">
              <w:rPr>
                <w:rStyle w:val="af3"/>
                <w:b w:val="0"/>
                <w:color w:val="000000" w:themeColor="text1"/>
                <w:szCs w:val="24"/>
              </w:rPr>
              <w:t>应设压力测量仪表；</w:t>
            </w:r>
            <w:r w:rsidRPr="00687B52">
              <w:rPr>
                <w:color w:val="000000" w:themeColor="text1"/>
                <w:szCs w:val="24"/>
              </w:rPr>
              <w:br/>
            </w:r>
            <w:r w:rsidRPr="00687B52">
              <w:rPr>
                <w:rStyle w:val="af3"/>
                <w:b w:val="0"/>
                <w:color w:val="000000" w:themeColor="text1"/>
                <w:szCs w:val="24"/>
              </w:rPr>
              <w:t>4</w:t>
            </w:r>
            <w:r w:rsidRPr="00687B52">
              <w:rPr>
                <w:rStyle w:val="af3"/>
                <w:rFonts w:hint="eastAsia"/>
                <w:b w:val="0"/>
                <w:color w:val="000000" w:themeColor="text1"/>
                <w:szCs w:val="24"/>
              </w:rPr>
              <w:t>）</w:t>
            </w:r>
            <w:r w:rsidRPr="00687B52">
              <w:rPr>
                <w:rStyle w:val="af3"/>
                <w:b w:val="0"/>
                <w:color w:val="000000" w:themeColor="text1"/>
                <w:szCs w:val="24"/>
              </w:rPr>
              <w:t>应设氮气吹扫置换接口。</w:t>
            </w:r>
          </w:p>
        </w:tc>
        <w:tc>
          <w:tcPr>
            <w:tcW w:w="1164" w:type="pct"/>
            <w:gridSpan w:val="2"/>
            <w:vAlign w:val="center"/>
          </w:tcPr>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第4.0.10条</w:t>
            </w:r>
          </w:p>
        </w:tc>
        <w:tc>
          <w:tcPr>
            <w:tcW w:w="1275" w:type="pct"/>
            <w:vAlign w:val="center"/>
          </w:tcPr>
          <w:p w:rsidR="000E02C5" w:rsidRPr="00687B52" w:rsidRDefault="000E02C5" w:rsidP="004A22DA">
            <w:pPr>
              <w:spacing w:line="320" w:lineRule="exact"/>
              <w:jc w:val="left"/>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2.2</w:t>
            </w:r>
          </w:p>
        </w:tc>
        <w:tc>
          <w:tcPr>
            <w:tcW w:w="2222" w:type="pct"/>
            <w:vAlign w:val="center"/>
          </w:tcPr>
          <w:p w:rsidR="000E02C5" w:rsidRPr="00687B52" w:rsidRDefault="000E02C5" w:rsidP="004A22DA">
            <w:pPr>
              <w:pStyle w:val="a7"/>
              <w:jc w:val="left"/>
              <w:rPr>
                <w:rStyle w:val="af3"/>
                <w:b w:val="0"/>
                <w:bCs w:val="0"/>
                <w:color w:val="000000" w:themeColor="text1"/>
                <w:szCs w:val="24"/>
              </w:rPr>
            </w:pPr>
            <w:r w:rsidRPr="00687B52">
              <w:rPr>
                <w:rStyle w:val="af3"/>
                <w:b w:val="0"/>
                <w:color w:val="000000" w:themeColor="text1"/>
                <w:szCs w:val="24"/>
              </w:rPr>
              <w:t>氢气站应按外销氢气量选择氢气灌装方式。氢气灌装系统的设置应符合下列规定：</w:t>
            </w:r>
          </w:p>
          <w:p w:rsidR="000E02C5" w:rsidRPr="00687B52" w:rsidRDefault="000E02C5" w:rsidP="004A22DA">
            <w:pPr>
              <w:pStyle w:val="a7"/>
              <w:jc w:val="left"/>
              <w:rPr>
                <w:color w:val="000000" w:themeColor="text1"/>
                <w:szCs w:val="24"/>
              </w:rPr>
            </w:pPr>
            <w:r w:rsidRPr="00687B52">
              <w:rPr>
                <w:rStyle w:val="af3"/>
                <w:b w:val="0"/>
                <w:color w:val="000000" w:themeColor="text1"/>
                <w:szCs w:val="24"/>
              </w:rPr>
              <w:t>1</w:t>
            </w:r>
            <w:r w:rsidRPr="00687B52">
              <w:rPr>
                <w:rStyle w:val="af3"/>
                <w:rFonts w:hint="eastAsia"/>
                <w:b w:val="0"/>
                <w:color w:val="000000" w:themeColor="text1"/>
                <w:szCs w:val="24"/>
              </w:rPr>
              <w:t>）</w:t>
            </w:r>
            <w:r w:rsidRPr="00687B52">
              <w:rPr>
                <w:rStyle w:val="af3"/>
                <w:b w:val="0"/>
                <w:color w:val="000000" w:themeColor="text1"/>
                <w:szCs w:val="24"/>
              </w:rPr>
              <w:t>应设有超压泄放用安全阀；</w:t>
            </w:r>
            <w:r w:rsidRPr="00687B52">
              <w:rPr>
                <w:color w:val="000000" w:themeColor="text1"/>
                <w:szCs w:val="24"/>
              </w:rPr>
              <w:br/>
            </w:r>
            <w:r w:rsidRPr="00687B52">
              <w:rPr>
                <w:rStyle w:val="af3"/>
                <w:b w:val="0"/>
                <w:color w:val="000000" w:themeColor="text1"/>
                <w:szCs w:val="24"/>
              </w:rPr>
              <w:t>2</w:t>
            </w:r>
            <w:r w:rsidRPr="00687B52">
              <w:rPr>
                <w:rStyle w:val="af3"/>
                <w:rFonts w:hint="eastAsia"/>
                <w:b w:val="0"/>
                <w:color w:val="000000" w:themeColor="text1"/>
                <w:szCs w:val="24"/>
              </w:rPr>
              <w:t>）</w:t>
            </w:r>
            <w:r w:rsidRPr="00687B52">
              <w:rPr>
                <w:rStyle w:val="af3"/>
                <w:b w:val="0"/>
                <w:color w:val="000000" w:themeColor="text1"/>
                <w:szCs w:val="24"/>
              </w:rPr>
              <w:t>应设有氢气回流阀，氢气回流至氢气压缩机前管路或氢气缓冲罐；</w:t>
            </w:r>
            <w:r w:rsidRPr="00687B52">
              <w:rPr>
                <w:color w:val="000000" w:themeColor="text1"/>
                <w:szCs w:val="24"/>
              </w:rPr>
              <w:br/>
            </w:r>
            <w:r w:rsidRPr="00687B52">
              <w:rPr>
                <w:rStyle w:val="af3"/>
                <w:b w:val="0"/>
                <w:color w:val="000000" w:themeColor="text1"/>
                <w:szCs w:val="24"/>
              </w:rPr>
              <w:t>3</w:t>
            </w:r>
            <w:r w:rsidRPr="00687B52">
              <w:rPr>
                <w:rStyle w:val="af3"/>
                <w:rFonts w:hint="eastAsia"/>
                <w:b w:val="0"/>
                <w:color w:val="000000" w:themeColor="text1"/>
                <w:szCs w:val="24"/>
              </w:rPr>
              <w:t>）</w:t>
            </w:r>
            <w:r w:rsidRPr="00687B52">
              <w:rPr>
                <w:rStyle w:val="af3"/>
                <w:b w:val="0"/>
                <w:color w:val="000000" w:themeColor="text1"/>
                <w:szCs w:val="24"/>
              </w:rPr>
              <w:t>应设有分组切断阀、压力显示仪表；</w:t>
            </w:r>
            <w:r w:rsidRPr="00687B52">
              <w:rPr>
                <w:color w:val="000000" w:themeColor="text1"/>
                <w:szCs w:val="24"/>
              </w:rPr>
              <w:br/>
            </w:r>
            <w:r w:rsidRPr="00687B52">
              <w:rPr>
                <w:rStyle w:val="af3"/>
                <w:b w:val="0"/>
                <w:color w:val="000000" w:themeColor="text1"/>
                <w:szCs w:val="24"/>
              </w:rPr>
              <w:t>4</w:t>
            </w:r>
            <w:r w:rsidRPr="00687B52">
              <w:rPr>
                <w:rStyle w:val="af3"/>
                <w:rFonts w:hint="eastAsia"/>
                <w:b w:val="0"/>
                <w:color w:val="000000" w:themeColor="text1"/>
                <w:szCs w:val="24"/>
              </w:rPr>
              <w:t>）</w:t>
            </w:r>
            <w:r w:rsidRPr="00687B52">
              <w:rPr>
                <w:rStyle w:val="af3"/>
                <w:b w:val="0"/>
                <w:color w:val="000000" w:themeColor="text1"/>
                <w:szCs w:val="24"/>
              </w:rPr>
              <w:t>应设有吹扫放空阀，放空管应接至室外安全处；</w:t>
            </w:r>
            <w:r w:rsidRPr="00687B52">
              <w:rPr>
                <w:color w:val="000000" w:themeColor="text1"/>
                <w:szCs w:val="24"/>
              </w:rPr>
              <w:br/>
            </w:r>
            <w:r w:rsidRPr="00687B52">
              <w:rPr>
                <w:rStyle w:val="af3"/>
                <w:b w:val="0"/>
                <w:color w:val="000000" w:themeColor="text1"/>
                <w:szCs w:val="24"/>
              </w:rPr>
              <w:t>5</w:t>
            </w:r>
            <w:r w:rsidRPr="00687B52">
              <w:rPr>
                <w:rStyle w:val="af3"/>
                <w:rFonts w:hint="eastAsia"/>
                <w:b w:val="0"/>
                <w:color w:val="000000" w:themeColor="text1"/>
                <w:szCs w:val="24"/>
              </w:rPr>
              <w:t>）</w:t>
            </w:r>
            <w:r w:rsidRPr="00687B52">
              <w:rPr>
                <w:rStyle w:val="af3"/>
                <w:b w:val="0"/>
                <w:color w:val="000000" w:themeColor="text1"/>
                <w:szCs w:val="24"/>
              </w:rPr>
              <w:t>应设有气瓶内余气及含氧量测试仪表。</w:t>
            </w:r>
          </w:p>
        </w:tc>
        <w:tc>
          <w:tcPr>
            <w:tcW w:w="1164" w:type="pct"/>
            <w:gridSpan w:val="2"/>
            <w:vAlign w:val="center"/>
          </w:tcPr>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第4.0.13条</w:t>
            </w:r>
          </w:p>
        </w:tc>
        <w:tc>
          <w:tcPr>
            <w:tcW w:w="1275" w:type="pct"/>
            <w:vAlign w:val="center"/>
          </w:tcPr>
          <w:p w:rsidR="000E02C5" w:rsidRPr="00687B52" w:rsidRDefault="000E02C5" w:rsidP="004A22DA">
            <w:pPr>
              <w:spacing w:line="320" w:lineRule="exact"/>
              <w:jc w:val="left"/>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2.3</w:t>
            </w:r>
          </w:p>
        </w:tc>
        <w:tc>
          <w:tcPr>
            <w:tcW w:w="2222" w:type="pct"/>
            <w:vAlign w:val="center"/>
          </w:tcPr>
          <w:p w:rsidR="000E02C5" w:rsidRPr="00687B52" w:rsidRDefault="000E02C5" w:rsidP="004A22DA">
            <w:pPr>
              <w:pStyle w:val="a7"/>
              <w:jc w:val="left"/>
              <w:rPr>
                <w:color w:val="000000" w:themeColor="text1"/>
                <w:szCs w:val="24"/>
              </w:rPr>
            </w:pPr>
            <w:r w:rsidRPr="00687B52">
              <w:rPr>
                <w:rStyle w:val="af3"/>
                <w:b w:val="0"/>
                <w:color w:val="000000" w:themeColor="text1"/>
                <w:szCs w:val="24"/>
              </w:rPr>
              <w:t>各类供氢系统，均应设有含氧量小于</w:t>
            </w:r>
            <w:r w:rsidRPr="00687B52">
              <w:rPr>
                <w:rStyle w:val="af3"/>
                <w:b w:val="0"/>
                <w:color w:val="000000" w:themeColor="text1"/>
                <w:szCs w:val="24"/>
              </w:rPr>
              <w:t>0.5</w:t>
            </w:r>
            <w:r w:rsidRPr="00687B52">
              <w:rPr>
                <w:rStyle w:val="af3"/>
                <w:b w:val="0"/>
                <w:color w:val="000000" w:themeColor="text1"/>
                <w:szCs w:val="24"/>
              </w:rPr>
              <w:t>％的氮气置换吹扫设施。</w:t>
            </w:r>
          </w:p>
        </w:tc>
        <w:tc>
          <w:tcPr>
            <w:tcW w:w="1164" w:type="pct"/>
            <w:gridSpan w:val="2"/>
            <w:vAlign w:val="center"/>
          </w:tcPr>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第4.0.15条</w:t>
            </w:r>
          </w:p>
        </w:tc>
        <w:tc>
          <w:tcPr>
            <w:tcW w:w="1275" w:type="pct"/>
            <w:vAlign w:val="center"/>
          </w:tcPr>
          <w:p w:rsidR="000E02C5" w:rsidRPr="00687B52" w:rsidRDefault="000E02C5" w:rsidP="004A22DA">
            <w:pPr>
              <w:spacing w:line="320" w:lineRule="exact"/>
              <w:jc w:val="left"/>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2.4</w:t>
            </w:r>
          </w:p>
        </w:tc>
        <w:tc>
          <w:tcPr>
            <w:tcW w:w="2222" w:type="pct"/>
            <w:vAlign w:val="center"/>
          </w:tcPr>
          <w:p w:rsidR="000E02C5" w:rsidRPr="00687B52" w:rsidRDefault="000E02C5" w:rsidP="004A22DA">
            <w:pPr>
              <w:pStyle w:val="a7"/>
              <w:jc w:val="left"/>
              <w:rPr>
                <w:bCs/>
                <w:color w:val="000000" w:themeColor="text1"/>
                <w:szCs w:val="24"/>
              </w:rPr>
            </w:pPr>
            <w:r w:rsidRPr="00687B52">
              <w:rPr>
                <w:bCs/>
                <w:noProof/>
                <w:color w:val="000000" w:themeColor="text1"/>
                <w:szCs w:val="24"/>
              </w:rPr>
              <w:drawing>
                <wp:anchor distT="0" distB="0" distL="0" distR="0" simplePos="0" relativeHeight="251667456" behindDoc="0" locked="0" layoutInCell="1" allowOverlap="1">
                  <wp:simplePos x="0" y="0"/>
                  <wp:positionH relativeFrom="column">
                    <wp:posOffset>334645</wp:posOffset>
                  </wp:positionH>
                  <wp:positionV relativeFrom="paragraph">
                    <wp:posOffset>384175</wp:posOffset>
                  </wp:positionV>
                  <wp:extent cx="2898140" cy="1996440"/>
                  <wp:effectExtent l="19050" t="0" r="0" b="0"/>
                  <wp:wrapNone/>
                  <wp:docPr id="3" name="图片 4"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06"/>
                          <pic:cNvPicPr>
                            <a:picLocks noChangeAspect="1" noChangeArrowheads="1"/>
                          </pic:cNvPicPr>
                        </pic:nvPicPr>
                        <pic:blipFill>
                          <a:blip r:embed="rId77" cstate="print"/>
                          <a:srcRect/>
                          <a:stretch>
                            <a:fillRect/>
                          </a:stretch>
                        </pic:blipFill>
                        <pic:spPr>
                          <a:xfrm>
                            <a:off x="0" y="0"/>
                            <a:ext cx="2898140" cy="1996440"/>
                          </a:xfrm>
                          <a:prstGeom prst="rect">
                            <a:avLst/>
                          </a:prstGeom>
                          <a:noFill/>
                          <a:ln w="9525">
                            <a:noFill/>
                            <a:miter lim="800000"/>
                            <a:headEnd/>
                            <a:tailEnd/>
                          </a:ln>
                        </pic:spPr>
                      </pic:pic>
                    </a:graphicData>
                  </a:graphic>
                </wp:anchor>
              </w:drawing>
            </w:r>
            <w:r w:rsidRPr="00687B52">
              <w:rPr>
                <w:bCs/>
                <w:color w:val="000000" w:themeColor="text1"/>
                <w:szCs w:val="24"/>
              </w:rPr>
              <w:t>氢气站工艺装置内的设备、</w:t>
            </w:r>
            <w:hyperlink r:id="rId78" w:tgtFrame="_blank" w:history="1">
              <w:r w:rsidRPr="00687B52">
                <w:rPr>
                  <w:bCs/>
                  <w:color w:val="000000" w:themeColor="text1"/>
                  <w:szCs w:val="24"/>
                </w:rPr>
                <w:t>建筑</w:t>
              </w:r>
            </w:hyperlink>
            <w:r w:rsidRPr="00687B52">
              <w:rPr>
                <w:bCs/>
                <w:color w:val="000000" w:themeColor="text1"/>
                <w:szCs w:val="24"/>
              </w:rPr>
              <w:t>物平面布置的防火间距，不应小于</w:t>
            </w:r>
            <w:r w:rsidRPr="00687B52">
              <w:rPr>
                <w:rFonts w:hint="eastAsia"/>
                <w:bCs/>
                <w:color w:val="000000" w:themeColor="text1"/>
                <w:szCs w:val="24"/>
              </w:rPr>
              <w:t>本规范</w:t>
            </w:r>
            <w:r w:rsidRPr="00687B52">
              <w:rPr>
                <w:bCs/>
                <w:color w:val="000000" w:themeColor="text1"/>
                <w:szCs w:val="24"/>
              </w:rPr>
              <w:t>表</w:t>
            </w:r>
            <w:r w:rsidRPr="00687B52">
              <w:rPr>
                <w:bCs/>
                <w:color w:val="000000" w:themeColor="text1"/>
                <w:szCs w:val="24"/>
              </w:rPr>
              <w:t>6</w:t>
            </w:r>
            <w:r w:rsidRPr="00687B52">
              <w:rPr>
                <w:rFonts w:hint="eastAsia"/>
                <w:bCs/>
                <w:color w:val="000000" w:themeColor="text1"/>
                <w:szCs w:val="24"/>
              </w:rPr>
              <w:t>.0.2</w:t>
            </w:r>
            <w:r w:rsidRPr="00687B52">
              <w:rPr>
                <w:bCs/>
                <w:color w:val="000000" w:themeColor="text1"/>
                <w:szCs w:val="24"/>
              </w:rPr>
              <w:t>的规定。</w:t>
            </w:r>
          </w:p>
          <w:p w:rsidR="000E02C5" w:rsidRPr="00687B52" w:rsidRDefault="000E02C5" w:rsidP="004A22DA">
            <w:pPr>
              <w:pStyle w:val="a7"/>
              <w:jc w:val="left"/>
              <w:rPr>
                <w:b/>
                <w:bCs/>
                <w:color w:val="000000" w:themeColor="text1"/>
                <w:szCs w:val="24"/>
              </w:rPr>
            </w:pPr>
          </w:p>
          <w:p w:rsidR="000E02C5" w:rsidRPr="00687B52" w:rsidRDefault="000E02C5" w:rsidP="004A22DA">
            <w:pPr>
              <w:pStyle w:val="a7"/>
              <w:jc w:val="left"/>
              <w:rPr>
                <w:b/>
                <w:bCs/>
                <w:color w:val="000000" w:themeColor="text1"/>
                <w:szCs w:val="24"/>
              </w:rPr>
            </w:pPr>
          </w:p>
          <w:p w:rsidR="000E02C5" w:rsidRPr="00687B52" w:rsidRDefault="000E02C5" w:rsidP="004A22DA">
            <w:pPr>
              <w:pStyle w:val="a7"/>
              <w:jc w:val="left"/>
              <w:rPr>
                <w:b/>
                <w:bCs/>
                <w:color w:val="000000" w:themeColor="text1"/>
                <w:szCs w:val="24"/>
              </w:rPr>
            </w:pPr>
          </w:p>
          <w:p w:rsidR="000E02C5" w:rsidRPr="00687B52" w:rsidRDefault="000E02C5" w:rsidP="004A22DA">
            <w:pPr>
              <w:pStyle w:val="a7"/>
              <w:jc w:val="left"/>
              <w:rPr>
                <w:b/>
                <w:bCs/>
                <w:color w:val="000000" w:themeColor="text1"/>
                <w:szCs w:val="24"/>
              </w:rPr>
            </w:pPr>
          </w:p>
          <w:p w:rsidR="000E02C5" w:rsidRPr="00687B52" w:rsidRDefault="000E02C5" w:rsidP="004A22DA">
            <w:pPr>
              <w:pStyle w:val="a7"/>
              <w:jc w:val="left"/>
              <w:rPr>
                <w:b/>
                <w:bCs/>
                <w:color w:val="000000" w:themeColor="text1"/>
                <w:szCs w:val="24"/>
              </w:rPr>
            </w:pPr>
          </w:p>
          <w:p w:rsidR="000E02C5" w:rsidRPr="00687B52" w:rsidRDefault="000E02C5" w:rsidP="004A22DA">
            <w:pPr>
              <w:pStyle w:val="a7"/>
              <w:jc w:val="left"/>
              <w:rPr>
                <w:b/>
                <w:bCs/>
                <w:color w:val="000000" w:themeColor="text1"/>
                <w:szCs w:val="24"/>
              </w:rPr>
            </w:pPr>
          </w:p>
          <w:p w:rsidR="000E02C5" w:rsidRPr="00687B52" w:rsidRDefault="000E02C5" w:rsidP="004A22DA">
            <w:pPr>
              <w:pStyle w:val="a7"/>
              <w:jc w:val="left"/>
              <w:rPr>
                <w:b/>
                <w:bCs/>
                <w:color w:val="000000" w:themeColor="text1"/>
                <w:szCs w:val="24"/>
              </w:rPr>
            </w:pPr>
          </w:p>
          <w:p w:rsidR="000E02C5" w:rsidRPr="00687B52" w:rsidRDefault="000E02C5" w:rsidP="004A22DA">
            <w:pPr>
              <w:pStyle w:val="a7"/>
              <w:jc w:val="left"/>
              <w:rPr>
                <w:b/>
                <w:bCs/>
                <w:color w:val="000000" w:themeColor="text1"/>
                <w:szCs w:val="24"/>
              </w:rPr>
            </w:pPr>
          </w:p>
          <w:p w:rsidR="000E02C5" w:rsidRPr="00687B52" w:rsidRDefault="000E02C5" w:rsidP="004A22DA">
            <w:pPr>
              <w:pStyle w:val="a7"/>
              <w:jc w:val="left"/>
              <w:rPr>
                <w:b/>
                <w:bCs/>
                <w:color w:val="000000" w:themeColor="text1"/>
                <w:szCs w:val="24"/>
              </w:rPr>
            </w:pPr>
          </w:p>
          <w:p w:rsidR="000E02C5" w:rsidRPr="00687B52" w:rsidRDefault="000E02C5" w:rsidP="004A22DA">
            <w:pPr>
              <w:pStyle w:val="a7"/>
              <w:jc w:val="left"/>
              <w:rPr>
                <w:b/>
                <w:bCs/>
                <w:color w:val="000000" w:themeColor="text1"/>
                <w:szCs w:val="24"/>
              </w:rPr>
            </w:pPr>
          </w:p>
        </w:tc>
        <w:tc>
          <w:tcPr>
            <w:tcW w:w="1164" w:type="pct"/>
            <w:gridSpan w:val="2"/>
            <w:vAlign w:val="center"/>
          </w:tcPr>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b/>
                <w:bCs/>
                <w:color w:val="000000" w:themeColor="text1"/>
                <w:szCs w:val="24"/>
              </w:rPr>
            </w:pPr>
            <w:r w:rsidRPr="00687B52">
              <w:rPr>
                <w:rFonts w:asciiTheme="minorEastAsia" w:eastAsiaTheme="minorEastAsia" w:hAnsiTheme="minorEastAsia" w:hint="eastAsia"/>
                <w:bCs/>
                <w:color w:val="000000" w:themeColor="text1"/>
                <w:szCs w:val="24"/>
              </w:rPr>
              <w:t>第6.0.2条</w:t>
            </w:r>
          </w:p>
        </w:tc>
        <w:tc>
          <w:tcPr>
            <w:tcW w:w="1275" w:type="pct"/>
            <w:vAlign w:val="center"/>
          </w:tcPr>
          <w:p w:rsidR="000E02C5" w:rsidRPr="00687B52" w:rsidRDefault="000E02C5" w:rsidP="004A22DA">
            <w:pPr>
              <w:spacing w:line="320" w:lineRule="exact"/>
              <w:jc w:val="center"/>
              <w:rPr>
                <w:rFonts w:asciiTheme="minorEastAsia" w:hAnsiTheme="minorEastAsia"/>
                <w:b/>
                <w:bCs/>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2.5</w:t>
            </w:r>
          </w:p>
        </w:tc>
        <w:tc>
          <w:tcPr>
            <w:tcW w:w="2222" w:type="pct"/>
            <w:vAlign w:val="center"/>
          </w:tcPr>
          <w:p w:rsidR="000E02C5" w:rsidRPr="00687B52" w:rsidRDefault="000E02C5" w:rsidP="004A22DA">
            <w:pPr>
              <w:widowControl/>
              <w:spacing w:line="320" w:lineRule="exact"/>
              <w:jc w:val="left"/>
              <w:rPr>
                <w:rFonts w:ascii="Times New Roman" w:hAnsi="Arial" w:cs="Arial"/>
                <w:color w:val="000000" w:themeColor="text1"/>
                <w:sz w:val="24"/>
                <w:szCs w:val="24"/>
              </w:rPr>
            </w:pPr>
            <w:r w:rsidRPr="00687B52">
              <w:rPr>
                <w:rFonts w:ascii="Times New Roman" w:hAnsi="Arial" w:cs="Arial"/>
                <w:color w:val="000000" w:themeColor="text1"/>
                <w:sz w:val="24"/>
                <w:szCs w:val="24"/>
              </w:rPr>
              <w:t>氢气站工艺装置内兼作消防车道的道路，应符合下列规定：</w:t>
            </w:r>
          </w:p>
          <w:p w:rsidR="000E02C5" w:rsidRPr="00687B52" w:rsidRDefault="000E02C5" w:rsidP="004A22DA">
            <w:pPr>
              <w:widowControl/>
              <w:spacing w:line="320" w:lineRule="exact"/>
              <w:jc w:val="left"/>
              <w:rPr>
                <w:rFonts w:asciiTheme="minorEastAsia" w:hAnsiTheme="minorEastAsia"/>
                <w:color w:val="000000" w:themeColor="text1"/>
                <w:sz w:val="24"/>
                <w:szCs w:val="24"/>
              </w:rPr>
            </w:pPr>
            <w:r w:rsidRPr="00687B52">
              <w:rPr>
                <w:rFonts w:ascii="Times New Roman" w:hAnsi="Arial" w:cs="Arial"/>
                <w:color w:val="000000" w:themeColor="text1"/>
                <w:sz w:val="24"/>
                <w:szCs w:val="24"/>
              </w:rPr>
              <w:t>1</w:t>
            </w:r>
            <w:r w:rsidRPr="00687B52">
              <w:rPr>
                <w:rFonts w:ascii="Times New Roman" w:hAnsi="Arial" w:cs="Arial" w:hint="eastAsia"/>
                <w:color w:val="000000" w:themeColor="text1"/>
                <w:sz w:val="24"/>
                <w:szCs w:val="24"/>
              </w:rPr>
              <w:t>）</w:t>
            </w:r>
            <w:r w:rsidRPr="00687B52">
              <w:rPr>
                <w:rFonts w:ascii="Times New Roman" w:hAnsi="Arial" w:cs="Arial"/>
                <w:color w:val="000000" w:themeColor="text1"/>
                <w:sz w:val="24"/>
                <w:szCs w:val="24"/>
              </w:rPr>
              <w:t>道路应相互贯通。当装置宽度小于或等于</w:t>
            </w:r>
            <w:r w:rsidRPr="00687B52">
              <w:rPr>
                <w:rFonts w:ascii="Times New Roman" w:hAnsi="Arial" w:cs="Arial"/>
                <w:color w:val="000000" w:themeColor="text1"/>
                <w:sz w:val="24"/>
                <w:szCs w:val="24"/>
              </w:rPr>
              <w:t>60m</w:t>
            </w:r>
            <w:r w:rsidRPr="00687B52">
              <w:rPr>
                <w:rFonts w:ascii="Times New Roman" w:hAnsi="Arial" w:cs="Arial"/>
                <w:color w:val="000000" w:themeColor="text1"/>
                <w:sz w:val="24"/>
                <w:szCs w:val="24"/>
              </w:rPr>
              <w:t>，且装置外两侧设有消防车道时，可不设贯通式道路；</w:t>
            </w:r>
            <w:r w:rsidRPr="00687B52">
              <w:rPr>
                <w:rFonts w:ascii="Times New Roman" w:hAnsi="Arial" w:cs="Arial"/>
                <w:color w:val="000000" w:themeColor="text1"/>
                <w:sz w:val="24"/>
                <w:szCs w:val="24"/>
              </w:rPr>
              <w:br/>
              <w:t>2</w:t>
            </w:r>
            <w:r w:rsidRPr="00687B52">
              <w:rPr>
                <w:rFonts w:ascii="Times New Roman" w:hAnsi="Arial" w:cs="Arial" w:hint="eastAsia"/>
                <w:color w:val="000000" w:themeColor="text1"/>
                <w:sz w:val="24"/>
                <w:szCs w:val="24"/>
              </w:rPr>
              <w:t>）</w:t>
            </w:r>
            <w:r w:rsidRPr="00687B52">
              <w:rPr>
                <w:rFonts w:ascii="Times New Roman" w:hAnsi="Arial" w:cs="Arial"/>
                <w:color w:val="000000" w:themeColor="text1"/>
                <w:sz w:val="24"/>
                <w:szCs w:val="24"/>
              </w:rPr>
              <w:t>道路的宽度不应小于</w:t>
            </w:r>
            <w:r w:rsidRPr="00687B52">
              <w:rPr>
                <w:rFonts w:ascii="Times New Roman" w:hAnsi="Arial" w:cs="Arial"/>
                <w:color w:val="000000" w:themeColor="text1"/>
                <w:sz w:val="24"/>
                <w:szCs w:val="24"/>
              </w:rPr>
              <w:t>4m</w:t>
            </w:r>
            <w:r w:rsidRPr="00687B52">
              <w:rPr>
                <w:rFonts w:ascii="Times New Roman" w:hAnsi="Arial" w:cs="Arial"/>
                <w:color w:val="000000" w:themeColor="text1"/>
                <w:sz w:val="24"/>
                <w:szCs w:val="24"/>
              </w:rPr>
              <w:t>，路面上的净空高度不应小于</w:t>
            </w:r>
            <w:r w:rsidRPr="00687B52">
              <w:rPr>
                <w:rFonts w:ascii="Times New Roman" w:hAnsi="Arial" w:cs="Arial"/>
                <w:color w:val="000000" w:themeColor="text1"/>
                <w:sz w:val="24"/>
                <w:szCs w:val="24"/>
              </w:rPr>
              <w:t>4.5m</w:t>
            </w:r>
            <w:r w:rsidRPr="00687B52">
              <w:rPr>
                <w:rFonts w:ascii="Times New Roman" w:hAnsi="Arial" w:cs="Arial"/>
                <w:color w:val="000000" w:themeColor="text1"/>
                <w:sz w:val="24"/>
                <w:szCs w:val="24"/>
              </w:rPr>
              <w:t>。</w:t>
            </w:r>
          </w:p>
        </w:tc>
        <w:tc>
          <w:tcPr>
            <w:tcW w:w="1164" w:type="pct"/>
            <w:gridSpan w:val="2"/>
            <w:vAlign w:val="center"/>
          </w:tcPr>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bCs/>
                <w:color w:val="000000" w:themeColor="text1"/>
                <w:szCs w:val="24"/>
              </w:rPr>
              <w:t>第6.0.3条</w:t>
            </w:r>
          </w:p>
        </w:tc>
        <w:tc>
          <w:tcPr>
            <w:tcW w:w="1275" w:type="pct"/>
            <w:vAlign w:val="center"/>
          </w:tcPr>
          <w:p w:rsidR="000E02C5" w:rsidRPr="00687B52" w:rsidRDefault="000E02C5" w:rsidP="004A22DA">
            <w:pPr>
              <w:spacing w:line="320" w:lineRule="exact"/>
              <w:jc w:val="center"/>
              <w:rPr>
                <w:rFonts w:asciiTheme="minorEastAsia" w:hAnsiTheme="minorEastAsia"/>
                <w:b/>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2.6</w:t>
            </w:r>
          </w:p>
        </w:tc>
        <w:tc>
          <w:tcPr>
            <w:tcW w:w="2222" w:type="pct"/>
            <w:vAlign w:val="center"/>
          </w:tcPr>
          <w:p w:rsidR="000E02C5" w:rsidRPr="00687B52" w:rsidRDefault="000E02C5" w:rsidP="004A22DA">
            <w:pPr>
              <w:pStyle w:val="a7"/>
              <w:jc w:val="left"/>
              <w:rPr>
                <w:rFonts w:asciiTheme="minorEastAsia" w:eastAsiaTheme="minorEastAsia" w:hAnsiTheme="minorEastAsia"/>
                <w:color w:val="000000" w:themeColor="text1"/>
                <w:szCs w:val="24"/>
              </w:rPr>
            </w:pPr>
            <w:r w:rsidRPr="00687B52">
              <w:rPr>
                <w:color w:val="000000" w:themeColor="text1"/>
                <w:szCs w:val="24"/>
              </w:rPr>
              <w:t>当同一</w:t>
            </w:r>
            <w:hyperlink r:id="rId79" w:tgtFrame="_blank" w:history="1">
              <w:r w:rsidRPr="00687B52">
                <w:rPr>
                  <w:color w:val="000000" w:themeColor="text1"/>
                  <w:szCs w:val="24"/>
                </w:rPr>
                <w:t>建筑</w:t>
              </w:r>
            </w:hyperlink>
            <w:r w:rsidRPr="00687B52">
              <w:rPr>
                <w:color w:val="000000" w:themeColor="text1"/>
                <w:szCs w:val="24"/>
              </w:rPr>
              <w:t>物内，布置有不同火灾危险性类别的房间时，其间的隔墙应为防火墙。</w:t>
            </w:r>
            <w:r w:rsidRPr="00687B52">
              <w:rPr>
                <w:color w:val="000000" w:themeColor="text1"/>
                <w:szCs w:val="24"/>
              </w:rPr>
              <w:br/>
            </w:r>
            <w:r w:rsidRPr="00687B52">
              <w:rPr>
                <w:color w:val="000000" w:themeColor="text1"/>
                <w:szCs w:val="24"/>
              </w:rPr>
              <w:t>同一</w:t>
            </w:r>
            <w:hyperlink r:id="rId80" w:tgtFrame="_blank" w:history="1">
              <w:r w:rsidRPr="00687B52">
                <w:rPr>
                  <w:color w:val="000000" w:themeColor="text1"/>
                  <w:szCs w:val="24"/>
                </w:rPr>
                <w:t>建筑</w:t>
              </w:r>
            </w:hyperlink>
            <w:r w:rsidRPr="00687B52">
              <w:rPr>
                <w:color w:val="000000" w:themeColor="text1"/>
                <w:szCs w:val="24"/>
              </w:rPr>
              <w:t>物内，宜将人员集中的房间布置在火灾危险性较小的一端。</w:t>
            </w:r>
          </w:p>
        </w:tc>
        <w:tc>
          <w:tcPr>
            <w:tcW w:w="1164" w:type="pct"/>
            <w:gridSpan w:val="2"/>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第6.0.4条</w:t>
            </w:r>
          </w:p>
        </w:tc>
        <w:tc>
          <w:tcPr>
            <w:tcW w:w="1275" w:type="pct"/>
            <w:vAlign w:val="center"/>
          </w:tcPr>
          <w:p w:rsidR="000E02C5" w:rsidRPr="00687B52" w:rsidRDefault="000E02C5" w:rsidP="004A22DA">
            <w:pPr>
              <w:spacing w:line="320" w:lineRule="exact"/>
              <w:jc w:val="center"/>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2.7</w:t>
            </w:r>
          </w:p>
        </w:tc>
        <w:tc>
          <w:tcPr>
            <w:tcW w:w="2222" w:type="pct"/>
            <w:vAlign w:val="center"/>
          </w:tcPr>
          <w:p w:rsidR="000E02C5" w:rsidRPr="00687B52" w:rsidRDefault="000E02C5" w:rsidP="004A22DA">
            <w:pPr>
              <w:pStyle w:val="a7"/>
              <w:jc w:val="left"/>
              <w:rPr>
                <w:rFonts w:asciiTheme="minorEastAsia" w:eastAsiaTheme="minorEastAsia" w:hAnsiTheme="minorEastAsia"/>
                <w:bCs/>
                <w:color w:val="000000" w:themeColor="text1"/>
                <w:szCs w:val="24"/>
              </w:rPr>
            </w:pPr>
            <w:r w:rsidRPr="00687B52">
              <w:rPr>
                <w:bCs/>
                <w:color w:val="000000" w:themeColor="text1"/>
                <w:szCs w:val="24"/>
              </w:rPr>
              <w:t>氢气站内应将有爆炸危险的房间集中布置。有爆炸危险房间不应与无爆炸危险房间直接相通。必须相通时，应以走廊相连或设置双门斗。</w:t>
            </w:r>
          </w:p>
        </w:tc>
        <w:tc>
          <w:tcPr>
            <w:tcW w:w="1164" w:type="pct"/>
            <w:gridSpan w:val="2"/>
            <w:vAlign w:val="center"/>
          </w:tcPr>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第6.0.5条</w:t>
            </w:r>
          </w:p>
        </w:tc>
        <w:tc>
          <w:tcPr>
            <w:tcW w:w="1275" w:type="pct"/>
            <w:vAlign w:val="center"/>
          </w:tcPr>
          <w:p w:rsidR="000E02C5" w:rsidRPr="00687B52" w:rsidRDefault="000E02C5" w:rsidP="004A22DA">
            <w:pPr>
              <w:spacing w:line="320" w:lineRule="exact"/>
              <w:jc w:val="center"/>
              <w:rPr>
                <w:rFonts w:asciiTheme="minorEastAsia" w:hAnsiTheme="minorEastAsia"/>
                <w:b/>
                <w:bCs/>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2.8</w:t>
            </w:r>
          </w:p>
        </w:tc>
        <w:tc>
          <w:tcPr>
            <w:tcW w:w="2222" w:type="pct"/>
            <w:vAlign w:val="center"/>
          </w:tcPr>
          <w:p w:rsidR="000E02C5" w:rsidRPr="00687B52" w:rsidRDefault="000E02C5" w:rsidP="004A22DA">
            <w:pPr>
              <w:widowControl/>
              <w:spacing w:line="320" w:lineRule="exact"/>
              <w:jc w:val="left"/>
              <w:rPr>
                <w:rFonts w:ascii="宋体" w:hAnsi="宋体" w:cs="宋体"/>
                <w:color w:val="000000" w:themeColor="text1"/>
                <w:kern w:val="0"/>
                <w:sz w:val="24"/>
                <w:szCs w:val="24"/>
              </w:rPr>
            </w:pPr>
            <w:r w:rsidRPr="00687B52">
              <w:rPr>
                <w:rFonts w:ascii="宋体" w:hAnsi="宋体" w:cs="宋体"/>
                <w:color w:val="000000" w:themeColor="text1"/>
                <w:kern w:val="0"/>
                <w:sz w:val="24"/>
                <w:szCs w:val="24"/>
              </w:rPr>
              <w:t>当氢气站内同时灌充氢气和氧气时，灌瓶间等的布置应符合下列规定：</w:t>
            </w:r>
          </w:p>
          <w:p w:rsidR="000E02C5" w:rsidRPr="00687B52" w:rsidRDefault="000E02C5" w:rsidP="004A22DA">
            <w:pPr>
              <w:widowControl/>
              <w:spacing w:line="320" w:lineRule="exact"/>
              <w:jc w:val="left"/>
              <w:rPr>
                <w:rFonts w:asciiTheme="minorEastAsia" w:hAnsiTheme="minorEastAsia"/>
                <w:color w:val="000000" w:themeColor="text1"/>
                <w:sz w:val="24"/>
                <w:szCs w:val="24"/>
              </w:rPr>
            </w:pPr>
            <w:r w:rsidRPr="00687B52">
              <w:rPr>
                <w:rFonts w:ascii="宋体" w:hAnsi="宋体" w:cs="宋体"/>
                <w:color w:val="000000" w:themeColor="text1"/>
                <w:kern w:val="0"/>
                <w:sz w:val="24"/>
                <w:szCs w:val="24"/>
              </w:rPr>
              <w:t>1</w:t>
            </w:r>
            <w:r w:rsidRPr="00687B52">
              <w:rPr>
                <w:rFonts w:ascii="宋体" w:hAnsi="宋体" w:cs="宋体" w:hint="eastAsia"/>
                <w:color w:val="000000" w:themeColor="text1"/>
                <w:kern w:val="0"/>
                <w:sz w:val="24"/>
                <w:szCs w:val="24"/>
              </w:rPr>
              <w:t>）</w:t>
            </w:r>
            <w:r w:rsidRPr="00687B52">
              <w:rPr>
                <w:rFonts w:ascii="宋体" w:hAnsi="宋体" w:cs="宋体"/>
                <w:color w:val="000000" w:themeColor="text1"/>
                <w:kern w:val="0"/>
                <w:sz w:val="24"/>
                <w:szCs w:val="24"/>
              </w:rPr>
              <w:t>应分别设置氢气灌瓶间、实瓶间、空瓶间及氧气灌瓶间、实瓶间、空瓶间；</w:t>
            </w:r>
            <w:r w:rsidRPr="00687B52">
              <w:rPr>
                <w:rFonts w:ascii="宋体" w:hAnsi="宋体" w:cs="宋体"/>
                <w:color w:val="000000" w:themeColor="text1"/>
                <w:kern w:val="0"/>
                <w:sz w:val="24"/>
                <w:szCs w:val="24"/>
              </w:rPr>
              <w:br/>
              <w:t>2</w:t>
            </w:r>
            <w:r w:rsidRPr="00687B52">
              <w:rPr>
                <w:rFonts w:ascii="宋体" w:hAnsi="宋体" w:cs="宋体" w:hint="eastAsia"/>
                <w:color w:val="000000" w:themeColor="text1"/>
                <w:kern w:val="0"/>
                <w:sz w:val="24"/>
                <w:szCs w:val="24"/>
              </w:rPr>
              <w:t>）</w:t>
            </w:r>
            <w:r w:rsidRPr="00687B52">
              <w:rPr>
                <w:rFonts w:ascii="宋体" w:hAnsi="宋体" w:cs="宋体"/>
                <w:color w:val="000000" w:themeColor="text1"/>
                <w:kern w:val="0"/>
                <w:sz w:val="24"/>
                <w:szCs w:val="24"/>
              </w:rPr>
              <w:t>灌瓶间可通过门洞与空瓶间和实瓶间相通，并均应设独立的出入口。</w:t>
            </w:r>
          </w:p>
        </w:tc>
        <w:tc>
          <w:tcPr>
            <w:tcW w:w="1164" w:type="pct"/>
            <w:gridSpan w:val="2"/>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第6.0.7条</w:t>
            </w:r>
          </w:p>
        </w:tc>
        <w:tc>
          <w:tcPr>
            <w:tcW w:w="1275" w:type="pct"/>
            <w:vAlign w:val="center"/>
          </w:tcPr>
          <w:p w:rsidR="000E02C5" w:rsidRPr="00687B52" w:rsidRDefault="000E02C5" w:rsidP="004A22DA">
            <w:pPr>
              <w:spacing w:line="320" w:lineRule="exact"/>
              <w:jc w:val="center"/>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2.9</w:t>
            </w:r>
          </w:p>
        </w:tc>
        <w:tc>
          <w:tcPr>
            <w:tcW w:w="2222" w:type="pct"/>
            <w:vAlign w:val="center"/>
          </w:tcPr>
          <w:p w:rsidR="000E02C5" w:rsidRPr="00687B52" w:rsidRDefault="000E02C5" w:rsidP="004A22DA">
            <w:pPr>
              <w:widowControl/>
              <w:spacing w:line="320" w:lineRule="exact"/>
              <w:jc w:val="left"/>
              <w:rPr>
                <w:rFonts w:ascii="宋体" w:hAnsi="宋体" w:cs="宋体"/>
                <w:color w:val="000000" w:themeColor="text1"/>
                <w:kern w:val="0"/>
                <w:sz w:val="24"/>
                <w:szCs w:val="24"/>
              </w:rPr>
            </w:pPr>
            <w:r w:rsidRPr="00687B52">
              <w:rPr>
                <w:rFonts w:ascii="宋体" w:hAnsi="宋体" w:cs="宋体"/>
                <w:color w:val="000000" w:themeColor="text1"/>
                <w:kern w:val="0"/>
                <w:sz w:val="24"/>
                <w:szCs w:val="24"/>
              </w:rPr>
              <w:t>当氢气实瓶数量不超过60瓶时，实瓶、空瓶和氢气灌充器或氢气汇流排，可布置在同一房间内，但实瓶、空瓶必须分开存放。</w:t>
            </w:r>
          </w:p>
        </w:tc>
        <w:tc>
          <w:tcPr>
            <w:tcW w:w="1164" w:type="pct"/>
            <w:gridSpan w:val="2"/>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第6.0.8条</w:t>
            </w:r>
          </w:p>
        </w:tc>
        <w:tc>
          <w:tcPr>
            <w:tcW w:w="1275" w:type="pct"/>
            <w:vAlign w:val="center"/>
          </w:tcPr>
          <w:p w:rsidR="000E02C5" w:rsidRPr="00687B52" w:rsidRDefault="000E02C5" w:rsidP="004A22DA">
            <w:pPr>
              <w:spacing w:line="320" w:lineRule="exact"/>
              <w:jc w:val="center"/>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2.10</w:t>
            </w:r>
          </w:p>
        </w:tc>
        <w:tc>
          <w:tcPr>
            <w:tcW w:w="2222" w:type="pct"/>
            <w:vAlign w:val="center"/>
          </w:tcPr>
          <w:p w:rsidR="000E02C5" w:rsidRPr="00687B52" w:rsidRDefault="000E02C5" w:rsidP="004A22DA">
            <w:pPr>
              <w:widowControl/>
              <w:spacing w:line="320" w:lineRule="exact"/>
              <w:jc w:val="left"/>
              <w:rPr>
                <w:rFonts w:ascii="宋体" w:hAnsi="宋体" w:cs="宋体"/>
                <w:color w:val="000000" w:themeColor="text1"/>
                <w:kern w:val="0"/>
                <w:sz w:val="24"/>
                <w:szCs w:val="24"/>
              </w:rPr>
            </w:pPr>
            <w:r w:rsidRPr="00687B52">
              <w:rPr>
                <w:rFonts w:ascii="Times New Roman" w:hAnsi="Arial" w:cs="Arial"/>
                <w:color w:val="000000" w:themeColor="text1"/>
                <w:sz w:val="24"/>
                <w:szCs w:val="24"/>
              </w:rPr>
              <w:t>氢气灌瓶间、实瓶间、空瓶间和汇流排间的通道净宽度，应根据气瓶运输方式确定，但不宜小于</w:t>
            </w:r>
            <w:r w:rsidRPr="00687B52">
              <w:rPr>
                <w:rFonts w:ascii="Times New Roman" w:hAnsi="Arial" w:cs="Arial"/>
                <w:color w:val="000000" w:themeColor="text1"/>
                <w:sz w:val="24"/>
                <w:szCs w:val="24"/>
              </w:rPr>
              <w:t>1.5m</w:t>
            </w:r>
            <w:r w:rsidRPr="00687B52">
              <w:rPr>
                <w:rFonts w:ascii="Times New Roman" w:hAnsi="Arial" w:cs="Arial"/>
                <w:color w:val="000000" w:themeColor="text1"/>
                <w:sz w:val="24"/>
                <w:szCs w:val="24"/>
              </w:rPr>
              <w:t>，并应有防止瓶倒的措施。</w:t>
            </w:r>
          </w:p>
        </w:tc>
        <w:tc>
          <w:tcPr>
            <w:tcW w:w="1164" w:type="pct"/>
            <w:gridSpan w:val="2"/>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第6.0.14条</w:t>
            </w:r>
          </w:p>
        </w:tc>
        <w:tc>
          <w:tcPr>
            <w:tcW w:w="1275" w:type="pct"/>
            <w:vAlign w:val="center"/>
          </w:tcPr>
          <w:p w:rsidR="000E02C5" w:rsidRPr="00687B52" w:rsidRDefault="000E02C5" w:rsidP="004A22DA">
            <w:pPr>
              <w:spacing w:line="320" w:lineRule="exact"/>
              <w:jc w:val="center"/>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2.11</w:t>
            </w:r>
          </w:p>
        </w:tc>
        <w:tc>
          <w:tcPr>
            <w:tcW w:w="2222" w:type="pct"/>
            <w:vAlign w:val="center"/>
          </w:tcPr>
          <w:p w:rsidR="000E02C5" w:rsidRPr="00687B52" w:rsidRDefault="000E02C5" w:rsidP="004A22DA">
            <w:pPr>
              <w:widowControl/>
              <w:spacing w:line="320" w:lineRule="exact"/>
              <w:jc w:val="left"/>
              <w:rPr>
                <w:rFonts w:ascii="Times New Roman" w:hAnsi="Arial" w:cs="Arial"/>
                <w:color w:val="000000" w:themeColor="text1"/>
                <w:sz w:val="24"/>
                <w:szCs w:val="24"/>
              </w:rPr>
            </w:pPr>
            <w:r w:rsidRPr="00687B52">
              <w:rPr>
                <w:rFonts w:ascii="宋体" w:hAnsi="宋体" w:cs="宋体"/>
                <w:color w:val="000000" w:themeColor="text1"/>
                <w:kern w:val="0"/>
                <w:sz w:val="24"/>
                <w:szCs w:val="24"/>
              </w:rPr>
              <w:t xml:space="preserve"> 氢气罐不应设在厂房内。在寒冷地区，湿式氢气罐和固定容积含湿氢气罐底部，应采取防冻措施。</w:t>
            </w:r>
          </w:p>
        </w:tc>
        <w:tc>
          <w:tcPr>
            <w:tcW w:w="1164" w:type="pct"/>
            <w:gridSpan w:val="2"/>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第6.0.16条</w:t>
            </w:r>
          </w:p>
        </w:tc>
        <w:tc>
          <w:tcPr>
            <w:tcW w:w="1275" w:type="pct"/>
            <w:vAlign w:val="center"/>
          </w:tcPr>
          <w:p w:rsidR="000E02C5" w:rsidRPr="00687B52" w:rsidRDefault="000E02C5" w:rsidP="004A22DA">
            <w:pPr>
              <w:spacing w:line="320" w:lineRule="exact"/>
              <w:jc w:val="center"/>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2.12</w:t>
            </w:r>
          </w:p>
        </w:tc>
        <w:tc>
          <w:tcPr>
            <w:tcW w:w="2222" w:type="pct"/>
            <w:vAlign w:val="center"/>
          </w:tcPr>
          <w:p w:rsidR="000E02C5" w:rsidRPr="00687B52" w:rsidRDefault="000E02C5" w:rsidP="00F25ED0">
            <w:pPr>
              <w:widowControl/>
              <w:spacing w:afterLines="50" w:after="156" w:line="320" w:lineRule="exact"/>
              <w:jc w:val="left"/>
              <w:rPr>
                <w:rFonts w:ascii="宋体" w:hAnsi="宋体" w:cs="宋体"/>
                <w:color w:val="000000" w:themeColor="text1"/>
                <w:kern w:val="0"/>
                <w:sz w:val="24"/>
                <w:szCs w:val="24"/>
              </w:rPr>
            </w:pPr>
            <w:r w:rsidRPr="00687B52">
              <w:rPr>
                <w:rFonts w:ascii="宋体" w:hAnsi="宋体" w:cs="宋体"/>
                <w:color w:val="000000" w:themeColor="text1"/>
                <w:kern w:val="0"/>
                <w:sz w:val="24"/>
                <w:szCs w:val="24"/>
              </w:rPr>
              <w:t>氢气放空管，应设阻火器。阻火器应设在管口处。放空管的设置，应符合下列规定：</w:t>
            </w:r>
          </w:p>
          <w:p w:rsidR="000E02C5" w:rsidRPr="00687B52" w:rsidRDefault="000E02C5" w:rsidP="00F25ED0">
            <w:pPr>
              <w:widowControl/>
              <w:spacing w:afterLines="50" w:after="156" w:line="320" w:lineRule="exact"/>
              <w:jc w:val="left"/>
              <w:rPr>
                <w:rFonts w:ascii="宋体" w:hAnsi="宋体" w:cs="宋体"/>
                <w:color w:val="000000" w:themeColor="text1"/>
                <w:kern w:val="0"/>
                <w:sz w:val="24"/>
                <w:szCs w:val="24"/>
              </w:rPr>
            </w:pPr>
            <w:r w:rsidRPr="00687B52">
              <w:rPr>
                <w:rFonts w:ascii="宋体" w:hAnsi="宋体" w:cs="宋体"/>
                <w:color w:val="000000" w:themeColor="text1"/>
                <w:kern w:val="0"/>
                <w:sz w:val="24"/>
                <w:szCs w:val="24"/>
              </w:rPr>
              <w:t>1</w:t>
            </w:r>
            <w:r w:rsidRPr="00687B52">
              <w:rPr>
                <w:rFonts w:ascii="宋体" w:hAnsi="宋体" w:cs="宋体" w:hint="eastAsia"/>
                <w:color w:val="000000" w:themeColor="text1"/>
                <w:kern w:val="0"/>
                <w:sz w:val="24"/>
                <w:szCs w:val="24"/>
              </w:rPr>
              <w:t>）</w:t>
            </w:r>
            <w:r w:rsidRPr="00687B52">
              <w:rPr>
                <w:rFonts w:ascii="宋体" w:hAnsi="宋体" w:cs="宋体"/>
                <w:color w:val="000000" w:themeColor="text1"/>
                <w:kern w:val="0"/>
                <w:sz w:val="24"/>
                <w:szCs w:val="24"/>
              </w:rPr>
              <w:t>应引至室外，放空管管口应高出屋脊1m；</w:t>
            </w:r>
            <w:r w:rsidRPr="00687B52">
              <w:rPr>
                <w:rFonts w:ascii="宋体" w:hAnsi="宋体" w:cs="宋体"/>
                <w:color w:val="000000" w:themeColor="text1"/>
                <w:kern w:val="0"/>
                <w:sz w:val="24"/>
                <w:szCs w:val="24"/>
              </w:rPr>
              <w:br/>
              <w:t>2</w:t>
            </w:r>
            <w:r w:rsidRPr="00687B52">
              <w:rPr>
                <w:rFonts w:ascii="宋体" w:hAnsi="宋体" w:cs="宋体" w:hint="eastAsia"/>
                <w:color w:val="000000" w:themeColor="text1"/>
                <w:kern w:val="0"/>
                <w:sz w:val="24"/>
                <w:szCs w:val="24"/>
              </w:rPr>
              <w:t>）</w:t>
            </w:r>
            <w:r w:rsidRPr="00687B52">
              <w:rPr>
                <w:rFonts w:ascii="宋体" w:hAnsi="宋体" w:cs="宋体"/>
                <w:color w:val="000000" w:themeColor="text1"/>
                <w:kern w:val="0"/>
                <w:sz w:val="24"/>
                <w:szCs w:val="24"/>
              </w:rPr>
              <w:t>应有防雨雪侵入和杂物堵塞的措施；</w:t>
            </w:r>
            <w:r w:rsidRPr="00687B52">
              <w:rPr>
                <w:rFonts w:ascii="宋体" w:hAnsi="宋体" w:cs="宋体"/>
                <w:color w:val="000000" w:themeColor="text1"/>
                <w:kern w:val="0"/>
                <w:sz w:val="24"/>
                <w:szCs w:val="24"/>
              </w:rPr>
              <w:br/>
              <w:t>3</w:t>
            </w:r>
            <w:r w:rsidRPr="00687B52">
              <w:rPr>
                <w:rFonts w:ascii="宋体" w:hAnsi="宋体" w:cs="宋体" w:hint="eastAsia"/>
                <w:color w:val="000000" w:themeColor="text1"/>
                <w:kern w:val="0"/>
                <w:sz w:val="24"/>
                <w:szCs w:val="24"/>
              </w:rPr>
              <w:t>）</w:t>
            </w:r>
            <w:r w:rsidRPr="00687B52">
              <w:rPr>
                <w:rFonts w:ascii="宋体" w:hAnsi="宋体" w:cs="宋体"/>
                <w:color w:val="000000" w:themeColor="text1"/>
                <w:kern w:val="0"/>
                <w:sz w:val="24"/>
                <w:szCs w:val="24"/>
              </w:rPr>
              <w:t>压力大于0.1 MPa时，阻火器后的管材，应采用不锈钢管。</w:t>
            </w:r>
          </w:p>
        </w:tc>
        <w:tc>
          <w:tcPr>
            <w:tcW w:w="1164" w:type="pct"/>
            <w:gridSpan w:val="2"/>
            <w:vAlign w:val="center"/>
          </w:tcPr>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bCs/>
                <w:color w:val="000000" w:themeColor="text1"/>
                <w:szCs w:val="24"/>
              </w:rPr>
              <w:t>第12.0.9条</w:t>
            </w:r>
          </w:p>
        </w:tc>
        <w:tc>
          <w:tcPr>
            <w:tcW w:w="1275" w:type="pct"/>
            <w:vAlign w:val="center"/>
          </w:tcPr>
          <w:p w:rsidR="000E02C5" w:rsidRPr="00687B52" w:rsidRDefault="000E02C5" w:rsidP="004A22DA">
            <w:pPr>
              <w:spacing w:line="320" w:lineRule="exact"/>
              <w:jc w:val="center"/>
              <w:rPr>
                <w:rFonts w:asciiTheme="minorEastAsia" w:hAnsiTheme="minorEastAsia"/>
                <w:b/>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2.13</w:t>
            </w:r>
          </w:p>
        </w:tc>
        <w:tc>
          <w:tcPr>
            <w:tcW w:w="2222" w:type="pct"/>
            <w:vAlign w:val="center"/>
          </w:tcPr>
          <w:p w:rsidR="000E02C5" w:rsidRPr="00687B52" w:rsidRDefault="000E02C5" w:rsidP="004A22DA">
            <w:pPr>
              <w:widowControl/>
              <w:spacing w:before="100" w:beforeAutospacing="1" w:after="100" w:afterAutospacing="1" w:line="320" w:lineRule="exact"/>
              <w:jc w:val="left"/>
              <w:rPr>
                <w:rFonts w:ascii="宋体" w:hAnsi="宋体" w:cs="宋体"/>
                <w:color w:val="000000" w:themeColor="text1"/>
                <w:kern w:val="0"/>
                <w:sz w:val="24"/>
                <w:szCs w:val="24"/>
              </w:rPr>
            </w:pPr>
            <w:r w:rsidRPr="00687B52">
              <w:rPr>
                <w:rFonts w:ascii="宋体" w:hAnsi="宋体" w:cs="宋体"/>
                <w:color w:val="000000" w:themeColor="text1"/>
                <w:kern w:val="0"/>
                <w:sz w:val="24"/>
                <w:szCs w:val="24"/>
              </w:rPr>
              <w:t>氢气站、供氢站和车间内氢气管道敷设时，应符合下列规定：1</w:t>
            </w:r>
            <w:r w:rsidRPr="00687B52">
              <w:rPr>
                <w:rFonts w:ascii="宋体" w:hAnsi="宋体" w:cs="宋体" w:hint="eastAsia"/>
                <w:color w:val="000000" w:themeColor="text1"/>
                <w:kern w:val="0"/>
                <w:sz w:val="24"/>
                <w:szCs w:val="24"/>
              </w:rPr>
              <w:t>）</w:t>
            </w:r>
            <w:r w:rsidRPr="00687B52">
              <w:rPr>
                <w:rFonts w:ascii="宋体" w:hAnsi="宋体" w:cs="宋体"/>
                <w:color w:val="000000" w:themeColor="text1"/>
                <w:kern w:val="0"/>
                <w:sz w:val="24"/>
                <w:szCs w:val="24"/>
              </w:rPr>
              <w:t>宜沿墙、柱架空敷设，其高度不应防碍交通并便于检修。与其他管道共架敷设时，应符合</w:t>
            </w:r>
            <w:r w:rsidRPr="00687B52">
              <w:rPr>
                <w:rFonts w:ascii="宋体" w:hAnsi="宋体" w:cs="宋体"/>
                <w:bCs/>
                <w:color w:val="000000" w:themeColor="text1"/>
                <w:kern w:val="0"/>
                <w:sz w:val="24"/>
                <w:szCs w:val="24"/>
              </w:rPr>
              <w:t>本</w:t>
            </w:r>
            <w:hyperlink r:id="rId81" w:tgtFrame="_blank" w:history="1">
              <w:r w:rsidRPr="00687B52">
                <w:rPr>
                  <w:rFonts w:ascii="宋体" w:hAnsi="宋体" w:cs="宋体"/>
                  <w:bCs/>
                  <w:color w:val="000000" w:themeColor="text1"/>
                  <w:kern w:val="0"/>
                  <w:sz w:val="24"/>
                  <w:szCs w:val="24"/>
                </w:rPr>
                <w:t>规范</w:t>
              </w:r>
            </w:hyperlink>
            <w:r w:rsidRPr="00687B52">
              <w:rPr>
                <w:rFonts w:ascii="宋体" w:hAnsi="宋体" w:cs="宋体"/>
                <w:bCs/>
                <w:color w:val="000000" w:themeColor="text1"/>
                <w:kern w:val="0"/>
                <w:sz w:val="24"/>
                <w:szCs w:val="24"/>
              </w:rPr>
              <w:t>附录B的要求；</w:t>
            </w:r>
            <w:r w:rsidRPr="00687B52">
              <w:rPr>
                <w:rFonts w:ascii="宋体" w:hAnsi="宋体" w:cs="宋体"/>
                <w:bCs/>
                <w:color w:val="000000" w:themeColor="text1"/>
                <w:kern w:val="0"/>
                <w:sz w:val="24"/>
                <w:szCs w:val="24"/>
              </w:rPr>
              <w:br/>
              <w:t>2</w:t>
            </w:r>
            <w:r w:rsidRPr="00687B52">
              <w:rPr>
                <w:rFonts w:ascii="宋体" w:hAnsi="宋体" w:cs="宋体" w:hint="eastAsia"/>
                <w:bCs/>
                <w:color w:val="000000" w:themeColor="text1"/>
                <w:kern w:val="0"/>
                <w:sz w:val="24"/>
                <w:szCs w:val="24"/>
              </w:rPr>
              <w:t>）</w:t>
            </w:r>
            <w:r w:rsidRPr="00687B52">
              <w:rPr>
                <w:rFonts w:ascii="宋体" w:hAnsi="宋体" w:cs="宋体"/>
                <w:bCs/>
                <w:color w:val="000000" w:themeColor="text1"/>
                <w:kern w:val="0"/>
                <w:sz w:val="24"/>
                <w:szCs w:val="24"/>
              </w:rPr>
              <w:t>严禁穿过生活间、办公室，并不得穿过不使用氢气的房间；</w:t>
            </w:r>
            <w:r w:rsidRPr="00687B52">
              <w:rPr>
                <w:rFonts w:ascii="宋体" w:hAnsi="宋体" w:cs="宋体"/>
                <w:color w:val="000000" w:themeColor="text1"/>
                <w:kern w:val="0"/>
                <w:sz w:val="24"/>
                <w:szCs w:val="24"/>
              </w:rPr>
              <w:br/>
              <w:t>3</w:t>
            </w:r>
            <w:r w:rsidRPr="00687B52">
              <w:rPr>
                <w:rFonts w:ascii="宋体" w:hAnsi="宋体" w:cs="宋体" w:hint="eastAsia"/>
                <w:color w:val="000000" w:themeColor="text1"/>
                <w:kern w:val="0"/>
                <w:sz w:val="24"/>
                <w:szCs w:val="24"/>
              </w:rPr>
              <w:t>）</w:t>
            </w:r>
            <w:r w:rsidRPr="00687B52">
              <w:rPr>
                <w:rFonts w:ascii="宋体" w:hAnsi="宋体" w:cs="宋体"/>
                <w:color w:val="000000" w:themeColor="text1"/>
                <w:kern w:val="0"/>
                <w:sz w:val="24"/>
                <w:szCs w:val="24"/>
              </w:rPr>
              <w:t>车间人口处应设切断阀，并宜设流量记录累计仪表；</w:t>
            </w:r>
            <w:r w:rsidRPr="00687B52">
              <w:rPr>
                <w:rFonts w:ascii="宋体" w:hAnsi="宋体" w:cs="宋体"/>
                <w:color w:val="000000" w:themeColor="text1"/>
                <w:kern w:val="0"/>
                <w:sz w:val="24"/>
                <w:szCs w:val="24"/>
              </w:rPr>
              <w:br/>
              <w:t>4</w:t>
            </w:r>
            <w:r w:rsidRPr="00687B52">
              <w:rPr>
                <w:rFonts w:ascii="宋体" w:hAnsi="宋体" w:cs="宋体" w:hint="eastAsia"/>
                <w:color w:val="000000" w:themeColor="text1"/>
                <w:kern w:val="0"/>
                <w:sz w:val="24"/>
                <w:szCs w:val="24"/>
              </w:rPr>
              <w:t>）</w:t>
            </w:r>
            <w:r w:rsidRPr="00687B52">
              <w:rPr>
                <w:rFonts w:ascii="宋体" w:hAnsi="宋体" w:cs="宋体"/>
                <w:color w:val="000000" w:themeColor="text1"/>
                <w:kern w:val="0"/>
                <w:sz w:val="24"/>
                <w:szCs w:val="24"/>
              </w:rPr>
              <w:t>车间内管道末端宜设放空管；</w:t>
            </w:r>
            <w:r w:rsidRPr="00687B52">
              <w:rPr>
                <w:rFonts w:ascii="宋体" w:hAnsi="宋体" w:cs="宋体"/>
                <w:color w:val="000000" w:themeColor="text1"/>
                <w:kern w:val="0"/>
                <w:sz w:val="24"/>
                <w:szCs w:val="24"/>
              </w:rPr>
              <w:br/>
            </w:r>
            <w:r w:rsidRPr="00687B52">
              <w:rPr>
                <w:rFonts w:ascii="宋体" w:hAnsi="宋体" w:cs="宋体"/>
                <w:bCs/>
                <w:color w:val="000000" w:themeColor="text1"/>
                <w:kern w:val="0"/>
                <w:sz w:val="24"/>
                <w:szCs w:val="24"/>
              </w:rPr>
              <w:t>5</w:t>
            </w:r>
            <w:r w:rsidRPr="00687B52">
              <w:rPr>
                <w:rFonts w:ascii="宋体" w:hAnsi="宋体" w:cs="宋体" w:hint="eastAsia"/>
                <w:bCs/>
                <w:color w:val="000000" w:themeColor="text1"/>
                <w:kern w:val="0"/>
                <w:sz w:val="24"/>
                <w:szCs w:val="24"/>
              </w:rPr>
              <w:t>）</w:t>
            </w:r>
            <w:r w:rsidRPr="00687B52">
              <w:rPr>
                <w:rFonts w:ascii="宋体" w:hAnsi="宋体" w:cs="宋体"/>
                <w:bCs/>
                <w:color w:val="000000" w:themeColor="text1"/>
                <w:kern w:val="0"/>
                <w:sz w:val="24"/>
                <w:szCs w:val="24"/>
              </w:rPr>
              <w:t>接至用氢设备的支管，应设切断阀，有明火的用氢设备还应设阻火器。</w:t>
            </w:r>
          </w:p>
        </w:tc>
        <w:tc>
          <w:tcPr>
            <w:tcW w:w="1164" w:type="pct"/>
            <w:gridSpan w:val="2"/>
            <w:vAlign w:val="center"/>
          </w:tcPr>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《氢气站设计规范》</w:t>
            </w:r>
            <w:r w:rsidRPr="00687B52">
              <w:rPr>
                <w:rFonts w:asciiTheme="minorEastAsia" w:eastAsiaTheme="minorEastAsia" w:hAnsiTheme="minorEastAsia" w:hint="eastAsia"/>
                <w:bCs/>
                <w:color w:val="000000" w:themeColor="text1"/>
                <w:szCs w:val="24"/>
              </w:rPr>
              <w:t>GB50177-2005</w:t>
            </w:r>
          </w:p>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第12.0.10条</w:t>
            </w:r>
          </w:p>
        </w:tc>
        <w:tc>
          <w:tcPr>
            <w:tcW w:w="1275" w:type="pct"/>
            <w:vAlign w:val="center"/>
          </w:tcPr>
          <w:p w:rsidR="000E02C5" w:rsidRPr="00687B52" w:rsidRDefault="000E02C5" w:rsidP="004A22DA">
            <w:pPr>
              <w:spacing w:line="320" w:lineRule="exact"/>
              <w:jc w:val="center"/>
              <w:rPr>
                <w:rFonts w:asciiTheme="minorEastAsia" w:hAnsiTheme="minorEastAsia"/>
                <w:bCs/>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2.14</w:t>
            </w:r>
          </w:p>
        </w:tc>
        <w:tc>
          <w:tcPr>
            <w:tcW w:w="2222" w:type="pct"/>
            <w:vAlign w:val="center"/>
          </w:tcPr>
          <w:p w:rsidR="000E02C5" w:rsidRPr="00687B52" w:rsidRDefault="000E02C5" w:rsidP="004A22DA">
            <w:pPr>
              <w:widowControl/>
              <w:spacing w:before="100" w:beforeAutospacing="1" w:after="100" w:afterAutospacing="1" w:line="320" w:lineRule="exact"/>
              <w:jc w:val="left"/>
              <w:rPr>
                <w:rFonts w:ascii="宋体" w:hAnsi="宋体" w:cs="宋体"/>
                <w:color w:val="000000" w:themeColor="text1"/>
                <w:kern w:val="0"/>
                <w:sz w:val="24"/>
                <w:szCs w:val="24"/>
              </w:rPr>
            </w:pPr>
            <w:r w:rsidRPr="00687B52">
              <w:rPr>
                <w:rFonts w:ascii="宋体" w:hAnsi="宋体" w:cs="宋体"/>
                <w:color w:val="000000" w:themeColor="text1"/>
                <w:kern w:val="0"/>
                <w:sz w:val="24"/>
                <w:szCs w:val="24"/>
              </w:rPr>
              <w:t>厂区内氢气管道架空敷设时；应符合下列规定：</w:t>
            </w:r>
          </w:p>
          <w:p w:rsidR="000E02C5" w:rsidRPr="00687B52" w:rsidRDefault="000E02C5" w:rsidP="004A22DA">
            <w:pPr>
              <w:widowControl/>
              <w:spacing w:before="100" w:beforeAutospacing="1" w:after="100" w:afterAutospacing="1" w:line="320" w:lineRule="exact"/>
              <w:jc w:val="left"/>
              <w:rPr>
                <w:rFonts w:ascii="宋体" w:hAnsi="宋体" w:cs="宋体"/>
                <w:color w:val="000000" w:themeColor="text1"/>
                <w:kern w:val="0"/>
                <w:sz w:val="24"/>
                <w:szCs w:val="24"/>
              </w:rPr>
            </w:pPr>
            <w:r w:rsidRPr="00687B52">
              <w:rPr>
                <w:rFonts w:ascii="宋体" w:hAnsi="宋体" w:cs="宋体"/>
                <w:color w:val="000000" w:themeColor="text1"/>
                <w:kern w:val="0"/>
                <w:sz w:val="24"/>
                <w:szCs w:val="24"/>
              </w:rPr>
              <w:t>1</w:t>
            </w:r>
            <w:r w:rsidRPr="00687B52">
              <w:rPr>
                <w:rFonts w:ascii="宋体" w:hAnsi="宋体" w:cs="宋体" w:hint="eastAsia"/>
                <w:color w:val="000000" w:themeColor="text1"/>
                <w:kern w:val="0"/>
                <w:sz w:val="24"/>
                <w:szCs w:val="24"/>
              </w:rPr>
              <w:t>）</w:t>
            </w:r>
            <w:r w:rsidRPr="00687B52">
              <w:rPr>
                <w:rFonts w:ascii="宋体" w:hAnsi="宋体" w:cs="宋体"/>
                <w:color w:val="000000" w:themeColor="text1"/>
                <w:kern w:val="0"/>
                <w:sz w:val="24"/>
                <w:szCs w:val="24"/>
              </w:rPr>
              <w:t>应敷设在不燃烧体的支架上；</w:t>
            </w:r>
            <w:r w:rsidRPr="00687B52">
              <w:rPr>
                <w:rFonts w:ascii="宋体" w:hAnsi="宋体" w:cs="宋体"/>
                <w:color w:val="000000" w:themeColor="text1"/>
                <w:kern w:val="0"/>
                <w:sz w:val="24"/>
                <w:szCs w:val="24"/>
              </w:rPr>
              <w:br/>
              <w:t>2</w:t>
            </w:r>
            <w:r w:rsidRPr="00687B52">
              <w:rPr>
                <w:rFonts w:ascii="宋体" w:hAnsi="宋体" w:cs="宋体" w:hint="eastAsia"/>
                <w:color w:val="000000" w:themeColor="text1"/>
                <w:kern w:val="0"/>
                <w:sz w:val="24"/>
                <w:szCs w:val="24"/>
              </w:rPr>
              <w:t>）</w:t>
            </w:r>
            <w:r w:rsidRPr="00687B52">
              <w:rPr>
                <w:rFonts w:ascii="宋体" w:hAnsi="宋体" w:cs="宋体"/>
                <w:color w:val="000000" w:themeColor="text1"/>
                <w:kern w:val="0"/>
                <w:sz w:val="24"/>
                <w:szCs w:val="24"/>
              </w:rPr>
              <w:t>寒冷地区，湿氢管道应采取防冻设施；</w:t>
            </w:r>
            <w:r w:rsidRPr="00687B52">
              <w:rPr>
                <w:rFonts w:ascii="宋体" w:hAnsi="宋体" w:cs="宋体"/>
                <w:color w:val="000000" w:themeColor="text1"/>
                <w:kern w:val="0"/>
                <w:sz w:val="24"/>
                <w:szCs w:val="24"/>
              </w:rPr>
              <w:br/>
              <w:t>3</w:t>
            </w:r>
            <w:r w:rsidRPr="00687B52">
              <w:rPr>
                <w:rFonts w:ascii="宋体" w:hAnsi="宋体" w:cs="宋体" w:hint="eastAsia"/>
                <w:color w:val="000000" w:themeColor="text1"/>
                <w:kern w:val="0"/>
                <w:sz w:val="24"/>
                <w:szCs w:val="24"/>
              </w:rPr>
              <w:t>）</w:t>
            </w:r>
            <w:r w:rsidRPr="00687B52">
              <w:rPr>
                <w:rFonts w:ascii="宋体" w:hAnsi="宋体" w:cs="宋体"/>
                <w:color w:val="000000" w:themeColor="text1"/>
                <w:kern w:val="0"/>
                <w:sz w:val="24"/>
                <w:szCs w:val="24"/>
              </w:rPr>
              <w:t>与其他架空管线之间的最小净距，宜按本</w:t>
            </w:r>
            <w:hyperlink r:id="rId82" w:tgtFrame="_blank" w:history="1">
              <w:r w:rsidRPr="00687B52">
                <w:rPr>
                  <w:rFonts w:ascii="宋体" w:hAnsi="宋体" w:cs="宋体"/>
                  <w:color w:val="000000" w:themeColor="text1"/>
                  <w:kern w:val="0"/>
                  <w:sz w:val="24"/>
                  <w:szCs w:val="24"/>
                </w:rPr>
                <w:t>规范</w:t>
              </w:r>
            </w:hyperlink>
            <w:r w:rsidRPr="00687B52">
              <w:rPr>
                <w:rFonts w:ascii="宋体" w:hAnsi="宋体" w:cs="宋体"/>
                <w:color w:val="000000" w:themeColor="text1"/>
                <w:kern w:val="0"/>
                <w:sz w:val="24"/>
                <w:szCs w:val="24"/>
              </w:rPr>
              <w:t>附录B的规定执行；与</w:t>
            </w:r>
            <w:hyperlink r:id="rId83" w:tgtFrame="_blank" w:history="1">
              <w:r w:rsidRPr="00687B52">
                <w:rPr>
                  <w:rFonts w:ascii="宋体" w:hAnsi="宋体" w:cs="宋体"/>
                  <w:color w:val="000000" w:themeColor="text1"/>
                  <w:kern w:val="0"/>
                  <w:sz w:val="24"/>
                  <w:szCs w:val="24"/>
                </w:rPr>
                <w:t>建筑</w:t>
              </w:r>
            </w:hyperlink>
            <w:r w:rsidRPr="00687B52">
              <w:rPr>
                <w:rFonts w:ascii="宋体" w:hAnsi="宋体" w:cs="宋体"/>
                <w:color w:val="000000" w:themeColor="text1"/>
                <w:kern w:val="0"/>
                <w:sz w:val="24"/>
                <w:szCs w:val="24"/>
              </w:rPr>
              <w:t>物、构筑物、铁路和道路等之间的最小净距，宜按本</w:t>
            </w:r>
            <w:hyperlink r:id="rId84" w:tgtFrame="_blank" w:history="1">
              <w:r w:rsidRPr="00687B52">
                <w:rPr>
                  <w:rFonts w:ascii="宋体" w:hAnsi="宋体" w:cs="宋体"/>
                  <w:color w:val="000000" w:themeColor="text1"/>
                  <w:kern w:val="0"/>
                  <w:sz w:val="24"/>
                  <w:szCs w:val="24"/>
                </w:rPr>
                <w:t>规范</w:t>
              </w:r>
            </w:hyperlink>
            <w:r w:rsidRPr="00687B52">
              <w:rPr>
                <w:rFonts w:ascii="宋体" w:hAnsi="宋体" w:cs="宋体"/>
                <w:color w:val="000000" w:themeColor="text1"/>
                <w:kern w:val="0"/>
                <w:sz w:val="24"/>
                <w:szCs w:val="24"/>
              </w:rPr>
              <w:t>附录C的规定执行。</w:t>
            </w:r>
          </w:p>
        </w:tc>
        <w:tc>
          <w:tcPr>
            <w:tcW w:w="1164" w:type="pct"/>
            <w:gridSpan w:val="2"/>
            <w:vAlign w:val="center"/>
          </w:tcPr>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《氢气站设计规范》</w:t>
            </w:r>
            <w:r w:rsidRPr="00687B52">
              <w:rPr>
                <w:rFonts w:asciiTheme="minorEastAsia" w:eastAsiaTheme="minorEastAsia" w:hAnsiTheme="minorEastAsia" w:hint="eastAsia"/>
                <w:bCs/>
                <w:color w:val="000000" w:themeColor="text1"/>
                <w:szCs w:val="24"/>
              </w:rPr>
              <w:t>GB50177-2005</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bCs/>
                <w:color w:val="000000" w:themeColor="text1"/>
                <w:szCs w:val="24"/>
              </w:rPr>
              <w:t>第12.0.11条</w:t>
            </w:r>
          </w:p>
        </w:tc>
        <w:tc>
          <w:tcPr>
            <w:tcW w:w="1275" w:type="pct"/>
            <w:vAlign w:val="center"/>
          </w:tcPr>
          <w:p w:rsidR="000E02C5" w:rsidRPr="00687B52" w:rsidRDefault="000E02C5" w:rsidP="004A22DA">
            <w:pPr>
              <w:spacing w:line="320" w:lineRule="exact"/>
              <w:jc w:val="center"/>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2.15</w:t>
            </w:r>
          </w:p>
        </w:tc>
        <w:tc>
          <w:tcPr>
            <w:tcW w:w="2222" w:type="pct"/>
            <w:vAlign w:val="center"/>
          </w:tcPr>
          <w:p w:rsidR="000E02C5" w:rsidRPr="00687B52" w:rsidRDefault="000E02C5" w:rsidP="004A22DA">
            <w:pPr>
              <w:widowControl/>
              <w:spacing w:line="320" w:lineRule="exact"/>
              <w:jc w:val="left"/>
              <w:rPr>
                <w:rFonts w:ascii="宋体" w:hAnsi="宋体" w:cs="宋体"/>
                <w:bCs/>
                <w:color w:val="000000" w:themeColor="text1"/>
                <w:kern w:val="0"/>
                <w:sz w:val="24"/>
                <w:szCs w:val="24"/>
              </w:rPr>
            </w:pPr>
            <w:r w:rsidRPr="00687B52">
              <w:rPr>
                <w:rFonts w:ascii="宋体" w:hAnsi="宋体" w:cs="宋体"/>
                <w:bCs/>
                <w:color w:val="000000" w:themeColor="text1"/>
                <w:kern w:val="0"/>
                <w:sz w:val="24"/>
                <w:szCs w:val="24"/>
              </w:rPr>
              <w:t>厂区内氢气管道直接埋地敷设时，应符合下列规定：</w:t>
            </w:r>
          </w:p>
          <w:p w:rsidR="000E02C5" w:rsidRPr="00687B52" w:rsidRDefault="000E02C5" w:rsidP="004A22DA">
            <w:pPr>
              <w:widowControl/>
              <w:spacing w:line="320" w:lineRule="exact"/>
              <w:jc w:val="left"/>
              <w:rPr>
                <w:rFonts w:ascii="宋体" w:hAnsi="宋体" w:cs="宋体"/>
                <w:color w:val="000000" w:themeColor="text1"/>
                <w:kern w:val="0"/>
                <w:sz w:val="24"/>
                <w:szCs w:val="24"/>
              </w:rPr>
            </w:pPr>
            <w:r w:rsidRPr="00687B52">
              <w:rPr>
                <w:rFonts w:ascii="宋体" w:hAnsi="宋体" w:cs="宋体"/>
                <w:color w:val="000000" w:themeColor="text1"/>
                <w:kern w:val="0"/>
                <w:sz w:val="24"/>
                <w:szCs w:val="24"/>
              </w:rPr>
              <w:t>1</w:t>
            </w:r>
            <w:r w:rsidRPr="00687B52">
              <w:rPr>
                <w:rFonts w:ascii="宋体" w:hAnsi="宋体" w:cs="宋体" w:hint="eastAsia"/>
                <w:color w:val="000000" w:themeColor="text1"/>
                <w:kern w:val="0"/>
                <w:sz w:val="24"/>
                <w:szCs w:val="24"/>
              </w:rPr>
              <w:t>）</w:t>
            </w:r>
            <w:r w:rsidRPr="00687B52">
              <w:rPr>
                <w:rFonts w:ascii="宋体" w:hAnsi="宋体" w:cs="宋体"/>
                <w:color w:val="000000" w:themeColor="text1"/>
                <w:kern w:val="0"/>
                <w:sz w:val="24"/>
                <w:szCs w:val="24"/>
              </w:rPr>
              <w:t>埋地敷设深度，应根据地面荷载、土壤冻结深度等条件确定，管顶距地面不宜小于0.7m。湿氢管道应敷设在冻土层以下；当敷设在冻土层内时，应采取防冻措施；</w:t>
            </w:r>
          </w:p>
          <w:p w:rsidR="000E02C5" w:rsidRPr="00687B52" w:rsidRDefault="000E02C5" w:rsidP="004A22DA">
            <w:pPr>
              <w:widowControl/>
              <w:spacing w:line="320" w:lineRule="exact"/>
              <w:jc w:val="left"/>
              <w:rPr>
                <w:rFonts w:ascii="宋体" w:hAnsi="宋体" w:cs="宋体"/>
                <w:color w:val="000000" w:themeColor="text1"/>
                <w:kern w:val="0"/>
                <w:sz w:val="24"/>
                <w:szCs w:val="24"/>
              </w:rPr>
            </w:pPr>
            <w:r w:rsidRPr="00687B52">
              <w:rPr>
                <w:rFonts w:ascii="宋体" w:hAnsi="宋体" w:cs="宋体"/>
                <w:color w:val="000000" w:themeColor="text1"/>
                <w:kern w:val="0"/>
                <w:sz w:val="24"/>
                <w:szCs w:val="24"/>
              </w:rPr>
              <w:t>2</w:t>
            </w:r>
            <w:r w:rsidRPr="00687B52">
              <w:rPr>
                <w:rFonts w:ascii="宋体" w:hAnsi="宋体" w:cs="宋体" w:hint="eastAsia"/>
                <w:color w:val="000000" w:themeColor="text1"/>
                <w:kern w:val="0"/>
                <w:sz w:val="24"/>
                <w:szCs w:val="24"/>
              </w:rPr>
              <w:t>）</w:t>
            </w:r>
            <w:r w:rsidRPr="00687B52">
              <w:rPr>
                <w:rFonts w:ascii="宋体" w:hAnsi="宋体" w:cs="宋体"/>
                <w:color w:val="000000" w:themeColor="text1"/>
                <w:kern w:val="0"/>
                <w:sz w:val="24"/>
                <w:szCs w:val="24"/>
              </w:rPr>
              <w:t>应根据埋设地带的土壤腐蚀性等级，采取相应的防腐蚀措施；</w:t>
            </w:r>
          </w:p>
          <w:p w:rsidR="000E02C5" w:rsidRPr="00687B52" w:rsidRDefault="000E02C5" w:rsidP="004A22DA">
            <w:pPr>
              <w:widowControl/>
              <w:spacing w:line="320" w:lineRule="exact"/>
              <w:jc w:val="left"/>
              <w:rPr>
                <w:rFonts w:ascii="宋体" w:hAnsi="宋体" w:cs="宋体"/>
                <w:color w:val="000000" w:themeColor="text1"/>
                <w:kern w:val="0"/>
                <w:sz w:val="24"/>
                <w:szCs w:val="24"/>
              </w:rPr>
            </w:pPr>
            <w:r w:rsidRPr="00687B52">
              <w:rPr>
                <w:rFonts w:ascii="宋体" w:hAnsi="宋体" w:cs="宋体"/>
                <w:color w:val="000000" w:themeColor="text1"/>
                <w:kern w:val="0"/>
                <w:sz w:val="24"/>
                <w:szCs w:val="24"/>
              </w:rPr>
              <w:t>3</w:t>
            </w:r>
            <w:r w:rsidRPr="00687B52">
              <w:rPr>
                <w:rFonts w:ascii="宋体" w:hAnsi="宋体" w:cs="宋体" w:hint="eastAsia"/>
                <w:color w:val="000000" w:themeColor="text1"/>
                <w:kern w:val="0"/>
                <w:sz w:val="24"/>
                <w:szCs w:val="24"/>
              </w:rPr>
              <w:t>）</w:t>
            </w:r>
            <w:r w:rsidRPr="00687B52">
              <w:rPr>
                <w:rFonts w:ascii="宋体" w:hAnsi="宋体" w:cs="宋体"/>
                <w:color w:val="000000" w:themeColor="text1"/>
                <w:kern w:val="0"/>
                <w:sz w:val="24"/>
                <w:szCs w:val="24"/>
              </w:rPr>
              <w:t>与</w:t>
            </w:r>
            <w:hyperlink r:id="rId85" w:tgtFrame="_blank" w:history="1">
              <w:r w:rsidRPr="00687B52">
                <w:rPr>
                  <w:rFonts w:ascii="宋体" w:hAnsi="宋体" w:cs="宋体"/>
                  <w:bCs/>
                  <w:color w:val="000000" w:themeColor="text1"/>
                  <w:kern w:val="0"/>
                  <w:sz w:val="24"/>
                  <w:szCs w:val="24"/>
                </w:rPr>
                <w:t>建筑</w:t>
              </w:r>
            </w:hyperlink>
            <w:r w:rsidRPr="00687B52">
              <w:rPr>
                <w:rFonts w:ascii="宋体" w:hAnsi="宋体" w:cs="宋体"/>
                <w:color w:val="000000" w:themeColor="text1"/>
                <w:kern w:val="0"/>
                <w:sz w:val="24"/>
                <w:szCs w:val="24"/>
              </w:rPr>
              <w:t>物、构筑物、道路及其他埋地敷设管线之间的最小净距，宜按本</w:t>
            </w:r>
            <w:hyperlink r:id="rId86" w:tgtFrame="_blank" w:history="1">
              <w:r w:rsidRPr="00687B52">
                <w:rPr>
                  <w:rFonts w:ascii="宋体" w:hAnsi="宋体" w:cs="宋体"/>
                  <w:bCs/>
                  <w:color w:val="000000" w:themeColor="text1"/>
                  <w:kern w:val="0"/>
                  <w:sz w:val="24"/>
                  <w:szCs w:val="24"/>
                </w:rPr>
                <w:t>规范</w:t>
              </w:r>
            </w:hyperlink>
            <w:r w:rsidRPr="00687B52">
              <w:rPr>
                <w:rFonts w:ascii="宋体" w:hAnsi="宋体" w:cs="宋体"/>
                <w:color w:val="000000" w:themeColor="text1"/>
                <w:kern w:val="0"/>
                <w:sz w:val="24"/>
                <w:szCs w:val="24"/>
              </w:rPr>
              <w:t>附录D、附录E的规定执行；</w:t>
            </w:r>
          </w:p>
          <w:p w:rsidR="000E02C5" w:rsidRPr="00687B52" w:rsidRDefault="000E02C5" w:rsidP="004A22DA">
            <w:pPr>
              <w:widowControl/>
              <w:spacing w:line="320" w:lineRule="exact"/>
              <w:jc w:val="left"/>
              <w:rPr>
                <w:rFonts w:ascii="宋体" w:hAnsi="宋体" w:cs="宋体"/>
                <w:color w:val="000000" w:themeColor="text1"/>
                <w:kern w:val="0"/>
                <w:sz w:val="24"/>
                <w:szCs w:val="24"/>
              </w:rPr>
            </w:pPr>
            <w:r w:rsidRPr="00687B52">
              <w:rPr>
                <w:rFonts w:ascii="宋体" w:hAnsi="宋体" w:cs="宋体"/>
                <w:color w:val="000000" w:themeColor="text1"/>
                <w:kern w:val="0"/>
                <w:sz w:val="24"/>
                <w:szCs w:val="24"/>
              </w:rPr>
              <w:t>4 不得敷设在露天堆场下面或穿过热力沟。当必须穿过热力沟时，应设套管。套管和套管内的管段不应有焊缝；</w:t>
            </w:r>
          </w:p>
          <w:p w:rsidR="000E02C5" w:rsidRPr="00687B52" w:rsidRDefault="000E02C5" w:rsidP="004A22DA">
            <w:pPr>
              <w:widowControl/>
              <w:spacing w:line="320" w:lineRule="exact"/>
              <w:jc w:val="left"/>
              <w:rPr>
                <w:rFonts w:ascii="宋体" w:hAnsi="宋体" w:cs="宋体"/>
                <w:color w:val="000000" w:themeColor="text1"/>
                <w:kern w:val="0"/>
                <w:sz w:val="24"/>
                <w:szCs w:val="24"/>
              </w:rPr>
            </w:pPr>
            <w:r w:rsidRPr="00687B52">
              <w:rPr>
                <w:rFonts w:ascii="宋体" w:hAnsi="宋体" w:cs="宋体"/>
                <w:color w:val="000000" w:themeColor="text1"/>
                <w:kern w:val="0"/>
                <w:sz w:val="24"/>
                <w:szCs w:val="24"/>
              </w:rPr>
              <w:t>5</w:t>
            </w:r>
            <w:r w:rsidRPr="00687B52">
              <w:rPr>
                <w:rFonts w:ascii="宋体" w:hAnsi="宋体" w:cs="宋体" w:hint="eastAsia"/>
                <w:color w:val="000000" w:themeColor="text1"/>
                <w:kern w:val="0"/>
                <w:sz w:val="24"/>
                <w:szCs w:val="24"/>
              </w:rPr>
              <w:t>）</w:t>
            </w:r>
            <w:r w:rsidRPr="00687B52">
              <w:rPr>
                <w:rFonts w:ascii="宋体" w:hAnsi="宋体" w:cs="宋体"/>
                <w:color w:val="000000" w:themeColor="text1"/>
                <w:kern w:val="0"/>
                <w:sz w:val="24"/>
                <w:szCs w:val="24"/>
              </w:rPr>
              <w:t>敷设在铁路或不便开挖的道路下面时，应加设套管。套管的两端伸出铁路路基、道路路肩或延伸至排水沟沟边均为1m。套管内的管段不应有焊缝；套管的端部应设检漏管；</w:t>
            </w:r>
          </w:p>
          <w:p w:rsidR="000E02C5" w:rsidRPr="00687B52" w:rsidRDefault="000E02C5" w:rsidP="004A22DA">
            <w:pPr>
              <w:widowControl/>
              <w:spacing w:line="320" w:lineRule="exact"/>
              <w:jc w:val="left"/>
              <w:rPr>
                <w:rFonts w:ascii="宋体" w:hAnsi="宋体" w:cs="宋体"/>
                <w:color w:val="000000" w:themeColor="text1"/>
                <w:kern w:val="0"/>
                <w:sz w:val="24"/>
                <w:szCs w:val="24"/>
              </w:rPr>
            </w:pPr>
            <w:r w:rsidRPr="00687B52">
              <w:rPr>
                <w:rFonts w:ascii="宋体" w:hAnsi="宋体" w:cs="宋体"/>
                <w:color w:val="000000" w:themeColor="text1"/>
                <w:kern w:val="0"/>
                <w:sz w:val="24"/>
                <w:szCs w:val="24"/>
              </w:rPr>
              <w:t>6</w:t>
            </w:r>
            <w:r w:rsidRPr="00687B52">
              <w:rPr>
                <w:rFonts w:ascii="宋体" w:hAnsi="宋体" w:cs="宋体" w:hint="eastAsia"/>
                <w:color w:val="000000" w:themeColor="text1"/>
                <w:kern w:val="0"/>
                <w:sz w:val="24"/>
                <w:szCs w:val="24"/>
              </w:rPr>
              <w:t>）</w:t>
            </w:r>
            <w:r w:rsidRPr="00687B52">
              <w:rPr>
                <w:rFonts w:ascii="宋体" w:hAnsi="宋体" w:cs="宋体"/>
                <w:color w:val="000000" w:themeColor="text1"/>
                <w:kern w:val="0"/>
                <w:sz w:val="24"/>
                <w:szCs w:val="24"/>
              </w:rPr>
              <w:t>回填土前，应从沟底起直至管顶以上300mm范围内，用松散的土填平夯实或用砂填满再回填土。</w:t>
            </w:r>
          </w:p>
        </w:tc>
        <w:tc>
          <w:tcPr>
            <w:tcW w:w="1164" w:type="pct"/>
            <w:gridSpan w:val="2"/>
            <w:vAlign w:val="center"/>
          </w:tcPr>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bCs/>
                <w:color w:val="000000" w:themeColor="text1"/>
                <w:szCs w:val="24"/>
              </w:rPr>
              <w:t>第12.0.12条</w:t>
            </w:r>
          </w:p>
        </w:tc>
        <w:tc>
          <w:tcPr>
            <w:tcW w:w="1275" w:type="pct"/>
            <w:vAlign w:val="center"/>
          </w:tcPr>
          <w:p w:rsidR="000E02C5" w:rsidRPr="00687B52" w:rsidRDefault="000E02C5" w:rsidP="004A22DA">
            <w:pPr>
              <w:spacing w:line="320" w:lineRule="exact"/>
              <w:jc w:val="center"/>
              <w:rPr>
                <w:rFonts w:asciiTheme="minorEastAsia" w:hAnsiTheme="minorEastAsia"/>
                <w:b/>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2.16</w:t>
            </w:r>
          </w:p>
        </w:tc>
        <w:tc>
          <w:tcPr>
            <w:tcW w:w="2222" w:type="pct"/>
            <w:vAlign w:val="center"/>
          </w:tcPr>
          <w:p w:rsidR="000E02C5" w:rsidRPr="00687B52" w:rsidRDefault="000E02C5" w:rsidP="004A22DA">
            <w:pPr>
              <w:widowControl/>
              <w:spacing w:line="320" w:lineRule="exact"/>
              <w:jc w:val="left"/>
              <w:rPr>
                <w:rFonts w:ascii="宋体" w:hAnsi="宋体" w:cs="宋体"/>
                <w:color w:val="000000" w:themeColor="text1"/>
                <w:kern w:val="0"/>
                <w:sz w:val="24"/>
                <w:szCs w:val="24"/>
              </w:rPr>
            </w:pPr>
            <w:r w:rsidRPr="00687B52">
              <w:rPr>
                <w:rFonts w:ascii="宋体" w:hAnsi="宋体" w:cs="宋体"/>
                <w:color w:val="000000" w:themeColor="text1"/>
                <w:kern w:val="0"/>
                <w:sz w:val="24"/>
                <w:szCs w:val="24"/>
              </w:rPr>
              <w:t>厂区内氢气管道明沟敷设时，应符合下列规定：</w:t>
            </w:r>
          </w:p>
          <w:p w:rsidR="000E02C5" w:rsidRPr="00687B52" w:rsidRDefault="000E02C5" w:rsidP="004A22DA">
            <w:pPr>
              <w:widowControl/>
              <w:spacing w:line="320" w:lineRule="exact"/>
              <w:jc w:val="left"/>
              <w:rPr>
                <w:rFonts w:ascii="宋体" w:hAnsi="宋体" w:cs="宋体"/>
                <w:bCs/>
                <w:color w:val="000000" w:themeColor="text1"/>
                <w:kern w:val="0"/>
                <w:sz w:val="24"/>
                <w:szCs w:val="24"/>
              </w:rPr>
            </w:pPr>
            <w:r w:rsidRPr="00687B52">
              <w:rPr>
                <w:rFonts w:ascii="宋体" w:hAnsi="宋体" w:cs="宋体"/>
                <w:color w:val="000000" w:themeColor="text1"/>
                <w:kern w:val="0"/>
                <w:sz w:val="24"/>
                <w:szCs w:val="24"/>
              </w:rPr>
              <w:t>1</w:t>
            </w:r>
            <w:r w:rsidRPr="00687B52">
              <w:rPr>
                <w:rFonts w:ascii="宋体" w:hAnsi="宋体" w:cs="宋体" w:hint="eastAsia"/>
                <w:color w:val="000000" w:themeColor="text1"/>
                <w:kern w:val="0"/>
                <w:sz w:val="24"/>
                <w:szCs w:val="24"/>
              </w:rPr>
              <w:t>）</w:t>
            </w:r>
            <w:r w:rsidRPr="00687B52">
              <w:rPr>
                <w:rFonts w:ascii="宋体" w:hAnsi="宋体" w:cs="宋体"/>
                <w:color w:val="000000" w:themeColor="text1"/>
                <w:kern w:val="0"/>
                <w:sz w:val="24"/>
                <w:szCs w:val="24"/>
              </w:rPr>
              <w:t>管道支架应采用不燃烧体；</w:t>
            </w:r>
            <w:r w:rsidRPr="00687B52">
              <w:rPr>
                <w:rFonts w:ascii="宋体" w:hAnsi="宋体" w:cs="宋体"/>
                <w:color w:val="000000" w:themeColor="text1"/>
                <w:kern w:val="0"/>
                <w:sz w:val="24"/>
                <w:szCs w:val="24"/>
              </w:rPr>
              <w:br/>
              <w:t>2</w:t>
            </w:r>
            <w:r w:rsidRPr="00687B52">
              <w:rPr>
                <w:rFonts w:ascii="宋体" w:hAnsi="宋体" w:cs="宋体" w:hint="eastAsia"/>
                <w:color w:val="000000" w:themeColor="text1"/>
                <w:kern w:val="0"/>
                <w:sz w:val="24"/>
                <w:szCs w:val="24"/>
              </w:rPr>
              <w:t>）</w:t>
            </w:r>
            <w:r w:rsidRPr="00687B52">
              <w:rPr>
                <w:rFonts w:ascii="宋体" w:hAnsi="宋体" w:cs="宋体"/>
                <w:color w:val="000000" w:themeColor="text1"/>
                <w:kern w:val="0"/>
                <w:sz w:val="24"/>
                <w:szCs w:val="24"/>
              </w:rPr>
              <w:t>在寒冷地区，湿氢管道应采取防冻措施；</w:t>
            </w:r>
            <w:r w:rsidRPr="00687B52">
              <w:rPr>
                <w:rFonts w:ascii="宋体" w:hAnsi="宋体" w:cs="宋体"/>
                <w:color w:val="000000" w:themeColor="text1"/>
                <w:kern w:val="0"/>
                <w:sz w:val="24"/>
                <w:szCs w:val="24"/>
              </w:rPr>
              <w:br/>
              <w:t>3</w:t>
            </w:r>
            <w:r w:rsidRPr="00687B52">
              <w:rPr>
                <w:rFonts w:ascii="宋体" w:hAnsi="宋体" w:cs="宋体" w:hint="eastAsia"/>
                <w:color w:val="000000" w:themeColor="text1"/>
                <w:kern w:val="0"/>
                <w:sz w:val="24"/>
                <w:szCs w:val="24"/>
              </w:rPr>
              <w:t>）</w:t>
            </w:r>
            <w:r w:rsidRPr="00687B52">
              <w:rPr>
                <w:rFonts w:ascii="宋体" w:hAnsi="宋体" w:cs="宋体"/>
                <w:color w:val="000000" w:themeColor="text1"/>
                <w:kern w:val="0"/>
                <w:sz w:val="24"/>
                <w:szCs w:val="24"/>
              </w:rPr>
              <w:t>不应与其他管道共沟敷设。</w:t>
            </w:r>
          </w:p>
        </w:tc>
        <w:tc>
          <w:tcPr>
            <w:tcW w:w="1164" w:type="pct"/>
            <w:gridSpan w:val="2"/>
            <w:vAlign w:val="center"/>
          </w:tcPr>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bCs/>
                <w:color w:val="000000" w:themeColor="text1"/>
                <w:szCs w:val="24"/>
              </w:rPr>
              <w:t>《氢气站设计规范》GB50177-2005</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bCs/>
                <w:color w:val="000000" w:themeColor="text1"/>
                <w:szCs w:val="24"/>
              </w:rPr>
              <w:t>第12.0.13条</w:t>
            </w:r>
          </w:p>
        </w:tc>
        <w:tc>
          <w:tcPr>
            <w:tcW w:w="1275" w:type="pct"/>
            <w:vAlign w:val="center"/>
          </w:tcPr>
          <w:p w:rsidR="000E02C5" w:rsidRPr="00687B52" w:rsidRDefault="000E02C5" w:rsidP="004A22DA">
            <w:pPr>
              <w:spacing w:line="320" w:lineRule="exact"/>
              <w:jc w:val="center"/>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2.17</w:t>
            </w:r>
          </w:p>
        </w:tc>
        <w:tc>
          <w:tcPr>
            <w:tcW w:w="2222" w:type="pct"/>
            <w:vAlign w:val="center"/>
          </w:tcPr>
          <w:p w:rsidR="000E02C5" w:rsidRPr="00687B52" w:rsidRDefault="000E02C5" w:rsidP="004A22DA">
            <w:pPr>
              <w:widowControl/>
              <w:spacing w:line="320" w:lineRule="exact"/>
              <w:jc w:val="left"/>
              <w:rPr>
                <w:rFonts w:ascii="宋体" w:hAnsi="宋体" w:cs="宋体"/>
                <w:color w:val="000000" w:themeColor="text1"/>
                <w:kern w:val="0"/>
                <w:sz w:val="24"/>
                <w:szCs w:val="24"/>
              </w:rPr>
            </w:pPr>
            <w:r w:rsidRPr="00687B52">
              <w:rPr>
                <w:color w:val="000000" w:themeColor="text1"/>
                <w:sz w:val="24"/>
                <w:szCs w:val="24"/>
              </w:rPr>
              <w:t>氢气灌装用压缩机的型号、排气量，应根据充灌台或充装容器的规格、数量，充装时间和进气压力、排气压力等确定。灌装用氢气压缩机，可不设备用。</w:t>
            </w:r>
          </w:p>
        </w:tc>
        <w:tc>
          <w:tcPr>
            <w:tcW w:w="1164" w:type="pct"/>
            <w:gridSpan w:val="2"/>
            <w:vAlign w:val="center"/>
          </w:tcPr>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《氢气站设计规范》</w:t>
            </w:r>
            <w:r w:rsidRPr="00687B52">
              <w:rPr>
                <w:rFonts w:asciiTheme="minorEastAsia" w:eastAsiaTheme="minorEastAsia" w:hAnsiTheme="minorEastAsia" w:hint="eastAsia"/>
                <w:bCs/>
                <w:color w:val="000000" w:themeColor="text1"/>
                <w:szCs w:val="24"/>
              </w:rPr>
              <w:t>GB50177-2005</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bCs/>
                <w:color w:val="000000" w:themeColor="text1"/>
                <w:szCs w:val="24"/>
              </w:rPr>
              <w:t>第5.0.9条</w:t>
            </w:r>
          </w:p>
        </w:tc>
        <w:tc>
          <w:tcPr>
            <w:tcW w:w="1275" w:type="pct"/>
            <w:vAlign w:val="center"/>
          </w:tcPr>
          <w:p w:rsidR="000E02C5" w:rsidRPr="00687B52" w:rsidRDefault="000E02C5" w:rsidP="004A22DA">
            <w:pPr>
              <w:spacing w:line="320" w:lineRule="exact"/>
              <w:jc w:val="center"/>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2.18</w:t>
            </w:r>
          </w:p>
        </w:tc>
        <w:tc>
          <w:tcPr>
            <w:tcW w:w="2222" w:type="pct"/>
            <w:vAlign w:val="center"/>
          </w:tcPr>
          <w:p w:rsidR="000E02C5" w:rsidRPr="00687B52" w:rsidRDefault="000E02C5" w:rsidP="004A22DA">
            <w:pPr>
              <w:widowControl/>
              <w:spacing w:line="320" w:lineRule="exact"/>
              <w:jc w:val="left"/>
              <w:rPr>
                <w:rFonts w:ascii="宋体" w:hAnsi="宋体" w:cs="宋体"/>
                <w:color w:val="000000" w:themeColor="text1"/>
                <w:kern w:val="0"/>
                <w:sz w:val="24"/>
                <w:szCs w:val="24"/>
              </w:rPr>
            </w:pPr>
            <w:r w:rsidRPr="00687B52">
              <w:rPr>
                <w:color w:val="000000" w:themeColor="text1"/>
                <w:sz w:val="24"/>
                <w:szCs w:val="24"/>
              </w:rPr>
              <w:t>氢气灌装用充灌台应设两组或两组以上，一组灌装、一组倒换钢瓶。每组钢瓶的数量，应以外销氢气量或灌装用氢气压缩机的排气量、氢气充装时间确定。</w:t>
            </w:r>
          </w:p>
        </w:tc>
        <w:tc>
          <w:tcPr>
            <w:tcW w:w="1164" w:type="pct"/>
            <w:gridSpan w:val="2"/>
            <w:vAlign w:val="center"/>
          </w:tcPr>
          <w:p w:rsidR="000E02C5" w:rsidRPr="00687B52" w:rsidRDefault="000E02C5" w:rsidP="004A22DA">
            <w:pPr>
              <w:pStyle w:val="a7"/>
              <w:rPr>
                <w:rFonts w:asciiTheme="minorEastAsia" w:eastAsiaTheme="minorEastAsia" w:hAnsiTheme="minorEastAsia"/>
                <w:bCs/>
                <w:color w:val="000000" w:themeColor="text1"/>
                <w:szCs w:val="24"/>
              </w:rPr>
            </w:pPr>
            <w:r w:rsidRPr="00687B52">
              <w:rPr>
                <w:rFonts w:asciiTheme="minorEastAsia" w:eastAsiaTheme="minorEastAsia" w:hAnsiTheme="minorEastAsia" w:hint="eastAsia"/>
                <w:color w:val="000000" w:themeColor="text1"/>
                <w:szCs w:val="24"/>
              </w:rPr>
              <w:t>《氢气站设计规范》</w:t>
            </w:r>
            <w:r w:rsidRPr="00687B52">
              <w:rPr>
                <w:rFonts w:asciiTheme="minorEastAsia" w:eastAsiaTheme="minorEastAsia" w:hAnsiTheme="minorEastAsia" w:hint="eastAsia"/>
                <w:bCs/>
                <w:color w:val="000000" w:themeColor="text1"/>
                <w:szCs w:val="24"/>
              </w:rPr>
              <w:t>GB50177-2005</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bCs/>
                <w:color w:val="000000" w:themeColor="text1"/>
                <w:szCs w:val="24"/>
              </w:rPr>
              <w:t>第5.0.11条</w:t>
            </w:r>
          </w:p>
        </w:tc>
        <w:tc>
          <w:tcPr>
            <w:tcW w:w="1275" w:type="pct"/>
            <w:vAlign w:val="center"/>
          </w:tcPr>
          <w:p w:rsidR="000E02C5" w:rsidRPr="00687B52" w:rsidRDefault="000E02C5" w:rsidP="004A22DA">
            <w:pPr>
              <w:spacing w:line="320" w:lineRule="exact"/>
              <w:jc w:val="center"/>
              <w:rPr>
                <w:rFonts w:asciiTheme="minorEastAsia" w:hAnsiTheme="minorEastAsia"/>
                <w:color w:val="000000" w:themeColor="text1"/>
                <w:sz w:val="24"/>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3</w:t>
            </w:r>
          </w:p>
        </w:tc>
        <w:tc>
          <w:tcPr>
            <w:tcW w:w="2222" w:type="pct"/>
          </w:tcPr>
          <w:p w:rsidR="000E02C5" w:rsidRPr="00687B52" w:rsidRDefault="000E02C5" w:rsidP="00A0611B">
            <w:pPr>
              <w:pStyle w:val="a7"/>
              <w:jc w:val="left"/>
              <w:rPr>
                <w:rFonts w:asciiTheme="minorEastAsia" w:eastAsiaTheme="minorEastAsia" w:hAnsiTheme="minorEastAsia"/>
                <w:b/>
                <w:color w:val="000000" w:themeColor="text1"/>
                <w:szCs w:val="24"/>
              </w:rPr>
            </w:pPr>
            <w:r w:rsidRPr="00687B52">
              <w:rPr>
                <w:rFonts w:asciiTheme="minorEastAsia" w:eastAsiaTheme="minorEastAsia" w:hAnsiTheme="minorEastAsia" w:hint="eastAsia"/>
                <w:b/>
                <w:color w:val="000000" w:themeColor="text1"/>
                <w:szCs w:val="24"/>
              </w:rPr>
              <w:t>公用工程</w:t>
            </w:r>
          </w:p>
        </w:tc>
        <w:tc>
          <w:tcPr>
            <w:tcW w:w="1164" w:type="pct"/>
            <w:gridSpan w:val="2"/>
          </w:tcPr>
          <w:p w:rsidR="000E02C5" w:rsidRPr="00687B52" w:rsidRDefault="000E02C5" w:rsidP="004A22DA">
            <w:pPr>
              <w:pStyle w:val="a7"/>
              <w:rPr>
                <w:rFonts w:asciiTheme="minorEastAsia" w:eastAsiaTheme="minorEastAsia" w:hAnsiTheme="minorEastAsia"/>
                <w:b/>
                <w:color w:val="000000" w:themeColor="text1"/>
                <w:szCs w:val="24"/>
              </w:rPr>
            </w:pPr>
          </w:p>
        </w:tc>
        <w:tc>
          <w:tcPr>
            <w:tcW w:w="1275" w:type="pct"/>
          </w:tcPr>
          <w:p w:rsidR="000E02C5" w:rsidRPr="00687B52" w:rsidRDefault="000E02C5" w:rsidP="004A22DA">
            <w:pPr>
              <w:pStyle w:val="a7"/>
              <w:rPr>
                <w:rFonts w:asciiTheme="minorEastAsia" w:eastAsiaTheme="minorEastAsia" w:hAnsiTheme="minorEastAsia"/>
                <w:b/>
                <w:color w:val="000000" w:themeColor="text1"/>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w:t>
            </w:r>
          </w:p>
        </w:tc>
        <w:tc>
          <w:tcPr>
            <w:tcW w:w="2222" w:type="pct"/>
            <w:tcBorders>
              <w:right w:val="single" w:sz="4" w:space="0" w:color="auto"/>
            </w:tcBorders>
            <w:vAlign w:val="center"/>
          </w:tcPr>
          <w:p w:rsidR="000E02C5" w:rsidRPr="00687B52" w:rsidRDefault="000E02C5" w:rsidP="004A22DA">
            <w:pPr>
              <w:pStyle w:val="a7"/>
              <w:jc w:val="left"/>
              <w:rPr>
                <w:rFonts w:asciiTheme="minorEastAsia" w:eastAsiaTheme="minorEastAsia" w:hAnsiTheme="minorEastAsia"/>
                <w:color w:val="000000" w:themeColor="text1"/>
                <w:szCs w:val="24"/>
              </w:rPr>
            </w:pPr>
            <w:r w:rsidRPr="00687B52">
              <w:rPr>
                <w:rFonts w:ascii="宋体" w:hAnsi="宋体" w:cs="宋体" w:hint="eastAsia"/>
                <w:color w:val="000000" w:themeColor="text1"/>
                <w:kern w:val="0"/>
                <w:szCs w:val="24"/>
              </w:rPr>
              <w:t>氢气站、供氢站的供电，按现行国家标准《供配电系统</w:t>
            </w:r>
            <w:hyperlink r:id="rId87" w:tgtFrame="_blank" w:history="1">
              <w:r w:rsidRPr="00687B52">
                <w:rPr>
                  <w:rFonts w:ascii="宋体" w:hAnsi="宋体" w:cs="宋体" w:hint="eastAsia"/>
                  <w:bCs/>
                  <w:color w:val="000000" w:themeColor="text1"/>
                  <w:kern w:val="0"/>
                  <w:szCs w:val="24"/>
                </w:rPr>
                <w:t>设计</w:t>
              </w:r>
            </w:hyperlink>
            <w:hyperlink r:id="rId88" w:tgtFrame="_blank" w:history="1">
              <w:r w:rsidRPr="00687B52">
                <w:rPr>
                  <w:rFonts w:ascii="宋体" w:hAnsi="宋体" w:cs="宋体" w:hint="eastAsia"/>
                  <w:bCs/>
                  <w:color w:val="000000" w:themeColor="text1"/>
                  <w:kern w:val="0"/>
                  <w:szCs w:val="24"/>
                </w:rPr>
                <w:t>规范</w:t>
              </w:r>
            </w:hyperlink>
            <w:r w:rsidRPr="00687B52">
              <w:rPr>
                <w:rFonts w:ascii="宋体" w:hAnsi="宋体" w:cs="宋体" w:hint="eastAsia"/>
                <w:color w:val="000000" w:themeColor="text1"/>
                <w:kern w:val="0"/>
                <w:szCs w:val="24"/>
              </w:rPr>
              <w:t>》GB50052规定的负荷分级，除中断供氢将造成较大损失者外，宜为三级负荷。</w:t>
            </w:r>
          </w:p>
        </w:tc>
        <w:tc>
          <w:tcPr>
            <w:tcW w:w="1164" w:type="pct"/>
            <w:gridSpan w:val="2"/>
            <w:tcBorders>
              <w:left w:val="single" w:sz="4" w:space="0" w:color="auto"/>
              <w:right w:val="single" w:sz="4" w:space="0" w:color="auto"/>
            </w:tcBorders>
            <w:vAlign w:val="center"/>
          </w:tcPr>
          <w:p w:rsidR="000E02C5" w:rsidRPr="00687B52" w:rsidRDefault="000E02C5" w:rsidP="004A22DA">
            <w:pPr>
              <w:pStyle w:val="a7"/>
              <w:rPr>
                <w:rFonts w:ascii="宋体" w:hAnsi="宋体" w:cs="宋体"/>
                <w:color w:val="000000" w:themeColor="text1"/>
                <w:szCs w:val="24"/>
              </w:rPr>
            </w:pPr>
            <w:r w:rsidRPr="00687B52">
              <w:rPr>
                <w:rFonts w:asciiTheme="minorEastAsia" w:eastAsiaTheme="minorEastAsia" w:hAnsiTheme="minorEastAsia" w:hint="eastAsia"/>
                <w:color w:val="000000" w:themeColor="text1"/>
                <w:szCs w:val="24"/>
              </w:rPr>
              <w:t>《氢气站设计规范》</w:t>
            </w:r>
            <w:r w:rsidRPr="00687B52">
              <w:rPr>
                <w:rFonts w:ascii="宋体" w:hAnsi="宋体" w:cs="宋体" w:hint="eastAsia"/>
                <w:color w:val="000000" w:themeColor="text1"/>
                <w:szCs w:val="24"/>
              </w:rPr>
              <w:t>GB50177-2005</w:t>
            </w:r>
          </w:p>
          <w:p w:rsidR="000E02C5" w:rsidRPr="00687B52" w:rsidRDefault="000E02C5" w:rsidP="004A22DA">
            <w:pPr>
              <w:pStyle w:val="a7"/>
              <w:rPr>
                <w:rFonts w:asciiTheme="minorEastAsia" w:eastAsiaTheme="minorEastAsia" w:hAnsiTheme="minorEastAsia"/>
                <w:b/>
                <w:color w:val="000000" w:themeColor="text1"/>
                <w:szCs w:val="24"/>
              </w:rPr>
            </w:pPr>
            <w:r w:rsidRPr="00687B52">
              <w:rPr>
                <w:rFonts w:ascii="宋体" w:hAnsi="宋体" w:cs="宋体" w:hint="eastAsia"/>
                <w:color w:val="000000" w:themeColor="text1"/>
                <w:szCs w:val="24"/>
              </w:rPr>
              <w:t>第8.0.1条</w:t>
            </w:r>
          </w:p>
        </w:tc>
        <w:tc>
          <w:tcPr>
            <w:tcW w:w="1275" w:type="pct"/>
            <w:tcBorders>
              <w:left w:val="single" w:sz="4" w:space="0" w:color="auto"/>
              <w:right w:val="single" w:sz="4" w:space="0" w:color="auto"/>
            </w:tcBorders>
            <w:vAlign w:val="center"/>
          </w:tcPr>
          <w:p w:rsidR="000E02C5" w:rsidRPr="00687B52" w:rsidRDefault="000E02C5" w:rsidP="004A22DA">
            <w:pPr>
              <w:pStyle w:val="a7"/>
              <w:jc w:val="left"/>
              <w:rPr>
                <w:rFonts w:asciiTheme="minorEastAsia" w:eastAsiaTheme="minorEastAsia" w:hAnsiTheme="minorEastAsia"/>
                <w:b/>
                <w:color w:val="000000" w:themeColor="text1"/>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w:t>
            </w:r>
          </w:p>
        </w:tc>
        <w:tc>
          <w:tcPr>
            <w:tcW w:w="2222" w:type="pct"/>
            <w:tcBorders>
              <w:right w:val="single" w:sz="4" w:space="0" w:color="auto"/>
            </w:tcBorders>
            <w:vAlign w:val="center"/>
          </w:tcPr>
          <w:p w:rsidR="000E02C5" w:rsidRPr="00687B52" w:rsidRDefault="000E02C5" w:rsidP="004A22DA">
            <w:pPr>
              <w:pStyle w:val="a7"/>
              <w:jc w:val="left"/>
              <w:rPr>
                <w:rFonts w:ascii="宋体" w:hAnsi="宋体" w:cs="宋体"/>
                <w:color w:val="000000" w:themeColor="text1"/>
                <w:kern w:val="0"/>
                <w:szCs w:val="24"/>
              </w:rPr>
            </w:pPr>
            <w:r w:rsidRPr="00687B52">
              <w:rPr>
                <w:rFonts w:ascii="宋体" w:hAnsi="宋体" w:cs="宋体"/>
                <w:color w:val="000000" w:themeColor="text1"/>
                <w:kern w:val="0"/>
                <w:szCs w:val="24"/>
              </w:rPr>
              <w:t>有爆炸危险房间或区域内的电气设施，应符合现行国家标准《爆炸和火灾危险环境</w:t>
            </w:r>
            <w:hyperlink r:id="rId89" w:tgtFrame="_blank" w:history="1">
              <w:r w:rsidRPr="00687B52">
                <w:rPr>
                  <w:rFonts w:ascii="宋体" w:hAnsi="宋体" w:cs="宋体"/>
                  <w:color w:val="000000" w:themeColor="text1"/>
                  <w:kern w:val="0"/>
                  <w:szCs w:val="24"/>
                </w:rPr>
                <w:t>电力</w:t>
              </w:r>
            </w:hyperlink>
            <w:r w:rsidRPr="00687B52">
              <w:rPr>
                <w:rFonts w:ascii="宋体" w:hAnsi="宋体" w:cs="宋体"/>
                <w:color w:val="000000" w:themeColor="text1"/>
                <w:kern w:val="0"/>
                <w:szCs w:val="24"/>
              </w:rPr>
              <w:t>装置</w:t>
            </w:r>
            <w:hyperlink r:id="rId90" w:tgtFrame="_blank" w:history="1">
              <w:r w:rsidRPr="00687B52">
                <w:rPr>
                  <w:rFonts w:ascii="宋体" w:hAnsi="宋体" w:cs="宋体"/>
                  <w:color w:val="000000" w:themeColor="text1"/>
                  <w:kern w:val="0"/>
                  <w:szCs w:val="24"/>
                </w:rPr>
                <w:t>设计</w:t>
              </w:r>
            </w:hyperlink>
            <w:hyperlink r:id="rId91" w:tgtFrame="_blank" w:history="1">
              <w:r w:rsidRPr="00687B52">
                <w:rPr>
                  <w:rFonts w:ascii="宋体" w:hAnsi="宋体" w:cs="宋体"/>
                  <w:color w:val="000000" w:themeColor="text1"/>
                  <w:kern w:val="0"/>
                  <w:szCs w:val="24"/>
                </w:rPr>
                <w:t>规范</w:t>
              </w:r>
            </w:hyperlink>
            <w:r w:rsidRPr="00687B52">
              <w:rPr>
                <w:rFonts w:ascii="宋体" w:hAnsi="宋体" w:cs="宋体"/>
                <w:color w:val="000000" w:themeColor="text1"/>
                <w:kern w:val="0"/>
                <w:szCs w:val="24"/>
              </w:rPr>
              <w:t>》GB 50058的规定</w:t>
            </w:r>
            <w:r w:rsidRPr="00687B52">
              <w:rPr>
                <w:rFonts w:ascii="宋体" w:hAnsi="宋体" w:cs="宋体" w:hint="eastAsia"/>
                <w:color w:val="000000" w:themeColor="text1"/>
                <w:kern w:val="0"/>
                <w:szCs w:val="24"/>
              </w:rPr>
              <w:t>。</w:t>
            </w:r>
          </w:p>
        </w:tc>
        <w:tc>
          <w:tcPr>
            <w:tcW w:w="1164" w:type="pct"/>
            <w:gridSpan w:val="2"/>
            <w:tcBorders>
              <w:left w:val="single" w:sz="4" w:space="0" w:color="auto"/>
              <w:right w:val="single" w:sz="4" w:space="0" w:color="auto"/>
            </w:tcBorders>
            <w:vAlign w:val="center"/>
          </w:tcPr>
          <w:p w:rsidR="000E02C5" w:rsidRPr="00687B52" w:rsidRDefault="000E02C5" w:rsidP="004A22DA">
            <w:pPr>
              <w:pStyle w:val="a7"/>
              <w:rPr>
                <w:rFonts w:ascii="宋体" w:hAnsi="宋体" w:cs="宋体"/>
                <w:bCs/>
                <w:color w:val="000000" w:themeColor="text1"/>
                <w:szCs w:val="24"/>
              </w:rPr>
            </w:pPr>
            <w:r w:rsidRPr="00687B52">
              <w:rPr>
                <w:rFonts w:asciiTheme="minorEastAsia" w:eastAsiaTheme="minorEastAsia" w:hAnsiTheme="minorEastAsia" w:hint="eastAsia"/>
                <w:bCs/>
                <w:color w:val="000000" w:themeColor="text1"/>
                <w:szCs w:val="24"/>
              </w:rPr>
              <w:t>《氢气站设计规范》</w:t>
            </w:r>
            <w:r w:rsidRPr="00687B52">
              <w:rPr>
                <w:rFonts w:ascii="宋体" w:hAnsi="宋体" w:cs="宋体" w:hint="eastAsia"/>
                <w:bCs/>
                <w:color w:val="000000" w:themeColor="text1"/>
                <w:szCs w:val="24"/>
              </w:rPr>
              <w:t>GB50177-2005</w:t>
            </w:r>
          </w:p>
          <w:p w:rsidR="000E02C5" w:rsidRPr="00687B52" w:rsidRDefault="000E02C5" w:rsidP="004A22DA">
            <w:pPr>
              <w:pStyle w:val="a7"/>
              <w:rPr>
                <w:rFonts w:ascii="宋体" w:hAnsi="宋体" w:cs="宋体"/>
                <w:bCs/>
                <w:color w:val="000000" w:themeColor="text1"/>
                <w:szCs w:val="24"/>
              </w:rPr>
            </w:pPr>
            <w:r w:rsidRPr="00687B52">
              <w:rPr>
                <w:rFonts w:ascii="宋体" w:hAnsi="宋体" w:cs="宋体" w:hint="eastAsia"/>
                <w:bCs/>
                <w:color w:val="000000" w:themeColor="text1"/>
                <w:szCs w:val="24"/>
              </w:rPr>
              <w:t>第8.0.1条</w:t>
            </w:r>
          </w:p>
        </w:tc>
        <w:tc>
          <w:tcPr>
            <w:tcW w:w="1275" w:type="pct"/>
            <w:tcBorders>
              <w:left w:val="single" w:sz="4" w:space="0" w:color="auto"/>
              <w:right w:val="single" w:sz="4" w:space="0" w:color="auto"/>
            </w:tcBorders>
            <w:vAlign w:val="center"/>
          </w:tcPr>
          <w:p w:rsidR="000E02C5" w:rsidRPr="00687B52" w:rsidRDefault="000E02C5" w:rsidP="004A22DA">
            <w:pPr>
              <w:pStyle w:val="a7"/>
              <w:jc w:val="left"/>
              <w:rPr>
                <w:rFonts w:asciiTheme="minorEastAsia" w:eastAsiaTheme="minorEastAsia" w:hAnsiTheme="minorEastAsia"/>
                <w:b/>
                <w:bCs/>
                <w:color w:val="000000" w:themeColor="text1"/>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3.3</w:t>
            </w:r>
          </w:p>
        </w:tc>
        <w:tc>
          <w:tcPr>
            <w:tcW w:w="2222" w:type="pct"/>
            <w:tcBorders>
              <w:right w:val="single" w:sz="4" w:space="0" w:color="auto"/>
            </w:tcBorders>
            <w:vAlign w:val="center"/>
          </w:tcPr>
          <w:p w:rsidR="000E02C5" w:rsidRPr="00687B52" w:rsidRDefault="000E02C5" w:rsidP="004A22DA">
            <w:pPr>
              <w:pStyle w:val="a7"/>
              <w:jc w:val="left"/>
              <w:rPr>
                <w:rFonts w:ascii="宋体" w:hAnsi="宋体" w:cs="宋体"/>
                <w:color w:val="000000" w:themeColor="text1"/>
                <w:kern w:val="0"/>
                <w:szCs w:val="24"/>
              </w:rPr>
            </w:pPr>
            <w:r w:rsidRPr="00687B52">
              <w:rPr>
                <w:rFonts w:ascii="宋体" w:hAnsi="宋体" w:cs="宋体"/>
                <w:color w:val="000000" w:themeColor="text1"/>
                <w:kern w:val="0"/>
                <w:szCs w:val="24"/>
              </w:rPr>
              <w:t>有爆炸危险环境的电气设施选型，不应低于氢气爆炸混合物的级别、组别(ⅡCT1)。有爆炸危险环境的电气</w:t>
            </w:r>
            <w:hyperlink r:id="rId92" w:tgtFrame="_blank" w:history="1">
              <w:r w:rsidRPr="00687B52">
                <w:rPr>
                  <w:rFonts w:ascii="宋体" w:hAnsi="宋体" w:cs="宋体"/>
                  <w:color w:val="000000" w:themeColor="text1"/>
                  <w:kern w:val="0"/>
                  <w:szCs w:val="24"/>
                </w:rPr>
                <w:t>设计</w:t>
              </w:r>
            </w:hyperlink>
            <w:r w:rsidRPr="00687B52">
              <w:rPr>
                <w:rFonts w:ascii="宋体" w:hAnsi="宋体" w:cs="宋体"/>
                <w:color w:val="000000" w:themeColor="text1"/>
                <w:kern w:val="0"/>
                <w:szCs w:val="24"/>
              </w:rPr>
              <w:t>和电气设备、线路接地，应按现行国家标准《爆炸和火灾危险环境</w:t>
            </w:r>
            <w:hyperlink r:id="rId93" w:tgtFrame="_blank" w:history="1">
              <w:r w:rsidRPr="00687B52">
                <w:rPr>
                  <w:rFonts w:ascii="宋体" w:hAnsi="宋体" w:cs="宋体"/>
                  <w:color w:val="000000" w:themeColor="text1"/>
                  <w:kern w:val="0"/>
                  <w:szCs w:val="24"/>
                </w:rPr>
                <w:t>电力</w:t>
              </w:r>
            </w:hyperlink>
            <w:r w:rsidRPr="00687B52">
              <w:rPr>
                <w:rFonts w:ascii="宋体" w:hAnsi="宋体" w:cs="宋体"/>
                <w:color w:val="000000" w:themeColor="text1"/>
                <w:kern w:val="0"/>
                <w:szCs w:val="24"/>
              </w:rPr>
              <w:t>装置</w:t>
            </w:r>
            <w:hyperlink r:id="rId94" w:tgtFrame="_blank" w:history="1">
              <w:r w:rsidRPr="00687B52">
                <w:rPr>
                  <w:rFonts w:ascii="宋体" w:hAnsi="宋体" w:cs="宋体"/>
                  <w:color w:val="000000" w:themeColor="text1"/>
                  <w:kern w:val="0"/>
                  <w:szCs w:val="24"/>
                </w:rPr>
                <w:t>设计</w:t>
              </w:r>
            </w:hyperlink>
            <w:hyperlink r:id="rId95" w:tgtFrame="_blank" w:history="1">
              <w:r w:rsidRPr="00687B52">
                <w:rPr>
                  <w:rFonts w:ascii="宋体" w:hAnsi="宋体" w:cs="宋体"/>
                  <w:color w:val="000000" w:themeColor="text1"/>
                  <w:kern w:val="0"/>
                  <w:szCs w:val="24"/>
                </w:rPr>
                <w:t>规范</w:t>
              </w:r>
            </w:hyperlink>
            <w:r w:rsidRPr="00687B52">
              <w:rPr>
                <w:rFonts w:ascii="宋体" w:hAnsi="宋体" w:cs="宋体"/>
                <w:color w:val="000000" w:themeColor="text1"/>
                <w:kern w:val="0"/>
                <w:szCs w:val="24"/>
              </w:rPr>
              <w:t>》GB 50058的规定执行。</w:t>
            </w:r>
          </w:p>
        </w:tc>
        <w:tc>
          <w:tcPr>
            <w:tcW w:w="1164" w:type="pct"/>
            <w:gridSpan w:val="2"/>
            <w:tcBorders>
              <w:left w:val="single" w:sz="4" w:space="0" w:color="auto"/>
              <w:right w:val="single" w:sz="4" w:space="0" w:color="auto"/>
            </w:tcBorders>
            <w:vAlign w:val="center"/>
          </w:tcPr>
          <w:p w:rsidR="000E02C5" w:rsidRPr="00687B52" w:rsidRDefault="000E02C5" w:rsidP="004A22DA">
            <w:pPr>
              <w:pStyle w:val="a7"/>
              <w:rPr>
                <w:rFonts w:ascii="宋体" w:hAnsi="宋体" w:cs="宋体"/>
                <w:bCs/>
                <w:color w:val="000000" w:themeColor="text1"/>
                <w:szCs w:val="24"/>
              </w:rPr>
            </w:pPr>
            <w:r w:rsidRPr="00687B52">
              <w:rPr>
                <w:rFonts w:asciiTheme="minorEastAsia" w:eastAsiaTheme="minorEastAsia" w:hAnsiTheme="minorEastAsia" w:hint="eastAsia"/>
                <w:bCs/>
                <w:color w:val="000000" w:themeColor="text1"/>
                <w:szCs w:val="24"/>
              </w:rPr>
              <w:t>《氢气站设计规范》</w:t>
            </w:r>
            <w:r w:rsidRPr="00687B52">
              <w:rPr>
                <w:rFonts w:ascii="宋体" w:hAnsi="宋体" w:cs="宋体" w:hint="eastAsia"/>
                <w:bCs/>
                <w:color w:val="000000" w:themeColor="text1"/>
                <w:szCs w:val="24"/>
              </w:rPr>
              <w:t>GB50177-2005</w:t>
            </w:r>
          </w:p>
          <w:p w:rsidR="000E02C5" w:rsidRPr="00687B52" w:rsidRDefault="000E02C5" w:rsidP="004A22DA">
            <w:pPr>
              <w:pStyle w:val="a7"/>
              <w:rPr>
                <w:rFonts w:ascii="宋体" w:hAnsi="宋体" w:cs="宋体"/>
                <w:bCs/>
                <w:color w:val="000000" w:themeColor="text1"/>
                <w:szCs w:val="24"/>
              </w:rPr>
            </w:pPr>
            <w:r w:rsidRPr="00687B52">
              <w:rPr>
                <w:rFonts w:ascii="宋体" w:hAnsi="宋体" w:cs="宋体" w:hint="eastAsia"/>
                <w:bCs/>
                <w:color w:val="000000" w:themeColor="text1"/>
                <w:szCs w:val="24"/>
              </w:rPr>
              <w:t>第8.0.3条</w:t>
            </w:r>
          </w:p>
        </w:tc>
        <w:tc>
          <w:tcPr>
            <w:tcW w:w="1275" w:type="pct"/>
            <w:tcBorders>
              <w:left w:val="single" w:sz="4" w:space="0" w:color="auto"/>
              <w:right w:val="single" w:sz="4" w:space="0" w:color="auto"/>
            </w:tcBorders>
            <w:vAlign w:val="center"/>
          </w:tcPr>
          <w:p w:rsidR="000E02C5" w:rsidRPr="00687B52" w:rsidRDefault="000E02C5" w:rsidP="004A22DA">
            <w:pPr>
              <w:pStyle w:val="a7"/>
              <w:jc w:val="left"/>
              <w:rPr>
                <w:rFonts w:asciiTheme="minorEastAsia" w:eastAsiaTheme="minorEastAsia" w:hAnsiTheme="minorEastAsia"/>
                <w:b/>
                <w:bCs/>
                <w:color w:val="000000" w:themeColor="text1"/>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3.4</w:t>
            </w:r>
          </w:p>
        </w:tc>
        <w:tc>
          <w:tcPr>
            <w:tcW w:w="2222" w:type="pct"/>
            <w:tcBorders>
              <w:right w:val="single" w:sz="4" w:space="0" w:color="auto"/>
            </w:tcBorders>
            <w:vAlign w:val="center"/>
          </w:tcPr>
          <w:p w:rsidR="000E02C5" w:rsidRPr="00687B52" w:rsidRDefault="000E02C5" w:rsidP="004A22DA">
            <w:pPr>
              <w:pStyle w:val="a7"/>
              <w:jc w:val="left"/>
              <w:rPr>
                <w:rFonts w:ascii="宋体" w:hAnsi="宋体" w:cs="宋体"/>
                <w:color w:val="000000" w:themeColor="text1"/>
                <w:kern w:val="0"/>
                <w:szCs w:val="24"/>
              </w:rPr>
            </w:pPr>
            <w:r w:rsidRPr="00687B52">
              <w:rPr>
                <w:rFonts w:ascii="宋体" w:hAnsi="宋体" w:cs="宋体"/>
                <w:color w:val="000000" w:themeColor="text1"/>
                <w:kern w:val="0"/>
                <w:szCs w:val="24"/>
              </w:rPr>
              <w:t>有爆炸危险房间的照明应采用防爆灯具，其光源宜采用荧光灯等高效光源。灯具宜装在较低处，并不得装在氢气释放源的正上方。</w:t>
            </w:r>
            <w:r w:rsidRPr="00687B52">
              <w:rPr>
                <w:rFonts w:ascii="宋体" w:hAnsi="宋体" w:cs="宋体"/>
                <w:color w:val="000000" w:themeColor="text1"/>
                <w:kern w:val="0"/>
                <w:szCs w:val="24"/>
              </w:rPr>
              <w:br/>
              <w:t>氢气站内宜设置应急照明。</w:t>
            </w:r>
          </w:p>
        </w:tc>
        <w:tc>
          <w:tcPr>
            <w:tcW w:w="1164" w:type="pct"/>
            <w:gridSpan w:val="2"/>
            <w:tcBorders>
              <w:left w:val="single" w:sz="4" w:space="0" w:color="auto"/>
              <w:right w:val="single" w:sz="4" w:space="0" w:color="auto"/>
            </w:tcBorders>
            <w:vAlign w:val="center"/>
          </w:tcPr>
          <w:p w:rsidR="000E02C5" w:rsidRPr="00687B52" w:rsidRDefault="000E02C5" w:rsidP="004A22DA">
            <w:pPr>
              <w:pStyle w:val="a7"/>
              <w:rPr>
                <w:rFonts w:ascii="宋体" w:hAnsi="宋体" w:cs="宋体"/>
                <w:color w:val="000000" w:themeColor="text1"/>
                <w:szCs w:val="24"/>
              </w:rPr>
            </w:pPr>
            <w:r w:rsidRPr="00687B52">
              <w:rPr>
                <w:rFonts w:asciiTheme="minorEastAsia" w:eastAsiaTheme="minorEastAsia" w:hAnsiTheme="minorEastAsia" w:hint="eastAsia"/>
                <w:color w:val="000000" w:themeColor="text1"/>
                <w:szCs w:val="24"/>
              </w:rPr>
              <w:t>《氢气站设计规范》</w:t>
            </w:r>
            <w:r w:rsidRPr="00687B52">
              <w:rPr>
                <w:rFonts w:ascii="宋体" w:hAnsi="宋体" w:cs="宋体" w:hint="eastAsia"/>
                <w:color w:val="000000" w:themeColor="text1"/>
                <w:szCs w:val="24"/>
              </w:rPr>
              <w:t>GB50177-2005</w:t>
            </w:r>
          </w:p>
          <w:p w:rsidR="000E02C5" w:rsidRPr="00687B52" w:rsidRDefault="000E02C5" w:rsidP="004A22DA">
            <w:pPr>
              <w:pStyle w:val="a7"/>
              <w:rPr>
                <w:rFonts w:ascii="宋体" w:hAnsi="宋体" w:cs="宋体"/>
                <w:bCs/>
                <w:color w:val="000000" w:themeColor="text1"/>
                <w:szCs w:val="24"/>
              </w:rPr>
            </w:pPr>
            <w:r w:rsidRPr="00687B52">
              <w:rPr>
                <w:rFonts w:ascii="宋体" w:hAnsi="宋体" w:cs="宋体" w:hint="eastAsia"/>
                <w:color w:val="000000" w:themeColor="text1"/>
                <w:szCs w:val="24"/>
              </w:rPr>
              <w:t>第8.0.4条</w:t>
            </w:r>
          </w:p>
        </w:tc>
        <w:tc>
          <w:tcPr>
            <w:tcW w:w="1275" w:type="pct"/>
            <w:tcBorders>
              <w:left w:val="single" w:sz="4" w:space="0" w:color="auto"/>
              <w:right w:val="single" w:sz="4" w:space="0" w:color="auto"/>
            </w:tcBorders>
            <w:vAlign w:val="center"/>
          </w:tcPr>
          <w:p w:rsidR="000E02C5" w:rsidRPr="00687B52" w:rsidRDefault="000E02C5" w:rsidP="004A22DA">
            <w:pPr>
              <w:pStyle w:val="a7"/>
              <w:jc w:val="left"/>
              <w:rPr>
                <w:rFonts w:asciiTheme="minorEastAsia" w:eastAsiaTheme="minorEastAsia" w:hAnsiTheme="minorEastAsia"/>
                <w:b/>
                <w:bCs/>
                <w:color w:val="000000" w:themeColor="text1"/>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3.5</w:t>
            </w:r>
          </w:p>
        </w:tc>
        <w:tc>
          <w:tcPr>
            <w:tcW w:w="2222" w:type="pct"/>
            <w:tcBorders>
              <w:right w:val="single" w:sz="4" w:space="0" w:color="auto"/>
            </w:tcBorders>
            <w:vAlign w:val="center"/>
          </w:tcPr>
          <w:p w:rsidR="000E02C5" w:rsidRPr="00687B52" w:rsidRDefault="000E02C5" w:rsidP="004A22DA">
            <w:pPr>
              <w:pStyle w:val="a7"/>
              <w:jc w:val="left"/>
              <w:rPr>
                <w:rFonts w:ascii="宋体" w:hAnsi="宋体" w:cs="宋体"/>
                <w:color w:val="000000" w:themeColor="text1"/>
                <w:kern w:val="0"/>
                <w:szCs w:val="24"/>
              </w:rPr>
            </w:pPr>
            <w:r w:rsidRPr="00687B52">
              <w:rPr>
                <w:rFonts w:ascii="宋体" w:hAnsi="宋体" w:cs="宋体"/>
                <w:color w:val="000000" w:themeColor="text1"/>
                <w:kern w:val="0"/>
                <w:szCs w:val="24"/>
              </w:rPr>
              <w:t>在有爆炸危险环境内的电缆及导线敷设，应符合现行国家标准《</w:t>
            </w:r>
            <w:hyperlink r:id="rId96" w:tgtFrame="_blank" w:history="1">
              <w:r w:rsidRPr="00687B52">
                <w:rPr>
                  <w:rFonts w:ascii="宋体" w:hAnsi="宋体" w:cs="宋体"/>
                  <w:color w:val="000000" w:themeColor="text1"/>
                  <w:kern w:val="0"/>
                  <w:szCs w:val="24"/>
                </w:rPr>
                <w:t>电力</w:t>
              </w:r>
            </w:hyperlink>
            <w:r w:rsidRPr="00687B52">
              <w:rPr>
                <w:rFonts w:ascii="宋体" w:hAnsi="宋体" w:cs="宋体"/>
                <w:color w:val="000000" w:themeColor="text1"/>
                <w:kern w:val="0"/>
                <w:szCs w:val="24"/>
              </w:rPr>
              <w:t>工程电缆</w:t>
            </w:r>
            <w:hyperlink r:id="rId97" w:tgtFrame="_blank" w:history="1">
              <w:r w:rsidRPr="00687B52">
                <w:rPr>
                  <w:rFonts w:ascii="宋体" w:hAnsi="宋体" w:cs="宋体"/>
                  <w:color w:val="000000" w:themeColor="text1"/>
                  <w:kern w:val="0"/>
                  <w:szCs w:val="24"/>
                </w:rPr>
                <w:t>设计</w:t>
              </w:r>
            </w:hyperlink>
            <w:hyperlink r:id="rId98" w:tgtFrame="_blank" w:history="1">
              <w:r w:rsidRPr="00687B52">
                <w:rPr>
                  <w:rFonts w:ascii="宋体" w:hAnsi="宋体" w:cs="宋体"/>
                  <w:color w:val="000000" w:themeColor="text1"/>
                  <w:kern w:val="0"/>
                  <w:szCs w:val="24"/>
                </w:rPr>
                <w:t>规范</w:t>
              </w:r>
            </w:hyperlink>
            <w:r w:rsidRPr="00687B52">
              <w:rPr>
                <w:rFonts w:ascii="宋体" w:hAnsi="宋体" w:cs="宋体"/>
                <w:color w:val="000000" w:themeColor="text1"/>
                <w:kern w:val="0"/>
                <w:szCs w:val="24"/>
              </w:rPr>
              <w:t>》GB 50217的规定。敷设导线或电缆用的保护钢管，必须在下列各处做隔离密封：</w:t>
            </w:r>
          </w:p>
          <w:p w:rsidR="000E02C5" w:rsidRPr="00687B52" w:rsidRDefault="000E02C5" w:rsidP="004A22DA">
            <w:pPr>
              <w:pStyle w:val="a7"/>
              <w:jc w:val="left"/>
              <w:rPr>
                <w:rFonts w:ascii="宋体" w:hAnsi="宋体" w:cs="宋体"/>
                <w:color w:val="000000" w:themeColor="text1"/>
                <w:kern w:val="0"/>
                <w:szCs w:val="24"/>
              </w:rPr>
            </w:pPr>
            <w:r w:rsidRPr="00687B52">
              <w:rPr>
                <w:rFonts w:ascii="宋体" w:hAnsi="宋体" w:cs="宋体"/>
                <w:bCs/>
                <w:color w:val="000000" w:themeColor="text1"/>
                <w:kern w:val="0"/>
                <w:szCs w:val="24"/>
              </w:rPr>
              <w:t>1</w:t>
            </w:r>
            <w:r w:rsidRPr="00687B52">
              <w:rPr>
                <w:rFonts w:ascii="宋体" w:hAnsi="宋体" w:cs="宋体" w:hint="eastAsia"/>
                <w:bCs/>
                <w:color w:val="000000" w:themeColor="text1"/>
                <w:kern w:val="0"/>
                <w:szCs w:val="24"/>
              </w:rPr>
              <w:t>）</w:t>
            </w:r>
            <w:r w:rsidRPr="00687B52">
              <w:rPr>
                <w:rFonts w:ascii="宋体" w:hAnsi="宋体" w:cs="宋体"/>
                <w:bCs/>
                <w:color w:val="000000" w:themeColor="text1"/>
                <w:kern w:val="0"/>
                <w:szCs w:val="24"/>
              </w:rPr>
              <w:t>导线或电缆引向电气设备接头部件前；</w:t>
            </w:r>
            <w:r w:rsidRPr="00687B52">
              <w:rPr>
                <w:rFonts w:ascii="宋体" w:hAnsi="宋体" w:cs="宋体"/>
                <w:bCs/>
                <w:color w:val="000000" w:themeColor="text1"/>
                <w:kern w:val="0"/>
                <w:szCs w:val="24"/>
              </w:rPr>
              <w:br/>
              <w:t>2</w:t>
            </w:r>
            <w:r w:rsidRPr="00687B52">
              <w:rPr>
                <w:rFonts w:ascii="宋体" w:hAnsi="宋体" w:cs="宋体" w:hint="eastAsia"/>
                <w:bCs/>
                <w:color w:val="000000" w:themeColor="text1"/>
                <w:kern w:val="0"/>
                <w:szCs w:val="24"/>
              </w:rPr>
              <w:t>）</w:t>
            </w:r>
            <w:r w:rsidRPr="00687B52">
              <w:rPr>
                <w:rFonts w:ascii="宋体" w:hAnsi="宋体" w:cs="宋体"/>
                <w:bCs/>
                <w:color w:val="000000" w:themeColor="text1"/>
                <w:kern w:val="0"/>
                <w:szCs w:val="24"/>
              </w:rPr>
              <w:t>相邻的环境之间。</w:t>
            </w:r>
          </w:p>
        </w:tc>
        <w:tc>
          <w:tcPr>
            <w:tcW w:w="1164" w:type="pct"/>
            <w:gridSpan w:val="2"/>
            <w:tcBorders>
              <w:left w:val="single" w:sz="4" w:space="0" w:color="auto"/>
              <w:right w:val="single" w:sz="4" w:space="0" w:color="auto"/>
            </w:tcBorders>
            <w:vAlign w:val="center"/>
          </w:tcPr>
          <w:p w:rsidR="000E02C5" w:rsidRPr="00687B52" w:rsidRDefault="000E02C5" w:rsidP="004A22DA">
            <w:pPr>
              <w:pStyle w:val="a7"/>
              <w:rPr>
                <w:rFonts w:ascii="宋体" w:hAnsi="宋体" w:cs="宋体"/>
                <w:bCs/>
                <w:color w:val="000000" w:themeColor="text1"/>
                <w:szCs w:val="24"/>
              </w:rPr>
            </w:pPr>
            <w:r w:rsidRPr="00687B52">
              <w:rPr>
                <w:rFonts w:asciiTheme="minorEastAsia" w:eastAsiaTheme="minorEastAsia" w:hAnsiTheme="minorEastAsia" w:hint="eastAsia"/>
                <w:bCs/>
                <w:color w:val="000000" w:themeColor="text1"/>
                <w:szCs w:val="24"/>
              </w:rPr>
              <w:t>《氢气站设计规范》</w:t>
            </w:r>
            <w:r w:rsidRPr="00687B52">
              <w:rPr>
                <w:rFonts w:ascii="宋体" w:hAnsi="宋体" w:cs="宋体" w:hint="eastAsia"/>
                <w:bCs/>
                <w:color w:val="000000" w:themeColor="text1"/>
                <w:szCs w:val="24"/>
              </w:rPr>
              <w:t>GB50177-2005</w:t>
            </w:r>
          </w:p>
          <w:p w:rsidR="000E02C5" w:rsidRPr="00687B52" w:rsidRDefault="000E02C5" w:rsidP="004A22DA">
            <w:pPr>
              <w:pStyle w:val="a7"/>
              <w:rPr>
                <w:rFonts w:ascii="宋体" w:hAnsi="宋体" w:cs="宋体"/>
                <w:bCs/>
                <w:color w:val="000000" w:themeColor="text1"/>
                <w:szCs w:val="24"/>
              </w:rPr>
            </w:pPr>
            <w:r w:rsidRPr="00687B52">
              <w:rPr>
                <w:rFonts w:ascii="宋体" w:hAnsi="宋体" w:cs="宋体" w:hint="eastAsia"/>
                <w:bCs/>
                <w:color w:val="000000" w:themeColor="text1"/>
                <w:szCs w:val="24"/>
              </w:rPr>
              <w:t>第8.0.5条</w:t>
            </w:r>
          </w:p>
        </w:tc>
        <w:tc>
          <w:tcPr>
            <w:tcW w:w="1275" w:type="pct"/>
            <w:tcBorders>
              <w:left w:val="single" w:sz="4" w:space="0" w:color="auto"/>
              <w:right w:val="single" w:sz="4" w:space="0" w:color="auto"/>
            </w:tcBorders>
            <w:vAlign w:val="center"/>
          </w:tcPr>
          <w:p w:rsidR="000E02C5" w:rsidRPr="00687B52" w:rsidRDefault="000E02C5" w:rsidP="004A22DA">
            <w:pPr>
              <w:pStyle w:val="a7"/>
              <w:jc w:val="left"/>
              <w:rPr>
                <w:rFonts w:asciiTheme="minorEastAsia" w:eastAsiaTheme="minorEastAsia" w:hAnsiTheme="minorEastAsia"/>
                <w:b/>
                <w:bCs/>
                <w:color w:val="000000" w:themeColor="text1"/>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3.6</w:t>
            </w:r>
          </w:p>
        </w:tc>
        <w:tc>
          <w:tcPr>
            <w:tcW w:w="2222" w:type="pct"/>
            <w:tcBorders>
              <w:right w:val="single" w:sz="4" w:space="0" w:color="auto"/>
            </w:tcBorders>
            <w:vAlign w:val="center"/>
          </w:tcPr>
          <w:p w:rsidR="000E02C5" w:rsidRPr="00687B52" w:rsidRDefault="000E02C5" w:rsidP="004A22DA">
            <w:pPr>
              <w:pStyle w:val="a7"/>
              <w:jc w:val="left"/>
              <w:rPr>
                <w:rFonts w:ascii="宋体" w:hAnsi="宋体" w:cs="宋体"/>
                <w:color w:val="000000" w:themeColor="text1"/>
                <w:kern w:val="0"/>
                <w:szCs w:val="24"/>
              </w:rPr>
            </w:pPr>
            <w:r w:rsidRPr="00687B52">
              <w:rPr>
                <w:rFonts w:ascii="宋体" w:hAnsi="宋体" w:cs="宋体"/>
                <w:color w:val="000000" w:themeColor="text1"/>
                <w:kern w:val="0"/>
                <w:szCs w:val="24"/>
              </w:rPr>
              <w:t>有爆炸危险房间内，应设氢气检漏报警装置，并应与相应的事故排风机联锁。当空气中氢气浓度达到0.4％(体积比)时，事故排风机应能自动开启。</w:t>
            </w:r>
          </w:p>
        </w:tc>
        <w:tc>
          <w:tcPr>
            <w:tcW w:w="1164" w:type="pct"/>
            <w:gridSpan w:val="2"/>
            <w:tcBorders>
              <w:left w:val="single" w:sz="4" w:space="0" w:color="auto"/>
              <w:right w:val="single" w:sz="4" w:space="0" w:color="auto"/>
            </w:tcBorders>
            <w:vAlign w:val="center"/>
          </w:tcPr>
          <w:p w:rsidR="000E02C5" w:rsidRPr="00687B52" w:rsidRDefault="000E02C5" w:rsidP="004A22DA">
            <w:pPr>
              <w:pStyle w:val="a7"/>
              <w:rPr>
                <w:rFonts w:ascii="宋体" w:hAnsi="宋体" w:cs="宋体"/>
                <w:bCs/>
                <w:color w:val="000000" w:themeColor="text1"/>
                <w:szCs w:val="24"/>
              </w:rPr>
            </w:pPr>
            <w:r w:rsidRPr="00687B52">
              <w:rPr>
                <w:rFonts w:asciiTheme="minorEastAsia" w:eastAsiaTheme="minorEastAsia" w:hAnsiTheme="minorEastAsia" w:hint="eastAsia"/>
                <w:bCs/>
                <w:color w:val="000000" w:themeColor="text1"/>
                <w:szCs w:val="24"/>
              </w:rPr>
              <w:t>《氢气站设计规范》</w:t>
            </w:r>
            <w:r w:rsidRPr="00687B52">
              <w:rPr>
                <w:rFonts w:ascii="宋体" w:hAnsi="宋体" w:cs="宋体" w:hint="eastAsia"/>
                <w:bCs/>
                <w:color w:val="000000" w:themeColor="text1"/>
                <w:szCs w:val="24"/>
              </w:rPr>
              <w:t>GB50177-2005</w:t>
            </w:r>
          </w:p>
          <w:p w:rsidR="000E02C5" w:rsidRPr="00687B52" w:rsidRDefault="000E02C5" w:rsidP="004A22DA">
            <w:pPr>
              <w:pStyle w:val="a7"/>
              <w:rPr>
                <w:rFonts w:ascii="宋体" w:hAnsi="宋体" w:cs="宋体"/>
                <w:bCs/>
                <w:color w:val="000000" w:themeColor="text1"/>
                <w:szCs w:val="24"/>
              </w:rPr>
            </w:pPr>
            <w:r w:rsidRPr="00687B52">
              <w:rPr>
                <w:rFonts w:ascii="宋体" w:hAnsi="宋体" w:cs="宋体" w:hint="eastAsia"/>
                <w:bCs/>
                <w:color w:val="000000" w:themeColor="text1"/>
                <w:szCs w:val="24"/>
              </w:rPr>
              <w:t>第8.0.6条</w:t>
            </w:r>
          </w:p>
        </w:tc>
        <w:tc>
          <w:tcPr>
            <w:tcW w:w="1275" w:type="pct"/>
            <w:tcBorders>
              <w:left w:val="single" w:sz="4" w:space="0" w:color="auto"/>
              <w:right w:val="single" w:sz="4" w:space="0" w:color="auto"/>
            </w:tcBorders>
            <w:vAlign w:val="center"/>
          </w:tcPr>
          <w:p w:rsidR="000E02C5" w:rsidRPr="00687B52" w:rsidRDefault="000E02C5" w:rsidP="004A22DA">
            <w:pPr>
              <w:pStyle w:val="a7"/>
              <w:jc w:val="left"/>
              <w:rPr>
                <w:rFonts w:asciiTheme="minorEastAsia" w:eastAsiaTheme="minorEastAsia" w:hAnsiTheme="minorEastAsia"/>
                <w:b/>
                <w:bCs/>
                <w:color w:val="000000" w:themeColor="text1"/>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3.7</w:t>
            </w:r>
          </w:p>
        </w:tc>
        <w:tc>
          <w:tcPr>
            <w:tcW w:w="2222" w:type="pct"/>
            <w:tcBorders>
              <w:right w:val="single" w:sz="4" w:space="0" w:color="auto"/>
            </w:tcBorders>
            <w:vAlign w:val="center"/>
          </w:tcPr>
          <w:p w:rsidR="000E02C5" w:rsidRPr="00687B52" w:rsidRDefault="000E02C5" w:rsidP="004A22DA">
            <w:pPr>
              <w:widowControl/>
              <w:spacing w:before="100" w:beforeAutospacing="1" w:after="100" w:afterAutospacing="1" w:line="320" w:lineRule="exact"/>
              <w:jc w:val="left"/>
              <w:rPr>
                <w:rFonts w:ascii="宋体" w:hAnsi="宋体" w:cs="宋体"/>
                <w:color w:val="000000" w:themeColor="text1"/>
                <w:kern w:val="0"/>
                <w:sz w:val="24"/>
                <w:szCs w:val="24"/>
              </w:rPr>
            </w:pPr>
            <w:r w:rsidRPr="00687B52">
              <w:rPr>
                <w:rFonts w:ascii="宋体" w:hAnsi="宋体" w:cs="宋体"/>
                <w:color w:val="000000" w:themeColor="text1"/>
                <w:kern w:val="0"/>
                <w:sz w:val="24"/>
                <w:szCs w:val="24"/>
              </w:rPr>
              <w:t>氢气站、供氢站应根据需要设置下列计量仪器：</w:t>
            </w:r>
          </w:p>
          <w:p w:rsidR="000E02C5" w:rsidRPr="00687B52" w:rsidRDefault="000E02C5" w:rsidP="004A22DA">
            <w:pPr>
              <w:widowControl/>
              <w:spacing w:before="100" w:beforeAutospacing="1" w:after="100" w:afterAutospacing="1" w:line="320" w:lineRule="exact"/>
              <w:jc w:val="left"/>
              <w:rPr>
                <w:rFonts w:ascii="宋体" w:hAnsi="宋体" w:cs="宋体"/>
                <w:color w:val="000000" w:themeColor="text1"/>
                <w:kern w:val="0"/>
                <w:sz w:val="24"/>
                <w:szCs w:val="24"/>
              </w:rPr>
            </w:pPr>
            <w:r w:rsidRPr="00687B52">
              <w:rPr>
                <w:rFonts w:ascii="宋体" w:hAnsi="宋体" w:cs="宋体"/>
                <w:color w:val="000000" w:themeColor="text1"/>
                <w:kern w:val="0"/>
                <w:sz w:val="24"/>
                <w:szCs w:val="24"/>
              </w:rPr>
              <w:t>1</w:t>
            </w:r>
            <w:r w:rsidRPr="00687B52">
              <w:rPr>
                <w:rFonts w:ascii="宋体" w:hAnsi="宋体" w:cs="宋体" w:hint="eastAsia"/>
                <w:color w:val="000000" w:themeColor="text1"/>
                <w:kern w:val="0"/>
                <w:sz w:val="24"/>
                <w:szCs w:val="24"/>
              </w:rPr>
              <w:t>）</w:t>
            </w:r>
            <w:r w:rsidRPr="00687B52">
              <w:rPr>
                <w:rFonts w:ascii="宋体" w:hAnsi="宋体" w:cs="宋体"/>
                <w:color w:val="000000" w:themeColor="text1"/>
                <w:kern w:val="0"/>
                <w:sz w:val="24"/>
                <w:szCs w:val="24"/>
              </w:rPr>
              <w:t>原料气体流量计；</w:t>
            </w:r>
            <w:r w:rsidRPr="00687B52">
              <w:rPr>
                <w:rFonts w:ascii="宋体" w:hAnsi="宋体" w:cs="宋体"/>
                <w:color w:val="000000" w:themeColor="text1"/>
                <w:kern w:val="0"/>
                <w:sz w:val="24"/>
                <w:szCs w:val="24"/>
              </w:rPr>
              <w:br/>
              <w:t>2</w:t>
            </w:r>
            <w:r w:rsidRPr="00687B52">
              <w:rPr>
                <w:rFonts w:ascii="宋体" w:hAnsi="宋体" w:cs="宋体" w:hint="eastAsia"/>
                <w:color w:val="000000" w:themeColor="text1"/>
                <w:kern w:val="0"/>
                <w:sz w:val="24"/>
                <w:szCs w:val="24"/>
              </w:rPr>
              <w:t>）</w:t>
            </w:r>
            <w:r w:rsidRPr="00687B52">
              <w:rPr>
                <w:rFonts w:ascii="宋体" w:hAnsi="宋体" w:cs="宋体"/>
                <w:color w:val="000000" w:themeColor="text1"/>
                <w:kern w:val="0"/>
                <w:sz w:val="24"/>
                <w:szCs w:val="24"/>
              </w:rPr>
              <w:t>产品氢气或对外供氢的氢气流量计。</w:t>
            </w:r>
          </w:p>
        </w:tc>
        <w:tc>
          <w:tcPr>
            <w:tcW w:w="1164" w:type="pct"/>
            <w:gridSpan w:val="2"/>
            <w:tcBorders>
              <w:left w:val="single" w:sz="4" w:space="0" w:color="auto"/>
              <w:right w:val="single" w:sz="4" w:space="0" w:color="auto"/>
            </w:tcBorders>
            <w:vAlign w:val="center"/>
          </w:tcPr>
          <w:p w:rsidR="000E02C5" w:rsidRPr="00687B52" w:rsidRDefault="000E02C5" w:rsidP="004A22DA">
            <w:pPr>
              <w:pStyle w:val="a7"/>
              <w:rPr>
                <w:rFonts w:ascii="宋体" w:hAnsi="宋体" w:cs="宋体"/>
                <w:color w:val="000000" w:themeColor="text1"/>
                <w:szCs w:val="24"/>
              </w:rPr>
            </w:pPr>
            <w:r w:rsidRPr="00687B52">
              <w:rPr>
                <w:rFonts w:asciiTheme="minorEastAsia" w:eastAsiaTheme="minorEastAsia" w:hAnsiTheme="minorEastAsia" w:hint="eastAsia"/>
                <w:color w:val="000000" w:themeColor="text1"/>
                <w:szCs w:val="24"/>
              </w:rPr>
              <w:t>《氢气站设计规范》</w:t>
            </w:r>
            <w:r w:rsidRPr="00687B52">
              <w:rPr>
                <w:rFonts w:ascii="宋体" w:hAnsi="宋体" w:cs="宋体" w:hint="eastAsia"/>
                <w:color w:val="000000" w:themeColor="text1"/>
                <w:szCs w:val="24"/>
              </w:rPr>
              <w:t>GB50177-2005</w:t>
            </w:r>
          </w:p>
          <w:p w:rsidR="000E02C5" w:rsidRPr="00687B52" w:rsidRDefault="000E02C5" w:rsidP="004A22DA">
            <w:pPr>
              <w:pStyle w:val="a7"/>
              <w:rPr>
                <w:rFonts w:ascii="宋体" w:hAnsi="宋体" w:cs="宋体"/>
                <w:color w:val="000000" w:themeColor="text1"/>
                <w:szCs w:val="24"/>
              </w:rPr>
            </w:pPr>
            <w:r w:rsidRPr="00687B52">
              <w:rPr>
                <w:rFonts w:ascii="宋体" w:hAnsi="宋体" w:cs="宋体" w:hint="eastAsia"/>
                <w:color w:val="000000" w:themeColor="text1"/>
                <w:szCs w:val="24"/>
              </w:rPr>
              <w:t>第8.0.8条</w:t>
            </w:r>
          </w:p>
        </w:tc>
        <w:tc>
          <w:tcPr>
            <w:tcW w:w="1275" w:type="pct"/>
            <w:tcBorders>
              <w:left w:val="single" w:sz="4" w:space="0" w:color="auto"/>
              <w:right w:val="single" w:sz="4" w:space="0" w:color="auto"/>
            </w:tcBorders>
            <w:vAlign w:val="center"/>
          </w:tcPr>
          <w:p w:rsidR="000E02C5" w:rsidRPr="00687B52" w:rsidRDefault="000E02C5" w:rsidP="004A22DA">
            <w:pPr>
              <w:pStyle w:val="a7"/>
              <w:jc w:val="left"/>
              <w:rPr>
                <w:rFonts w:asciiTheme="minorEastAsia" w:eastAsiaTheme="minorEastAsia" w:hAnsiTheme="minorEastAsia"/>
                <w:b/>
                <w:bCs/>
                <w:color w:val="000000" w:themeColor="text1"/>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3.8</w:t>
            </w:r>
          </w:p>
        </w:tc>
        <w:tc>
          <w:tcPr>
            <w:tcW w:w="2222" w:type="pct"/>
            <w:tcBorders>
              <w:right w:val="single" w:sz="4" w:space="0" w:color="auto"/>
            </w:tcBorders>
            <w:vAlign w:val="center"/>
          </w:tcPr>
          <w:p w:rsidR="000E02C5" w:rsidRPr="00687B52" w:rsidRDefault="000E02C5" w:rsidP="004A22DA">
            <w:pPr>
              <w:pStyle w:val="a7"/>
              <w:jc w:val="left"/>
              <w:rPr>
                <w:rFonts w:ascii="宋体" w:hAnsi="宋体" w:cs="宋体"/>
                <w:color w:val="000000" w:themeColor="text1"/>
                <w:kern w:val="0"/>
                <w:szCs w:val="24"/>
              </w:rPr>
            </w:pPr>
            <w:r w:rsidRPr="00687B52">
              <w:rPr>
                <w:rFonts w:ascii="宋体" w:hAnsi="宋体" w:cs="宋体"/>
                <w:color w:val="000000" w:themeColor="text1"/>
                <w:kern w:val="0"/>
                <w:szCs w:val="24"/>
              </w:rPr>
              <w:t>氢气灌瓶间与氢气压缩机间之间，应设联系信号。</w:t>
            </w:r>
          </w:p>
        </w:tc>
        <w:tc>
          <w:tcPr>
            <w:tcW w:w="1164" w:type="pct"/>
            <w:gridSpan w:val="2"/>
            <w:tcBorders>
              <w:left w:val="single" w:sz="4" w:space="0" w:color="auto"/>
              <w:right w:val="single" w:sz="4" w:space="0" w:color="auto"/>
            </w:tcBorders>
            <w:vAlign w:val="center"/>
          </w:tcPr>
          <w:p w:rsidR="000E02C5" w:rsidRPr="00687B52" w:rsidRDefault="000E02C5" w:rsidP="004A22DA">
            <w:pPr>
              <w:pStyle w:val="a7"/>
              <w:rPr>
                <w:rFonts w:ascii="宋体" w:hAnsi="宋体" w:cs="宋体"/>
                <w:color w:val="000000" w:themeColor="text1"/>
                <w:szCs w:val="24"/>
              </w:rPr>
            </w:pPr>
            <w:r w:rsidRPr="00687B52">
              <w:rPr>
                <w:rFonts w:asciiTheme="minorEastAsia" w:eastAsiaTheme="minorEastAsia" w:hAnsiTheme="minorEastAsia" w:hint="eastAsia"/>
                <w:color w:val="000000" w:themeColor="text1"/>
                <w:szCs w:val="24"/>
              </w:rPr>
              <w:t>《氢气站设计规范》</w:t>
            </w:r>
            <w:r w:rsidRPr="00687B52">
              <w:rPr>
                <w:rFonts w:ascii="宋体" w:hAnsi="宋体" w:cs="宋体" w:hint="eastAsia"/>
                <w:color w:val="000000" w:themeColor="text1"/>
                <w:szCs w:val="24"/>
              </w:rPr>
              <w:t>GB50177-2005</w:t>
            </w:r>
          </w:p>
          <w:p w:rsidR="000E02C5" w:rsidRPr="00687B52" w:rsidRDefault="000E02C5" w:rsidP="004A22DA">
            <w:pPr>
              <w:pStyle w:val="a7"/>
              <w:rPr>
                <w:rFonts w:ascii="宋体" w:hAnsi="宋体" w:cs="宋体"/>
                <w:color w:val="000000" w:themeColor="text1"/>
                <w:szCs w:val="24"/>
              </w:rPr>
            </w:pPr>
            <w:r w:rsidRPr="00687B52">
              <w:rPr>
                <w:rFonts w:ascii="宋体" w:hAnsi="宋体" w:cs="宋体" w:hint="eastAsia"/>
                <w:color w:val="000000" w:themeColor="text1"/>
                <w:szCs w:val="24"/>
              </w:rPr>
              <w:t>第8.0.11条</w:t>
            </w:r>
          </w:p>
        </w:tc>
        <w:tc>
          <w:tcPr>
            <w:tcW w:w="1275" w:type="pct"/>
            <w:tcBorders>
              <w:left w:val="single" w:sz="4" w:space="0" w:color="auto"/>
              <w:right w:val="single" w:sz="4" w:space="0" w:color="auto"/>
            </w:tcBorders>
            <w:vAlign w:val="center"/>
          </w:tcPr>
          <w:p w:rsidR="000E02C5" w:rsidRPr="00687B52" w:rsidRDefault="000E02C5" w:rsidP="004A22DA">
            <w:pPr>
              <w:pStyle w:val="a7"/>
              <w:jc w:val="left"/>
              <w:rPr>
                <w:rFonts w:asciiTheme="minorEastAsia" w:eastAsiaTheme="minorEastAsia" w:hAnsiTheme="minorEastAsia"/>
                <w:b/>
                <w:bCs/>
                <w:color w:val="000000" w:themeColor="text1"/>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3.9</w:t>
            </w:r>
          </w:p>
        </w:tc>
        <w:tc>
          <w:tcPr>
            <w:tcW w:w="2222" w:type="pct"/>
            <w:tcBorders>
              <w:right w:val="single" w:sz="4" w:space="0" w:color="auto"/>
            </w:tcBorders>
            <w:vAlign w:val="center"/>
          </w:tcPr>
          <w:p w:rsidR="000E02C5" w:rsidRPr="00687B52" w:rsidRDefault="000E02C5" w:rsidP="004A22DA">
            <w:pPr>
              <w:pStyle w:val="a7"/>
              <w:jc w:val="left"/>
              <w:rPr>
                <w:rFonts w:ascii="宋体" w:hAnsi="宋体" w:cs="宋体"/>
                <w:color w:val="000000" w:themeColor="text1"/>
                <w:kern w:val="0"/>
                <w:szCs w:val="24"/>
              </w:rPr>
            </w:pPr>
            <w:r w:rsidRPr="00687B52">
              <w:rPr>
                <w:rFonts w:ascii="宋体" w:hAnsi="宋体" w:cs="宋体"/>
                <w:color w:val="000000" w:themeColor="text1"/>
                <w:kern w:val="0"/>
                <w:szCs w:val="24"/>
              </w:rPr>
              <w:t>氢气站、供氢站应设自动</w:t>
            </w:r>
            <w:hyperlink r:id="rId99" w:tgtFrame="_blank" w:history="1">
              <w:r w:rsidRPr="00687B52">
                <w:rPr>
                  <w:rFonts w:ascii="宋体" w:hAnsi="宋体" w:cs="宋体"/>
                  <w:bCs/>
                  <w:color w:val="000000" w:themeColor="text1"/>
                  <w:kern w:val="0"/>
                  <w:szCs w:val="24"/>
                </w:rPr>
                <w:t>控制</w:t>
              </w:r>
            </w:hyperlink>
            <w:r w:rsidRPr="00687B52">
              <w:rPr>
                <w:rFonts w:ascii="宋体" w:hAnsi="宋体" w:cs="宋体"/>
                <w:color w:val="000000" w:themeColor="text1"/>
                <w:kern w:val="0"/>
                <w:szCs w:val="24"/>
              </w:rPr>
              <w:t>系统；需要时可按无人值守要求配置。</w:t>
            </w:r>
          </w:p>
        </w:tc>
        <w:tc>
          <w:tcPr>
            <w:tcW w:w="1164" w:type="pct"/>
            <w:gridSpan w:val="2"/>
            <w:tcBorders>
              <w:left w:val="single" w:sz="4" w:space="0" w:color="auto"/>
              <w:right w:val="single" w:sz="4" w:space="0" w:color="auto"/>
            </w:tcBorders>
            <w:vAlign w:val="center"/>
          </w:tcPr>
          <w:p w:rsidR="000E02C5" w:rsidRPr="00687B52" w:rsidRDefault="000E02C5" w:rsidP="004A22DA">
            <w:pPr>
              <w:pStyle w:val="a7"/>
              <w:rPr>
                <w:rFonts w:ascii="宋体" w:hAnsi="宋体" w:cs="宋体"/>
                <w:color w:val="000000" w:themeColor="text1"/>
                <w:szCs w:val="24"/>
              </w:rPr>
            </w:pPr>
            <w:r w:rsidRPr="00687B52">
              <w:rPr>
                <w:rFonts w:asciiTheme="minorEastAsia" w:eastAsiaTheme="minorEastAsia" w:hAnsiTheme="minorEastAsia" w:hint="eastAsia"/>
                <w:color w:val="000000" w:themeColor="text1"/>
                <w:szCs w:val="24"/>
              </w:rPr>
              <w:t>《氢气站设计规范》</w:t>
            </w:r>
            <w:r w:rsidRPr="00687B52">
              <w:rPr>
                <w:rFonts w:ascii="宋体" w:hAnsi="宋体" w:cs="宋体" w:hint="eastAsia"/>
                <w:color w:val="000000" w:themeColor="text1"/>
                <w:szCs w:val="24"/>
              </w:rPr>
              <w:t>GB50177-2005</w:t>
            </w:r>
          </w:p>
          <w:p w:rsidR="000E02C5" w:rsidRPr="00687B52" w:rsidRDefault="000E02C5" w:rsidP="004A22DA">
            <w:pPr>
              <w:pStyle w:val="a7"/>
              <w:rPr>
                <w:rFonts w:ascii="宋体" w:hAnsi="宋体" w:cs="宋体"/>
                <w:color w:val="000000" w:themeColor="text1"/>
                <w:szCs w:val="24"/>
              </w:rPr>
            </w:pPr>
            <w:r w:rsidRPr="00687B52">
              <w:rPr>
                <w:rFonts w:ascii="宋体" w:hAnsi="宋体" w:cs="宋体" w:hint="eastAsia"/>
                <w:color w:val="000000" w:themeColor="text1"/>
                <w:szCs w:val="24"/>
              </w:rPr>
              <w:t>第8.0.14条</w:t>
            </w:r>
          </w:p>
        </w:tc>
        <w:tc>
          <w:tcPr>
            <w:tcW w:w="1275" w:type="pct"/>
            <w:tcBorders>
              <w:left w:val="single" w:sz="4" w:space="0" w:color="auto"/>
              <w:right w:val="single" w:sz="4" w:space="0" w:color="auto"/>
            </w:tcBorders>
            <w:vAlign w:val="center"/>
          </w:tcPr>
          <w:p w:rsidR="000E02C5" w:rsidRPr="00687B52" w:rsidRDefault="000E02C5" w:rsidP="004A22DA">
            <w:pPr>
              <w:pStyle w:val="a7"/>
              <w:jc w:val="left"/>
              <w:rPr>
                <w:rFonts w:asciiTheme="minorEastAsia" w:eastAsiaTheme="minorEastAsia" w:hAnsiTheme="minorEastAsia"/>
                <w:b/>
                <w:bCs/>
                <w:color w:val="000000" w:themeColor="text1"/>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3.10</w:t>
            </w:r>
          </w:p>
        </w:tc>
        <w:tc>
          <w:tcPr>
            <w:tcW w:w="2222" w:type="pct"/>
            <w:tcBorders>
              <w:right w:val="single" w:sz="4" w:space="0" w:color="auto"/>
            </w:tcBorders>
            <w:vAlign w:val="center"/>
          </w:tcPr>
          <w:p w:rsidR="000E02C5" w:rsidRPr="00687B52" w:rsidRDefault="000E02C5" w:rsidP="004A22DA">
            <w:pPr>
              <w:pStyle w:val="a7"/>
              <w:jc w:val="left"/>
              <w:rPr>
                <w:rFonts w:ascii="宋体" w:hAnsi="宋体" w:cs="宋体"/>
                <w:color w:val="000000" w:themeColor="text1"/>
                <w:kern w:val="0"/>
                <w:szCs w:val="24"/>
              </w:rPr>
            </w:pPr>
            <w:r w:rsidRPr="00687B52">
              <w:rPr>
                <w:rFonts w:ascii="宋体" w:hAnsi="宋体" w:cs="宋体"/>
                <w:color w:val="000000" w:themeColor="text1"/>
                <w:kern w:val="0"/>
                <w:szCs w:val="24"/>
              </w:rPr>
              <w:t>氢气站、供氢站的防雷分类不应低于第二类防雷</w:t>
            </w:r>
            <w:hyperlink r:id="rId100" w:tgtFrame="_blank" w:history="1">
              <w:r w:rsidRPr="00687B52">
                <w:rPr>
                  <w:rFonts w:ascii="宋体" w:hAnsi="宋体" w:cs="宋体"/>
                  <w:color w:val="000000" w:themeColor="text1"/>
                  <w:kern w:val="0"/>
                  <w:szCs w:val="24"/>
                </w:rPr>
                <w:t>建筑</w:t>
              </w:r>
            </w:hyperlink>
            <w:r w:rsidRPr="00687B52">
              <w:rPr>
                <w:rFonts w:ascii="宋体" w:hAnsi="宋体" w:cs="宋体"/>
                <w:color w:val="000000" w:themeColor="text1"/>
                <w:kern w:val="0"/>
                <w:szCs w:val="24"/>
              </w:rPr>
              <w:t>。其防雷设施应防直击雷、防雷电感应和防雷电波侵入。防直击雷的防雷接闪器，应使被保护的氢气站</w:t>
            </w:r>
            <w:hyperlink r:id="rId101" w:tgtFrame="_blank" w:history="1">
              <w:r w:rsidRPr="00687B52">
                <w:rPr>
                  <w:rFonts w:ascii="宋体" w:hAnsi="宋体" w:cs="宋体"/>
                  <w:color w:val="000000" w:themeColor="text1"/>
                  <w:kern w:val="0"/>
                  <w:szCs w:val="24"/>
                </w:rPr>
                <w:t>建筑</w:t>
              </w:r>
            </w:hyperlink>
            <w:r w:rsidRPr="00687B52">
              <w:rPr>
                <w:rFonts w:ascii="宋体" w:hAnsi="宋体" w:cs="宋体"/>
                <w:color w:val="000000" w:themeColor="text1"/>
                <w:kern w:val="0"/>
                <w:szCs w:val="24"/>
              </w:rPr>
              <w:t>物、构筑物、通风风帽、氢气放空管等突出屋面的物体均处于保护范围内。</w:t>
            </w:r>
          </w:p>
        </w:tc>
        <w:tc>
          <w:tcPr>
            <w:tcW w:w="1164" w:type="pct"/>
            <w:gridSpan w:val="2"/>
            <w:tcBorders>
              <w:left w:val="single" w:sz="4" w:space="0" w:color="auto"/>
              <w:right w:val="single" w:sz="4" w:space="0" w:color="auto"/>
            </w:tcBorders>
            <w:vAlign w:val="center"/>
          </w:tcPr>
          <w:p w:rsidR="000E02C5" w:rsidRPr="00687B52" w:rsidRDefault="000E02C5" w:rsidP="004A22DA">
            <w:pPr>
              <w:pStyle w:val="a7"/>
              <w:rPr>
                <w:rFonts w:ascii="宋体" w:hAnsi="宋体" w:cs="宋体"/>
                <w:bCs/>
                <w:color w:val="000000" w:themeColor="text1"/>
                <w:szCs w:val="24"/>
              </w:rPr>
            </w:pPr>
            <w:r w:rsidRPr="00687B52">
              <w:rPr>
                <w:rFonts w:asciiTheme="minorEastAsia" w:eastAsiaTheme="minorEastAsia" w:hAnsiTheme="minorEastAsia" w:hint="eastAsia"/>
                <w:bCs/>
                <w:color w:val="000000" w:themeColor="text1"/>
                <w:szCs w:val="24"/>
              </w:rPr>
              <w:t>《氢气站设计规范》</w:t>
            </w:r>
            <w:r w:rsidRPr="00687B52">
              <w:rPr>
                <w:rFonts w:ascii="宋体" w:hAnsi="宋体" w:cs="宋体" w:hint="eastAsia"/>
                <w:bCs/>
                <w:color w:val="000000" w:themeColor="text1"/>
                <w:szCs w:val="24"/>
              </w:rPr>
              <w:t>GB50177-2005</w:t>
            </w:r>
          </w:p>
          <w:p w:rsidR="000E02C5" w:rsidRPr="00687B52" w:rsidRDefault="000E02C5" w:rsidP="004A22DA">
            <w:pPr>
              <w:pStyle w:val="a7"/>
              <w:rPr>
                <w:rFonts w:ascii="宋体" w:hAnsi="宋体" w:cs="宋体"/>
                <w:bCs/>
                <w:color w:val="000000" w:themeColor="text1"/>
                <w:szCs w:val="24"/>
              </w:rPr>
            </w:pPr>
            <w:r w:rsidRPr="00687B52">
              <w:rPr>
                <w:rFonts w:ascii="宋体" w:hAnsi="宋体" w:cs="宋体" w:hint="eastAsia"/>
                <w:bCs/>
                <w:color w:val="000000" w:themeColor="text1"/>
                <w:szCs w:val="24"/>
              </w:rPr>
              <w:t>第9.0.2条</w:t>
            </w:r>
          </w:p>
        </w:tc>
        <w:tc>
          <w:tcPr>
            <w:tcW w:w="1275" w:type="pct"/>
            <w:tcBorders>
              <w:left w:val="single" w:sz="4" w:space="0" w:color="auto"/>
              <w:right w:val="single" w:sz="4" w:space="0" w:color="auto"/>
            </w:tcBorders>
            <w:vAlign w:val="center"/>
          </w:tcPr>
          <w:p w:rsidR="000E02C5" w:rsidRPr="00687B52" w:rsidRDefault="000E02C5" w:rsidP="004A22DA">
            <w:pPr>
              <w:pStyle w:val="a7"/>
              <w:jc w:val="left"/>
              <w:rPr>
                <w:rFonts w:asciiTheme="minorEastAsia" w:eastAsiaTheme="minorEastAsia" w:hAnsiTheme="minorEastAsia"/>
                <w:b/>
                <w:bCs/>
                <w:color w:val="000000" w:themeColor="text1"/>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3.11</w:t>
            </w:r>
          </w:p>
        </w:tc>
        <w:tc>
          <w:tcPr>
            <w:tcW w:w="2222" w:type="pct"/>
            <w:tcBorders>
              <w:right w:val="single" w:sz="4" w:space="0" w:color="auto"/>
            </w:tcBorders>
            <w:vAlign w:val="center"/>
          </w:tcPr>
          <w:p w:rsidR="000E02C5" w:rsidRPr="00687B52" w:rsidRDefault="000E02C5" w:rsidP="004A22DA">
            <w:pPr>
              <w:pStyle w:val="a7"/>
              <w:jc w:val="left"/>
              <w:rPr>
                <w:rFonts w:ascii="宋体" w:hAnsi="宋体" w:cs="宋体"/>
                <w:color w:val="000000" w:themeColor="text1"/>
                <w:kern w:val="0"/>
                <w:szCs w:val="24"/>
              </w:rPr>
            </w:pPr>
            <w:r w:rsidRPr="00687B52">
              <w:rPr>
                <w:rFonts w:ascii="宋体" w:hAnsi="宋体" w:cs="宋体"/>
                <w:color w:val="000000" w:themeColor="text1"/>
                <w:kern w:val="0"/>
                <w:szCs w:val="24"/>
              </w:rPr>
              <w:t>氢气站、供氢站内的设备、管道、构架、电缆金属外皮、钢屋架和突出屋面的放空管、风管等应接到防雷电感应接地装置上。管道法兰、阀门等连接处，应采用金属线跨接。</w:t>
            </w:r>
          </w:p>
        </w:tc>
        <w:tc>
          <w:tcPr>
            <w:tcW w:w="1164" w:type="pct"/>
            <w:gridSpan w:val="2"/>
            <w:tcBorders>
              <w:left w:val="single" w:sz="4" w:space="0" w:color="auto"/>
              <w:right w:val="single" w:sz="4" w:space="0" w:color="auto"/>
            </w:tcBorders>
            <w:vAlign w:val="center"/>
          </w:tcPr>
          <w:p w:rsidR="000E02C5" w:rsidRPr="00687B52" w:rsidRDefault="000E02C5" w:rsidP="004A22DA">
            <w:pPr>
              <w:pStyle w:val="a7"/>
              <w:rPr>
                <w:rFonts w:ascii="宋体" w:hAnsi="宋体" w:cs="宋体"/>
                <w:bCs/>
                <w:color w:val="000000" w:themeColor="text1"/>
                <w:szCs w:val="24"/>
              </w:rPr>
            </w:pPr>
            <w:r w:rsidRPr="00687B52">
              <w:rPr>
                <w:rFonts w:asciiTheme="minorEastAsia" w:eastAsiaTheme="minorEastAsia" w:hAnsiTheme="minorEastAsia" w:hint="eastAsia"/>
                <w:bCs/>
                <w:color w:val="000000" w:themeColor="text1"/>
                <w:szCs w:val="24"/>
              </w:rPr>
              <w:t>《氢气站设计规范》</w:t>
            </w:r>
            <w:r w:rsidRPr="00687B52">
              <w:rPr>
                <w:rFonts w:ascii="宋体" w:hAnsi="宋体" w:cs="宋体" w:hint="eastAsia"/>
                <w:bCs/>
                <w:color w:val="000000" w:themeColor="text1"/>
                <w:szCs w:val="24"/>
              </w:rPr>
              <w:t>GB50177-2005</w:t>
            </w:r>
          </w:p>
          <w:p w:rsidR="000E02C5" w:rsidRPr="00687B52" w:rsidRDefault="000E02C5" w:rsidP="004A22DA">
            <w:pPr>
              <w:pStyle w:val="a7"/>
              <w:rPr>
                <w:rFonts w:ascii="宋体" w:hAnsi="宋体" w:cs="宋体"/>
                <w:bCs/>
                <w:color w:val="000000" w:themeColor="text1"/>
                <w:szCs w:val="24"/>
              </w:rPr>
            </w:pPr>
            <w:r w:rsidRPr="00687B52">
              <w:rPr>
                <w:rFonts w:ascii="宋体" w:hAnsi="宋体" w:cs="宋体" w:hint="eastAsia"/>
                <w:bCs/>
                <w:color w:val="000000" w:themeColor="text1"/>
                <w:szCs w:val="24"/>
              </w:rPr>
              <w:t>第9.0.4条</w:t>
            </w:r>
          </w:p>
        </w:tc>
        <w:tc>
          <w:tcPr>
            <w:tcW w:w="1275" w:type="pct"/>
            <w:tcBorders>
              <w:left w:val="single" w:sz="4" w:space="0" w:color="auto"/>
              <w:right w:val="single" w:sz="4" w:space="0" w:color="auto"/>
            </w:tcBorders>
            <w:vAlign w:val="center"/>
          </w:tcPr>
          <w:p w:rsidR="000E02C5" w:rsidRPr="00687B52" w:rsidRDefault="000E02C5" w:rsidP="004A22DA">
            <w:pPr>
              <w:pStyle w:val="a7"/>
              <w:jc w:val="left"/>
              <w:rPr>
                <w:rFonts w:asciiTheme="minorEastAsia" w:eastAsiaTheme="minorEastAsia" w:hAnsiTheme="minorEastAsia"/>
                <w:b/>
                <w:bCs/>
                <w:color w:val="000000" w:themeColor="text1"/>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3.12</w:t>
            </w:r>
          </w:p>
        </w:tc>
        <w:tc>
          <w:tcPr>
            <w:tcW w:w="2222" w:type="pct"/>
            <w:tcBorders>
              <w:right w:val="single" w:sz="4" w:space="0" w:color="auto"/>
            </w:tcBorders>
            <w:vAlign w:val="center"/>
          </w:tcPr>
          <w:p w:rsidR="000E02C5" w:rsidRPr="00687B52" w:rsidRDefault="000E02C5" w:rsidP="004A22DA">
            <w:pPr>
              <w:pStyle w:val="a7"/>
              <w:jc w:val="left"/>
              <w:rPr>
                <w:rFonts w:ascii="宋体" w:hAnsi="宋体" w:cs="宋体"/>
                <w:color w:val="000000" w:themeColor="text1"/>
                <w:kern w:val="0"/>
                <w:szCs w:val="24"/>
              </w:rPr>
            </w:pPr>
            <w:r w:rsidRPr="00687B52">
              <w:rPr>
                <w:rFonts w:ascii="宋体" w:hAnsi="宋体" w:cs="宋体"/>
                <w:color w:val="000000" w:themeColor="text1"/>
                <w:kern w:val="0"/>
                <w:szCs w:val="24"/>
              </w:rPr>
              <w:t>室外架空敷设氢气管道应与防雷电感应的接地装置相连。距</w:t>
            </w:r>
            <w:hyperlink r:id="rId102" w:tgtFrame="_blank" w:history="1">
              <w:r w:rsidRPr="00687B52">
                <w:rPr>
                  <w:rFonts w:ascii="宋体" w:hAnsi="宋体" w:cs="宋体"/>
                  <w:color w:val="000000" w:themeColor="text1"/>
                  <w:kern w:val="0"/>
                  <w:szCs w:val="24"/>
                </w:rPr>
                <w:t>建筑</w:t>
              </w:r>
            </w:hyperlink>
            <w:r w:rsidRPr="00687B52">
              <w:rPr>
                <w:rFonts w:ascii="宋体" w:hAnsi="宋体" w:cs="宋体"/>
                <w:color w:val="000000" w:themeColor="text1"/>
                <w:kern w:val="0"/>
                <w:szCs w:val="24"/>
              </w:rPr>
              <w:t>100m内管道，每隔25m左右接地一次，其冲击接地电阻不应大于20Ω。埋地氢气管道，在进出</w:t>
            </w:r>
            <w:hyperlink r:id="rId103" w:tgtFrame="_blank" w:history="1">
              <w:r w:rsidRPr="00687B52">
                <w:rPr>
                  <w:rFonts w:ascii="宋体" w:hAnsi="宋体" w:cs="宋体"/>
                  <w:color w:val="000000" w:themeColor="text1"/>
                  <w:kern w:val="0"/>
                  <w:szCs w:val="24"/>
                </w:rPr>
                <w:t>建筑</w:t>
              </w:r>
            </w:hyperlink>
            <w:r w:rsidRPr="00687B52">
              <w:rPr>
                <w:rFonts w:ascii="宋体" w:hAnsi="宋体" w:cs="宋体"/>
                <w:color w:val="000000" w:themeColor="text1"/>
                <w:kern w:val="0"/>
                <w:szCs w:val="24"/>
              </w:rPr>
              <w:t>物处亦应与防雷电感应的接地装置相连。</w:t>
            </w:r>
          </w:p>
        </w:tc>
        <w:tc>
          <w:tcPr>
            <w:tcW w:w="1164" w:type="pct"/>
            <w:gridSpan w:val="2"/>
            <w:tcBorders>
              <w:left w:val="single" w:sz="4" w:space="0" w:color="auto"/>
              <w:right w:val="single" w:sz="4" w:space="0" w:color="auto"/>
            </w:tcBorders>
            <w:vAlign w:val="center"/>
          </w:tcPr>
          <w:p w:rsidR="000E02C5" w:rsidRPr="00687B52" w:rsidRDefault="000E02C5" w:rsidP="004A22DA">
            <w:pPr>
              <w:pStyle w:val="a7"/>
              <w:rPr>
                <w:rFonts w:ascii="宋体" w:hAnsi="宋体" w:cs="宋体"/>
                <w:bCs/>
                <w:color w:val="000000" w:themeColor="text1"/>
                <w:szCs w:val="24"/>
              </w:rPr>
            </w:pPr>
            <w:r w:rsidRPr="00687B52">
              <w:rPr>
                <w:rFonts w:asciiTheme="minorEastAsia" w:eastAsiaTheme="minorEastAsia" w:hAnsiTheme="minorEastAsia" w:hint="eastAsia"/>
                <w:bCs/>
                <w:color w:val="000000" w:themeColor="text1"/>
                <w:szCs w:val="24"/>
              </w:rPr>
              <w:t>《氢气站设计规范》</w:t>
            </w:r>
            <w:r w:rsidRPr="00687B52">
              <w:rPr>
                <w:rFonts w:ascii="宋体" w:hAnsi="宋体" w:cs="宋体" w:hint="eastAsia"/>
                <w:bCs/>
                <w:color w:val="000000" w:themeColor="text1"/>
                <w:szCs w:val="24"/>
              </w:rPr>
              <w:t>GB50177-2005</w:t>
            </w:r>
          </w:p>
          <w:p w:rsidR="000E02C5" w:rsidRPr="00687B52" w:rsidRDefault="000E02C5" w:rsidP="004A22DA">
            <w:pPr>
              <w:pStyle w:val="a7"/>
              <w:rPr>
                <w:rFonts w:ascii="宋体" w:hAnsi="宋体" w:cs="宋体"/>
                <w:bCs/>
                <w:color w:val="000000" w:themeColor="text1"/>
                <w:szCs w:val="24"/>
              </w:rPr>
            </w:pPr>
            <w:r w:rsidRPr="00687B52">
              <w:rPr>
                <w:rFonts w:ascii="宋体" w:hAnsi="宋体" w:cs="宋体" w:hint="eastAsia"/>
                <w:bCs/>
                <w:color w:val="000000" w:themeColor="text1"/>
                <w:szCs w:val="24"/>
              </w:rPr>
              <w:t>第9.0.6条</w:t>
            </w:r>
          </w:p>
        </w:tc>
        <w:tc>
          <w:tcPr>
            <w:tcW w:w="1275" w:type="pct"/>
            <w:tcBorders>
              <w:left w:val="single" w:sz="4" w:space="0" w:color="auto"/>
              <w:right w:val="single" w:sz="4" w:space="0" w:color="auto"/>
            </w:tcBorders>
            <w:vAlign w:val="center"/>
          </w:tcPr>
          <w:p w:rsidR="000E02C5" w:rsidRPr="00687B52" w:rsidRDefault="000E02C5" w:rsidP="004A22DA">
            <w:pPr>
              <w:pStyle w:val="a7"/>
              <w:jc w:val="left"/>
              <w:rPr>
                <w:rFonts w:asciiTheme="minorEastAsia" w:eastAsiaTheme="minorEastAsia" w:hAnsiTheme="minorEastAsia"/>
                <w:b/>
                <w:bCs/>
                <w:color w:val="000000" w:themeColor="text1"/>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3.13</w:t>
            </w:r>
          </w:p>
        </w:tc>
        <w:tc>
          <w:tcPr>
            <w:tcW w:w="2222" w:type="pct"/>
            <w:tcBorders>
              <w:right w:val="single" w:sz="4" w:space="0" w:color="auto"/>
            </w:tcBorders>
            <w:vAlign w:val="center"/>
          </w:tcPr>
          <w:p w:rsidR="000E02C5" w:rsidRPr="00687B52" w:rsidRDefault="000E02C5" w:rsidP="004A22DA">
            <w:pPr>
              <w:pStyle w:val="a7"/>
              <w:jc w:val="left"/>
              <w:rPr>
                <w:rFonts w:ascii="宋体" w:hAnsi="宋体" w:cs="宋体"/>
                <w:color w:val="000000" w:themeColor="text1"/>
                <w:kern w:val="0"/>
                <w:szCs w:val="24"/>
              </w:rPr>
            </w:pPr>
            <w:r w:rsidRPr="00687B52">
              <w:rPr>
                <w:rFonts w:ascii="宋体" w:hAnsi="宋体" w:cs="宋体"/>
                <w:color w:val="000000" w:themeColor="text1"/>
                <w:kern w:val="0"/>
                <w:szCs w:val="24"/>
              </w:rPr>
              <w:t>有爆炸危险环境内可能产生静电危险的物体应采取防静电措施。在进出氢气站和供氢站处、不同爆炸危险环境边界、管道分岔处及长距离无分支管道每隔50～80m处均应设防静电接地，其接地电阻不应大于10Ω。</w:t>
            </w:r>
          </w:p>
        </w:tc>
        <w:tc>
          <w:tcPr>
            <w:tcW w:w="1164" w:type="pct"/>
            <w:gridSpan w:val="2"/>
            <w:tcBorders>
              <w:left w:val="single" w:sz="4" w:space="0" w:color="auto"/>
              <w:right w:val="single" w:sz="4" w:space="0" w:color="auto"/>
            </w:tcBorders>
            <w:vAlign w:val="center"/>
          </w:tcPr>
          <w:p w:rsidR="000E02C5" w:rsidRPr="00687B52" w:rsidRDefault="000E02C5" w:rsidP="004A22DA">
            <w:pPr>
              <w:pStyle w:val="a7"/>
              <w:rPr>
                <w:rFonts w:ascii="宋体" w:hAnsi="宋体" w:cs="宋体"/>
                <w:bCs/>
                <w:color w:val="000000" w:themeColor="text1"/>
                <w:szCs w:val="24"/>
              </w:rPr>
            </w:pPr>
            <w:r w:rsidRPr="00687B52">
              <w:rPr>
                <w:rFonts w:asciiTheme="minorEastAsia" w:eastAsiaTheme="minorEastAsia" w:hAnsiTheme="minorEastAsia" w:hint="eastAsia"/>
                <w:bCs/>
                <w:color w:val="000000" w:themeColor="text1"/>
                <w:szCs w:val="24"/>
              </w:rPr>
              <w:t>《氢气站设计规范》</w:t>
            </w:r>
            <w:r w:rsidRPr="00687B52">
              <w:rPr>
                <w:rFonts w:ascii="宋体" w:hAnsi="宋体" w:cs="宋体" w:hint="eastAsia"/>
                <w:bCs/>
                <w:color w:val="000000" w:themeColor="text1"/>
                <w:szCs w:val="24"/>
              </w:rPr>
              <w:t>GB50177-2005</w:t>
            </w:r>
          </w:p>
          <w:p w:rsidR="000E02C5" w:rsidRPr="00687B52" w:rsidRDefault="000E02C5" w:rsidP="004A22DA">
            <w:pPr>
              <w:pStyle w:val="a7"/>
              <w:rPr>
                <w:rFonts w:ascii="宋体" w:hAnsi="宋体" w:cs="宋体"/>
                <w:bCs/>
                <w:color w:val="000000" w:themeColor="text1"/>
                <w:szCs w:val="24"/>
              </w:rPr>
            </w:pPr>
            <w:r w:rsidRPr="00687B52">
              <w:rPr>
                <w:rFonts w:ascii="宋体" w:hAnsi="宋体" w:cs="宋体" w:hint="eastAsia"/>
                <w:bCs/>
                <w:color w:val="000000" w:themeColor="text1"/>
                <w:szCs w:val="24"/>
              </w:rPr>
              <w:t>第9.0.6条</w:t>
            </w:r>
          </w:p>
        </w:tc>
        <w:tc>
          <w:tcPr>
            <w:tcW w:w="1275" w:type="pct"/>
            <w:tcBorders>
              <w:left w:val="single" w:sz="4" w:space="0" w:color="auto"/>
              <w:right w:val="single" w:sz="4" w:space="0" w:color="auto"/>
            </w:tcBorders>
            <w:vAlign w:val="center"/>
          </w:tcPr>
          <w:p w:rsidR="000E02C5" w:rsidRPr="00687B52" w:rsidRDefault="000E02C5" w:rsidP="004A22DA">
            <w:pPr>
              <w:pStyle w:val="a7"/>
              <w:jc w:val="left"/>
              <w:rPr>
                <w:rFonts w:asciiTheme="minorEastAsia" w:eastAsiaTheme="minorEastAsia" w:hAnsiTheme="minorEastAsia"/>
                <w:b/>
                <w:bCs/>
                <w:color w:val="000000" w:themeColor="text1"/>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3.14</w:t>
            </w:r>
          </w:p>
        </w:tc>
        <w:tc>
          <w:tcPr>
            <w:tcW w:w="2222" w:type="pct"/>
            <w:tcBorders>
              <w:right w:val="single" w:sz="4" w:space="0" w:color="auto"/>
            </w:tcBorders>
            <w:vAlign w:val="center"/>
          </w:tcPr>
          <w:p w:rsidR="000E02C5" w:rsidRPr="00687B52" w:rsidRDefault="000E02C5" w:rsidP="004A22DA">
            <w:pPr>
              <w:pStyle w:val="a7"/>
              <w:jc w:val="left"/>
              <w:rPr>
                <w:rFonts w:ascii="宋体" w:hAnsi="宋体" w:cs="宋体"/>
                <w:color w:val="000000" w:themeColor="text1"/>
                <w:kern w:val="0"/>
                <w:szCs w:val="24"/>
              </w:rPr>
            </w:pPr>
            <w:r w:rsidRPr="00687B52">
              <w:rPr>
                <w:rFonts w:ascii="宋体" w:hAnsi="宋体" w:cs="宋体"/>
                <w:color w:val="000000" w:themeColor="text1"/>
                <w:kern w:val="0"/>
                <w:szCs w:val="24"/>
              </w:rPr>
              <w:t>氢气罐等有爆炸危险的露天钢质封闭容器，当其壁厚大于4mm时可不装设接闪器，但应有可靠接地，接地点不应小于2处：两接地点间距不宜大于30m，冲击接地电阻不应大于10Ω。氢气放散管的保护应符合现行国家标准《</w:t>
            </w:r>
            <w:hyperlink r:id="rId104" w:tgtFrame="_blank" w:history="1">
              <w:r w:rsidRPr="00687B52">
                <w:rPr>
                  <w:rFonts w:ascii="宋体" w:hAnsi="宋体" w:cs="宋体"/>
                  <w:color w:val="000000" w:themeColor="text1"/>
                  <w:kern w:val="0"/>
                  <w:szCs w:val="24"/>
                </w:rPr>
                <w:t>建筑</w:t>
              </w:r>
            </w:hyperlink>
            <w:r w:rsidRPr="00687B52">
              <w:rPr>
                <w:rFonts w:ascii="宋体" w:hAnsi="宋体" w:cs="宋体"/>
                <w:color w:val="000000" w:themeColor="text1"/>
                <w:kern w:val="0"/>
                <w:szCs w:val="24"/>
              </w:rPr>
              <w:t>物防雷</w:t>
            </w:r>
            <w:hyperlink r:id="rId105" w:tgtFrame="_blank" w:history="1">
              <w:r w:rsidRPr="00687B52">
                <w:rPr>
                  <w:rFonts w:ascii="宋体" w:hAnsi="宋体" w:cs="宋体"/>
                  <w:color w:val="000000" w:themeColor="text1"/>
                  <w:kern w:val="0"/>
                  <w:szCs w:val="24"/>
                </w:rPr>
                <w:t>设计</w:t>
              </w:r>
            </w:hyperlink>
            <w:hyperlink r:id="rId106" w:tgtFrame="_blank" w:history="1">
              <w:r w:rsidRPr="00687B52">
                <w:rPr>
                  <w:rFonts w:ascii="宋体" w:hAnsi="宋体" w:cs="宋体"/>
                  <w:color w:val="000000" w:themeColor="text1"/>
                  <w:kern w:val="0"/>
                  <w:szCs w:val="24"/>
                </w:rPr>
                <w:t>规范</w:t>
              </w:r>
            </w:hyperlink>
            <w:r w:rsidRPr="00687B52">
              <w:rPr>
                <w:rFonts w:ascii="宋体" w:hAnsi="宋体" w:cs="宋体"/>
                <w:color w:val="000000" w:themeColor="text1"/>
                <w:kern w:val="0"/>
                <w:szCs w:val="24"/>
              </w:rPr>
              <w:t>》GB50057的要求。</w:t>
            </w:r>
          </w:p>
        </w:tc>
        <w:tc>
          <w:tcPr>
            <w:tcW w:w="1164" w:type="pct"/>
            <w:gridSpan w:val="2"/>
            <w:tcBorders>
              <w:left w:val="single" w:sz="4" w:space="0" w:color="auto"/>
              <w:right w:val="single" w:sz="4" w:space="0" w:color="auto"/>
            </w:tcBorders>
            <w:vAlign w:val="center"/>
          </w:tcPr>
          <w:p w:rsidR="000E02C5" w:rsidRPr="00687B52" w:rsidRDefault="000E02C5" w:rsidP="004A22DA">
            <w:pPr>
              <w:pStyle w:val="a7"/>
              <w:rPr>
                <w:rFonts w:ascii="宋体" w:hAnsi="宋体" w:cs="宋体"/>
                <w:bCs/>
                <w:color w:val="000000" w:themeColor="text1"/>
                <w:szCs w:val="24"/>
              </w:rPr>
            </w:pPr>
            <w:r w:rsidRPr="00687B52">
              <w:rPr>
                <w:rFonts w:asciiTheme="minorEastAsia" w:eastAsiaTheme="minorEastAsia" w:hAnsiTheme="minorEastAsia" w:hint="eastAsia"/>
                <w:bCs/>
                <w:color w:val="000000" w:themeColor="text1"/>
                <w:szCs w:val="24"/>
              </w:rPr>
              <w:t>《氢气站设计规范》</w:t>
            </w:r>
            <w:r w:rsidRPr="00687B52">
              <w:rPr>
                <w:rFonts w:ascii="宋体" w:hAnsi="宋体" w:cs="宋体" w:hint="eastAsia"/>
                <w:bCs/>
                <w:color w:val="000000" w:themeColor="text1"/>
                <w:szCs w:val="24"/>
              </w:rPr>
              <w:t>GB50177-2005</w:t>
            </w:r>
          </w:p>
          <w:p w:rsidR="000E02C5" w:rsidRPr="00687B52" w:rsidRDefault="000E02C5" w:rsidP="004A22DA">
            <w:pPr>
              <w:pStyle w:val="a7"/>
              <w:rPr>
                <w:rFonts w:ascii="宋体" w:hAnsi="宋体" w:cs="宋体"/>
                <w:bCs/>
                <w:color w:val="000000" w:themeColor="text1"/>
                <w:szCs w:val="24"/>
              </w:rPr>
            </w:pPr>
            <w:r w:rsidRPr="00687B52">
              <w:rPr>
                <w:rFonts w:ascii="宋体" w:hAnsi="宋体" w:cs="宋体" w:hint="eastAsia"/>
                <w:bCs/>
                <w:color w:val="000000" w:themeColor="text1"/>
                <w:szCs w:val="24"/>
              </w:rPr>
              <w:t>第9.0.7条</w:t>
            </w:r>
          </w:p>
        </w:tc>
        <w:tc>
          <w:tcPr>
            <w:tcW w:w="1275" w:type="pct"/>
            <w:tcBorders>
              <w:left w:val="single" w:sz="4" w:space="0" w:color="auto"/>
              <w:right w:val="single" w:sz="4" w:space="0" w:color="auto"/>
            </w:tcBorders>
            <w:vAlign w:val="center"/>
          </w:tcPr>
          <w:p w:rsidR="000E02C5" w:rsidRPr="00687B52" w:rsidRDefault="000E02C5" w:rsidP="004A22DA">
            <w:pPr>
              <w:pStyle w:val="a7"/>
              <w:jc w:val="left"/>
              <w:rPr>
                <w:rFonts w:asciiTheme="minorEastAsia" w:eastAsiaTheme="minorEastAsia" w:hAnsiTheme="minorEastAsia"/>
                <w:b/>
                <w:bCs/>
                <w:color w:val="000000" w:themeColor="text1"/>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3.15</w:t>
            </w:r>
          </w:p>
        </w:tc>
        <w:tc>
          <w:tcPr>
            <w:tcW w:w="2222" w:type="pct"/>
            <w:tcBorders>
              <w:right w:val="single" w:sz="4" w:space="0" w:color="auto"/>
            </w:tcBorders>
            <w:vAlign w:val="center"/>
          </w:tcPr>
          <w:p w:rsidR="000E02C5" w:rsidRPr="00687B52" w:rsidRDefault="000E02C5" w:rsidP="004A22DA">
            <w:pPr>
              <w:pStyle w:val="a7"/>
              <w:jc w:val="left"/>
              <w:rPr>
                <w:rFonts w:ascii="宋体" w:hAnsi="宋体" w:cs="宋体"/>
                <w:bCs/>
                <w:color w:val="000000" w:themeColor="text1"/>
                <w:kern w:val="0"/>
                <w:szCs w:val="24"/>
              </w:rPr>
            </w:pPr>
            <w:r w:rsidRPr="00687B52">
              <w:rPr>
                <w:rFonts w:ascii="宋体" w:hAnsi="宋体" w:cs="宋体"/>
                <w:color w:val="000000" w:themeColor="text1"/>
                <w:kern w:val="0"/>
                <w:szCs w:val="24"/>
              </w:rPr>
              <w:t>氢气站、供氢站的室内外消防</w:t>
            </w:r>
            <w:hyperlink r:id="rId107" w:tgtFrame="_blank" w:history="1">
              <w:r w:rsidRPr="00687B52">
                <w:rPr>
                  <w:rFonts w:ascii="宋体" w:hAnsi="宋体" w:cs="宋体"/>
                  <w:bCs/>
                  <w:color w:val="000000" w:themeColor="text1"/>
                  <w:kern w:val="0"/>
                  <w:szCs w:val="24"/>
                </w:rPr>
                <w:t>设计</w:t>
              </w:r>
            </w:hyperlink>
            <w:r w:rsidRPr="00687B52">
              <w:rPr>
                <w:rFonts w:ascii="宋体" w:hAnsi="宋体" w:cs="宋体"/>
                <w:color w:val="000000" w:themeColor="text1"/>
                <w:kern w:val="0"/>
                <w:szCs w:val="24"/>
              </w:rPr>
              <w:t>，应符合现行国家标准《</w:t>
            </w:r>
            <w:hyperlink r:id="rId108" w:tgtFrame="_blank" w:history="1">
              <w:r w:rsidRPr="00687B52">
                <w:rPr>
                  <w:rFonts w:ascii="宋体" w:hAnsi="宋体" w:cs="宋体"/>
                  <w:bCs/>
                  <w:color w:val="000000" w:themeColor="text1"/>
                  <w:kern w:val="0"/>
                  <w:szCs w:val="24"/>
                </w:rPr>
                <w:t>建筑</w:t>
              </w:r>
            </w:hyperlink>
            <w:hyperlink r:id="rId109" w:tgtFrame="_blank" w:history="1">
              <w:r w:rsidRPr="00687B52">
                <w:rPr>
                  <w:rFonts w:ascii="宋体" w:hAnsi="宋体" w:cs="宋体"/>
                  <w:bCs/>
                  <w:color w:val="000000" w:themeColor="text1"/>
                  <w:kern w:val="0"/>
                  <w:szCs w:val="24"/>
                </w:rPr>
                <w:t>设计</w:t>
              </w:r>
            </w:hyperlink>
            <w:r w:rsidRPr="00687B52">
              <w:rPr>
                <w:rFonts w:ascii="宋体" w:hAnsi="宋体" w:cs="宋体"/>
                <w:color w:val="000000" w:themeColor="text1"/>
                <w:kern w:val="0"/>
                <w:szCs w:val="24"/>
              </w:rPr>
              <w:t>防火</w:t>
            </w:r>
            <w:hyperlink r:id="rId110" w:tgtFrame="_blank" w:history="1">
              <w:r w:rsidRPr="00687B52">
                <w:rPr>
                  <w:rFonts w:ascii="宋体" w:hAnsi="宋体" w:cs="宋体"/>
                  <w:bCs/>
                  <w:color w:val="000000" w:themeColor="text1"/>
                  <w:kern w:val="0"/>
                  <w:szCs w:val="24"/>
                </w:rPr>
                <w:t>规范</w:t>
              </w:r>
            </w:hyperlink>
            <w:r w:rsidRPr="00687B52">
              <w:rPr>
                <w:rFonts w:ascii="宋体" w:hAnsi="宋体" w:cs="宋体"/>
                <w:color w:val="000000" w:themeColor="text1"/>
                <w:kern w:val="0"/>
                <w:szCs w:val="24"/>
              </w:rPr>
              <w:t>》GB</w:t>
            </w:r>
            <w:r w:rsidRPr="00687B52">
              <w:rPr>
                <w:rFonts w:ascii="宋体" w:hAnsi="宋体" w:cs="宋体" w:hint="eastAsia"/>
                <w:color w:val="000000" w:themeColor="text1"/>
                <w:kern w:val="0"/>
                <w:szCs w:val="24"/>
              </w:rPr>
              <w:t>500</w:t>
            </w:r>
            <w:r w:rsidRPr="00687B52">
              <w:rPr>
                <w:rFonts w:ascii="宋体" w:hAnsi="宋体" w:cs="宋体"/>
                <w:color w:val="000000" w:themeColor="text1"/>
                <w:kern w:val="0"/>
                <w:szCs w:val="24"/>
              </w:rPr>
              <w:t>16的规定。</w:t>
            </w:r>
          </w:p>
        </w:tc>
        <w:tc>
          <w:tcPr>
            <w:tcW w:w="1164" w:type="pct"/>
            <w:gridSpan w:val="2"/>
            <w:tcBorders>
              <w:left w:val="single" w:sz="4" w:space="0" w:color="auto"/>
              <w:right w:val="single" w:sz="4" w:space="0" w:color="auto"/>
            </w:tcBorders>
            <w:vAlign w:val="center"/>
          </w:tcPr>
          <w:p w:rsidR="000E02C5" w:rsidRPr="00687B52" w:rsidRDefault="000E02C5" w:rsidP="004A22DA">
            <w:pPr>
              <w:pStyle w:val="a7"/>
              <w:rPr>
                <w:rFonts w:ascii="宋体" w:hAnsi="宋体" w:cs="宋体"/>
                <w:color w:val="000000" w:themeColor="text1"/>
                <w:szCs w:val="24"/>
              </w:rPr>
            </w:pPr>
            <w:r w:rsidRPr="00687B52">
              <w:rPr>
                <w:rFonts w:asciiTheme="minorEastAsia" w:eastAsiaTheme="minorEastAsia" w:hAnsiTheme="minorEastAsia" w:hint="eastAsia"/>
                <w:color w:val="000000" w:themeColor="text1"/>
                <w:szCs w:val="24"/>
              </w:rPr>
              <w:t>《氢气站设计规范》</w:t>
            </w:r>
            <w:r w:rsidRPr="00687B52">
              <w:rPr>
                <w:rFonts w:ascii="宋体" w:hAnsi="宋体" w:cs="宋体" w:hint="eastAsia"/>
                <w:color w:val="000000" w:themeColor="text1"/>
                <w:szCs w:val="24"/>
              </w:rPr>
              <w:t>GB50177-2005</w:t>
            </w:r>
          </w:p>
          <w:p w:rsidR="000E02C5" w:rsidRPr="00687B52" w:rsidRDefault="000E02C5" w:rsidP="004A22DA">
            <w:pPr>
              <w:pStyle w:val="a7"/>
              <w:rPr>
                <w:rFonts w:ascii="宋体" w:hAnsi="宋体" w:cs="宋体"/>
                <w:color w:val="000000" w:themeColor="text1"/>
                <w:szCs w:val="24"/>
              </w:rPr>
            </w:pPr>
            <w:r w:rsidRPr="00687B52">
              <w:rPr>
                <w:rFonts w:ascii="宋体" w:hAnsi="宋体" w:cs="宋体" w:hint="eastAsia"/>
                <w:color w:val="000000" w:themeColor="text1"/>
                <w:szCs w:val="24"/>
              </w:rPr>
              <w:t>第10.0.6条</w:t>
            </w:r>
          </w:p>
        </w:tc>
        <w:tc>
          <w:tcPr>
            <w:tcW w:w="1275" w:type="pct"/>
            <w:tcBorders>
              <w:left w:val="single" w:sz="4" w:space="0" w:color="auto"/>
              <w:right w:val="single" w:sz="4" w:space="0" w:color="auto"/>
            </w:tcBorders>
            <w:vAlign w:val="center"/>
          </w:tcPr>
          <w:p w:rsidR="000E02C5" w:rsidRPr="00687B52" w:rsidRDefault="000E02C5" w:rsidP="004A22DA">
            <w:pPr>
              <w:pStyle w:val="a7"/>
              <w:jc w:val="left"/>
              <w:rPr>
                <w:rFonts w:asciiTheme="minorEastAsia" w:eastAsiaTheme="minorEastAsia" w:hAnsiTheme="minorEastAsia"/>
                <w:color w:val="000000" w:themeColor="text1"/>
                <w:szCs w:val="24"/>
              </w:rPr>
            </w:pPr>
          </w:p>
        </w:tc>
      </w:tr>
      <w:tr w:rsidR="000E02C5" w:rsidRPr="00687B52" w:rsidTr="00F76305">
        <w:trPr>
          <w:jc w:val="center"/>
        </w:trPr>
        <w:tc>
          <w:tcPr>
            <w:tcW w:w="339" w:type="pct"/>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3.16</w:t>
            </w:r>
          </w:p>
        </w:tc>
        <w:tc>
          <w:tcPr>
            <w:tcW w:w="2222" w:type="pct"/>
            <w:vAlign w:val="center"/>
          </w:tcPr>
          <w:p w:rsidR="000E02C5" w:rsidRPr="00687B52" w:rsidRDefault="000E02C5" w:rsidP="004A22DA">
            <w:pPr>
              <w:pStyle w:val="a7"/>
              <w:jc w:val="left"/>
              <w:rPr>
                <w:rFonts w:ascii="宋体" w:hAnsi="宋体" w:cs="宋体"/>
                <w:color w:val="000000" w:themeColor="text1"/>
                <w:kern w:val="0"/>
                <w:szCs w:val="24"/>
              </w:rPr>
            </w:pPr>
            <w:r w:rsidRPr="00687B52">
              <w:rPr>
                <w:rFonts w:hAnsi="Times New Roman" w:hint="eastAsia"/>
                <w:color w:val="000000" w:themeColor="text1"/>
                <w:kern w:val="0"/>
                <w:szCs w:val="24"/>
              </w:rPr>
              <w:t>甲、乙类生产场所不应设置在地下或半地下。甲、乙类仓库不应设置在地下或半地下。</w:t>
            </w:r>
          </w:p>
        </w:tc>
        <w:tc>
          <w:tcPr>
            <w:tcW w:w="1164" w:type="pct"/>
            <w:gridSpan w:val="2"/>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《建筑设计防火规范》GB50016-2014</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第3.3.7条</w:t>
            </w:r>
          </w:p>
        </w:tc>
        <w:tc>
          <w:tcPr>
            <w:tcW w:w="1275" w:type="pct"/>
          </w:tcPr>
          <w:p w:rsidR="000E02C5" w:rsidRPr="00687B52" w:rsidRDefault="000E02C5" w:rsidP="004A22DA">
            <w:pPr>
              <w:pStyle w:val="a7"/>
              <w:rPr>
                <w:rFonts w:asciiTheme="minorEastAsia" w:eastAsiaTheme="minorEastAsia" w:hAnsiTheme="minorEastAsia"/>
                <w:color w:val="000000" w:themeColor="text1"/>
                <w:szCs w:val="24"/>
              </w:rPr>
            </w:pPr>
          </w:p>
        </w:tc>
      </w:tr>
      <w:tr w:rsidR="000E02C5" w:rsidRPr="00687B52" w:rsidTr="00F76305">
        <w:trPr>
          <w:jc w:val="center"/>
        </w:trPr>
        <w:tc>
          <w:tcPr>
            <w:tcW w:w="339" w:type="pct"/>
            <w:vAlign w:val="center"/>
          </w:tcPr>
          <w:p w:rsidR="000E02C5" w:rsidRPr="00687B52" w:rsidRDefault="000E02C5" w:rsidP="00F76305">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w:t>
            </w:r>
            <w:r w:rsidR="00F76305" w:rsidRPr="00687B52">
              <w:rPr>
                <w:rFonts w:asciiTheme="minorEastAsia" w:eastAsiaTheme="minorEastAsia" w:hAnsiTheme="minorEastAsia" w:hint="eastAsia"/>
                <w:color w:val="000000" w:themeColor="text1"/>
                <w:szCs w:val="24"/>
              </w:rPr>
              <w:t>7</w:t>
            </w:r>
          </w:p>
        </w:tc>
        <w:tc>
          <w:tcPr>
            <w:tcW w:w="2222" w:type="pct"/>
            <w:vAlign w:val="center"/>
          </w:tcPr>
          <w:p w:rsidR="000E02C5" w:rsidRPr="00687B52" w:rsidRDefault="000E02C5" w:rsidP="004A22DA">
            <w:pPr>
              <w:pStyle w:val="a7"/>
              <w:jc w:val="left"/>
              <w:rPr>
                <w:rFonts w:ascii="宋体" w:hAnsi="宋体" w:cs="宋体"/>
                <w:color w:val="000000" w:themeColor="text1"/>
                <w:kern w:val="0"/>
                <w:szCs w:val="24"/>
              </w:rPr>
            </w:pPr>
            <w:r w:rsidRPr="00687B52">
              <w:rPr>
                <w:rFonts w:hAnsi="Times New Roman" w:hint="eastAsia"/>
                <w:color w:val="000000" w:themeColor="text1"/>
                <w:kern w:val="0"/>
                <w:szCs w:val="24"/>
              </w:rPr>
              <w:t>消防车道的净宽度和净空高度均不应小于</w:t>
            </w:r>
            <w:r w:rsidRPr="00687B52">
              <w:rPr>
                <w:rFonts w:hAnsi="Times New Roman" w:hint="eastAsia"/>
                <w:color w:val="000000" w:themeColor="text1"/>
                <w:kern w:val="0"/>
                <w:szCs w:val="24"/>
              </w:rPr>
              <w:t>4m</w:t>
            </w:r>
            <w:r w:rsidRPr="00687B52">
              <w:rPr>
                <w:rFonts w:hAnsi="Times New Roman" w:hint="eastAsia"/>
                <w:color w:val="000000" w:themeColor="text1"/>
                <w:kern w:val="0"/>
                <w:szCs w:val="24"/>
              </w:rPr>
              <w:t>。</w:t>
            </w:r>
          </w:p>
        </w:tc>
        <w:tc>
          <w:tcPr>
            <w:tcW w:w="1164" w:type="pct"/>
            <w:gridSpan w:val="2"/>
            <w:vAlign w:val="center"/>
          </w:tcPr>
          <w:p w:rsidR="000E02C5" w:rsidRPr="00687B52" w:rsidRDefault="000E02C5" w:rsidP="004A22DA">
            <w:pPr>
              <w:pStyle w:val="a7"/>
              <w:rPr>
                <w:rFonts w:hAnsi="Times New Roman"/>
                <w:color w:val="000000" w:themeColor="text1"/>
                <w:kern w:val="0"/>
                <w:szCs w:val="24"/>
              </w:rPr>
            </w:pPr>
            <w:r w:rsidRPr="00687B52">
              <w:rPr>
                <w:rFonts w:asciiTheme="minorEastAsia" w:eastAsiaTheme="minorEastAsia" w:hAnsiTheme="minorEastAsia" w:hint="eastAsia"/>
                <w:color w:val="000000" w:themeColor="text1"/>
                <w:szCs w:val="24"/>
              </w:rPr>
              <w:t>《建筑设计防火规范》</w:t>
            </w:r>
            <w:r w:rsidRPr="00687B52">
              <w:rPr>
                <w:rFonts w:hAnsi="Times New Roman" w:hint="eastAsia"/>
                <w:color w:val="000000" w:themeColor="text1"/>
                <w:kern w:val="0"/>
                <w:szCs w:val="24"/>
              </w:rPr>
              <w:t>GB50016-2014</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hAnsi="Times New Roman" w:hint="eastAsia"/>
                <w:color w:val="000000" w:themeColor="text1"/>
                <w:kern w:val="0"/>
                <w:szCs w:val="24"/>
              </w:rPr>
              <w:t>第</w:t>
            </w:r>
            <w:r w:rsidRPr="00687B52">
              <w:rPr>
                <w:rFonts w:hAnsi="Times New Roman" w:hint="eastAsia"/>
                <w:color w:val="000000" w:themeColor="text1"/>
                <w:kern w:val="0"/>
                <w:szCs w:val="24"/>
              </w:rPr>
              <w:t>6.0.9</w:t>
            </w:r>
            <w:r w:rsidRPr="00687B52">
              <w:rPr>
                <w:rFonts w:hAnsi="Times New Roman" w:hint="eastAsia"/>
                <w:color w:val="000000" w:themeColor="text1"/>
                <w:kern w:val="0"/>
                <w:szCs w:val="24"/>
              </w:rPr>
              <w:t>条</w:t>
            </w:r>
          </w:p>
        </w:tc>
        <w:tc>
          <w:tcPr>
            <w:tcW w:w="1275" w:type="pct"/>
          </w:tcPr>
          <w:p w:rsidR="000E02C5" w:rsidRPr="00687B52" w:rsidRDefault="000E02C5" w:rsidP="004A22DA">
            <w:pPr>
              <w:pStyle w:val="a7"/>
              <w:rPr>
                <w:rFonts w:asciiTheme="minorEastAsia" w:eastAsiaTheme="minorEastAsia" w:hAnsiTheme="minorEastAsia"/>
                <w:color w:val="000000" w:themeColor="text1"/>
                <w:szCs w:val="24"/>
              </w:rPr>
            </w:pPr>
          </w:p>
        </w:tc>
      </w:tr>
      <w:tr w:rsidR="000E02C5" w:rsidRPr="00687B52" w:rsidTr="00F76305">
        <w:trPr>
          <w:jc w:val="center"/>
        </w:trPr>
        <w:tc>
          <w:tcPr>
            <w:tcW w:w="339" w:type="pct"/>
            <w:vAlign w:val="center"/>
          </w:tcPr>
          <w:p w:rsidR="000E02C5" w:rsidRPr="00687B52" w:rsidRDefault="000E02C5" w:rsidP="00F76305">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3.1</w:t>
            </w:r>
            <w:r w:rsidR="00F76305" w:rsidRPr="00687B52">
              <w:rPr>
                <w:rFonts w:asciiTheme="minorEastAsia" w:eastAsiaTheme="minorEastAsia" w:hAnsiTheme="minorEastAsia" w:hint="eastAsia"/>
                <w:color w:val="000000" w:themeColor="text1"/>
                <w:szCs w:val="24"/>
              </w:rPr>
              <w:t>8</w:t>
            </w:r>
          </w:p>
        </w:tc>
        <w:tc>
          <w:tcPr>
            <w:tcW w:w="2222" w:type="pct"/>
            <w:vAlign w:val="center"/>
          </w:tcPr>
          <w:p w:rsidR="000E02C5" w:rsidRPr="00687B52" w:rsidRDefault="000E02C5" w:rsidP="004A22DA">
            <w:pPr>
              <w:pStyle w:val="a7"/>
              <w:jc w:val="left"/>
              <w:rPr>
                <w:rFonts w:ascii="宋体" w:hAnsi="宋体" w:cs="宋体"/>
                <w:color w:val="000000" w:themeColor="text1"/>
                <w:kern w:val="0"/>
                <w:szCs w:val="24"/>
              </w:rPr>
            </w:pPr>
            <w:r w:rsidRPr="00687B52">
              <w:rPr>
                <w:rFonts w:hAnsi="Times New Roman" w:hint="eastAsia"/>
                <w:color w:val="000000" w:themeColor="text1"/>
                <w:kern w:val="0"/>
                <w:szCs w:val="24"/>
              </w:rPr>
              <w:t>厂房（仓库）、储罐（区）应设室外消火栓；民用建筑、厂房（仓库）应设室内消火栓，并满足规范要求</w:t>
            </w:r>
          </w:p>
        </w:tc>
        <w:tc>
          <w:tcPr>
            <w:tcW w:w="1164" w:type="pct"/>
            <w:gridSpan w:val="2"/>
            <w:vAlign w:val="center"/>
          </w:tcPr>
          <w:p w:rsidR="000E02C5" w:rsidRPr="00687B52" w:rsidRDefault="000E02C5" w:rsidP="004A22DA">
            <w:pPr>
              <w:pStyle w:val="a7"/>
              <w:rPr>
                <w:rFonts w:hAnsi="Times New Roman"/>
                <w:color w:val="000000" w:themeColor="text1"/>
                <w:kern w:val="0"/>
                <w:szCs w:val="24"/>
              </w:rPr>
            </w:pPr>
            <w:r w:rsidRPr="00687B52">
              <w:rPr>
                <w:rFonts w:asciiTheme="minorEastAsia" w:eastAsiaTheme="minorEastAsia" w:hAnsiTheme="minorEastAsia" w:hint="eastAsia"/>
                <w:color w:val="000000" w:themeColor="text1"/>
                <w:szCs w:val="24"/>
              </w:rPr>
              <w:t>《建筑设计防火规范》</w:t>
            </w:r>
            <w:r w:rsidRPr="00687B52">
              <w:rPr>
                <w:rFonts w:hAnsi="Times New Roman" w:hint="eastAsia"/>
                <w:color w:val="000000" w:themeColor="text1"/>
                <w:kern w:val="0"/>
                <w:szCs w:val="24"/>
              </w:rPr>
              <w:t>GB50016-2014</w:t>
            </w:r>
          </w:p>
          <w:p w:rsidR="000E02C5" w:rsidRPr="00687B52" w:rsidRDefault="000E02C5" w:rsidP="004A22DA">
            <w:pPr>
              <w:pStyle w:val="a7"/>
              <w:rPr>
                <w:rFonts w:asciiTheme="minorEastAsia" w:eastAsiaTheme="minorEastAsia" w:hAnsiTheme="minorEastAsia"/>
                <w:color w:val="000000" w:themeColor="text1"/>
                <w:szCs w:val="24"/>
              </w:rPr>
            </w:pPr>
            <w:r w:rsidRPr="00687B52">
              <w:rPr>
                <w:rFonts w:hAnsi="Times New Roman" w:hint="eastAsia"/>
                <w:color w:val="000000" w:themeColor="text1"/>
                <w:kern w:val="0"/>
                <w:szCs w:val="24"/>
              </w:rPr>
              <w:t>第</w:t>
            </w:r>
            <w:r w:rsidRPr="00687B52">
              <w:rPr>
                <w:rFonts w:hAnsi="Times New Roman" w:hint="eastAsia"/>
                <w:color w:val="000000" w:themeColor="text1"/>
                <w:kern w:val="0"/>
                <w:szCs w:val="24"/>
              </w:rPr>
              <w:t>8.1.2</w:t>
            </w:r>
            <w:r w:rsidRPr="00687B52">
              <w:rPr>
                <w:rFonts w:hAnsi="Times New Roman" w:hint="eastAsia"/>
                <w:color w:val="000000" w:themeColor="text1"/>
                <w:kern w:val="0"/>
                <w:szCs w:val="24"/>
              </w:rPr>
              <w:t>条</w:t>
            </w:r>
          </w:p>
        </w:tc>
        <w:tc>
          <w:tcPr>
            <w:tcW w:w="1275" w:type="pct"/>
          </w:tcPr>
          <w:p w:rsidR="000E02C5" w:rsidRPr="00687B52" w:rsidRDefault="000E02C5" w:rsidP="004A22DA">
            <w:pPr>
              <w:pStyle w:val="a7"/>
              <w:rPr>
                <w:rFonts w:asciiTheme="minorEastAsia" w:eastAsiaTheme="minorEastAsia" w:hAnsiTheme="minorEastAsia"/>
                <w:color w:val="000000" w:themeColor="text1"/>
                <w:szCs w:val="24"/>
              </w:rPr>
            </w:pPr>
          </w:p>
        </w:tc>
      </w:tr>
      <w:tr w:rsidR="000E02C5" w:rsidRPr="00687B52" w:rsidTr="00F76305">
        <w:trPr>
          <w:jc w:val="center"/>
        </w:trPr>
        <w:tc>
          <w:tcPr>
            <w:tcW w:w="339" w:type="pct"/>
            <w:vAlign w:val="center"/>
          </w:tcPr>
          <w:p w:rsidR="000E02C5" w:rsidRPr="00687B52" w:rsidRDefault="000E02C5" w:rsidP="00F76305">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w:t>
            </w:r>
            <w:r w:rsidR="00F76305" w:rsidRPr="00687B52">
              <w:rPr>
                <w:rFonts w:asciiTheme="minorEastAsia" w:eastAsiaTheme="minorEastAsia" w:hAnsiTheme="minorEastAsia" w:hint="eastAsia"/>
                <w:color w:val="000000" w:themeColor="text1"/>
                <w:szCs w:val="24"/>
              </w:rPr>
              <w:t>19</w:t>
            </w:r>
          </w:p>
        </w:tc>
        <w:tc>
          <w:tcPr>
            <w:tcW w:w="2222" w:type="pct"/>
            <w:vAlign w:val="center"/>
          </w:tcPr>
          <w:p w:rsidR="000E02C5" w:rsidRPr="00687B52" w:rsidRDefault="000E02C5" w:rsidP="004A22DA">
            <w:pPr>
              <w:pStyle w:val="a7"/>
              <w:jc w:val="left"/>
              <w:rPr>
                <w:rFonts w:ascii="宋体" w:hAnsi="宋体" w:cs="宋体"/>
                <w:color w:val="000000" w:themeColor="text1"/>
                <w:kern w:val="0"/>
                <w:szCs w:val="24"/>
              </w:rPr>
            </w:pPr>
            <w:r w:rsidRPr="00687B52">
              <w:rPr>
                <w:rFonts w:hAnsi="Times New Roman" w:hint="eastAsia"/>
                <w:color w:val="000000" w:themeColor="text1"/>
                <w:kern w:val="0"/>
                <w:szCs w:val="24"/>
              </w:rPr>
              <w:t>仓库、储罐（区）的室外消防水量，应按同一时间内的火灾次数和一次灭火用水量确定。</w:t>
            </w:r>
          </w:p>
        </w:tc>
        <w:tc>
          <w:tcPr>
            <w:tcW w:w="1164" w:type="pct"/>
            <w:gridSpan w:val="2"/>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w:t>
            </w:r>
            <w:r w:rsidRPr="00687B52">
              <w:rPr>
                <w:rFonts w:hAnsi="Times New Roman" w:hint="eastAsia"/>
                <w:color w:val="000000" w:themeColor="text1"/>
                <w:kern w:val="0"/>
                <w:szCs w:val="24"/>
              </w:rPr>
              <w:t>GB50016-2014</w:t>
            </w:r>
            <w:r w:rsidRPr="00687B52">
              <w:rPr>
                <w:rFonts w:hAnsi="Times New Roman" w:hint="eastAsia"/>
                <w:color w:val="000000" w:themeColor="text1"/>
                <w:kern w:val="0"/>
                <w:szCs w:val="24"/>
              </w:rPr>
              <w:t>第</w:t>
            </w:r>
            <w:r w:rsidRPr="00687B52">
              <w:rPr>
                <w:rFonts w:hAnsi="Times New Roman" w:hint="eastAsia"/>
                <w:color w:val="000000" w:themeColor="text1"/>
                <w:kern w:val="0"/>
                <w:szCs w:val="24"/>
              </w:rPr>
              <w:t>8.2.2</w:t>
            </w:r>
            <w:r w:rsidRPr="00687B52">
              <w:rPr>
                <w:rFonts w:hAnsi="Times New Roman" w:hint="eastAsia"/>
                <w:color w:val="000000" w:themeColor="text1"/>
                <w:kern w:val="0"/>
                <w:szCs w:val="24"/>
              </w:rPr>
              <w:t>条</w:t>
            </w:r>
          </w:p>
        </w:tc>
        <w:tc>
          <w:tcPr>
            <w:tcW w:w="1275" w:type="pct"/>
          </w:tcPr>
          <w:p w:rsidR="000E02C5" w:rsidRPr="00687B52" w:rsidRDefault="000E02C5" w:rsidP="004A22DA">
            <w:pPr>
              <w:pStyle w:val="a7"/>
              <w:rPr>
                <w:rFonts w:asciiTheme="minorEastAsia" w:eastAsiaTheme="minorEastAsia" w:hAnsiTheme="minorEastAsia"/>
                <w:color w:val="000000" w:themeColor="text1"/>
                <w:szCs w:val="24"/>
              </w:rPr>
            </w:pPr>
          </w:p>
        </w:tc>
      </w:tr>
      <w:tr w:rsidR="000E02C5" w:rsidRPr="00687B52" w:rsidTr="00F76305">
        <w:trPr>
          <w:jc w:val="center"/>
        </w:trPr>
        <w:tc>
          <w:tcPr>
            <w:tcW w:w="339" w:type="pct"/>
            <w:vAlign w:val="center"/>
          </w:tcPr>
          <w:p w:rsidR="000E02C5" w:rsidRPr="00687B52" w:rsidRDefault="000E02C5" w:rsidP="00F76305">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w:t>
            </w:r>
            <w:r w:rsidR="00F76305" w:rsidRPr="00687B52">
              <w:rPr>
                <w:rFonts w:asciiTheme="minorEastAsia" w:eastAsiaTheme="minorEastAsia" w:hAnsiTheme="minorEastAsia" w:hint="eastAsia"/>
                <w:color w:val="000000" w:themeColor="text1"/>
                <w:szCs w:val="24"/>
              </w:rPr>
              <w:t>0</w:t>
            </w:r>
          </w:p>
        </w:tc>
        <w:tc>
          <w:tcPr>
            <w:tcW w:w="2222" w:type="pct"/>
            <w:vAlign w:val="center"/>
          </w:tcPr>
          <w:p w:rsidR="000E02C5" w:rsidRPr="00687B52" w:rsidRDefault="000E02C5" w:rsidP="004A22DA">
            <w:pPr>
              <w:pStyle w:val="a7"/>
              <w:jc w:val="left"/>
              <w:rPr>
                <w:rFonts w:ascii="宋体" w:hAnsi="宋体" w:cs="宋体"/>
                <w:color w:val="000000" w:themeColor="text1"/>
                <w:kern w:val="0"/>
                <w:szCs w:val="24"/>
              </w:rPr>
            </w:pPr>
            <w:r w:rsidRPr="00687B52">
              <w:rPr>
                <w:rFonts w:hAnsi="Times New Roman" w:hint="eastAsia"/>
                <w:color w:val="000000" w:themeColor="text1"/>
                <w:kern w:val="0"/>
                <w:szCs w:val="24"/>
              </w:rPr>
              <w:t>室外消防给水网应布置成环状</w:t>
            </w:r>
          </w:p>
        </w:tc>
        <w:tc>
          <w:tcPr>
            <w:tcW w:w="1164" w:type="pct"/>
            <w:gridSpan w:val="2"/>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w:t>
            </w:r>
            <w:r w:rsidRPr="00687B52">
              <w:rPr>
                <w:rFonts w:hAnsi="Times New Roman" w:hint="eastAsia"/>
                <w:color w:val="000000" w:themeColor="text1"/>
                <w:kern w:val="0"/>
                <w:szCs w:val="24"/>
              </w:rPr>
              <w:t>GB50016-2014</w:t>
            </w:r>
            <w:r w:rsidRPr="00687B52">
              <w:rPr>
                <w:rFonts w:hAnsi="Times New Roman" w:hint="eastAsia"/>
                <w:color w:val="000000" w:themeColor="text1"/>
                <w:kern w:val="0"/>
                <w:szCs w:val="24"/>
              </w:rPr>
              <w:t>第</w:t>
            </w:r>
            <w:r w:rsidRPr="00687B52">
              <w:rPr>
                <w:rFonts w:hAnsi="Times New Roman" w:hint="eastAsia"/>
                <w:color w:val="000000" w:themeColor="text1"/>
                <w:kern w:val="0"/>
                <w:szCs w:val="24"/>
              </w:rPr>
              <w:t>8.2.7</w:t>
            </w:r>
            <w:r w:rsidRPr="00687B52">
              <w:rPr>
                <w:rFonts w:hAnsi="Times New Roman" w:hint="eastAsia"/>
                <w:color w:val="000000" w:themeColor="text1"/>
                <w:kern w:val="0"/>
                <w:szCs w:val="24"/>
              </w:rPr>
              <w:t>条</w:t>
            </w:r>
          </w:p>
        </w:tc>
        <w:tc>
          <w:tcPr>
            <w:tcW w:w="1275" w:type="pct"/>
          </w:tcPr>
          <w:p w:rsidR="000E02C5" w:rsidRPr="00687B52" w:rsidRDefault="000E02C5" w:rsidP="004A22DA">
            <w:pPr>
              <w:pStyle w:val="a7"/>
              <w:rPr>
                <w:rFonts w:asciiTheme="minorEastAsia" w:eastAsiaTheme="minorEastAsia" w:hAnsiTheme="minorEastAsia"/>
                <w:color w:val="000000" w:themeColor="text1"/>
                <w:szCs w:val="24"/>
              </w:rPr>
            </w:pPr>
          </w:p>
        </w:tc>
      </w:tr>
      <w:tr w:rsidR="000E02C5" w:rsidRPr="00687B52" w:rsidTr="00F76305">
        <w:trPr>
          <w:jc w:val="center"/>
        </w:trPr>
        <w:tc>
          <w:tcPr>
            <w:tcW w:w="339" w:type="pct"/>
            <w:vAlign w:val="center"/>
          </w:tcPr>
          <w:p w:rsidR="000E02C5" w:rsidRPr="00687B52" w:rsidRDefault="000E02C5" w:rsidP="00F76305">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w:t>
            </w:r>
            <w:r w:rsidR="00F76305" w:rsidRPr="00687B52">
              <w:rPr>
                <w:rFonts w:asciiTheme="minorEastAsia" w:eastAsiaTheme="minorEastAsia" w:hAnsiTheme="minorEastAsia" w:hint="eastAsia"/>
                <w:color w:val="000000" w:themeColor="text1"/>
                <w:szCs w:val="24"/>
              </w:rPr>
              <w:t>1</w:t>
            </w:r>
          </w:p>
        </w:tc>
        <w:tc>
          <w:tcPr>
            <w:tcW w:w="2222" w:type="pct"/>
            <w:vAlign w:val="center"/>
          </w:tcPr>
          <w:p w:rsidR="000E02C5" w:rsidRPr="00687B52" w:rsidRDefault="000E02C5" w:rsidP="004A22DA">
            <w:pPr>
              <w:pStyle w:val="a7"/>
              <w:jc w:val="left"/>
              <w:rPr>
                <w:rFonts w:ascii="宋体" w:hAnsi="宋体" w:cs="宋体"/>
                <w:color w:val="000000" w:themeColor="text1"/>
                <w:kern w:val="0"/>
                <w:szCs w:val="24"/>
              </w:rPr>
            </w:pPr>
            <w:r w:rsidRPr="00687B52">
              <w:rPr>
                <w:rFonts w:hAnsi="Times New Roman" w:hint="eastAsia"/>
                <w:color w:val="000000" w:themeColor="text1"/>
                <w:kern w:val="0"/>
                <w:szCs w:val="24"/>
              </w:rPr>
              <w:t>室内消火栓竖管管径不应小于</w:t>
            </w:r>
            <w:r w:rsidRPr="00687B52">
              <w:rPr>
                <w:rFonts w:hAnsi="Times New Roman" w:hint="eastAsia"/>
                <w:color w:val="000000" w:themeColor="text1"/>
                <w:kern w:val="0"/>
                <w:szCs w:val="24"/>
              </w:rPr>
              <w:t>DN100</w:t>
            </w:r>
            <w:r w:rsidRPr="00687B52">
              <w:rPr>
                <w:rFonts w:hAnsi="Times New Roman" w:hint="eastAsia"/>
                <w:color w:val="000000" w:themeColor="text1"/>
                <w:kern w:val="0"/>
                <w:szCs w:val="24"/>
              </w:rPr>
              <w:t>，室内消防竖管应连成环状</w:t>
            </w:r>
          </w:p>
        </w:tc>
        <w:tc>
          <w:tcPr>
            <w:tcW w:w="1164" w:type="pct"/>
            <w:gridSpan w:val="2"/>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w:t>
            </w:r>
            <w:r w:rsidRPr="00687B52">
              <w:rPr>
                <w:rFonts w:hAnsi="Times New Roman" w:hint="eastAsia"/>
                <w:color w:val="000000" w:themeColor="text1"/>
                <w:kern w:val="0"/>
                <w:szCs w:val="24"/>
              </w:rPr>
              <w:t>GB50016-2014</w:t>
            </w:r>
            <w:r w:rsidRPr="00687B52">
              <w:rPr>
                <w:rFonts w:hAnsi="Times New Roman" w:hint="eastAsia"/>
                <w:color w:val="000000" w:themeColor="text1"/>
                <w:kern w:val="0"/>
                <w:szCs w:val="24"/>
              </w:rPr>
              <w:t>第</w:t>
            </w:r>
            <w:r w:rsidRPr="00687B52">
              <w:rPr>
                <w:rFonts w:hAnsi="Times New Roman" w:hint="eastAsia"/>
                <w:color w:val="000000" w:themeColor="text1"/>
                <w:kern w:val="0"/>
                <w:szCs w:val="24"/>
              </w:rPr>
              <w:t>8.4.2.3</w:t>
            </w:r>
            <w:r w:rsidRPr="00687B52">
              <w:rPr>
                <w:rFonts w:hAnsi="Times New Roman" w:hint="eastAsia"/>
                <w:color w:val="000000" w:themeColor="text1"/>
                <w:kern w:val="0"/>
                <w:szCs w:val="24"/>
              </w:rPr>
              <w:t>条</w:t>
            </w:r>
          </w:p>
        </w:tc>
        <w:tc>
          <w:tcPr>
            <w:tcW w:w="1275" w:type="pct"/>
          </w:tcPr>
          <w:p w:rsidR="000E02C5" w:rsidRPr="00687B52" w:rsidRDefault="000E02C5" w:rsidP="004A22DA">
            <w:pPr>
              <w:pStyle w:val="a7"/>
              <w:rPr>
                <w:rFonts w:asciiTheme="minorEastAsia" w:eastAsiaTheme="minorEastAsia" w:hAnsiTheme="minorEastAsia"/>
                <w:color w:val="000000" w:themeColor="text1"/>
                <w:szCs w:val="24"/>
              </w:rPr>
            </w:pPr>
          </w:p>
        </w:tc>
      </w:tr>
      <w:tr w:rsidR="000E02C5" w:rsidRPr="00687B52" w:rsidTr="00F76305">
        <w:trPr>
          <w:jc w:val="center"/>
        </w:trPr>
        <w:tc>
          <w:tcPr>
            <w:tcW w:w="339" w:type="pct"/>
            <w:vAlign w:val="center"/>
          </w:tcPr>
          <w:p w:rsidR="000E02C5" w:rsidRPr="00687B52" w:rsidRDefault="000E02C5" w:rsidP="00F76305">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w:t>
            </w:r>
            <w:r w:rsidR="00F76305" w:rsidRPr="00687B52">
              <w:rPr>
                <w:rFonts w:asciiTheme="minorEastAsia" w:eastAsiaTheme="minorEastAsia" w:hAnsiTheme="minorEastAsia" w:hint="eastAsia"/>
                <w:color w:val="000000" w:themeColor="text1"/>
                <w:szCs w:val="24"/>
              </w:rPr>
              <w:t>2</w:t>
            </w:r>
          </w:p>
        </w:tc>
        <w:tc>
          <w:tcPr>
            <w:tcW w:w="2222" w:type="pct"/>
            <w:vAlign w:val="center"/>
          </w:tcPr>
          <w:p w:rsidR="000E02C5" w:rsidRPr="00687B52" w:rsidRDefault="000E02C5" w:rsidP="004A22DA">
            <w:pPr>
              <w:pStyle w:val="a7"/>
              <w:jc w:val="left"/>
              <w:rPr>
                <w:rFonts w:ascii="宋体" w:hAnsi="宋体" w:cs="宋体"/>
                <w:color w:val="000000" w:themeColor="text1"/>
                <w:kern w:val="0"/>
                <w:szCs w:val="24"/>
              </w:rPr>
            </w:pPr>
            <w:r w:rsidRPr="00687B52">
              <w:rPr>
                <w:rFonts w:hAnsi="Times New Roman" w:hint="eastAsia"/>
                <w:color w:val="000000" w:themeColor="text1"/>
                <w:kern w:val="0"/>
                <w:szCs w:val="24"/>
              </w:rPr>
              <w:t>除无可燃层外，设置室内消火栓的建筑，其各层均应设置消火栓</w:t>
            </w:r>
          </w:p>
        </w:tc>
        <w:tc>
          <w:tcPr>
            <w:tcW w:w="1164" w:type="pct"/>
            <w:gridSpan w:val="2"/>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w:t>
            </w:r>
            <w:r w:rsidRPr="00687B52">
              <w:rPr>
                <w:rFonts w:hAnsi="Times New Roman" w:hint="eastAsia"/>
                <w:color w:val="000000" w:themeColor="text1"/>
                <w:kern w:val="0"/>
                <w:szCs w:val="24"/>
              </w:rPr>
              <w:t>GB50016-2014</w:t>
            </w:r>
            <w:r w:rsidRPr="00687B52">
              <w:rPr>
                <w:rFonts w:hAnsi="Times New Roman" w:hint="eastAsia"/>
                <w:color w:val="000000" w:themeColor="text1"/>
                <w:kern w:val="0"/>
                <w:szCs w:val="24"/>
              </w:rPr>
              <w:t>第</w:t>
            </w:r>
            <w:r w:rsidRPr="00687B52">
              <w:rPr>
                <w:rFonts w:hAnsi="Times New Roman" w:hint="eastAsia"/>
                <w:color w:val="000000" w:themeColor="text1"/>
                <w:kern w:val="0"/>
                <w:szCs w:val="24"/>
              </w:rPr>
              <w:t>8.4.3.1</w:t>
            </w:r>
            <w:r w:rsidRPr="00687B52">
              <w:rPr>
                <w:rFonts w:hAnsi="Times New Roman" w:hint="eastAsia"/>
                <w:color w:val="000000" w:themeColor="text1"/>
                <w:kern w:val="0"/>
                <w:szCs w:val="24"/>
              </w:rPr>
              <w:t>条</w:t>
            </w:r>
          </w:p>
        </w:tc>
        <w:tc>
          <w:tcPr>
            <w:tcW w:w="1275" w:type="pct"/>
          </w:tcPr>
          <w:p w:rsidR="000E02C5" w:rsidRPr="00687B52" w:rsidRDefault="000E02C5" w:rsidP="004A22DA">
            <w:pPr>
              <w:pStyle w:val="a7"/>
              <w:rPr>
                <w:rFonts w:asciiTheme="minorEastAsia" w:eastAsiaTheme="minorEastAsia" w:hAnsiTheme="minorEastAsia"/>
                <w:color w:val="000000" w:themeColor="text1"/>
                <w:szCs w:val="24"/>
              </w:rPr>
            </w:pPr>
          </w:p>
        </w:tc>
      </w:tr>
      <w:tr w:rsidR="000E02C5" w:rsidRPr="00687B52" w:rsidTr="00F76305">
        <w:trPr>
          <w:jc w:val="center"/>
        </w:trPr>
        <w:tc>
          <w:tcPr>
            <w:tcW w:w="339" w:type="pct"/>
            <w:vAlign w:val="center"/>
          </w:tcPr>
          <w:p w:rsidR="000E02C5" w:rsidRPr="00687B52" w:rsidRDefault="000E02C5" w:rsidP="00F76305">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w:t>
            </w:r>
            <w:r w:rsidR="00F76305" w:rsidRPr="00687B52">
              <w:rPr>
                <w:rFonts w:asciiTheme="minorEastAsia" w:eastAsiaTheme="minorEastAsia" w:hAnsiTheme="minorEastAsia" w:hint="eastAsia"/>
                <w:color w:val="000000" w:themeColor="text1"/>
                <w:szCs w:val="24"/>
              </w:rPr>
              <w:t>3</w:t>
            </w:r>
          </w:p>
        </w:tc>
        <w:tc>
          <w:tcPr>
            <w:tcW w:w="2222" w:type="pct"/>
            <w:vAlign w:val="center"/>
          </w:tcPr>
          <w:p w:rsidR="000E02C5" w:rsidRPr="00687B52" w:rsidRDefault="000E02C5" w:rsidP="004A22DA">
            <w:pPr>
              <w:pStyle w:val="a7"/>
              <w:jc w:val="left"/>
              <w:rPr>
                <w:rFonts w:ascii="宋体" w:hAnsi="宋体" w:cs="宋体"/>
                <w:color w:val="000000" w:themeColor="text1"/>
                <w:kern w:val="0"/>
                <w:szCs w:val="24"/>
              </w:rPr>
            </w:pPr>
            <w:r w:rsidRPr="00687B52">
              <w:rPr>
                <w:rFonts w:hAnsi="Times New Roman" w:hint="eastAsia"/>
                <w:color w:val="000000" w:themeColor="text1"/>
                <w:kern w:val="0"/>
                <w:szCs w:val="24"/>
              </w:rPr>
              <w:t>室内消火栓应设置在位置明显且易于操作的部位。室内消火栓的间距应由计算确定；甲、乙类厂房中室内消火栓的间距不应大于</w:t>
            </w:r>
            <w:r w:rsidRPr="00687B52">
              <w:rPr>
                <w:rFonts w:hAnsi="Times New Roman" w:hint="eastAsia"/>
                <w:color w:val="000000" w:themeColor="text1"/>
                <w:kern w:val="0"/>
                <w:szCs w:val="24"/>
              </w:rPr>
              <w:t>30m</w:t>
            </w:r>
          </w:p>
        </w:tc>
        <w:tc>
          <w:tcPr>
            <w:tcW w:w="1164" w:type="pct"/>
            <w:gridSpan w:val="2"/>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w:t>
            </w:r>
            <w:r w:rsidRPr="00687B52">
              <w:rPr>
                <w:rFonts w:hAnsi="Times New Roman" w:hint="eastAsia"/>
                <w:color w:val="000000" w:themeColor="text1"/>
                <w:kern w:val="0"/>
                <w:szCs w:val="24"/>
              </w:rPr>
              <w:t>GB50016-2014</w:t>
            </w:r>
            <w:r w:rsidRPr="00687B52">
              <w:rPr>
                <w:rFonts w:hAnsi="Times New Roman" w:hint="eastAsia"/>
                <w:color w:val="000000" w:themeColor="text1"/>
                <w:kern w:val="0"/>
                <w:szCs w:val="24"/>
              </w:rPr>
              <w:t>第</w:t>
            </w:r>
            <w:r w:rsidRPr="00687B52">
              <w:rPr>
                <w:rFonts w:hAnsi="Times New Roman" w:hint="eastAsia"/>
                <w:color w:val="000000" w:themeColor="text1"/>
                <w:kern w:val="0"/>
                <w:szCs w:val="24"/>
              </w:rPr>
              <w:t>8.4.3.3</w:t>
            </w:r>
            <w:r w:rsidRPr="00687B52">
              <w:rPr>
                <w:rFonts w:hAnsi="Times New Roman" w:hint="eastAsia"/>
                <w:color w:val="000000" w:themeColor="text1"/>
                <w:kern w:val="0"/>
                <w:szCs w:val="24"/>
              </w:rPr>
              <w:t>条第</w:t>
            </w:r>
            <w:r w:rsidRPr="00687B52">
              <w:rPr>
                <w:rFonts w:hAnsi="Times New Roman" w:hint="eastAsia"/>
                <w:color w:val="000000" w:themeColor="text1"/>
                <w:kern w:val="0"/>
                <w:szCs w:val="24"/>
              </w:rPr>
              <w:t>8.4.3.5</w:t>
            </w:r>
            <w:r w:rsidRPr="00687B52">
              <w:rPr>
                <w:rFonts w:hAnsi="Times New Roman" w:hint="eastAsia"/>
                <w:color w:val="000000" w:themeColor="text1"/>
                <w:kern w:val="0"/>
                <w:szCs w:val="24"/>
              </w:rPr>
              <w:t>条</w:t>
            </w:r>
          </w:p>
        </w:tc>
        <w:tc>
          <w:tcPr>
            <w:tcW w:w="1275" w:type="pct"/>
          </w:tcPr>
          <w:p w:rsidR="000E02C5" w:rsidRPr="00687B52" w:rsidRDefault="000E02C5" w:rsidP="004A22DA">
            <w:pPr>
              <w:pStyle w:val="a7"/>
              <w:rPr>
                <w:rFonts w:asciiTheme="minorEastAsia" w:eastAsiaTheme="minorEastAsia" w:hAnsiTheme="minorEastAsia"/>
                <w:color w:val="000000" w:themeColor="text1"/>
                <w:szCs w:val="24"/>
              </w:rPr>
            </w:pPr>
          </w:p>
        </w:tc>
      </w:tr>
      <w:tr w:rsidR="000E02C5" w:rsidRPr="00687B52" w:rsidTr="00F76305">
        <w:trPr>
          <w:jc w:val="center"/>
        </w:trPr>
        <w:tc>
          <w:tcPr>
            <w:tcW w:w="339" w:type="pct"/>
            <w:vAlign w:val="center"/>
          </w:tcPr>
          <w:p w:rsidR="000E02C5" w:rsidRPr="00687B52" w:rsidRDefault="000E02C5" w:rsidP="00F76305">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w:t>
            </w:r>
            <w:r w:rsidR="00F76305" w:rsidRPr="00687B52">
              <w:rPr>
                <w:rFonts w:asciiTheme="minorEastAsia" w:eastAsiaTheme="minorEastAsia" w:hAnsiTheme="minorEastAsia" w:hint="eastAsia"/>
                <w:color w:val="000000" w:themeColor="text1"/>
                <w:szCs w:val="24"/>
              </w:rPr>
              <w:t>4</w:t>
            </w:r>
          </w:p>
        </w:tc>
        <w:tc>
          <w:tcPr>
            <w:tcW w:w="2222" w:type="pct"/>
            <w:vAlign w:val="center"/>
          </w:tcPr>
          <w:p w:rsidR="000E02C5" w:rsidRPr="00687B52" w:rsidRDefault="000E02C5" w:rsidP="004A22DA">
            <w:pPr>
              <w:pStyle w:val="a7"/>
              <w:jc w:val="left"/>
              <w:rPr>
                <w:rFonts w:ascii="宋体" w:hAnsi="宋体" w:cs="宋体"/>
                <w:color w:val="000000" w:themeColor="text1"/>
                <w:kern w:val="0"/>
                <w:szCs w:val="24"/>
              </w:rPr>
            </w:pPr>
            <w:r w:rsidRPr="00687B52">
              <w:rPr>
                <w:rFonts w:hAnsi="Times New Roman" w:hint="eastAsia"/>
                <w:color w:val="000000" w:themeColor="text1"/>
                <w:kern w:val="0"/>
                <w:szCs w:val="24"/>
              </w:rPr>
              <w:t>室内消火栓的布置应保证每一个防火分区同层有两支水枪的充实水柱同时到达任何部位。</w:t>
            </w:r>
          </w:p>
        </w:tc>
        <w:tc>
          <w:tcPr>
            <w:tcW w:w="1164" w:type="pct"/>
            <w:gridSpan w:val="2"/>
            <w:vAlign w:val="center"/>
          </w:tcPr>
          <w:p w:rsidR="000E02C5" w:rsidRPr="00687B52" w:rsidRDefault="000E02C5" w:rsidP="004A22DA">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《建筑设计防火规范》</w:t>
            </w:r>
            <w:r w:rsidRPr="00687B52">
              <w:rPr>
                <w:rFonts w:hAnsi="Times New Roman" w:hint="eastAsia"/>
                <w:color w:val="000000" w:themeColor="text1"/>
                <w:kern w:val="0"/>
                <w:szCs w:val="24"/>
              </w:rPr>
              <w:t>GB50016-2014</w:t>
            </w:r>
            <w:r w:rsidRPr="00687B52">
              <w:rPr>
                <w:rFonts w:hAnsi="Times New Roman" w:hint="eastAsia"/>
                <w:color w:val="000000" w:themeColor="text1"/>
                <w:kern w:val="0"/>
                <w:szCs w:val="24"/>
              </w:rPr>
              <w:t>第</w:t>
            </w:r>
            <w:r w:rsidRPr="00687B52">
              <w:rPr>
                <w:rFonts w:hAnsi="Times New Roman" w:hint="eastAsia"/>
                <w:color w:val="000000" w:themeColor="text1"/>
                <w:kern w:val="0"/>
                <w:szCs w:val="24"/>
              </w:rPr>
              <w:t>8.4.3.7</w:t>
            </w:r>
            <w:r w:rsidRPr="00687B52">
              <w:rPr>
                <w:rFonts w:hAnsi="Times New Roman" w:hint="eastAsia"/>
                <w:color w:val="000000" w:themeColor="text1"/>
                <w:kern w:val="0"/>
                <w:szCs w:val="24"/>
              </w:rPr>
              <w:t>条</w:t>
            </w:r>
          </w:p>
        </w:tc>
        <w:tc>
          <w:tcPr>
            <w:tcW w:w="1275" w:type="pct"/>
          </w:tcPr>
          <w:p w:rsidR="000E02C5" w:rsidRPr="00687B52" w:rsidRDefault="000E02C5" w:rsidP="004A22DA">
            <w:pPr>
              <w:pStyle w:val="a7"/>
              <w:rPr>
                <w:rFonts w:asciiTheme="minorEastAsia" w:eastAsiaTheme="minorEastAsia" w:hAnsiTheme="minorEastAsia"/>
                <w:color w:val="000000" w:themeColor="text1"/>
                <w:szCs w:val="24"/>
              </w:rPr>
            </w:pPr>
          </w:p>
        </w:tc>
      </w:tr>
      <w:tr w:rsidR="000E02C5" w:rsidRPr="00687B52" w:rsidTr="00F76305">
        <w:trPr>
          <w:jc w:val="center"/>
        </w:trPr>
        <w:tc>
          <w:tcPr>
            <w:tcW w:w="339" w:type="pct"/>
            <w:vAlign w:val="center"/>
          </w:tcPr>
          <w:p w:rsidR="000E02C5" w:rsidRPr="00687B52" w:rsidRDefault="000E02C5" w:rsidP="00F76305">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w:t>
            </w:r>
            <w:r w:rsidR="00F76305" w:rsidRPr="00687B52">
              <w:rPr>
                <w:rFonts w:asciiTheme="minorEastAsia" w:eastAsiaTheme="minorEastAsia" w:hAnsiTheme="minorEastAsia" w:hint="eastAsia"/>
                <w:color w:val="000000" w:themeColor="text1"/>
                <w:szCs w:val="24"/>
              </w:rPr>
              <w:t>5</w:t>
            </w:r>
          </w:p>
        </w:tc>
        <w:tc>
          <w:tcPr>
            <w:tcW w:w="2222" w:type="pct"/>
            <w:vAlign w:val="center"/>
          </w:tcPr>
          <w:p w:rsidR="000E02C5" w:rsidRPr="00687B52" w:rsidRDefault="000E02C5" w:rsidP="004A22DA">
            <w:pPr>
              <w:pStyle w:val="a7"/>
              <w:jc w:val="left"/>
              <w:rPr>
                <w:rFonts w:hAnsi="Times New Roman"/>
                <w:color w:val="000000" w:themeColor="text1"/>
                <w:kern w:val="0"/>
                <w:szCs w:val="24"/>
              </w:rPr>
            </w:pPr>
            <w:r w:rsidRPr="00687B52">
              <w:rPr>
                <w:rFonts w:hAnsi="Times New Roman" w:hint="eastAsia"/>
                <w:color w:val="000000" w:themeColor="text1"/>
                <w:kern w:val="0"/>
                <w:szCs w:val="24"/>
              </w:rPr>
              <w:t>作业人员应穿防静电工作服，戴手套和口罩等防护用具，禁止穿钉鞋。</w:t>
            </w:r>
          </w:p>
        </w:tc>
        <w:tc>
          <w:tcPr>
            <w:tcW w:w="1164" w:type="pct"/>
            <w:gridSpan w:val="2"/>
            <w:vAlign w:val="center"/>
          </w:tcPr>
          <w:p w:rsidR="000E02C5" w:rsidRPr="00687B52" w:rsidRDefault="000E02C5" w:rsidP="004A22DA">
            <w:pPr>
              <w:pStyle w:val="a7"/>
              <w:rPr>
                <w:rFonts w:hAnsi="Times New Roman"/>
                <w:color w:val="000000" w:themeColor="text1"/>
                <w:kern w:val="0"/>
                <w:szCs w:val="24"/>
              </w:rPr>
            </w:pPr>
            <w:r w:rsidRPr="00687B52">
              <w:rPr>
                <w:rFonts w:hAnsi="Times New Roman" w:hint="eastAsia"/>
                <w:color w:val="000000" w:themeColor="text1"/>
                <w:kern w:val="0"/>
                <w:szCs w:val="24"/>
              </w:rPr>
              <w:t>《易燃易爆商品储藏养护技术条件》</w:t>
            </w:r>
            <w:r w:rsidRPr="00687B52">
              <w:rPr>
                <w:rFonts w:hAnsi="Times New Roman" w:hint="eastAsia"/>
                <w:color w:val="000000" w:themeColor="text1"/>
                <w:kern w:val="0"/>
                <w:szCs w:val="24"/>
              </w:rPr>
              <w:t>GB17914-2013</w:t>
            </w:r>
            <w:r w:rsidRPr="00687B52">
              <w:rPr>
                <w:rFonts w:hAnsi="Times New Roman" w:hint="eastAsia"/>
                <w:color w:val="000000" w:themeColor="text1"/>
                <w:kern w:val="0"/>
                <w:szCs w:val="24"/>
              </w:rPr>
              <w:t>第</w:t>
            </w:r>
            <w:r w:rsidRPr="00687B52">
              <w:rPr>
                <w:rFonts w:hAnsi="Times New Roman" w:hint="eastAsia"/>
                <w:color w:val="000000" w:themeColor="text1"/>
                <w:kern w:val="0"/>
                <w:szCs w:val="24"/>
              </w:rPr>
              <w:t>8.1</w:t>
            </w:r>
            <w:r w:rsidRPr="00687B52">
              <w:rPr>
                <w:rFonts w:hAnsi="Times New Roman" w:hint="eastAsia"/>
                <w:color w:val="000000" w:themeColor="text1"/>
                <w:kern w:val="0"/>
                <w:szCs w:val="24"/>
              </w:rPr>
              <w:t>条</w:t>
            </w:r>
          </w:p>
        </w:tc>
        <w:tc>
          <w:tcPr>
            <w:tcW w:w="1275" w:type="pct"/>
          </w:tcPr>
          <w:p w:rsidR="000E02C5" w:rsidRPr="00687B52" w:rsidRDefault="000E02C5" w:rsidP="004A22DA">
            <w:pPr>
              <w:pStyle w:val="a7"/>
              <w:rPr>
                <w:rFonts w:asciiTheme="minorEastAsia" w:eastAsiaTheme="minorEastAsia" w:hAnsiTheme="minorEastAsia"/>
                <w:color w:val="000000" w:themeColor="text1"/>
                <w:szCs w:val="24"/>
              </w:rPr>
            </w:pPr>
          </w:p>
        </w:tc>
      </w:tr>
      <w:tr w:rsidR="000E02C5" w:rsidRPr="00687B52" w:rsidTr="00F76305">
        <w:trPr>
          <w:jc w:val="center"/>
        </w:trPr>
        <w:tc>
          <w:tcPr>
            <w:tcW w:w="339" w:type="pct"/>
            <w:vAlign w:val="center"/>
          </w:tcPr>
          <w:p w:rsidR="000E02C5" w:rsidRPr="00687B52" w:rsidRDefault="000E02C5" w:rsidP="00F76305">
            <w:pPr>
              <w:pStyle w:val="a7"/>
              <w:rPr>
                <w:rFonts w:asciiTheme="minorEastAsia" w:eastAsiaTheme="minorEastAsia" w:hAnsiTheme="minorEastAsia"/>
                <w:color w:val="000000" w:themeColor="text1"/>
                <w:szCs w:val="24"/>
              </w:rPr>
            </w:pPr>
            <w:r w:rsidRPr="00687B52">
              <w:rPr>
                <w:rFonts w:asciiTheme="minorEastAsia" w:eastAsiaTheme="minorEastAsia" w:hAnsiTheme="minorEastAsia" w:hint="eastAsia"/>
                <w:color w:val="000000" w:themeColor="text1"/>
                <w:szCs w:val="24"/>
              </w:rPr>
              <w:t>3.2</w:t>
            </w:r>
            <w:r w:rsidR="00F76305" w:rsidRPr="00687B52">
              <w:rPr>
                <w:rFonts w:asciiTheme="minorEastAsia" w:eastAsiaTheme="minorEastAsia" w:hAnsiTheme="minorEastAsia" w:hint="eastAsia"/>
                <w:color w:val="000000" w:themeColor="text1"/>
                <w:szCs w:val="24"/>
              </w:rPr>
              <w:t>6</w:t>
            </w:r>
          </w:p>
        </w:tc>
        <w:tc>
          <w:tcPr>
            <w:tcW w:w="2222" w:type="pct"/>
            <w:vAlign w:val="center"/>
          </w:tcPr>
          <w:p w:rsidR="000E02C5" w:rsidRPr="00687B52" w:rsidRDefault="000E02C5" w:rsidP="004A22DA">
            <w:pPr>
              <w:pStyle w:val="a7"/>
              <w:jc w:val="left"/>
              <w:rPr>
                <w:rFonts w:hAnsi="Times New Roman"/>
                <w:color w:val="000000" w:themeColor="text1"/>
                <w:kern w:val="0"/>
                <w:szCs w:val="24"/>
              </w:rPr>
            </w:pPr>
            <w:r w:rsidRPr="00687B52">
              <w:rPr>
                <w:rFonts w:hAnsi="Times New Roman" w:hint="eastAsia"/>
                <w:color w:val="000000" w:themeColor="text1"/>
                <w:kern w:val="0"/>
                <w:szCs w:val="24"/>
              </w:rPr>
              <w:t>各项操作不应使用能产生火花的工具，不应使用叉车搬运、装卸压缩和液化的气体钢瓶，热源与火源应远离作业现场。</w:t>
            </w:r>
          </w:p>
        </w:tc>
        <w:tc>
          <w:tcPr>
            <w:tcW w:w="1164" w:type="pct"/>
            <w:gridSpan w:val="2"/>
            <w:vAlign w:val="center"/>
          </w:tcPr>
          <w:p w:rsidR="000E02C5" w:rsidRPr="00687B52" w:rsidRDefault="000E02C5" w:rsidP="004A22DA">
            <w:pPr>
              <w:pStyle w:val="a7"/>
              <w:rPr>
                <w:rFonts w:hAnsi="Times New Roman"/>
                <w:color w:val="000000" w:themeColor="text1"/>
                <w:kern w:val="0"/>
                <w:szCs w:val="24"/>
              </w:rPr>
            </w:pPr>
            <w:r w:rsidRPr="00687B52">
              <w:rPr>
                <w:rFonts w:hAnsi="Times New Roman" w:hint="eastAsia"/>
                <w:color w:val="000000" w:themeColor="text1"/>
                <w:kern w:val="0"/>
                <w:szCs w:val="24"/>
              </w:rPr>
              <w:t>《易燃易爆商品储藏养护技术条件》</w:t>
            </w:r>
            <w:r w:rsidRPr="00687B52">
              <w:rPr>
                <w:rFonts w:hAnsi="Times New Roman" w:hint="eastAsia"/>
                <w:color w:val="000000" w:themeColor="text1"/>
                <w:kern w:val="0"/>
                <w:szCs w:val="24"/>
              </w:rPr>
              <w:t>GB17914-2013</w:t>
            </w:r>
            <w:r w:rsidRPr="00687B52">
              <w:rPr>
                <w:rFonts w:hAnsi="Times New Roman" w:hint="eastAsia"/>
                <w:color w:val="000000" w:themeColor="text1"/>
                <w:kern w:val="0"/>
                <w:szCs w:val="24"/>
              </w:rPr>
              <w:t>第</w:t>
            </w:r>
            <w:r w:rsidRPr="00687B52">
              <w:rPr>
                <w:rFonts w:hAnsi="Times New Roman" w:hint="eastAsia"/>
                <w:color w:val="000000" w:themeColor="text1"/>
                <w:kern w:val="0"/>
                <w:szCs w:val="24"/>
              </w:rPr>
              <w:t>8.4</w:t>
            </w:r>
            <w:r w:rsidRPr="00687B52">
              <w:rPr>
                <w:rFonts w:hAnsi="Times New Roman" w:hint="eastAsia"/>
                <w:color w:val="000000" w:themeColor="text1"/>
                <w:kern w:val="0"/>
                <w:szCs w:val="24"/>
              </w:rPr>
              <w:t>条</w:t>
            </w:r>
          </w:p>
        </w:tc>
        <w:tc>
          <w:tcPr>
            <w:tcW w:w="1275" w:type="pct"/>
          </w:tcPr>
          <w:p w:rsidR="000E02C5" w:rsidRPr="00687B52" w:rsidRDefault="000E02C5" w:rsidP="004A22DA">
            <w:pPr>
              <w:pStyle w:val="a7"/>
              <w:rPr>
                <w:rFonts w:asciiTheme="minorEastAsia" w:eastAsiaTheme="minorEastAsia" w:hAnsiTheme="minorEastAsia"/>
                <w:color w:val="000000" w:themeColor="text1"/>
                <w:szCs w:val="24"/>
              </w:rPr>
            </w:pPr>
          </w:p>
        </w:tc>
      </w:tr>
    </w:tbl>
    <w:p w:rsidR="000E02C5" w:rsidRPr="00687B52" w:rsidRDefault="000E02C5" w:rsidP="000E02C5">
      <w:pPr>
        <w:pStyle w:val="af8"/>
        <w:rPr>
          <w:bCs/>
          <w:color w:val="000000" w:themeColor="text1"/>
        </w:rPr>
        <w:sectPr w:rsidR="000E02C5" w:rsidRPr="00687B52" w:rsidSect="00D22E6D">
          <w:pgSz w:w="16838" w:h="11906" w:orient="landscape"/>
          <w:pgMar w:top="1457" w:right="1780" w:bottom="1457" w:left="1780" w:header="851" w:footer="907" w:gutter="0"/>
          <w:cols w:space="425"/>
          <w:docGrid w:type="lines" w:linePitch="312"/>
        </w:sectPr>
      </w:pPr>
    </w:p>
    <w:p w:rsidR="008F7442" w:rsidRPr="00687B52" w:rsidRDefault="003E6F05" w:rsidP="00763863">
      <w:pPr>
        <w:pStyle w:val="aff2"/>
        <w:ind w:firstLine="562"/>
        <w:rPr>
          <w:color w:val="000000" w:themeColor="text1"/>
        </w:rPr>
      </w:pPr>
      <w:bookmarkStart w:id="65" w:name="_Toc492562323"/>
      <w:bookmarkStart w:id="66" w:name="_Toc492563459"/>
      <w:bookmarkStart w:id="67" w:name="_Toc492563792"/>
      <w:bookmarkStart w:id="68" w:name="_Toc492563976"/>
      <w:bookmarkStart w:id="69" w:name="_Toc492564965"/>
      <w:bookmarkStart w:id="70" w:name="_Toc492634909"/>
      <w:bookmarkStart w:id="71" w:name="_Toc492644879"/>
      <w:bookmarkStart w:id="72" w:name="_Toc492647591"/>
      <w:bookmarkStart w:id="73" w:name="_Toc493856950"/>
      <w:bookmarkStart w:id="74" w:name="_Toc493857060"/>
      <w:r w:rsidRPr="00687B52">
        <w:rPr>
          <w:rFonts w:hint="eastAsia"/>
          <w:color w:val="000000" w:themeColor="text1"/>
        </w:rPr>
        <w:t>4.4</w:t>
      </w:r>
      <w:r w:rsidR="003665AA" w:rsidRPr="00687B52">
        <w:rPr>
          <w:rFonts w:hint="eastAsia"/>
          <w:color w:val="000000" w:themeColor="text1"/>
        </w:rPr>
        <w:t>涉氯、涉氨及煤气站的</w:t>
      </w:r>
      <w:r w:rsidR="008F7442" w:rsidRPr="00687B52">
        <w:rPr>
          <w:rFonts w:hint="eastAsia"/>
          <w:color w:val="000000" w:themeColor="text1"/>
        </w:rPr>
        <w:t>企业专</w:t>
      </w:r>
      <w:r w:rsidR="0009032A" w:rsidRPr="00687B52">
        <w:rPr>
          <w:rFonts w:hint="eastAsia"/>
          <w:color w:val="000000" w:themeColor="text1"/>
        </w:rPr>
        <w:t>业</w:t>
      </w:r>
      <w:r w:rsidR="008F7442" w:rsidRPr="00687B52">
        <w:rPr>
          <w:rFonts w:hint="eastAsia"/>
          <w:color w:val="000000" w:themeColor="text1"/>
        </w:rPr>
        <w:t>检查表</w:t>
      </w:r>
      <w:bookmarkEnd w:id="65"/>
      <w:bookmarkEnd w:id="66"/>
      <w:bookmarkEnd w:id="67"/>
      <w:bookmarkEnd w:id="68"/>
      <w:bookmarkEnd w:id="69"/>
      <w:bookmarkEnd w:id="70"/>
      <w:bookmarkEnd w:id="71"/>
      <w:bookmarkEnd w:id="72"/>
      <w:bookmarkEnd w:id="73"/>
      <w:bookmarkEnd w:id="74"/>
    </w:p>
    <w:p w:rsidR="000E02C5" w:rsidRPr="00687B52" w:rsidRDefault="008F7442" w:rsidP="0018479A">
      <w:pPr>
        <w:pStyle w:val="aff3"/>
        <w:numPr>
          <w:ilvl w:val="0"/>
          <w:numId w:val="0"/>
        </w:numPr>
        <w:rPr>
          <w:rFonts w:hAnsi="Cambria"/>
          <w:color w:val="000000" w:themeColor="text1"/>
        </w:rPr>
      </w:pPr>
      <w:bookmarkStart w:id="75" w:name="_Toc492634910"/>
      <w:r w:rsidRPr="00687B52">
        <w:rPr>
          <w:rFonts w:hint="eastAsia"/>
          <w:color w:val="000000" w:themeColor="text1"/>
        </w:rPr>
        <w:t>表</w:t>
      </w:r>
      <w:r w:rsidRPr="00687B52">
        <w:rPr>
          <w:rFonts w:hint="eastAsia"/>
          <w:color w:val="000000" w:themeColor="text1"/>
        </w:rPr>
        <w:t xml:space="preserve">4-1 </w:t>
      </w:r>
      <w:r w:rsidR="003665AA" w:rsidRPr="00687B52">
        <w:rPr>
          <w:rFonts w:hint="eastAsia"/>
          <w:color w:val="000000" w:themeColor="text1"/>
        </w:rPr>
        <w:t>涉氯、涉氨及煤气站的</w:t>
      </w:r>
      <w:r w:rsidRPr="00687B52">
        <w:rPr>
          <w:rFonts w:hint="eastAsia"/>
          <w:color w:val="000000" w:themeColor="text1"/>
        </w:rPr>
        <w:t>企业专</w:t>
      </w:r>
      <w:r w:rsidR="0009032A" w:rsidRPr="00687B52">
        <w:rPr>
          <w:rFonts w:hint="eastAsia"/>
          <w:color w:val="000000" w:themeColor="text1"/>
        </w:rPr>
        <w:t>业</w:t>
      </w:r>
      <w:r w:rsidRPr="00687B52">
        <w:rPr>
          <w:rFonts w:hint="eastAsia"/>
          <w:color w:val="000000" w:themeColor="text1"/>
        </w:rPr>
        <w:t>检查表</w:t>
      </w:r>
      <w:bookmarkEnd w:id="75"/>
    </w:p>
    <w:tbl>
      <w:tblPr>
        <w:tblStyle w:val="a6"/>
        <w:tblW w:w="5000" w:type="pct"/>
        <w:tblLook w:val="04A0" w:firstRow="1" w:lastRow="0" w:firstColumn="1" w:lastColumn="0" w:noHBand="0" w:noVBand="1"/>
      </w:tblPr>
      <w:tblGrid>
        <w:gridCol w:w="1025"/>
        <w:gridCol w:w="5670"/>
        <w:gridCol w:w="3336"/>
        <w:gridCol w:w="3463"/>
      </w:tblGrid>
      <w:tr w:rsidR="000E02C5" w:rsidRPr="00687B52" w:rsidTr="00910D49">
        <w:trPr>
          <w:tblHeader/>
        </w:trPr>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color w:val="000000" w:themeColor="text1"/>
                <w:sz w:val="24"/>
                <w:szCs w:val="24"/>
              </w:rPr>
              <w:t>序号</w:t>
            </w:r>
          </w:p>
        </w:tc>
        <w:tc>
          <w:tcPr>
            <w:tcW w:w="2101"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color w:val="000000" w:themeColor="text1"/>
                <w:sz w:val="24"/>
                <w:szCs w:val="24"/>
              </w:rPr>
              <w:t>检查内容</w:t>
            </w:r>
          </w:p>
        </w:tc>
        <w:tc>
          <w:tcPr>
            <w:tcW w:w="1236"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color w:val="000000" w:themeColor="text1"/>
                <w:sz w:val="24"/>
                <w:szCs w:val="24"/>
              </w:rPr>
              <w:t>检查依据</w:t>
            </w:r>
          </w:p>
        </w:tc>
        <w:tc>
          <w:tcPr>
            <w:tcW w:w="1283"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color w:val="000000" w:themeColor="text1"/>
                <w:sz w:val="24"/>
                <w:szCs w:val="24"/>
              </w:rPr>
              <w:t>检查情况</w:t>
            </w:r>
          </w:p>
        </w:tc>
      </w:tr>
      <w:tr w:rsidR="000E02C5" w:rsidRPr="00687B52" w:rsidTr="007E7CC4">
        <w:tc>
          <w:tcPr>
            <w:tcW w:w="380" w:type="pct"/>
            <w:vAlign w:val="center"/>
          </w:tcPr>
          <w:p w:rsidR="000E02C5" w:rsidRPr="00687B52" w:rsidRDefault="000E02C5" w:rsidP="00B527D4">
            <w:pPr>
              <w:jc w:val="center"/>
              <w:rPr>
                <w:rFonts w:ascii="Cambria" w:hAnsi="Cambria"/>
                <w:b/>
                <w:color w:val="000000" w:themeColor="text1"/>
                <w:sz w:val="24"/>
                <w:szCs w:val="24"/>
              </w:rPr>
            </w:pPr>
            <w:r w:rsidRPr="00687B52">
              <w:rPr>
                <w:rFonts w:ascii="Cambria" w:hAnsi="Cambria"/>
                <w:b/>
                <w:color w:val="000000" w:themeColor="text1"/>
                <w:sz w:val="24"/>
                <w:szCs w:val="24"/>
              </w:rPr>
              <w:t>1</w:t>
            </w:r>
          </w:p>
        </w:tc>
        <w:tc>
          <w:tcPr>
            <w:tcW w:w="2101" w:type="pct"/>
            <w:vAlign w:val="center"/>
          </w:tcPr>
          <w:p w:rsidR="000E02C5" w:rsidRPr="00687B52" w:rsidRDefault="000E02C5" w:rsidP="00B527D4">
            <w:pPr>
              <w:rPr>
                <w:rFonts w:ascii="Cambria" w:hAnsi="Cambria"/>
                <w:b/>
                <w:color w:val="000000" w:themeColor="text1"/>
                <w:sz w:val="24"/>
                <w:szCs w:val="24"/>
              </w:rPr>
            </w:pPr>
            <w:r w:rsidRPr="00687B52">
              <w:rPr>
                <w:rFonts w:ascii="Cambria"/>
                <w:b/>
                <w:color w:val="000000" w:themeColor="text1"/>
                <w:sz w:val="24"/>
                <w:szCs w:val="24"/>
              </w:rPr>
              <w:t>证照文书</w:t>
            </w:r>
          </w:p>
        </w:tc>
        <w:tc>
          <w:tcPr>
            <w:tcW w:w="1236" w:type="pct"/>
            <w:vAlign w:val="center"/>
          </w:tcPr>
          <w:p w:rsidR="000E02C5" w:rsidRPr="00687B52" w:rsidRDefault="000E02C5" w:rsidP="00B527D4">
            <w:pPr>
              <w:rPr>
                <w:rFonts w:ascii="Cambria" w:hAnsi="Cambria"/>
                <w:color w:val="000000" w:themeColor="text1"/>
                <w:sz w:val="24"/>
                <w:szCs w:val="24"/>
              </w:rPr>
            </w:pP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D9787F">
            <w:pPr>
              <w:numPr>
                <w:ilvl w:val="0"/>
                <w:numId w:val="133"/>
              </w:numPr>
              <w:jc w:val="center"/>
              <w:rPr>
                <w:rFonts w:ascii="Cambria" w:hAnsi="Cambria"/>
                <w:color w:val="000000" w:themeColor="text1"/>
                <w:sz w:val="24"/>
                <w:szCs w:val="24"/>
              </w:rPr>
            </w:pP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企业依法取得企业法人营业执照。</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《危险化学品生产企业安全生产许可证实施办法》第</w:t>
            </w:r>
            <w:r w:rsidRPr="00687B52">
              <w:rPr>
                <w:rFonts w:ascii="Cambria" w:hAnsi="Cambria"/>
                <w:color w:val="000000" w:themeColor="text1"/>
                <w:sz w:val="24"/>
                <w:szCs w:val="24"/>
              </w:rPr>
              <w:t>2</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D9787F">
            <w:pPr>
              <w:numPr>
                <w:ilvl w:val="0"/>
                <w:numId w:val="133"/>
              </w:numPr>
              <w:jc w:val="center"/>
              <w:rPr>
                <w:rFonts w:ascii="Cambria" w:hAnsi="Cambria"/>
                <w:color w:val="000000" w:themeColor="text1"/>
                <w:sz w:val="24"/>
                <w:szCs w:val="24"/>
              </w:rPr>
            </w:pP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建设项目应当依法开展安全预评价、安全设施设计专篇及安全设施竣工验收。</w:t>
            </w:r>
          </w:p>
        </w:tc>
        <w:tc>
          <w:tcPr>
            <w:tcW w:w="1236" w:type="pct"/>
            <w:vAlign w:val="center"/>
          </w:tcPr>
          <w:p w:rsidR="000E02C5" w:rsidRPr="00687B52" w:rsidRDefault="000E02C5" w:rsidP="00B527D4">
            <w:pPr>
              <w:rPr>
                <w:rFonts w:ascii="Cambria" w:hAnsi="Cambria"/>
                <w:color w:val="000000" w:themeColor="text1"/>
                <w:spacing w:val="-10"/>
                <w:sz w:val="24"/>
                <w:szCs w:val="24"/>
              </w:rPr>
            </w:pPr>
            <w:r w:rsidRPr="00687B52">
              <w:rPr>
                <w:rFonts w:ascii="Cambria"/>
                <w:color w:val="000000" w:themeColor="text1"/>
                <w:sz w:val="24"/>
                <w:szCs w:val="24"/>
              </w:rPr>
              <w:t>《建设项目安全设施</w:t>
            </w:r>
            <w:r w:rsidRPr="00687B52">
              <w:rPr>
                <w:rFonts w:ascii="Cambria" w:hAnsi="Cambria"/>
                <w:color w:val="000000" w:themeColor="text1"/>
                <w:sz w:val="24"/>
                <w:szCs w:val="24"/>
              </w:rPr>
              <w:t>“</w:t>
            </w:r>
            <w:r w:rsidRPr="00687B52">
              <w:rPr>
                <w:rFonts w:ascii="Cambria"/>
                <w:color w:val="000000" w:themeColor="text1"/>
                <w:sz w:val="24"/>
                <w:szCs w:val="24"/>
              </w:rPr>
              <w:t>三同时</w:t>
            </w:r>
            <w:r w:rsidRPr="00687B52">
              <w:rPr>
                <w:rFonts w:ascii="Cambria" w:hAnsi="Cambria"/>
                <w:color w:val="000000" w:themeColor="text1"/>
                <w:sz w:val="24"/>
                <w:szCs w:val="24"/>
              </w:rPr>
              <w:t>”</w:t>
            </w:r>
            <w:r w:rsidRPr="00687B52">
              <w:rPr>
                <w:rFonts w:ascii="Cambria"/>
                <w:color w:val="000000" w:themeColor="text1"/>
                <w:sz w:val="24"/>
                <w:szCs w:val="24"/>
              </w:rPr>
              <w:t>监督管理办法》</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D9787F">
            <w:pPr>
              <w:numPr>
                <w:ilvl w:val="0"/>
                <w:numId w:val="133"/>
              </w:numPr>
              <w:jc w:val="center"/>
              <w:rPr>
                <w:rFonts w:ascii="Cambria" w:hAnsi="Cambria"/>
                <w:color w:val="000000" w:themeColor="text1"/>
                <w:sz w:val="24"/>
                <w:szCs w:val="24"/>
              </w:rPr>
            </w:pPr>
          </w:p>
        </w:tc>
        <w:tc>
          <w:tcPr>
            <w:tcW w:w="2101" w:type="pct"/>
            <w:vAlign w:val="center"/>
          </w:tcPr>
          <w:p w:rsidR="000E02C5" w:rsidRPr="00687B52" w:rsidRDefault="000E02C5" w:rsidP="00B527D4">
            <w:pPr>
              <w:rPr>
                <w:rFonts w:ascii="Cambria" w:hAnsi="Cambria"/>
                <w:color w:val="000000" w:themeColor="text1"/>
                <w:kern w:val="0"/>
                <w:sz w:val="24"/>
                <w:szCs w:val="24"/>
              </w:rPr>
            </w:pPr>
            <w:r w:rsidRPr="00687B52">
              <w:rPr>
                <w:rFonts w:ascii="Cambria"/>
                <w:color w:val="000000" w:themeColor="text1"/>
                <w:kern w:val="0"/>
                <w:sz w:val="24"/>
                <w:szCs w:val="24"/>
              </w:rPr>
              <w:t>建设单位对可能产生职业病危害的建设项目，应当依法进行职业病危害预评价、职业病防护设施设计、职业病危害控制效果评价。</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《建设项目职业病防护设施</w:t>
            </w:r>
            <w:r w:rsidRPr="00687B52">
              <w:rPr>
                <w:rFonts w:ascii="Cambria" w:hAnsi="Cambria"/>
                <w:color w:val="000000" w:themeColor="text1"/>
                <w:sz w:val="24"/>
                <w:szCs w:val="24"/>
              </w:rPr>
              <w:t>“</w:t>
            </w:r>
            <w:r w:rsidRPr="00687B52">
              <w:rPr>
                <w:rFonts w:ascii="Cambria"/>
                <w:color w:val="000000" w:themeColor="text1"/>
                <w:sz w:val="24"/>
                <w:szCs w:val="24"/>
              </w:rPr>
              <w:t>三同时</w:t>
            </w:r>
            <w:r w:rsidRPr="00687B52">
              <w:rPr>
                <w:rFonts w:ascii="Cambria" w:hAnsi="Cambria"/>
                <w:color w:val="000000" w:themeColor="text1"/>
                <w:sz w:val="24"/>
                <w:szCs w:val="24"/>
              </w:rPr>
              <w:t>”</w:t>
            </w:r>
            <w:r w:rsidRPr="00687B52">
              <w:rPr>
                <w:rFonts w:ascii="Cambria"/>
                <w:color w:val="000000" w:themeColor="text1"/>
                <w:sz w:val="24"/>
                <w:szCs w:val="24"/>
              </w:rPr>
              <w:t>监督管理办法》</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rPr>
          <w:trHeight w:val="482"/>
        </w:trPr>
        <w:tc>
          <w:tcPr>
            <w:tcW w:w="380" w:type="pct"/>
            <w:vAlign w:val="center"/>
          </w:tcPr>
          <w:p w:rsidR="000E02C5" w:rsidRPr="00687B52" w:rsidRDefault="000E02C5" w:rsidP="00D9787F">
            <w:pPr>
              <w:numPr>
                <w:ilvl w:val="0"/>
                <w:numId w:val="133"/>
              </w:numPr>
              <w:jc w:val="center"/>
              <w:rPr>
                <w:rFonts w:ascii="Cambria" w:hAnsi="Cambria"/>
                <w:color w:val="000000" w:themeColor="text1"/>
                <w:sz w:val="24"/>
                <w:szCs w:val="24"/>
              </w:rPr>
            </w:pPr>
          </w:p>
        </w:tc>
        <w:tc>
          <w:tcPr>
            <w:tcW w:w="2101" w:type="pct"/>
            <w:vAlign w:val="center"/>
          </w:tcPr>
          <w:p w:rsidR="000E02C5" w:rsidRPr="00687B52" w:rsidRDefault="000E02C5" w:rsidP="00B527D4">
            <w:pPr>
              <w:rPr>
                <w:rFonts w:ascii="Cambria" w:hAnsi="Cambria"/>
                <w:color w:val="000000" w:themeColor="text1"/>
                <w:kern w:val="0"/>
                <w:sz w:val="24"/>
                <w:szCs w:val="24"/>
              </w:rPr>
            </w:pPr>
            <w:r w:rsidRPr="00687B52">
              <w:rPr>
                <w:rFonts w:ascii="Cambria"/>
                <w:color w:val="000000" w:themeColor="text1"/>
                <w:kern w:val="0"/>
                <w:sz w:val="24"/>
                <w:szCs w:val="24"/>
              </w:rPr>
              <w:t>建设工程应当进行消防验收，验收合格后，方可投入使用。</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《消防法》第</w:t>
            </w:r>
            <w:r w:rsidRPr="00687B52">
              <w:rPr>
                <w:rFonts w:ascii="Cambria" w:hAnsi="Cambria"/>
                <w:color w:val="000000" w:themeColor="text1"/>
                <w:sz w:val="24"/>
                <w:szCs w:val="24"/>
              </w:rPr>
              <w:t>13</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rPr>
          <w:trHeight w:val="372"/>
        </w:trPr>
        <w:tc>
          <w:tcPr>
            <w:tcW w:w="380" w:type="pct"/>
            <w:vAlign w:val="center"/>
          </w:tcPr>
          <w:p w:rsidR="000E02C5" w:rsidRPr="00687B52" w:rsidRDefault="000E02C5" w:rsidP="00D9787F">
            <w:pPr>
              <w:numPr>
                <w:ilvl w:val="0"/>
                <w:numId w:val="133"/>
              </w:numPr>
              <w:jc w:val="center"/>
              <w:rPr>
                <w:rFonts w:ascii="Cambria" w:hAnsi="Cambria"/>
                <w:color w:val="000000" w:themeColor="text1"/>
                <w:sz w:val="24"/>
                <w:szCs w:val="24"/>
              </w:rPr>
            </w:pPr>
          </w:p>
        </w:tc>
        <w:tc>
          <w:tcPr>
            <w:tcW w:w="2101" w:type="pct"/>
            <w:vAlign w:val="center"/>
          </w:tcPr>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建构筑物应设置防雷设施，防雷装置应当每年检测一次，对爆炸和火灾危险环境场所的防雷装置应当每半年检测一次，检测报告应在有效期内，检测结果应合格。</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《防雷减灾管理办法》第</w:t>
            </w:r>
            <w:r w:rsidRPr="00687B52">
              <w:rPr>
                <w:rFonts w:ascii="Cambria" w:hAnsi="Cambria"/>
                <w:color w:val="000000" w:themeColor="text1"/>
                <w:sz w:val="24"/>
                <w:szCs w:val="24"/>
              </w:rPr>
              <w:t>19</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b/>
                <w:color w:val="000000" w:themeColor="text1"/>
                <w:sz w:val="24"/>
                <w:szCs w:val="24"/>
              </w:rPr>
            </w:pPr>
            <w:r w:rsidRPr="00687B52">
              <w:rPr>
                <w:rFonts w:ascii="Cambria" w:hAnsi="Cambria"/>
                <w:b/>
                <w:color w:val="000000" w:themeColor="text1"/>
                <w:sz w:val="24"/>
                <w:szCs w:val="24"/>
              </w:rPr>
              <w:t>2</w:t>
            </w:r>
          </w:p>
        </w:tc>
        <w:tc>
          <w:tcPr>
            <w:tcW w:w="2101" w:type="pct"/>
            <w:vAlign w:val="center"/>
          </w:tcPr>
          <w:p w:rsidR="000E02C5" w:rsidRPr="00687B52" w:rsidRDefault="000E02C5" w:rsidP="00B527D4">
            <w:pPr>
              <w:rPr>
                <w:rFonts w:ascii="Cambria" w:hAnsi="Cambria"/>
                <w:b/>
                <w:color w:val="000000" w:themeColor="text1"/>
                <w:sz w:val="24"/>
                <w:szCs w:val="24"/>
              </w:rPr>
            </w:pPr>
            <w:r w:rsidRPr="00687B52">
              <w:rPr>
                <w:rFonts w:ascii="Cambria"/>
                <w:b/>
                <w:color w:val="000000" w:themeColor="text1"/>
                <w:sz w:val="24"/>
                <w:szCs w:val="24"/>
              </w:rPr>
              <w:t>机构、职责与管理制度</w:t>
            </w:r>
          </w:p>
        </w:tc>
        <w:tc>
          <w:tcPr>
            <w:tcW w:w="1236" w:type="pct"/>
            <w:vAlign w:val="center"/>
          </w:tcPr>
          <w:p w:rsidR="000E02C5" w:rsidRPr="00687B52" w:rsidRDefault="000E02C5" w:rsidP="00B527D4">
            <w:pPr>
              <w:rPr>
                <w:rFonts w:ascii="Cambria" w:hAnsi="Cambria"/>
                <w:color w:val="000000" w:themeColor="text1"/>
                <w:sz w:val="24"/>
                <w:szCs w:val="24"/>
              </w:rPr>
            </w:pP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2.1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企业应当设置安全生产管理机构或者配备专职安全生产管理人员。安全生产管理人员的任免，应当告知安全生产监督管理部门。</w:t>
            </w:r>
          </w:p>
        </w:tc>
        <w:tc>
          <w:tcPr>
            <w:tcW w:w="1236" w:type="pct"/>
            <w:vAlign w:val="center"/>
          </w:tcPr>
          <w:p w:rsidR="000E02C5" w:rsidRPr="00687B52" w:rsidRDefault="000E02C5" w:rsidP="00B527D4">
            <w:pPr>
              <w:rPr>
                <w:rFonts w:ascii="Cambria" w:hAnsi="Cambria" w:cs="宋体"/>
                <w:color w:val="000000" w:themeColor="text1"/>
                <w:sz w:val="24"/>
                <w:szCs w:val="24"/>
              </w:rPr>
            </w:pPr>
            <w:r w:rsidRPr="00687B52">
              <w:rPr>
                <w:rFonts w:ascii="Cambria"/>
                <w:color w:val="000000" w:themeColor="text1"/>
                <w:sz w:val="24"/>
                <w:szCs w:val="24"/>
              </w:rPr>
              <w:t>《安全生产法》第</w:t>
            </w:r>
            <w:r w:rsidRPr="00687B52">
              <w:rPr>
                <w:rFonts w:ascii="Cambria" w:hAnsi="Cambria"/>
                <w:color w:val="000000" w:themeColor="text1"/>
                <w:sz w:val="24"/>
                <w:szCs w:val="24"/>
              </w:rPr>
              <w:t>21</w:t>
            </w:r>
            <w:r w:rsidRPr="00687B52">
              <w:rPr>
                <w:rFonts w:ascii="Cambria"/>
                <w:color w:val="000000" w:themeColor="text1"/>
                <w:sz w:val="24"/>
                <w:szCs w:val="24"/>
              </w:rPr>
              <w:t>、</w:t>
            </w:r>
            <w:r w:rsidRPr="00687B52">
              <w:rPr>
                <w:rFonts w:ascii="Cambria" w:hAnsi="Cambria"/>
                <w:color w:val="000000" w:themeColor="text1"/>
                <w:sz w:val="24"/>
                <w:szCs w:val="24"/>
              </w:rPr>
              <w:t>23</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查组织机构图或红头文件</w:t>
            </w: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hint="eastAsia"/>
                <w:color w:val="000000" w:themeColor="text1"/>
                <w:sz w:val="24"/>
                <w:szCs w:val="24"/>
              </w:rPr>
              <w:t>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企业应建立全员安全生产责任制，明确各岗位的责任人员、责任范围和考核标准等内容；</w:t>
            </w:r>
            <w:r w:rsidRPr="00687B52">
              <w:rPr>
                <w:rFonts w:ascii="Cambria"/>
                <w:color w:val="000000" w:themeColor="text1"/>
                <w:kern w:val="0"/>
                <w:sz w:val="24"/>
                <w:szCs w:val="24"/>
              </w:rPr>
              <w:t>保证每位从业人员的安全生产责任与职务、岗位相匹配。</w:t>
            </w:r>
            <w:r w:rsidRPr="00687B52">
              <w:rPr>
                <w:rFonts w:ascii="Cambria"/>
                <w:color w:val="000000" w:themeColor="text1"/>
                <w:sz w:val="24"/>
                <w:szCs w:val="24"/>
              </w:rPr>
              <w:t>应当对安全生产责任制落实情况的进行监督考核。</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《安全生产法》第</w:t>
            </w:r>
            <w:r w:rsidRPr="00687B52">
              <w:rPr>
                <w:rFonts w:ascii="Cambria" w:hAnsi="Cambria"/>
                <w:color w:val="000000" w:themeColor="text1"/>
                <w:sz w:val="24"/>
                <w:szCs w:val="24"/>
              </w:rPr>
              <w:t>5</w:t>
            </w:r>
            <w:r w:rsidRPr="00687B52">
              <w:rPr>
                <w:rFonts w:ascii="Cambria"/>
                <w:color w:val="000000" w:themeColor="text1"/>
                <w:sz w:val="24"/>
                <w:szCs w:val="24"/>
              </w:rPr>
              <w:t>、</w:t>
            </w:r>
            <w:r w:rsidRPr="00687B52">
              <w:rPr>
                <w:rFonts w:ascii="Cambria" w:hAnsi="Cambria"/>
                <w:color w:val="000000" w:themeColor="text1"/>
                <w:sz w:val="24"/>
                <w:szCs w:val="24"/>
              </w:rPr>
              <w:t>19</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hint="eastAsia"/>
                <w:color w:val="000000" w:themeColor="text1"/>
                <w:sz w:val="24"/>
                <w:szCs w:val="24"/>
              </w:rPr>
              <w:t>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主要负责人</w:t>
            </w:r>
            <w:r w:rsidRPr="00687B52">
              <w:rPr>
                <w:rFonts w:ascii="Cambria" w:hAnsi="宋体"/>
                <w:color w:val="000000" w:themeColor="text1"/>
                <w:sz w:val="24"/>
                <w:szCs w:val="24"/>
              </w:rPr>
              <w:t>应对本单位的安全生产工作全面负责。</w:t>
            </w:r>
            <w:r w:rsidRPr="00687B52">
              <w:rPr>
                <w:rFonts w:ascii="Cambria"/>
                <w:color w:val="000000" w:themeColor="text1"/>
                <w:sz w:val="24"/>
                <w:szCs w:val="24"/>
              </w:rPr>
              <w:t>并负有下列职责：</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color w:val="000000" w:themeColor="text1"/>
                <w:sz w:val="24"/>
                <w:szCs w:val="24"/>
              </w:rPr>
              <w:t>）建立、健全本单位安全生产责任制；</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color w:val="000000" w:themeColor="text1"/>
                <w:sz w:val="24"/>
                <w:szCs w:val="24"/>
              </w:rPr>
              <w:t>）组织制定本单位安全生产规章制度和操作规程；</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3</w:t>
            </w:r>
            <w:r w:rsidRPr="00687B52">
              <w:rPr>
                <w:rFonts w:ascii="Cambria"/>
                <w:color w:val="000000" w:themeColor="text1"/>
                <w:sz w:val="24"/>
                <w:szCs w:val="24"/>
              </w:rPr>
              <w:t>）组织制定并实施本单位安全生产教育和培训计划；</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4</w:t>
            </w:r>
            <w:r w:rsidRPr="00687B52">
              <w:rPr>
                <w:rFonts w:ascii="Cambria"/>
                <w:color w:val="000000" w:themeColor="text1"/>
                <w:sz w:val="24"/>
                <w:szCs w:val="24"/>
              </w:rPr>
              <w:t>）保证本单位安全生产投入的有效实施；</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5</w:t>
            </w:r>
            <w:r w:rsidRPr="00687B52">
              <w:rPr>
                <w:rFonts w:ascii="Cambria"/>
                <w:color w:val="000000" w:themeColor="text1"/>
                <w:sz w:val="24"/>
                <w:szCs w:val="24"/>
              </w:rPr>
              <w:t>）督促、检查本单位的安全生产工作，及时消除生产安全事故隐患；</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6</w:t>
            </w:r>
            <w:r w:rsidRPr="00687B52">
              <w:rPr>
                <w:rFonts w:ascii="Cambria"/>
                <w:color w:val="000000" w:themeColor="text1"/>
                <w:sz w:val="24"/>
                <w:szCs w:val="24"/>
              </w:rPr>
              <w:t>）组织制定并实施本单位的生产安全事故应急救援预案；</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7</w:t>
            </w:r>
            <w:r w:rsidRPr="00687B52">
              <w:rPr>
                <w:rFonts w:ascii="Cambria"/>
                <w:color w:val="000000" w:themeColor="text1"/>
                <w:sz w:val="24"/>
                <w:szCs w:val="24"/>
              </w:rPr>
              <w:t>）及时、如实报告生产安全事故。</w:t>
            </w:r>
          </w:p>
        </w:tc>
        <w:tc>
          <w:tcPr>
            <w:tcW w:w="1236" w:type="pct"/>
            <w:vAlign w:val="center"/>
          </w:tcPr>
          <w:p w:rsidR="000E02C5" w:rsidRPr="00687B52" w:rsidRDefault="000E02C5" w:rsidP="00B527D4">
            <w:pPr>
              <w:rPr>
                <w:rFonts w:ascii="Cambria" w:hAnsi="Cambria" w:cs="宋体"/>
                <w:color w:val="000000" w:themeColor="text1"/>
                <w:sz w:val="24"/>
                <w:szCs w:val="24"/>
              </w:rPr>
            </w:pPr>
            <w:r w:rsidRPr="00687B52">
              <w:rPr>
                <w:rFonts w:ascii="Cambria"/>
                <w:color w:val="000000" w:themeColor="text1"/>
                <w:sz w:val="24"/>
                <w:szCs w:val="24"/>
              </w:rPr>
              <w:t>《安全生产法》第</w:t>
            </w:r>
            <w:r w:rsidRPr="00687B52">
              <w:rPr>
                <w:rFonts w:ascii="Cambria" w:hAnsi="Cambria"/>
                <w:color w:val="000000" w:themeColor="text1"/>
                <w:sz w:val="24"/>
                <w:szCs w:val="24"/>
              </w:rPr>
              <w:t>18</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hint="eastAsia"/>
                <w:color w:val="000000" w:themeColor="text1"/>
                <w:sz w:val="24"/>
                <w:szCs w:val="24"/>
              </w:rPr>
              <w:t>4</w:t>
            </w:r>
          </w:p>
        </w:tc>
        <w:tc>
          <w:tcPr>
            <w:tcW w:w="2101" w:type="pct"/>
            <w:vAlign w:val="center"/>
          </w:tcPr>
          <w:p w:rsidR="000E02C5" w:rsidRPr="00687B52" w:rsidRDefault="000E02C5" w:rsidP="00B527D4">
            <w:pPr>
              <w:rPr>
                <w:rFonts w:ascii="Cambria" w:hAnsi="Cambria"/>
                <w:color w:val="000000" w:themeColor="text1"/>
                <w:kern w:val="0"/>
                <w:sz w:val="24"/>
                <w:szCs w:val="24"/>
              </w:rPr>
            </w:pPr>
            <w:r w:rsidRPr="00687B52">
              <w:rPr>
                <w:rFonts w:ascii="Cambria"/>
                <w:color w:val="000000" w:themeColor="text1"/>
                <w:kern w:val="0"/>
                <w:sz w:val="24"/>
                <w:szCs w:val="24"/>
              </w:rPr>
              <w:t>企业应当根据制定完善下列安全生产规章制度</w:t>
            </w:r>
            <w:r w:rsidRPr="00687B52">
              <w:rPr>
                <w:rFonts w:ascii="Cambria" w:hint="eastAsia"/>
                <w:color w:val="000000" w:themeColor="text1"/>
                <w:kern w:val="0"/>
                <w:sz w:val="24"/>
                <w:szCs w:val="24"/>
              </w:rPr>
              <w:t>和操作规程</w:t>
            </w:r>
            <w:r w:rsidRPr="00687B52">
              <w:rPr>
                <w:rFonts w:ascii="Cambria"/>
                <w:color w:val="000000" w:themeColor="text1"/>
                <w:kern w:val="0"/>
                <w:sz w:val="24"/>
                <w:szCs w:val="24"/>
              </w:rPr>
              <w:t>（不限于以下</w:t>
            </w:r>
            <w:r w:rsidRPr="00687B52">
              <w:rPr>
                <w:rFonts w:ascii="Cambria" w:hint="eastAsia"/>
                <w:color w:val="000000" w:themeColor="text1"/>
                <w:kern w:val="0"/>
                <w:sz w:val="24"/>
                <w:szCs w:val="24"/>
              </w:rPr>
              <w:t>所列</w:t>
            </w:r>
            <w:r w:rsidRPr="00687B52">
              <w:rPr>
                <w:rFonts w:ascii="Cambria"/>
                <w:color w:val="000000" w:themeColor="text1"/>
                <w:kern w:val="0"/>
                <w:sz w:val="24"/>
                <w:szCs w:val="24"/>
              </w:rPr>
              <w:t>）：</w:t>
            </w:r>
          </w:p>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1</w:t>
            </w:r>
            <w:r w:rsidRPr="00687B52">
              <w:rPr>
                <w:rFonts w:ascii="Cambria"/>
                <w:color w:val="000000" w:themeColor="text1"/>
                <w:kern w:val="0"/>
                <w:sz w:val="24"/>
                <w:szCs w:val="24"/>
              </w:rPr>
              <w:t>）安全生产例会等安全生产会议制度；</w:t>
            </w:r>
          </w:p>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2</w:t>
            </w:r>
            <w:r w:rsidRPr="00687B52">
              <w:rPr>
                <w:rFonts w:ascii="Cambria"/>
                <w:color w:val="000000" w:themeColor="text1"/>
                <w:kern w:val="0"/>
                <w:sz w:val="24"/>
                <w:szCs w:val="24"/>
              </w:rPr>
              <w:t>）安全投入保障制度；</w:t>
            </w:r>
          </w:p>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3</w:t>
            </w:r>
            <w:r w:rsidRPr="00687B52">
              <w:rPr>
                <w:rFonts w:ascii="Cambria"/>
                <w:color w:val="000000" w:themeColor="text1"/>
                <w:kern w:val="0"/>
                <w:sz w:val="24"/>
                <w:szCs w:val="24"/>
              </w:rPr>
              <w:t>）安全生产奖惩制度；</w:t>
            </w:r>
          </w:p>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4</w:t>
            </w:r>
            <w:r w:rsidRPr="00687B52">
              <w:rPr>
                <w:rFonts w:ascii="Cambria"/>
                <w:color w:val="000000" w:themeColor="text1"/>
                <w:kern w:val="0"/>
                <w:sz w:val="24"/>
                <w:szCs w:val="24"/>
              </w:rPr>
              <w:t>）安全培训教育制度；</w:t>
            </w:r>
          </w:p>
          <w:p w:rsidR="000E02C5" w:rsidRPr="00687B52" w:rsidRDefault="000E02C5" w:rsidP="00B527D4">
            <w:pPr>
              <w:rPr>
                <w:rFonts w:ascii="Cambria" w:hAnsi="Cambria"/>
                <w:color w:val="000000" w:themeColor="text1"/>
                <w:kern w:val="0"/>
                <w:sz w:val="24"/>
                <w:szCs w:val="24"/>
              </w:rPr>
            </w:pPr>
            <w:r w:rsidRPr="00687B52">
              <w:rPr>
                <w:rFonts w:ascii="Cambria" w:hAnsi="Cambria" w:hint="eastAsia"/>
                <w:color w:val="000000" w:themeColor="text1"/>
                <w:kern w:val="0"/>
                <w:sz w:val="24"/>
                <w:szCs w:val="24"/>
              </w:rPr>
              <w:t>5</w:t>
            </w:r>
            <w:r w:rsidRPr="00687B52">
              <w:rPr>
                <w:rFonts w:ascii="Cambria"/>
                <w:color w:val="000000" w:themeColor="text1"/>
                <w:kern w:val="0"/>
                <w:sz w:val="24"/>
                <w:szCs w:val="24"/>
              </w:rPr>
              <w:t>）特种作业人员管理制度；</w:t>
            </w:r>
          </w:p>
          <w:p w:rsidR="000E02C5" w:rsidRPr="00687B52" w:rsidRDefault="000E02C5" w:rsidP="00B527D4">
            <w:pPr>
              <w:rPr>
                <w:rFonts w:ascii="Cambria" w:hAnsi="Cambria"/>
                <w:color w:val="000000" w:themeColor="text1"/>
                <w:kern w:val="0"/>
                <w:sz w:val="24"/>
                <w:szCs w:val="24"/>
              </w:rPr>
            </w:pPr>
            <w:r w:rsidRPr="00687B52">
              <w:rPr>
                <w:rFonts w:ascii="Cambria" w:hAnsi="Cambria" w:hint="eastAsia"/>
                <w:color w:val="000000" w:themeColor="text1"/>
                <w:kern w:val="0"/>
                <w:sz w:val="24"/>
                <w:szCs w:val="24"/>
              </w:rPr>
              <w:t>6</w:t>
            </w:r>
            <w:r w:rsidRPr="00687B52">
              <w:rPr>
                <w:rFonts w:ascii="Cambria"/>
                <w:color w:val="000000" w:themeColor="text1"/>
                <w:kern w:val="0"/>
                <w:sz w:val="24"/>
                <w:szCs w:val="24"/>
              </w:rPr>
              <w:t>）安全检查和隐患排查治理制度；</w:t>
            </w:r>
          </w:p>
          <w:p w:rsidR="000E02C5" w:rsidRPr="00687B52" w:rsidRDefault="000E02C5" w:rsidP="00B527D4">
            <w:pPr>
              <w:rPr>
                <w:rFonts w:ascii="Cambria" w:hAnsi="Cambria"/>
                <w:color w:val="000000" w:themeColor="text1"/>
                <w:kern w:val="0"/>
                <w:sz w:val="24"/>
                <w:szCs w:val="24"/>
              </w:rPr>
            </w:pPr>
            <w:r w:rsidRPr="00687B52">
              <w:rPr>
                <w:rFonts w:ascii="Cambria" w:hAnsi="Cambria" w:hint="eastAsia"/>
                <w:color w:val="000000" w:themeColor="text1"/>
                <w:kern w:val="0"/>
                <w:sz w:val="24"/>
                <w:szCs w:val="24"/>
              </w:rPr>
              <w:t>7</w:t>
            </w:r>
            <w:r w:rsidRPr="00687B52">
              <w:rPr>
                <w:rFonts w:ascii="Cambria"/>
                <w:color w:val="000000" w:themeColor="text1"/>
                <w:kern w:val="0"/>
                <w:sz w:val="24"/>
                <w:szCs w:val="24"/>
              </w:rPr>
              <w:t>）重大危险源评估和安全管理制度；</w:t>
            </w:r>
          </w:p>
          <w:p w:rsidR="000E02C5" w:rsidRPr="00687B52" w:rsidRDefault="000E02C5" w:rsidP="00B527D4">
            <w:pPr>
              <w:rPr>
                <w:rFonts w:ascii="Cambria" w:hAnsi="Cambria"/>
                <w:color w:val="000000" w:themeColor="text1"/>
                <w:kern w:val="0"/>
                <w:sz w:val="24"/>
                <w:szCs w:val="24"/>
              </w:rPr>
            </w:pPr>
            <w:r w:rsidRPr="00687B52">
              <w:rPr>
                <w:rFonts w:ascii="Cambria" w:hAnsi="Cambria" w:hint="eastAsia"/>
                <w:color w:val="000000" w:themeColor="text1"/>
                <w:kern w:val="0"/>
                <w:sz w:val="24"/>
                <w:szCs w:val="24"/>
              </w:rPr>
              <w:t>8</w:t>
            </w:r>
            <w:r w:rsidRPr="00687B52">
              <w:rPr>
                <w:rFonts w:ascii="Cambria"/>
                <w:color w:val="000000" w:themeColor="text1"/>
                <w:kern w:val="0"/>
                <w:sz w:val="24"/>
                <w:szCs w:val="24"/>
              </w:rPr>
              <w:t>）变更管理制度；</w:t>
            </w:r>
          </w:p>
          <w:p w:rsidR="000E02C5" w:rsidRPr="00687B52" w:rsidRDefault="000E02C5" w:rsidP="00B527D4">
            <w:pPr>
              <w:rPr>
                <w:rFonts w:ascii="Cambria" w:hAnsi="Cambria"/>
                <w:color w:val="000000" w:themeColor="text1"/>
                <w:kern w:val="0"/>
                <w:sz w:val="24"/>
                <w:szCs w:val="24"/>
              </w:rPr>
            </w:pPr>
            <w:r w:rsidRPr="00687B52">
              <w:rPr>
                <w:rFonts w:ascii="Cambria" w:hAnsi="Cambria" w:hint="eastAsia"/>
                <w:color w:val="000000" w:themeColor="text1"/>
                <w:kern w:val="0"/>
                <w:sz w:val="24"/>
                <w:szCs w:val="24"/>
              </w:rPr>
              <w:t>9</w:t>
            </w:r>
            <w:r w:rsidRPr="00687B52">
              <w:rPr>
                <w:rFonts w:ascii="Cambria"/>
                <w:color w:val="000000" w:themeColor="text1"/>
                <w:kern w:val="0"/>
                <w:sz w:val="24"/>
                <w:szCs w:val="24"/>
              </w:rPr>
              <w:t>）应急管理制度；</w:t>
            </w:r>
          </w:p>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1</w:t>
            </w:r>
            <w:r w:rsidRPr="00687B52">
              <w:rPr>
                <w:rFonts w:ascii="Cambria" w:hAnsi="Cambria" w:hint="eastAsia"/>
                <w:color w:val="000000" w:themeColor="text1"/>
                <w:kern w:val="0"/>
                <w:sz w:val="24"/>
                <w:szCs w:val="24"/>
              </w:rPr>
              <w:t>0</w:t>
            </w:r>
            <w:r w:rsidRPr="00687B52">
              <w:rPr>
                <w:rFonts w:ascii="Cambria"/>
                <w:color w:val="000000" w:themeColor="text1"/>
                <w:kern w:val="0"/>
                <w:sz w:val="24"/>
                <w:szCs w:val="24"/>
              </w:rPr>
              <w:t>）生产安全事故或者重大事件管理制度；</w:t>
            </w:r>
          </w:p>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1</w:t>
            </w:r>
            <w:r w:rsidRPr="00687B52">
              <w:rPr>
                <w:rFonts w:ascii="Cambria" w:hAnsi="Cambria" w:hint="eastAsia"/>
                <w:color w:val="000000" w:themeColor="text1"/>
                <w:kern w:val="0"/>
                <w:sz w:val="24"/>
                <w:szCs w:val="24"/>
              </w:rPr>
              <w:t>1</w:t>
            </w:r>
            <w:r w:rsidRPr="00687B52">
              <w:rPr>
                <w:rFonts w:ascii="Cambria"/>
                <w:color w:val="000000" w:themeColor="text1"/>
                <w:kern w:val="0"/>
                <w:sz w:val="24"/>
                <w:szCs w:val="24"/>
              </w:rPr>
              <w:t>）防火、防爆、防中毒、防泄漏管理制度；</w:t>
            </w:r>
          </w:p>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1</w:t>
            </w:r>
            <w:r w:rsidRPr="00687B52">
              <w:rPr>
                <w:rFonts w:ascii="Cambria" w:hAnsi="Cambria" w:hint="eastAsia"/>
                <w:color w:val="000000" w:themeColor="text1"/>
                <w:kern w:val="0"/>
                <w:sz w:val="24"/>
                <w:szCs w:val="24"/>
              </w:rPr>
              <w:t>2</w:t>
            </w:r>
            <w:r w:rsidRPr="00687B52">
              <w:rPr>
                <w:rFonts w:ascii="Cambria"/>
                <w:color w:val="000000" w:themeColor="text1"/>
                <w:kern w:val="0"/>
                <w:sz w:val="24"/>
                <w:szCs w:val="24"/>
              </w:rPr>
              <w:t>）工艺、设备、电气仪表、公用工程安全管理制度；</w:t>
            </w:r>
          </w:p>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1</w:t>
            </w:r>
            <w:r w:rsidRPr="00687B52">
              <w:rPr>
                <w:rFonts w:ascii="Cambria" w:hAnsi="Cambria" w:hint="eastAsia"/>
                <w:color w:val="000000" w:themeColor="text1"/>
                <w:kern w:val="0"/>
                <w:sz w:val="24"/>
                <w:szCs w:val="24"/>
              </w:rPr>
              <w:t>3</w:t>
            </w:r>
            <w:r w:rsidRPr="00687B52">
              <w:rPr>
                <w:rFonts w:ascii="Cambria"/>
                <w:color w:val="000000" w:themeColor="text1"/>
                <w:kern w:val="0"/>
                <w:sz w:val="24"/>
                <w:szCs w:val="24"/>
              </w:rPr>
              <w:t>）动火、进入受限空间、吊装、高处、盲板抽堵、动土、断路、设备检维修等作业安全管理制度；</w:t>
            </w:r>
          </w:p>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1</w:t>
            </w:r>
            <w:r w:rsidRPr="00687B52">
              <w:rPr>
                <w:rFonts w:ascii="Cambria" w:hAnsi="Cambria" w:hint="eastAsia"/>
                <w:color w:val="000000" w:themeColor="text1"/>
                <w:kern w:val="0"/>
                <w:sz w:val="24"/>
                <w:szCs w:val="24"/>
              </w:rPr>
              <w:t>4</w:t>
            </w:r>
            <w:r w:rsidRPr="00687B52">
              <w:rPr>
                <w:rFonts w:ascii="Cambria"/>
                <w:color w:val="000000" w:themeColor="text1"/>
                <w:kern w:val="0"/>
                <w:sz w:val="24"/>
                <w:szCs w:val="24"/>
              </w:rPr>
              <w:t>）危险化学品安全管理制度；</w:t>
            </w:r>
          </w:p>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1</w:t>
            </w:r>
            <w:r w:rsidRPr="00687B52">
              <w:rPr>
                <w:rFonts w:ascii="Cambria" w:hAnsi="Cambria" w:hint="eastAsia"/>
                <w:color w:val="000000" w:themeColor="text1"/>
                <w:kern w:val="0"/>
                <w:sz w:val="24"/>
                <w:szCs w:val="24"/>
              </w:rPr>
              <w:t>5</w:t>
            </w:r>
            <w:r w:rsidRPr="00687B52">
              <w:rPr>
                <w:rFonts w:ascii="Cambria"/>
                <w:color w:val="000000" w:themeColor="text1"/>
                <w:kern w:val="0"/>
                <w:sz w:val="24"/>
                <w:szCs w:val="24"/>
              </w:rPr>
              <w:t>）职业健康相关管理制度；</w:t>
            </w:r>
          </w:p>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1</w:t>
            </w:r>
            <w:r w:rsidRPr="00687B52">
              <w:rPr>
                <w:rFonts w:ascii="Cambria" w:hAnsi="Cambria" w:hint="eastAsia"/>
                <w:color w:val="000000" w:themeColor="text1"/>
                <w:kern w:val="0"/>
                <w:sz w:val="24"/>
                <w:szCs w:val="24"/>
              </w:rPr>
              <w:t>6</w:t>
            </w:r>
            <w:r w:rsidRPr="00687B52">
              <w:rPr>
                <w:rFonts w:ascii="Cambria"/>
                <w:color w:val="000000" w:themeColor="text1"/>
                <w:kern w:val="0"/>
                <w:sz w:val="24"/>
                <w:szCs w:val="24"/>
              </w:rPr>
              <w:t>）劳动防护用品使用维护管理制度；</w:t>
            </w:r>
          </w:p>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1</w:t>
            </w:r>
            <w:r w:rsidRPr="00687B52">
              <w:rPr>
                <w:rFonts w:ascii="Cambria" w:hAnsi="Cambria" w:hint="eastAsia"/>
                <w:color w:val="000000" w:themeColor="text1"/>
                <w:kern w:val="0"/>
                <w:sz w:val="24"/>
                <w:szCs w:val="24"/>
              </w:rPr>
              <w:t>7</w:t>
            </w:r>
            <w:r w:rsidRPr="00687B52">
              <w:rPr>
                <w:rFonts w:ascii="Cambria"/>
                <w:color w:val="000000" w:themeColor="text1"/>
                <w:kern w:val="0"/>
                <w:sz w:val="24"/>
                <w:szCs w:val="24"/>
              </w:rPr>
              <w:t>）承包商管理制度；</w:t>
            </w:r>
          </w:p>
          <w:p w:rsidR="000E02C5" w:rsidRPr="00687B52" w:rsidRDefault="000E02C5" w:rsidP="00B527D4">
            <w:pPr>
              <w:rPr>
                <w:rFonts w:ascii="Cambria"/>
                <w:color w:val="000000" w:themeColor="text1"/>
                <w:kern w:val="0"/>
                <w:sz w:val="24"/>
                <w:szCs w:val="24"/>
              </w:rPr>
            </w:pPr>
            <w:r w:rsidRPr="00687B52">
              <w:rPr>
                <w:rFonts w:ascii="Cambria" w:hAnsi="Cambria"/>
                <w:color w:val="000000" w:themeColor="text1"/>
                <w:kern w:val="0"/>
                <w:sz w:val="24"/>
                <w:szCs w:val="24"/>
              </w:rPr>
              <w:t>1</w:t>
            </w:r>
            <w:r w:rsidRPr="00687B52">
              <w:rPr>
                <w:rFonts w:ascii="Cambria" w:hAnsi="Cambria" w:hint="eastAsia"/>
                <w:color w:val="000000" w:themeColor="text1"/>
                <w:kern w:val="0"/>
                <w:sz w:val="24"/>
                <w:szCs w:val="24"/>
              </w:rPr>
              <w:t>8</w:t>
            </w:r>
            <w:r w:rsidRPr="00687B52">
              <w:rPr>
                <w:rFonts w:ascii="Cambria"/>
                <w:color w:val="000000" w:themeColor="text1"/>
                <w:kern w:val="0"/>
                <w:sz w:val="24"/>
                <w:szCs w:val="24"/>
              </w:rPr>
              <w:t>）安全管理制度及操作规程定期修订制度</w:t>
            </w:r>
            <w:r w:rsidRPr="00687B52">
              <w:rPr>
                <w:rFonts w:ascii="Cambria" w:hint="eastAsia"/>
                <w:color w:val="000000" w:themeColor="text1"/>
                <w:kern w:val="0"/>
                <w:sz w:val="24"/>
                <w:szCs w:val="24"/>
              </w:rPr>
              <w:t>；</w:t>
            </w:r>
          </w:p>
          <w:p w:rsidR="000E02C5" w:rsidRPr="00687B52" w:rsidRDefault="000E02C5" w:rsidP="00B527D4">
            <w:pPr>
              <w:rPr>
                <w:rFonts w:ascii="Cambria" w:hAnsi="Cambria"/>
                <w:color w:val="000000" w:themeColor="text1"/>
                <w:sz w:val="24"/>
                <w:szCs w:val="24"/>
              </w:rPr>
            </w:pPr>
            <w:r w:rsidRPr="00687B52">
              <w:rPr>
                <w:rFonts w:ascii="Cambria" w:hAnsi="Cambria" w:hint="eastAsia"/>
                <w:color w:val="000000" w:themeColor="text1"/>
                <w:sz w:val="24"/>
                <w:szCs w:val="24"/>
              </w:rPr>
              <w:t>19</w:t>
            </w:r>
            <w:r w:rsidRPr="00687B52">
              <w:rPr>
                <w:rFonts w:ascii="Cambria" w:hAnsi="Cambria" w:hint="eastAsia"/>
                <w:color w:val="000000" w:themeColor="text1"/>
                <w:sz w:val="24"/>
                <w:szCs w:val="24"/>
              </w:rPr>
              <w:t>）各岗位</w:t>
            </w:r>
            <w:r w:rsidRPr="00687B52">
              <w:rPr>
                <w:rFonts w:ascii="Cambria" w:hAnsi="Cambria" w:cs="宋体"/>
                <w:color w:val="000000" w:themeColor="text1"/>
                <w:kern w:val="0"/>
                <w:sz w:val="24"/>
                <w:szCs w:val="24"/>
              </w:rPr>
              <w:t>操作安全规程。</w:t>
            </w:r>
          </w:p>
        </w:tc>
        <w:tc>
          <w:tcPr>
            <w:tcW w:w="1236" w:type="pct"/>
            <w:vAlign w:val="center"/>
          </w:tcPr>
          <w:p w:rsidR="000E02C5" w:rsidRPr="00687B52" w:rsidRDefault="000E02C5" w:rsidP="00B527D4">
            <w:pPr>
              <w:jc w:val="center"/>
              <w:rPr>
                <w:rFonts w:ascii="Cambria"/>
                <w:color w:val="000000" w:themeColor="text1"/>
                <w:sz w:val="24"/>
                <w:szCs w:val="24"/>
              </w:rPr>
            </w:pPr>
            <w:r w:rsidRPr="00687B52">
              <w:rPr>
                <w:rFonts w:ascii="Cambria"/>
                <w:color w:val="000000" w:themeColor="text1"/>
                <w:sz w:val="24"/>
                <w:szCs w:val="24"/>
              </w:rPr>
              <w:t>《</w:t>
            </w:r>
            <w:r w:rsidRPr="00687B52">
              <w:rPr>
                <w:rFonts w:ascii="Cambria" w:hint="eastAsia"/>
                <w:color w:val="000000" w:themeColor="text1"/>
                <w:sz w:val="24"/>
                <w:szCs w:val="24"/>
              </w:rPr>
              <w:t>安全生产法</w:t>
            </w:r>
            <w:r w:rsidRPr="00687B52">
              <w:rPr>
                <w:rFonts w:ascii="Cambria"/>
                <w:color w:val="000000" w:themeColor="text1"/>
                <w:sz w:val="24"/>
                <w:szCs w:val="24"/>
              </w:rPr>
              <w:t>》</w:t>
            </w:r>
          </w:p>
          <w:p w:rsidR="000E02C5" w:rsidRPr="00687B52" w:rsidRDefault="000E02C5" w:rsidP="00B527D4">
            <w:pPr>
              <w:jc w:val="center"/>
              <w:rPr>
                <w:rFonts w:ascii="Cambria" w:hAnsi="Cambria"/>
                <w:color w:val="000000" w:themeColor="text1"/>
                <w:sz w:val="24"/>
                <w:szCs w:val="24"/>
              </w:rPr>
            </w:pPr>
            <w:r w:rsidRPr="00687B52">
              <w:rPr>
                <w:rFonts w:ascii="Cambria"/>
                <w:color w:val="000000" w:themeColor="text1"/>
                <w:sz w:val="24"/>
                <w:szCs w:val="24"/>
              </w:rPr>
              <w:t>《</w:t>
            </w:r>
            <w:r w:rsidRPr="00687B52">
              <w:rPr>
                <w:rFonts w:ascii="Cambria" w:hint="eastAsia"/>
                <w:color w:val="000000" w:themeColor="text1"/>
                <w:sz w:val="24"/>
                <w:szCs w:val="24"/>
              </w:rPr>
              <w:t>职业病防治法</w:t>
            </w:r>
            <w:r w:rsidRPr="00687B52">
              <w:rPr>
                <w:rFonts w:ascii="Cambria"/>
                <w:color w:val="000000" w:themeColor="text1"/>
                <w:sz w:val="24"/>
                <w:szCs w:val="24"/>
              </w:rPr>
              <w:t>》</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hint="eastAsia"/>
                <w:color w:val="000000" w:themeColor="text1"/>
                <w:sz w:val="24"/>
                <w:szCs w:val="24"/>
              </w:rPr>
              <w:t>5</w:t>
            </w:r>
          </w:p>
        </w:tc>
        <w:tc>
          <w:tcPr>
            <w:tcW w:w="2101" w:type="pct"/>
            <w:vAlign w:val="center"/>
          </w:tcPr>
          <w:p w:rsidR="000E02C5" w:rsidRPr="00687B52" w:rsidRDefault="000E02C5" w:rsidP="00B527D4">
            <w:pPr>
              <w:rPr>
                <w:rFonts w:ascii="Cambria" w:hAnsi="Cambria"/>
                <w:color w:val="000000" w:themeColor="text1"/>
                <w:kern w:val="0"/>
                <w:sz w:val="24"/>
                <w:szCs w:val="24"/>
              </w:rPr>
            </w:pPr>
            <w:r w:rsidRPr="00687B52">
              <w:rPr>
                <w:rFonts w:ascii="Cambria"/>
                <w:color w:val="000000" w:themeColor="text1"/>
                <w:kern w:val="0"/>
                <w:sz w:val="24"/>
                <w:szCs w:val="24"/>
              </w:rPr>
              <w:t>特种设备使用单位应当建立岗位责任、隐患治理、应急救援等安全管理制度，制定操作规程，保证特种设备安全运行。</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《特种设备安全法》第</w:t>
            </w:r>
            <w:r w:rsidRPr="00687B52">
              <w:rPr>
                <w:rFonts w:ascii="Cambria" w:hAnsi="Cambria"/>
                <w:color w:val="000000" w:themeColor="text1"/>
                <w:sz w:val="24"/>
                <w:szCs w:val="24"/>
              </w:rPr>
              <w:t>34</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hint="eastAsia"/>
                <w:color w:val="000000" w:themeColor="text1"/>
                <w:sz w:val="24"/>
                <w:szCs w:val="24"/>
              </w:rPr>
              <w:t>6</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剧毒化学品以及储存数量构成重大危险源的其他危险化学品，实行双人收发、双人保管制度。</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《危险化学品管理条例》第</w:t>
            </w:r>
            <w:r w:rsidRPr="00687B52">
              <w:rPr>
                <w:rFonts w:ascii="Cambria" w:hAnsi="Cambria"/>
                <w:color w:val="000000" w:themeColor="text1"/>
                <w:sz w:val="24"/>
                <w:szCs w:val="24"/>
              </w:rPr>
              <w:t>24</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hint="eastAsia"/>
                <w:color w:val="000000" w:themeColor="text1"/>
                <w:sz w:val="24"/>
                <w:szCs w:val="24"/>
              </w:rPr>
              <w:t>7</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储存危险化学品的单位应当建立危险化学品出入库核查、登记制度。</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《危险化学品管理条例》第</w:t>
            </w:r>
            <w:r w:rsidRPr="00687B52">
              <w:rPr>
                <w:rFonts w:ascii="Cambria" w:hAnsi="Cambria"/>
                <w:color w:val="000000" w:themeColor="text1"/>
                <w:sz w:val="24"/>
                <w:szCs w:val="24"/>
              </w:rPr>
              <w:t>25</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9032A" w:rsidP="00B527D4">
            <w:pPr>
              <w:jc w:val="center"/>
              <w:rPr>
                <w:rFonts w:ascii="Cambria" w:hAnsi="Cambria"/>
                <w:b/>
                <w:color w:val="000000" w:themeColor="text1"/>
                <w:sz w:val="24"/>
                <w:szCs w:val="24"/>
              </w:rPr>
            </w:pPr>
            <w:r w:rsidRPr="00687B52">
              <w:rPr>
                <w:rFonts w:ascii="Cambria" w:hint="eastAsia"/>
                <w:b/>
                <w:color w:val="000000" w:themeColor="text1"/>
                <w:sz w:val="24"/>
                <w:szCs w:val="24"/>
              </w:rPr>
              <w:t>3</w:t>
            </w:r>
          </w:p>
        </w:tc>
        <w:tc>
          <w:tcPr>
            <w:tcW w:w="2101" w:type="pct"/>
            <w:vAlign w:val="center"/>
          </w:tcPr>
          <w:p w:rsidR="000E02C5" w:rsidRPr="00687B52" w:rsidRDefault="000E02C5" w:rsidP="00B527D4">
            <w:pPr>
              <w:rPr>
                <w:rFonts w:ascii="Cambria" w:hAnsi="Cambria"/>
                <w:b/>
                <w:color w:val="000000" w:themeColor="text1"/>
                <w:sz w:val="24"/>
                <w:szCs w:val="24"/>
              </w:rPr>
            </w:pPr>
            <w:r w:rsidRPr="00687B52">
              <w:rPr>
                <w:rFonts w:ascii="Cambria"/>
                <w:b/>
                <w:color w:val="000000" w:themeColor="text1"/>
                <w:sz w:val="24"/>
                <w:szCs w:val="24"/>
              </w:rPr>
              <w:t>安全投入</w:t>
            </w:r>
          </w:p>
        </w:tc>
        <w:tc>
          <w:tcPr>
            <w:tcW w:w="1236" w:type="pct"/>
            <w:vAlign w:val="center"/>
          </w:tcPr>
          <w:p w:rsidR="000E02C5" w:rsidRPr="00687B52" w:rsidRDefault="000E02C5" w:rsidP="00B527D4">
            <w:pPr>
              <w:rPr>
                <w:rFonts w:ascii="Cambria" w:hAnsi="Cambria"/>
                <w:color w:val="000000" w:themeColor="text1"/>
                <w:sz w:val="24"/>
                <w:szCs w:val="24"/>
              </w:rPr>
            </w:pP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3.1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企业应当严格执行安全投入保障制度，制度中应明确安全费用提取和使用的程序、职责及权限。</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《企业安全生产费用提取和使用管理办法》第</w:t>
            </w:r>
            <w:r w:rsidRPr="00687B52">
              <w:rPr>
                <w:rFonts w:ascii="Cambria" w:hAnsi="Cambria"/>
                <w:color w:val="000000" w:themeColor="text1"/>
                <w:sz w:val="24"/>
                <w:szCs w:val="24"/>
              </w:rPr>
              <w:t xml:space="preserve"> 31</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3.2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企业以上年度实际营业收入为计提依据，采取超额累退方式按照以下标准平均逐月提取</w:t>
            </w:r>
            <w:r w:rsidRPr="00687B52">
              <w:rPr>
                <w:rFonts w:ascii="Cambria" w:hAnsi="Cambria" w:hint="eastAs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《企业安全生产费用提取和使用管理办法》</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3.3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企业安全费用应当按照以下范围使用：</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color w:val="000000" w:themeColor="text1"/>
                <w:sz w:val="24"/>
                <w:szCs w:val="24"/>
              </w:rPr>
              <w:t>）完善、改造和维护安全防护设施设备支出（不含</w:t>
            </w:r>
            <w:r w:rsidRPr="00687B52">
              <w:rPr>
                <w:rFonts w:ascii="Cambria" w:hAnsi="Cambria"/>
                <w:color w:val="000000" w:themeColor="text1"/>
                <w:sz w:val="24"/>
                <w:szCs w:val="24"/>
              </w:rPr>
              <w:t>“</w:t>
            </w:r>
            <w:r w:rsidRPr="00687B52">
              <w:rPr>
                <w:rFonts w:ascii="Cambria"/>
                <w:color w:val="000000" w:themeColor="text1"/>
                <w:sz w:val="24"/>
                <w:szCs w:val="24"/>
              </w:rPr>
              <w:t>三同时</w:t>
            </w:r>
            <w:r w:rsidRPr="00687B52">
              <w:rPr>
                <w:rFonts w:ascii="Cambria" w:hAnsi="Cambria"/>
                <w:color w:val="000000" w:themeColor="text1"/>
                <w:sz w:val="24"/>
                <w:szCs w:val="24"/>
              </w:rPr>
              <w:t>”</w:t>
            </w:r>
            <w:r w:rsidRPr="00687B52">
              <w:rPr>
                <w:rFonts w:ascii="Cambria"/>
                <w:color w:val="000000" w:themeColor="text1"/>
                <w:sz w:val="24"/>
                <w:szCs w:val="24"/>
              </w:rPr>
              <w:t>要求初期投入的安全设施），包括车间、库房、罐区等作业场所的监控、监测、通风、防晒、调温、防火、灭火、防爆、泄压、防毒、消毒、中和、防潮、防雷、防静电、防腐、防渗漏、防护围堤或者隔离操作等设施设备支出；</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color w:val="000000" w:themeColor="text1"/>
                <w:sz w:val="24"/>
                <w:szCs w:val="24"/>
              </w:rPr>
              <w:t>）配备、维护、保养应急救援器材、设备支出和应急演练支出；</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3</w:t>
            </w:r>
            <w:r w:rsidRPr="00687B52">
              <w:rPr>
                <w:rFonts w:ascii="Cambria"/>
                <w:color w:val="000000" w:themeColor="text1"/>
                <w:sz w:val="24"/>
                <w:szCs w:val="24"/>
              </w:rPr>
              <w:t>）开展重大危险源和事故隐患评估、监控和整改支出；</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4</w:t>
            </w:r>
            <w:r w:rsidRPr="00687B52">
              <w:rPr>
                <w:rFonts w:ascii="Cambria"/>
                <w:color w:val="000000" w:themeColor="text1"/>
                <w:sz w:val="24"/>
                <w:szCs w:val="24"/>
              </w:rPr>
              <w:t>）安全生产检查、评价（不包括新建、改建、扩建项目安全评价）、咨询和标准化建设支出；</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5</w:t>
            </w:r>
            <w:r w:rsidRPr="00687B52">
              <w:rPr>
                <w:rFonts w:ascii="Cambria"/>
                <w:color w:val="000000" w:themeColor="text1"/>
                <w:sz w:val="24"/>
                <w:szCs w:val="24"/>
              </w:rPr>
              <w:t>）配备和更新现场作业人员安全防护用品支出；</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6</w:t>
            </w:r>
            <w:r w:rsidRPr="00687B52">
              <w:rPr>
                <w:rFonts w:ascii="Cambria"/>
                <w:color w:val="000000" w:themeColor="text1"/>
                <w:sz w:val="24"/>
                <w:szCs w:val="24"/>
              </w:rPr>
              <w:t>）安全生产宣传、教育、培训支出；</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7</w:t>
            </w:r>
            <w:r w:rsidRPr="00687B52">
              <w:rPr>
                <w:rFonts w:ascii="Cambria"/>
                <w:color w:val="000000" w:themeColor="text1"/>
                <w:sz w:val="24"/>
                <w:szCs w:val="24"/>
              </w:rPr>
              <w:t>）安全生产适用的新技术、新标准、新工艺、新装备的推广应用支出；</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8</w:t>
            </w:r>
            <w:r w:rsidRPr="00687B52">
              <w:rPr>
                <w:rFonts w:ascii="Cambria"/>
                <w:color w:val="000000" w:themeColor="text1"/>
                <w:sz w:val="24"/>
                <w:szCs w:val="24"/>
              </w:rPr>
              <w:t>）安全设施及特种设备检测检验支出；</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9</w:t>
            </w:r>
            <w:r w:rsidRPr="00687B52">
              <w:rPr>
                <w:rFonts w:ascii="Cambria"/>
                <w:color w:val="000000" w:themeColor="text1"/>
                <w:sz w:val="24"/>
                <w:szCs w:val="24"/>
              </w:rPr>
              <w:t>）其他与安全生产直接相关的支出。</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《企业安全生产费用提取和使用管理办法》第</w:t>
            </w:r>
            <w:r w:rsidRPr="00687B52">
              <w:rPr>
                <w:rFonts w:ascii="Cambria" w:hAnsi="Cambria"/>
                <w:color w:val="000000" w:themeColor="text1"/>
                <w:sz w:val="24"/>
                <w:szCs w:val="24"/>
              </w:rPr>
              <w:t>20</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3.4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用人单位应当保障职业病防治所需的资金投入，不得挤占、挪用，并对因资金投入不足导致的后果承担责任。</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《职业病防治法》第</w:t>
            </w:r>
            <w:r w:rsidRPr="00687B52">
              <w:rPr>
                <w:rFonts w:ascii="Cambria" w:hAnsi="Cambria"/>
                <w:color w:val="000000" w:themeColor="text1"/>
                <w:sz w:val="24"/>
                <w:szCs w:val="24"/>
              </w:rPr>
              <w:t>21</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3.5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企业应建立安全投入台账，其安全生产费用在成本中据实列支。</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《安全生产法》第</w:t>
            </w:r>
            <w:r w:rsidRPr="00687B52">
              <w:rPr>
                <w:rFonts w:ascii="Cambria" w:hAnsi="Cambria"/>
                <w:color w:val="000000" w:themeColor="text1"/>
                <w:sz w:val="24"/>
                <w:szCs w:val="24"/>
              </w:rPr>
              <w:t xml:space="preserve"> 20</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3.6</w:t>
            </w:r>
          </w:p>
        </w:tc>
        <w:tc>
          <w:tcPr>
            <w:tcW w:w="2101" w:type="pct"/>
            <w:vAlign w:val="center"/>
          </w:tcPr>
          <w:p w:rsidR="000E02C5" w:rsidRPr="00687B52" w:rsidRDefault="000E02C5" w:rsidP="00B527D4">
            <w:pPr>
              <w:rPr>
                <w:rFonts w:ascii="Cambria" w:hAnsi="Cambria"/>
                <w:color w:val="000000" w:themeColor="text1"/>
                <w:kern w:val="0"/>
                <w:sz w:val="24"/>
                <w:szCs w:val="24"/>
              </w:rPr>
            </w:pPr>
            <w:r w:rsidRPr="00687B52">
              <w:rPr>
                <w:rFonts w:ascii="Cambria"/>
                <w:color w:val="000000" w:themeColor="text1"/>
                <w:kern w:val="0"/>
                <w:sz w:val="24"/>
                <w:szCs w:val="24"/>
              </w:rPr>
              <w:t>生产经营单位必须依法参加工伤保险，为从业人员缴纳保险费。</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《安全生产法》第</w:t>
            </w:r>
            <w:r w:rsidRPr="00687B52">
              <w:rPr>
                <w:rFonts w:ascii="Cambria" w:hAnsi="Cambria"/>
                <w:color w:val="000000" w:themeColor="text1"/>
                <w:sz w:val="24"/>
                <w:szCs w:val="24"/>
              </w:rPr>
              <w:t>48</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9032A" w:rsidP="00B527D4">
            <w:pPr>
              <w:jc w:val="center"/>
              <w:rPr>
                <w:rFonts w:ascii="Cambria" w:hAnsi="Cambria"/>
                <w:b/>
                <w:color w:val="000000" w:themeColor="text1"/>
                <w:sz w:val="24"/>
                <w:szCs w:val="24"/>
              </w:rPr>
            </w:pPr>
            <w:r w:rsidRPr="00687B52">
              <w:rPr>
                <w:rFonts w:ascii="Cambria" w:hint="eastAsia"/>
                <w:b/>
                <w:color w:val="000000" w:themeColor="text1"/>
                <w:sz w:val="24"/>
                <w:szCs w:val="24"/>
              </w:rPr>
              <w:t>4</w:t>
            </w:r>
          </w:p>
        </w:tc>
        <w:tc>
          <w:tcPr>
            <w:tcW w:w="2101" w:type="pct"/>
            <w:vAlign w:val="center"/>
          </w:tcPr>
          <w:p w:rsidR="000E02C5" w:rsidRPr="00687B52" w:rsidRDefault="000E02C5" w:rsidP="00B527D4">
            <w:pPr>
              <w:rPr>
                <w:rFonts w:ascii="Cambria" w:hAnsi="Cambria"/>
                <w:b/>
                <w:color w:val="000000" w:themeColor="text1"/>
                <w:sz w:val="24"/>
                <w:szCs w:val="24"/>
              </w:rPr>
            </w:pPr>
            <w:r w:rsidRPr="00687B52">
              <w:rPr>
                <w:rFonts w:ascii="Cambria"/>
                <w:b/>
                <w:color w:val="000000" w:themeColor="text1"/>
                <w:sz w:val="24"/>
                <w:szCs w:val="24"/>
              </w:rPr>
              <w:t>教育培训</w:t>
            </w:r>
          </w:p>
        </w:tc>
        <w:tc>
          <w:tcPr>
            <w:tcW w:w="1236" w:type="pct"/>
            <w:vAlign w:val="center"/>
          </w:tcPr>
          <w:p w:rsidR="000E02C5" w:rsidRPr="00687B52" w:rsidRDefault="000E02C5" w:rsidP="00B527D4">
            <w:pPr>
              <w:rPr>
                <w:rFonts w:ascii="Cambria" w:hAnsi="Cambria"/>
                <w:color w:val="000000" w:themeColor="text1"/>
                <w:sz w:val="24"/>
                <w:szCs w:val="24"/>
              </w:rPr>
            </w:pP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4.1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宋体"/>
                <w:color w:val="000000" w:themeColor="text1"/>
                <w:sz w:val="24"/>
                <w:szCs w:val="24"/>
              </w:rPr>
              <w:t>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《安全生产法》</w:t>
            </w:r>
            <w:r w:rsidRPr="00687B52">
              <w:rPr>
                <w:rFonts w:ascii="Cambria" w:hint="eastAsia"/>
                <w:color w:val="000000" w:themeColor="text1"/>
                <w:sz w:val="24"/>
                <w:szCs w:val="24"/>
              </w:rPr>
              <w:t>第</w:t>
            </w:r>
            <w:r w:rsidRPr="00687B52">
              <w:rPr>
                <w:rFonts w:ascii="Cambria" w:hint="eastAsia"/>
                <w:color w:val="000000" w:themeColor="text1"/>
                <w:sz w:val="24"/>
                <w:szCs w:val="24"/>
              </w:rPr>
              <w:t>25</w:t>
            </w:r>
            <w:r w:rsidRPr="00687B52">
              <w:rPr>
                <w:rFonts w:ascii="Cambria" w:hint="eastAs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4.2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宋体"/>
                <w:color w:val="000000" w:themeColor="text1"/>
                <w:sz w:val="24"/>
                <w:szCs w:val="24"/>
              </w:rPr>
              <w:t>主要负责人、安全生产管理人员应</w:t>
            </w:r>
            <w:r w:rsidRPr="00687B52">
              <w:rPr>
                <w:rFonts w:ascii="Cambria"/>
                <w:color w:val="000000" w:themeColor="text1"/>
                <w:sz w:val="24"/>
                <w:szCs w:val="24"/>
              </w:rPr>
              <w:t>当由主管的负有安全生产监督管理职责的部门对其安全生产知识和管理能力考核合格，</w:t>
            </w:r>
            <w:r w:rsidRPr="00687B52">
              <w:rPr>
                <w:rFonts w:ascii="Cambria" w:hAnsi="宋体"/>
                <w:color w:val="000000" w:themeColor="text1"/>
                <w:sz w:val="24"/>
                <w:szCs w:val="24"/>
              </w:rPr>
              <w:t>并取得安全资格证书。</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《安全生产法》第</w:t>
            </w:r>
            <w:r w:rsidRPr="00687B52">
              <w:rPr>
                <w:rFonts w:ascii="Cambria" w:hAnsi="Cambria"/>
                <w:color w:val="000000" w:themeColor="text1"/>
                <w:sz w:val="24"/>
                <w:szCs w:val="24"/>
              </w:rPr>
              <w:t>16</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4.3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kern w:val="0"/>
                <w:sz w:val="24"/>
                <w:szCs w:val="24"/>
              </w:rPr>
              <w:t>特种作业人员必须取得</w:t>
            </w:r>
            <w:r w:rsidRPr="00687B52">
              <w:rPr>
                <w:rFonts w:ascii="Cambria" w:cs="宋体"/>
                <w:color w:val="000000" w:themeColor="text1"/>
                <w:kern w:val="0"/>
                <w:sz w:val="24"/>
                <w:szCs w:val="24"/>
              </w:rPr>
              <w:t>《中华人民共和国特种作业操作证》</w:t>
            </w:r>
            <w:r w:rsidRPr="00687B52">
              <w:rPr>
                <w:rFonts w:ascii="Cambria"/>
                <w:color w:val="000000" w:themeColor="text1"/>
                <w:kern w:val="0"/>
                <w:sz w:val="24"/>
                <w:szCs w:val="24"/>
              </w:rPr>
              <w:t>，方可上岗作业，证书应在有效期内。</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《安全生产法》第</w:t>
            </w:r>
            <w:r w:rsidRPr="00687B52">
              <w:rPr>
                <w:rFonts w:ascii="Cambria" w:hAnsi="Cambria"/>
                <w:color w:val="000000" w:themeColor="text1"/>
                <w:sz w:val="24"/>
                <w:szCs w:val="24"/>
              </w:rPr>
              <w:t>27</w:t>
            </w:r>
            <w:r w:rsidRPr="00687B52">
              <w:rPr>
                <w:rFonts w:ascii="Cambria"/>
                <w:color w:val="000000" w:themeColor="text1"/>
                <w:sz w:val="24"/>
                <w:szCs w:val="24"/>
              </w:rPr>
              <w:t>条</w:t>
            </w:r>
          </w:p>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《特种作业人员安全技术培训考核管理规定》第</w:t>
            </w:r>
            <w:r w:rsidRPr="00687B52">
              <w:rPr>
                <w:rFonts w:ascii="Cambria" w:hAnsi="Cambria"/>
                <w:color w:val="000000" w:themeColor="text1"/>
                <w:sz w:val="24"/>
                <w:szCs w:val="24"/>
              </w:rPr>
              <w:t>4</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4.</w:t>
            </w:r>
            <w:r w:rsidRPr="00687B52">
              <w:rPr>
                <w:rFonts w:ascii="Cambria" w:hAnsi="Cambria" w:hint="eastAsia"/>
                <w:color w:val="000000" w:themeColor="text1"/>
                <w:sz w:val="24"/>
                <w:szCs w:val="24"/>
              </w:rPr>
              <w:t>4</w:t>
            </w:r>
          </w:p>
        </w:tc>
        <w:tc>
          <w:tcPr>
            <w:tcW w:w="2101" w:type="pct"/>
            <w:vAlign w:val="center"/>
          </w:tcPr>
          <w:p w:rsidR="000E02C5" w:rsidRPr="00687B52" w:rsidRDefault="000E02C5" w:rsidP="00B527D4">
            <w:pPr>
              <w:rPr>
                <w:rFonts w:ascii="Cambria" w:hAnsi="Cambria"/>
                <w:color w:val="000000" w:themeColor="text1"/>
                <w:kern w:val="0"/>
                <w:sz w:val="24"/>
                <w:szCs w:val="24"/>
              </w:rPr>
            </w:pPr>
            <w:r w:rsidRPr="00687B52">
              <w:rPr>
                <w:rFonts w:ascii="Cambria"/>
                <w:color w:val="000000" w:themeColor="text1"/>
                <w:kern w:val="0"/>
                <w:sz w:val="24"/>
                <w:szCs w:val="24"/>
              </w:rPr>
              <w:t>特种设备作业人员应取得特种设备作业人员证，证书应在有效期内。</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《特种设备安全监察条例》第</w:t>
            </w:r>
            <w:r w:rsidRPr="00687B52">
              <w:rPr>
                <w:rFonts w:ascii="Cambria" w:hAnsi="Cambria"/>
                <w:color w:val="000000" w:themeColor="text1"/>
                <w:sz w:val="24"/>
                <w:szCs w:val="24"/>
              </w:rPr>
              <w:t>38</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4.5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新上岗从业人员应接受</w:t>
            </w:r>
            <w:r w:rsidRPr="00687B52">
              <w:rPr>
                <w:rFonts w:ascii="Cambria" w:hAnsi="Cambria"/>
                <w:color w:val="000000" w:themeColor="text1"/>
                <w:sz w:val="24"/>
                <w:szCs w:val="24"/>
              </w:rPr>
              <w:t>“</w:t>
            </w:r>
            <w:r w:rsidRPr="00687B52">
              <w:rPr>
                <w:rFonts w:ascii="Cambria"/>
                <w:color w:val="000000" w:themeColor="text1"/>
                <w:sz w:val="24"/>
                <w:szCs w:val="24"/>
              </w:rPr>
              <w:t>三级</w:t>
            </w:r>
            <w:r w:rsidRPr="00687B52">
              <w:rPr>
                <w:rFonts w:ascii="Cambria" w:hAnsi="Cambria"/>
                <w:color w:val="000000" w:themeColor="text1"/>
                <w:sz w:val="24"/>
                <w:szCs w:val="24"/>
              </w:rPr>
              <w:t>”</w:t>
            </w:r>
            <w:r w:rsidRPr="00687B52">
              <w:rPr>
                <w:rFonts w:ascii="Cambria"/>
                <w:color w:val="000000" w:themeColor="text1"/>
                <w:sz w:val="24"/>
                <w:szCs w:val="24"/>
              </w:rPr>
              <w:t>安全教育，并经考试合格后上岗。新上岗的从业人员安全培训时间不得少于</w:t>
            </w:r>
            <w:r w:rsidRPr="00687B52">
              <w:rPr>
                <w:rFonts w:ascii="Cambria" w:hAnsi="Cambria"/>
                <w:color w:val="000000" w:themeColor="text1"/>
                <w:sz w:val="24"/>
                <w:szCs w:val="24"/>
              </w:rPr>
              <w:t>72</w:t>
            </w:r>
            <w:r w:rsidRPr="00687B52">
              <w:rPr>
                <w:rFonts w:ascii="Cambria"/>
                <w:color w:val="000000" w:themeColor="text1"/>
                <w:sz w:val="24"/>
                <w:szCs w:val="24"/>
              </w:rPr>
              <w:t>学时，每年再培训的时间不得少于</w:t>
            </w:r>
            <w:r w:rsidRPr="00687B52">
              <w:rPr>
                <w:rFonts w:ascii="Cambria" w:hAnsi="Cambria"/>
                <w:color w:val="000000" w:themeColor="text1"/>
                <w:sz w:val="24"/>
                <w:szCs w:val="24"/>
              </w:rPr>
              <w:t>20</w:t>
            </w:r>
            <w:r w:rsidRPr="00687B52">
              <w:rPr>
                <w:rFonts w:ascii="Cambria"/>
                <w:color w:val="000000" w:themeColor="text1"/>
                <w:sz w:val="24"/>
                <w:szCs w:val="24"/>
              </w:rPr>
              <w:t>学时。培训内容主要有安全管理制度、操作规程、职业卫生管理、风险识别及应对措施等。</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《生产经营单位安全培训规定》第</w:t>
            </w:r>
            <w:r w:rsidRPr="00687B52">
              <w:rPr>
                <w:rFonts w:ascii="Cambria" w:hAnsi="Cambria"/>
                <w:color w:val="000000" w:themeColor="text1"/>
                <w:sz w:val="24"/>
                <w:szCs w:val="24"/>
              </w:rPr>
              <w:t>13</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4.6</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宋体"/>
                <w:color w:val="000000" w:themeColor="text1"/>
                <w:sz w:val="24"/>
                <w:szCs w:val="24"/>
              </w:rPr>
              <w:t>转岗、复岗从业人员应接受</w:t>
            </w:r>
            <w:r w:rsidRPr="00687B52">
              <w:rPr>
                <w:rFonts w:ascii="Cambria" w:hAnsi="Cambria"/>
                <w:color w:val="000000" w:themeColor="text1"/>
                <w:sz w:val="24"/>
                <w:szCs w:val="24"/>
              </w:rPr>
              <w:t>“</w:t>
            </w:r>
            <w:r w:rsidRPr="00687B52">
              <w:rPr>
                <w:rFonts w:ascii="Cambria" w:hAnsi="宋体"/>
                <w:color w:val="000000" w:themeColor="text1"/>
                <w:sz w:val="24"/>
                <w:szCs w:val="24"/>
              </w:rPr>
              <w:t>两级</w:t>
            </w:r>
            <w:r w:rsidRPr="00687B52">
              <w:rPr>
                <w:rFonts w:ascii="Cambria" w:hAnsi="Cambria"/>
                <w:color w:val="000000" w:themeColor="text1"/>
                <w:sz w:val="24"/>
                <w:szCs w:val="24"/>
              </w:rPr>
              <w:t>”</w:t>
            </w:r>
            <w:r w:rsidRPr="00687B52">
              <w:rPr>
                <w:rFonts w:ascii="Cambria" w:hAnsi="宋体"/>
                <w:color w:val="000000" w:themeColor="text1"/>
                <w:sz w:val="24"/>
                <w:szCs w:val="24"/>
              </w:rPr>
              <w:t>安全教育，</w:t>
            </w:r>
            <w:r w:rsidRPr="00687B52">
              <w:rPr>
                <w:rFonts w:ascii="Cambria" w:hAnsi="Cambria"/>
                <w:color w:val="000000" w:themeColor="text1"/>
                <w:sz w:val="24"/>
                <w:szCs w:val="24"/>
              </w:rPr>
              <w:t>“</w:t>
            </w:r>
            <w:r w:rsidRPr="00687B52">
              <w:rPr>
                <w:rFonts w:ascii="Cambria" w:hAnsi="宋体"/>
                <w:color w:val="000000" w:themeColor="text1"/>
                <w:sz w:val="24"/>
                <w:szCs w:val="24"/>
              </w:rPr>
              <w:t>四新</w:t>
            </w:r>
            <w:r w:rsidRPr="00687B52">
              <w:rPr>
                <w:rFonts w:ascii="Cambria" w:hAnsi="Cambria"/>
                <w:color w:val="000000" w:themeColor="text1"/>
                <w:sz w:val="24"/>
                <w:szCs w:val="24"/>
              </w:rPr>
              <w:t>”</w:t>
            </w:r>
            <w:r w:rsidRPr="00687B52">
              <w:rPr>
                <w:rFonts w:ascii="Cambria" w:hAnsi="宋体"/>
                <w:color w:val="000000" w:themeColor="text1"/>
                <w:sz w:val="24"/>
                <w:szCs w:val="24"/>
              </w:rPr>
              <w:t>投用前应对从业人员进行安全培训。</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《安全生产法》第</w:t>
            </w:r>
            <w:r w:rsidRPr="00687B52">
              <w:rPr>
                <w:rFonts w:ascii="Cambria" w:hAnsi="Cambria"/>
                <w:color w:val="000000" w:themeColor="text1"/>
                <w:sz w:val="24"/>
                <w:szCs w:val="24"/>
              </w:rPr>
              <w:t>26</w:t>
            </w:r>
            <w:r w:rsidRPr="00687B52">
              <w:rPr>
                <w:rFonts w:ascii="Cambria"/>
                <w:color w:val="000000" w:themeColor="text1"/>
                <w:sz w:val="24"/>
                <w:szCs w:val="24"/>
              </w:rPr>
              <w:t>条</w:t>
            </w:r>
          </w:p>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《湖南省安全生产条例》第</w:t>
            </w:r>
            <w:r w:rsidRPr="00687B52">
              <w:rPr>
                <w:rFonts w:ascii="Cambria" w:hAnsi="Cambria"/>
                <w:color w:val="000000" w:themeColor="text1"/>
                <w:sz w:val="24"/>
                <w:szCs w:val="24"/>
              </w:rPr>
              <w:t>13</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4.</w:t>
            </w:r>
            <w:r w:rsidRPr="00687B52">
              <w:rPr>
                <w:rFonts w:ascii="Cambria" w:hAnsi="Cambria" w:hint="eastAsia"/>
                <w:color w:val="000000" w:themeColor="text1"/>
                <w:sz w:val="24"/>
                <w:szCs w:val="24"/>
              </w:rPr>
              <w:t>7</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应当建立安全生产教育和培训档案，如实记录安全生产教育和培训的时间、内容、参加人员以及考核结果等情况。</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《安全生产法》第</w:t>
            </w:r>
            <w:r w:rsidRPr="00687B52">
              <w:rPr>
                <w:rFonts w:ascii="Cambria" w:hAnsi="Cambria"/>
                <w:color w:val="000000" w:themeColor="text1"/>
                <w:sz w:val="24"/>
                <w:szCs w:val="24"/>
              </w:rPr>
              <w:t>25</w:t>
            </w:r>
            <w:r w:rsidRPr="00687B52">
              <w:rPr>
                <w:rFonts w:ascii="Cambria"/>
                <w:color w:val="000000" w:themeColor="text1"/>
                <w:sz w:val="24"/>
                <w:szCs w:val="24"/>
              </w:rPr>
              <w:t>条、《生产经营单位安全培训规定》第</w:t>
            </w:r>
            <w:r w:rsidRPr="00687B52">
              <w:rPr>
                <w:rFonts w:ascii="Cambria" w:hAnsi="Cambria"/>
                <w:color w:val="000000" w:themeColor="text1"/>
                <w:sz w:val="24"/>
                <w:szCs w:val="24"/>
              </w:rPr>
              <w:t>4</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查培训教育档案</w:t>
            </w:r>
          </w:p>
        </w:tc>
      </w:tr>
      <w:tr w:rsidR="000E02C5" w:rsidRPr="00687B52" w:rsidTr="007E7CC4">
        <w:tc>
          <w:tcPr>
            <w:tcW w:w="380" w:type="pct"/>
            <w:vAlign w:val="center"/>
          </w:tcPr>
          <w:p w:rsidR="000E02C5" w:rsidRPr="00687B52" w:rsidRDefault="0009032A" w:rsidP="00B527D4">
            <w:pPr>
              <w:jc w:val="center"/>
              <w:rPr>
                <w:rFonts w:ascii="Cambria" w:hAnsi="Cambria"/>
                <w:b/>
                <w:color w:val="000000" w:themeColor="text1"/>
                <w:sz w:val="24"/>
                <w:szCs w:val="24"/>
              </w:rPr>
            </w:pPr>
            <w:r w:rsidRPr="00687B52">
              <w:rPr>
                <w:rFonts w:ascii="Cambria" w:hint="eastAsia"/>
                <w:b/>
                <w:color w:val="000000" w:themeColor="text1"/>
                <w:sz w:val="24"/>
                <w:szCs w:val="24"/>
              </w:rPr>
              <w:t>5</w:t>
            </w:r>
          </w:p>
        </w:tc>
        <w:tc>
          <w:tcPr>
            <w:tcW w:w="2101" w:type="pct"/>
            <w:vAlign w:val="center"/>
          </w:tcPr>
          <w:p w:rsidR="000E02C5" w:rsidRPr="00687B52" w:rsidRDefault="000E02C5" w:rsidP="00B527D4">
            <w:pPr>
              <w:rPr>
                <w:rFonts w:ascii="Cambria" w:hAnsi="Cambria"/>
                <w:b/>
                <w:color w:val="000000" w:themeColor="text1"/>
                <w:sz w:val="24"/>
                <w:szCs w:val="24"/>
              </w:rPr>
            </w:pPr>
            <w:r w:rsidRPr="00687B52">
              <w:rPr>
                <w:rFonts w:ascii="Cambria"/>
                <w:b/>
                <w:color w:val="000000" w:themeColor="text1"/>
                <w:sz w:val="24"/>
                <w:szCs w:val="24"/>
              </w:rPr>
              <w:t>作业安全管理</w:t>
            </w:r>
          </w:p>
        </w:tc>
        <w:tc>
          <w:tcPr>
            <w:tcW w:w="1236" w:type="pct"/>
            <w:vAlign w:val="center"/>
          </w:tcPr>
          <w:p w:rsidR="000E02C5" w:rsidRPr="00687B52" w:rsidRDefault="000E02C5" w:rsidP="00B527D4">
            <w:pPr>
              <w:rPr>
                <w:rFonts w:ascii="Cambria" w:hAnsi="Cambria"/>
                <w:color w:val="000000" w:themeColor="text1"/>
                <w:sz w:val="24"/>
                <w:szCs w:val="24"/>
              </w:rPr>
            </w:pP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5.1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宋体"/>
                <w:bCs/>
                <w:color w:val="000000" w:themeColor="text1"/>
                <w:sz w:val="24"/>
                <w:szCs w:val="24"/>
              </w:rPr>
              <w:t>对动火作业、进入受限空间作业、破土作业、临时用电作业、高处作业、断路作业、吊装作业、设备检修作业和抽堵盲板作业等危险性作业实施作业许可管理，严格履行审批手续；并严格按照相关作业安全规程的要求执行。</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《化学品生产单位特殊作业安全规范》</w:t>
            </w:r>
            <w:r w:rsidRPr="00687B52">
              <w:rPr>
                <w:rFonts w:ascii="Cambria" w:hAnsi="Cambria"/>
                <w:color w:val="000000" w:themeColor="text1"/>
                <w:sz w:val="24"/>
                <w:szCs w:val="24"/>
              </w:rPr>
              <w:t>GB30871-2014</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5.2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宋体"/>
                <w:bCs/>
                <w:color w:val="000000" w:themeColor="text1"/>
                <w:sz w:val="24"/>
                <w:szCs w:val="24"/>
              </w:rPr>
              <w:t>企业应在危险性作业活动作业前进行危险、有害因素识别，制定控制措施。在作业现场配备相应的安全防护用品（具）及消防设施与器材，规范现场人员作业行为。</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《化学品生产单位特殊作业安全规范》</w:t>
            </w:r>
            <w:r w:rsidRPr="00687B52">
              <w:rPr>
                <w:rFonts w:ascii="Cambria" w:hAnsi="Cambria"/>
                <w:color w:val="000000" w:themeColor="text1"/>
                <w:sz w:val="24"/>
                <w:szCs w:val="24"/>
              </w:rPr>
              <w:t>GB30871-2014</w:t>
            </w:r>
            <w:r w:rsidRPr="00687B52">
              <w:rPr>
                <w:rFonts w:ascii="Cambria"/>
                <w:color w:val="000000" w:themeColor="text1"/>
                <w:sz w:val="24"/>
                <w:szCs w:val="24"/>
              </w:rPr>
              <w:t>第</w:t>
            </w:r>
            <w:r w:rsidRPr="00687B52">
              <w:rPr>
                <w:rFonts w:ascii="Cambria" w:hAnsi="Cambria"/>
                <w:color w:val="000000" w:themeColor="text1"/>
                <w:sz w:val="24"/>
                <w:szCs w:val="24"/>
              </w:rPr>
              <w:t>4.1</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5.</w:t>
            </w:r>
            <w:r w:rsidRPr="00687B52">
              <w:rPr>
                <w:rFonts w:ascii="Cambria" w:hAnsi="Cambria" w:hint="eastAsia"/>
                <w:color w:val="000000" w:themeColor="text1"/>
                <w:sz w:val="24"/>
                <w:szCs w:val="24"/>
              </w:rPr>
              <w:t>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宋体"/>
                <w:bCs/>
                <w:color w:val="000000" w:themeColor="text1"/>
                <w:sz w:val="24"/>
                <w:szCs w:val="24"/>
              </w:rPr>
              <w:t>企业作业人员在进行作业活动时，应持相应的作业许可证作业。</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《化学品生产单位特殊作业安全规范》</w:t>
            </w:r>
            <w:r w:rsidRPr="00687B52">
              <w:rPr>
                <w:rFonts w:ascii="Cambria" w:hAnsi="Cambria"/>
                <w:color w:val="000000" w:themeColor="text1"/>
                <w:sz w:val="24"/>
                <w:szCs w:val="24"/>
              </w:rPr>
              <w:t>GB30871-2014</w:t>
            </w:r>
            <w:r w:rsidRPr="00687B52">
              <w:rPr>
                <w:rFonts w:ascii="Cambria"/>
                <w:color w:val="000000" w:themeColor="text1"/>
                <w:sz w:val="24"/>
                <w:szCs w:val="24"/>
              </w:rPr>
              <w:t>第</w:t>
            </w:r>
            <w:r w:rsidRPr="00687B52">
              <w:rPr>
                <w:rFonts w:ascii="Cambria" w:hAnsi="Cambria"/>
                <w:color w:val="000000" w:themeColor="text1"/>
                <w:sz w:val="24"/>
                <w:szCs w:val="24"/>
              </w:rPr>
              <w:t>4.6</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5.</w:t>
            </w:r>
            <w:r w:rsidRPr="00687B52">
              <w:rPr>
                <w:rFonts w:ascii="Cambria" w:hAnsi="Cambria" w:hint="eastAsia"/>
                <w:color w:val="000000" w:themeColor="text1"/>
                <w:sz w:val="24"/>
                <w:szCs w:val="24"/>
              </w:rPr>
              <w:t>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宋体"/>
                <w:bCs/>
                <w:color w:val="000000" w:themeColor="text1"/>
                <w:sz w:val="24"/>
                <w:szCs w:val="24"/>
              </w:rPr>
              <w:t>企业作业活动监护人员应具备基本救护技能和作业现场的应急处理能力，持相应作业许可证进行监护作业，作业过程中不得离开监护岗位。</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《化学品生产单位特殊作业安全规范》</w:t>
            </w:r>
            <w:r w:rsidRPr="00687B52">
              <w:rPr>
                <w:rFonts w:ascii="Cambria" w:hAnsi="Cambria"/>
                <w:color w:val="000000" w:themeColor="text1"/>
                <w:sz w:val="24"/>
                <w:szCs w:val="24"/>
              </w:rPr>
              <w:t>GB30871-2014</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5.</w:t>
            </w:r>
            <w:r w:rsidRPr="00687B52">
              <w:rPr>
                <w:rFonts w:ascii="Cambria" w:hAnsi="Cambria" w:hint="eastAsia"/>
                <w:color w:val="000000" w:themeColor="text1"/>
                <w:sz w:val="24"/>
                <w:szCs w:val="24"/>
              </w:rPr>
              <w:t>5</w:t>
            </w:r>
          </w:p>
        </w:tc>
        <w:tc>
          <w:tcPr>
            <w:tcW w:w="2101" w:type="pct"/>
            <w:vAlign w:val="center"/>
          </w:tcPr>
          <w:p w:rsidR="000E02C5" w:rsidRPr="00687B52" w:rsidRDefault="000E02C5" w:rsidP="00B527D4">
            <w:pPr>
              <w:rPr>
                <w:rFonts w:ascii="Cambria" w:hAnsi="Cambria"/>
                <w:color w:val="000000" w:themeColor="text1"/>
                <w:kern w:val="0"/>
                <w:sz w:val="24"/>
                <w:szCs w:val="24"/>
              </w:rPr>
            </w:pPr>
            <w:r w:rsidRPr="00687B52">
              <w:rPr>
                <w:rFonts w:ascii="Cambria"/>
                <w:color w:val="000000" w:themeColor="text1"/>
                <w:kern w:val="0"/>
                <w:sz w:val="24"/>
                <w:szCs w:val="24"/>
              </w:rPr>
              <w:t>两个以上生产经营单位在同一作业区域内进行生产经营活动，可能危及对方生产安全的，应当签订安全生产管理协议，明确各自的安全生产管理职责和应当采取的安全措施，并指定专职安全生产管理人员进行安全检查与协调。</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《安全生产法》第</w:t>
            </w:r>
            <w:r w:rsidRPr="00687B52">
              <w:rPr>
                <w:rFonts w:ascii="Cambria" w:hAnsi="Cambria"/>
                <w:color w:val="000000" w:themeColor="text1"/>
                <w:sz w:val="24"/>
                <w:szCs w:val="24"/>
              </w:rPr>
              <w:t>45</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5.</w:t>
            </w:r>
            <w:r w:rsidRPr="00687B52">
              <w:rPr>
                <w:rFonts w:ascii="Cambria" w:hAnsi="Cambria" w:hint="eastAsia"/>
                <w:color w:val="000000" w:themeColor="text1"/>
                <w:sz w:val="24"/>
                <w:szCs w:val="24"/>
              </w:rPr>
              <w:t>6</w:t>
            </w:r>
          </w:p>
        </w:tc>
        <w:tc>
          <w:tcPr>
            <w:tcW w:w="2101" w:type="pct"/>
            <w:vAlign w:val="center"/>
          </w:tcPr>
          <w:p w:rsidR="000E02C5" w:rsidRPr="00687B52" w:rsidRDefault="000E02C5" w:rsidP="00B527D4">
            <w:pPr>
              <w:rPr>
                <w:rFonts w:ascii="Cambria" w:hAnsi="Cambria"/>
                <w:color w:val="000000" w:themeColor="text1"/>
                <w:kern w:val="0"/>
                <w:sz w:val="24"/>
                <w:szCs w:val="24"/>
              </w:rPr>
            </w:pPr>
            <w:r w:rsidRPr="00687B52">
              <w:rPr>
                <w:rFonts w:ascii="Cambria"/>
                <w:color w:val="000000" w:themeColor="text1"/>
                <w:kern w:val="0"/>
                <w:sz w:val="24"/>
                <w:szCs w:val="24"/>
              </w:rPr>
              <w:t>从业人员在作业过程中，应当严格遵守本单位的安全生产规章制度和操作规程，服从管理，正确佩戴和使用劳动防护用品。</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《安全生产法》第</w:t>
            </w:r>
            <w:r w:rsidRPr="00687B52">
              <w:rPr>
                <w:rFonts w:ascii="Cambria" w:hAnsi="Cambria"/>
                <w:color w:val="000000" w:themeColor="text1"/>
                <w:sz w:val="24"/>
                <w:szCs w:val="24"/>
              </w:rPr>
              <w:t>54</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9032A" w:rsidP="00B527D4">
            <w:pPr>
              <w:jc w:val="center"/>
              <w:rPr>
                <w:rFonts w:ascii="Cambria" w:hAnsi="Cambria"/>
                <w:b/>
                <w:color w:val="000000" w:themeColor="text1"/>
                <w:sz w:val="24"/>
                <w:szCs w:val="24"/>
              </w:rPr>
            </w:pPr>
            <w:r w:rsidRPr="00687B52">
              <w:rPr>
                <w:rFonts w:ascii="Cambria" w:hint="eastAsia"/>
                <w:b/>
                <w:color w:val="000000" w:themeColor="text1"/>
                <w:sz w:val="24"/>
                <w:szCs w:val="24"/>
              </w:rPr>
              <w:t>6</w:t>
            </w:r>
          </w:p>
        </w:tc>
        <w:tc>
          <w:tcPr>
            <w:tcW w:w="2101" w:type="pct"/>
            <w:vAlign w:val="center"/>
          </w:tcPr>
          <w:p w:rsidR="000E02C5" w:rsidRPr="00687B52" w:rsidRDefault="000E02C5" w:rsidP="00B527D4">
            <w:pPr>
              <w:rPr>
                <w:rFonts w:ascii="Cambria" w:hAnsi="Cambria"/>
                <w:b/>
                <w:color w:val="000000" w:themeColor="text1"/>
                <w:sz w:val="24"/>
                <w:szCs w:val="24"/>
              </w:rPr>
            </w:pPr>
            <w:r w:rsidRPr="00687B52">
              <w:rPr>
                <w:rFonts w:ascii="Cambria"/>
                <w:b/>
                <w:color w:val="000000" w:themeColor="text1"/>
                <w:sz w:val="24"/>
                <w:szCs w:val="24"/>
              </w:rPr>
              <w:t>设备设施管理</w:t>
            </w:r>
          </w:p>
        </w:tc>
        <w:tc>
          <w:tcPr>
            <w:tcW w:w="1236" w:type="pct"/>
            <w:vAlign w:val="center"/>
          </w:tcPr>
          <w:p w:rsidR="000E02C5" w:rsidRPr="00687B52" w:rsidRDefault="000E02C5" w:rsidP="00B527D4">
            <w:pPr>
              <w:rPr>
                <w:rFonts w:ascii="Cambria" w:hAnsi="Cambria"/>
                <w:color w:val="000000" w:themeColor="text1"/>
                <w:sz w:val="24"/>
                <w:szCs w:val="24"/>
              </w:rPr>
            </w:pP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6.1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企业应严格执行安全设施管理制度，建立安全设施台账，由专人负责管理，定期进行检查、维护、保养，确保其有效。</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《安全生产法》第</w:t>
            </w:r>
            <w:r w:rsidRPr="00687B52">
              <w:rPr>
                <w:rFonts w:ascii="Cambria" w:hAnsi="Cambria"/>
                <w:color w:val="000000" w:themeColor="text1"/>
                <w:sz w:val="24"/>
                <w:szCs w:val="24"/>
              </w:rPr>
              <w:t>33</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6.</w:t>
            </w:r>
            <w:r w:rsidRPr="00687B52">
              <w:rPr>
                <w:rFonts w:ascii="Cambria" w:hAnsi="Cambria" w:hint="eastAsia"/>
                <w:color w:val="000000" w:themeColor="text1"/>
                <w:sz w:val="24"/>
                <w:szCs w:val="24"/>
              </w:rPr>
              <w:t>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特种设备必在投用前须取得安全使用登记证或者安全标志。特种设备作业人员应持证上岗。</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《安全生产法》第</w:t>
            </w:r>
            <w:r w:rsidRPr="00687B52">
              <w:rPr>
                <w:rFonts w:ascii="Cambria" w:hAnsi="Cambria"/>
                <w:color w:val="000000" w:themeColor="text1"/>
                <w:sz w:val="24"/>
                <w:szCs w:val="24"/>
              </w:rPr>
              <w:t>34</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6.</w:t>
            </w:r>
            <w:r w:rsidRPr="00687B52">
              <w:rPr>
                <w:rFonts w:ascii="Cambria" w:hAnsi="Cambria" w:hint="eastAsia"/>
                <w:color w:val="000000" w:themeColor="text1"/>
                <w:sz w:val="24"/>
                <w:szCs w:val="24"/>
              </w:rPr>
              <w:t>3</w:t>
            </w:r>
          </w:p>
        </w:tc>
        <w:tc>
          <w:tcPr>
            <w:tcW w:w="2101" w:type="pct"/>
            <w:vAlign w:val="center"/>
          </w:tcPr>
          <w:p w:rsidR="000E02C5" w:rsidRPr="00687B52" w:rsidRDefault="000E02C5" w:rsidP="00B527D4">
            <w:pPr>
              <w:rPr>
                <w:rFonts w:ascii="Cambria" w:hAnsi="Cambria" w:cs="宋体"/>
                <w:color w:val="000000" w:themeColor="text1"/>
                <w:kern w:val="0"/>
                <w:sz w:val="24"/>
                <w:szCs w:val="24"/>
              </w:rPr>
            </w:pPr>
            <w:r w:rsidRPr="00687B52">
              <w:rPr>
                <w:rFonts w:ascii="Cambria"/>
                <w:color w:val="000000" w:themeColor="text1"/>
                <w:sz w:val="24"/>
                <w:szCs w:val="24"/>
              </w:rPr>
              <w:t>特种设备应当进行经常性维护保养和</w:t>
            </w:r>
            <w:r w:rsidRPr="00687B52">
              <w:rPr>
                <w:rFonts w:ascii="Cambria" w:cs="宋体"/>
                <w:color w:val="000000" w:themeColor="text1"/>
                <w:kern w:val="0"/>
                <w:sz w:val="24"/>
                <w:szCs w:val="24"/>
              </w:rPr>
              <w:t>至少每月进行一次自行检查</w:t>
            </w:r>
            <w:r w:rsidRPr="00687B52">
              <w:rPr>
                <w:rFonts w:ascii="Cambria"/>
                <w:color w:val="000000" w:themeColor="text1"/>
                <w:sz w:val="24"/>
                <w:szCs w:val="24"/>
              </w:rPr>
              <w:t>，并作出记录。</w:t>
            </w:r>
            <w:r w:rsidRPr="00687B52">
              <w:rPr>
                <w:rFonts w:ascii="Cambria" w:hAnsi="inherit" w:cs="宋体"/>
                <w:color w:val="000000" w:themeColor="text1"/>
                <w:kern w:val="0"/>
                <w:sz w:val="24"/>
                <w:szCs w:val="24"/>
              </w:rPr>
              <w:t>特种设备的安全附件、安全保护装置进行定期校验、检修，并作出记录。</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《特种设备安全法》第</w:t>
            </w:r>
            <w:r w:rsidRPr="00687B52">
              <w:rPr>
                <w:rFonts w:ascii="Cambria" w:hAnsi="Cambria"/>
                <w:color w:val="000000" w:themeColor="text1"/>
                <w:sz w:val="24"/>
                <w:szCs w:val="24"/>
              </w:rPr>
              <w:t>39</w:t>
            </w:r>
            <w:r w:rsidRPr="00687B52">
              <w:rPr>
                <w:rFonts w:ascii="Cambria"/>
                <w:color w:val="000000" w:themeColor="text1"/>
                <w:sz w:val="24"/>
                <w:szCs w:val="24"/>
              </w:rPr>
              <w:t>条、《特种设备安全监察条例》第</w:t>
            </w:r>
            <w:r w:rsidRPr="00687B52">
              <w:rPr>
                <w:rFonts w:ascii="Cambria" w:hAnsi="Cambria"/>
                <w:color w:val="000000" w:themeColor="text1"/>
                <w:sz w:val="24"/>
                <w:szCs w:val="24"/>
              </w:rPr>
              <w:t>27</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6.</w:t>
            </w:r>
            <w:r w:rsidRPr="00687B52">
              <w:rPr>
                <w:rFonts w:ascii="Cambria" w:hAnsi="Cambria" w:hint="eastAsia"/>
                <w:color w:val="000000" w:themeColor="text1"/>
                <w:sz w:val="24"/>
                <w:szCs w:val="24"/>
              </w:rPr>
              <w:t>4</w:t>
            </w:r>
          </w:p>
        </w:tc>
        <w:tc>
          <w:tcPr>
            <w:tcW w:w="2101" w:type="pct"/>
            <w:vAlign w:val="center"/>
          </w:tcPr>
          <w:p w:rsidR="000E02C5" w:rsidRPr="00687B52" w:rsidRDefault="000E02C5" w:rsidP="00B527D4">
            <w:pPr>
              <w:rPr>
                <w:rFonts w:ascii="Cambria" w:hAnsi="Cambria"/>
                <w:color w:val="000000" w:themeColor="text1"/>
                <w:kern w:val="0"/>
                <w:sz w:val="24"/>
                <w:szCs w:val="24"/>
              </w:rPr>
            </w:pPr>
            <w:r w:rsidRPr="00687B52">
              <w:rPr>
                <w:rFonts w:ascii="Cambria"/>
                <w:color w:val="000000" w:themeColor="text1"/>
                <w:kern w:val="0"/>
                <w:sz w:val="24"/>
                <w:szCs w:val="24"/>
              </w:rPr>
              <w:t>特种设备应定期进行检验，检验标志置于该特种设备的显著位置。未经定期检验或者检验不合格的特种设备，不得继续使用。</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color w:val="000000" w:themeColor="text1"/>
                <w:sz w:val="24"/>
                <w:szCs w:val="24"/>
              </w:rPr>
              <w:t>《特种设备安全法》第</w:t>
            </w:r>
            <w:r w:rsidRPr="00687B52">
              <w:rPr>
                <w:rFonts w:ascii="Cambria" w:hAnsi="Cambria"/>
                <w:color w:val="000000" w:themeColor="text1"/>
                <w:sz w:val="24"/>
                <w:szCs w:val="24"/>
              </w:rPr>
              <w:t>40</w:t>
            </w:r>
            <w:r w:rsidRPr="00687B52">
              <w:rPr>
                <w:rFonts w:ascii="Cambria"/>
                <w:color w:val="000000" w:themeColor="text1"/>
                <w:sz w:val="24"/>
                <w:szCs w:val="24"/>
              </w:rPr>
              <w:t>条、《特种设备安全监察条例》第</w:t>
            </w:r>
            <w:r w:rsidRPr="00687B52">
              <w:rPr>
                <w:rFonts w:ascii="Cambria" w:hAnsi="Cambria"/>
                <w:color w:val="000000" w:themeColor="text1"/>
                <w:sz w:val="24"/>
                <w:szCs w:val="24"/>
              </w:rPr>
              <w:t>28</w:t>
            </w:r>
            <w:r w:rsidRPr="00687B52">
              <w:rPr>
                <w:rFonts w:asci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6.</w:t>
            </w:r>
            <w:r w:rsidRPr="00687B52">
              <w:rPr>
                <w:rFonts w:ascii="Cambria" w:hAnsi="Cambria" w:hint="eastAsia"/>
                <w:color w:val="000000" w:themeColor="text1"/>
                <w:sz w:val="24"/>
                <w:szCs w:val="24"/>
              </w:rPr>
              <w:t>5</w:t>
            </w:r>
          </w:p>
        </w:tc>
        <w:tc>
          <w:tcPr>
            <w:tcW w:w="2101" w:type="pct"/>
            <w:vAlign w:val="center"/>
          </w:tcPr>
          <w:p w:rsidR="000E02C5" w:rsidRPr="00687B52" w:rsidRDefault="000E02C5" w:rsidP="00B527D4">
            <w:pPr>
              <w:rPr>
                <w:rFonts w:ascii="Cambria" w:hAnsi="Cambria" w:cs="宋体"/>
                <w:color w:val="000000" w:themeColor="text1"/>
                <w:kern w:val="0"/>
                <w:sz w:val="24"/>
                <w:szCs w:val="24"/>
              </w:rPr>
            </w:pPr>
            <w:r w:rsidRPr="00687B52">
              <w:rPr>
                <w:rFonts w:ascii="Cambria" w:hAnsi="inherit" w:cs="宋体"/>
                <w:color w:val="000000" w:themeColor="text1"/>
                <w:kern w:val="0"/>
                <w:sz w:val="24"/>
                <w:szCs w:val="24"/>
              </w:rPr>
              <w:t>建立特种设备安全技术档案，应包括以下内容：</w:t>
            </w:r>
          </w:p>
          <w:p w:rsidR="000E02C5" w:rsidRPr="00687B52" w:rsidRDefault="000E02C5" w:rsidP="00B527D4">
            <w:pPr>
              <w:rPr>
                <w:rFonts w:ascii="Cambria" w:hAnsi="Cambria" w:cs="宋体"/>
                <w:color w:val="000000" w:themeColor="text1"/>
                <w:kern w:val="0"/>
                <w:sz w:val="24"/>
                <w:szCs w:val="24"/>
              </w:rPr>
            </w:pPr>
            <w:r w:rsidRPr="00687B52">
              <w:rPr>
                <w:rFonts w:ascii="Cambria" w:hAnsi="Cambria" w:cs="宋体"/>
                <w:color w:val="000000" w:themeColor="text1"/>
                <w:kern w:val="0"/>
                <w:sz w:val="24"/>
                <w:szCs w:val="24"/>
              </w:rPr>
              <w:t>1</w:t>
            </w:r>
            <w:r w:rsidRPr="00687B52">
              <w:rPr>
                <w:rFonts w:ascii="Cambria" w:hAnsi="inherit" w:cs="宋体"/>
                <w:color w:val="000000" w:themeColor="text1"/>
                <w:kern w:val="0"/>
                <w:sz w:val="24"/>
                <w:szCs w:val="24"/>
              </w:rPr>
              <w:t>）特种设备的设计文件、产品质量合格证明、安装及使用维护保养说明、监督检验证明等相关技术资料和文件；</w:t>
            </w:r>
          </w:p>
          <w:p w:rsidR="000E02C5" w:rsidRPr="00687B52" w:rsidRDefault="000E02C5" w:rsidP="00B527D4">
            <w:pPr>
              <w:rPr>
                <w:rFonts w:ascii="Cambria" w:hAnsi="Cambria" w:cs="宋体"/>
                <w:color w:val="000000" w:themeColor="text1"/>
                <w:kern w:val="0"/>
                <w:sz w:val="24"/>
                <w:szCs w:val="24"/>
              </w:rPr>
            </w:pPr>
            <w:r w:rsidRPr="00687B52">
              <w:rPr>
                <w:rFonts w:ascii="Cambria" w:hAnsi="Cambria" w:cs="宋体"/>
                <w:color w:val="000000" w:themeColor="text1"/>
                <w:kern w:val="0"/>
                <w:sz w:val="24"/>
                <w:szCs w:val="24"/>
              </w:rPr>
              <w:t>2</w:t>
            </w:r>
            <w:r w:rsidRPr="00687B52">
              <w:rPr>
                <w:rFonts w:ascii="Cambria" w:hAnsi="inherit" w:cs="宋体"/>
                <w:color w:val="000000" w:themeColor="text1"/>
                <w:kern w:val="0"/>
                <w:sz w:val="24"/>
                <w:szCs w:val="24"/>
              </w:rPr>
              <w:t>）特种设备的定期检验和定期自行检查记录；</w:t>
            </w:r>
          </w:p>
          <w:p w:rsidR="000E02C5" w:rsidRPr="00687B52" w:rsidRDefault="000E02C5" w:rsidP="00B527D4">
            <w:pPr>
              <w:rPr>
                <w:rFonts w:ascii="Cambria" w:hAnsi="Cambria" w:cs="宋体"/>
                <w:color w:val="000000" w:themeColor="text1"/>
                <w:kern w:val="0"/>
                <w:sz w:val="24"/>
                <w:szCs w:val="24"/>
              </w:rPr>
            </w:pPr>
            <w:r w:rsidRPr="00687B52">
              <w:rPr>
                <w:rFonts w:ascii="Cambria" w:hAnsi="Cambria" w:cs="宋体"/>
                <w:color w:val="000000" w:themeColor="text1"/>
                <w:kern w:val="0"/>
                <w:sz w:val="24"/>
                <w:szCs w:val="24"/>
              </w:rPr>
              <w:t>3</w:t>
            </w:r>
            <w:r w:rsidRPr="00687B52">
              <w:rPr>
                <w:rFonts w:ascii="Cambria" w:hAnsi="inherit" w:cs="宋体"/>
                <w:color w:val="000000" w:themeColor="text1"/>
                <w:kern w:val="0"/>
                <w:sz w:val="24"/>
                <w:szCs w:val="24"/>
              </w:rPr>
              <w:t>）特种设备的日常使用状况记录；</w:t>
            </w:r>
          </w:p>
          <w:p w:rsidR="000E02C5" w:rsidRPr="00687B52" w:rsidRDefault="000E02C5" w:rsidP="00B527D4">
            <w:pPr>
              <w:rPr>
                <w:rFonts w:ascii="Cambria" w:hAnsi="Cambria" w:cs="宋体"/>
                <w:color w:val="000000" w:themeColor="text1"/>
                <w:kern w:val="0"/>
                <w:sz w:val="24"/>
                <w:szCs w:val="24"/>
              </w:rPr>
            </w:pPr>
            <w:r w:rsidRPr="00687B52">
              <w:rPr>
                <w:rFonts w:ascii="Cambria" w:hAnsi="Cambria" w:cs="宋体"/>
                <w:color w:val="000000" w:themeColor="text1"/>
                <w:kern w:val="0"/>
                <w:sz w:val="24"/>
                <w:szCs w:val="24"/>
              </w:rPr>
              <w:t>4</w:t>
            </w:r>
            <w:r w:rsidRPr="00687B52">
              <w:rPr>
                <w:rFonts w:ascii="Cambria" w:hAnsi="inherit" w:cs="宋体"/>
                <w:color w:val="000000" w:themeColor="text1"/>
                <w:kern w:val="0"/>
                <w:sz w:val="24"/>
                <w:szCs w:val="24"/>
              </w:rPr>
              <w:t>）特种设备及其附属仪器仪表的维护保养记录；</w:t>
            </w:r>
          </w:p>
          <w:p w:rsidR="000E02C5" w:rsidRPr="00687B52" w:rsidRDefault="000E02C5" w:rsidP="00B527D4">
            <w:pPr>
              <w:rPr>
                <w:rFonts w:ascii="Cambria" w:hAnsi="Cambria" w:cs="宋体"/>
                <w:color w:val="000000" w:themeColor="text1"/>
                <w:kern w:val="0"/>
                <w:sz w:val="24"/>
                <w:szCs w:val="24"/>
              </w:rPr>
            </w:pPr>
            <w:r w:rsidRPr="00687B52">
              <w:rPr>
                <w:rFonts w:ascii="Cambria" w:hAnsi="Cambria" w:cs="宋体"/>
                <w:color w:val="000000" w:themeColor="text1"/>
                <w:kern w:val="0"/>
                <w:sz w:val="24"/>
                <w:szCs w:val="24"/>
              </w:rPr>
              <w:t>5</w:t>
            </w:r>
            <w:r w:rsidRPr="00687B52">
              <w:rPr>
                <w:rFonts w:ascii="Cambria" w:hAnsi="inherit" w:cs="宋体"/>
                <w:color w:val="000000" w:themeColor="text1"/>
                <w:kern w:val="0"/>
                <w:sz w:val="24"/>
                <w:szCs w:val="24"/>
              </w:rPr>
              <w:t>）特种设备的运行故障和事故记录。</w:t>
            </w:r>
          </w:p>
          <w:p w:rsidR="000E02C5" w:rsidRPr="00687B52" w:rsidRDefault="000E02C5" w:rsidP="00B527D4">
            <w:pPr>
              <w:rPr>
                <w:rFonts w:ascii="Cambria" w:hAnsi="Cambria"/>
                <w:b/>
                <w:color w:val="000000" w:themeColor="text1"/>
                <w:sz w:val="24"/>
                <w:szCs w:val="24"/>
              </w:rPr>
            </w:pPr>
            <w:r w:rsidRPr="00687B52">
              <w:rPr>
                <w:rFonts w:ascii="Cambria" w:hAnsi="Cambria" w:cs="宋体"/>
                <w:color w:val="000000" w:themeColor="text1"/>
                <w:kern w:val="0"/>
                <w:sz w:val="24"/>
                <w:szCs w:val="24"/>
              </w:rPr>
              <w:t>6</w:t>
            </w:r>
            <w:r w:rsidRPr="00687B52">
              <w:rPr>
                <w:rFonts w:ascii="Cambria" w:cs="宋体"/>
                <w:color w:val="000000" w:themeColor="text1"/>
                <w:kern w:val="0"/>
                <w:sz w:val="24"/>
                <w:szCs w:val="24"/>
              </w:rPr>
              <w:t>）高耗能特种设备的能效测试报告、能耗状况记录以及节能改造技术资料。</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《特种设备安全法》第</w:t>
            </w:r>
            <w:r w:rsidRPr="00687B52">
              <w:rPr>
                <w:rFonts w:ascii="Cambria" w:hAnsi="Cambria"/>
                <w:color w:val="000000" w:themeColor="text1"/>
                <w:sz w:val="24"/>
                <w:szCs w:val="24"/>
              </w:rPr>
              <w:t>35</w:t>
            </w:r>
            <w:r w:rsidRPr="00687B52">
              <w:rPr>
                <w:rFonts w:ascii="Cambria" w:hAnsi="Cambria"/>
                <w:color w:val="000000" w:themeColor="text1"/>
                <w:sz w:val="24"/>
                <w:szCs w:val="24"/>
              </w:rPr>
              <w:t>条、《特种设备安全监察条例》第</w:t>
            </w:r>
            <w:r w:rsidRPr="00687B52">
              <w:rPr>
                <w:rFonts w:ascii="Cambria" w:hAnsi="Cambria"/>
                <w:color w:val="000000" w:themeColor="text1"/>
                <w:sz w:val="24"/>
                <w:szCs w:val="24"/>
              </w:rPr>
              <w:t>26</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6.</w:t>
            </w:r>
            <w:r w:rsidRPr="00687B52">
              <w:rPr>
                <w:rFonts w:ascii="Cambria" w:hAnsi="Cambria" w:hint="eastAsia"/>
                <w:color w:val="000000" w:themeColor="text1"/>
                <w:sz w:val="24"/>
                <w:szCs w:val="24"/>
              </w:rPr>
              <w:t>6</w:t>
            </w:r>
          </w:p>
        </w:tc>
        <w:tc>
          <w:tcPr>
            <w:tcW w:w="2101" w:type="pct"/>
            <w:vAlign w:val="center"/>
          </w:tcPr>
          <w:p w:rsidR="000E02C5" w:rsidRPr="00687B52" w:rsidRDefault="000E02C5" w:rsidP="00B527D4">
            <w:pPr>
              <w:rPr>
                <w:rFonts w:ascii="Cambria" w:hAnsi="Cambria"/>
                <w:b/>
                <w:color w:val="000000" w:themeColor="text1"/>
                <w:sz w:val="24"/>
                <w:szCs w:val="24"/>
              </w:rPr>
            </w:pPr>
            <w:r w:rsidRPr="00687B52">
              <w:rPr>
                <w:rFonts w:ascii="Cambria" w:hAnsi="Cambria"/>
                <w:color w:val="000000" w:themeColor="text1"/>
                <w:sz w:val="24"/>
                <w:szCs w:val="24"/>
              </w:rPr>
              <w:t>不得使用列入</w:t>
            </w:r>
            <w:r w:rsidRPr="00687B52">
              <w:rPr>
                <w:rFonts w:ascii="Cambria" w:hAnsi="Cambria" w:cs="宋体"/>
                <w:color w:val="000000" w:themeColor="text1"/>
                <w:kern w:val="0"/>
                <w:sz w:val="24"/>
                <w:szCs w:val="24"/>
              </w:rPr>
              <w:t>《淘汰落后安全技术装备目录》内的淘汰设备。</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《安全生产法》第</w:t>
            </w:r>
            <w:r w:rsidRPr="00687B52">
              <w:rPr>
                <w:rFonts w:ascii="Cambria" w:hAnsi="Cambria"/>
                <w:color w:val="000000" w:themeColor="text1"/>
                <w:sz w:val="24"/>
                <w:szCs w:val="24"/>
              </w:rPr>
              <w:t>35</w:t>
            </w:r>
            <w:r w:rsidRPr="00687B52">
              <w:rPr>
                <w:rFonts w:ascii="Cambria" w:hAnsi="Cambria"/>
                <w:color w:val="000000" w:themeColor="text1"/>
                <w:sz w:val="24"/>
                <w:szCs w:val="24"/>
              </w:rPr>
              <w:t>条、</w:t>
            </w:r>
            <w:r w:rsidRPr="00687B52">
              <w:rPr>
                <w:rFonts w:ascii="Cambria" w:hAnsi="Cambria" w:cs="宋体"/>
                <w:color w:val="000000" w:themeColor="text1"/>
                <w:kern w:val="0"/>
                <w:sz w:val="24"/>
                <w:szCs w:val="24"/>
              </w:rPr>
              <w:t>《淘汰落后安全技术装备目录》</w:t>
            </w:r>
          </w:p>
        </w:tc>
        <w:tc>
          <w:tcPr>
            <w:tcW w:w="1283"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当有新的目录时需及时更新。</w:t>
            </w:r>
          </w:p>
        </w:tc>
      </w:tr>
      <w:tr w:rsidR="000E02C5" w:rsidRPr="00687B52" w:rsidTr="007E7CC4">
        <w:tc>
          <w:tcPr>
            <w:tcW w:w="380" w:type="pct"/>
            <w:vAlign w:val="center"/>
          </w:tcPr>
          <w:p w:rsidR="000E02C5" w:rsidRPr="00687B52" w:rsidRDefault="0009032A" w:rsidP="00B527D4">
            <w:pPr>
              <w:jc w:val="center"/>
              <w:rPr>
                <w:rFonts w:ascii="Cambria" w:hAnsi="Cambria"/>
                <w:b/>
                <w:color w:val="000000" w:themeColor="text1"/>
                <w:sz w:val="24"/>
                <w:szCs w:val="24"/>
              </w:rPr>
            </w:pPr>
            <w:r w:rsidRPr="00687B52">
              <w:rPr>
                <w:rFonts w:ascii="Cambria" w:hAnsi="Cambria" w:hint="eastAsia"/>
                <w:b/>
                <w:color w:val="000000" w:themeColor="text1"/>
                <w:sz w:val="24"/>
                <w:szCs w:val="24"/>
              </w:rPr>
              <w:t>7</w:t>
            </w:r>
          </w:p>
        </w:tc>
        <w:tc>
          <w:tcPr>
            <w:tcW w:w="2101" w:type="pct"/>
            <w:vAlign w:val="center"/>
          </w:tcPr>
          <w:p w:rsidR="000E02C5" w:rsidRPr="00687B52" w:rsidRDefault="000E02C5" w:rsidP="00B527D4">
            <w:pPr>
              <w:rPr>
                <w:rFonts w:ascii="Cambria" w:hAnsi="Cambria"/>
                <w:b/>
                <w:color w:val="000000" w:themeColor="text1"/>
                <w:sz w:val="24"/>
                <w:szCs w:val="24"/>
              </w:rPr>
            </w:pPr>
            <w:r w:rsidRPr="00687B52">
              <w:rPr>
                <w:rFonts w:ascii="Cambria" w:hAnsi="Cambria"/>
                <w:b/>
                <w:color w:val="000000" w:themeColor="text1"/>
                <w:sz w:val="24"/>
                <w:szCs w:val="24"/>
              </w:rPr>
              <w:t>危险化学品重大危险源</w:t>
            </w:r>
          </w:p>
        </w:tc>
        <w:tc>
          <w:tcPr>
            <w:tcW w:w="1236" w:type="pct"/>
            <w:vAlign w:val="center"/>
          </w:tcPr>
          <w:p w:rsidR="000E02C5" w:rsidRPr="00687B52" w:rsidRDefault="000E02C5" w:rsidP="00B527D4">
            <w:pPr>
              <w:rPr>
                <w:rFonts w:ascii="Cambria" w:hAnsi="Cambria"/>
                <w:color w:val="000000" w:themeColor="text1"/>
                <w:sz w:val="24"/>
                <w:szCs w:val="24"/>
              </w:rPr>
            </w:pP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7.</w:t>
            </w:r>
            <w:r w:rsidRPr="00687B52">
              <w:rPr>
                <w:rFonts w:ascii="Cambria" w:hAnsi="Cambria" w:hint="eastAsia"/>
                <w:color w:val="000000" w:themeColor="text1"/>
                <w:sz w:val="24"/>
                <w:szCs w:val="24"/>
              </w:rPr>
              <w:t>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危险化学品包装物、容器的材质以及危险化学品包装的型式、规格、方法和单件质量（重量），应当与所包装的危险化学品的性质和用途相适应。</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《危险化学品管理条例》第</w:t>
            </w:r>
            <w:r w:rsidRPr="00687B52">
              <w:rPr>
                <w:rFonts w:ascii="Cambria" w:hAnsi="Cambria"/>
                <w:color w:val="000000" w:themeColor="text1"/>
                <w:sz w:val="24"/>
                <w:szCs w:val="24"/>
              </w:rPr>
              <w:t>17</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7.</w:t>
            </w:r>
            <w:r w:rsidRPr="00687B52">
              <w:rPr>
                <w:rFonts w:ascii="Cambria" w:hAnsi="Cambria" w:hint="eastAsia"/>
                <w:color w:val="000000" w:themeColor="text1"/>
                <w:sz w:val="24"/>
                <w:szCs w:val="24"/>
              </w:rPr>
              <w:t>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储存剧毒化学品、易制爆危险化学品的单位，应当如实记录其数量、流向，应当设置治安保卫机构，配备专职治安保卫人员。剧毒化学品应在公安机关备案。</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《危险化学品管理条例》第</w:t>
            </w:r>
            <w:r w:rsidRPr="00687B52">
              <w:rPr>
                <w:rFonts w:ascii="Cambria" w:hAnsi="Cambria"/>
                <w:color w:val="000000" w:themeColor="text1"/>
                <w:sz w:val="24"/>
                <w:szCs w:val="24"/>
              </w:rPr>
              <w:t>23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7.</w:t>
            </w:r>
            <w:r w:rsidRPr="00687B52">
              <w:rPr>
                <w:rFonts w:ascii="Cambria" w:hAnsi="Cambria" w:hint="eastAsia"/>
                <w:color w:val="000000" w:themeColor="text1"/>
                <w:sz w:val="24"/>
                <w:szCs w:val="24"/>
              </w:rPr>
              <w:t>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储存危险化学品的单位应当建立危险化学品出入库核查、登记制度，并按制度建立相关记录。</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《危险化学品管理条例》第</w:t>
            </w:r>
            <w:r w:rsidRPr="00687B52">
              <w:rPr>
                <w:rFonts w:ascii="Cambria" w:hAnsi="Cambria"/>
                <w:color w:val="000000" w:themeColor="text1"/>
                <w:sz w:val="24"/>
                <w:szCs w:val="24"/>
              </w:rPr>
              <w:t>25</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查制度和记录</w:t>
            </w: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7.</w:t>
            </w:r>
            <w:r w:rsidRPr="00687B52">
              <w:rPr>
                <w:rFonts w:ascii="Cambria" w:hAnsi="Cambria" w:hint="eastAsia"/>
                <w:color w:val="000000" w:themeColor="text1"/>
                <w:sz w:val="24"/>
                <w:szCs w:val="24"/>
              </w:rPr>
              <w:t>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危险化学品单位应当按照有关规定对重大危险源进行安全评估。有下列情形之一的，应重新进行辨识、评估及分级：</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color w:val="000000" w:themeColor="text1"/>
                <w:sz w:val="24"/>
                <w:szCs w:val="24"/>
              </w:rPr>
              <w:t>）重大危险源安全评估已满三年的；</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color w:val="000000" w:themeColor="text1"/>
                <w:sz w:val="24"/>
                <w:szCs w:val="24"/>
              </w:rPr>
              <w:t>）构成重大危险源的装置、设施或者场所进行新建、改建、扩建的；</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3</w:t>
            </w:r>
            <w:r w:rsidRPr="00687B52">
              <w:rPr>
                <w:rFonts w:ascii="Cambria" w:hAnsi="Cambria"/>
                <w:color w:val="000000" w:themeColor="text1"/>
                <w:sz w:val="24"/>
                <w:szCs w:val="24"/>
              </w:rPr>
              <w:t>）危险化学品种类、数量、生产、使用工艺或者储存方式及重要设备、设施等发生变化，影响重大危险源级别或者风险程度的；</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4</w:t>
            </w:r>
            <w:r w:rsidRPr="00687B52">
              <w:rPr>
                <w:rFonts w:ascii="Cambria" w:hAnsi="Cambria"/>
                <w:color w:val="000000" w:themeColor="text1"/>
                <w:sz w:val="24"/>
                <w:szCs w:val="24"/>
              </w:rPr>
              <w:t>）外界生产安全环境因素发生变化，影响重大危险源级别和风险程度的；</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5</w:t>
            </w:r>
            <w:r w:rsidRPr="00687B52">
              <w:rPr>
                <w:rFonts w:ascii="Cambria" w:hAnsi="Cambria"/>
                <w:color w:val="000000" w:themeColor="text1"/>
                <w:sz w:val="24"/>
                <w:szCs w:val="24"/>
              </w:rPr>
              <w:t>）发生危险化学品事故造成人员死亡，或者</w:t>
            </w:r>
            <w:r w:rsidRPr="00687B52">
              <w:rPr>
                <w:rFonts w:ascii="Cambria" w:hAnsi="Cambria"/>
                <w:color w:val="000000" w:themeColor="text1"/>
                <w:sz w:val="24"/>
                <w:szCs w:val="24"/>
              </w:rPr>
              <w:t>10</w:t>
            </w:r>
            <w:r w:rsidRPr="00687B52">
              <w:rPr>
                <w:rFonts w:ascii="Cambria" w:hAnsi="Cambria"/>
                <w:color w:val="000000" w:themeColor="text1"/>
                <w:sz w:val="24"/>
                <w:szCs w:val="24"/>
              </w:rPr>
              <w:t>人以上受伤，或者影响到公共安全的；</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6</w:t>
            </w:r>
            <w:r w:rsidRPr="00687B52">
              <w:rPr>
                <w:rFonts w:ascii="Cambria" w:hAnsi="Cambria"/>
                <w:color w:val="000000" w:themeColor="text1"/>
                <w:sz w:val="24"/>
                <w:szCs w:val="24"/>
              </w:rPr>
              <w:t>）有关重大危险源辨识和安全评估的国家标准、行业标准发生变化的。</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《危险化学品重大危险源监督管理暂行规定》第</w:t>
            </w:r>
            <w:r w:rsidRPr="00687B52">
              <w:rPr>
                <w:rFonts w:ascii="Cambria" w:hAnsi="Cambria"/>
                <w:color w:val="000000" w:themeColor="text1"/>
                <w:sz w:val="24"/>
                <w:szCs w:val="24"/>
              </w:rPr>
              <w:t>8</w:t>
            </w:r>
            <w:r w:rsidRPr="00687B52">
              <w:rPr>
                <w:rFonts w:ascii="Cambria" w:hAnsi="Cambria"/>
                <w:color w:val="000000" w:themeColor="text1"/>
                <w:sz w:val="24"/>
                <w:szCs w:val="24"/>
              </w:rPr>
              <w:t>、</w:t>
            </w:r>
            <w:r w:rsidRPr="00687B52">
              <w:rPr>
                <w:rFonts w:ascii="Cambria" w:hAnsi="Cambria"/>
                <w:color w:val="000000" w:themeColor="text1"/>
                <w:sz w:val="24"/>
                <w:szCs w:val="24"/>
              </w:rPr>
              <w:t>11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7.</w:t>
            </w:r>
            <w:r w:rsidRPr="00687B52">
              <w:rPr>
                <w:rFonts w:ascii="Cambria" w:hAnsi="Cambria" w:hint="eastAsia"/>
                <w:color w:val="000000" w:themeColor="text1"/>
                <w:sz w:val="24"/>
                <w:szCs w:val="24"/>
              </w:rPr>
              <w:t>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构成重大危险源的应及时在所在地安全生产监督管理部门备案。</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《危险化学品重大危险源监督管理暂行规定》第</w:t>
            </w:r>
            <w:r w:rsidRPr="00687B52">
              <w:rPr>
                <w:rFonts w:ascii="Cambria" w:hAnsi="Cambria"/>
                <w:color w:val="000000" w:themeColor="text1"/>
                <w:sz w:val="24"/>
                <w:szCs w:val="24"/>
              </w:rPr>
              <w:t>23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7.</w:t>
            </w:r>
            <w:r w:rsidRPr="00687B52">
              <w:rPr>
                <w:rFonts w:ascii="Cambria" w:hAnsi="Cambria" w:hint="eastAsia"/>
                <w:color w:val="000000" w:themeColor="text1"/>
                <w:sz w:val="24"/>
                <w:szCs w:val="24"/>
              </w:rPr>
              <w:t>6</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企业应对重大危险源进行登记建档，包括以下：</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color w:val="000000" w:themeColor="text1"/>
                <w:sz w:val="24"/>
                <w:szCs w:val="24"/>
              </w:rPr>
              <w:t>）辨识、分级记录；</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color w:val="000000" w:themeColor="text1"/>
                <w:sz w:val="24"/>
                <w:szCs w:val="24"/>
              </w:rPr>
              <w:t>）重大危险源基本特征表；</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3</w:t>
            </w:r>
            <w:r w:rsidRPr="00687B52">
              <w:rPr>
                <w:rFonts w:ascii="Cambria" w:hAnsi="Cambria"/>
                <w:color w:val="000000" w:themeColor="text1"/>
                <w:sz w:val="24"/>
                <w:szCs w:val="24"/>
              </w:rPr>
              <w:t>）涉及的所有化学品安全技术说明书；</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4</w:t>
            </w:r>
            <w:r w:rsidRPr="00687B52">
              <w:rPr>
                <w:rFonts w:ascii="Cambria" w:hAnsi="Cambria"/>
                <w:color w:val="000000" w:themeColor="text1"/>
                <w:sz w:val="24"/>
                <w:szCs w:val="24"/>
              </w:rPr>
              <w:t>）区域位置图、平面布置图、工艺流程图和主要设备一览表；</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5</w:t>
            </w:r>
            <w:r w:rsidRPr="00687B52">
              <w:rPr>
                <w:rFonts w:ascii="Cambria" w:hAnsi="Cambria"/>
                <w:color w:val="000000" w:themeColor="text1"/>
                <w:sz w:val="24"/>
                <w:szCs w:val="24"/>
              </w:rPr>
              <w:t>）重大危险源安全管理规章制度及安全操作规程；</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6</w:t>
            </w:r>
            <w:r w:rsidRPr="00687B52">
              <w:rPr>
                <w:rFonts w:ascii="Cambria" w:hAnsi="Cambria"/>
                <w:color w:val="000000" w:themeColor="text1"/>
                <w:sz w:val="24"/>
                <w:szCs w:val="24"/>
              </w:rPr>
              <w:t>）安全监测监控系统、措施说明、检测、检验结果；</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7</w:t>
            </w:r>
            <w:r w:rsidRPr="00687B52">
              <w:rPr>
                <w:rFonts w:ascii="Cambria" w:hAnsi="Cambria"/>
                <w:color w:val="000000" w:themeColor="text1"/>
                <w:sz w:val="24"/>
                <w:szCs w:val="24"/>
              </w:rPr>
              <w:t>）重大危险源事故应急预案、评审意见、演练计划和评估报告；</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8</w:t>
            </w:r>
            <w:r w:rsidRPr="00687B52">
              <w:rPr>
                <w:rFonts w:ascii="Cambria" w:hAnsi="Cambria"/>
                <w:color w:val="000000" w:themeColor="text1"/>
                <w:sz w:val="24"/>
                <w:szCs w:val="24"/>
              </w:rPr>
              <w:t>）安全评估报告或者安全评价报告；</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9</w:t>
            </w:r>
            <w:r w:rsidRPr="00687B52">
              <w:rPr>
                <w:rFonts w:ascii="Cambria" w:hAnsi="Cambria"/>
                <w:color w:val="000000" w:themeColor="text1"/>
                <w:sz w:val="24"/>
                <w:szCs w:val="24"/>
              </w:rPr>
              <w:t>）重大危险源关键装置、重点部位的责任人、责任机构名称；</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10</w:t>
            </w:r>
            <w:r w:rsidRPr="00687B52">
              <w:rPr>
                <w:rFonts w:ascii="Cambria" w:hAnsi="Cambria"/>
                <w:color w:val="000000" w:themeColor="text1"/>
                <w:sz w:val="24"/>
                <w:szCs w:val="24"/>
              </w:rPr>
              <w:t>）重大危险源场所安全警示标志的设置情况；</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11</w:t>
            </w:r>
            <w:r w:rsidRPr="00687B52">
              <w:rPr>
                <w:rFonts w:ascii="Cambria" w:hAnsi="Cambria"/>
                <w:color w:val="000000" w:themeColor="text1"/>
                <w:sz w:val="24"/>
                <w:szCs w:val="24"/>
              </w:rPr>
              <w:t>）其他文件、资料。</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《危险化学品重大危险源监督管理暂行规定》第</w:t>
            </w:r>
            <w:r w:rsidRPr="00687B52">
              <w:rPr>
                <w:rFonts w:ascii="Cambria" w:hAnsi="Cambria"/>
                <w:color w:val="000000" w:themeColor="text1"/>
                <w:sz w:val="24"/>
                <w:szCs w:val="24"/>
              </w:rPr>
              <w:t>22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hint="eastAsia"/>
                <w:color w:val="000000" w:themeColor="text1"/>
                <w:sz w:val="24"/>
                <w:szCs w:val="24"/>
              </w:rPr>
              <w:t>7.7</w:t>
            </w:r>
          </w:p>
        </w:tc>
        <w:tc>
          <w:tcPr>
            <w:tcW w:w="2101" w:type="pct"/>
            <w:vAlign w:val="center"/>
          </w:tcPr>
          <w:p w:rsidR="000E02C5" w:rsidRPr="00687B52" w:rsidRDefault="000E02C5" w:rsidP="00B527D4">
            <w:pPr>
              <w:rPr>
                <w:rFonts w:ascii="Cambria" w:hAnsi="Cambria" w:cs="Times New Roman"/>
                <w:color w:val="000000" w:themeColor="text1"/>
                <w:sz w:val="24"/>
                <w:szCs w:val="24"/>
              </w:rPr>
            </w:pPr>
            <w:r w:rsidRPr="00687B52">
              <w:rPr>
                <w:rFonts w:ascii="Cambria" w:hAnsi="Cambria" w:cs="Times New Roman"/>
                <w:color w:val="000000" w:themeColor="text1"/>
                <w:sz w:val="24"/>
                <w:szCs w:val="24"/>
              </w:rPr>
              <w:t>重大危险源的化工生产装置装备应该设置自动化控制系统；一级或者二级重大危险源应装备紧急停车系统。</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《危险化学品重大危险源监督管理暂行规定》</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第</w:t>
            </w:r>
            <w:r w:rsidRPr="00687B52">
              <w:rPr>
                <w:rFonts w:ascii="Cambria" w:hAnsi="Cambria"/>
                <w:color w:val="000000" w:themeColor="text1"/>
                <w:sz w:val="24"/>
                <w:szCs w:val="24"/>
              </w:rPr>
              <w:t>13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hint="eastAsia"/>
                <w:color w:val="000000" w:themeColor="text1"/>
                <w:sz w:val="24"/>
                <w:szCs w:val="24"/>
              </w:rPr>
              <w:t>7.8</w:t>
            </w:r>
          </w:p>
        </w:tc>
        <w:tc>
          <w:tcPr>
            <w:tcW w:w="2101" w:type="pct"/>
            <w:vAlign w:val="center"/>
          </w:tcPr>
          <w:p w:rsidR="000E02C5" w:rsidRPr="00687B52" w:rsidRDefault="000E02C5" w:rsidP="00B527D4">
            <w:pPr>
              <w:rPr>
                <w:rFonts w:ascii="Cambria" w:hAnsi="Cambria" w:cs="Times New Roman"/>
                <w:color w:val="000000" w:themeColor="text1"/>
                <w:sz w:val="24"/>
                <w:szCs w:val="24"/>
              </w:rPr>
            </w:pPr>
            <w:r w:rsidRPr="00687B52">
              <w:rPr>
                <w:rFonts w:ascii="Cambria" w:hAnsi="Cambria" w:cs="Times New Roman"/>
                <w:color w:val="000000" w:themeColor="text1"/>
                <w:sz w:val="24"/>
                <w:szCs w:val="24"/>
              </w:rPr>
              <w:t>重大危险源中有毒性气体、剧毒液体和易燃气体等重点设施，应设置紧急切断装置；有毒性气体的设施，应设置泄漏物紧急处置装置。涉及毒性气体、液化气体、剧毒液体的一级或者二级重大危险源，应配备独立的安全仪表系统（</w:t>
            </w:r>
            <w:r w:rsidRPr="00687B52">
              <w:rPr>
                <w:rFonts w:ascii="Cambria" w:hAnsi="Cambria" w:cs="Times New Roman"/>
                <w:color w:val="000000" w:themeColor="text1"/>
                <w:sz w:val="24"/>
                <w:szCs w:val="24"/>
              </w:rPr>
              <w:t>SIS</w:t>
            </w:r>
            <w:r w:rsidRPr="00687B52">
              <w:rPr>
                <w:rFonts w:ascii="Cambria" w:hAnsi="Cambria" w:cs="Times New Roman"/>
                <w:color w:val="000000" w:themeColor="text1"/>
                <w:sz w:val="24"/>
                <w:szCs w:val="24"/>
              </w:rPr>
              <w:t>）；</w:t>
            </w:r>
          </w:p>
          <w:p w:rsidR="000E02C5" w:rsidRPr="00687B52" w:rsidRDefault="000E02C5" w:rsidP="00B527D4">
            <w:pPr>
              <w:rPr>
                <w:rFonts w:ascii="Cambria" w:hAnsi="Cambria" w:cs="Times New Roman"/>
                <w:color w:val="000000" w:themeColor="text1"/>
                <w:sz w:val="24"/>
                <w:szCs w:val="24"/>
              </w:rPr>
            </w:pPr>
            <w:r w:rsidRPr="00687B52">
              <w:rPr>
                <w:rFonts w:ascii="Cambria" w:hAnsi="Cambria" w:cs="Times New Roman"/>
                <w:color w:val="000000" w:themeColor="text1"/>
                <w:sz w:val="24"/>
                <w:szCs w:val="24"/>
              </w:rPr>
              <w:t>储存剧毒物质的场所或者设施，应设置视频监控系统。</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《危险化学品重大危险源监督管理暂行规定》第</w:t>
            </w:r>
            <w:r w:rsidRPr="00687B52">
              <w:rPr>
                <w:rFonts w:ascii="Cambria" w:hAnsi="Cambria"/>
                <w:color w:val="000000" w:themeColor="text1"/>
                <w:sz w:val="24"/>
                <w:szCs w:val="24"/>
              </w:rPr>
              <w:t>13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hint="eastAsia"/>
                <w:color w:val="000000" w:themeColor="text1"/>
                <w:sz w:val="24"/>
                <w:szCs w:val="24"/>
              </w:rPr>
              <w:t>7.9</w:t>
            </w:r>
          </w:p>
        </w:tc>
        <w:tc>
          <w:tcPr>
            <w:tcW w:w="2101" w:type="pct"/>
            <w:vAlign w:val="center"/>
          </w:tcPr>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对存在吸入性有毒、有害气体的重大危险源，应配备便携式浓度检测设备、空气呼吸器、化学防护服、堵漏器材等应急器材和设备；涉及剧毒气体的重大危险源，还应当配备两套以上（含本数）气密型化学防护服；涉及易燃易爆气体或者易燃液体蒸气的重大危险源，还应当配备一定数量的便携式可燃气体检测设备。</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《危险化学品重大危险源监督管理暂行规定》第</w:t>
            </w:r>
            <w:r w:rsidRPr="00687B52">
              <w:rPr>
                <w:rFonts w:ascii="Cambria" w:hAnsi="Cambria"/>
                <w:color w:val="000000" w:themeColor="text1"/>
                <w:sz w:val="24"/>
                <w:szCs w:val="24"/>
              </w:rPr>
              <w:t>20</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9032A" w:rsidP="00B527D4">
            <w:pPr>
              <w:jc w:val="center"/>
              <w:rPr>
                <w:rFonts w:ascii="Cambria" w:hAnsi="Cambria"/>
                <w:b/>
                <w:color w:val="000000" w:themeColor="text1"/>
                <w:sz w:val="24"/>
                <w:szCs w:val="24"/>
              </w:rPr>
            </w:pPr>
            <w:r w:rsidRPr="00687B52">
              <w:rPr>
                <w:rFonts w:ascii="Cambria" w:hAnsi="Cambria" w:hint="eastAsia"/>
                <w:b/>
                <w:color w:val="000000" w:themeColor="text1"/>
                <w:sz w:val="24"/>
                <w:szCs w:val="24"/>
              </w:rPr>
              <w:t>8</w:t>
            </w:r>
          </w:p>
        </w:tc>
        <w:tc>
          <w:tcPr>
            <w:tcW w:w="2101" w:type="pct"/>
            <w:vAlign w:val="center"/>
          </w:tcPr>
          <w:p w:rsidR="000E02C5" w:rsidRPr="00687B52" w:rsidRDefault="000E02C5" w:rsidP="00B527D4">
            <w:pPr>
              <w:rPr>
                <w:rFonts w:ascii="Cambria" w:hAnsi="Cambria"/>
                <w:b/>
                <w:color w:val="000000" w:themeColor="text1"/>
                <w:sz w:val="24"/>
                <w:szCs w:val="24"/>
              </w:rPr>
            </w:pPr>
            <w:r w:rsidRPr="00687B52">
              <w:rPr>
                <w:rFonts w:ascii="Cambria" w:hAnsi="Cambria"/>
                <w:b/>
                <w:color w:val="000000" w:themeColor="text1"/>
                <w:sz w:val="24"/>
                <w:szCs w:val="24"/>
              </w:rPr>
              <w:t>隐患排查治理</w:t>
            </w:r>
          </w:p>
        </w:tc>
        <w:tc>
          <w:tcPr>
            <w:tcW w:w="1236" w:type="pct"/>
            <w:vAlign w:val="center"/>
          </w:tcPr>
          <w:p w:rsidR="000E02C5" w:rsidRPr="00687B52" w:rsidRDefault="000E02C5" w:rsidP="00B527D4">
            <w:pPr>
              <w:rPr>
                <w:rFonts w:ascii="Cambria" w:hAnsi="Cambria"/>
                <w:color w:val="000000" w:themeColor="text1"/>
                <w:sz w:val="24"/>
                <w:szCs w:val="24"/>
              </w:rPr>
            </w:pP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8.1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企业应</w:t>
            </w:r>
            <w:r w:rsidRPr="00687B52">
              <w:rPr>
                <w:rFonts w:ascii="Cambria" w:hAnsi="Cambria" w:hint="eastAsia"/>
                <w:color w:val="000000" w:themeColor="text1"/>
                <w:sz w:val="24"/>
                <w:szCs w:val="24"/>
              </w:rPr>
              <w:t>定期组织开展隐患排查治理工作，及时发现并消除隐患，实行隐患闭环管理。企业应结合安全生产的需要和特点，采用综合检查、专业检查、季节性检查、节假日检查、日常检查等不同方式进行隐患排查。</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w:t>
            </w:r>
            <w:r w:rsidRPr="00687B52">
              <w:rPr>
                <w:rFonts w:ascii="Cambria" w:hAnsi="Cambria" w:hint="eastAsia"/>
                <w:color w:val="000000" w:themeColor="text1"/>
                <w:sz w:val="24"/>
                <w:szCs w:val="24"/>
              </w:rPr>
              <w:t>企业安全生产标准化基本</w:t>
            </w:r>
            <w:r w:rsidRPr="00687B52">
              <w:rPr>
                <w:rFonts w:ascii="Cambria" w:hAnsi="Cambria"/>
                <w:color w:val="000000" w:themeColor="text1"/>
                <w:sz w:val="24"/>
                <w:szCs w:val="24"/>
              </w:rPr>
              <w:t>规范》</w:t>
            </w:r>
            <w:r w:rsidRPr="00687B52">
              <w:rPr>
                <w:rFonts w:ascii="Cambria" w:hAnsi="Cambria" w:hint="eastAsia"/>
                <w:color w:val="000000" w:themeColor="text1"/>
                <w:sz w:val="24"/>
                <w:szCs w:val="24"/>
              </w:rPr>
              <w:t>GB/T-33000-</w:t>
            </w:r>
            <w:r w:rsidRPr="00687B52">
              <w:rPr>
                <w:rFonts w:ascii="Cambria" w:hAnsi="Cambria"/>
                <w:color w:val="000000" w:themeColor="text1"/>
                <w:sz w:val="24"/>
                <w:szCs w:val="24"/>
              </w:rPr>
              <w:t>20</w:t>
            </w:r>
            <w:r w:rsidRPr="00687B52">
              <w:rPr>
                <w:rFonts w:ascii="Cambria" w:hAnsi="Cambria" w:hint="eastAsia"/>
                <w:color w:val="000000" w:themeColor="text1"/>
                <w:sz w:val="24"/>
                <w:szCs w:val="24"/>
              </w:rPr>
              <w:t>16</w:t>
            </w:r>
            <w:r w:rsidRPr="00687B52">
              <w:rPr>
                <w:rFonts w:ascii="Cambria" w:hAnsi="Cambria"/>
                <w:color w:val="000000" w:themeColor="text1"/>
                <w:sz w:val="24"/>
                <w:szCs w:val="24"/>
              </w:rPr>
              <w:t>第</w:t>
            </w:r>
            <w:r w:rsidRPr="00687B52">
              <w:rPr>
                <w:rFonts w:ascii="Cambria" w:hAnsi="Cambria"/>
                <w:color w:val="000000" w:themeColor="text1"/>
                <w:sz w:val="24"/>
                <w:szCs w:val="24"/>
              </w:rPr>
              <w:t>5.</w:t>
            </w:r>
            <w:r w:rsidRPr="00687B52">
              <w:rPr>
                <w:rFonts w:ascii="Cambria" w:hAnsi="Cambria" w:hint="eastAsia"/>
                <w:color w:val="000000" w:themeColor="text1"/>
                <w:sz w:val="24"/>
                <w:szCs w:val="24"/>
              </w:rPr>
              <w:t>5.3.1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8.2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企业</w:t>
            </w:r>
            <w:r w:rsidRPr="00687B52">
              <w:rPr>
                <w:rFonts w:ascii="Cambria" w:hAnsi="Cambria" w:hint="eastAsia"/>
                <w:color w:val="000000" w:themeColor="text1"/>
                <w:sz w:val="24"/>
                <w:szCs w:val="24"/>
              </w:rPr>
              <w:t>应根据隐患排查的结果，制定隐患治理方案，对隐患及时进行治理。</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w:t>
            </w:r>
            <w:r w:rsidRPr="00687B52">
              <w:rPr>
                <w:rFonts w:ascii="Cambria" w:hAnsi="Cambria" w:hint="eastAsia"/>
                <w:color w:val="000000" w:themeColor="text1"/>
                <w:sz w:val="24"/>
                <w:szCs w:val="24"/>
              </w:rPr>
              <w:t>企业安全生产标准化基本</w:t>
            </w:r>
            <w:r w:rsidRPr="00687B52">
              <w:rPr>
                <w:rFonts w:ascii="Cambria" w:hAnsi="Cambria"/>
                <w:color w:val="000000" w:themeColor="text1"/>
                <w:sz w:val="24"/>
                <w:szCs w:val="24"/>
              </w:rPr>
              <w:t>规范》</w:t>
            </w:r>
            <w:r w:rsidRPr="00687B52">
              <w:rPr>
                <w:rFonts w:ascii="Cambria" w:hAnsi="Cambria" w:hint="eastAsia"/>
                <w:color w:val="000000" w:themeColor="text1"/>
                <w:sz w:val="24"/>
                <w:szCs w:val="24"/>
              </w:rPr>
              <w:t>GB/T-33000-</w:t>
            </w:r>
            <w:r w:rsidRPr="00687B52">
              <w:rPr>
                <w:rFonts w:ascii="Cambria" w:hAnsi="Cambria"/>
                <w:color w:val="000000" w:themeColor="text1"/>
                <w:sz w:val="24"/>
                <w:szCs w:val="24"/>
              </w:rPr>
              <w:t>20</w:t>
            </w:r>
            <w:r w:rsidRPr="00687B52">
              <w:rPr>
                <w:rFonts w:ascii="Cambria" w:hAnsi="Cambria" w:hint="eastAsia"/>
                <w:color w:val="000000" w:themeColor="text1"/>
                <w:sz w:val="24"/>
                <w:szCs w:val="24"/>
              </w:rPr>
              <w:t>16</w:t>
            </w:r>
            <w:r w:rsidRPr="00687B52">
              <w:rPr>
                <w:rFonts w:ascii="Cambria" w:hAnsi="Cambria"/>
                <w:color w:val="000000" w:themeColor="text1"/>
                <w:sz w:val="24"/>
                <w:szCs w:val="24"/>
              </w:rPr>
              <w:t>第</w:t>
            </w:r>
            <w:r w:rsidRPr="00687B52">
              <w:rPr>
                <w:rFonts w:ascii="Cambria" w:hAnsi="Cambria"/>
                <w:color w:val="000000" w:themeColor="text1"/>
                <w:sz w:val="24"/>
                <w:szCs w:val="24"/>
              </w:rPr>
              <w:t>5.</w:t>
            </w:r>
            <w:r w:rsidRPr="00687B52">
              <w:rPr>
                <w:rFonts w:ascii="Cambria" w:hAnsi="Cambria" w:hint="eastAsia"/>
                <w:color w:val="000000" w:themeColor="text1"/>
                <w:sz w:val="24"/>
                <w:szCs w:val="24"/>
              </w:rPr>
              <w:t>5.3.2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8.3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hint="eastAsia"/>
                <w:color w:val="000000" w:themeColor="text1"/>
                <w:sz w:val="24"/>
                <w:szCs w:val="24"/>
              </w:rPr>
              <w:t>隐患治理完成后，企业应按照有关规定对治理情况进行评估、验收。</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w:t>
            </w:r>
            <w:r w:rsidRPr="00687B52">
              <w:rPr>
                <w:rFonts w:ascii="Cambria" w:hAnsi="Cambria" w:hint="eastAsia"/>
                <w:color w:val="000000" w:themeColor="text1"/>
                <w:sz w:val="24"/>
                <w:szCs w:val="24"/>
              </w:rPr>
              <w:t>企业安全生产标准化基本</w:t>
            </w:r>
            <w:r w:rsidRPr="00687B52">
              <w:rPr>
                <w:rFonts w:ascii="Cambria" w:hAnsi="Cambria"/>
                <w:color w:val="000000" w:themeColor="text1"/>
                <w:sz w:val="24"/>
                <w:szCs w:val="24"/>
              </w:rPr>
              <w:t>规范》</w:t>
            </w:r>
            <w:r w:rsidRPr="00687B52">
              <w:rPr>
                <w:rFonts w:ascii="Cambria" w:hAnsi="Cambria" w:hint="eastAsia"/>
                <w:color w:val="000000" w:themeColor="text1"/>
                <w:sz w:val="24"/>
                <w:szCs w:val="24"/>
              </w:rPr>
              <w:t>GB/T-33000-</w:t>
            </w:r>
            <w:r w:rsidRPr="00687B52">
              <w:rPr>
                <w:rFonts w:ascii="Cambria" w:hAnsi="Cambria"/>
                <w:color w:val="000000" w:themeColor="text1"/>
                <w:sz w:val="24"/>
                <w:szCs w:val="24"/>
              </w:rPr>
              <w:t>20</w:t>
            </w:r>
            <w:r w:rsidRPr="00687B52">
              <w:rPr>
                <w:rFonts w:ascii="Cambria" w:hAnsi="Cambria" w:hint="eastAsia"/>
                <w:color w:val="000000" w:themeColor="text1"/>
                <w:sz w:val="24"/>
                <w:szCs w:val="24"/>
              </w:rPr>
              <w:t>16</w:t>
            </w:r>
            <w:r w:rsidRPr="00687B52">
              <w:rPr>
                <w:rFonts w:ascii="Cambria" w:hAnsi="Cambria"/>
                <w:color w:val="000000" w:themeColor="text1"/>
                <w:sz w:val="24"/>
                <w:szCs w:val="24"/>
              </w:rPr>
              <w:t>第</w:t>
            </w:r>
            <w:r w:rsidRPr="00687B52">
              <w:rPr>
                <w:rFonts w:ascii="Cambria" w:hAnsi="Cambria"/>
                <w:color w:val="000000" w:themeColor="text1"/>
                <w:sz w:val="24"/>
                <w:szCs w:val="24"/>
              </w:rPr>
              <w:t>5.</w:t>
            </w:r>
            <w:r w:rsidRPr="00687B52">
              <w:rPr>
                <w:rFonts w:ascii="Cambria" w:hAnsi="Cambria" w:hint="eastAsia"/>
                <w:color w:val="000000" w:themeColor="text1"/>
                <w:sz w:val="24"/>
                <w:szCs w:val="24"/>
              </w:rPr>
              <w:t>5.3.3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hint="eastAsia"/>
                <w:color w:val="000000" w:themeColor="text1"/>
                <w:sz w:val="24"/>
                <w:szCs w:val="24"/>
              </w:rPr>
              <w:t>8.4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hint="eastAsia"/>
                <w:color w:val="000000" w:themeColor="text1"/>
                <w:sz w:val="24"/>
                <w:szCs w:val="24"/>
              </w:rPr>
              <w:t>企业如实记录隐患排查治理情况，至少每月进行统计分析，及时将隐患排查治理情况向从业人员通报。</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w:t>
            </w:r>
            <w:r w:rsidRPr="00687B52">
              <w:rPr>
                <w:rFonts w:ascii="Cambria" w:hAnsi="Cambria" w:hint="eastAsia"/>
                <w:color w:val="000000" w:themeColor="text1"/>
                <w:sz w:val="24"/>
                <w:szCs w:val="24"/>
              </w:rPr>
              <w:t>企业安全生产标准化基本</w:t>
            </w:r>
            <w:r w:rsidRPr="00687B52">
              <w:rPr>
                <w:rFonts w:ascii="Cambria" w:hAnsi="Cambria"/>
                <w:color w:val="000000" w:themeColor="text1"/>
                <w:sz w:val="24"/>
                <w:szCs w:val="24"/>
              </w:rPr>
              <w:t>规范》</w:t>
            </w:r>
            <w:r w:rsidRPr="00687B52">
              <w:rPr>
                <w:rFonts w:ascii="Cambria" w:hAnsi="Cambria" w:hint="eastAsia"/>
                <w:color w:val="000000" w:themeColor="text1"/>
                <w:sz w:val="24"/>
                <w:szCs w:val="24"/>
              </w:rPr>
              <w:t>GB/T-33000-</w:t>
            </w:r>
            <w:r w:rsidRPr="00687B52">
              <w:rPr>
                <w:rFonts w:ascii="Cambria" w:hAnsi="Cambria"/>
                <w:color w:val="000000" w:themeColor="text1"/>
                <w:sz w:val="24"/>
                <w:szCs w:val="24"/>
              </w:rPr>
              <w:t>20</w:t>
            </w:r>
            <w:r w:rsidRPr="00687B52">
              <w:rPr>
                <w:rFonts w:ascii="Cambria" w:hAnsi="Cambria" w:hint="eastAsia"/>
                <w:color w:val="000000" w:themeColor="text1"/>
                <w:sz w:val="24"/>
                <w:szCs w:val="24"/>
              </w:rPr>
              <w:t>16</w:t>
            </w:r>
            <w:r w:rsidRPr="00687B52">
              <w:rPr>
                <w:rFonts w:ascii="Cambria" w:hAnsi="Cambria"/>
                <w:color w:val="000000" w:themeColor="text1"/>
                <w:sz w:val="24"/>
                <w:szCs w:val="24"/>
              </w:rPr>
              <w:t>第</w:t>
            </w:r>
            <w:r w:rsidRPr="00687B52">
              <w:rPr>
                <w:rFonts w:ascii="Cambria" w:hAnsi="Cambria"/>
                <w:color w:val="000000" w:themeColor="text1"/>
                <w:sz w:val="24"/>
                <w:szCs w:val="24"/>
              </w:rPr>
              <w:t>5.</w:t>
            </w:r>
            <w:r w:rsidRPr="00687B52">
              <w:rPr>
                <w:rFonts w:ascii="Cambria" w:hAnsi="Cambria" w:hint="eastAsia"/>
                <w:color w:val="000000" w:themeColor="text1"/>
                <w:sz w:val="24"/>
                <w:szCs w:val="24"/>
              </w:rPr>
              <w:t>5.3.4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8.</w:t>
            </w:r>
            <w:r w:rsidRPr="00687B52">
              <w:rPr>
                <w:rFonts w:ascii="Cambria" w:hAnsi="Cambria" w:hint="eastAsia"/>
                <w:color w:val="000000" w:themeColor="text1"/>
                <w:sz w:val="24"/>
                <w:szCs w:val="24"/>
              </w:rPr>
              <w:t>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企业应当每季、每年对本单位事故隐患排查治理情况进行统计分析，并向有关部门报送书面统计分析表。统计分析表应当由生产经营单位主要负责人签字。（隐患自查自报</w:t>
            </w:r>
            <w:r w:rsidRPr="00687B52">
              <w:rPr>
                <w:rFonts w:ascii="Cambria" w:hAnsi="Cambria" w:hint="eastAsia"/>
                <w:color w:val="000000" w:themeColor="text1"/>
                <w:sz w:val="24"/>
                <w:szCs w:val="24"/>
              </w:rPr>
              <w:t>）</w:t>
            </w:r>
          </w:p>
        </w:tc>
        <w:tc>
          <w:tcPr>
            <w:tcW w:w="1236" w:type="pct"/>
            <w:vAlign w:val="center"/>
          </w:tcPr>
          <w:p w:rsidR="000E02C5" w:rsidRPr="00687B52" w:rsidRDefault="000E02C5" w:rsidP="00B527D4">
            <w:pPr>
              <w:rPr>
                <w:rFonts w:ascii="Cambria" w:hAnsi="Cambria" w:cs="宋体"/>
                <w:color w:val="000000" w:themeColor="text1"/>
                <w:sz w:val="24"/>
                <w:szCs w:val="24"/>
              </w:rPr>
            </w:pPr>
            <w:r w:rsidRPr="00687B52">
              <w:rPr>
                <w:rFonts w:ascii="Cambria" w:hAnsi="Cambria"/>
                <w:color w:val="000000" w:themeColor="text1"/>
                <w:sz w:val="24"/>
                <w:szCs w:val="24"/>
              </w:rPr>
              <w:t>《安全生产事故隐患排查治理暂行规定》第</w:t>
            </w:r>
            <w:r w:rsidRPr="00687B52">
              <w:rPr>
                <w:rFonts w:ascii="Cambria" w:hAnsi="Cambria"/>
                <w:color w:val="000000" w:themeColor="text1"/>
                <w:sz w:val="24"/>
                <w:szCs w:val="24"/>
              </w:rPr>
              <w:t>14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9032A" w:rsidP="00B527D4">
            <w:pPr>
              <w:jc w:val="center"/>
              <w:rPr>
                <w:rFonts w:ascii="Cambria" w:hAnsi="Cambria"/>
                <w:b/>
                <w:color w:val="000000" w:themeColor="text1"/>
                <w:sz w:val="24"/>
                <w:szCs w:val="24"/>
              </w:rPr>
            </w:pPr>
            <w:r w:rsidRPr="00687B52">
              <w:rPr>
                <w:rFonts w:ascii="Cambria" w:hAnsi="Cambria" w:hint="eastAsia"/>
                <w:b/>
                <w:color w:val="000000" w:themeColor="text1"/>
                <w:sz w:val="24"/>
                <w:szCs w:val="24"/>
              </w:rPr>
              <w:t>9</w:t>
            </w:r>
          </w:p>
        </w:tc>
        <w:tc>
          <w:tcPr>
            <w:tcW w:w="2101" w:type="pct"/>
            <w:vAlign w:val="center"/>
          </w:tcPr>
          <w:p w:rsidR="000E02C5" w:rsidRPr="00687B52" w:rsidRDefault="000E02C5" w:rsidP="00B527D4">
            <w:pPr>
              <w:rPr>
                <w:rFonts w:ascii="Cambria" w:hAnsi="Cambria"/>
                <w:b/>
                <w:color w:val="000000" w:themeColor="text1"/>
                <w:sz w:val="24"/>
                <w:szCs w:val="24"/>
              </w:rPr>
            </w:pPr>
            <w:r w:rsidRPr="00687B52">
              <w:rPr>
                <w:rFonts w:ascii="Cambria" w:hAnsi="Cambria"/>
                <w:b/>
                <w:color w:val="000000" w:themeColor="text1"/>
                <w:sz w:val="24"/>
                <w:szCs w:val="24"/>
              </w:rPr>
              <w:t>应急与事故管理</w:t>
            </w:r>
          </w:p>
        </w:tc>
        <w:tc>
          <w:tcPr>
            <w:tcW w:w="1236" w:type="pct"/>
            <w:vAlign w:val="center"/>
          </w:tcPr>
          <w:p w:rsidR="000E02C5" w:rsidRPr="00687B52" w:rsidRDefault="000E02C5" w:rsidP="00B527D4">
            <w:pPr>
              <w:rPr>
                <w:rFonts w:ascii="Cambria" w:hAnsi="Cambria"/>
                <w:color w:val="000000" w:themeColor="text1"/>
                <w:sz w:val="24"/>
                <w:szCs w:val="24"/>
              </w:rPr>
            </w:pP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9.1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企业应建立应急救援组织；生产经营规模较小，可以不建立应急救援组织的，应当指定兼职的应急救援人员。应急组织包括急指挥系统、应急救援队伍，明确各级应急指挥系统和救援队的职责。</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《安全生产法》第</w:t>
            </w:r>
            <w:r w:rsidRPr="00687B52">
              <w:rPr>
                <w:rFonts w:ascii="Cambria" w:hAnsi="Cambria"/>
                <w:color w:val="000000" w:themeColor="text1"/>
                <w:sz w:val="24"/>
                <w:szCs w:val="24"/>
              </w:rPr>
              <w:t>69</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9.2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企业应依据有关标准制定本单位的生产安全事故应急救援预案，并经企业负责人签字生效后报所在地设区的市级人民政府安全生产监督管理部门备案。构成</w:t>
            </w:r>
            <w:r w:rsidRPr="00687B52">
              <w:rPr>
                <w:rFonts w:ascii="Cambria" w:hAnsi="Cambria"/>
                <w:color w:val="000000" w:themeColor="text1"/>
                <w:kern w:val="0"/>
                <w:sz w:val="24"/>
                <w:szCs w:val="24"/>
              </w:rPr>
              <w:t>重大危险源的企业应制定重大危险源事故专项应急预案；</w:t>
            </w:r>
            <w:r w:rsidRPr="00687B52">
              <w:rPr>
                <w:rFonts w:ascii="Cambria" w:hAnsi="Cambria" w:cs="宋体"/>
                <w:color w:val="000000" w:themeColor="text1"/>
                <w:kern w:val="0"/>
                <w:sz w:val="24"/>
                <w:szCs w:val="24"/>
              </w:rPr>
              <w:t>特种设备使用单位应当制定特种设备事故应急专项预案。</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《安全生产法》第</w:t>
            </w:r>
            <w:r w:rsidRPr="00687B52">
              <w:rPr>
                <w:rFonts w:ascii="Cambria" w:hAnsi="Cambria"/>
                <w:color w:val="000000" w:themeColor="text1"/>
                <w:sz w:val="24"/>
                <w:szCs w:val="24"/>
              </w:rPr>
              <w:t>17</w:t>
            </w:r>
            <w:r w:rsidRPr="00687B52">
              <w:rPr>
                <w:rFonts w:ascii="Cambria" w:hAnsi="Cambria"/>
                <w:color w:val="000000" w:themeColor="text1"/>
                <w:sz w:val="24"/>
                <w:szCs w:val="24"/>
              </w:rPr>
              <w:t>条</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《生产安全事故应急预案管理办法》第</w:t>
            </w:r>
            <w:r w:rsidRPr="00687B52">
              <w:rPr>
                <w:rFonts w:ascii="Cambria" w:hAnsi="Cambria"/>
                <w:color w:val="000000" w:themeColor="text1"/>
                <w:sz w:val="24"/>
                <w:szCs w:val="24"/>
              </w:rPr>
              <w:t>13</w:t>
            </w:r>
            <w:r w:rsidRPr="00687B52">
              <w:rPr>
                <w:rFonts w:ascii="Cambria" w:hAnsi="Cambria"/>
                <w:color w:val="000000" w:themeColor="text1"/>
                <w:sz w:val="24"/>
                <w:szCs w:val="24"/>
              </w:rPr>
              <w:t>条</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w:t>
            </w:r>
            <w:r w:rsidRPr="00687B52">
              <w:rPr>
                <w:rFonts w:ascii="Cambria" w:hAnsi="Cambria" w:hint="eastAsia"/>
                <w:color w:val="000000" w:themeColor="text1"/>
                <w:sz w:val="24"/>
                <w:szCs w:val="24"/>
              </w:rPr>
              <w:t>生产经营单位生产安全事故应急预案编制导则</w:t>
            </w:r>
            <w:r w:rsidRPr="00687B52">
              <w:rPr>
                <w:rFonts w:ascii="Cambria" w:hAnsi="Cambria"/>
                <w:color w:val="000000" w:themeColor="text1"/>
                <w:sz w:val="24"/>
                <w:szCs w:val="24"/>
              </w:rPr>
              <w:t>》</w:t>
            </w:r>
            <w:r w:rsidRPr="00687B52">
              <w:rPr>
                <w:rFonts w:ascii="Cambria" w:hAnsi="Cambria" w:hint="eastAsia"/>
                <w:color w:val="000000" w:themeColor="text1"/>
                <w:sz w:val="24"/>
                <w:szCs w:val="24"/>
              </w:rPr>
              <w:t>GBT 29639-2013</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9.3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企业应按照应急救援预案定期组织演练，并保留演练记录。并对演练效果进行评估，根据评估结果修订预案。</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《生产安全事故应急预案管理办法》（安监总局令第</w:t>
            </w:r>
            <w:r w:rsidRPr="00687B52">
              <w:rPr>
                <w:rFonts w:ascii="Cambria" w:hAnsi="Cambria"/>
                <w:color w:val="000000" w:themeColor="text1"/>
                <w:sz w:val="24"/>
                <w:szCs w:val="24"/>
              </w:rPr>
              <w:t>17</w:t>
            </w:r>
            <w:r w:rsidRPr="00687B52">
              <w:rPr>
                <w:rFonts w:ascii="Cambria" w:hAnsi="Cambria"/>
                <w:color w:val="000000" w:themeColor="text1"/>
                <w:sz w:val="24"/>
                <w:szCs w:val="24"/>
              </w:rPr>
              <w:t>号）</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9.4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预案至少每三年修订一次，下列情形之一的，应及时修订：</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color w:val="000000" w:themeColor="text1"/>
                <w:sz w:val="24"/>
                <w:szCs w:val="24"/>
              </w:rPr>
              <w:t>）生产经营单位因兼并、重组、转制等导致隶属关系、经营方式、法定代表人发生变化的；</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color w:val="000000" w:themeColor="text1"/>
                <w:sz w:val="24"/>
                <w:szCs w:val="24"/>
              </w:rPr>
              <w:t>）生产经营单位生产工艺和技术发生变化的；</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3</w:t>
            </w:r>
            <w:r w:rsidRPr="00687B52">
              <w:rPr>
                <w:rFonts w:ascii="Cambria" w:hAnsi="Cambria"/>
                <w:color w:val="000000" w:themeColor="text1"/>
                <w:sz w:val="24"/>
                <w:szCs w:val="24"/>
              </w:rPr>
              <w:t>）周围环境发生变化，形成新的重大危险源的；</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4</w:t>
            </w:r>
            <w:r w:rsidRPr="00687B52">
              <w:rPr>
                <w:rFonts w:ascii="Cambria" w:hAnsi="Cambria"/>
                <w:color w:val="000000" w:themeColor="text1"/>
                <w:sz w:val="24"/>
                <w:szCs w:val="24"/>
              </w:rPr>
              <w:t>）应急组织指挥体系或者职责已经调整的；</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5</w:t>
            </w:r>
            <w:r w:rsidRPr="00687B52">
              <w:rPr>
                <w:rFonts w:ascii="Cambria" w:hAnsi="Cambria"/>
                <w:color w:val="000000" w:themeColor="text1"/>
                <w:sz w:val="24"/>
                <w:szCs w:val="24"/>
              </w:rPr>
              <w:t>）依据的法律、法规、规章和标准发生变化的；</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6</w:t>
            </w:r>
            <w:r w:rsidRPr="00687B52">
              <w:rPr>
                <w:rFonts w:ascii="Cambria" w:hAnsi="Cambria"/>
                <w:color w:val="000000" w:themeColor="text1"/>
                <w:sz w:val="24"/>
                <w:szCs w:val="24"/>
              </w:rPr>
              <w:t>）应急预案演练评估报告要求修订的；</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7</w:t>
            </w:r>
            <w:r w:rsidRPr="00687B52">
              <w:rPr>
                <w:rFonts w:ascii="Cambria" w:hAnsi="Cambria"/>
                <w:color w:val="000000" w:themeColor="text1"/>
                <w:sz w:val="24"/>
                <w:szCs w:val="24"/>
              </w:rPr>
              <w:t>）应急预案管理部门要求修订的。</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《生产安全事故应急预案管理办法》第</w:t>
            </w:r>
            <w:r w:rsidRPr="00687B52">
              <w:rPr>
                <w:rFonts w:ascii="Cambria" w:hAnsi="Cambria"/>
                <w:color w:val="000000" w:themeColor="text1"/>
                <w:sz w:val="24"/>
                <w:szCs w:val="24"/>
              </w:rPr>
              <w:t>35</w:t>
            </w:r>
            <w:r w:rsidRPr="00687B52">
              <w:rPr>
                <w:rFonts w:ascii="Cambria" w:hAnsi="Cambria"/>
                <w:color w:val="000000" w:themeColor="text1"/>
                <w:sz w:val="24"/>
                <w:szCs w:val="24"/>
              </w:rPr>
              <w:t>、</w:t>
            </w:r>
            <w:r w:rsidRPr="00687B52">
              <w:rPr>
                <w:rFonts w:ascii="Cambria" w:hAnsi="Cambria"/>
                <w:color w:val="000000" w:themeColor="text1"/>
                <w:sz w:val="24"/>
                <w:szCs w:val="24"/>
              </w:rPr>
              <w:t>36</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9.5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企业应配备必要的应急救援器材、设备，并建立应急救援器材台账，有专人进行经常性维护、保养并记录，保证其处于完好状态。</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《安全生产法》第</w:t>
            </w:r>
            <w:r w:rsidRPr="00687B52">
              <w:rPr>
                <w:rFonts w:ascii="Cambria" w:hAnsi="Cambria"/>
                <w:color w:val="000000" w:themeColor="text1"/>
                <w:sz w:val="24"/>
                <w:szCs w:val="24"/>
              </w:rPr>
              <w:t>69</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9.6</w:t>
            </w:r>
          </w:p>
        </w:tc>
        <w:tc>
          <w:tcPr>
            <w:tcW w:w="2101" w:type="pct"/>
            <w:vAlign w:val="center"/>
          </w:tcPr>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发生生产安全事故后，事故现场有关人员应当立即报告本单位负责人。单位负责人接到事故报告后，</w:t>
            </w:r>
            <w:r w:rsidRPr="00687B52">
              <w:rPr>
                <w:rFonts w:ascii="Cambria" w:hAnsi="Cambria"/>
                <w:color w:val="000000" w:themeColor="text1"/>
                <w:sz w:val="24"/>
                <w:szCs w:val="24"/>
              </w:rPr>
              <w:t>应当于</w:t>
            </w:r>
            <w:r w:rsidRPr="00687B52">
              <w:rPr>
                <w:rFonts w:ascii="Cambria" w:hAnsi="Cambria"/>
                <w:color w:val="000000" w:themeColor="text1"/>
                <w:sz w:val="24"/>
                <w:szCs w:val="24"/>
              </w:rPr>
              <w:t>1</w:t>
            </w:r>
            <w:r w:rsidRPr="00687B52">
              <w:rPr>
                <w:rFonts w:ascii="Cambria" w:hAnsi="Cambria"/>
                <w:color w:val="000000" w:themeColor="text1"/>
                <w:sz w:val="24"/>
                <w:szCs w:val="24"/>
              </w:rPr>
              <w:t>小时内向事故发生地有关部门报告。</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《安全生产法》第</w:t>
            </w:r>
            <w:r w:rsidRPr="00687B52">
              <w:rPr>
                <w:rFonts w:ascii="Cambria" w:hAnsi="Cambria"/>
                <w:color w:val="000000" w:themeColor="text1"/>
                <w:sz w:val="24"/>
                <w:szCs w:val="24"/>
              </w:rPr>
              <w:t>80</w:t>
            </w:r>
            <w:r w:rsidRPr="00687B52">
              <w:rPr>
                <w:rFonts w:ascii="Cambria" w:hAnsi="Cambria"/>
                <w:color w:val="000000" w:themeColor="text1"/>
                <w:sz w:val="24"/>
                <w:szCs w:val="24"/>
              </w:rPr>
              <w:t>条、《生产安全事故报告和调查处理条例》第</w:t>
            </w:r>
            <w:r w:rsidRPr="00687B52">
              <w:rPr>
                <w:rFonts w:ascii="Cambria" w:hAnsi="Cambria"/>
                <w:color w:val="000000" w:themeColor="text1"/>
                <w:sz w:val="24"/>
                <w:szCs w:val="24"/>
              </w:rPr>
              <w:t>9</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9.7</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企业应建立事故档案和事故管理台账</w:t>
            </w:r>
            <w:r w:rsidRPr="00687B52">
              <w:rPr>
                <w:rFonts w:ascii="Cambria" w:hAnsi="Cambria" w:hint="eastAsia"/>
                <w:color w:val="000000" w:themeColor="text1"/>
                <w:sz w:val="24"/>
                <w:szCs w:val="24"/>
              </w:rPr>
              <w:t>，将承包商、供应商等相关方在企业内部发生的事故纳入本企业事故管理。</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w:t>
            </w:r>
            <w:r w:rsidRPr="00687B52">
              <w:rPr>
                <w:rFonts w:ascii="Cambria" w:hAnsi="Cambria" w:hint="eastAsia"/>
                <w:color w:val="000000" w:themeColor="text1"/>
                <w:sz w:val="24"/>
                <w:szCs w:val="24"/>
              </w:rPr>
              <w:t>企业安全生产标准化基本</w:t>
            </w:r>
            <w:r w:rsidRPr="00687B52">
              <w:rPr>
                <w:rFonts w:ascii="Cambria" w:hAnsi="Cambria"/>
                <w:color w:val="000000" w:themeColor="text1"/>
                <w:sz w:val="24"/>
                <w:szCs w:val="24"/>
              </w:rPr>
              <w:t>规范》</w:t>
            </w:r>
            <w:r w:rsidRPr="00687B52">
              <w:rPr>
                <w:rFonts w:ascii="Cambria" w:hAnsi="Cambria" w:hint="eastAsia"/>
                <w:color w:val="000000" w:themeColor="text1"/>
                <w:sz w:val="24"/>
                <w:szCs w:val="24"/>
              </w:rPr>
              <w:t>GB/T-33000-</w:t>
            </w:r>
            <w:r w:rsidRPr="00687B52">
              <w:rPr>
                <w:rFonts w:ascii="Cambria" w:hAnsi="Cambria"/>
                <w:color w:val="000000" w:themeColor="text1"/>
                <w:sz w:val="24"/>
                <w:szCs w:val="24"/>
              </w:rPr>
              <w:t>20</w:t>
            </w:r>
            <w:r w:rsidRPr="00687B52">
              <w:rPr>
                <w:rFonts w:ascii="Cambria" w:hAnsi="Cambria" w:hint="eastAsia"/>
                <w:color w:val="000000" w:themeColor="text1"/>
                <w:sz w:val="24"/>
                <w:szCs w:val="24"/>
              </w:rPr>
              <w:t>16</w:t>
            </w:r>
            <w:r w:rsidRPr="00687B52">
              <w:rPr>
                <w:rFonts w:ascii="Cambria" w:hAnsi="Cambria"/>
                <w:color w:val="000000" w:themeColor="text1"/>
                <w:sz w:val="24"/>
                <w:szCs w:val="24"/>
              </w:rPr>
              <w:t>第</w:t>
            </w:r>
            <w:r w:rsidRPr="00687B52">
              <w:rPr>
                <w:rFonts w:ascii="Cambria" w:hAnsi="Cambria"/>
                <w:color w:val="000000" w:themeColor="text1"/>
                <w:sz w:val="24"/>
                <w:szCs w:val="24"/>
              </w:rPr>
              <w:t>5.</w:t>
            </w:r>
            <w:r w:rsidRPr="00687B52">
              <w:rPr>
                <w:rFonts w:ascii="Cambria" w:hAnsi="Cambria" w:hint="eastAsia"/>
                <w:color w:val="000000" w:themeColor="text1"/>
                <w:sz w:val="24"/>
                <w:szCs w:val="24"/>
              </w:rPr>
              <w:t>7.3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9032A" w:rsidP="00B527D4">
            <w:pPr>
              <w:jc w:val="center"/>
              <w:rPr>
                <w:rFonts w:ascii="Cambria" w:hAnsi="Cambria"/>
                <w:b/>
                <w:color w:val="000000" w:themeColor="text1"/>
                <w:sz w:val="24"/>
                <w:szCs w:val="24"/>
              </w:rPr>
            </w:pPr>
            <w:r w:rsidRPr="00687B52">
              <w:rPr>
                <w:rFonts w:ascii="Cambria" w:hAnsi="Cambria" w:hint="eastAsia"/>
                <w:b/>
                <w:color w:val="000000" w:themeColor="text1"/>
                <w:sz w:val="24"/>
                <w:szCs w:val="24"/>
              </w:rPr>
              <w:t>10</w:t>
            </w:r>
          </w:p>
        </w:tc>
        <w:tc>
          <w:tcPr>
            <w:tcW w:w="2101" w:type="pct"/>
            <w:vAlign w:val="center"/>
          </w:tcPr>
          <w:p w:rsidR="000E02C5" w:rsidRPr="00687B52" w:rsidRDefault="000E02C5" w:rsidP="00B527D4">
            <w:pPr>
              <w:rPr>
                <w:rFonts w:ascii="Cambria" w:hAnsi="Cambria"/>
                <w:b/>
                <w:color w:val="000000" w:themeColor="text1"/>
                <w:sz w:val="24"/>
                <w:szCs w:val="24"/>
              </w:rPr>
            </w:pPr>
            <w:r w:rsidRPr="00687B52">
              <w:rPr>
                <w:rFonts w:ascii="Cambria" w:hAnsi="Cambria"/>
                <w:b/>
                <w:color w:val="000000" w:themeColor="text1"/>
                <w:sz w:val="24"/>
                <w:szCs w:val="24"/>
              </w:rPr>
              <w:t>安全警示标识</w:t>
            </w:r>
          </w:p>
        </w:tc>
        <w:tc>
          <w:tcPr>
            <w:tcW w:w="1236" w:type="pct"/>
            <w:vAlign w:val="center"/>
          </w:tcPr>
          <w:p w:rsidR="000E02C5" w:rsidRPr="00687B52" w:rsidRDefault="000E02C5" w:rsidP="00B527D4">
            <w:pPr>
              <w:rPr>
                <w:rFonts w:ascii="Cambria" w:hAnsi="Cambria"/>
                <w:color w:val="000000" w:themeColor="text1"/>
                <w:sz w:val="24"/>
                <w:szCs w:val="24"/>
              </w:rPr>
            </w:pP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10.1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企业应在易燃、易爆、有毒有害等危险场所和有关设施、设备的醒目位置设置符合</w:t>
            </w:r>
            <w:r w:rsidRPr="00687B52">
              <w:rPr>
                <w:rFonts w:ascii="Cambria" w:hAnsi="Cambria"/>
                <w:color w:val="000000" w:themeColor="text1"/>
                <w:sz w:val="24"/>
                <w:szCs w:val="24"/>
              </w:rPr>
              <w:t>GB2894</w:t>
            </w:r>
            <w:r w:rsidRPr="00687B52">
              <w:rPr>
                <w:rFonts w:ascii="Cambria" w:hAnsi="Cambria"/>
                <w:color w:val="000000" w:themeColor="text1"/>
                <w:sz w:val="24"/>
                <w:szCs w:val="24"/>
              </w:rPr>
              <w:t>规定的安全警示标志。</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《安全生产法》第</w:t>
            </w:r>
            <w:r w:rsidRPr="00687B52">
              <w:rPr>
                <w:rFonts w:ascii="Cambria" w:hAnsi="Cambria"/>
                <w:color w:val="000000" w:themeColor="text1"/>
                <w:sz w:val="24"/>
                <w:szCs w:val="24"/>
              </w:rPr>
              <w:t>32</w:t>
            </w:r>
            <w:r w:rsidRPr="00687B52">
              <w:rPr>
                <w:rFonts w:ascii="Cambria" w:hAnsi="Cambria"/>
                <w:color w:val="000000" w:themeColor="text1"/>
                <w:sz w:val="24"/>
                <w:szCs w:val="24"/>
              </w:rPr>
              <w:t>条、《安全标志及其使用导则》</w:t>
            </w:r>
            <w:r w:rsidRPr="00687B52">
              <w:rPr>
                <w:rFonts w:ascii="Cambria" w:hAnsi="Cambria"/>
                <w:color w:val="000000" w:themeColor="text1"/>
                <w:sz w:val="24"/>
                <w:szCs w:val="24"/>
              </w:rPr>
              <w:t>GB2894-2008</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10.2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企业应在</w:t>
            </w:r>
            <w:r w:rsidRPr="00687B52">
              <w:rPr>
                <w:rFonts w:ascii="Cambria" w:hAnsi="Cambria" w:cs="宋体"/>
                <w:color w:val="000000" w:themeColor="text1"/>
                <w:kern w:val="0"/>
                <w:sz w:val="24"/>
                <w:szCs w:val="24"/>
              </w:rPr>
              <w:t>在重大危险源所在场所设置明显的安全警示标志，写明紧急情况下的应急处置办法。</w:t>
            </w:r>
          </w:p>
        </w:tc>
        <w:tc>
          <w:tcPr>
            <w:tcW w:w="1236" w:type="pct"/>
            <w:vAlign w:val="center"/>
          </w:tcPr>
          <w:p w:rsidR="000E02C5" w:rsidRPr="00687B52" w:rsidRDefault="000E02C5" w:rsidP="00B527D4">
            <w:pPr>
              <w:jc w:val="left"/>
              <w:rPr>
                <w:rFonts w:ascii="Cambria" w:hAnsi="Cambria"/>
                <w:color w:val="000000" w:themeColor="text1"/>
                <w:sz w:val="24"/>
                <w:szCs w:val="24"/>
              </w:rPr>
            </w:pPr>
            <w:r w:rsidRPr="00687B52">
              <w:rPr>
                <w:rFonts w:ascii="Cambria" w:hAnsi="Cambria"/>
                <w:color w:val="000000" w:themeColor="text1"/>
                <w:sz w:val="24"/>
                <w:szCs w:val="24"/>
              </w:rPr>
              <w:t>《危险化学品重大危险源监督管理暂行规定》第</w:t>
            </w:r>
            <w:r w:rsidRPr="00687B52">
              <w:rPr>
                <w:rFonts w:ascii="Cambria" w:hAnsi="Cambria"/>
                <w:color w:val="000000" w:themeColor="text1"/>
                <w:sz w:val="24"/>
                <w:szCs w:val="24"/>
              </w:rPr>
              <w:t>17</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10.</w:t>
            </w:r>
            <w:r w:rsidRPr="00687B52">
              <w:rPr>
                <w:rFonts w:ascii="Cambria" w:hAnsi="Cambria" w:hint="eastAsia"/>
                <w:color w:val="000000" w:themeColor="text1"/>
                <w:sz w:val="24"/>
                <w:szCs w:val="24"/>
              </w:rPr>
              <w:t>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企业应在检维修、施工、吊装等作业现场设置警戒区域和安全标志，在检修现场的坑、井、洼、沟、陡坡等场所设置围栏和警示灯。</w:t>
            </w:r>
          </w:p>
        </w:tc>
        <w:tc>
          <w:tcPr>
            <w:tcW w:w="1236" w:type="pct"/>
            <w:vAlign w:val="center"/>
          </w:tcPr>
          <w:p w:rsidR="000E02C5" w:rsidRPr="00687B52" w:rsidRDefault="000E02C5" w:rsidP="00B527D4">
            <w:pPr>
              <w:jc w:val="left"/>
              <w:rPr>
                <w:rFonts w:ascii="Cambria" w:hAnsi="Cambria"/>
                <w:color w:val="000000" w:themeColor="text1"/>
                <w:sz w:val="24"/>
                <w:szCs w:val="24"/>
              </w:rPr>
            </w:pPr>
            <w:r w:rsidRPr="00687B52">
              <w:rPr>
                <w:rFonts w:ascii="Cambria" w:hAnsi="Cambria"/>
                <w:color w:val="000000" w:themeColor="text1"/>
                <w:sz w:val="24"/>
                <w:szCs w:val="24"/>
              </w:rPr>
              <w:t>《</w:t>
            </w:r>
            <w:r w:rsidRPr="00687B52">
              <w:rPr>
                <w:rFonts w:ascii="Cambria" w:hAnsi="Cambria" w:hint="eastAsia"/>
                <w:color w:val="000000" w:themeColor="text1"/>
                <w:sz w:val="24"/>
                <w:szCs w:val="24"/>
              </w:rPr>
              <w:t>企业安全生产标准化基本</w:t>
            </w:r>
            <w:r w:rsidRPr="00687B52">
              <w:rPr>
                <w:rFonts w:ascii="Cambria" w:hAnsi="Cambria"/>
                <w:color w:val="000000" w:themeColor="text1"/>
                <w:sz w:val="24"/>
                <w:szCs w:val="24"/>
              </w:rPr>
              <w:t>规范》</w:t>
            </w:r>
            <w:r w:rsidRPr="00687B52">
              <w:rPr>
                <w:rFonts w:ascii="Cambria" w:hAnsi="Cambria" w:hint="eastAsia"/>
                <w:color w:val="000000" w:themeColor="text1"/>
                <w:sz w:val="24"/>
                <w:szCs w:val="24"/>
              </w:rPr>
              <w:t>GB/T-33000-</w:t>
            </w:r>
            <w:r w:rsidRPr="00687B52">
              <w:rPr>
                <w:rFonts w:ascii="Cambria" w:hAnsi="Cambria"/>
                <w:color w:val="000000" w:themeColor="text1"/>
                <w:sz w:val="24"/>
                <w:szCs w:val="24"/>
              </w:rPr>
              <w:t>20</w:t>
            </w:r>
            <w:r w:rsidRPr="00687B52">
              <w:rPr>
                <w:rFonts w:ascii="Cambria" w:hAnsi="Cambria" w:hint="eastAsia"/>
                <w:color w:val="000000" w:themeColor="text1"/>
                <w:sz w:val="24"/>
                <w:szCs w:val="24"/>
              </w:rPr>
              <w:t>16</w:t>
            </w:r>
            <w:r w:rsidRPr="00687B52">
              <w:rPr>
                <w:rFonts w:ascii="Cambria" w:hAnsi="Cambria"/>
                <w:color w:val="000000" w:themeColor="text1"/>
                <w:sz w:val="24"/>
                <w:szCs w:val="24"/>
              </w:rPr>
              <w:t>第</w:t>
            </w:r>
            <w:r w:rsidRPr="00687B52">
              <w:rPr>
                <w:rFonts w:ascii="Cambria" w:hAnsi="Cambria"/>
                <w:color w:val="000000" w:themeColor="text1"/>
                <w:sz w:val="24"/>
                <w:szCs w:val="24"/>
              </w:rPr>
              <w:t>5.</w:t>
            </w:r>
            <w:r w:rsidRPr="00687B52">
              <w:rPr>
                <w:rFonts w:ascii="Cambria" w:hAnsi="Cambria" w:hint="eastAsia"/>
                <w:color w:val="000000" w:themeColor="text1"/>
                <w:sz w:val="24"/>
                <w:szCs w:val="24"/>
              </w:rPr>
              <w:t>4.4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10.</w:t>
            </w:r>
            <w:r w:rsidRPr="00687B52">
              <w:rPr>
                <w:rFonts w:ascii="Cambria" w:hAnsi="Cambria" w:hint="eastAsia"/>
                <w:color w:val="000000" w:themeColor="text1"/>
                <w:sz w:val="24"/>
                <w:szCs w:val="24"/>
              </w:rPr>
              <w:t>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危险性作业场所应设置安全通道，应设安全照明、安全标志和疏散指示标志，门窗应向外开启，通道和出口应保持畅通，出入口的设置应符合有关规定。</w:t>
            </w:r>
          </w:p>
        </w:tc>
        <w:tc>
          <w:tcPr>
            <w:tcW w:w="1236" w:type="pct"/>
            <w:vAlign w:val="center"/>
          </w:tcPr>
          <w:p w:rsidR="000E02C5" w:rsidRPr="00687B52" w:rsidRDefault="000E02C5" w:rsidP="00B527D4">
            <w:pPr>
              <w:jc w:val="left"/>
              <w:rPr>
                <w:rFonts w:ascii="Cambria" w:hAnsi="Cambria"/>
                <w:color w:val="000000" w:themeColor="text1"/>
                <w:sz w:val="24"/>
                <w:szCs w:val="24"/>
              </w:rPr>
            </w:pPr>
            <w:r w:rsidRPr="00687B52">
              <w:rPr>
                <w:rFonts w:ascii="Cambria" w:hAnsi="Cambria"/>
                <w:color w:val="000000" w:themeColor="text1"/>
                <w:sz w:val="24"/>
                <w:szCs w:val="24"/>
              </w:rPr>
              <w:t>《生产过程安全卫生要求总则》</w:t>
            </w:r>
            <w:r w:rsidRPr="00687B52">
              <w:rPr>
                <w:rFonts w:ascii="Cambria" w:hAnsi="Cambria"/>
                <w:color w:val="000000" w:themeColor="text1"/>
                <w:sz w:val="24"/>
                <w:szCs w:val="24"/>
              </w:rPr>
              <w:t>GB/T12801-2008</w:t>
            </w:r>
            <w:r w:rsidRPr="00687B52">
              <w:rPr>
                <w:rFonts w:ascii="Cambria" w:hAnsi="Cambria"/>
                <w:color w:val="000000" w:themeColor="text1"/>
                <w:sz w:val="24"/>
                <w:szCs w:val="24"/>
              </w:rPr>
              <w:t>第</w:t>
            </w:r>
            <w:r w:rsidRPr="00687B52">
              <w:rPr>
                <w:rFonts w:ascii="Cambria" w:hAnsi="Cambria"/>
                <w:color w:val="000000" w:themeColor="text1"/>
                <w:sz w:val="24"/>
                <w:szCs w:val="24"/>
              </w:rPr>
              <w:t>5.4.6</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10.</w:t>
            </w:r>
            <w:r w:rsidRPr="00687B52">
              <w:rPr>
                <w:rFonts w:ascii="Cambria" w:hAnsi="Cambria" w:hint="eastAsia"/>
                <w:color w:val="000000" w:themeColor="text1"/>
                <w:sz w:val="24"/>
                <w:szCs w:val="24"/>
              </w:rPr>
              <w:t>5</w:t>
            </w:r>
          </w:p>
        </w:tc>
        <w:tc>
          <w:tcPr>
            <w:tcW w:w="2101" w:type="pct"/>
            <w:vAlign w:val="center"/>
          </w:tcPr>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消防安全标志应设在与消防安全有关的醒目的位置。标志的正面或其邻近不得有妨碍公共视读的障碍物。</w:t>
            </w:r>
          </w:p>
        </w:tc>
        <w:tc>
          <w:tcPr>
            <w:tcW w:w="1236" w:type="pct"/>
            <w:vAlign w:val="center"/>
          </w:tcPr>
          <w:p w:rsidR="000E02C5" w:rsidRPr="00687B52" w:rsidRDefault="000E02C5" w:rsidP="00B527D4">
            <w:pPr>
              <w:jc w:val="left"/>
              <w:rPr>
                <w:rFonts w:ascii="Cambria" w:hAnsi="Cambria"/>
                <w:color w:val="000000" w:themeColor="text1"/>
                <w:sz w:val="24"/>
                <w:szCs w:val="24"/>
              </w:rPr>
            </w:pPr>
            <w:r w:rsidRPr="00687B52">
              <w:rPr>
                <w:rFonts w:ascii="Cambria" w:hAnsi="Cambria"/>
                <w:color w:val="000000" w:themeColor="text1"/>
                <w:kern w:val="0"/>
                <w:sz w:val="24"/>
                <w:szCs w:val="24"/>
              </w:rPr>
              <w:t>《消防安全标志设置要求》</w:t>
            </w:r>
            <w:r w:rsidRPr="00687B52">
              <w:rPr>
                <w:rFonts w:ascii="Cambria" w:hAnsi="Cambria"/>
                <w:color w:val="000000" w:themeColor="text1"/>
                <w:kern w:val="0"/>
                <w:sz w:val="24"/>
                <w:szCs w:val="24"/>
              </w:rPr>
              <w:t>GB15630-1995</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9032A" w:rsidP="00B527D4">
            <w:pPr>
              <w:jc w:val="center"/>
              <w:rPr>
                <w:rFonts w:ascii="Cambria" w:hAnsi="Cambria"/>
                <w:b/>
                <w:color w:val="000000" w:themeColor="text1"/>
                <w:sz w:val="24"/>
                <w:szCs w:val="24"/>
              </w:rPr>
            </w:pPr>
            <w:r w:rsidRPr="00687B52">
              <w:rPr>
                <w:rFonts w:ascii="Cambria" w:hAnsi="Cambria" w:hint="eastAsia"/>
                <w:b/>
                <w:color w:val="000000" w:themeColor="text1"/>
                <w:sz w:val="24"/>
                <w:szCs w:val="24"/>
              </w:rPr>
              <w:t>11</w:t>
            </w:r>
          </w:p>
        </w:tc>
        <w:tc>
          <w:tcPr>
            <w:tcW w:w="2101" w:type="pct"/>
            <w:vAlign w:val="center"/>
          </w:tcPr>
          <w:p w:rsidR="000E02C5" w:rsidRPr="00687B52" w:rsidRDefault="000E02C5" w:rsidP="00B527D4">
            <w:pPr>
              <w:rPr>
                <w:rFonts w:ascii="Cambria" w:hAnsi="Cambria"/>
                <w:b/>
                <w:color w:val="000000" w:themeColor="text1"/>
                <w:sz w:val="24"/>
                <w:szCs w:val="24"/>
              </w:rPr>
            </w:pPr>
            <w:r w:rsidRPr="00687B52">
              <w:rPr>
                <w:rFonts w:ascii="Cambria" w:hAnsi="Cambria"/>
                <w:b/>
                <w:color w:val="000000" w:themeColor="text1"/>
                <w:sz w:val="24"/>
                <w:szCs w:val="24"/>
              </w:rPr>
              <w:t>作业场所</w:t>
            </w:r>
          </w:p>
        </w:tc>
        <w:tc>
          <w:tcPr>
            <w:tcW w:w="1236" w:type="pct"/>
            <w:vAlign w:val="center"/>
          </w:tcPr>
          <w:p w:rsidR="000E02C5" w:rsidRPr="00687B52" w:rsidRDefault="000E02C5" w:rsidP="00B527D4">
            <w:pPr>
              <w:rPr>
                <w:rFonts w:ascii="Cambria" w:hAnsi="Cambria"/>
                <w:color w:val="000000" w:themeColor="text1"/>
                <w:sz w:val="24"/>
                <w:szCs w:val="24"/>
                <w:shd w:val="clear" w:color="auto" w:fill="FFFFFF"/>
              </w:rPr>
            </w:pP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1.1</w:t>
            </w:r>
          </w:p>
        </w:tc>
        <w:tc>
          <w:tcPr>
            <w:tcW w:w="2101" w:type="pct"/>
            <w:vAlign w:val="center"/>
          </w:tcPr>
          <w:p w:rsidR="000E02C5" w:rsidRPr="00687B52" w:rsidRDefault="000E02C5" w:rsidP="00B527D4">
            <w:pPr>
              <w:rPr>
                <w:rFonts w:ascii="Cambria" w:hAnsi="Cambria"/>
                <w:color w:val="000000" w:themeColor="text1"/>
                <w:sz w:val="24"/>
                <w:szCs w:val="24"/>
                <w:shd w:val="clear" w:color="auto" w:fill="FFFFFF"/>
              </w:rPr>
            </w:pPr>
            <w:r w:rsidRPr="00687B52">
              <w:rPr>
                <w:rFonts w:ascii="Cambria" w:hAnsi="Cambria"/>
                <w:color w:val="000000" w:themeColor="text1"/>
                <w:sz w:val="24"/>
                <w:szCs w:val="24"/>
              </w:rPr>
              <w:t>冲洗设备包括洗眼器、淋洗器等安全防护措施，其服务半径小于</w:t>
            </w:r>
            <w:r w:rsidRPr="00687B52">
              <w:rPr>
                <w:rFonts w:ascii="Cambria" w:hAnsi="Cambria"/>
                <w:color w:val="000000" w:themeColor="text1"/>
                <w:sz w:val="24"/>
                <w:szCs w:val="24"/>
              </w:rPr>
              <w:t>15m</w:t>
            </w:r>
            <w:r w:rsidRPr="00687B52">
              <w:rPr>
                <w:rFonts w:ascii="Cambria" w:hAnsi="Cambr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w:t>
            </w:r>
            <w:hyperlink r:id="rId111" w:tgtFrame="_blank" w:history="1">
              <w:r w:rsidRPr="00687B52">
                <w:rPr>
                  <w:rFonts w:ascii="Cambria" w:hAnsi="Cambria"/>
                  <w:color w:val="000000" w:themeColor="text1"/>
                  <w:sz w:val="24"/>
                  <w:szCs w:val="24"/>
                </w:rPr>
                <w:t>化工企业安全卫生设计规范</w:t>
              </w:r>
            </w:hyperlink>
            <w:r w:rsidRPr="00687B52">
              <w:rPr>
                <w:rFonts w:ascii="Cambria" w:hAnsi="Cambria"/>
                <w:color w:val="000000" w:themeColor="text1"/>
                <w:sz w:val="24"/>
                <w:szCs w:val="24"/>
              </w:rPr>
              <w:t>》</w:t>
            </w:r>
            <w:r w:rsidRPr="00687B52">
              <w:rPr>
                <w:rFonts w:ascii="Cambria" w:hAnsi="Cambria"/>
                <w:color w:val="000000" w:themeColor="text1"/>
                <w:sz w:val="24"/>
                <w:szCs w:val="24"/>
              </w:rPr>
              <w:t>HG20571-2014</w:t>
            </w:r>
            <w:r w:rsidRPr="00687B52">
              <w:rPr>
                <w:rFonts w:ascii="Cambria" w:hAnsi="Cambria"/>
                <w:color w:val="000000" w:themeColor="text1"/>
                <w:sz w:val="24"/>
                <w:szCs w:val="24"/>
              </w:rPr>
              <w:t>第</w:t>
            </w:r>
            <w:r w:rsidRPr="00687B52">
              <w:rPr>
                <w:rFonts w:ascii="Cambria" w:hAnsi="Cambria"/>
                <w:color w:val="000000" w:themeColor="text1"/>
                <w:sz w:val="24"/>
                <w:szCs w:val="24"/>
              </w:rPr>
              <w:t>5.1.6</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涉及具有化学灼伤危害物质的生产过程时，应合理选择流程、设备和管道结构及材料，防止物料外泄或喷溅。</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《化工企业安全卫生设计规范》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HG20571-2014</w:t>
            </w:r>
            <w:r w:rsidRPr="00687B52">
              <w:rPr>
                <w:rFonts w:ascii="Cambria" w:hAnsi="Cambria"/>
                <w:color w:val="000000" w:themeColor="text1"/>
                <w:sz w:val="24"/>
                <w:szCs w:val="24"/>
              </w:rPr>
              <w:t>第</w:t>
            </w:r>
            <w:r w:rsidRPr="00687B52">
              <w:rPr>
                <w:rFonts w:ascii="Cambria" w:hAnsi="Cambria"/>
                <w:color w:val="000000" w:themeColor="text1"/>
                <w:sz w:val="24"/>
                <w:szCs w:val="24"/>
              </w:rPr>
              <w:t>5.6.1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具有化学灼伤危害作业应尽量采用机械化、管道化和自动化，并安装必要的信号报警、安全联锁和保险装置，禁止使用玻璃管道、管件、阀门、流量计、压力计等仪表。</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《化工企业安全卫生设计规范》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HG20571-2014</w:t>
            </w:r>
            <w:r w:rsidRPr="00687B52">
              <w:rPr>
                <w:rFonts w:ascii="Cambria" w:hAnsi="Cambria"/>
                <w:color w:val="000000" w:themeColor="text1"/>
                <w:sz w:val="24"/>
                <w:szCs w:val="24"/>
              </w:rPr>
              <w:t>第</w:t>
            </w:r>
            <w:r w:rsidRPr="00687B52">
              <w:rPr>
                <w:rFonts w:ascii="Cambria" w:hAnsi="Cambria"/>
                <w:color w:val="000000" w:themeColor="text1"/>
                <w:sz w:val="24"/>
                <w:szCs w:val="24"/>
              </w:rPr>
              <w:t>5.6.2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hint="eastAsia"/>
                <w:color w:val="000000" w:themeColor="text1"/>
                <w:sz w:val="24"/>
                <w:szCs w:val="24"/>
              </w:rPr>
              <w:t>11.4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具有化学灼伤危险的生产装置，其设备布置应保证作业场所有足够空间，并保证作业场所畅通，危险作业点装设防护措施。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《化工企业安全卫生设计规范》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HG20571-2014</w:t>
            </w:r>
            <w:r w:rsidRPr="00687B52">
              <w:rPr>
                <w:rFonts w:ascii="Cambria" w:hAnsi="Cambria"/>
                <w:color w:val="000000" w:themeColor="text1"/>
                <w:sz w:val="24"/>
                <w:szCs w:val="24"/>
              </w:rPr>
              <w:t>第</w:t>
            </w:r>
            <w:r w:rsidRPr="00687B52">
              <w:rPr>
                <w:rFonts w:ascii="Cambria" w:hAnsi="Cambria"/>
                <w:color w:val="000000" w:themeColor="text1"/>
                <w:sz w:val="24"/>
                <w:szCs w:val="24"/>
              </w:rPr>
              <w:t>5.6.3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w:t>
            </w:r>
            <w:r w:rsidRPr="00687B52">
              <w:rPr>
                <w:rFonts w:ascii="Cambria" w:hAnsi="Cambria" w:hint="eastAsia"/>
                <w:color w:val="000000" w:themeColor="text1"/>
                <w:sz w:val="24"/>
                <w:szCs w:val="24"/>
              </w:rPr>
              <w:t>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在可能突然泄漏或者逸出大量有害物质的密闭或者半密闭工作场所，应安装事故通风装置以及与事故排风系统相连锁的泄漏报警装置。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《工作场所职业卫生监督管理规定》第</w:t>
            </w:r>
            <w:r w:rsidRPr="00687B52">
              <w:rPr>
                <w:rFonts w:ascii="Cambria" w:hAnsi="Cambria"/>
                <w:color w:val="000000" w:themeColor="text1"/>
                <w:sz w:val="24"/>
                <w:szCs w:val="24"/>
              </w:rPr>
              <w:t>17</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w:t>
            </w:r>
            <w:r w:rsidRPr="00687B52">
              <w:rPr>
                <w:rFonts w:ascii="Cambria" w:hAnsi="Cambria" w:hint="eastAsia"/>
                <w:color w:val="000000" w:themeColor="text1"/>
                <w:sz w:val="24"/>
                <w:szCs w:val="24"/>
              </w:rPr>
              <w:t>6</w:t>
            </w:r>
          </w:p>
        </w:tc>
        <w:tc>
          <w:tcPr>
            <w:tcW w:w="2101" w:type="pct"/>
            <w:vAlign w:val="center"/>
          </w:tcPr>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生产、经营、储存、使用危险物品的车间、商店、仓库不得与员工宿舍在同一座建筑物内，并应当与员工宿舍保持安全距离。禁止锁闭、封堵生产经营场所或者员工宿舍的出口。</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《安全生产法》第</w:t>
            </w:r>
            <w:r w:rsidRPr="00687B52">
              <w:rPr>
                <w:rFonts w:ascii="Cambria" w:hAnsi="Cambria"/>
                <w:color w:val="000000" w:themeColor="text1"/>
                <w:sz w:val="24"/>
                <w:szCs w:val="24"/>
              </w:rPr>
              <w:t>39</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w:t>
            </w:r>
            <w:r w:rsidRPr="00687B52">
              <w:rPr>
                <w:rFonts w:ascii="Cambria" w:hAnsi="Cambria" w:hint="eastAsia"/>
                <w:color w:val="000000" w:themeColor="text1"/>
                <w:sz w:val="24"/>
                <w:szCs w:val="24"/>
              </w:rPr>
              <w:t>7</w:t>
            </w:r>
          </w:p>
        </w:tc>
        <w:tc>
          <w:tcPr>
            <w:tcW w:w="2101" w:type="pct"/>
            <w:vAlign w:val="center"/>
          </w:tcPr>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产生大量热的封闭厂房应充分利用自然通风降温，必要时可以设计排风送风降温设施，排、送风降温系统可与尘毒排风系统联合设计。高温作业点可以采用局部通风降温措施。</w:t>
            </w:r>
          </w:p>
        </w:tc>
        <w:tc>
          <w:tcPr>
            <w:tcW w:w="1236" w:type="pct"/>
            <w:vAlign w:val="center"/>
          </w:tcPr>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《化工企业安全卫生设计规范》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kern w:val="0"/>
                <w:sz w:val="24"/>
                <w:szCs w:val="24"/>
              </w:rPr>
              <w:t>HG20571-2014</w:t>
            </w:r>
            <w:r w:rsidRPr="00687B52">
              <w:rPr>
                <w:rFonts w:ascii="Cambria" w:hAnsi="Cambria"/>
                <w:color w:val="000000" w:themeColor="text1"/>
                <w:kern w:val="0"/>
                <w:sz w:val="24"/>
                <w:szCs w:val="24"/>
              </w:rPr>
              <w:t>第</w:t>
            </w:r>
            <w:r w:rsidRPr="00687B52">
              <w:rPr>
                <w:rFonts w:ascii="Cambria" w:hAnsi="Cambria"/>
                <w:color w:val="000000" w:themeColor="text1"/>
                <w:kern w:val="0"/>
                <w:sz w:val="24"/>
                <w:szCs w:val="24"/>
              </w:rPr>
              <w:t>5.2.3</w:t>
            </w:r>
            <w:r w:rsidRPr="00687B52">
              <w:rPr>
                <w:rFonts w:ascii="Cambria" w:hAnsi="Cambria"/>
                <w:color w:val="000000" w:themeColor="text1"/>
                <w:kern w:val="0"/>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w:t>
            </w:r>
            <w:r w:rsidRPr="00687B52">
              <w:rPr>
                <w:rFonts w:ascii="Cambria" w:hAnsi="Cambria" w:hint="eastAsia"/>
                <w:color w:val="000000" w:themeColor="text1"/>
                <w:sz w:val="24"/>
                <w:szCs w:val="24"/>
              </w:rPr>
              <w:t>8</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爆炸危险场所必须有良好的通风设施，以防止有爆炸危险气体的积聚。生产装置尽可能采用露天、半露天布置，布置在室内应有足够的通风量；通排风设施应根据气体比重确定位置；对局部易泄漏部位应设置局部符合防爆要求的机械排风设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《爆炸危险场所安全规定》</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第</w:t>
            </w:r>
            <w:r w:rsidRPr="00687B52">
              <w:rPr>
                <w:rFonts w:ascii="Cambria" w:hAnsi="Cambria"/>
                <w:color w:val="000000" w:themeColor="text1"/>
                <w:sz w:val="24"/>
                <w:szCs w:val="24"/>
              </w:rPr>
              <w:t>16</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w:t>
            </w:r>
            <w:r w:rsidRPr="00687B52">
              <w:rPr>
                <w:rFonts w:ascii="Cambria" w:hAnsi="Cambria" w:hint="eastAsia"/>
                <w:color w:val="000000" w:themeColor="text1"/>
                <w:sz w:val="24"/>
                <w:szCs w:val="24"/>
              </w:rPr>
              <w:t>9</w:t>
            </w:r>
          </w:p>
        </w:tc>
        <w:tc>
          <w:tcPr>
            <w:tcW w:w="2101" w:type="pct"/>
            <w:vAlign w:val="center"/>
          </w:tcPr>
          <w:p w:rsidR="000E02C5" w:rsidRPr="00687B52" w:rsidRDefault="000E02C5" w:rsidP="00845860">
            <w:pPr>
              <w:jc w:val="left"/>
              <w:rPr>
                <w:rFonts w:ascii="Cambria" w:hAnsi="Cambria"/>
                <w:color w:val="000000" w:themeColor="text1"/>
                <w:kern w:val="0"/>
                <w:sz w:val="24"/>
                <w:szCs w:val="24"/>
              </w:rPr>
            </w:pPr>
            <w:r w:rsidRPr="00687B52">
              <w:rPr>
                <w:rFonts w:ascii="Cambria" w:hAnsi="Cambria"/>
                <w:color w:val="000000" w:themeColor="text1"/>
                <w:kern w:val="0"/>
                <w:sz w:val="24"/>
                <w:szCs w:val="24"/>
              </w:rPr>
              <w:t>用人单位应结合劳动者作业方式和工作条件，并考虑其个人特点及劳动强度，选择防护功能和效果适用的劳动防护用品。</w:t>
            </w:r>
            <w:r w:rsidRPr="00687B52">
              <w:rPr>
                <w:rFonts w:ascii="Cambria" w:hAnsi="Cambria"/>
                <w:color w:val="000000" w:themeColor="text1"/>
                <w:sz w:val="24"/>
                <w:szCs w:val="24"/>
              </w:rPr>
              <w:t>个体防护装备选用</w:t>
            </w:r>
            <w:r w:rsidR="00845860" w:rsidRPr="00687B52">
              <w:rPr>
                <w:rFonts w:ascii="Cambria" w:hAnsi="Cambria" w:hint="eastAsia"/>
                <w:color w:val="000000" w:themeColor="text1"/>
                <w:sz w:val="24"/>
                <w:szCs w:val="24"/>
              </w:rPr>
              <w:t>应符合</w:t>
            </w:r>
            <w:r w:rsidR="00845860" w:rsidRPr="00687B52">
              <w:rPr>
                <w:rFonts w:ascii="Cambria" w:hAnsi="Cambria"/>
                <w:color w:val="000000" w:themeColor="text1"/>
                <w:sz w:val="24"/>
                <w:szCs w:val="24"/>
              </w:rPr>
              <w:t>GB/T11651-2008</w:t>
            </w:r>
            <w:r w:rsidR="00845860" w:rsidRPr="00687B52">
              <w:rPr>
                <w:rFonts w:ascii="Cambria" w:hAnsi="Cambria" w:hint="eastAsia"/>
                <w:color w:val="000000" w:themeColor="text1"/>
                <w:sz w:val="24"/>
                <w:szCs w:val="24"/>
              </w:rPr>
              <w:t>的要求</w:t>
            </w:r>
            <w:r w:rsidRPr="00687B52">
              <w:rPr>
                <w:rFonts w:ascii="Cambria" w:hAnsi="Cambria"/>
                <w:color w:val="000000" w:themeColor="text1"/>
                <w:sz w:val="24"/>
                <w:szCs w:val="24"/>
              </w:rPr>
              <w:t>。</w:t>
            </w:r>
          </w:p>
        </w:tc>
        <w:tc>
          <w:tcPr>
            <w:tcW w:w="1236" w:type="pct"/>
            <w:vAlign w:val="center"/>
          </w:tcPr>
          <w:p w:rsidR="000E02C5" w:rsidRPr="00687B52" w:rsidRDefault="000E02C5" w:rsidP="00845860">
            <w:pPr>
              <w:jc w:val="left"/>
              <w:rPr>
                <w:rFonts w:ascii="Cambria" w:hAnsi="Cambria"/>
                <w:color w:val="000000" w:themeColor="text1"/>
                <w:sz w:val="24"/>
                <w:szCs w:val="24"/>
              </w:rPr>
            </w:pPr>
            <w:r w:rsidRPr="00687B52">
              <w:rPr>
                <w:rFonts w:ascii="Cambria" w:hAnsi="Cambria"/>
                <w:color w:val="000000" w:themeColor="text1"/>
                <w:sz w:val="24"/>
                <w:szCs w:val="24"/>
              </w:rPr>
              <w:t>《用人单位劳动防护用品管理规范》第</w:t>
            </w:r>
            <w:r w:rsidRPr="00687B52">
              <w:rPr>
                <w:rFonts w:ascii="Cambria" w:hAnsi="Cambria"/>
                <w:color w:val="000000" w:themeColor="text1"/>
                <w:sz w:val="24"/>
                <w:szCs w:val="24"/>
              </w:rPr>
              <w:t>14</w:t>
            </w:r>
            <w:r w:rsidRPr="00687B52">
              <w:rPr>
                <w:rFonts w:ascii="Cambria" w:hAnsi="Cambria"/>
                <w:color w:val="000000" w:themeColor="text1"/>
                <w:sz w:val="24"/>
                <w:szCs w:val="24"/>
              </w:rPr>
              <w:t>条、《个体防护装备选用规范》</w:t>
            </w:r>
            <w:r w:rsidRPr="00687B52">
              <w:rPr>
                <w:rFonts w:ascii="Cambria" w:hAnsi="Cambria"/>
                <w:color w:val="000000" w:themeColor="text1"/>
                <w:sz w:val="24"/>
                <w:szCs w:val="24"/>
              </w:rPr>
              <w:t>GB/T11651-2008</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.1</w:t>
            </w:r>
            <w:r w:rsidRPr="00687B52">
              <w:rPr>
                <w:rFonts w:ascii="Cambria" w:hAnsi="Cambria" w:hint="eastAsia"/>
                <w:color w:val="000000" w:themeColor="text1"/>
                <w:sz w:val="24"/>
                <w:szCs w:val="24"/>
              </w:rPr>
              <w:t>0</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用人单位应当在可能发生急性职业损伤的有毒、有害工作场所配备应急劳动防护用品，放置于现场临近位置并有醒目标识。</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《用人单位劳动防护用品管理规范》第</w:t>
            </w:r>
            <w:r w:rsidRPr="00687B52">
              <w:rPr>
                <w:rFonts w:ascii="Cambria" w:hAnsi="Cambria"/>
                <w:color w:val="000000" w:themeColor="text1"/>
                <w:sz w:val="24"/>
                <w:szCs w:val="24"/>
              </w:rPr>
              <w:t xml:space="preserve"> 14 </w:t>
            </w:r>
            <w:r w:rsidRPr="00687B52">
              <w:rPr>
                <w:rFonts w:ascii="Cambria" w:hAnsi="Cambria"/>
                <w:color w:val="000000" w:themeColor="text1"/>
                <w:sz w:val="24"/>
                <w:szCs w:val="24"/>
              </w:rPr>
              <w:t>条、《个体防护装备选用规范》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GB/T11651-2008</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p>
        </w:tc>
        <w:tc>
          <w:tcPr>
            <w:tcW w:w="2101" w:type="pct"/>
            <w:vAlign w:val="center"/>
          </w:tcPr>
          <w:p w:rsidR="000E02C5" w:rsidRPr="00687B52" w:rsidRDefault="000E02C5" w:rsidP="00B527D4">
            <w:pPr>
              <w:rPr>
                <w:rFonts w:ascii="Cambria" w:hAnsi="Cambria" w:cs="宋体"/>
                <w:color w:val="000000" w:themeColor="text1"/>
                <w:kern w:val="0"/>
                <w:sz w:val="24"/>
                <w:szCs w:val="24"/>
              </w:rPr>
            </w:pPr>
            <w:r w:rsidRPr="00687B52">
              <w:rPr>
                <w:rFonts w:ascii="Cambria" w:hAnsi="Cambria" w:cs="宋体"/>
                <w:color w:val="000000" w:themeColor="text1"/>
                <w:kern w:val="0"/>
                <w:sz w:val="24"/>
                <w:szCs w:val="24"/>
              </w:rPr>
              <w:t>距下方相邻地板或地面</w:t>
            </w:r>
            <w:r w:rsidRPr="00687B52">
              <w:rPr>
                <w:rFonts w:ascii="Cambria" w:hAnsi="Cambria" w:cs="宋体"/>
                <w:color w:val="000000" w:themeColor="text1"/>
                <w:kern w:val="0"/>
                <w:sz w:val="24"/>
                <w:szCs w:val="24"/>
              </w:rPr>
              <w:t>1.2m</w:t>
            </w:r>
            <w:r w:rsidRPr="00687B52">
              <w:rPr>
                <w:rFonts w:ascii="Cambria" w:hAnsi="Cambria" w:cs="宋体"/>
                <w:color w:val="000000" w:themeColor="text1"/>
                <w:kern w:val="0"/>
                <w:sz w:val="24"/>
                <w:szCs w:val="24"/>
              </w:rPr>
              <w:t>及以上的平台、通道或工作面的所有敞开边缘应设置防护栏杆。</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《固定式钢梯及平台安全要求第三部分工业防护栏及钢平台》</w:t>
            </w:r>
            <w:r w:rsidRPr="00687B52">
              <w:rPr>
                <w:rFonts w:ascii="Cambria" w:hAnsi="Cambria"/>
                <w:color w:val="000000" w:themeColor="text1"/>
                <w:sz w:val="24"/>
                <w:szCs w:val="24"/>
              </w:rPr>
              <w:t>GB4053.3-2009</w:t>
            </w:r>
            <w:r w:rsidRPr="00687B52">
              <w:rPr>
                <w:rFonts w:ascii="Cambria" w:hAnsi="Cambria"/>
                <w:color w:val="000000" w:themeColor="text1"/>
                <w:sz w:val="24"/>
                <w:szCs w:val="24"/>
              </w:rPr>
              <w:t>第</w:t>
            </w:r>
            <w:r w:rsidRPr="00687B52">
              <w:rPr>
                <w:rFonts w:ascii="Cambria" w:hAnsi="Cambria"/>
                <w:color w:val="000000" w:themeColor="text1"/>
                <w:sz w:val="24"/>
                <w:szCs w:val="24"/>
              </w:rPr>
              <w:t>4.1.1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p>
        </w:tc>
        <w:tc>
          <w:tcPr>
            <w:tcW w:w="2101" w:type="pct"/>
            <w:vAlign w:val="center"/>
          </w:tcPr>
          <w:p w:rsidR="000E02C5" w:rsidRPr="00687B52" w:rsidRDefault="000E02C5" w:rsidP="00B527D4">
            <w:pPr>
              <w:rPr>
                <w:rFonts w:ascii="Cambria" w:hAnsi="Cambria" w:cs="宋体"/>
                <w:color w:val="000000" w:themeColor="text1"/>
                <w:kern w:val="0"/>
                <w:sz w:val="24"/>
                <w:szCs w:val="24"/>
              </w:rPr>
            </w:pPr>
            <w:r w:rsidRPr="00687B52">
              <w:rPr>
                <w:rFonts w:ascii="Cambria" w:hAnsi="Cambria" w:cs="宋体"/>
                <w:color w:val="000000" w:themeColor="text1"/>
                <w:kern w:val="0"/>
                <w:sz w:val="24"/>
                <w:szCs w:val="24"/>
              </w:rPr>
              <w:t>在平台、通道或工作面可能使用工具、机器部件或物品场合，应在所有敞开边缘设置带踢脚板的防护栏杆。</w:t>
            </w:r>
          </w:p>
        </w:tc>
        <w:tc>
          <w:tcPr>
            <w:tcW w:w="1236" w:type="pct"/>
            <w:vAlign w:val="center"/>
          </w:tcPr>
          <w:p w:rsidR="000E02C5" w:rsidRPr="00687B52" w:rsidRDefault="000E02C5" w:rsidP="00E86619">
            <w:pPr>
              <w:jc w:val="left"/>
              <w:rPr>
                <w:rFonts w:ascii="Cambria" w:hAnsi="Cambria"/>
                <w:color w:val="000000" w:themeColor="text1"/>
                <w:sz w:val="24"/>
                <w:szCs w:val="24"/>
              </w:rPr>
            </w:pPr>
            <w:r w:rsidRPr="00687B52">
              <w:rPr>
                <w:rFonts w:ascii="Cambria" w:hAnsi="Cambria"/>
                <w:color w:val="000000" w:themeColor="text1"/>
                <w:sz w:val="24"/>
                <w:szCs w:val="24"/>
              </w:rPr>
              <w:t>《固定式钢梯及平台安全要求第</w:t>
            </w:r>
            <w:r w:rsidR="00E86619" w:rsidRPr="00687B52">
              <w:rPr>
                <w:rFonts w:ascii="Cambria" w:hAnsi="Cambria" w:hint="eastAsia"/>
                <w:color w:val="000000" w:themeColor="text1"/>
                <w:sz w:val="24"/>
                <w:szCs w:val="24"/>
              </w:rPr>
              <w:t>3</w:t>
            </w:r>
            <w:r w:rsidRPr="00687B52">
              <w:rPr>
                <w:rFonts w:ascii="Cambria" w:hAnsi="Cambria"/>
                <w:color w:val="000000" w:themeColor="text1"/>
                <w:sz w:val="24"/>
                <w:szCs w:val="24"/>
              </w:rPr>
              <w:t>部分工业防护栏及钢平台》</w:t>
            </w:r>
            <w:r w:rsidRPr="00687B52">
              <w:rPr>
                <w:rFonts w:ascii="Cambria" w:hAnsi="Cambria"/>
                <w:color w:val="000000" w:themeColor="text1"/>
                <w:sz w:val="24"/>
                <w:szCs w:val="24"/>
              </w:rPr>
              <w:t>GB4053.3-2009</w:t>
            </w:r>
            <w:r w:rsidRPr="00687B52">
              <w:rPr>
                <w:rFonts w:ascii="Cambria" w:hAnsi="Cambria"/>
                <w:color w:val="000000" w:themeColor="text1"/>
                <w:sz w:val="24"/>
                <w:szCs w:val="24"/>
              </w:rPr>
              <w:t>第</w:t>
            </w:r>
            <w:r w:rsidRPr="00687B52">
              <w:rPr>
                <w:rFonts w:ascii="Cambria" w:hAnsi="Cambria"/>
                <w:color w:val="000000" w:themeColor="text1"/>
                <w:sz w:val="24"/>
                <w:szCs w:val="24"/>
              </w:rPr>
              <w:t>4.1.2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p>
        </w:tc>
        <w:tc>
          <w:tcPr>
            <w:tcW w:w="2101" w:type="pct"/>
            <w:vAlign w:val="center"/>
          </w:tcPr>
          <w:p w:rsidR="000E02C5" w:rsidRPr="00687B52" w:rsidRDefault="000E02C5" w:rsidP="00B527D4">
            <w:pPr>
              <w:rPr>
                <w:rFonts w:ascii="Cambria" w:hAnsi="Cambria" w:cs="宋体"/>
                <w:color w:val="000000" w:themeColor="text1"/>
                <w:kern w:val="0"/>
                <w:sz w:val="24"/>
                <w:szCs w:val="24"/>
              </w:rPr>
            </w:pPr>
            <w:r w:rsidRPr="00687B52">
              <w:rPr>
                <w:rFonts w:ascii="Cambria" w:hAnsi="Cambria" w:cs="宋体"/>
                <w:color w:val="000000" w:themeColor="text1"/>
                <w:kern w:val="0"/>
                <w:sz w:val="24"/>
                <w:szCs w:val="24"/>
              </w:rPr>
              <w:t>防护栏杆及钢平台、</w:t>
            </w:r>
            <w:r w:rsidRPr="00687B52">
              <w:rPr>
                <w:rFonts w:ascii="Cambria" w:hAnsi="Cambria"/>
                <w:color w:val="000000" w:themeColor="text1"/>
                <w:sz w:val="24"/>
                <w:szCs w:val="24"/>
              </w:rPr>
              <w:t>钢斜梯、钢直梯</w:t>
            </w:r>
            <w:r w:rsidRPr="00687B52">
              <w:rPr>
                <w:rFonts w:ascii="Cambria" w:hAnsi="Cambria" w:cs="宋体"/>
                <w:color w:val="000000" w:themeColor="text1"/>
                <w:kern w:val="0"/>
                <w:sz w:val="24"/>
                <w:szCs w:val="24"/>
              </w:rPr>
              <w:t>安装后，应对其至少涂一层底漆和一层（或多层）面漆或采用等效的防锈防腐涂装。</w:t>
            </w:r>
          </w:p>
        </w:tc>
        <w:tc>
          <w:tcPr>
            <w:tcW w:w="1236" w:type="pct"/>
            <w:vAlign w:val="center"/>
          </w:tcPr>
          <w:p w:rsidR="000E02C5" w:rsidRPr="00687B52" w:rsidRDefault="000E02C5" w:rsidP="00E86619">
            <w:pPr>
              <w:jc w:val="left"/>
              <w:rPr>
                <w:rFonts w:ascii="Cambria" w:hAnsi="Cambria"/>
                <w:color w:val="000000" w:themeColor="text1"/>
                <w:sz w:val="24"/>
                <w:szCs w:val="24"/>
              </w:rPr>
            </w:pPr>
            <w:r w:rsidRPr="00687B52">
              <w:rPr>
                <w:rFonts w:ascii="Cambria" w:hAnsi="Cambria"/>
                <w:color w:val="000000" w:themeColor="text1"/>
                <w:sz w:val="24"/>
                <w:szCs w:val="24"/>
              </w:rPr>
              <w:t>《固定式钢梯及平台安全要求》</w:t>
            </w:r>
            <w:r w:rsidRPr="00687B52">
              <w:rPr>
                <w:rFonts w:ascii="Cambria" w:hAnsi="Cambria"/>
                <w:color w:val="000000" w:themeColor="text1"/>
                <w:sz w:val="24"/>
                <w:szCs w:val="24"/>
              </w:rPr>
              <w:t>GB4053-2009</w:t>
            </w:r>
          </w:p>
        </w:tc>
        <w:tc>
          <w:tcPr>
            <w:tcW w:w="1283" w:type="pct"/>
            <w:vAlign w:val="center"/>
          </w:tcPr>
          <w:p w:rsidR="000E02C5" w:rsidRPr="00687B52" w:rsidRDefault="000E02C5" w:rsidP="00B527D4">
            <w:pPr>
              <w:rPr>
                <w:rFonts w:ascii="Cambria" w:hAnsi="Cambria"/>
                <w:color w:val="000000" w:themeColor="text1"/>
                <w:sz w:val="24"/>
                <w:szCs w:val="24"/>
              </w:rPr>
            </w:pPr>
          </w:p>
        </w:tc>
      </w:tr>
      <w:tr w:rsidR="00E86619" w:rsidRPr="00687B52" w:rsidTr="007E7CC4">
        <w:tc>
          <w:tcPr>
            <w:tcW w:w="380" w:type="pct"/>
            <w:vAlign w:val="center"/>
          </w:tcPr>
          <w:p w:rsidR="00E86619" w:rsidRPr="00687B52" w:rsidRDefault="00E86619" w:rsidP="008829DB">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.1</w:t>
            </w:r>
            <w:r w:rsidRPr="00687B52">
              <w:rPr>
                <w:rFonts w:ascii="Cambria" w:hAnsi="Cambria" w:hint="eastAsia"/>
                <w:color w:val="000000" w:themeColor="text1"/>
                <w:sz w:val="24"/>
                <w:szCs w:val="24"/>
              </w:rPr>
              <w:t>4</w:t>
            </w:r>
          </w:p>
        </w:tc>
        <w:tc>
          <w:tcPr>
            <w:tcW w:w="2101" w:type="pct"/>
            <w:vAlign w:val="center"/>
          </w:tcPr>
          <w:p w:rsidR="00E86619" w:rsidRPr="00687B52" w:rsidRDefault="00E86619" w:rsidP="00B527D4">
            <w:pPr>
              <w:rPr>
                <w:rFonts w:ascii="Cambria" w:hAnsi="Cambria" w:cs="宋体"/>
                <w:color w:val="000000" w:themeColor="text1"/>
                <w:kern w:val="0"/>
                <w:sz w:val="24"/>
                <w:szCs w:val="24"/>
              </w:rPr>
            </w:pPr>
            <w:r w:rsidRPr="00687B52">
              <w:rPr>
                <w:rFonts w:ascii="Cambria" w:hAnsi="Cambria" w:cs="宋体" w:hint="eastAsia"/>
                <w:color w:val="000000" w:themeColor="text1"/>
                <w:kern w:val="0"/>
                <w:sz w:val="24"/>
                <w:szCs w:val="24"/>
              </w:rPr>
              <w:t>梯段高度大于</w:t>
            </w:r>
            <w:r w:rsidRPr="00687B52">
              <w:rPr>
                <w:rFonts w:ascii="Cambria" w:hAnsi="Cambria" w:cs="宋体" w:hint="eastAsia"/>
                <w:color w:val="000000" w:themeColor="text1"/>
                <w:kern w:val="0"/>
                <w:sz w:val="24"/>
                <w:szCs w:val="24"/>
              </w:rPr>
              <w:t>3m</w:t>
            </w:r>
            <w:r w:rsidRPr="00687B52">
              <w:rPr>
                <w:rFonts w:ascii="Cambria" w:hAnsi="Cambria" w:cs="宋体" w:hint="eastAsia"/>
                <w:color w:val="000000" w:themeColor="text1"/>
                <w:kern w:val="0"/>
                <w:sz w:val="24"/>
                <w:szCs w:val="24"/>
              </w:rPr>
              <w:t>时宜设置安全护笼。单梯段高度大于</w:t>
            </w:r>
            <w:r w:rsidRPr="00687B52">
              <w:rPr>
                <w:rFonts w:ascii="Cambria" w:hAnsi="Cambria" w:cs="宋体" w:hint="eastAsia"/>
                <w:color w:val="000000" w:themeColor="text1"/>
                <w:kern w:val="0"/>
                <w:sz w:val="24"/>
                <w:szCs w:val="24"/>
              </w:rPr>
              <w:t>7m</w:t>
            </w:r>
            <w:r w:rsidRPr="00687B52">
              <w:rPr>
                <w:rFonts w:ascii="Cambria" w:hAnsi="Cambria" w:cs="宋体" w:hint="eastAsia"/>
                <w:color w:val="000000" w:themeColor="text1"/>
                <w:kern w:val="0"/>
                <w:sz w:val="24"/>
                <w:szCs w:val="24"/>
              </w:rPr>
              <w:t>时，应设置安全护笼。当攀登高度小于</w:t>
            </w:r>
            <w:r w:rsidRPr="00687B52">
              <w:rPr>
                <w:rFonts w:ascii="Cambria" w:hAnsi="Cambria" w:cs="宋体" w:hint="eastAsia"/>
                <w:color w:val="000000" w:themeColor="text1"/>
                <w:kern w:val="0"/>
                <w:sz w:val="24"/>
                <w:szCs w:val="24"/>
              </w:rPr>
              <w:t>7m</w:t>
            </w:r>
            <w:r w:rsidRPr="00687B52">
              <w:rPr>
                <w:rFonts w:ascii="Cambria" w:hAnsi="Cambria" w:cs="宋体" w:hint="eastAsia"/>
                <w:color w:val="000000" w:themeColor="text1"/>
                <w:kern w:val="0"/>
                <w:sz w:val="24"/>
                <w:szCs w:val="24"/>
              </w:rPr>
              <w:t>时，但梯子顶部在地面、地板或屋顶之上高度大于</w:t>
            </w:r>
            <w:r w:rsidRPr="00687B52">
              <w:rPr>
                <w:rFonts w:ascii="Cambria" w:hAnsi="Cambria" w:cs="宋体" w:hint="eastAsia"/>
                <w:color w:val="000000" w:themeColor="text1"/>
                <w:kern w:val="0"/>
                <w:sz w:val="24"/>
                <w:szCs w:val="24"/>
              </w:rPr>
              <w:t>7m</w:t>
            </w:r>
            <w:r w:rsidRPr="00687B52">
              <w:rPr>
                <w:rFonts w:ascii="Cambria" w:hAnsi="Cambria" w:cs="宋体" w:hint="eastAsia"/>
                <w:color w:val="000000" w:themeColor="text1"/>
                <w:kern w:val="0"/>
                <w:sz w:val="24"/>
                <w:szCs w:val="24"/>
              </w:rPr>
              <w:t>时，也应设置安全护笼。</w:t>
            </w:r>
          </w:p>
        </w:tc>
        <w:tc>
          <w:tcPr>
            <w:tcW w:w="1236" w:type="pct"/>
            <w:vAlign w:val="center"/>
          </w:tcPr>
          <w:p w:rsidR="00E86619" w:rsidRPr="00687B52" w:rsidRDefault="00E86619" w:rsidP="00E86619">
            <w:pPr>
              <w:jc w:val="left"/>
              <w:rPr>
                <w:rFonts w:ascii="Cambria" w:hAnsi="Cambria"/>
                <w:color w:val="000000" w:themeColor="text1"/>
                <w:sz w:val="24"/>
                <w:szCs w:val="24"/>
              </w:rPr>
            </w:pPr>
            <w:r w:rsidRPr="00687B52">
              <w:rPr>
                <w:rFonts w:ascii="Cambria" w:hAnsi="Cambria"/>
                <w:color w:val="000000" w:themeColor="text1"/>
                <w:sz w:val="24"/>
                <w:szCs w:val="24"/>
              </w:rPr>
              <w:t>《固定式钢梯及平台安全要求第</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部分</w:t>
            </w:r>
            <w:r w:rsidRPr="00687B52">
              <w:rPr>
                <w:rFonts w:ascii="Cambria" w:hAnsi="Cambria" w:hint="eastAsia"/>
                <w:color w:val="000000" w:themeColor="text1"/>
                <w:sz w:val="24"/>
                <w:szCs w:val="24"/>
              </w:rPr>
              <w:t>钢直</w:t>
            </w:r>
            <w:r w:rsidRPr="00687B52">
              <w:rPr>
                <w:rFonts w:ascii="Cambria" w:hAnsi="Cambria"/>
                <w:color w:val="000000" w:themeColor="text1"/>
                <w:sz w:val="24"/>
                <w:szCs w:val="24"/>
              </w:rPr>
              <w:t>梯》</w:t>
            </w:r>
            <w:r w:rsidRPr="00687B52">
              <w:rPr>
                <w:rFonts w:ascii="Cambria" w:hAnsi="Cambria"/>
                <w:color w:val="000000" w:themeColor="text1"/>
                <w:sz w:val="24"/>
                <w:szCs w:val="24"/>
              </w:rPr>
              <w:t>GB4053.</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-2009</w:t>
            </w:r>
            <w:r w:rsidRPr="00687B52">
              <w:rPr>
                <w:rFonts w:ascii="Cambria" w:hAnsi="Cambria"/>
                <w:color w:val="000000" w:themeColor="text1"/>
                <w:sz w:val="24"/>
                <w:szCs w:val="24"/>
              </w:rPr>
              <w:t>第</w:t>
            </w:r>
            <w:r w:rsidRPr="00687B52">
              <w:rPr>
                <w:rFonts w:ascii="Cambria" w:hAnsi="Cambria" w:hint="eastAsia"/>
                <w:color w:val="000000" w:themeColor="text1"/>
                <w:sz w:val="24"/>
                <w:szCs w:val="24"/>
              </w:rPr>
              <w:t>5.3.2</w:t>
            </w:r>
            <w:r w:rsidRPr="00687B52">
              <w:rPr>
                <w:rFonts w:ascii="Cambria" w:hAnsi="Cambria"/>
                <w:color w:val="000000" w:themeColor="text1"/>
                <w:sz w:val="24"/>
                <w:szCs w:val="24"/>
              </w:rPr>
              <w:t>条</w:t>
            </w:r>
          </w:p>
        </w:tc>
        <w:tc>
          <w:tcPr>
            <w:tcW w:w="1283" w:type="pct"/>
            <w:vAlign w:val="center"/>
          </w:tcPr>
          <w:p w:rsidR="00E86619" w:rsidRPr="00687B52" w:rsidRDefault="00E86619" w:rsidP="00B527D4">
            <w:pPr>
              <w:rPr>
                <w:rFonts w:ascii="Cambria" w:hAnsi="Cambria"/>
                <w:color w:val="000000" w:themeColor="text1"/>
                <w:sz w:val="24"/>
                <w:szCs w:val="24"/>
              </w:rPr>
            </w:pPr>
          </w:p>
        </w:tc>
      </w:tr>
      <w:tr w:rsidR="00E86619" w:rsidRPr="00687B52" w:rsidTr="007E7CC4">
        <w:tc>
          <w:tcPr>
            <w:tcW w:w="380" w:type="pct"/>
            <w:vAlign w:val="center"/>
          </w:tcPr>
          <w:p w:rsidR="00E86619" w:rsidRPr="00687B52" w:rsidRDefault="00E86619" w:rsidP="008829DB">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.1</w:t>
            </w:r>
            <w:r w:rsidRPr="00687B52">
              <w:rPr>
                <w:rFonts w:ascii="Cambria" w:hAnsi="Cambria" w:hint="eastAsia"/>
                <w:color w:val="000000" w:themeColor="text1"/>
                <w:sz w:val="24"/>
                <w:szCs w:val="24"/>
              </w:rPr>
              <w:t>5</w:t>
            </w:r>
          </w:p>
        </w:tc>
        <w:tc>
          <w:tcPr>
            <w:tcW w:w="2101" w:type="pct"/>
            <w:vAlign w:val="center"/>
          </w:tcPr>
          <w:p w:rsidR="00E86619" w:rsidRPr="00687B52" w:rsidRDefault="00E86619" w:rsidP="00B527D4">
            <w:pPr>
              <w:rPr>
                <w:rFonts w:ascii="Cambria" w:hAnsi="Cambria" w:cs="宋体"/>
                <w:color w:val="000000" w:themeColor="text1"/>
                <w:kern w:val="0"/>
                <w:sz w:val="24"/>
                <w:szCs w:val="24"/>
              </w:rPr>
            </w:pPr>
            <w:r w:rsidRPr="00687B52">
              <w:rPr>
                <w:rFonts w:ascii="Cambria" w:hAnsi="Cambria" w:cs="宋体"/>
                <w:color w:val="000000" w:themeColor="text1"/>
                <w:kern w:val="0"/>
                <w:sz w:val="24"/>
                <w:szCs w:val="24"/>
              </w:rPr>
              <w:t>固定式钢斜梯与水平面的倾角应在</w:t>
            </w:r>
            <w:r w:rsidRPr="00687B52">
              <w:rPr>
                <w:rFonts w:ascii="Cambria" w:hAnsi="Cambria" w:cs="宋体"/>
                <w:color w:val="000000" w:themeColor="text1"/>
                <w:kern w:val="0"/>
                <w:sz w:val="24"/>
                <w:szCs w:val="24"/>
              </w:rPr>
              <w:t>30°~75°</w:t>
            </w:r>
            <w:r w:rsidRPr="00687B52">
              <w:rPr>
                <w:rFonts w:ascii="Cambria" w:hAnsi="Cambria" w:cs="宋体"/>
                <w:color w:val="000000" w:themeColor="text1"/>
                <w:kern w:val="0"/>
                <w:sz w:val="24"/>
                <w:szCs w:val="24"/>
              </w:rPr>
              <w:t>范围内。</w:t>
            </w:r>
          </w:p>
        </w:tc>
        <w:tc>
          <w:tcPr>
            <w:tcW w:w="1236" w:type="pct"/>
            <w:vAlign w:val="center"/>
          </w:tcPr>
          <w:p w:rsidR="00E86619" w:rsidRPr="00687B52" w:rsidRDefault="00E86619" w:rsidP="00E86619">
            <w:pPr>
              <w:jc w:val="left"/>
              <w:rPr>
                <w:rFonts w:ascii="Cambria" w:hAnsi="Cambria"/>
                <w:color w:val="000000" w:themeColor="text1"/>
                <w:sz w:val="24"/>
                <w:szCs w:val="24"/>
              </w:rPr>
            </w:pPr>
            <w:r w:rsidRPr="00687B52">
              <w:rPr>
                <w:rFonts w:ascii="Cambria" w:hAnsi="Cambria"/>
                <w:color w:val="000000" w:themeColor="text1"/>
                <w:sz w:val="24"/>
                <w:szCs w:val="24"/>
              </w:rPr>
              <w:t>《固定式钢梯及平台安全要求第</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部分钢斜梯》</w:t>
            </w:r>
            <w:r w:rsidRPr="00687B52">
              <w:rPr>
                <w:rFonts w:ascii="Cambria" w:hAnsi="Cambria"/>
                <w:color w:val="000000" w:themeColor="text1"/>
                <w:sz w:val="24"/>
                <w:szCs w:val="24"/>
              </w:rPr>
              <w:t>GB4053.2-2009</w:t>
            </w:r>
            <w:r w:rsidRPr="00687B52">
              <w:rPr>
                <w:rFonts w:ascii="Cambria" w:hAnsi="Cambria"/>
                <w:color w:val="000000" w:themeColor="text1"/>
                <w:sz w:val="24"/>
                <w:szCs w:val="24"/>
              </w:rPr>
              <w:t>第</w:t>
            </w:r>
            <w:r w:rsidRPr="00687B52">
              <w:rPr>
                <w:rFonts w:ascii="Cambria" w:hAnsi="Cambria"/>
                <w:color w:val="000000" w:themeColor="text1"/>
                <w:sz w:val="24"/>
                <w:szCs w:val="24"/>
              </w:rPr>
              <w:t>4.2.1</w:t>
            </w:r>
            <w:r w:rsidRPr="00687B52">
              <w:rPr>
                <w:rFonts w:ascii="Cambria" w:hAnsi="Cambria"/>
                <w:color w:val="000000" w:themeColor="text1"/>
                <w:sz w:val="24"/>
                <w:szCs w:val="24"/>
              </w:rPr>
              <w:t>条</w:t>
            </w:r>
          </w:p>
        </w:tc>
        <w:tc>
          <w:tcPr>
            <w:tcW w:w="1283" w:type="pct"/>
            <w:vAlign w:val="center"/>
          </w:tcPr>
          <w:p w:rsidR="00E86619" w:rsidRPr="00687B52" w:rsidRDefault="00E86619" w:rsidP="00B527D4">
            <w:pPr>
              <w:rPr>
                <w:rFonts w:ascii="Cambria" w:hAnsi="Cambria"/>
                <w:color w:val="000000" w:themeColor="text1"/>
                <w:sz w:val="24"/>
                <w:szCs w:val="24"/>
              </w:rPr>
            </w:pPr>
          </w:p>
        </w:tc>
      </w:tr>
      <w:tr w:rsidR="00E86619" w:rsidRPr="00687B52" w:rsidTr="007E7CC4">
        <w:tc>
          <w:tcPr>
            <w:tcW w:w="380" w:type="pct"/>
            <w:vAlign w:val="center"/>
          </w:tcPr>
          <w:p w:rsidR="00E86619" w:rsidRPr="00687B52" w:rsidRDefault="00E86619" w:rsidP="008829DB">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.1</w:t>
            </w:r>
            <w:r w:rsidRPr="00687B52">
              <w:rPr>
                <w:rFonts w:ascii="Cambria" w:hAnsi="Cambria" w:hint="eastAsia"/>
                <w:color w:val="000000" w:themeColor="text1"/>
                <w:sz w:val="24"/>
                <w:szCs w:val="24"/>
              </w:rPr>
              <w:t>6</w:t>
            </w:r>
          </w:p>
        </w:tc>
        <w:tc>
          <w:tcPr>
            <w:tcW w:w="2101"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生产设备上供人员作业的工作位置，应安全可靠。其工作空间应保证操作人员的头、臂、手、腿、足有充分的活动余地。危险作业点，应留有足够的退避空间。</w:t>
            </w:r>
          </w:p>
        </w:tc>
        <w:tc>
          <w:tcPr>
            <w:tcW w:w="1236" w:type="pct"/>
            <w:vAlign w:val="center"/>
          </w:tcPr>
          <w:p w:rsidR="00E86619" w:rsidRPr="00687B52" w:rsidRDefault="00E86619" w:rsidP="0028453F">
            <w:pPr>
              <w:rPr>
                <w:rFonts w:ascii="Cambria" w:hAnsi="Cambria"/>
                <w:color w:val="000000" w:themeColor="text1"/>
                <w:sz w:val="24"/>
                <w:szCs w:val="24"/>
              </w:rPr>
            </w:pPr>
            <w:r w:rsidRPr="00687B52">
              <w:rPr>
                <w:rFonts w:ascii="Cambria" w:hAnsi="Cambria"/>
                <w:color w:val="000000" w:themeColor="text1"/>
                <w:sz w:val="24"/>
                <w:szCs w:val="24"/>
              </w:rPr>
              <w:t>《生产设备安全卫生设计总则》</w:t>
            </w:r>
            <w:r w:rsidRPr="00687B52">
              <w:rPr>
                <w:rFonts w:ascii="Cambria" w:hAnsi="Cambria"/>
                <w:color w:val="000000" w:themeColor="text1"/>
                <w:sz w:val="24"/>
                <w:szCs w:val="24"/>
              </w:rPr>
              <w:t>GB5083-1999</w:t>
            </w:r>
            <w:r w:rsidRPr="00687B52">
              <w:rPr>
                <w:rFonts w:ascii="Cambria" w:hAnsi="Cambria"/>
                <w:color w:val="000000" w:themeColor="text1"/>
                <w:sz w:val="24"/>
                <w:szCs w:val="24"/>
              </w:rPr>
              <w:t>第</w:t>
            </w:r>
            <w:r w:rsidRPr="00687B52">
              <w:rPr>
                <w:rFonts w:ascii="Cambria" w:hAnsi="Cambria"/>
                <w:color w:val="000000" w:themeColor="text1"/>
                <w:sz w:val="24"/>
                <w:szCs w:val="24"/>
              </w:rPr>
              <w:t>2.7</w:t>
            </w:r>
            <w:r w:rsidRPr="00687B52">
              <w:rPr>
                <w:rFonts w:ascii="Cambria" w:hAnsi="Cambria"/>
                <w:color w:val="000000" w:themeColor="text1"/>
                <w:sz w:val="24"/>
                <w:szCs w:val="24"/>
              </w:rPr>
              <w:t>条</w:t>
            </w:r>
          </w:p>
        </w:tc>
        <w:tc>
          <w:tcPr>
            <w:tcW w:w="1283" w:type="pct"/>
            <w:vAlign w:val="center"/>
          </w:tcPr>
          <w:p w:rsidR="00E86619" w:rsidRPr="00687B52" w:rsidRDefault="00E86619" w:rsidP="00B527D4">
            <w:pPr>
              <w:rPr>
                <w:rFonts w:ascii="Cambria" w:hAnsi="Cambria"/>
                <w:color w:val="000000" w:themeColor="text1"/>
                <w:sz w:val="24"/>
                <w:szCs w:val="24"/>
              </w:rPr>
            </w:pPr>
          </w:p>
        </w:tc>
      </w:tr>
      <w:tr w:rsidR="00E86619" w:rsidRPr="00687B52" w:rsidTr="007E7CC4">
        <w:tc>
          <w:tcPr>
            <w:tcW w:w="380" w:type="pct"/>
            <w:vAlign w:val="center"/>
          </w:tcPr>
          <w:p w:rsidR="00E86619" w:rsidRPr="00687B52" w:rsidRDefault="00E86619" w:rsidP="008829DB">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w:t>
            </w:r>
            <w:r w:rsidRPr="00687B52">
              <w:rPr>
                <w:rFonts w:ascii="Cambria" w:hAnsi="Cambria" w:hint="eastAsia"/>
                <w:color w:val="000000" w:themeColor="text1"/>
                <w:sz w:val="24"/>
                <w:szCs w:val="24"/>
              </w:rPr>
              <w:t>17</w:t>
            </w:r>
          </w:p>
        </w:tc>
        <w:tc>
          <w:tcPr>
            <w:tcW w:w="2101"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对于运动传递部件，如皮带轮、皮带、齿轮、导轨、齿杆、传动轴产生的危险的防护，应采用固定式防护装置或活动式联锁防护装置。</w:t>
            </w:r>
          </w:p>
        </w:tc>
        <w:tc>
          <w:tcPr>
            <w:tcW w:w="1236"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《机械安全防护装置固定式和活动式防护装置设计与制造一般要求》</w:t>
            </w:r>
            <w:r w:rsidRPr="00687B52">
              <w:rPr>
                <w:rFonts w:ascii="Cambria" w:hAnsi="Cambria"/>
                <w:color w:val="000000" w:themeColor="text1"/>
                <w:sz w:val="24"/>
                <w:szCs w:val="24"/>
              </w:rPr>
              <w:t>GB/T8196-2003</w:t>
            </w:r>
          </w:p>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第</w:t>
            </w:r>
            <w:r w:rsidRPr="00687B52">
              <w:rPr>
                <w:rFonts w:ascii="Cambria" w:hAnsi="Cambria"/>
                <w:color w:val="000000" w:themeColor="text1"/>
                <w:sz w:val="24"/>
                <w:szCs w:val="24"/>
              </w:rPr>
              <w:t>6.4.1</w:t>
            </w:r>
            <w:r w:rsidRPr="00687B52">
              <w:rPr>
                <w:rFonts w:ascii="Cambria" w:hAnsi="Cambria"/>
                <w:color w:val="000000" w:themeColor="text1"/>
                <w:sz w:val="24"/>
                <w:szCs w:val="24"/>
              </w:rPr>
              <w:t>条</w:t>
            </w:r>
          </w:p>
        </w:tc>
        <w:tc>
          <w:tcPr>
            <w:tcW w:w="1283" w:type="pct"/>
            <w:vAlign w:val="center"/>
          </w:tcPr>
          <w:p w:rsidR="00E86619" w:rsidRPr="00687B52" w:rsidRDefault="00E86619" w:rsidP="00B527D4">
            <w:pPr>
              <w:rPr>
                <w:rFonts w:ascii="Cambria" w:hAnsi="Cambria"/>
                <w:color w:val="000000" w:themeColor="text1"/>
                <w:sz w:val="24"/>
                <w:szCs w:val="24"/>
              </w:rPr>
            </w:pPr>
          </w:p>
        </w:tc>
      </w:tr>
      <w:tr w:rsidR="00E86619" w:rsidRPr="00687B52" w:rsidTr="007E7CC4">
        <w:tc>
          <w:tcPr>
            <w:tcW w:w="380" w:type="pct"/>
            <w:vAlign w:val="center"/>
          </w:tcPr>
          <w:p w:rsidR="00E86619" w:rsidRPr="00687B52" w:rsidRDefault="00E86619" w:rsidP="008829DB">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w:t>
            </w:r>
            <w:r w:rsidRPr="00687B52">
              <w:rPr>
                <w:rFonts w:ascii="Cambria" w:hAnsi="Cambria" w:hint="eastAsia"/>
                <w:color w:val="000000" w:themeColor="text1"/>
                <w:sz w:val="24"/>
                <w:szCs w:val="24"/>
              </w:rPr>
              <w:t>18</w:t>
            </w:r>
          </w:p>
        </w:tc>
        <w:tc>
          <w:tcPr>
            <w:tcW w:w="2101"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生产设备必须保证操作点和操作区域有充足的照度。但要消除各种频闪效应和眩光现象。</w:t>
            </w:r>
          </w:p>
        </w:tc>
        <w:tc>
          <w:tcPr>
            <w:tcW w:w="1236" w:type="pct"/>
            <w:vAlign w:val="center"/>
          </w:tcPr>
          <w:p w:rsidR="00E86619" w:rsidRPr="00687B52" w:rsidRDefault="00E86619" w:rsidP="0028453F">
            <w:pPr>
              <w:rPr>
                <w:rFonts w:ascii="Cambria" w:hAnsi="Cambria"/>
                <w:color w:val="000000" w:themeColor="text1"/>
                <w:sz w:val="24"/>
                <w:szCs w:val="24"/>
              </w:rPr>
            </w:pPr>
            <w:r w:rsidRPr="00687B52">
              <w:rPr>
                <w:rFonts w:ascii="Cambria" w:hAnsi="Cambria"/>
                <w:color w:val="000000" w:themeColor="text1"/>
                <w:sz w:val="24"/>
                <w:szCs w:val="24"/>
              </w:rPr>
              <w:t>《生产设备安全卫生设计总则》</w:t>
            </w:r>
            <w:r w:rsidRPr="00687B52">
              <w:rPr>
                <w:rFonts w:ascii="Cambria" w:hAnsi="Cambria"/>
                <w:color w:val="000000" w:themeColor="text1"/>
                <w:sz w:val="24"/>
                <w:szCs w:val="24"/>
              </w:rPr>
              <w:t>GB5083-1999</w:t>
            </w:r>
            <w:r w:rsidRPr="00687B52">
              <w:rPr>
                <w:rFonts w:ascii="Cambria" w:hAnsi="Cambria"/>
                <w:color w:val="000000" w:themeColor="text1"/>
                <w:sz w:val="24"/>
                <w:szCs w:val="24"/>
              </w:rPr>
              <w:t>第</w:t>
            </w:r>
            <w:r w:rsidRPr="00687B52">
              <w:rPr>
                <w:rFonts w:ascii="Cambria" w:hAnsi="Cambria"/>
                <w:color w:val="000000" w:themeColor="text1"/>
                <w:sz w:val="24"/>
                <w:szCs w:val="24"/>
              </w:rPr>
              <w:t>2.8.1</w:t>
            </w:r>
            <w:r w:rsidRPr="00687B52">
              <w:rPr>
                <w:rFonts w:ascii="Cambria" w:hAnsi="Cambria"/>
                <w:color w:val="000000" w:themeColor="text1"/>
                <w:sz w:val="24"/>
                <w:szCs w:val="24"/>
              </w:rPr>
              <w:t>条</w:t>
            </w:r>
          </w:p>
        </w:tc>
        <w:tc>
          <w:tcPr>
            <w:tcW w:w="1283" w:type="pct"/>
            <w:vAlign w:val="center"/>
          </w:tcPr>
          <w:p w:rsidR="00E86619" w:rsidRPr="00687B52" w:rsidRDefault="00E86619" w:rsidP="00B527D4">
            <w:pPr>
              <w:rPr>
                <w:rFonts w:ascii="Cambria" w:hAnsi="Cambria"/>
                <w:color w:val="000000" w:themeColor="text1"/>
                <w:sz w:val="24"/>
                <w:szCs w:val="24"/>
              </w:rPr>
            </w:pPr>
          </w:p>
        </w:tc>
      </w:tr>
      <w:tr w:rsidR="00E86619" w:rsidRPr="00687B52" w:rsidTr="007E7CC4">
        <w:tc>
          <w:tcPr>
            <w:tcW w:w="380" w:type="pct"/>
            <w:vAlign w:val="center"/>
          </w:tcPr>
          <w:p w:rsidR="00E86619" w:rsidRPr="00687B52" w:rsidRDefault="00E86619" w:rsidP="008829DB">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w:t>
            </w:r>
            <w:r w:rsidRPr="00687B52">
              <w:rPr>
                <w:rFonts w:ascii="Cambria" w:hAnsi="Cambria" w:hint="eastAsia"/>
                <w:color w:val="000000" w:themeColor="text1"/>
                <w:sz w:val="24"/>
                <w:szCs w:val="24"/>
              </w:rPr>
              <w:t>19</w:t>
            </w:r>
          </w:p>
        </w:tc>
        <w:tc>
          <w:tcPr>
            <w:tcW w:w="2101"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设备的外表面温度在</w:t>
            </w:r>
            <w:r w:rsidRPr="00687B52">
              <w:rPr>
                <w:rFonts w:ascii="Cambria" w:hAnsi="Cambria"/>
                <w:color w:val="000000" w:themeColor="text1"/>
                <w:sz w:val="24"/>
                <w:szCs w:val="24"/>
              </w:rPr>
              <w:t>50</w:t>
            </w:r>
            <w:r w:rsidRPr="00687B52">
              <w:rPr>
                <w:rFonts w:ascii="Cambria" w:hAnsi="Cambria"/>
                <w:color w:val="000000" w:themeColor="text1"/>
                <w:sz w:val="24"/>
                <w:szCs w:val="24"/>
              </w:rPr>
              <w:t>～</w:t>
            </w:r>
            <w:r w:rsidRPr="00687B52">
              <w:rPr>
                <w:rFonts w:ascii="Cambria" w:hAnsi="Cambria"/>
                <w:color w:val="000000" w:themeColor="text1"/>
                <w:sz w:val="24"/>
                <w:szCs w:val="24"/>
              </w:rPr>
              <w:t>850</w:t>
            </w:r>
            <w:r w:rsidRPr="00687B52">
              <w:rPr>
                <w:rFonts w:ascii="宋体" w:eastAsia="宋体" w:hAnsi="宋体" w:cs="宋体" w:hint="eastAsia"/>
                <w:color w:val="000000" w:themeColor="text1"/>
                <w:sz w:val="24"/>
                <w:szCs w:val="24"/>
              </w:rPr>
              <w:t>℃</w:t>
            </w:r>
            <w:r w:rsidRPr="00687B52">
              <w:rPr>
                <w:rFonts w:ascii="Cambria" w:hAnsi="Cambria"/>
                <w:color w:val="000000" w:themeColor="text1"/>
                <w:sz w:val="24"/>
                <w:szCs w:val="24"/>
              </w:rPr>
              <w:t>时，除工艺有散热要求外，均应设置绝热层，且保护层必须采用不燃材料。</w:t>
            </w:r>
          </w:p>
        </w:tc>
        <w:tc>
          <w:tcPr>
            <w:tcW w:w="1236"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《工业设备及管道绝热工程设计规范》</w:t>
            </w:r>
            <w:r w:rsidRPr="00687B52">
              <w:rPr>
                <w:rFonts w:ascii="Cambria" w:hAnsi="Cambria"/>
                <w:color w:val="000000" w:themeColor="text1"/>
                <w:sz w:val="24"/>
                <w:szCs w:val="24"/>
              </w:rPr>
              <w:t>GB 50264-2013</w:t>
            </w:r>
          </w:p>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第</w:t>
            </w:r>
            <w:r w:rsidRPr="00687B52">
              <w:rPr>
                <w:rFonts w:ascii="Cambria" w:hAnsi="Cambria"/>
                <w:color w:val="000000" w:themeColor="text1"/>
                <w:sz w:val="24"/>
                <w:szCs w:val="24"/>
              </w:rPr>
              <w:t>5.2.1</w:t>
            </w:r>
            <w:r w:rsidRPr="00687B52">
              <w:rPr>
                <w:rFonts w:ascii="Cambria" w:hAnsi="Cambria"/>
                <w:color w:val="000000" w:themeColor="text1"/>
                <w:sz w:val="24"/>
                <w:szCs w:val="24"/>
              </w:rPr>
              <w:t>条</w:t>
            </w:r>
          </w:p>
        </w:tc>
        <w:tc>
          <w:tcPr>
            <w:tcW w:w="1283" w:type="pct"/>
            <w:vAlign w:val="center"/>
          </w:tcPr>
          <w:p w:rsidR="00E86619" w:rsidRPr="00687B52" w:rsidRDefault="00E86619" w:rsidP="00B527D4">
            <w:pPr>
              <w:rPr>
                <w:rFonts w:ascii="Cambria" w:hAnsi="Cambria"/>
                <w:color w:val="000000" w:themeColor="text1"/>
                <w:sz w:val="24"/>
                <w:szCs w:val="24"/>
              </w:rPr>
            </w:pPr>
          </w:p>
        </w:tc>
      </w:tr>
      <w:tr w:rsidR="00E86619" w:rsidRPr="00687B52" w:rsidTr="007E7CC4">
        <w:tc>
          <w:tcPr>
            <w:tcW w:w="380" w:type="pct"/>
            <w:vAlign w:val="center"/>
          </w:tcPr>
          <w:p w:rsidR="00E86619" w:rsidRPr="00687B52" w:rsidRDefault="00E86619" w:rsidP="008829DB">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.2</w:t>
            </w:r>
            <w:r w:rsidRPr="00687B52">
              <w:rPr>
                <w:rFonts w:ascii="Cambria" w:hAnsi="Cambria" w:hint="eastAsia"/>
                <w:color w:val="000000" w:themeColor="text1"/>
                <w:sz w:val="24"/>
                <w:szCs w:val="24"/>
              </w:rPr>
              <w:t>0</w:t>
            </w:r>
          </w:p>
        </w:tc>
        <w:tc>
          <w:tcPr>
            <w:tcW w:w="2101"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输送危险物料的管道应按标准涂色、标明流向和阀门开关方向。</w:t>
            </w:r>
          </w:p>
        </w:tc>
        <w:tc>
          <w:tcPr>
            <w:tcW w:w="1236"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《工业管道的基本识别色、识别符号和安全标致》</w:t>
            </w:r>
            <w:r w:rsidRPr="00687B52">
              <w:rPr>
                <w:rFonts w:ascii="Cambria" w:hAnsi="Cambria"/>
                <w:color w:val="000000" w:themeColor="text1"/>
                <w:sz w:val="24"/>
                <w:szCs w:val="24"/>
              </w:rPr>
              <w:t>GB 7231-2003</w:t>
            </w:r>
          </w:p>
        </w:tc>
        <w:tc>
          <w:tcPr>
            <w:tcW w:w="1283" w:type="pct"/>
            <w:vAlign w:val="center"/>
          </w:tcPr>
          <w:p w:rsidR="00E86619" w:rsidRPr="00687B52" w:rsidRDefault="00E86619" w:rsidP="00B527D4">
            <w:pPr>
              <w:rPr>
                <w:rFonts w:ascii="Cambria" w:hAnsi="Cambria"/>
                <w:color w:val="000000" w:themeColor="text1"/>
                <w:sz w:val="24"/>
                <w:szCs w:val="24"/>
              </w:rPr>
            </w:pPr>
          </w:p>
        </w:tc>
      </w:tr>
      <w:tr w:rsidR="00E86619" w:rsidRPr="00687B52" w:rsidTr="007E7CC4">
        <w:tc>
          <w:tcPr>
            <w:tcW w:w="380" w:type="pct"/>
            <w:vAlign w:val="center"/>
          </w:tcPr>
          <w:p w:rsidR="00E86619" w:rsidRPr="00687B52" w:rsidRDefault="00E86619" w:rsidP="008829DB">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.2</w:t>
            </w:r>
            <w:r w:rsidRPr="00687B52">
              <w:rPr>
                <w:rFonts w:ascii="Cambria" w:hAnsi="Cambria" w:hint="eastAsia"/>
                <w:color w:val="000000" w:themeColor="text1"/>
                <w:sz w:val="24"/>
                <w:szCs w:val="24"/>
              </w:rPr>
              <w:t>1</w:t>
            </w:r>
          </w:p>
        </w:tc>
        <w:tc>
          <w:tcPr>
            <w:tcW w:w="2101"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使用剧毒或高毒物质的高风险工业企业应设置紧急救援站或有毒气体防护站。</w:t>
            </w:r>
          </w:p>
        </w:tc>
        <w:tc>
          <w:tcPr>
            <w:tcW w:w="1236"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《工业企业设计卫生标准》</w:t>
            </w:r>
            <w:r w:rsidRPr="00687B52">
              <w:rPr>
                <w:rFonts w:ascii="Cambria" w:hAnsi="Cambria"/>
                <w:color w:val="000000" w:themeColor="text1"/>
                <w:sz w:val="24"/>
                <w:szCs w:val="24"/>
              </w:rPr>
              <w:t>GBZ1-2010</w:t>
            </w:r>
          </w:p>
        </w:tc>
        <w:tc>
          <w:tcPr>
            <w:tcW w:w="1283" w:type="pct"/>
            <w:vAlign w:val="center"/>
          </w:tcPr>
          <w:p w:rsidR="00E86619" w:rsidRPr="00687B52" w:rsidRDefault="00E86619" w:rsidP="00B527D4">
            <w:pPr>
              <w:rPr>
                <w:rFonts w:ascii="Cambria" w:hAnsi="Cambria"/>
                <w:color w:val="000000" w:themeColor="text1"/>
                <w:sz w:val="24"/>
                <w:szCs w:val="24"/>
              </w:rPr>
            </w:pPr>
          </w:p>
        </w:tc>
      </w:tr>
      <w:tr w:rsidR="00E86619" w:rsidRPr="00687B52" w:rsidTr="007E7CC4">
        <w:tc>
          <w:tcPr>
            <w:tcW w:w="380" w:type="pct"/>
            <w:vAlign w:val="center"/>
          </w:tcPr>
          <w:p w:rsidR="00E86619" w:rsidRPr="00687B52" w:rsidRDefault="00E86619" w:rsidP="008829DB">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.2</w:t>
            </w:r>
            <w:r w:rsidRPr="00687B52">
              <w:rPr>
                <w:rFonts w:ascii="Cambria" w:hAnsi="Cambria" w:hint="eastAsia"/>
                <w:color w:val="000000" w:themeColor="text1"/>
                <w:sz w:val="24"/>
                <w:szCs w:val="24"/>
              </w:rPr>
              <w:t>2</w:t>
            </w:r>
          </w:p>
        </w:tc>
        <w:tc>
          <w:tcPr>
            <w:tcW w:w="2101"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氧气瓶和乙炔气瓶使用时应分开至少保持</w:t>
            </w:r>
            <w:r w:rsidRPr="00687B52">
              <w:rPr>
                <w:rFonts w:ascii="Cambria" w:hAnsi="Cambria"/>
                <w:color w:val="000000" w:themeColor="text1"/>
                <w:sz w:val="24"/>
                <w:szCs w:val="24"/>
              </w:rPr>
              <w:t>5m</w:t>
            </w:r>
            <w:r w:rsidRPr="00687B52">
              <w:rPr>
                <w:rFonts w:ascii="Cambria" w:hAnsi="Cambria"/>
                <w:color w:val="000000" w:themeColor="text1"/>
                <w:sz w:val="24"/>
                <w:szCs w:val="24"/>
              </w:rPr>
              <w:t>间距，且距明火</w:t>
            </w:r>
            <w:r w:rsidRPr="00687B52">
              <w:rPr>
                <w:rFonts w:ascii="Cambria" w:hAnsi="Cambria"/>
                <w:color w:val="000000" w:themeColor="text1"/>
                <w:sz w:val="24"/>
                <w:szCs w:val="24"/>
              </w:rPr>
              <w:t>10m</w:t>
            </w:r>
            <w:r w:rsidRPr="00687B52">
              <w:rPr>
                <w:rFonts w:ascii="Cambria" w:hAnsi="Cambria"/>
                <w:color w:val="000000" w:themeColor="text1"/>
                <w:sz w:val="24"/>
                <w:szCs w:val="24"/>
              </w:rPr>
              <w:t>以外。盛装易发生聚合反应或分解反应气体的气瓶，如乙炔气瓶，应避开放射源。</w:t>
            </w:r>
          </w:p>
        </w:tc>
        <w:tc>
          <w:tcPr>
            <w:tcW w:w="1236"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《气瓶使用安全管理规范》</w:t>
            </w:r>
            <w:r w:rsidRPr="00687B52">
              <w:rPr>
                <w:rFonts w:ascii="Cambria" w:hAnsi="Cambria"/>
                <w:color w:val="000000" w:themeColor="text1"/>
                <w:sz w:val="24"/>
                <w:szCs w:val="24"/>
              </w:rPr>
              <w:t>Q/SY1365-2011</w:t>
            </w:r>
            <w:r w:rsidRPr="00687B52">
              <w:rPr>
                <w:rFonts w:ascii="Cambria" w:hAnsi="Cambria"/>
                <w:color w:val="000000" w:themeColor="text1"/>
                <w:sz w:val="24"/>
                <w:szCs w:val="24"/>
              </w:rPr>
              <w:t>第</w:t>
            </w:r>
            <w:r w:rsidRPr="00687B52">
              <w:rPr>
                <w:rFonts w:ascii="Cambria" w:hAnsi="Cambria"/>
                <w:color w:val="000000" w:themeColor="text1"/>
                <w:sz w:val="24"/>
                <w:szCs w:val="24"/>
              </w:rPr>
              <w:t>4.3.4</w:t>
            </w:r>
            <w:r w:rsidRPr="00687B52">
              <w:rPr>
                <w:rFonts w:ascii="Cambria" w:hAnsi="Cambria"/>
                <w:color w:val="000000" w:themeColor="text1"/>
                <w:sz w:val="24"/>
                <w:szCs w:val="24"/>
              </w:rPr>
              <w:t>条</w:t>
            </w:r>
          </w:p>
        </w:tc>
        <w:tc>
          <w:tcPr>
            <w:tcW w:w="1283" w:type="pct"/>
            <w:vAlign w:val="center"/>
          </w:tcPr>
          <w:p w:rsidR="00E86619" w:rsidRPr="00687B52" w:rsidRDefault="00E86619" w:rsidP="00B527D4">
            <w:pPr>
              <w:rPr>
                <w:rFonts w:ascii="Cambria" w:hAnsi="Cambria"/>
                <w:color w:val="000000" w:themeColor="text1"/>
                <w:sz w:val="24"/>
                <w:szCs w:val="24"/>
              </w:rPr>
            </w:pPr>
          </w:p>
        </w:tc>
      </w:tr>
      <w:tr w:rsidR="00E86619" w:rsidRPr="00687B52" w:rsidTr="007E7CC4">
        <w:tc>
          <w:tcPr>
            <w:tcW w:w="380" w:type="pct"/>
            <w:vAlign w:val="center"/>
          </w:tcPr>
          <w:p w:rsidR="00E86619" w:rsidRPr="00687B52" w:rsidRDefault="00E86619" w:rsidP="008829DB">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.2</w:t>
            </w:r>
            <w:r w:rsidRPr="00687B52">
              <w:rPr>
                <w:rFonts w:ascii="Cambria" w:hAnsi="Cambria" w:hint="eastAsia"/>
                <w:color w:val="000000" w:themeColor="text1"/>
                <w:sz w:val="24"/>
                <w:szCs w:val="24"/>
              </w:rPr>
              <w:t>3</w:t>
            </w:r>
          </w:p>
        </w:tc>
        <w:tc>
          <w:tcPr>
            <w:tcW w:w="2101"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跨越道路上空架设管线距路面的最小净高不得小于</w:t>
            </w:r>
            <w:r w:rsidRPr="00687B52">
              <w:rPr>
                <w:rFonts w:ascii="Cambria" w:hAnsi="Cambria"/>
                <w:color w:val="000000" w:themeColor="text1"/>
                <w:sz w:val="24"/>
                <w:szCs w:val="24"/>
              </w:rPr>
              <w:t>5 m</w:t>
            </w:r>
            <w:r w:rsidRPr="00687B52">
              <w:rPr>
                <w:rFonts w:ascii="Cambria" w:hAnsi="Cambria"/>
                <w:color w:val="000000" w:themeColor="text1"/>
                <w:sz w:val="24"/>
                <w:szCs w:val="24"/>
              </w:rPr>
              <w:t>，现有低于</w:t>
            </w:r>
            <w:r w:rsidRPr="00687B52">
              <w:rPr>
                <w:rFonts w:ascii="Cambria" w:hAnsi="Cambria"/>
                <w:color w:val="000000" w:themeColor="text1"/>
                <w:sz w:val="24"/>
                <w:szCs w:val="24"/>
              </w:rPr>
              <w:t>5 m</w:t>
            </w:r>
            <w:r w:rsidRPr="00687B52">
              <w:rPr>
                <w:rFonts w:ascii="Cambria" w:hAnsi="Cambria"/>
                <w:color w:val="000000" w:themeColor="text1"/>
                <w:sz w:val="24"/>
                <w:szCs w:val="24"/>
              </w:rPr>
              <w:t>的管线在改、扩建时应予以解决。</w:t>
            </w:r>
          </w:p>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跨越道路上空的建（构）筑物（含桥梁、隧道等）距路面的最小净高，应按行驶车辆的最大高度或车辆装载物料后的最大高度另加</w:t>
            </w:r>
            <w:r w:rsidRPr="00687B52">
              <w:rPr>
                <w:rFonts w:ascii="Cambria" w:hAnsi="Cambria"/>
                <w:color w:val="000000" w:themeColor="text1"/>
                <w:sz w:val="24"/>
                <w:szCs w:val="24"/>
              </w:rPr>
              <w:t>0. 5m</w:t>
            </w:r>
            <w:r w:rsidRPr="00687B52">
              <w:rPr>
                <w:rFonts w:ascii="Cambria" w:hAnsi="Cambria"/>
                <w:color w:val="000000" w:themeColor="text1"/>
                <w:sz w:val="24"/>
                <w:szCs w:val="24"/>
              </w:rPr>
              <w:t>～</w:t>
            </w:r>
            <w:r w:rsidRPr="00687B52">
              <w:rPr>
                <w:rFonts w:ascii="Cambria" w:hAnsi="Cambria"/>
                <w:color w:val="000000" w:themeColor="text1"/>
                <w:sz w:val="24"/>
                <w:szCs w:val="24"/>
              </w:rPr>
              <w:t>1 m</w:t>
            </w:r>
            <w:r w:rsidRPr="00687B52">
              <w:rPr>
                <w:rFonts w:ascii="Cambria" w:hAnsi="Cambria"/>
                <w:color w:val="000000" w:themeColor="text1"/>
                <w:sz w:val="24"/>
                <w:szCs w:val="24"/>
              </w:rPr>
              <w:t>的安全间距采用，并不宜小于</w:t>
            </w:r>
            <w:r w:rsidRPr="00687B52">
              <w:rPr>
                <w:rFonts w:ascii="Cambria" w:hAnsi="Cambria"/>
                <w:color w:val="000000" w:themeColor="text1"/>
                <w:sz w:val="24"/>
                <w:szCs w:val="24"/>
              </w:rPr>
              <w:t>5m</w:t>
            </w:r>
            <w:r w:rsidRPr="00687B52">
              <w:rPr>
                <w:rFonts w:ascii="Cambria" w:hAnsi="Cambria"/>
                <w:color w:val="000000" w:themeColor="text1"/>
                <w:sz w:val="24"/>
                <w:szCs w:val="24"/>
              </w:rPr>
              <w:t>。如足够依据确保安全通行时，净空高度可小于</w:t>
            </w:r>
            <w:r w:rsidRPr="00687B52">
              <w:rPr>
                <w:rFonts w:ascii="Cambria" w:hAnsi="Cambria"/>
                <w:color w:val="000000" w:themeColor="text1"/>
                <w:sz w:val="24"/>
                <w:szCs w:val="24"/>
              </w:rPr>
              <w:t xml:space="preserve"> 5 rn</w:t>
            </w:r>
            <w:r w:rsidRPr="00687B52">
              <w:rPr>
                <w:rFonts w:ascii="Cambria" w:hAnsi="Cambria"/>
                <w:color w:val="000000" w:themeColor="text1"/>
                <w:sz w:val="24"/>
                <w:szCs w:val="24"/>
              </w:rPr>
              <w:t>，但不得小于</w:t>
            </w:r>
            <w:r w:rsidRPr="00687B52">
              <w:rPr>
                <w:rFonts w:ascii="Cambria" w:hAnsi="Cambria"/>
                <w:color w:val="000000" w:themeColor="text1"/>
                <w:sz w:val="24"/>
                <w:szCs w:val="24"/>
              </w:rPr>
              <w:t>4.5 m</w:t>
            </w:r>
            <w:r w:rsidRPr="00687B52">
              <w:rPr>
                <w:rFonts w:ascii="Cambria" w:hAnsi="Cambria"/>
                <w:color w:val="000000" w:themeColor="text1"/>
                <w:sz w:val="24"/>
                <w:szCs w:val="24"/>
              </w:rPr>
              <w:t>。</w:t>
            </w:r>
          </w:p>
        </w:tc>
        <w:tc>
          <w:tcPr>
            <w:tcW w:w="1236"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《工业企业厂内铁路、道路运输安全规程》</w:t>
            </w:r>
            <w:r w:rsidRPr="00687B52">
              <w:rPr>
                <w:rFonts w:ascii="Cambria" w:hAnsi="Cambria"/>
                <w:color w:val="000000" w:themeColor="text1"/>
                <w:sz w:val="24"/>
                <w:szCs w:val="24"/>
              </w:rPr>
              <w:t>GB4387-2008</w:t>
            </w:r>
            <w:r w:rsidRPr="00687B52">
              <w:rPr>
                <w:rFonts w:ascii="Cambria" w:hAnsi="Cambria"/>
                <w:color w:val="000000" w:themeColor="text1"/>
                <w:sz w:val="24"/>
                <w:szCs w:val="24"/>
              </w:rPr>
              <w:t>第</w:t>
            </w:r>
            <w:r w:rsidRPr="00687B52">
              <w:rPr>
                <w:rFonts w:ascii="Cambria" w:hAnsi="Cambria"/>
                <w:color w:val="000000" w:themeColor="text1"/>
                <w:sz w:val="24"/>
                <w:szCs w:val="24"/>
              </w:rPr>
              <w:t>6.1.2</w:t>
            </w:r>
            <w:r w:rsidRPr="00687B52">
              <w:rPr>
                <w:rFonts w:ascii="Cambria" w:hAnsi="Cambria"/>
                <w:color w:val="000000" w:themeColor="text1"/>
                <w:sz w:val="24"/>
                <w:szCs w:val="24"/>
              </w:rPr>
              <w:t>条</w:t>
            </w:r>
          </w:p>
        </w:tc>
        <w:tc>
          <w:tcPr>
            <w:tcW w:w="1283" w:type="pct"/>
            <w:vAlign w:val="center"/>
          </w:tcPr>
          <w:p w:rsidR="00E86619" w:rsidRPr="00687B52" w:rsidRDefault="00E86619" w:rsidP="00B527D4">
            <w:pPr>
              <w:rPr>
                <w:rFonts w:ascii="Cambria" w:hAnsi="Cambria"/>
                <w:color w:val="000000" w:themeColor="text1"/>
                <w:sz w:val="24"/>
                <w:szCs w:val="24"/>
              </w:rPr>
            </w:pPr>
          </w:p>
        </w:tc>
      </w:tr>
      <w:tr w:rsidR="00E86619" w:rsidRPr="00687B52" w:rsidTr="007E7CC4">
        <w:tc>
          <w:tcPr>
            <w:tcW w:w="380" w:type="pct"/>
            <w:vAlign w:val="center"/>
          </w:tcPr>
          <w:p w:rsidR="00E86619" w:rsidRPr="00687B52" w:rsidRDefault="00E86619" w:rsidP="008829DB">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w:t>
            </w:r>
            <w:r w:rsidRPr="00687B52">
              <w:rPr>
                <w:rFonts w:ascii="Cambria" w:hAnsi="Cambria" w:hint="eastAsia"/>
                <w:color w:val="000000" w:themeColor="text1"/>
                <w:sz w:val="24"/>
                <w:szCs w:val="24"/>
              </w:rPr>
              <w:t>24</w:t>
            </w:r>
          </w:p>
        </w:tc>
        <w:tc>
          <w:tcPr>
            <w:tcW w:w="2101"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生产、储存装置及设施不得超温、超压、超液位运行的。</w:t>
            </w:r>
          </w:p>
        </w:tc>
        <w:tc>
          <w:tcPr>
            <w:tcW w:w="1236"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《安全生产法》第</w:t>
            </w:r>
            <w:r w:rsidRPr="00687B52">
              <w:rPr>
                <w:rFonts w:ascii="Cambria" w:hAnsi="Cambria"/>
                <w:color w:val="000000" w:themeColor="text1"/>
                <w:sz w:val="24"/>
                <w:szCs w:val="24"/>
              </w:rPr>
              <w:t>38</w:t>
            </w:r>
            <w:r w:rsidRPr="00687B52">
              <w:rPr>
                <w:rFonts w:ascii="Cambria" w:hAnsi="Cambria"/>
                <w:color w:val="000000" w:themeColor="text1"/>
                <w:sz w:val="24"/>
                <w:szCs w:val="24"/>
              </w:rPr>
              <w:t>条</w:t>
            </w:r>
          </w:p>
        </w:tc>
        <w:tc>
          <w:tcPr>
            <w:tcW w:w="1283" w:type="pct"/>
            <w:vAlign w:val="center"/>
          </w:tcPr>
          <w:p w:rsidR="00E86619" w:rsidRPr="00687B52" w:rsidRDefault="00E86619" w:rsidP="00B527D4">
            <w:pPr>
              <w:rPr>
                <w:rFonts w:ascii="Cambria" w:hAnsi="Cambria"/>
                <w:color w:val="000000" w:themeColor="text1"/>
                <w:sz w:val="24"/>
                <w:szCs w:val="24"/>
              </w:rPr>
            </w:pPr>
          </w:p>
        </w:tc>
      </w:tr>
      <w:tr w:rsidR="00E86619" w:rsidRPr="00687B52" w:rsidTr="007E7CC4">
        <w:tc>
          <w:tcPr>
            <w:tcW w:w="380" w:type="pct"/>
            <w:vAlign w:val="center"/>
          </w:tcPr>
          <w:p w:rsidR="00E86619" w:rsidRPr="00687B52" w:rsidRDefault="00E86619" w:rsidP="008829DB">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w:t>
            </w:r>
            <w:r w:rsidRPr="00687B52">
              <w:rPr>
                <w:rFonts w:ascii="Cambria" w:hAnsi="Cambria" w:hint="eastAsia"/>
                <w:color w:val="000000" w:themeColor="text1"/>
                <w:sz w:val="24"/>
                <w:szCs w:val="24"/>
              </w:rPr>
              <w:t>25</w:t>
            </w:r>
          </w:p>
        </w:tc>
        <w:tc>
          <w:tcPr>
            <w:tcW w:w="2101" w:type="pct"/>
            <w:vAlign w:val="center"/>
          </w:tcPr>
          <w:p w:rsidR="00E86619" w:rsidRPr="00687B52" w:rsidRDefault="00E86619"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安全阀应满足下列要求：</w:t>
            </w:r>
            <w:r w:rsidRPr="00687B52">
              <w:rPr>
                <w:rFonts w:ascii="Cambria" w:hAnsi="Cambria"/>
                <w:color w:val="000000" w:themeColor="text1"/>
                <w:kern w:val="0"/>
                <w:sz w:val="24"/>
                <w:szCs w:val="24"/>
              </w:rPr>
              <w:br/>
              <w:t>①</w:t>
            </w:r>
            <w:r w:rsidRPr="00687B52">
              <w:rPr>
                <w:rFonts w:ascii="Cambria" w:hAnsi="Cambria"/>
                <w:color w:val="000000" w:themeColor="text1"/>
                <w:kern w:val="0"/>
                <w:sz w:val="24"/>
                <w:szCs w:val="24"/>
              </w:rPr>
              <w:t>应垂直安装并应装设在压力容器液面上的气相空间部分或装在与压力容器气相空间相连的管道上；</w:t>
            </w:r>
            <w:r w:rsidRPr="00687B52">
              <w:rPr>
                <w:rFonts w:ascii="Cambria" w:hAnsi="Cambria"/>
                <w:color w:val="000000" w:themeColor="text1"/>
                <w:kern w:val="0"/>
                <w:sz w:val="24"/>
                <w:szCs w:val="24"/>
              </w:rPr>
              <w:br/>
              <w:t>②</w:t>
            </w:r>
            <w:r w:rsidRPr="00687B52">
              <w:rPr>
                <w:rFonts w:ascii="Cambria" w:hAnsi="Cambria"/>
                <w:color w:val="000000" w:themeColor="text1"/>
                <w:kern w:val="0"/>
                <w:sz w:val="24"/>
                <w:szCs w:val="24"/>
              </w:rPr>
              <w:t>安全阀一般每年至少校验一次；</w:t>
            </w:r>
            <w:r w:rsidRPr="00687B52">
              <w:rPr>
                <w:rFonts w:ascii="Cambria" w:hAnsi="Cambria"/>
                <w:color w:val="000000" w:themeColor="text1"/>
                <w:kern w:val="0"/>
                <w:sz w:val="24"/>
                <w:szCs w:val="24"/>
              </w:rPr>
              <w:br/>
              <w:t>③</w:t>
            </w:r>
            <w:r w:rsidRPr="00687B52">
              <w:rPr>
                <w:rFonts w:ascii="Cambria" w:hAnsi="Cambria"/>
                <w:color w:val="000000" w:themeColor="text1"/>
                <w:kern w:val="0"/>
                <w:sz w:val="24"/>
                <w:szCs w:val="24"/>
              </w:rPr>
              <w:t>压力容器与安全阀之间的隔离阀应全开，并加联锁或铅封，且有专人定期检查；</w:t>
            </w:r>
            <w:r w:rsidRPr="00687B52">
              <w:rPr>
                <w:rFonts w:ascii="Cambria" w:hAnsi="Cambria"/>
                <w:color w:val="000000" w:themeColor="text1"/>
                <w:kern w:val="0"/>
                <w:sz w:val="24"/>
                <w:szCs w:val="24"/>
              </w:rPr>
              <w:br/>
              <w:t>④</w:t>
            </w:r>
            <w:r w:rsidRPr="00687B52">
              <w:rPr>
                <w:rFonts w:ascii="Cambria" w:hAnsi="Cambria"/>
                <w:color w:val="000000" w:themeColor="text1"/>
                <w:kern w:val="0"/>
                <w:sz w:val="24"/>
                <w:szCs w:val="24"/>
              </w:rPr>
              <w:t>安全阀的开启压力不得高于设备的设计压力。</w:t>
            </w:r>
          </w:p>
        </w:tc>
        <w:tc>
          <w:tcPr>
            <w:tcW w:w="1236"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w:t>
            </w:r>
            <w:r w:rsidRPr="00687B52">
              <w:rPr>
                <w:rFonts w:ascii="Cambria" w:hAnsi="Cambria" w:hint="eastAsia"/>
                <w:color w:val="000000" w:themeColor="text1"/>
                <w:sz w:val="24"/>
                <w:szCs w:val="24"/>
              </w:rPr>
              <w:t>固定式</w:t>
            </w:r>
            <w:r w:rsidRPr="00687B52">
              <w:rPr>
                <w:rFonts w:ascii="Cambria" w:hAnsi="Cambria"/>
                <w:color w:val="000000" w:themeColor="text1"/>
                <w:sz w:val="24"/>
                <w:szCs w:val="24"/>
              </w:rPr>
              <w:t>压力容器安全技术监察规程》</w:t>
            </w:r>
            <w:r w:rsidRPr="00687B52">
              <w:rPr>
                <w:rFonts w:ascii="Cambria" w:hAnsi="Cambria"/>
                <w:color w:val="000000" w:themeColor="text1"/>
                <w:sz w:val="24"/>
                <w:szCs w:val="24"/>
              </w:rPr>
              <w:t>TSG21-2016</w:t>
            </w:r>
          </w:p>
        </w:tc>
        <w:tc>
          <w:tcPr>
            <w:tcW w:w="1283" w:type="pct"/>
            <w:vAlign w:val="center"/>
          </w:tcPr>
          <w:p w:rsidR="00E86619" w:rsidRPr="00687B52" w:rsidRDefault="00E86619" w:rsidP="00B527D4">
            <w:pPr>
              <w:rPr>
                <w:rFonts w:ascii="Cambria" w:hAnsi="Cambria"/>
                <w:color w:val="000000" w:themeColor="text1"/>
                <w:sz w:val="24"/>
                <w:szCs w:val="24"/>
              </w:rPr>
            </w:pPr>
          </w:p>
        </w:tc>
      </w:tr>
      <w:tr w:rsidR="00E86619" w:rsidRPr="00687B52" w:rsidTr="007E7CC4">
        <w:tc>
          <w:tcPr>
            <w:tcW w:w="380" w:type="pct"/>
            <w:vAlign w:val="center"/>
          </w:tcPr>
          <w:p w:rsidR="00E86619" w:rsidRPr="00687B52" w:rsidRDefault="00E86619" w:rsidP="008829DB">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w:t>
            </w:r>
            <w:r w:rsidRPr="00687B52">
              <w:rPr>
                <w:rFonts w:ascii="Cambria" w:hAnsi="Cambria" w:hint="eastAsia"/>
                <w:color w:val="000000" w:themeColor="text1"/>
                <w:sz w:val="24"/>
                <w:szCs w:val="24"/>
              </w:rPr>
              <w:t>26</w:t>
            </w:r>
          </w:p>
        </w:tc>
        <w:tc>
          <w:tcPr>
            <w:tcW w:w="2101" w:type="pct"/>
            <w:vAlign w:val="center"/>
          </w:tcPr>
          <w:p w:rsidR="00E86619" w:rsidRPr="00687B52" w:rsidRDefault="00E86619"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压力容器、压力管道上的压力表安装前应当进行校定，在刻度盘上应当划出指示工作压力的红线，注明下次校验日期。压力表检定后应当加铅封。压力表应按相关规定定期校验。</w:t>
            </w:r>
          </w:p>
        </w:tc>
        <w:tc>
          <w:tcPr>
            <w:tcW w:w="1236"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《固定式压力容器安全技术监察规程》</w:t>
            </w:r>
            <w:r w:rsidRPr="00687B52">
              <w:rPr>
                <w:rFonts w:ascii="Cambria" w:hAnsi="Cambria"/>
                <w:color w:val="000000" w:themeColor="text1"/>
                <w:sz w:val="24"/>
                <w:szCs w:val="24"/>
              </w:rPr>
              <w:t>TSG21-2016</w:t>
            </w:r>
            <w:r w:rsidRPr="00687B52">
              <w:rPr>
                <w:rFonts w:ascii="Cambria" w:hAnsi="Cambria"/>
                <w:color w:val="000000" w:themeColor="text1"/>
                <w:sz w:val="24"/>
                <w:szCs w:val="24"/>
              </w:rPr>
              <w:t>第</w:t>
            </w:r>
            <w:r w:rsidRPr="00687B52">
              <w:rPr>
                <w:rFonts w:ascii="Cambria" w:hAnsi="Cambria"/>
                <w:color w:val="000000" w:themeColor="text1"/>
                <w:sz w:val="24"/>
                <w:szCs w:val="24"/>
              </w:rPr>
              <w:t>9.2.1.2</w:t>
            </w:r>
            <w:r w:rsidRPr="00687B52">
              <w:rPr>
                <w:rFonts w:ascii="Cambria" w:hAnsi="Cambria"/>
                <w:color w:val="000000" w:themeColor="text1"/>
                <w:sz w:val="24"/>
                <w:szCs w:val="24"/>
              </w:rPr>
              <w:t>条</w:t>
            </w:r>
          </w:p>
        </w:tc>
        <w:tc>
          <w:tcPr>
            <w:tcW w:w="1283" w:type="pct"/>
            <w:vAlign w:val="center"/>
          </w:tcPr>
          <w:p w:rsidR="00E86619" w:rsidRPr="00687B52" w:rsidRDefault="00E86619" w:rsidP="00B527D4">
            <w:pPr>
              <w:rPr>
                <w:rFonts w:ascii="Cambria" w:hAnsi="Cambria"/>
                <w:color w:val="000000" w:themeColor="text1"/>
                <w:sz w:val="24"/>
                <w:szCs w:val="24"/>
              </w:rPr>
            </w:pPr>
          </w:p>
        </w:tc>
      </w:tr>
      <w:tr w:rsidR="00E86619" w:rsidRPr="00687B52" w:rsidTr="007E7CC4">
        <w:tc>
          <w:tcPr>
            <w:tcW w:w="380" w:type="pct"/>
            <w:vAlign w:val="center"/>
          </w:tcPr>
          <w:p w:rsidR="00E86619" w:rsidRPr="00687B52" w:rsidRDefault="00E86619" w:rsidP="008829DB">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w:t>
            </w:r>
            <w:r w:rsidRPr="00687B52">
              <w:rPr>
                <w:rFonts w:ascii="Cambria" w:hAnsi="Cambria" w:hint="eastAsia"/>
                <w:color w:val="000000" w:themeColor="text1"/>
                <w:sz w:val="24"/>
                <w:szCs w:val="24"/>
              </w:rPr>
              <w:t>27</w:t>
            </w:r>
          </w:p>
        </w:tc>
        <w:tc>
          <w:tcPr>
            <w:tcW w:w="2101" w:type="pct"/>
            <w:vAlign w:val="center"/>
          </w:tcPr>
          <w:p w:rsidR="00E86619" w:rsidRPr="00687B52" w:rsidRDefault="00E86619"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液面计有下列情况之一的，应停止使用并更换：</w:t>
            </w:r>
          </w:p>
          <w:p w:rsidR="00E86619" w:rsidRPr="00687B52" w:rsidRDefault="00E86619"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①</w:t>
            </w:r>
            <w:r w:rsidRPr="00687B52">
              <w:rPr>
                <w:rFonts w:ascii="Cambria" w:hAnsi="Cambria"/>
                <w:color w:val="000000" w:themeColor="text1"/>
                <w:kern w:val="0"/>
                <w:sz w:val="24"/>
                <w:szCs w:val="24"/>
              </w:rPr>
              <w:t>超过检修周期。</w:t>
            </w:r>
          </w:p>
          <w:p w:rsidR="00E86619" w:rsidRPr="00687B52" w:rsidRDefault="00E86619"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②</w:t>
            </w:r>
            <w:r w:rsidRPr="00687B52">
              <w:rPr>
                <w:rFonts w:ascii="Cambria" w:hAnsi="Cambria"/>
                <w:color w:val="000000" w:themeColor="text1"/>
                <w:kern w:val="0"/>
                <w:sz w:val="24"/>
                <w:szCs w:val="24"/>
              </w:rPr>
              <w:t>玻璃板</w:t>
            </w:r>
            <w:r w:rsidRPr="00687B52">
              <w:rPr>
                <w:rFonts w:ascii="Cambria" w:hAnsi="Cambria"/>
                <w:color w:val="000000" w:themeColor="text1"/>
                <w:kern w:val="0"/>
                <w:sz w:val="24"/>
                <w:szCs w:val="24"/>
              </w:rPr>
              <w:t>(</w:t>
            </w:r>
            <w:r w:rsidRPr="00687B52">
              <w:rPr>
                <w:rFonts w:ascii="Cambria" w:hAnsi="Cambria"/>
                <w:color w:val="000000" w:themeColor="text1"/>
                <w:kern w:val="0"/>
                <w:sz w:val="24"/>
                <w:szCs w:val="24"/>
              </w:rPr>
              <w:t>管</w:t>
            </w:r>
            <w:r w:rsidRPr="00687B52">
              <w:rPr>
                <w:rFonts w:ascii="Cambria" w:hAnsi="Cambria"/>
                <w:color w:val="000000" w:themeColor="text1"/>
                <w:kern w:val="0"/>
                <w:sz w:val="24"/>
                <w:szCs w:val="24"/>
              </w:rPr>
              <w:t>)</w:t>
            </w:r>
            <w:r w:rsidRPr="00687B52">
              <w:rPr>
                <w:rFonts w:ascii="Cambria" w:hAnsi="Cambria"/>
                <w:color w:val="000000" w:themeColor="text1"/>
                <w:kern w:val="0"/>
                <w:sz w:val="24"/>
                <w:szCs w:val="24"/>
              </w:rPr>
              <w:t>有裂纹、破碎。</w:t>
            </w:r>
          </w:p>
          <w:p w:rsidR="00E86619" w:rsidRPr="00687B52" w:rsidRDefault="00E86619"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③</w:t>
            </w:r>
            <w:r w:rsidRPr="00687B52">
              <w:rPr>
                <w:rFonts w:ascii="Cambria" w:hAnsi="Cambria"/>
                <w:color w:val="000000" w:themeColor="text1"/>
                <w:kern w:val="0"/>
                <w:sz w:val="24"/>
                <w:szCs w:val="24"/>
              </w:rPr>
              <w:t>阀件固死。</w:t>
            </w:r>
          </w:p>
          <w:p w:rsidR="00E86619" w:rsidRPr="00687B52" w:rsidRDefault="00E86619"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④</w:t>
            </w:r>
            <w:r w:rsidRPr="00687B52">
              <w:rPr>
                <w:rFonts w:ascii="Cambria" w:hAnsi="Cambria"/>
                <w:color w:val="000000" w:themeColor="text1"/>
                <w:kern w:val="0"/>
                <w:sz w:val="24"/>
                <w:szCs w:val="24"/>
              </w:rPr>
              <w:t>出现假液位。</w:t>
            </w:r>
          </w:p>
          <w:p w:rsidR="00E86619" w:rsidRPr="00687B52" w:rsidRDefault="00E86619"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⑤</w:t>
            </w:r>
            <w:r w:rsidRPr="00687B52">
              <w:rPr>
                <w:rFonts w:ascii="Cambria" w:hAnsi="Cambria"/>
                <w:color w:val="000000" w:themeColor="text1"/>
                <w:kern w:val="0"/>
                <w:sz w:val="24"/>
                <w:szCs w:val="24"/>
              </w:rPr>
              <w:t>液面计指示模糊不清。</w:t>
            </w:r>
          </w:p>
        </w:tc>
        <w:tc>
          <w:tcPr>
            <w:tcW w:w="1236"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w:t>
            </w:r>
            <w:r w:rsidRPr="00687B52">
              <w:rPr>
                <w:rFonts w:ascii="Cambria" w:hAnsi="Cambria" w:hint="eastAsia"/>
                <w:color w:val="000000" w:themeColor="text1"/>
                <w:sz w:val="24"/>
                <w:szCs w:val="24"/>
              </w:rPr>
              <w:t>固定式</w:t>
            </w:r>
            <w:r w:rsidRPr="00687B52">
              <w:rPr>
                <w:rFonts w:ascii="Cambria" w:hAnsi="Cambria"/>
                <w:color w:val="000000" w:themeColor="text1"/>
                <w:sz w:val="24"/>
                <w:szCs w:val="24"/>
              </w:rPr>
              <w:t>压力容器安全技术监察规程》</w:t>
            </w:r>
            <w:r w:rsidRPr="00687B52">
              <w:rPr>
                <w:rFonts w:ascii="Cambria" w:hAnsi="Cambria"/>
                <w:color w:val="000000" w:themeColor="text1"/>
                <w:sz w:val="24"/>
                <w:szCs w:val="24"/>
              </w:rPr>
              <w:t>TSG21-2016</w:t>
            </w:r>
          </w:p>
        </w:tc>
        <w:tc>
          <w:tcPr>
            <w:tcW w:w="1283" w:type="pct"/>
            <w:vAlign w:val="center"/>
          </w:tcPr>
          <w:p w:rsidR="00E86619" w:rsidRPr="00687B52" w:rsidRDefault="00E86619" w:rsidP="00B527D4">
            <w:pPr>
              <w:rPr>
                <w:rFonts w:ascii="Cambria" w:hAnsi="Cambria"/>
                <w:color w:val="000000" w:themeColor="text1"/>
                <w:sz w:val="24"/>
                <w:szCs w:val="24"/>
              </w:rPr>
            </w:pPr>
          </w:p>
        </w:tc>
      </w:tr>
      <w:tr w:rsidR="00E86619" w:rsidRPr="00687B52" w:rsidTr="007E7CC4">
        <w:tc>
          <w:tcPr>
            <w:tcW w:w="380" w:type="pct"/>
            <w:vAlign w:val="center"/>
          </w:tcPr>
          <w:p w:rsidR="00E86619" w:rsidRPr="00687B52" w:rsidRDefault="00E86619" w:rsidP="008829DB">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w:t>
            </w:r>
            <w:r w:rsidRPr="00687B52">
              <w:rPr>
                <w:rFonts w:ascii="Cambria" w:hAnsi="Cambria" w:hint="eastAsia"/>
                <w:color w:val="000000" w:themeColor="text1"/>
                <w:sz w:val="24"/>
                <w:szCs w:val="24"/>
              </w:rPr>
              <w:t>28</w:t>
            </w:r>
          </w:p>
        </w:tc>
        <w:tc>
          <w:tcPr>
            <w:tcW w:w="2101" w:type="pct"/>
            <w:vAlign w:val="center"/>
          </w:tcPr>
          <w:p w:rsidR="00E86619" w:rsidRPr="00687B52" w:rsidRDefault="00E86619"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可燃气体和有毒气体检测报警系统宜独立设置。</w:t>
            </w:r>
          </w:p>
        </w:tc>
        <w:tc>
          <w:tcPr>
            <w:tcW w:w="1236" w:type="pct"/>
            <w:vAlign w:val="center"/>
          </w:tcPr>
          <w:p w:rsidR="00E86619" w:rsidRPr="00687B52" w:rsidRDefault="00E86619" w:rsidP="0028453F">
            <w:pPr>
              <w:rPr>
                <w:rFonts w:ascii="Cambria" w:hAnsi="Cambria"/>
                <w:color w:val="000000" w:themeColor="text1"/>
                <w:sz w:val="24"/>
                <w:szCs w:val="24"/>
              </w:rPr>
            </w:pPr>
            <w:r w:rsidRPr="00687B52">
              <w:rPr>
                <w:rFonts w:ascii="Cambria" w:hAnsi="Cambria"/>
                <w:color w:val="000000" w:themeColor="text1"/>
                <w:kern w:val="0"/>
                <w:sz w:val="24"/>
                <w:szCs w:val="24"/>
              </w:rPr>
              <w:t>《石油化工可燃气体和有毒气体检测报警设计规范》</w:t>
            </w:r>
            <w:r w:rsidRPr="00687B52">
              <w:rPr>
                <w:rFonts w:ascii="Cambria" w:hAnsi="Cambria"/>
                <w:color w:val="000000" w:themeColor="text1"/>
                <w:kern w:val="0"/>
                <w:sz w:val="24"/>
                <w:szCs w:val="24"/>
              </w:rPr>
              <w:t>GB50493-2009</w:t>
            </w:r>
            <w:r w:rsidRPr="00687B52">
              <w:rPr>
                <w:rFonts w:ascii="Cambria" w:hAnsi="Cambria"/>
                <w:color w:val="000000" w:themeColor="text1"/>
                <w:kern w:val="0"/>
                <w:sz w:val="24"/>
                <w:szCs w:val="24"/>
              </w:rPr>
              <w:t>第</w:t>
            </w:r>
            <w:r w:rsidRPr="00687B52">
              <w:rPr>
                <w:rFonts w:ascii="Cambria" w:hAnsi="Cambria"/>
                <w:color w:val="000000" w:themeColor="text1"/>
                <w:kern w:val="0"/>
                <w:sz w:val="24"/>
                <w:szCs w:val="24"/>
              </w:rPr>
              <w:t>3.0.9</w:t>
            </w:r>
            <w:r w:rsidRPr="00687B52">
              <w:rPr>
                <w:rFonts w:ascii="Cambria" w:hAnsi="Cambria"/>
                <w:color w:val="000000" w:themeColor="text1"/>
                <w:kern w:val="0"/>
                <w:sz w:val="24"/>
                <w:szCs w:val="24"/>
              </w:rPr>
              <w:t>条</w:t>
            </w:r>
          </w:p>
        </w:tc>
        <w:tc>
          <w:tcPr>
            <w:tcW w:w="1283" w:type="pct"/>
            <w:vAlign w:val="center"/>
          </w:tcPr>
          <w:p w:rsidR="00E86619" w:rsidRPr="00687B52" w:rsidRDefault="00E86619" w:rsidP="00B527D4">
            <w:pPr>
              <w:rPr>
                <w:rFonts w:ascii="Cambria" w:hAnsi="Cambria"/>
                <w:color w:val="000000" w:themeColor="text1"/>
                <w:sz w:val="24"/>
                <w:szCs w:val="24"/>
              </w:rPr>
            </w:pPr>
          </w:p>
        </w:tc>
      </w:tr>
      <w:tr w:rsidR="00E86619" w:rsidRPr="00687B52" w:rsidTr="007E7CC4">
        <w:tc>
          <w:tcPr>
            <w:tcW w:w="380" w:type="pct"/>
            <w:vAlign w:val="center"/>
          </w:tcPr>
          <w:p w:rsidR="00E86619" w:rsidRPr="00687B52" w:rsidRDefault="00E86619" w:rsidP="008829DB">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w:t>
            </w:r>
            <w:r w:rsidRPr="00687B52">
              <w:rPr>
                <w:rFonts w:ascii="Cambria" w:hAnsi="Cambria" w:hint="eastAsia"/>
                <w:color w:val="000000" w:themeColor="text1"/>
                <w:sz w:val="24"/>
                <w:szCs w:val="24"/>
              </w:rPr>
              <w:t>29</w:t>
            </w:r>
          </w:p>
        </w:tc>
        <w:tc>
          <w:tcPr>
            <w:tcW w:w="2101"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可能泄漏可燃气体、有毒气体的主要释放源：</w:t>
            </w:r>
          </w:p>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①</w:t>
            </w:r>
            <w:r w:rsidRPr="00687B52">
              <w:rPr>
                <w:rFonts w:ascii="Cambria" w:hAnsi="Cambria"/>
                <w:color w:val="000000" w:themeColor="text1"/>
                <w:sz w:val="24"/>
                <w:szCs w:val="24"/>
              </w:rPr>
              <w:t>气体压缩机和液体泵的动密封；</w:t>
            </w:r>
          </w:p>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②</w:t>
            </w:r>
            <w:r w:rsidRPr="00687B52">
              <w:rPr>
                <w:rFonts w:ascii="Cambria" w:hAnsi="Cambria"/>
                <w:color w:val="000000" w:themeColor="text1"/>
                <w:sz w:val="24"/>
                <w:szCs w:val="24"/>
              </w:rPr>
              <w:t>液体采样口和气体采样口；</w:t>
            </w:r>
          </w:p>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③</w:t>
            </w:r>
            <w:r w:rsidRPr="00687B52">
              <w:rPr>
                <w:rFonts w:ascii="Cambria" w:hAnsi="Cambria"/>
                <w:color w:val="000000" w:themeColor="text1"/>
                <w:sz w:val="24"/>
                <w:szCs w:val="24"/>
              </w:rPr>
              <w:t>液体排液（水）口和放空口；</w:t>
            </w:r>
          </w:p>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④</w:t>
            </w:r>
            <w:r w:rsidRPr="00687B52">
              <w:rPr>
                <w:rFonts w:ascii="Cambria" w:hAnsi="Cambria"/>
                <w:color w:val="000000" w:themeColor="text1"/>
                <w:sz w:val="24"/>
                <w:szCs w:val="24"/>
              </w:rPr>
              <w:t>设备和管道的法兰和阀门组。</w:t>
            </w:r>
          </w:p>
        </w:tc>
        <w:tc>
          <w:tcPr>
            <w:tcW w:w="1236" w:type="pct"/>
            <w:vAlign w:val="center"/>
          </w:tcPr>
          <w:p w:rsidR="00E86619" w:rsidRPr="00687B52" w:rsidRDefault="00E86619" w:rsidP="0028453F">
            <w:pPr>
              <w:rPr>
                <w:rFonts w:ascii="Cambria" w:hAnsi="Cambria"/>
                <w:color w:val="000000" w:themeColor="text1"/>
                <w:sz w:val="24"/>
                <w:szCs w:val="24"/>
              </w:rPr>
            </w:pPr>
            <w:r w:rsidRPr="00687B52">
              <w:rPr>
                <w:rFonts w:ascii="Cambria" w:hAnsi="Cambria"/>
                <w:color w:val="000000" w:themeColor="text1"/>
                <w:sz w:val="24"/>
                <w:szCs w:val="24"/>
              </w:rPr>
              <w:t>《石油化工可燃气体和有毒气体检测报警设计规范》</w:t>
            </w:r>
            <w:r w:rsidRPr="00687B52">
              <w:rPr>
                <w:rFonts w:ascii="Cambria" w:hAnsi="Cambria"/>
                <w:color w:val="000000" w:themeColor="text1"/>
                <w:sz w:val="24"/>
                <w:szCs w:val="24"/>
              </w:rPr>
              <w:t>GB50493-2009</w:t>
            </w:r>
            <w:r w:rsidRPr="00687B52">
              <w:rPr>
                <w:rFonts w:ascii="Cambria" w:hAnsi="Cambria"/>
                <w:color w:val="000000" w:themeColor="text1"/>
                <w:sz w:val="24"/>
                <w:szCs w:val="24"/>
              </w:rPr>
              <w:t>第</w:t>
            </w:r>
            <w:r w:rsidRPr="00687B52">
              <w:rPr>
                <w:rFonts w:ascii="Cambria" w:hAnsi="Cambria"/>
                <w:color w:val="000000" w:themeColor="text1"/>
                <w:sz w:val="24"/>
                <w:szCs w:val="24"/>
              </w:rPr>
              <w:t>4.1.2</w:t>
            </w:r>
            <w:r w:rsidR="0028453F" w:rsidRPr="00687B52">
              <w:rPr>
                <w:rFonts w:ascii="Cambria" w:hAnsi="Cambria" w:hint="eastAsia"/>
                <w:color w:val="000000" w:themeColor="text1"/>
                <w:sz w:val="24"/>
                <w:szCs w:val="24"/>
              </w:rPr>
              <w:t>条</w:t>
            </w:r>
          </w:p>
        </w:tc>
        <w:tc>
          <w:tcPr>
            <w:tcW w:w="1283" w:type="pct"/>
            <w:vAlign w:val="center"/>
          </w:tcPr>
          <w:p w:rsidR="00E86619" w:rsidRPr="00687B52" w:rsidRDefault="00E86619" w:rsidP="00B527D4">
            <w:pPr>
              <w:rPr>
                <w:rFonts w:ascii="Cambria" w:hAnsi="Cambria"/>
                <w:color w:val="000000" w:themeColor="text1"/>
                <w:sz w:val="24"/>
                <w:szCs w:val="24"/>
              </w:rPr>
            </w:pPr>
          </w:p>
        </w:tc>
      </w:tr>
      <w:tr w:rsidR="00E86619" w:rsidRPr="00687B52" w:rsidTr="007E7CC4">
        <w:tc>
          <w:tcPr>
            <w:tcW w:w="380" w:type="pct"/>
            <w:vAlign w:val="center"/>
          </w:tcPr>
          <w:p w:rsidR="00E86619" w:rsidRPr="00687B52" w:rsidRDefault="00E86619" w:rsidP="008829DB">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.3</w:t>
            </w:r>
            <w:r w:rsidRPr="00687B52">
              <w:rPr>
                <w:rFonts w:ascii="Cambria" w:hAnsi="Cambria" w:hint="eastAsia"/>
                <w:color w:val="000000" w:themeColor="text1"/>
                <w:sz w:val="24"/>
                <w:szCs w:val="24"/>
              </w:rPr>
              <w:t>0</w:t>
            </w:r>
          </w:p>
        </w:tc>
        <w:tc>
          <w:tcPr>
            <w:tcW w:w="2101"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检测比空气重的可燃气体检（探）测器，其安装高度应距地坪（或楼地板）</w:t>
            </w:r>
            <w:r w:rsidRPr="00687B52">
              <w:rPr>
                <w:rFonts w:ascii="Cambria" w:hAnsi="Cambria"/>
                <w:color w:val="000000" w:themeColor="text1"/>
                <w:sz w:val="24"/>
                <w:szCs w:val="24"/>
              </w:rPr>
              <w:t>0.3</w:t>
            </w:r>
            <w:r w:rsidRPr="00687B52">
              <w:rPr>
                <w:rFonts w:ascii="Cambria" w:hAnsi="Cambria"/>
                <w:color w:val="000000" w:themeColor="text1"/>
                <w:sz w:val="24"/>
                <w:szCs w:val="24"/>
              </w:rPr>
              <w:t>～</w:t>
            </w:r>
            <w:r w:rsidRPr="00687B52">
              <w:rPr>
                <w:rFonts w:ascii="Cambria" w:hAnsi="Cambria"/>
                <w:color w:val="000000" w:themeColor="text1"/>
                <w:sz w:val="24"/>
                <w:szCs w:val="24"/>
              </w:rPr>
              <w:t>0.6m</w:t>
            </w:r>
            <w:r w:rsidRPr="00687B52">
              <w:rPr>
                <w:rFonts w:ascii="Cambria" w:hAnsi="Cambria"/>
                <w:color w:val="000000" w:themeColor="text1"/>
                <w:sz w:val="24"/>
                <w:szCs w:val="24"/>
              </w:rPr>
              <w:t>。检测比空气重的有毒气体的检（探）测器，应靠近泄漏点</w:t>
            </w:r>
            <w:r w:rsidRPr="00687B52">
              <w:rPr>
                <w:rFonts w:ascii="Cambria" w:hAnsi="Cambria"/>
                <w:color w:val="000000" w:themeColor="text1"/>
                <w:sz w:val="24"/>
                <w:szCs w:val="24"/>
              </w:rPr>
              <w:t>,</w:t>
            </w:r>
            <w:r w:rsidRPr="00687B52">
              <w:rPr>
                <w:rFonts w:ascii="Cambria" w:hAnsi="Cambria"/>
                <w:color w:val="000000" w:themeColor="text1"/>
                <w:sz w:val="24"/>
                <w:szCs w:val="24"/>
              </w:rPr>
              <w:t>其安装高度应距地坪（或楼地板）</w:t>
            </w:r>
            <w:r w:rsidRPr="00687B52">
              <w:rPr>
                <w:rFonts w:ascii="Cambria" w:hAnsi="Cambria"/>
                <w:color w:val="000000" w:themeColor="text1"/>
                <w:sz w:val="24"/>
                <w:szCs w:val="24"/>
              </w:rPr>
              <w:t>0.3</w:t>
            </w:r>
            <w:r w:rsidRPr="00687B52">
              <w:rPr>
                <w:rFonts w:ascii="Cambria" w:hAnsi="Cambria"/>
                <w:color w:val="000000" w:themeColor="text1"/>
                <w:sz w:val="24"/>
                <w:szCs w:val="24"/>
              </w:rPr>
              <w:t>～</w:t>
            </w:r>
            <w:r w:rsidRPr="00687B52">
              <w:rPr>
                <w:rFonts w:ascii="Cambria" w:hAnsi="Cambria"/>
                <w:color w:val="000000" w:themeColor="text1"/>
                <w:sz w:val="24"/>
                <w:szCs w:val="24"/>
              </w:rPr>
              <w:t>0.6m</w:t>
            </w:r>
            <w:r w:rsidRPr="00687B52">
              <w:rPr>
                <w:rFonts w:ascii="Cambria" w:hAnsi="Cambria"/>
                <w:color w:val="000000" w:themeColor="text1"/>
                <w:sz w:val="24"/>
                <w:szCs w:val="24"/>
              </w:rPr>
              <w:t>。</w:t>
            </w:r>
          </w:p>
        </w:tc>
        <w:tc>
          <w:tcPr>
            <w:tcW w:w="1236" w:type="pct"/>
            <w:vAlign w:val="center"/>
          </w:tcPr>
          <w:p w:rsidR="00E86619" w:rsidRPr="00687B52" w:rsidRDefault="00E86619" w:rsidP="0028453F">
            <w:pPr>
              <w:rPr>
                <w:rFonts w:ascii="Cambria" w:hAnsi="Cambria"/>
                <w:color w:val="000000" w:themeColor="text1"/>
                <w:sz w:val="24"/>
                <w:szCs w:val="24"/>
              </w:rPr>
            </w:pPr>
            <w:r w:rsidRPr="00687B52">
              <w:rPr>
                <w:rFonts w:ascii="Cambria" w:hAnsi="Cambria"/>
                <w:color w:val="000000" w:themeColor="text1"/>
                <w:sz w:val="24"/>
                <w:szCs w:val="24"/>
              </w:rPr>
              <w:t>《石油化工可燃气体和有毒气体检测报警设计规范》</w:t>
            </w:r>
            <w:r w:rsidRPr="00687B52">
              <w:rPr>
                <w:rFonts w:ascii="Cambria" w:hAnsi="Cambria"/>
                <w:color w:val="000000" w:themeColor="text1"/>
                <w:sz w:val="24"/>
                <w:szCs w:val="24"/>
              </w:rPr>
              <w:t>GB50493-2009</w:t>
            </w:r>
            <w:r w:rsidRPr="00687B52">
              <w:rPr>
                <w:rFonts w:ascii="Cambria" w:hAnsi="Cambria"/>
                <w:color w:val="000000" w:themeColor="text1"/>
                <w:sz w:val="24"/>
                <w:szCs w:val="24"/>
              </w:rPr>
              <w:t>第</w:t>
            </w:r>
            <w:r w:rsidRPr="00687B52">
              <w:rPr>
                <w:rFonts w:ascii="Cambria" w:hAnsi="Cambria"/>
                <w:color w:val="000000" w:themeColor="text1"/>
                <w:sz w:val="24"/>
                <w:szCs w:val="24"/>
              </w:rPr>
              <w:t>6.1.1</w:t>
            </w:r>
            <w:r w:rsidR="0028453F" w:rsidRPr="00687B52">
              <w:rPr>
                <w:rFonts w:ascii="Cambria" w:hAnsi="Cambria" w:hint="eastAsia"/>
                <w:color w:val="000000" w:themeColor="text1"/>
                <w:sz w:val="24"/>
                <w:szCs w:val="24"/>
              </w:rPr>
              <w:t>条</w:t>
            </w:r>
          </w:p>
        </w:tc>
        <w:tc>
          <w:tcPr>
            <w:tcW w:w="1283" w:type="pct"/>
            <w:vAlign w:val="center"/>
          </w:tcPr>
          <w:p w:rsidR="00E86619" w:rsidRPr="00687B52" w:rsidRDefault="00E86619" w:rsidP="00B527D4">
            <w:pPr>
              <w:rPr>
                <w:rFonts w:ascii="Cambria" w:hAnsi="Cambria"/>
                <w:color w:val="000000" w:themeColor="text1"/>
                <w:sz w:val="24"/>
                <w:szCs w:val="24"/>
              </w:rPr>
            </w:pPr>
          </w:p>
        </w:tc>
      </w:tr>
      <w:tr w:rsidR="00E86619" w:rsidRPr="00687B52" w:rsidTr="007E7CC4">
        <w:tc>
          <w:tcPr>
            <w:tcW w:w="380" w:type="pct"/>
            <w:vAlign w:val="center"/>
          </w:tcPr>
          <w:p w:rsidR="00E86619" w:rsidRPr="00687B52" w:rsidRDefault="00E86619" w:rsidP="008829DB">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r w:rsidRPr="00687B52">
              <w:rPr>
                <w:rFonts w:ascii="Cambria" w:hAnsi="Cambria"/>
                <w:color w:val="000000" w:themeColor="text1"/>
                <w:sz w:val="24"/>
                <w:szCs w:val="24"/>
              </w:rPr>
              <w:t>.</w:t>
            </w:r>
            <w:r w:rsidRPr="00687B52">
              <w:rPr>
                <w:rFonts w:ascii="Cambria" w:hAnsi="Cambria" w:hint="eastAsia"/>
                <w:color w:val="000000" w:themeColor="text1"/>
                <w:sz w:val="24"/>
                <w:szCs w:val="24"/>
              </w:rPr>
              <w:t>31</w:t>
            </w:r>
          </w:p>
        </w:tc>
        <w:tc>
          <w:tcPr>
            <w:tcW w:w="2101"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检测比空气轻的可燃气体或有毒气体的检（探）测器，其安装高度应高出释放源</w:t>
            </w:r>
            <w:r w:rsidRPr="00687B52">
              <w:rPr>
                <w:rFonts w:ascii="Cambria" w:hAnsi="Cambria"/>
                <w:color w:val="000000" w:themeColor="text1"/>
                <w:sz w:val="24"/>
                <w:szCs w:val="24"/>
              </w:rPr>
              <w:t>0.5</w:t>
            </w:r>
            <w:r w:rsidRPr="00687B52">
              <w:rPr>
                <w:rFonts w:ascii="Cambria" w:hAnsi="Cambria"/>
                <w:color w:val="000000" w:themeColor="text1"/>
                <w:sz w:val="24"/>
                <w:szCs w:val="24"/>
              </w:rPr>
              <w:t>～</w:t>
            </w:r>
            <w:r w:rsidRPr="00687B52">
              <w:rPr>
                <w:rFonts w:ascii="Cambria" w:hAnsi="Cambria"/>
                <w:color w:val="000000" w:themeColor="text1"/>
                <w:sz w:val="24"/>
                <w:szCs w:val="24"/>
              </w:rPr>
              <w:t>2m</w:t>
            </w:r>
            <w:r w:rsidRPr="00687B52">
              <w:rPr>
                <w:rFonts w:ascii="Cambria" w:hAnsi="Cambria"/>
                <w:color w:val="000000" w:themeColor="text1"/>
                <w:sz w:val="24"/>
                <w:szCs w:val="24"/>
              </w:rPr>
              <w:t>。</w:t>
            </w:r>
          </w:p>
        </w:tc>
        <w:tc>
          <w:tcPr>
            <w:tcW w:w="1236"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《石油化工可燃气体和有毒气体检测报警设计规范》</w:t>
            </w:r>
            <w:r w:rsidRPr="00687B52">
              <w:rPr>
                <w:rFonts w:ascii="Cambria" w:hAnsi="Cambria"/>
                <w:color w:val="000000" w:themeColor="text1"/>
                <w:sz w:val="24"/>
                <w:szCs w:val="24"/>
              </w:rPr>
              <w:t>GB50493-2009</w:t>
            </w:r>
            <w:r w:rsidRPr="00687B52">
              <w:rPr>
                <w:rFonts w:ascii="Cambria" w:hAnsi="Cambria"/>
                <w:color w:val="000000" w:themeColor="text1"/>
                <w:sz w:val="24"/>
                <w:szCs w:val="24"/>
              </w:rPr>
              <w:t>第</w:t>
            </w:r>
            <w:r w:rsidRPr="00687B52">
              <w:rPr>
                <w:rFonts w:ascii="Cambria" w:hAnsi="Cambria"/>
                <w:color w:val="000000" w:themeColor="text1"/>
                <w:sz w:val="24"/>
                <w:szCs w:val="24"/>
              </w:rPr>
              <w:t>6.1.2</w:t>
            </w:r>
            <w:r w:rsidR="0028453F" w:rsidRPr="00687B52">
              <w:rPr>
                <w:rFonts w:ascii="Cambria" w:hAnsi="Cambria" w:hint="eastAsia"/>
                <w:color w:val="000000" w:themeColor="text1"/>
                <w:sz w:val="24"/>
                <w:szCs w:val="24"/>
              </w:rPr>
              <w:t>条</w:t>
            </w:r>
          </w:p>
        </w:tc>
        <w:tc>
          <w:tcPr>
            <w:tcW w:w="1283" w:type="pct"/>
            <w:vAlign w:val="center"/>
          </w:tcPr>
          <w:p w:rsidR="00E86619" w:rsidRPr="00687B52" w:rsidRDefault="00E86619" w:rsidP="00B527D4">
            <w:pPr>
              <w:rPr>
                <w:rFonts w:ascii="Cambria" w:hAnsi="Cambria"/>
                <w:color w:val="000000" w:themeColor="text1"/>
                <w:sz w:val="24"/>
                <w:szCs w:val="24"/>
              </w:rPr>
            </w:pPr>
          </w:p>
        </w:tc>
      </w:tr>
      <w:tr w:rsidR="00E86619" w:rsidRPr="00687B52" w:rsidTr="007E7CC4">
        <w:tc>
          <w:tcPr>
            <w:tcW w:w="380" w:type="pct"/>
            <w:vAlign w:val="center"/>
          </w:tcPr>
          <w:p w:rsidR="00E86619" w:rsidRPr="00687B52" w:rsidRDefault="00E86619" w:rsidP="008829DB">
            <w:pPr>
              <w:jc w:val="center"/>
              <w:rPr>
                <w:rFonts w:ascii="Cambria" w:hAnsi="Cambria"/>
                <w:color w:val="000000" w:themeColor="text1"/>
                <w:sz w:val="24"/>
                <w:szCs w:val="24"/>
              </w:rPr>
            </w:pPr>
            <w:r w:rsidRPr="00687B52">
              <w:rPr>
                <w:rFonts w:ascii="Cambria" w:hAnsi="Cambria" w:hint="eastAsia"/>
                <w:color w:val="000000" w:themeColor="text1"/>
                <w:sz w:val="24"/>
                <w:szCs w:val="24"/>
              </w:rPr>
              <w:t>11.32</w:t>
            </w:r>
          </w:p>
        </w:tc>
        <w:tc>
          <w:tcPr>
            <w:tcW w:w="2101"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涉及可燃气体及有毒气体的工艺装置和储运设施，应设置可燃气体和有毒气体的泄露浓度检测。有毒有害、可燃气体泄漏检测报警信号应发送至有操作人员常驻的控制室、现场操作室进行报警。</w:t>
            </w:r>
          </w:p>
        </w:tc>
        <w:tc>
          <w:tcPr>
            <w:tcW w:w="1236" w:type="pct"/>
            <w:vAlign w:val="center"/>
          </w:tcPr>
          <w:p w:rsidR="00E86619" w:rsidRPr="00687B52" w:rsidRDefault="00E86619" w:rsidP="00B527D4">
            <w:pPr>
              <w:rPr>
                <w:rFonts w:ascii="Cambria" w:hAnsi="Cambria"/>
                <w:color w:val="000000" w:themeColor="text1"/>
                <w:sz w:val="24"/>
                <w:szCs w:val="24"/>
              </w:rPr>
            </w:pPr>
            <w:r w:rsidRPr="00687B52">
              <w:rPr>
                <w:rFonts w:ascii="Cambria" w:hAnsi="Cambria"/>
                <w:color w:val="000000" w:themeColor="text1"/>
                <w:sz w:val="24"/>
                <w:szCs w:val="24"/>
              </w:rPr>
              <w:t>《石油化工可燃气体和有毒气体检测报警设计规范》</w:t>
            </w:r>
            <w:r w:rsidRPr="00687B52">
              <w:rPr>
                <w:rFonts w:ascii="Cambria" w:hAnsi="Cambria"/>
                <w:color w:val="000000" w:themeColor="text1"/>
                <w:sz w:val="24"/>
                <w:szCs w:val="24"/>
              </w:rPr>
              <w:t>GB50493-2009</w:t>
            </w:r>
            <w:r w:rsidRPr="00687B52">
              <w:rPr>
                <w:rFonts w:ascii="Cambria" w:hAnsi="Cambria"/>
                <w:color w:val="000000" w:themeColor="text1"/>
                <w:sz w:val="24"/>
                <w:szCs w:val="24"/>
              </w:rPr>
              <w:t>第</w:t>
            </w:r>
            <w:r w:rsidRPr="00687B52">
              <w:rPr>
                <w:rFonts w:ascii="Cambria" w:hAnsi="Cambria"/>
                <w:color w:val="000000" w:themeColor="text1"/>
                <w:sz w:val="24"/>
                <w:szCs w:val="24"/>
              </w:rPr>
              <w:t>3.0</w:t>
            </w:r>
            <w:r w:rsidRPr="00687B52">
              <w:rPr>
                <w:rFonts w:ascii="Cambria" w:hAnsi="Cambria"/>
                <w:color w:val="000000" w:themeColor="text1"/>
                <w:sz w:val="24"/>
                <w:szCs w:val="24"/>
              </w:rPr>
              <w:t>条</w:t>
            </w:r>
          </w:p>
        </w:tc>
        <w:tc>
          <w:tcPr>
            <w:tcW w:w="1283" w:type="pct"/>
            <w:vAlign w:val="center"/>
          </w:tcPr>
          <w:p w:rsidR="00E86619" w:rsidRPr="00687B52" w:rsidRDefault="00E86619"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9032A" w:rsidP="00B527D4">
            <w:pPr>
              <w:jc w:val="center"/>
              <w:rPr>
                <w:rFonts w:ascii="Cambria" w:hAnsi="Cambria"/>
                <w:b/>
                <w:color w:val="000000" w:themeColor="text1"/>
                <w:sz w:val="24"/>
                <w:szCs w:val="24"/>
              </w:rPr>
            </w:pPr>
            <w:r w:rsidRPr="00687B52">
              <w:rPr>
                <w:rFonts w:ascii="Cambria" w:hAnsi="Cambria" w:hint="eastAsia"/>
                <w:b/>
                <w:color w:val="000000" w:themeColor="text1"/>
                <w:sz w:val="24"/>
                <w:szCs w:val="24"/>
              </w:rPr>
              <w:t>12</w:t>
            </w:r>
          </w:p>
        </w:tc>
        <w:tc>
          <w:tcPr>
            <w:tcW w:w="2101" w:type="pct"/>
            <w:vAlign w:val="center"/>
          </w:tcPr>
          <w:p w:rsidR="000E02C5" w:rsidRPr="00687B52" w:rsidRDefault="000E02C5" w:rsidP="00B527D4">
            <w:pPr>
              <w:rPr>
                <w:rFonts w:ascii="Cambria" w:hAnsi="Cambria"/>
                <w:b/>
                <w:color w:val="000000" w:themeColor="text1"/>
                <w:sz w:val="24"/>
                <w:szCs w:val="24"/>
              </w:rPr>
            </w:pPr>
            <w:r w:rsidRPr="00687B52">
              <w:rPr>
                <w:rFonts w:ascii="Cambria" w:hAnsi="Cambria"/>
                <w:b/>
                <w:color w:val="000000" w:themeColor="text1"/>
                <w:sz w:val="24"/>
                <w:szCs w:val="24"/>
              </w:rPr>
              <w:t>公用工程</w:t>
            </w:r>
          </w:p>
        </w:tc>
        <w:tc>
          <w:tcPr>
            <w:tcW w:w="1236" w:type="pct"/>
            <w:vAlign w:val="center"/>
          </w:tcPr>
          <w:p w:rsidR="000E02C5" w:rsidRPr="00687B52" w:rsidRDefault="000E02C5" w:rsidP="00B527D4">
            <w:pPr>
              <w:rPr>
                <w:rFonts w:ascii="Cambria" w:hAnsi="Cambria"/>
                <w:color w:val="000000" w:themeColor="text1"/>
                <w:sz w:val="24"/>
                <w:szCs w:val="24"/>
              </w:rPr>
            </w:pP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b/>
                <w:color w:val="000000" w:themeColor="text1"/>
                <w:sz w:val="24"/>
                <w:szCs w:val="24"/>
              </w:rPr>
            </w:pPr>
            <w:r w:rsidRPr="00687B52">
              <w:rPr>
                <w:rFonts w:ascii="Cambria" w:hAnsi="Cambria" w:hint="eastAsia"/>
                <w:b/>
                <w:color w:val="000000" w:themeColor="text1"/>
                <w:sz w:val="24"/>
                <w:szCs w:val="24"/>
              </w:rPr>
              <w:t>12.1</w:t>
            </w:r>
          </w:p>
        </w:tc>
        <w:tc>
          <w:tcPr>
            <w:tcW w:w="2101" w:type="pct"/>
            <w:vAlign w:val="center"/>
          </w:tcPr>
          <w:p w:rsidR="000E02C5" w:rsidRPr="00687B52" w:rsidRDefault="000E02C5" w:rsidP="00B527D4">
            <w:pPr>
              <w:rPr>
                <w:rFonts w:ascii="Cambria" w:hAnsi="Cambria"/>
                <w:b/>
                <w:color w:val="000000" w:themeColor="text1"/>
                <w:sz w:val="24"/>
                <w:szCs w:val="24"/>
              </w:rPr>
            </w:pPr>
            <w:r w:rsidRPr="00687B52">
              <w:rPr>
                <w:rFonts w:ascii="Cambria" w:hAnsi="Cambria"/>
                <w:b/>
                <w:color w:val="000000" w:themeColor="text1"/>
                <w:sz w:val="24"/>
                <w:szCs w:val="24"/>
              </w:rPr>
              <w:t>消防系统及应急处理</w:t>
            </w:r>
          </w:p>
        </w:tc>
        <w:tc>
          <w:tcPr>
            <w:tcW w:w="1236" w:type="pct"/>
            <w:vAlign w:val="center"/>
          </w:tcPr>
          <w:p w:rsidR="000E02C5" w:rsidRPr="00687B52" w:rsidRDefault="000E02C5" w:rsidP="00B527D4">
            <w:pPr>
              <w:rPr>
                <w:rFonts w:ascii="Cambria" w:hAnsi="Cambria"/>
                <w:color w:val="000000" w:themeColor="text1"/>
                <w:sz w:val="24"/>
                <w:szCs w:val="24"/>
              </w:rPr>
            </w:pP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hint="eastAsia"/>
                <w:color w:val="000000" w:themeColor="text1"/>
                <w:sz w:val="24"/>
                <w:szCs w:val="24"/>
              </w:rPr>
              <w:t>12</w:t>
            </w:r>
            <w:r w:rsidRPr="00687B52">
              <w:rPr>
                <w:rFonts w:ascii="Cambria" w:hAnsi="Cambria"/>
                <w:color w:val="000000" w:themeColor="text1"/>
                <w:sz w:val="24"/>
                <w:szCs w:val="24"/>
              </w:rPr>
              <w:t>.</w:t>
            </w:r>
            <w:r w:rsidRPr="00687B52">
              <w:rPr>
                <w:rFonts w:ascii="Cambria" w:hAnsi="Cambria" w:hint="eastAsia"/>
                <w:color w:val="000000" w:themeColor="text1"/>
                <w:sz w:val="24"/>
                <w:szCs w:val="24"/>
              </w:rPr>
              <w:t>1.1</w:t>
            </w:r>
          </w:p>
        </w:tc>
        <w:tc>
          <w:tcPr>
            <w:tcW w:w="2101" w:type="pct"/>
            <w:vAlign w:val="center"/>
          </w:tcPr>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每座仓库的安全出口不应少于</w:t>
            </w:r>
            <w:r w:rsidRPr="00687B52">
              <w:rPr>
                <w:rFonts w:ascii="Cambria" w:hAnsi="Cambria"/>
                <w:color w:val="000000" w:themeColor="text1"/>
                <w:kern w:val="0"/>
                <w:sz w:val="24"/>
                <w:szCs w:val="24"/>
              </w:rPr>
              <w:t>2</w:t>
            </w:r>
            <w:r w:rsidRPr="00687B52">
              <w:rPr>
                <w:rFonts w:ascii="Cambria" w:hAnsi="Cambria"/>
                <w:color w:val="000000" w:themeColor="text1"/>
                <w:kern w:val="0"/>
                <w:sz w:val="24"/>
                <w:szCs w:val="24"/>
              </w:rPr>
              <w:t>个，当一座仓库的占地面积不大于</w:t>
            </w:r>
            <w:r w:rsidRPr="00687B52">
              <w:rPr>
                <w:rFonts w:ascii="Cambria" w:hAnsi="Cambria"/>
                <w:color w:val="000000" w:themeColor="text1"/>
                <w:kern w:val="0"/>
                <w:sz w:val="24"/>
                <w:szCs w:val="24"/>
              </w:rPr>
              <w:t>300m</w:t>
            </w:r>
            <w:r w:rsidRPr="00687B52">
              <w:rPr>
                <w:rFonts w:ascii="Cambria" w:hAnsi="Cambria"/>
                <w:color w:val="000000" w:themeColor="text1"/>
                <w:kern w:val="0"/>
                <w:sz w:val="24"/>
                <w:szCs w:val="24"/>
                <w:vertAlign w:val="superscript"/>
              </w:rPr>
              <w:t>2</w:t>
            </w:r>
            <w:r w:rsidRPr="00687B52">
              <w:rPr>
                <w:rFonts w:ascii="Cambria" w:hAnsi="Cambria"/>
                <w:color w:val="000000" w:themeColor="text1"/>
                <w:kern w:val="0"/>
                <w:sz w:val="24"/>
                <w:szCs w:val="24"/>
              </w:rPr>
              <w:t>时，可设置</w:t>
            </w:r>
            <w:r w:rsidRPr="00687B52">
              <w:rPr>
                <w:rFonts w:ascii="Cambria" w:hAnsi="Cambria"/>
                <w:color w:val="000000" w:themeColor="text1"/>
                <w:kern w:val="0"/>
                <w:sz w:val="24"/>
                <w:szCs w:val="24"/>
              </w:rPr>
              <w:t>1</w:t>
            </w:r>
            <w:r w:rsidRPr="00687B52">
              <w:rPr>
                <w:rFonts w:ascii="Cambria" w:hAnsi="Cambria"/>
                <w:color w:val="000000" w:themeColor="text1"/>
                <w:kern w:val="0"/>
                <w:sz w:val="24"/>
                <w:szCs w:val="24"/>
              </w:rPr>
              <w:t>个安全出口。仓库内每个防火分区通向疏散走道、楼梯或室外的出口不宜少于</w:t>
            </w:r>
            <w:r w:rsidRPr="00687B52">
              <w:rPr>
                <w:rFonts w:ascii="Cambria" w:hAnsi="Cambria"/>
                <w:color w:val="000000" w:themeColor="text1"/>
                <w:kern w:val="0"/>
                <w:sz w:val="24"/>
                <w:szCs w:val="24"/>
              </w:rPr>
              <w:t>2</w:t>
            </w:r>
            <w:r w:rsidRPr="00687B52">
              <w:rPr>
                <w:rFonts w:ascii="Cambria" w:hAnsi="Cambria"/>
                <w:color w:val="000000" w:themeColor="text1"/>
                <w:kern w:val="0"/>
                <w:sz w:val="24"/>
                <w:szCs w:val="24"/>
              </w:rPr>
              <w:t>个，当防火分区的建筑面积不大于</w:t>
            </w:r>
            <w:r w:rsidRPr="00687B52">
              <w:rPr>
                <w:rFonts w:ascii="Cambria" w:hAnsi="Cambria"/>
                <w:color w:val="000000" w:themeColor="text1"/>
                <w:kern w:val="0"/>
                <w:sz w:val="24"/>
                <w:szCs w:val="24"/>
              </w:rPr>
              <w:t>100m</w:t>
            </w:r>
            <w:r w:rsidRPr="00687B52">
              <w:rPr>
                <w:rFonts w:ascii="Cambria" w:hAnsi="Cambria"/>
                <w:color w:val="000000" w:themeColor="text1"/>
                <w:kern w:val="0"/>
                <w:sz w:val="24"/>
                <w:szCs w:val="24"/>
                <w:vertAlign w:val="superscript"/>
              </w:rPr>
              <w:t>2</w:t>
            </w:r>
            <w:r w:rsidRPr="00687B52">
              <w:rPr>
                <w:rFonts w:ascii="Cambria" w:hAnsi="Cambria"/>
                <w:color w:val="000000" w:themeColor="text1"/>
                <w:kern w:val="0"/>
                <w:sz w:val="24"/>
                <w:szCs w:val="24"/>
              </w:rPr>
              <w:t>时，可设置</w:t>
            </w:r>
            <w:r w:rsidRPr="00687B52">
              <w:rPr>
                <w:rFonts w:ascii="Cambria" w:hAnsi="Cambria"/>
                <w:color w:val="000000" w:themeColor="text1"/>
                <w:kern w:val="0"/>
                <w:sz w:val="24"/>
                <w:szCs w:val="24"/>
              </w:rPr>
              <w:t>1</w:t>
            </w:r>
            <w:r w:rsidRPr="00687B52">
              <w:rPr>
                <w:rFonts w:ascii="Cambria" w:hAnsi="Cambria"/>
                <w:color w:val="000000" w:themeColor="text1"/>
                <w:kern w:val="0"/>
                <w:sz w:val="24"/>
                <w:szCs w:val="24"/>
              </w:rPr>
              <w:t>个出口。通向疏散走道或楼梯的门应为乙级防火门。</w:t>
            </w:r>
          </w:p>
        </w:tc>
        <w:tc>
          <w:tcPr>
            <w:tcW w:w="1236" w:type="pct"/>
            <w:vAlign w:val="center"/>
          </w:tcPr>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《建筑设计防火规》</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kern w:val="0"/>
                <w:sz w:val="24"/>
                <w:szCs w:val="24"/>
              </w:rPr>
              <w:t>GB50016-2014</w:t>
            </w:r>
            <w:r w:rsidRPr="00687B52">
              <w:rPr>
                <w:rFonts w:ascii="Cambria" w:hAnsi="Cambria"/>
                <w:color w:val="000000" w:themeColor="text1"/>
                <w:kern w:val="0"/>
                <w:sz w:val="24"/>
                <w:szCs w:val="24"/>
              </w:rPr>
              <w:t>第</w:t>
            </w:r>
            <w:r w:rsidRPr="00687B52">
              <w:rPr>
                <w:rFonts w:ascii="Cambria" w:hAnsi="Cambria"/>
                <w:color w:val="000000" w:themeColor="text1"/>
                <w:kern w:val="0"/>
                <w:sz w:val="24"/>
                <w:szCs w:val="24"/>
              </w:rPr>
              <w:t>3.8.2</w:t>
            </w:r>
            <w:r w:rsidRPr="00687B52">
              <w:rPr>
                <w:rFonts w:ascii="Cambria" w:hAnsi="Cambria"/>
                <w:color w:val="000000" w:themeColor="text1"/>
                <w:kern w:val="0"/>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hint="eastAsia"/>
                <w:color w:val="000000" w:themeColor="text1"/>
                <w:sz w:val="24"/>
                <w:szCs w:val="24"/>
              </w:rPr>
              <w:t>12</w:t>
            </w:r>
            <w:r w:rsidRPr="00687B52">
              <w:rPr>
                <w:rFonts w:ascii="Cambria" w:hAnsi="Cambria"/>
                <w:color w:val="000000" w:themeColor="text1"/>
                <w:sz w:val="24"/>
                <w:szCs w:val="24"/>
              </w:rPr>
              <w:t>.</w:t>
            </w:r>
            <w:r w:rsidRPr="00687B52">
              <w:rPr>
                <w:rFonts w:ascii="Cambria" w:hAnsi="Cambria" w:hint="eastAsia"/>
                <w:color w:val="000000" w:themeColor="text1"/>
                <w:sz w:val="24"/>
                <w:szCs w:val="24"/>
              </w:rPr>
              <w:t>1.2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消防水泵房应符合下列规定：</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①</w:t>
            </w:r>
            <w:r w:rsidRPr="00687B52">
              <w:rPr>
                <w:rFonts w:ascii="Cambria" w:hAnsi="Cambria"/>
                <w:color w:val="000000" w:themeColor="text1"/>
                <w:sz w:val="24"/>
                <w:szCs w:val="24"/>
              </w:rPr>
              <w:t>独立建造的消防水泵房耐火等级不应低于二级，与其他产生火灾暴露危害的建筑的防火距离应根据计算确定，但不应小于</w:t>
            </w:r>
            <w:r w:rsidRPr="00687B52">
              <w:rPr>
                <w:rFonts w:ascii="Cambria" w:hAnsi="Cambria"/>
                <w:color w:val="000000" w:themeColor="text1"/>
                <w:sz w:val="24"/>
                <w:szCs w:val="24"/>
              </w:rPr>
              <w:t xml:space="preserve"> 15m</w:t>
            </w:r>
            <w:r w:rsidRPr="00687B52">
              <w:rPr>
                <w:rFonts w:ascii="Cambria" w:hAnsi="Cambria"/>
                <w:color w:val="000000" w:themeColor="text1"/>
                <w:sz w:val="24"/>
                <w:szCs w:val="24"/>
              </w:rPr>
              <w:t>；</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②</w:t>
            </w:r>
            <w:r w:rsidRPr="00687B52">
              <w:rPr>
                <w:rFonts w:ascii="Cambria" w:hAnsi="Cambria"/>
                <w:color w:val="000000" w:themeColor="text1"/>
                <w:sz w:val="24"/>
                <w:szCs w:val="24"/>
              </w:rPr>
              <w:t>附设在建筑物内的消防水泵房，应采用耐火极限不低于</w:t>
            </w:r>
            <w:r w:rsidRPr="00687B52">
              <w:rPr>
                <w:rFonts w:ascii="Cambria" w:hAnsi="Cambria"/>
                <w:color w:val="000000" w:themeColor="text1"/>
                <w:sz w:val="24"/>
                <w:szCs w:val="24"/>
              </w:rPr>
              <w:t xml:space="preserve"> 2.0h</w:t>
            </w:r>
            <w:r w:rsidRPr="00687B52">
              <w:rPr>
                <w:rFonts w:ascii="Cambria" w:hAnsi="Cambria"/>
                <w:color w:val="000000" w:themeColor="text1"/>
                <w:sz w:val="24"/>
                <w:szCs w:val="24"/>
              </w:rPr>
              <w:t>的隔墙和</w:t>
            </w:r>
            <w:r w:rsidRPr="00687B52">
              <w:rPr>
                <w:rFonts w:ascii="Cambria" w:hAnsi="Cambria"/>
                <w:color w:val="000000" w:themeColor="text1"/>
                <w:sz w:val="24"/>
                <w:szCs w:val="24"/>
              </w:rPr>
              <w:t xml:space="preserve"> 1.50h</w:t>
            </w:r>
            <w:r w:rsidRPr="00687B52">
              <w:rPr>
                <w:rFonts w:ascii="Cambria" w:hAnsi="Cambria"/>
                <w:color w:val="000000" w:themeColor="text1"/>
                <w:sz w:val="24"/>
                <w:szCs w:val="24"/>
              </w:rPr>
              <w:t>的楼板与其他部位隔开，其疏散门应靠近安全出口，并应设甲级防火门；</w:t>
            </w:r>
          </w:p>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sz w:val="24"/>
                <w:szCs w:val="24"/>
              </w:rPr>
              <w:t xml:space="preserve">③ </w:t>
            </w:r>
            <w:r w:rsidRPr="00687B52">
              <w:rPr>
                <w:rFonts w:ascii="Cambria" w:hAnsi="Cambria"/>
                <w:color w:val="000000" w:themeColor="text1"/>
                <w:sz w:val="24"/>
                <w:szCs w:val="24"/>
              </w:rPr>
              <w:t>附设在建筑物内的消防水泵房，当设在首层时，其出口应直通室外；当设在地下室或其他楼层时，其出口应直通安全出口。</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《消防给水及消火栓系统技术规范》</w:t>
            </w:r>
            <w:r w:rsidRPr="00687B52">
              <w:rPr>
                <w:rFonts w:ascii="Cambria" w:hAnsi="Cambria"/>
                <w:color w:val="000000" w:themeColor="text1"/>
                <w:sz w:val="24"/>
                <w:szCs w:val="24"/>
              </w:rPr>
              <w:t>GB50974-2014</w:t>
            </w:r>
            <w:r w:rsidRPr="00687B52">
              <w:rPr>
                <w:rFonts w:ascii="Cambria" w:hAnsi="Cambria"/>
                <w:color w:val="000000" w:themeColor="text1"/>
                <w:sz w:val="24"/>
                <w:szCs w:val="24"/>
              </w:rPr>
              <w:t>第</w:t>
            </w:r>
            <w:r w:rsidRPr="00687B52">
              <w:rPr>
                <w:rFonts w:ascii="Cambria" w:hAnsi="Cambria"/>
                <w:color w:val="000000" w:themeColor="text1"/>
                <w:sz w:val="24"/>
                <w:szCs w:val="24"/>
              </w:rPr>
              <w:t>5.5.12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p>
        </w:tc>
        <w:tc>
          <w:tcPr>
            <w:tcW w:w="2101" w:type="pct"/>
            <w:vAlign w:val="center"/>
          </w:tcPr>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建筑室外消火栓的数量应根据室外消火栓设计流量和保护半径经计算确定，保护半径不应大于</w:t>
            </w:r>
            <w:r w:rsidRPr="00687B52">
              <w:rPr>
                <w:rFonts w:ascii="Cambria" w:hAnsi="Cambria"/>
                <w:color w:val="000000" w:themeColor="text1"/>
                <w:kern w:val="0"/>
                <w:sz w:val="24"/>
                <w:szCs w:val="24"/>
              </w:rPr>
              <w:t>150m</w:t>
            </w:r>
            <w:r w:rsidRPr="00687B52">
              <w:rPr>
                <w:rFonts w:ascii="Cambria" w:hAnsi="Cambria"/>
                <w:color w:val="000000" w:themeColor="text1"/>
                <w:kern w:val="0"/>
                <w:sz w:val="24"/>
                <w:szCs w:val="24"/>
              </w:rPr>
              <w:t>。工艺装置区等采用高压或临时高压消防给水系统的场所，其周围应设置室外消火栓，数量应根据设计流量经计算确定，且间距不应大于</w:t>
            </w:r>
            <w:r w:rsidRPr="00687B52">
              <w:rPr>
                <w:rFonts w:ascii="Cambria" w:hAnsi="Cambria"/>
                <w:color w:val="000000" w:themeColor="text1"/>
                <w:kern w:val="0"/>
                <w:sz w:val="24"/>
                <w:szCs w:val="24"/>
              </w:rPr>
              <w:t>60m</w:t>
            </w:r>
            <w:r w:rsidRPr="00687B52">
              <w:rPr>
                <w:rFonts w:ascii="Cambria" w:hAnsi="Cambria"/>
                <w:color w:val="000000" w:themeColor="text1"/>
                <w:kern w:val="0"/>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《消防给水及消火栓系统技术规范》</w:t>
            </w:r>
            <w:r w:rsidRPr="00687B52">
              <w:rPr>
                <w:rFonts w:ascii="Cambria" w:hAnsi="Cambria"/>
                <w:color w:val="000000" w:themeColor="text1"/>
                <w:sz w:val="24"/>
                <w:szCs w:val="24"/>
              </w:rPr>
              <w:t>GB50974-2014</w:t>
            </w:r>
            <w:r w:rsidRPr="00687B52">
              <w:rPr>
                <w:rFonts w:ascii="Cambria" w:hAnsi="Cambria"/>
                <w:color w:val="000000" w:themeColor="text1"/>
                <w:sz w:val="24"/>
                <w:szCs w:val="24"/>
              </w:rPr>
              <w:t>第</w:t>
            </w:r>
            <w:r w:rsidRPr="00687B52">
              <w:rPr>
                <w:rFonts w:ascii="Cambria" w:hAnsi="Cambria"/>
                <w:color w:val="000000" w:themeColor="text1"/>
                <w:sz w:val="24"/>
                <w:szCs w:val="24"/>
              </w:rPr>
              <w:t>7.3.2</w:t>
            </w:r>
            <w:r w:rsidRPr="00687B52">
              <w:rPr>
                <w:rFonts w:ascii="Cambria" w:hAnsi="Cambria"/>
                <w:color w:val="000000" w:themeColor="text1"/>
                <w:sz w:val="24"/>
                <w:szCs w:val="24"/>
              </w:rPr>
              <w:t>、</w:t>
            </w:r>
            <w:r w:rsidRPr="00687B52">
              <w:rPr>
                <w:rFonts w:ascii="Cambria" w:hAnsi="Cambria"/>
                <w:color w:val="000000" w:themeColor="text1"/>
                <w:sz w:val="24"/>
                <w:szCs w:val="24"/>
              </w:rPr>
              <w:t>7.3.7</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1.</w:t>
            </w:r>
            <w:r w:rsidRPr="00687B52">
              <w:rPr>
                <w:rFonts w:ascii="Cambria" w:hAnsi="Cambria" w:hint="eastAsia"/>
                <w:color w:val="000000" w:themeColor="text1"/>
                <w:sz w:val="24"/>
                <w:szCs w:val="24"/>
              </w:rPr>
              <w:t>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符合下列规定之一时，应设置消防水池：</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①</w:t>
            </w:r>
            <w:r w:rsidRPr="00687B52">
              <w:rPr>
                <w:rFonts w:ascii="Cambria" w:hAnsi="Cambria"/>
                <w:color w:val="000000" w:themeColor="text1"/>
                <w:sz w:val="24"/>
                <w:szCs w:val="24"/>
              </w:rPr>
              <w:t>当生产、生活用水量达到最大时，市政给水管网或引入管不能满足室内、外消防用水量时；</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②</w:t>
            </w:r>
            <w:r w:rsidRPr="00687B52">
              <w:rPr>
                <w:rFonts w:ascii="Cambria" w:hAnsi="Cambria"/>
                <w:color w:val="000000" w:themeColor="text1"/>
                <w:sz w:val="24"/>
                <w:szCs w:val="24"/>
              </w:rPr>
              <w:t>当采用一路消防供水或只有一条引入管，且室外消火栓设计流量大于</w:t>
            </w:r>
            <w:r w:rsidRPr="00687B52">
              <w:rPr>
                <w:rFonts w:ascii="Cambria" w:hAnsi="Cambria"/>
                <w:color w:val="000000" w:themeColor="text1"/>
                <w:sz w:val="24"/>
                <w:szCs w:val="24"/>
              </w:rPr>
              <w:t>20L/s</w:t>
            </w:r>
            <w:r w:rsidRPr="00687B52">
              <w:rPr>
                <w:rFonts w:ascii="Cambria" w:hAnsi="Cambria"/>
                <w:color w:val="000000" w:themeColor="text1"/>
                <w:sz w:val="24"/>
                <w:szCs w:val="24"/>
              </w:rPr>
              <w:t>或建筑高度大于</w:t>
            </w:r>
            <w:r w:rsidRPr="00687B52">
              <w:rPr>
                <w:rFonts w:ascii="Cambria" w:hAnsi="Cambria"/>
                <w:color w:val="000000" w:themeColor="text1"/>
                <w:sz w:val="24"/>
                <w:szCs w:val="24"/>
              </w:rPr>
              <w:t>50m</w:t>
            </w:r>
            <w:r w:rsidRPr="00687B52">
              <w:rPr>
                <w:rFonts w:ascii="Cambria" w:hAnsi="Cambria"/>
                <w:color w:val="000000" w:themeColor="text1"/>
                <w:sz w:val="24"/>
                <w:szCs w:val="24"/>
              </w:rPr>
              <w:t>时；</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 xml:space="preserve">③ </w:t>
            </w:r>
            <w:r w:rsidRPr="00687B52">
              <w:rPr>
                <w:rFonts w:ascii="Cambria" w:hAnsi="Cambria"/>
                <w:color w:val="000000" w:themeColor="text1"/>
                <w:sz w:val="24"/>
                <w:szCs w:val="24"/>
              </w:rPr>
              <w:t>市政消防给水设计流量小于建筑的消防给水设计流量时。</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《消防给水及消火栓系统技术规范》</w:t>
            </w:r>
            <w:r w:rsidRPr="00687B52">
              <w:rPr>
                <w:rFonts w:ascii="Cambria" w:hAnsi="Cambria"/>
                <w:color w:val="000000" w:themeColor="text1"/>
                <w:sz w:val="24"/>
                <w:szCs w:val="24"/>
              </w:rPr>
              <w:t>GB50974-2014</w:t>
            </w:r>
            <w:r w:rsidRPr="00687B52">
              <w:rPr>
                <w:rFonts w:ascii="Cambria" w:hAnsi="Cambria"/>
                <w:color w:val="000000" w:themeColor="text1"/>
                <w:sz w:val="24"/>
                <w:szCs w:val="24"/>
              </w:rPr>
              <w:t>第</w:t>
            </w:r>
            <w:r w:rsidRPr="00687B52">
              <w:rPr>
                <w:rFonts w:ascii="Cambria" w:hAnsi="Cambria"/>
                <w:color w:val="000000" w:themeColor="text1"/>
                <w:sz w:val="24"/>
                <w:szCs w:val="24"/>
              </w:rPr>
              <w:t>4.3.1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.1.</w:t>
            </w:r>
            <w:r w:rsidRPr="00687B52">
              <w:rPr>
                <w:rFonts w:ascii="Cambria" w:hAnsi="Cambria" w:hint="eastAsia"/>
                <w:color w:val="000000" w:themeColor="text1"/>
                <w:sz w:val="24"/>
                <w:szCs w:val="24"/>
              </w:rPr>
              <w:t>5</w:t>
            </w:r>
          </w:p>
        </w:tc>
        <w:tc>
          <w:tcPr>
            <w:tcW w:w="2101" w:type="pct"/>
            <w:vAlign w:val="center"/>
          </w:tcPr>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室外消防给水管网的布置应符合下列规定：</w:t>
            </w:r>
          </w:p>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①</w:t>
            </w:r>
            <w:r w:rsidRPr="00687B52">
              <w:rPr>
                <w:rFonts w:ascii="Cambria" w:hAnsi="Cambria"/>
                <w:color w:val="000000" w:themeColor="text1"/>
                <w:kern w:val="0"/>
                <w:sz w:val="24"/>
                <w:szCs w:val="24"/>
              </w:rPr>
              <w:t>室外消防给水采用两路消防供水时应采用环状管网，但当采用一路消防供水时可采用枝状管网；</w:t>
            </w:r>
          </w:p>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 xml:space="preserve">② </w:t>
            </w:r>
            <w:r w:rsidRPr="00687B52">
              <w:rPr>
                <w:rFonts w:ascii="Cambria" w:hAnsi="Cambria"/>
                <w:color w:val="000000" w:themeColor="text1"/>
                <w:kern w:val="0"/>
                <w:sz w:val="24"/>
                <w:szCs w:val="24"/>
              </w:rPr>
              <w:t>管道的直径不应小于</w:t>
            </w:r>
            <w:r w:rsidRPr="00687B52">
              <w:rPr>
                <w:rFonts w:ascii="Cambria" w:hAnsi="Cambria"/>
                <w:color w:val="000000" w:themeColor="text1"/>
                <w:kern w:val="0"/>
                <w:sz w:val="24"/>
                <w:szCs w:val="24"/>
              </w:rPr>
              <w:t>DN100</w:t>
            </w:r>
            <w:r w:rsidRPr="00687B52">
              <w:rPr>
                <w:rFonts w:ascii="Cambria" w:hAnsi="Cambria"/>
                <w:color w:val="000000" w:themeColor="text1"/>
                <w:kern w:val="0"/>
                <w:sz w:val="24"/>
                <w:szCs w:val="24"/>
              </w:rPr>
              <w:t>；</w:t>
            </w:r>
          </w:p>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 xml:space="preserve">③ </w:t>
            </w:r>
            <w:r w:rsidRPr="00687B52">
              <w:rPr>
                <w:rFonts w:ascii="Cambria" w:hAnsi="Cambria"/>
                <w:color w:val="000000" w:themeColor="text1"/>
                <w:kern w:val="0"/>
                <w:sz w:val="24"/>
                <w:szCs w:val="24"/>
              </w:rPr>
              <w:t>消防给水管道应采用阀门分成若干独立段，每段内室外消火栓的数量不宜超过</w:t>
            </w:r>
            <w:r w:rsidRPr="00687B52">
              <w:rPr>
                <w:rFonts w:ascii="Cambria" w:hAnsi="Cambria"/>
                <w:color w:val="000000" w:themeColor="text1"/>
                <w:kern w:val="0"/>
                <w:sz w:val="24"/>
                <w:szCs w:val="24"/>
              </w:rPr>
              <w:t>5</w:t>
            </w:r>
            <w:r w:rsidRPr="00687B52">
              <w:rPr>
                <w:rFonts w:ascii="Cambria" w:hAnsi="Cambria"/>
                <w:color w:val="000000" w:themeColor="text1"/>
                <w:kern w:val="0"/>
                <w:sz w:val="24"/>
                <w:szCs w:val="24"/>
              </w:rPr>
              <w:t>个；</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kern w:val="0"/>
                <w:sz w:val="24"/>
                <w:szCs w:val="24"/>
              </w:rPr>
              <w:t>《消防给水及消火栓系统技术规范》</w:t>
            </w:r>
            <w:r w:rsidRPr="00687B52">
              <w:rPr>
                <w:rFonts w:ascii="Cambria" w:hAnsi="Cambria"/>
                <w:color w:val="000000" w:themeColor="text1"/>
                <w:kern w:val="0"/>
                <w:sz w:val="24"/>
                <w:szCs w:val="24"/>
              </w:rPr>
              <w:t>GB50974-2014</w:t>
            </w:r>
            <w:r w:rsidRPr="00687B52">
              <w:rPr>
                <w:rFonts w:ascii="Cambria" w:hAnsi="Cambria"/>
                <w:color w:val="000000" w:themeColor="text1"/>
                <w:kern w:val="0"/>
                <w:sz w:val="24"/>
                <w:szCs w:val="24"/>
              </w:rPr>
              <w:t>第</w:t>
            </w:r>
            <w:r w:rsidRPr="00687B52">
              <w:rPr>
                <w:rFonts w:ascii="Cambria" w:hAnsi="Cambria"/>
                <w:color w:val="000000" w:themeColor="text1"/>
                <w:kern w:val="0"/>
                <w:sz w:val="24"/>
                <w:szCs w:val="24"/>
              </w:rPr>
              <w:t>8.1.4</w:t>
            </w:r>
            <w:r w:rsidRPr="00687B52">
              <w:rPr>
                <w:rFonts w:ascii="Cambria" w:hAnsi="Cambria"/>
                <w:color w:val="000000" w:themeColor="text1"/>
                <w:kern w:val="0"/>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.1.</w:t>
            </w:r>
            <w:r w:rsidRPr="00687B52">
              <w:rPr>
                <w:rFonts w:ascii="Cambria" w:hAnsi="Cambria" w:hint="eastAsia"/>
                <w:color w:val="000000" w:themeColor="text1"/>
                <w:sz w:val="24"/>
                <w:szCs w:val="24"/>
              </w:rPr>
              <w:t>6</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民用建筑、厂房、仓库、储罐区和堆场周围应设置室外消火栓系统。</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8.1.2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.1.</w:t>
            </w:r>
            <w:r w:rsidRPr="00687B52">
              <w:rPr>
                <w:rFonts w:ascii="Cambria" w:hAnsi="Cambria" w:hint="eastAsia"/>
                <w:color w:val="000000" w:themeColor="text1"/>
                <w:sz w:val="24"/>
                <w:szCs w:val="24"/>
              </w:rPr>
              <w:t>7</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建筑占地面积大于</w:t>
            </w:r>
            <w:r w:rsidRPr="00687B52">
              <w:rPr>
                <w:rFonts w:ascii="Cambria" w:hAnsi="Cambria"/>
                <w:color w:val="000000" w:themeColor="text1"/>
                <w:sz w:val="24"/>
                <w:szCs w:val="24"/>
              </w:rPr>
              <w:t>300m</w:t>
            </w:r>
            <w:r w:rsidRPr="00687B52">
              <w:rPr>
                <w:rFonts w:ascii="Cambria" w:hAnsi="Cambria"/>
                <w:color w:val="000000" w:themeColor="text1"/>
                <w:sz w:val="24"/>
                <w:szCs w:val="24"/>
                <w:vertAlign w:val="superscript"/>
              </w:rPr>
              <w:t>2</w:t>
            </w:r>
            <w:r w:rsidRPr="00687B52">
              <w:rPr>
                <w:rFonts w:ascii="Cambria" w:hAnsi="Cambria"/>
                <w:color w:val="000000" w:themeColor="text1"/>
                <w:sz w:val="24"/>
                <w:szCs w:val="24"/>
              </w:rPr>
              <w:t>的厂房和仓库应设置室内消火栓系统。</w:t>
            </w:r>
          </w:p>
        </w:tc>
        <w:tc>
          <w:tcPr>
            <w:tcW w:w="1236" w:type="pct"/>
            <w:vAlign w:val="center"/>
          </w:tcPr>
          <w:p w:rsidR="000E02C5" w:rsidRPr="00687B52" w:rsidRDefault="000E02C5" w:rsidP="00B527D4">
            <w:pPr>
              <w:jc w:val="left"/>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8.2.1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.1.</w:t>
            </w:r>
            <w:r w:rsidRPr="00687B52">
              <w:rPr>
                <w:rFonts w:ascii="Cambria" w:hAnsi="Cambria" w:hint="eastAsia"/>
                <w:color w:val="000000" w:themeColor="text1"/>
                <w:sz w:val="24"/>
                <w:szCs w:val="24"/>
              </w:rPr>
              <w:t>8</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设置室内消火栓的建筑，包括设备层在内的各层均应设置消火栓。</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《消防给水及消火栓技术规范》</w:t>
            </w:r>
            <w:r w:rsidRPr="00687B52">
              <w:rPr>
                <w:rFonts w:ascii="Cambria" w:hAnsi="Cambria"/>
                <w:color w:val="000000" w:themeColor="text1"/>
                <w:sz w:val="24"/>
                <w:szCs w:val="24"/>
              </w:rPr>
              <w:t>GB50974-2014</w:t>
            </w:r>
            <w:r w:rsidRPr="00687B52">
              <w:rPr>
                <w:rFonts w:ascii="Cambria" w:hAnsi="Cambria"/>
                <w:color w:val="000000" w:themeColor="text1"/>
                <w:sz w:val="24"/>
                <w:szCs w:val="24"/>
              </w:rPr>
              <w:t>第</w:t>
            </w:r>
            <w:r w:rsidRPr="00687B52">
              <w:rPr>
                <w:rFonts w:ascii="Cambria" w:hAnsi="Cambria"/>
                <w:color w:val="000000" w:themeColor="text1"/>
                <w:sz w:val="24"/>
                <w:szCs w:val="24"/>
              </w:rPr>
              <w:t>7.4.3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.1.</w:t>
            </w:r>
            <w:r w:rsidRPr="00687B52">
              <w:rPr>
                <w:rFonts w:ascii="Cambria" w:hAnsi="Cambria" w:hint="eastAsia"/>
                <w:color w:val="000000" w:themeColor="text1"/>
                <w:sz w:val="24"/>
                <w:szCs w:val="24"/>
              </w:rPr>
              <w:t>9</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甲、乙、丙类液体储罐（区）内的储罐应设置移动水枪或固定水冷却设施。高度大于</w:t>
            </w:r>
            <w:r w:rsidRPr="00687B52">
              <w:rPr>
                <w:rFonts w:ascii="Cambria" w:hAnsi="Cambria"/>
                <w:color w:val="000000" w:themeColor="text1"/>
                <w:sz w:val="24"/>
                <w:szCs w:val="24"/>
              </w:rPr>
              <w:t>15m</w:t>
            </w:r>
            <w:r w:rsidRPr="00687B52">
              <w:rPr>
                <w:rFonts w:ascii="Cambria" w:hAnsi="Cambria"/>
                <w:color w:val="000000" w:themeColor="text1"/>
                <w:sz w:val="24"/>
                <w:szCs w:val="24"/>
              </w:rPr>
              <w:t>或单罐容积大于</w:t>
            </w:r>
            <w:r w:rsidRPr="00687B52">
              <w:rPr>
                <w:rFonts w:ascii="Cambria" w:hAnsi="Cambria"/>
                <w:color w:val="000000" w:themeColor="text1"/>
                <w:sz w:val="24"/>
                <w:szCs w:val="24"/>
              </w:rPr>
              <w:t>2000m³</w:t>
            </w:r>
            <w:r w:rsidRPr="00687B52">
              <w:rPr>
                <w:rFonts w:ascii="Cambria" w:hAnsi="Cambria"/>
                <w:color w:val="000000" w:themeColor="text1"/>
                <w:sz w:val="24"/>
                <w:szCs w:val="24"/>
              </w:rPr>
              <w:t>的甲、乙、丙类液体地上储罐，宜采用固定水冷却设施。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8.1.4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.1.1</w:t>
            </w:r>
            <w:r w:rsidRPr="00687B52">
              <w:rPr>
                <w:rFonts w:ascii="Cambria" w:hAnsi="Cambria" w:hint="eastAsia"/>
                <w:color w:val="000000" w:themeColor="text1"/>
                <w:sz w:val="24"/>
                <w:szCs w:val="24"/>
              </w:rPr>
              <w:t>0</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当消防水池采用两路供水且在火灾情况下连续补水能满足消防要求时，消防水池的有效容积应根据计算确定，但不应小于</w:t>
            </w:r>
            <w:r w:rsidRPr="00687B52">
              <w:rPr>
                <w:rFonts w:ascii="Cambria" w:hAnsi="Cambria"/>
                <w:color w:val="000000" w:themeColor="text1"/>
                <w:sz w:val="24"/>
                <w:szCs w:val="24"/>
              </w:rPr>
              <w:t>100m</w:t>
            </w:r>
            <w:r w:rsidRPr="00687B52">
              <w:rPr>
                <w:rFonts w:ascii="Cambria" w:hAnsi="Cambria"/>
                <w:color w:val="000000" w:themeColor="text1"/>
                <w:sz w:val="24"/>
                <w:szCs w:val="24"/>
                <w:vertAlign w:val="superscript"/>
              </w:rPr>
              <w:t>3</w:t>
            </w:r>
            <w:r w:rsidRPr="00687B52">
              <w:rPr>
                <w:rFonts w:ascii="Cambria" w:hAnsi="Cambria"/>
                <w:color w:val="000000" w:themeColor="text1"/>
                <w:sz w:val="24"/>
                <w:szCs w:val="24"/>
              </w:rPr>
              <w:t>，当仅设有消火栓系统时不应小于</w:t>
            </w:r>
            <w:r w:rsidRPr="00687B52">
              <w:rPr>
                <w:rFonts w:ascii="Cambria" w:hAnsi="Cambria"/>
                <w:color w:val="000000" w:themeColor="text1"/>
                <w:sz w:val="24"/>
                <w:szCs w:val="24"/>
              </w:rPr>
              <w:t>50m</w:t>
            </w:r>
            <w:r w:rsidRPr="00687B52">
              <w:rPr>
                <w:rFonts w:ascii="Cambria" w:hAnsi="Cambria"/>
                <w:color w:val="000000" w:themeColor="text1"/>
                <w:sz w:val="24"/>
                <w:szCs w:val="24"/>
                <w:vertAlign w:val="superscript"/>
              </w:rPr>
              <w:t>3</w:t>
            </w:r>
            <w:r w:rsidRPr="00687B52">
              <w:rPr>
                <w:rFonts w:ascii="Cambria" w:hAnsi="Cambr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《消防给水及消火栓技术规范》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GB50974-2014</w:t>
            </w:r>
            <w:r w:rsidRPr="00687B52">
              <w:rPr>
                <w:rFonts w:ascii="Cambria" w:hAnsi="Cambria"/>
                <w:color w:val="000000" w:themeColor="text1"/>
                <w:sz w:val="24"/>
                <w:szCs w:val="24"/>
              </w:rPr>
              <w:t>第</w:t>
            </w:r>
            <w:r w:rsidRPr="00687B52">
              <w:rPr>
                <w:rFonts w:ascii="Cambria" w:hAnsi="Cambria"/>
                <w:color w:val="000000" w:themeColor="text1"/>
                <w:sz w:val="24"/>
                <w:szCs w:val="24"/>
              </w:rPr>
              <w:t>4.3.4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.1.1</w:t>
            </w:r>
            <w:r w:rsidRPr="00687B52">
              <w:rPr>
                <w:rFonts w:ascii="Cambria" w:hAnsi="Cambria" w:hint="eastAsia"/>
                <w:color w:val="000000" w:themeColor="text1"/>
                <w:sz w:val="24"/>
                <w:szCs w:val="24"/>
              </w:rPr>
              <w:t>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消防用水与其他用水共用的水池，应采取确保消防用水量不作他用的技术措施。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《消防给水及消火栓技术规范》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GB50974-2014</w:t>
            </w:r>
            <w:r w:rsidRPr="00687B52">
              <w:rPr>
                <w:rFonts w:ascii="Cambria" w:hAnsi="Cambria"/>
                <w:color w:val="000000" w:themeColor="text1"/>
                <w:sz w:val="24"/>
                <w:szCs w:val="24"/>
              </w:rPr>
              <w:t>第</w:t>
            </w:r>
            <w:r w:rsidRPr="00687B52">
              <w:rPr>
                <w:rFonts w:ascii="Cambria" w:hAnsi="Cambria"/>
                <w:color w:val="000000" w:themeColor="text1"/>
                <w:sz w:val="24"/>
                <w:szCs w:val="24"/>
              </w:rPr>
              <w:t>4.3.8</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E91AF7">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.1.1</w:t>
            </w:r>
            <w:r w:rsidR="00E91AF7" w:rsidRPr="00687B52">
              <w:rPr>
                <w:rFonts w:ascii="Cambria" w:hAnsi="Cambria" w:hint="eastAsia"/>
                <w:color w:val="000000" w:themeColor="text1"/>
                <w:sz w:val="24"/>
                <w:szCs w:val="24"/>
              </w:rPr>
              <w:t>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一个灭火器配置场所内的灭火器不应少于</w:t>
            </w:r>
            <w:r w:rsidRPr="00687B52">
              <w:rPr>
                <w:rFonts w:ascii="Cambria" w:hAnsi="Cambria"/>
                <w:color w:val="000000" w:themeColor="text1"/>
                <w:sz w:val="24"/>
                <w:szCs w:val="24"/>
              </w:rPr>
              <w:t>2</w:t>
            </w:r>
            <w:r w:rsidRPr="00687B52">
              <w:rPr>
                <w:rFonts w:ascii="Cambria" w:hAnsi="Cambria"/>
                <w:color w:val="000000" w:themeColor="text1"/>
                <w:sz w:val="24"/>
                <w:szCs w:val="24"/>
              </w:rPr>
              <w:t>具。</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每个设置点的灭火器不宜多于</w:t>
            </w:r>
            <w:r w:rsidRPr="00687B52">
              <w:rPr>
                <w:rFonts w:ascii="Cambria" w:hAnsi="Cambria"/>
                <w:color w:val="000000" w:themeColor="text1"/>
                <w:sz w:val="24"/>
                <w:szCs w:val="24"/>
              </w:rPr>
              <w:t>5</w:t>
            </w:r>
            <w:r w:rsidRPr="00687B52">
              <w:rPr>
                <w:rFonts w:ascii="Cambria" w:hAnsi="Cambria"/>
                <w:color w:val="000000" w:themeColor="text1"/>
                <w:sz w:val="24"/>
                <w:szCs w:val="24"/>
              </w:rPr>
              <w:t>具灭火器材。</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灭火器应设置在位置明显和便于取用的地点，且不得影响安全疏散。</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hint="eastAsia"/>
                <w:color w:val="000000" w:themeColor="text1"/>
                <w:sz w:val="24"/>
                <w:szCs w:val="24"/>
              </w:rPr>
              <w:t>《建筑灭火器配置设计规范》</w:t>
            </w:r>
            <w:r w:rsidRPr="00687B52">
              <w:rPr>
                <w:rFonts w:ascii="Cambria" w:hAnsi="Cambria"/>
                <w:color w:val="000000" w:themeColor="text1"/>
                <w:sz w:val="24"/>
                <w:szCs w:val="24"/>
              </w:rPr>
              <w:t>GB50140-2005</w:t>
            </w:r>
            <w:r w:rsidRPr="00687B52">
              <w:rPr>
                <w:rFonts w:ascii="Cambria" w:hAnsi="Cambria"/>
                <w:color w:val="000000" w:themeColor="text1"/>
                <w:sz w:val="24"/>
                <w:szCs w:val="24"/>
              </w:rPr>
              <w:t>第</w:t>
            </w:r>
            <w:r w:rsidRPr="00687B52">
              <w:rPr>
                <w:rFonts w:ascii="Cambria" w:hAnsi="Cambria"/>
                <w:color w:val="000000" w:themeColor="text1"/>
                <w:sz w:val="24"/>
                <w:szCs w:val="24"/>
              </w:rPr>
              <w:t>5.1.1</w:t>
            </w:r>
            <w:r w:rsidRPr="00687B52">
              <w:rPr>
                <w:rFonts w:ascii="Cambria" w:hAnsi="Cambria"/>
                <w:color w:val="000000" w:themeColor="text1"/>
                <w:sz w:val="24"/>
                <w:szCs w:val="24"/>
              </w:rPr>
              <w:t>、</w:t>
            </w:r>
            <w:r w:rsidRPr="00687B52">
              <w:rPr>
                <w:rFonts w:ascii="Cambria" w:hAnsi="Cambria"/>
                <w:color w:val="000000" w:themeColor="text1"/>
                <w:sz w:val="24"/>
                <w:szCs w:val="24"/>
              </w:rPr>
              <w:t>6.1.1</w:t>
            </w:r>
            <w:r w:rsidRPr="00687B52">
              <w:rPr>
                <w:rFonts w:ascii="Cambria" w:hAnsi="Cambria"/>
                <w:color w:val="000000" w:themeColor="text1"/>
                <w:sz w:val="24"/>
                <w:szCs w:val="24"/>
              </w:rPr>
              <w:t>、</w:t>
            </w:r>
            <w:r w:rsidRPr="00687B52">
              <w:rPr>
                <w:rFonts w:ascii="Cambria" w:hAnsi="Cambria"/>
                <w:color w:val="000000" w:themeColor="text1"/>
                <w:sz w:val="24"/>
                <w:szCs w:val="24"/>
              </w:rPr>
              <w:t>6.1.2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E91AF7">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.1.1</w:t>
            </w:r>
            <w:r w:rsidR="00E91AF7" w:rsidRPr="00687B52">
              <w:rPr>
                <w:rFonts w:ascii="Cambria" w:hAnsi="Cambria" w:hint="eastAsia"/>
                <w:color w:val="000000" w:themeColor="text1"/>
                <w:sz w:val="24"/>
                <w:szCs w:val="24"/>
              </w:rPr>
              <w:t>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变电所应根据容量大小及其重要性，对主变压器等各种带油电气设备及建筑物，配备适当数量的手提式及推车式化学灭火器。</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w:t>
            </w:r>
            <w:r w:rsidRPr="00687B52">
              <w:rPr>
                <w:rFonts w:ascii="Cambria" w:hAnsi="Cambria"/>
                <w:color w:val="000000" w:themeColor="text1"/>
                <w:sz w:val="24"/>
                <w:szCs w:val="24"/>
              </w:rPr>
              <w:t>35kV</w:t>
            </w:r>
            <w:r w:rsidRPr="00687B52">
              <w:rPr>
                <w:rFonts w:ascii="Cambria" w:hAnsi="Cambria"/>
                <w:color w:val="000000" w:themeColor="text1"/>
                <w:sz w:val="24"/>
                <w:szCs w:val="24"/>
              </w:rPr>
              <w:t>～</w:t>
            </w:r>
            <w:r w:rsidRPr="00687B52">
              <w:rPr>
                <w:rFonts w:ascii="Cambria" w:hAnsi="Cambria"/>
                <w:color w:val="000000" w:themeColor="text1"/>
                <w:sz w:val="24"/>
                <w:szCs w:val="24"/>
              </w:rPr>
              <w:t>110kV</w:t>
            </w:r>
            <w:r w:rsidRPr="00687B52">
              <w:rPr>
                <w:rFonts w:ascii="Cambria" w:hAnsi="Cambria"/>
                <w:color w:val="000000" w:themeColor="text1"/>
                <w:sz w:val="24"/>
                <w:szCs w:val="24"/>
              </w:rPr>
              <w:t>变电站设计规范》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GB50059-2011</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第</w:t>
            </w:r>
            <w:r w:rsidRPr="00687B52">
              <w:rPr>
                <w:rFonts w:ascii="Cambria" w:hAnsi="Cambria"/>
                <w:color w:val="000000" w:themeColor="text1"/>
                <w:sz w:val="24"/>
                <w:szCs w:val="24"/>
              </w:rPr>
              <w:t>5.0.3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E91AF7">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.1.1</w:t>
            </w:r>
            <w:r w:rsidR="00E91AF7" w:rsidRPr="00687B52">
              <w:rPr>
                <w:rFonts w:ascii="Cambria" w:hAnsi="Cambria" w:hint="eastAsia"/>
                <w:color w:val="000000" w:themeColor="text1"/>
                <w:sz w:val="24"/>
                <w:szCs w:val="24"/>
              </w:rPr>
              <w:t>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厂房内每个防火分区或一个防火分区内多肉每个楼层，其安全出口的数量应急计算确定，且不应少于</w:t>
            </w:r>
            <w:r w:rsidRPr="00687B52">
              <w:rPr>
                <w:rFonts w:ascii="Cambria" w:hAnsi="Cambria"/>
                <w:color w:val="000000" w:themeColor="text1"/>
                <w:sz w:val="24"/>
                <w:szCs w:val="24"/>
              </w:rPr>
              <w:t>2</w:t>
            </w:r>
            <w:r w:rsidRPr="00687B52">
              <w:rPr>
                <w:rFonts w:ascii="Cambria" w:hAnsi="Cambria"/>
                <w:color w:val="000000" w:themeColor="text1"/>
                <w:sz w:val="24"/>
                <w:szCs w:val="24"/>
              </w:rPr>
              <w:t>个。</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甲、乙、丙类多层厂房的疏散楼梯应采用封闭楼梯间或室外楼梯。</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3.7.2</w:t>
            </w:r>
            <w:r w:rsidRPr="00687B52">
              <w:rPr>
                <w:rFonts w:ascii="Cambria" w:hAnsi="Cambria"/>
                <w:color w:val="000000" w:themeColor="text1"/>
                <w:sz w:val="24"/>
                <w:szCs w:val="24"/>
              </w:rPr>
              <w:t>、</w:t>
            </w:r>
            <w:r w:rsidRPr="00687B52">
              <w:rPr>
                <w:rFonts w:ascii="Cambria" w:hAnsi="Cambria"/>
                <w:color w:val="000000" w:themeColor="text1"/>
                <w:sz w:val="24"/>
                <w:szCs w:val="24"/>
              </w:rPr>
              <w:t>3.7.6</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E91AF7">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.1.1</w:t>
            </w:r>
            <w:r w:rsidR="00E91AF7" w:rsidRPr="00687B52">
              <w:rPr>
                <w:rFonts w:ascii="Cambria" w:hAnsi="Cambria" w:hint="eastAsia"/>
                <w:color w:val="000000" w:themeColor="text1"/>
                <w:sz w:val="24"/>
                <w:szCs w:val="24"/>
              </w:rPr>
              <w:t>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消防控制室、消防水泵房、自备发电机房、配电室、防排烟机房以及发生火灾时仍需正常工作的消防设备房应设置消防应急照明，其作业面的最低照度不应低于正常照明的照度。疏散照明灯具应设置在出口的顶部、墙面的上部或顶棚上。</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10.3.3</w:t>
            </w:r>
            <w:r w:rsidRPr="00687B52">
              <w:rPr>
                <w:rFonts w:ascii="Cambria" w:hAnsi="Cambria"/>
                <w:color w:val="000000" w:themeColor="text1"/>
                <w:sz w:val="24"/>
                <w:szCs w:val="24"/>
              </w:rPr>
              <w:t>、</w:t>
            </w:r>
            <w:r w:rsidRPr="00687B52">
              <w:rPr>
                <w:rFonts w:ascii="Cambria" w:hAnsi="Cambria"/>
                <w:color w:val="000000" w:themeColor="text1"/>
                <w:sz w:val="24"/>
                <w:szCs w:val="24"/>
              </w:rPr>
              <w:t>10.3.4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b/>
                <w:color w:val="000000" w:themeColor="text1"/>
                <w:sz w:val="24"/>
                <w:szCs w:val="24"/>
              </w:rPr>
            </w:pPr>
            <w:r w:rsidRPr="00687B52">
              <w:rPr>
                <w:rFonts w:ascii="Cambria" w:hAnsi="Cambria"/>
                <w:b/>
                <w:color w:val="000000" w:themeColor="text1"/>
                <w:sz w:val="24"/>
                <w:szCs w:val="24"/>
              </w:rPr>
              <w:t>1</w:t>
            </w:r>
            <w:r w:rsidRPr="00687B52">
              <w:rPr>
                <w:rFonts w:ascii="Cambria" w:hAnsi="Cambria" w:hint="eastAsia"/>
                <w:b/>
                <w:color w:val="000000" w:themeColor="text1"/>
                <w:sz w:val="24"/>
                <w:szCs w:val="24"/>
              </w:rPr>
              <w:t>2</w:t>
            </w:r>
            <w:r w:rsidRPr="00687B52">
              <w:rPr>
                <w:rFonts w:ascii="Cambria" w:hAnsi="Cambria"/>
                <w:b/>
                <w:color w:val="000000" w:themeColor="text1"/>
                <w:sz w:val="24"/>
                <w:szCs w:val="24"/>
              </w:rPr>
              <w:t>.2</w:t>
            </w:r>
          </w:p>
        </w:tc>
        <w:tc>
          <w:tcPr>
            <w:tcW w:w="2101" w:type="pct"/>
            <w:vAlign w:val="center"/>
          </w:tcPr>
          <w:p w:rsidR="000E02C5" w:rsidRPr="00687B52" w:rsidRDefault="000E02C5" w:rsidP="00B527D4">
            <w:pPr>
              <w:rPr>
                <w:rFonts w:ascii="Cambria" w:hAnsi="Cambria"/>
                <w:b/>
                <w:color w:val="000000" w:themeColor="text1"/>
                <w:sz w:val="24"/>
                <w:szCs w:val="24"/>
              </w:rPr>
            </w:pPr>
            <w:r w:rsidRPr="00687B52">
              <w:rPr>
                <w:rFonts w:ascii="Cambria" w:hAnsi="Cambria"/>
                <w:b/>
                <w:color w:val="000000" w:themeColor="text1"/>
                <w:sz w:val="24"/>
                <w:szCs w:val="24"/>
              </w:rPr>
              <w:t>供气</w:t>
            </w:r>
          </w:p>
        </w:tc>
        <w:tc>
          <w:tcPr>
            <w:tcW w:w="1236" w:type="pct"/>
            <w:vAlign w:val="center"/>
          </w:tcPr>
          <w:p w:rsidR="000E02C5" w:rsidRPr="00687B52" w:rsidRDefault="000E02C5" w:rsidP="00B527D4">
            <w:pPr>
              <w:rPr>
                <w:rFonts w:ascii="Cambria" w:hAnsi="Cambria"/>
                <w:color w:val="000000" w:themeColor="text1"/>
                <w:sz w:val="24"/>
                <w:szCs w:val="24"/>
              </w:rPr>
            </w:pP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.2.1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空气压缩机吸气系统的吸气口宜设置在室外，并应有防雨措施。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w:t>
            </w:r>
            <w:hyperlink r:id="rId112" w:tgtFrame="_blank" w:history="1">
              <w:r w:rsidRPr="00687B52">
                <w:rPr>
                  <w:rFonts w:ascii="Cambria" w:hAnsi="Cambria"/>
                  <w:color w:val="000000" w:themeColor="text1"/>
                  <w:sz w:val="24"/>
                  <w:szCs w:val="24"/>
                </w:rPr>
                <w:t>压缩空气站设计规范</w:t>
              </w:r>
            </w:hyperlink>
            <w:r w:rsidRPr="00687B52">
              <w:rPr>
                <w:rFonts w:ascii="Cambria" w:hAnsi="Cambria"/>
                <w:color w:val="000000" w:themeColor="text1"/>
                <w:sz w:val="24"/>
                <w:szCs w:val="24"/>
              </w:rPr>
              <w:t>》</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GB50029-2014</w:t>
            </w:r>
            <w:r w:rsidRPr="00687B52">
              <w:rPr>
                <w:rFonts w:ascii="Cambria" w:hAnsi="Cambria"/>
                <w:color w:val="000000" w:themeColor="text1"/>
                <w:sz w:val="24"/>
                <w:szCs w:val="24"/>
              </w:rPr>
              <w:t>第</w:t>
            </w:r>
            <w:r w:rsidRPr="00687B52">
              <w:rPr>
                <w:rFonts w:ascii="Cambria" w:hAnsi="Cambria"/>
                <w:color w:val="000000" w:themeColor="text1"/>
                <w:sz w:val="24"/>
                <w:szCs w:val="24"/>
              </w:rPr>
              <w:t>3.0.5</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.2.2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压缩空气、氮气储罐必须装设压力表、安全阀，压力表安全阀应定期校验、检测。储气罐与供气总管之间，应装设切断阀。</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压缩空气、氮气储罐（简单压力容器除外）应按</w:t>
            </w:r>
            <w:hyperlink r:id="rId113" w:tgtFrame="_blank" w:history="1">
              <w:r w:rsidRPr="00687B52">
                <w:rPr>
                  <w:rFonts w:ascii="Cambria" w:hAnsi="Cambria"/>
                  <w:color w:val="000000" w:themeColor="text1"/>
                  <w:sz w:val="24"/>
                  <w:szCs w:val="24"/>
                </w:rPr>
                <w:t>《固定式压力容器安全技术监察规程》</w:t>
              </w:r>
            </w:hyperlink>
            <w:r w:rsidRPr="00687B52">
              <w:rPr>
                <w:rFonts w:ascii="Cambria" w:hAnsi="Cambria"/>
                <w:color w:val="000000" w:themeColor="text1"/>
                <w:sz w:val="24"/>
                <w:szCs w:val="24"/>
              </w:rPr>
              <w:t>等标准规范要求，定期进行检测。</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w:t>
            </w:r>
            <w:hyperlink r:id="rId114" w:tgtFrame="_blank" w:history="1">
              <w:r w:rsidRPr="00687B52">
                <w:rPr>
                  <w:rFonts w:ascii="Cambria" w:hAnsi="Cambria"/>
                  <w:color w:val="000000" w:themeColor="text1"/>
                  <w:sz w:val="24"/>
                  <w:szCs w:val="24"/>
                </w:rPr>
                <w:t>压缩空气站设计规范</w:t>
              </w:r>
            </w:hyperlink>
            <w:r w:rsidRPr="00687B52">
              <w:rPr>
                <w:rFonts w:ascii="Cambria" w:hAnsi="Cambria"/>
                <w:color w:val="000000" w:themeColor="text1"/>
                <w:sz w:val="24"/>
                <w:szCs w:val="24"/>
              </w:rPr>
              <w:t>》</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GB50029-2014</w:t>
            </w:r>
            <w:r w:rsidRPr="00687B52">
              <w:rPr>
                <w:rFonts w:ascii="Cambria" w:hAnsi="Cambria"/>
                <w:color w:val="000000" w:themeColor="text1"/>
                <w:sz w:val="24"/>
                <w:szCs w:val="24"/>
              </w:rPr>
              <w:t>第</w:t>
            </w:r>
            <w:r w:rsidRPr="00687B52">
              <w:rPr>
                <w:rFonts w:ascii="Cambria" w:hAnsi="Cambria"/>
                <w:color w:val="000000" w:themeColor="text1"/>
                <w:sz w:val="24"/>
                <w:szCs w:val="24"/>
              </w:rPr>
              <w:t>3.0.18</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.2.3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压缩空气站机器间通向室外的门应保证安全疏散、便于设备出入和操作管理。离心空气压缩机站的安全出口不应少于</w:t>
            </w:r>
            <w:r w:rsidRPr="00687B52">
              <w:rPr>
                <w:rFonts w:ascii="Cambria" w:hAnsi="Cambria"/>
                <w:color w:val="000000" w:themeColor="text1"/>
                <w:sz w:val="24"/>
                <w:szCs w:val="24"/>
              </w:rPr>
              <w:t>2</w:t>
            </w:r>
            <w:r w:rsidRPr="00687B52">
              <w:rPr>
                <w:rFonts w:ascii="Cambria" w:hAnsi="Cambria"/>
                <w:color w:val="000000" w:themeColor="text1"/>
                <w:sz w:val="24"/>
                <w:szCs w:val="24"/>
              </w:rPr>
              <w:t>个，且必须有</w:t>
            </w:r>
            <w:r w:rsidRPr="00687B52">
              <w:rPr>
                <w:rFonts w:ascii="Cambria" w:hAnsi="Cambria"/>
                <w:color w:val="000000" w:themeColor="text1"/>
                <w:sz w:val="24"/>
                <w:szCs w:val="24"/>
              </w:rPr>
              <w:t>1</w:t>
            </w:r>
            <w:r w:rsidRPr="00687B52">
              <w:rPr>
                <w:rFonts w:ascii="Cambria" w:hAnsi="Cambria"/>
                <w:color w:val="000000" w:themeColor="text1"/>
                <w:sz w:val="24"/>
                <w:szCs w:val="24"/>
              </w:rPr>
              <w:t>个直通室外；当双层布置时，运行层应有通向室外地面的安全梯。</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w:t>
            </w:r>
            <w:hyperlink r:id="rId115" w:tgtFrame="_blank" w:history="1">
              <w:r w:rsidRPr="00687B52">
                <w:rPr>
                  <w:rFonts w:ascii="Cambria" w:hAnsi="Cambria"/>
                  <w:color w:val="000000" w:themeColor="text1"/>
                  <w:sz w:val="24"/>
                  <w:szCs w:val="24"/>
                </w:rPr>
                <w:t>压缩空气站设计规范</w:t>
              </w:r>
            </w:hyperlink>
            <w:r w:rsidRPr="00687B52">
              <w:rPr>
                <w:rFonts w:ascii="Cambria" w:hAnsi="Cambria"/>
                <w:color w:val="000000" w:themeColor="text1"/>
                <w:sz w:val="24"/>
                <w:szCs w:val="24"/>
              </w:rPr>
              <w:t>》</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GB50029-2014</w:t>
            </w:r>
            <w:r w:rsidRPr="00687B52">
              <w:rPr>
                <w:rFonts w:ascii="Cambria" w:hAnsi="Cambria"/>
                <w:color w:val="000000" w:themeColor="text1"/>
                <w:sz w:val="24"/>
                <w:szCs w:val="24"/>
              </w:rPr>
              <w:t>第</w:t>
            </w:r>
            <w:r w:rsidRPr="00687B52">
              <w:rPr>
                <w:rFonts w:ascii="Cambria" w:hAnsi="Cambria"/>
                <w:color w:val="000000" w:themeColor="text1"/>
                <w:sz w:val="24"/>
                <w:szCs w:val="24"/>
              </w:rPr>
              <w:t>5.0.3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b/>
                <w:color w:val="000000" w:themeColor="text1"/>
                <w:sz w:val="24"/>
                <w:szCs w:val="24"/>
              </w:rPr>
            </w:pPr>
            <w:r w:rsidRPr="00687B52">
              <w:rPr>
                <w:rFonts w:ascii="Cambria" w:hAnsi="Cambria"/>
                <w:b/>
                <w:color w:val="000000" w:themeColor="text1"/>
                <w:sz w:val="24"/>
                <w:szCs w:val="24"/>
              </w:rPr>
              <w:t>1</w:t>
            </w:r>
            <w:r w:rsidRPr="00687B52">
              <w:rPr>
                <w:rFonts w:ascii="Cambria" w:hAnsi="Cambria" w:hint="eastAsia"/>
                <w:b/>
                <w:color w:val="000000" w:themeColor="text1"/>
                <w:sz w:val="24"/>
                <w:szCs w:val="24"/>
              </w:rPr>
              <w:t>2</w:t>
            </w:r>
            <w:r w:rsidRPr="00687B52">
              <w:rPr>
                <w:rFonts w:ascii="Cambria" w:hAnsi="Cambria"/>
                <w:b/>
                <w:color w:val="000000" w:themeColor="text1"/>
                <w:sz w:val="24"/>
                <w:szCs w:val="24"/>
              </w:rPr>
              <w:t>.3</w:t>
            </w:r>
          </w:p>
        </w:tc>
        <w:tc>
          <w:tcPr>
            <w:tcW w:w="2101" w:type="pct"/>
            <w:vAlign w:val="center"/>
          </w:tcPr>
          <w:p w:rsidR="000E02C5" w:rsidRPr="00687B52" w:rsidRDefault="000E02C5" w:rsidP="00B527D4">
            <w:pPr>
              <w:rPr>
                <w:rFonts w:ascii="Cambria" w:hAnsi="Cambria"/>
                <w:b/>
                <w:color w:val="000000" w:themeColor="text1"/>
                <w:sz w:val="24"/>
                <w:szCs w:val="24"/>
              </w:rPr>
            </w:pPr>
            <w:r w:rsidRPr="00687B52">
              <w:rPr>
                <w:rFonts w:ascii="Cambria" w:hAnsi="Cambria"/>
                <w:b/>
                <w:color w:val="000000" w:themeColor="text1"/>
                <w:sz w:val="24"/>
                <w:szCs w:val="24"/>
              </w:rPr>
              <w:t>供配电</w:t>
            </w:r>
          </w:p>
        </w:tc>
        <w:tc>
          <w:tcPr>
            <w:tcW w:w="1236" w:type="pct"/>
            <w:vAlign w:val="center"/>
          </w:tcPr>
          <w:p w:rsidR="000E02C5" w:rsidRPr="00687B52" w:rsidRDefault="000E02C5" w:rsidP="00B527D4">
            <w:pPr>
              <w:rPr>
                <w:rFonts w:ascii="Cambria" w:hAnsi="Cambria"/>
                <w:color w:val="000000" w:themeColor="text1"/>
                <w:sz w:val="24"/>
                <w:szCs w:val="24"/>
              </w:rPr>
            </w:pP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.3.1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变配电室应满足以下规定：</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①</w:t>
            </w:r>
            <w:r w:rsidRPr="00687B52">
              <w:rPr>
                <w:rFonts w:ascii="Cambria" w:hAnsi="Cambria"/>
                <w:color w:val="000000" w:themeColor="text1"/>
                <w:sz w:val="24"/>
                <w:szCs w:val="24"/>
              </w:rPr>
              <w:tab/>
            </w:r>
            <w:r w:rsidRPr="00687B52">
              <w:rPr>
                <w:rFonts w:ascii="Cambria" w:hAnsi="Cambria"/>
                <w:color w:val="000000" w:themeColor="text1"/>
                <w:sz w:val="24"/>
                <w:szCs w:val="24"/>
              </w:rPr>
              <w:t>地面应采用防滑、不起尘、不发火的耐火材料。操作面地面应铺设绝缘胶垫。应设置防止雨、雪和小动物从采光窗、通风窗、门、电缆沟等进入室内的设施，如出入口应设置高度不低于</w:t>
            </w:r>
            <w:r w:rsidRPr="00687B52">
              <w:rPr>
                <w:rFonts w:ascii="Cambria" w:hAnsi="Cambria"/>
                <w:color w:val="000000" w:themeColor="text1"/>
                <w:sz w:val="24"/>
                <w:szCs w:val="24"/>
              </w:rPr>
              <w:t>400mm</w:t>
            </w:r>
            <w:r w:rsidRPr="00687B52">
              <w:rPr>
                <w:rFonts w:ascii="Cambria" w:hAnsi="Cambria"/>
                <w:color w:val="000000" w:themeColor="text1"/>
                <w:sz w:val="24"/>
                <w:szCs w:val="24"/>
              </w:rPr>
              <w:t>的挡板。</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②</w:t>
            </w:r>
            <w:r w:rsidRPr="00687B52">
              <w:rPr>
                <w:rFonts w:ascii="Cambria" w:hAnsi="Cambria"/>
                <w:color w:val="000000" w:themeColor="text1"/>
                <w:sz w:val="24"/>
                <w:szCs w:val="24"/>
              </w:rPr>
              <w:tab/>
            </w:r>
            <w:r w:rsidRPr="00687B52">
              <w:rPr>
                <w:rFonts w:ascii="Cambria" w:hAnsi="Cambria"/>
                <w:color w:val="000000" w:themeColor="text1"/>
                <w:sz w:val="24"/>
                <w:szCs w:val="24"/>
              </w:rPr>
              <w:t>变配电室的电缆夹层、电缆沟和电缆室应采取防水、排水措施。</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③</w:t>
            </w:r>
            <w:r w:rsidRPr="00687B52">
              <w:rPr>
                <w:rFonts w:ascii="Cambria" w:hAnsi="Cambria"/>
                <w:color w:val="000000" w:themeColor="text1"/>
                <w:sz w:val="24"/>
                <w:szCs w:val="24"/>
              </w:rPr>
              <w:tab/>
            </w:r>
            <w:r w:rsidRPr="00687B52">
              <w:rPr>
                <w:rFonts w:ascii="Cambria" w:hAnsi="Cambria"/>
                <w:color w:val="000000" w:themeColor="text1"/>
                <w:sz w:val="24"/>
                <w:szCs w:val="24"/>
              </w:rPr>
              <w:t>通往室外的门应向外开。设备间与附属房间之间的门应向附属房间方向开。高压间与低压间之间的门，应向低压间方向开。配电装置室的中间门应采用双向开启门。</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④</w:t>
            </w:r>
            <w:r w:rsidRPr="00687B52">
              <w:rPr>
                <w:rFonts w:ascii="Cambria" w:hAnsi="Cambria"/>
                <w:color w:val="000000" w:themeColor="text1"/>
                <w:sz w:val="24"/>
                <w:szCs w:val="24"/>
              </w:rPr>
              <w:tab/>
            </w:r>
            <w:r w:rsidRPr="00687B52">
              <w:rPr>
                <w:rFonts w:ascii="Cambria" w:hAnsi="Cambria"/>
                <w:color w:val="000000" w:themeColor="text1"/>
                <w:sz w:val="24"/>
                <w:szCs w:val="24"/>
              </w:rPr>
              <w:t>应设置有明显的临时接地点，接地点应采用铜制或钢制镀锌蝶形螺栓。变配电室内应设有等电位联结板。</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⑤</w:t>
            </w:r>
            <w:r w:rsidRPr="00687B52">
              <w:rPr>
                <w:rFonts w:ascii="Cambria" w:hAnsi="Cambria"/>
                <w:color w:val="000000" w:themeColor="text1"/>
                <w:sz w:val="24"/>
                <w:szCs w:val="24"/>
              </w:rPr>
              <w:tab/>
            </w:r>
            <w:r w:rsidRPr="00687B52">
              <w:rPr>
                <w:rFonts w:ascii="Cambria" w:hAnsi="Cambria"/>
                <w:color w:val="000000" w:themeColor="text1"/>
                <w:sz w:val="24"/>
                <w:szCs w:val="24"/>
              </w:rPr>
              <w:t>变配电室应急照明灯具和疏散指示标志灯的备用充电电源的放电时间不低于</w:t>
            </w:r>
            <w:r w:rsidRPr="00687B52">
              <w:rPr>
                <w:rFonts w:ascii="Cambria" w:hAnsi="Cambria"/>
                <w:color w:val="000000" w:themeColor="text1"/>
                <w:sz w:val="24"/>
                <w:szCs w:val="24"/>
              </w:rPr>
              <w:t>20min</w:t>
            </w:r>
            <w:r w:rsidRPr="00687B52">
              <w:rPr>
                <w:rFonts w:ascii="Cambria" w:hAnsi="Cambria"/>
                <w:color w:val="000000" w:themeColor="text1"/>
                <w:sz w:val="24"/>
                <w:szCs w:val="24"/>
              </w:rPr>
              <w:t>。</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⑥</w:t>
            </w:r>
            <w:r w:rsidRPr="00687B52">
              <w:rPr>
                <w:rFonts w:ascii="Cambria" w:hAnsi="Cambria"/>
                <w:color w:val="000000" w:themeColor="text1"/>
                <w:sz w:val="24"/>
                <w:szCs w:val="24"/>
              </w:rPr>
              <w:tab/>
            </w:r>
            <w:r w:rsidRPr="00687B52">
              <w:rPr>
                <w:rFonts w:ascii="Cambria" w:hAnsi="Cambria"/>
                <w:color w:val="000000" w:themeColor="text1"/>
                <w:sz w:val="24"/>
                <w:szCs w:val="24"/>
              </w:rPr>
              <w:t>配电室长度超过</w:t>
            </w:r>
            <w:r w:rsidRPr="00687B52">
              <w:rPr>
                <w:rFonts w:ascii="Cambria" w:hAnsi="Cambria"/>
                <w:color w:val="000000" w:themeColor="text1"/>
                <w:sz w:val="24"/>
                <w:szCs w:val="24"/>
              </w:rPr>
              <w:t>7m</w:t>
            </w:r>
            <w:r w:rsidRPr="00687B52">
              <w:rPr>
                <w:rFonts w:ascii="Cambria" w:hAnsi="Cambria"/>
                <w:color w:val="000000" w:themeColor="text1"/>
                <w:sz w:val="24"/>
                <w:szCs w:val="24"/>
              </w:rPr>
              <w:t>时，应设</w:t>
            </w:r>
            <w:r w:rsidRPr="00687B52">
              <w:rPr>
                <w:rFonts w:ascii="Cambria" w:hAnsi="Cambria"/>
                <w:color w:val="000000" w:themeColor="text1"/>
                <w:sz w:val="24"/>
                <w:szCs w:val="24"/>
              </w:rPr>
              <w:t>2</w:t>
            </w:r>
            <w:r w:rsidRPr="00687B52">
              <w:rPr>
                <w:rFonts w:ascii="Cambria" w:hAnsi="Cambria"/>
                <w:color w:val="000000" w:themeColor="text1"/>
                <w:sz w:val="24"/>
                <w:szCs w:val="24"/>
              </w:rPr>
              <w:t>个出口，并宜布置在配电室两端。</w:t>
            </w:r>
          </w:p>
          <w:p w:rsidR="000E02C5" w:rsidRPr="00687B52" w:rsidRDefault="000E02C5" w:rsidP="00B527D4">
            <w:pPr>
              <w:rPr>
                <w:rFonts w:ascii="Cambria" w:hAnsi="Cambria" w:cs="宋体"/>
                <w:color w:val="000000" w:themeColor="text1"/>
                <w:kern w:val="0"/>
                <w:sz w:val="24"/>
                <w:szCs w:val="24"/>
              </w:rPr>
            </w:pPr>
            <w:r w:rsidRPr="00687B52">
              <w:rPr>
                <w:rFonts w:ascii="Cambria" w:hAnsi="Cambria" w:cs="宋体"/>
                <w:color w:val="000000" w:themeColor="text1"/>
                <w:kern w:val="0"/>
                <w:sz w:val="24"/>
                <w:szCs w:val="24"/>
              </w:rPr>
              <w:t>⑦</w:t>
            </w:r>
            <w:r w:rsidRPr="00687B52">
              <w:rPr>
                <w:rFonts w:ascii="Cambria" w:hAnsi="Cambria" w:cs="宋体"/>
                <w:color w:val="000000" w:themeColor="text1"/>
                <w:kern w:val="0"/>
                <w:sz w:val="24"/>
                <w:szCs w:val="24"/>
              </w:rPr>
              <w:t>配电室内除本室需要的管道外，不应有其它的管道通过。室内水、汽管道上不应设置阀门和中间接头；水、汽管道与散热器的连接应采用焊接，并应做等电位联结。配电屏上、下方及电缆沟内不应敷设水、汽管道。</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⑧</w:t>
            </w:r>
            <w:r w:rsidRPr="00687B52">
              <w:rPr>
                <w:rFonts w:ascii="Cambria" w:hAnsi="Cambria"/>
                <w:color w:val="000000" w:themeColor="text1"/>
                <w:sz w:val="24"/>
                <w:szCs w:val="24"/>
              </w:rPr>
              <w:t>配电室屋顶承重构件的耐火等级不应低于二级，其它部分不低于三级。</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《变配电室安全管理规范》</w:t>
            </w:r>
            <w:r w:rsidRPr="00687B52">
              <w:rPr>
                <w:rFonts w:ascii="Cambria" w:hAnsi="Cambria"/>
                <w:color w:val="000000" w:themeColor="text1"/>
                <w:sz w:val="24"/>
                <w:szCs w:val="24"/>
              </w:rPr>
              <w:t>DB11/527-2008</w:t>
            </w:r>
            <w:r w:rsidRPr="00687B52">
              <w:rPr>
                <w:rFonts w:ascii="Cambria" w:hAnsi="Cambria"/>
                <w:color w:val="000000" w:themeColor="text1"/>
                <w:sz w:val="24"/>
                <w:szCs w:val="24"/>
              </w:rPr>
              <w:t>、《低压配电设计规范》</w:t>
            </w:r>
            <w:r w:rsidRPr="00687B52">
              <w:rPr>
                <w:rFonts w:ascii="Cambria" w:hAnsi="Cambria"/>
                <w:color w:val="000000" w:themeColor="text1"/>
                <w:sz w:val="24"/>
                <w:szCs w:val="24"/>
              </w:rPr>
              <w:t>GB50054-2011</w:t>
            </w:r>
            <w:r w:rsidRPr="00687B52">
              <w:rPr>
                <w:rFonts w:ascii="Cambria" w:hAnsi="Cambria"/>
                <w:color w:val="000000" w:themeColor="text1"/>
                <w:sz w:val="24"/>
                <w:szCs w:val="24"/>
              </w:rPr>
              <w:t>、《用电安全导则》</w:t>
            </w:r>
            <w:r w:rsidRPr="00687B52">
              <w:rPr>
                <w:rFonts w:ascii="Cambria" w:hAnsi="Cambria"/>
                <w:color w:val="000000" w:themeColor="text1"/>
                <w:sz w:val="24"/>
                <w:szCs w:val="24"/>
              </w:rPr>
              <w:t>GB/T13869-2008</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.3.2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应急电源与正常电源之间，应采取防止并列运行的措施。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《供配电系统设计规范》</w:t>
            </w:r>
            <w:r w:rsidRPr="00687B52">
              <w:rPr>
                <w:rFonts w:ascii="Cambria" w:hAnsi="Cambria"/>
                <w:color w:val="000000" w:themeColor="text1"/>
                <w:sz w:val="24"/>
                <w:szCs w:val="24"/>
              </w:rPr>
              <w:t>GB50052-2009</w:t>
            </w:r>
            <w:r w:rsidRPr="00687B52">
              <w:rPr>
                <w:rFonts w:ascii="Cambria" w:hAnsi="Cambria"/>
                <w:color w:val="000000" w:themeColor="text1"/>
                <w:sz w:val="24"/>
                <w:szCs w:val="24"/>
              </w:rPr>
              <w:t>第</w:t>
            </w:r>
            <w:r w:rsidRPr="00687B52">
              <w:rPr>
                <w:rFonts w:ascii="Cambria" w:hAnsi="Cambria"/>
                <w:color w:val="000000" w:themeColor="text1"/>
                <w:sz w:val="24"/>
                <w:szCs w:val="24"/>
              </w:rPr>
              <w:t>4.0.2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.3.3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配电室的位置应靠近用电负荷中心，设置在尘埃少、腐蚀介质少、周围环境干燥干燥和无剧烈震动的场所，并宜留有发展余地。</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《低压配电设计规范》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GB50054-2011</w:t>
            </w:r>
            <w:r w:rsidRPr="00687B52">
              <w:rPr>
                <w:rFonts w:ascii="Cambria" w:hAnsi="Cambria"/>
                <w:color w:val="000000" w:themeColor="text1"/>
                <w:sz w:val="24"/>
                <w:szCs w:val="24"/>
              </w:rPr>
              <w:t>第</w:t>
            </w:r>
            <w:r w:rsidRPr="00687B52">
              <w:rPr>
                <w:rFonts w:ascii="Cambria" w:hAnsi="Cambria"/>
                <w:color w:val="000000" w:themeColor="text1"/>
                <w:sz w:val="24"/>
                <w:szCs w:val="24"/>
              </w:rPr>
              <w:t>4.1.1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.3.4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落地式配电箱的底部宜抬高，高出地面的高度室内不应低于</w:t>
            </w:r>
            <w:r w:rsidRPr="00687B52">
              <w:rPr>
                <w:rFonts w:ascii="Cambria" w:hAnsi="Cambria"/>
                <w:color w:val="000000" w:themeColor="text1"/>
                <w:sz w:val="24"/>
                <w:szCs w:val="24"/>
              </w:rPr>
              <w:t>50mm</w:t>
            </w:r>
            <w:r w:rsidRPr="00687B52">
              <w:rPr>
                <w:rFonts w:ascii="Cambria" w:hAnsi="Cambria"/>
                <w:color w:val="000000" w:themeColor="text1"/>
                <w:sz w:val="24"/>
                <w:szCs w:val="24"/>
              </w:rPr>
              <w:t>，室外不应低于</w:t>
            </w:r>
            <w:r w:rsidRPr="00687B52">
              <w:rPr>
                <w:rFonts w:ascii="Cambria" w:hAnsi="Cambria"/>
                <w:color w:val="000000" w:themeColor="text1"/>
                <w:sz w:val="24"/>
                <w:szCs w:val="24"/>
              </w:rPr>
              <w:t>200mm</w:t>
            </w:r>
            <w:r w:rsidRPr="00687B52">
              <w:rPr>
                <w:rFonts w:ascii="Cambria" w:hAnsi="Cambria"/>
                <w:color w:val="000000" w:themeColor="text1"/>
                <w:sz w:val="24"/>
                <w:szCs w:val="24"/>
              </w:rPr>
              <w:t>。其底座周围应采取封闭措施，并应能防止鼠、蛇类等小动物进入箱内。</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w:t>
            </w:r>
            <w:hyperlink r:id="rId116" w:tgtFrame="_blank" w:history="1">
              <w:r w:rsidRPr="00687B52">
                <w:rPr>
                  <w:rFonts w:ascii="Cambria" w:hAnsi="Cambria"/>
                  <w:color w:val="000000" w:themeColor="text1"/>
                  <w:sz w:val="24"/>
                  <w:szCs w:val="24"/>
                </w:rPr>
                <w:t>低压配电设计规范</w:t>
              </w:r>
            </w:hyperlink>
            <w:r w:rsidRPr="00687B52">
              <w:rPr>
                <w:rFonts w:ascii="Cambria" w:hAnsi="Cambria"/>
                <w:color w:val="000000" w:themeColor="text1"/>
                <w:sz w:val="24"/>
                <w:szCs w:val="24"/>
              </w:rPr>
              <w:t>》</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GB50054-2011</w:t>
            </w:r>
            <w:r w:rsidRPr="00687B52">
              <w:rPr>
                <w:rFonts w:ascii="Cambria" w:hAnsi="Cambria"/>
                <w:color w:val="000000" w:themeColor="text1"/>
                <w:sz w:val="24"/>
                <w:szCs w:val="24"/>
              </w:rPr>
              <w:t>第</w:t>
            </w:r>
            <w:r w:rsidRPr="00687B52">
              <w:rPr>
                <w:rFonts w:ascii="Cambria" w:hAnsi="Cambria"/>
                <w:color w:val="000000" w:themeColor="text1"/>
                <w:sz w:val="24"/>
                <w:szCs w:val="24"/>
              </w:rPr>
              <w:t>4.2.1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.3.5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配电线路应装设短路保护和过负荷保护。</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w:t>
            </w:r>
            <w:hyperlink r:id="rId117" w:tgtFrame="_blank" w:history="1">
              <w:r w:rsidRPr="00687B52">
                <w:rPr>
                  <w:rFonts w:ascii="Cambria" w:hAnsi="Cambria"/>
                  <w:color w:val="000000" w:themeColor="text1"/>
                  <w:sz w:val="24"/>
                  <w:szCs w:val="24"/>
                </w:rPr>
                <w:t>低压配电设计规范</w:t>
              </w:r>
            </w:hyperlink>
            <w:r w:rsidRPr="00687B52">
              <w:rPr>
                <w:rFonts w:ascii="Cambria" w:hAnsi="Cambria"/>
                <w:color w:val="000000" w:themeColor="text1"/>
                <w:sz w:val="24"/>
                <w:szCs w:val="24"/>
              </w:rPr>
              <w:t>》</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GB50054-2011</w:t>
            </w:r>
            <w:r w:rsidRPr="00687B52">
              <w:rPr>
                <w:rFonts w:ascii="Cambria" w:hAnsi="Cambria"/>
                <w:color w:val="000000" w:themeColor="text1"/>
                <w:sz w:val="24"/>
                <w:szCs w:val="24"/>
              </w:rPr>
              <w:t>第</w:t>
            </w:r>
            <w:r w:rsidRPr="00687B52">
              <w:rPr>
                <w:rFonts w:ascii="Cambria" w:hAnsi="Cambria"/>
                <w:color w:val="000000" w:themeColor="text1"/>
                <w:sz w:val="24"/>
                <w:szCs w:val="24"/>
              </w:rPr>
              <w:t>6.1.1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.3.6</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配电室内的电缆沟，应采取防水盒排水措施。配电室的地面宜高出本层地面</w:t>
            </w:r>
            <w:r w:rsidRPr="00687B52">
              <w:rPr>
                <w:rFonts w:ascii="Cambria" w:hAnsi="Cambria"/>
                <w:color w:val="000000" w:themeColor="text1"/>
                <w:sz w:val="24"/>
                <w:szCs w:val="24"/>
              </w:rPr>
              <w:t xml:space="preserve"> 50mm</w:t>
            </w:r>
            <w:r w:rsidRPr="00687B52">
              <w:rPr>
                <w:rFonts w:ascii="Cambria" w:hAnsi="Cambria"/>
                <w:color w:val="000000" w:themeColor="text1"/>
                <w:sz w:val="24"/>
                <w:szCs w:val="24"/>
              </w:rPr>
              <w:t>或设置防水门槛。</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w:t>
            </w:r>
            <w:hyperlink r:id="rId118" w:tgtFrame="_blank" w:history="1">
              <w:r w:rsidRPr="00687B52">
                <w:rPr>
                  <w:rFonts w:ascii="Cambria" w:hAnsi="Cambria"/>
                  <w:color w:val="000000" w:themeColor="text1"/>
                  <w:sz w:val="24"/>
                  <w:szCs w:val="24"/>
                </w:rPr>
                <w:t>低压配电设计规范</w:t>
              </w:r>
            </w:hyperlink>
            <w:r w:rsidRPr="00687B52">
              <w:rPr>
                <w:rFonts w:ascii="Cambria" w:hAnsi="Cambria"/>
                <w:color w:val="000000" w:themeColor="text1"/>
                <w:sz w:val="24"/>
                <w:szCs w:val="24"/>
              </w:rPr>
              <w:t>》</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GB50054-2011</w:t>
            </w:r>
            <w:r w:rsidRPr="00687B52">
              <w:rPr>
                <w:rFonts w:ascii="Cambria" w:hAnsi="Cambria"/>
                <w:color w:val="000000" w:themeColor="text1"/>
                <w:sz w:val="24"/>
                <w:szCs w:val="24"/>
              </w:rPr>
              <w:t>第</w:t>
            </w:r>
            <w:r w:rsidRPr="00687B52">
              <w:rPr>
                <w:rFonts w:ascii="Cambria" w:hAnsi="Cambria"/>
                <w:color w:val="000000" w:themeColor="text1"/>
                <w:sz w:val="24"/>
                <w:szCs w:val="24"/>
              </w:rPr>
              <w:t>4.3.4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.3.7</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涉及放热反应的危险化工工艺生产装置应设置双重电源供电或控制系统应设置不间断电源（</w:t>
            </w:r>
            <w:r w:rsidRPr="00687B52">
              <w:rPr>
                <w:rFonts w:ascii="Cambria" w:hAnsi="Cambria"/>
                <w:color w:val="000000" w:themeColor="text1"/>
                <w:sz w:val="24"/>
                <w:szCs w:val="24"/>
              </w:rPr>
              <w:t>UPS</w:t>
            </w:r>
            <w:r w:rsidRPr="00687B52">
              <w:rPr>
                <w:rFonts w:ascii="Cambria" w:hAnsi="Cambria"/>
                <w:color w:val="000000" w:themeColor="text1"/>
                <w:sz w:val="24"/>
                <w:szCs w:val="24"/>
              </w:rPr>
              <w:t>）的。</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《安全生产法》第</w:t>
            </w:r>
            <w:r w:rsidRPr="00687B52">
              <w:rPr>
                <w:rFonts w:ascii="Cambria" w:hAnsi="Cambria"/>
                <w:color w:val="000000" w:themeColor="text1"/>
                <w:sz w:val="24"/>
                <w:szCs w:val="24"/>
              </w:rPr>
              <w:t>38</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.3.</w:t>
            </w:r>
            <w:r w:rsidRPr="00687B52">
              <w:rPr>
                <w:rFonts w:ascii="Cambria" w:hAnsi="Cambria" w:hint="eastAsia"/>
                <w:color w:val="000000" w:themeColor="text1"/>
                <w:sz w:val="24"/>
                <w:szCs w:val="24"/>
              </w:rPr>
              <w:t>8</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爆炸危险区域的电气设备防爆等级选型应根据</w:t>
            </w:r>
            <w:r w:rsidRPr="00687B52">
              <w:rPr>
                <w:rFonts w:ascii="Cambria" w:hAnsi="Cambria"/>
                <w:color w:val="000000" w:themeColor="text1"/>
                <w:sz w:val="24"/>
                <w:szCs w:val="24"/>
              </w:rPr>
              <w:t>GB50058</w:t>
            </w:r>
            <w:r w:rsidRPr="00687B52">
              <w:rPr>
                <w:rFonts w:ascii="Cambria" w:hAnsi="Cambria"/>
                <w:color w:val="000000" w:themeColor="text1"/>
                <w:sz w:val="24"/>
                <w:szCs w:val="24"/>
              </w:rPr>
              <w:t>的规定，防爆电气设备的级别和组别不应低于爆炸危险环境内爆炸物质的级别和组别。</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《爆炸危险环境电力装置设计规》范</w:t>
            </w:r>
            <w:r w:rsidRPr="00687B52">
              <w:rPr>
                <w:rFonts w:ascii="Cambria" w:hAnsi="Cambria"/>
                <w:color w:val="000000" w:themeColor="text1"/>
                <w:sz w:val="24"/>
                <w:szCs w:val="24"/>
              </w:rPr>
              <w:t>GB 50058-2014</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.3.</w:t>
            </w:r>
            <w:r w:rsidRPr="00687B52">
              <w:rPr>
                <w:rFonts w:ascii="Cambria" w:hAnsi="Cambria" w:hint="eastAsia"/>
                <w:color w:val="000000" w:themeColor="text1"/>
                <w:sz w:val="24"/>
                <w:szCs w:val="24"/>
              </w:rPr>
              <w:t>9</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对爆炸危险环境内可能产生静电危害的物体，应采取工业静电接地措施：</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①</w:t>
            </w:r>
            <w:r w:rsidRPr="00687B52">
              <w:rPr>
                <w:rFonts w:ascii="Cambria" w:hAnsi="Cambria"/>
                <w:color w:val="000000" w:themeColor="text1"/>
                <w:sz w:val="24"/>
                <w:szCs w:val="24"/>
              </w:rPr>
              <w:t>储存易燃易爆介质的设备、管道应设防静电接地；</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②</w:t>
            </w:r>
            <w:r w:rsidRPr="00687B52">
              <w:rPr>
                <w:rFonts w:ascii="Cambria" w:hAnsi="Cambria"/>
                <w:color w:val="000000" w:themeColor="text1"/>
                <w:sz w:val="24"/>
                <w:szCs w:val="24"/>
              </w:rPr>
              <w:t>输送易燃易爆介质的管道法兰应设防静电跨接；</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③</w:t>
            </w:r>
            <w:r w:rsidRPr="00687B52">
              <w:rPr>
                <w:rFonts w:ascii="Cambria" w:hAnsi="Cambria"/>
                <w:color w:val="000000" w:themeColor="text1"/>
                <w:sz w:val="24"/>
                <w:szCs w:val="24"/>
              </w:rPr>
              <w:t>存在火灾爆炸危险的生产、储存装置、作业场所的入口处应设人体静电消除器；</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④</w:t>
            </w:r>
            <w:r w:rsidRPr="00687B52">
              <w:rPr>
                <w:rFonts w:ascii="Cambria" w:hAnsi="Cambria"/>
                <w:color w:val="000000" w:themeColor="text1"/>
                <w:sz w:val="24"/>
                <w:szCs w:val="24"/>
              </w:rPr>
              <w:t>汽车罐车、铁路罐车和装卸栈台应设静电专用接地线。</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《化工企业静电接地设计规程》</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HG/T20675-1990</w:t>
            </w:r>
            <w:r w:rsidRPr="00687B52">
              <w:rPr>
                <w:rFonts w:ascii="Cambria" w:hAnsi="Cambria"/>
                <w:color w:val="000000" w:themeColor="text1"/>
                <w:sz w:val="24"/>
                <w:szCs w:val="24"/>
              </w:rPr>
              <w:t>第</w:t>
            </w:r>
            <w:r w:rsidRPr="00687B52">
              <w:rPr>
                <w:rFonts w:ascii="Cambria" w:hAnsi="Cambria"/>
                <w:color w:val="000000" w:themeColor="text1"/>
                <w:sz w:val="24"/>
                <w:szCs w:val="24"/>
              </w:rPr>
              <w:t>2.1.1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.3.1</w:t>
            </w:r>
            <w:r w:rsidRPr="00687B52">
              <w:rPr>
                <w:rFonts w:ascii="Cambria" w:hAnsi="Cambria" w:hint="eastAsia"/>
                <w:color w:val="000000" w:themeColor="text1"/>
                <w:sz w:val="24"/>
                <w:szCs w:val="24"/>
              </w:rPr>
              <w:t>0</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直径大于或等于</w:t>
            </w:r>
            <w:r w:rsidRPr="00687B52">
              <w:rPr>
                <w:rFonts w:ascii="Cambria" w:hAnsi="Cambria"/>
                <w:color w:val="000000" w:themeColor="text1"/>
                <w:sz w:val="24"/>
                <w:szCs w:val="24"/>
              </w:rPr>
              <w:t>2.5m</w:t>
            </w:r>
            <w:r w:rsidRPr="00687B52">
              <w:rPr>
                <w:rFonts w:ascii="Cambria" w:hAnsi="Cambria"/>
                <w:color w:val="000000" w:themeColor="text1"/>
                <w:sz w:val="24"/>
                <w:szCs w:val="24"/>
              </w:rPr>
              <w:t>及容积大于或等于</w:t>
            </w:r>
            <w:r w:rsidRPr="00687B52">
              <w:rPr>
                <w:rFonts w:ascii="Cambria" w:hAnsi="Cambria"/>
                <w:color w:val="000000" w:themeColor="text1"/>
                <w:sz w:val="24"/>
                <w:szCs w:val="24"/>
              </w:rPr>
              <w:t>50m</w:t>
            </w:r>
            <w:r w:rsidRPr="00687B52">
              <w:rPr>
                <w:rFonts w:ascii="Cambria" w:hAnsi="Cambria"/>
                <w:color w:val="000000" w:themeColor="text1"/>
                <w:sz w:val="24"/>
                <w:szCs w:val="24"/>
                <w:vertAlign w:val="superscript"/>
              </w:rPr>
              <w:t>3</w:t>
            </w:r>
            <w:r w:rsidRPr="00687B52">
              <w:rPr>
                <w:rFonts w:ascii="Cambria" w:hAnsi="Cambria"/>
                <w:color w:val="000000" w:themeColor="text1"/>
                <w:sz w:val="24"/>
                <w:szCs w:val="24"/>
              </w:rPr>
              <w:t>的设备，其接地点不应少于两处，接地点应沿设备外围均匀布置，其间距不应大于</w:t>
            </w:r>
            <w:r w:rsidRPr="00687B52">
              <w:rPr>
                <w:rFonts w:ascii="Cambria" w:hAnsi="Cambria"/>
                <w:color w:val="000000" w:themeColor="text1"/>
                <w:sz w:val="24"/>
                <w:szCs w:val="24"/>
              </w:rPr>
              <w:t>30m</w:t>
            </w:r>
            <w:r w:rsidRPr="00687B52">
              <w:rPr>
                <w:rFonts w:ascii="Cambria" w:hAnsi="Cambr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《石油化工静电接地设计规范》</w:t>
            </w:r>
            <w:r w:rsidRPr="00687B52">
              <w:rPr>
                <w:rFonts w:ascii="Cambria" w:hAnsi="Cambria"/>
                <w:color w:val="000000" w:themeColor="text1"/>
                <w:sz w:val="24"/>
                <w:szCs w:val="24"/>
              </w:rPr>
              <w:t>SH3097-2000</w:t>
            </w:r>
            <w:r w:rsidRPr="00687B52">
              <w:rPr>
                <w:rFonts w:ascii="Cambria" w:hAnsi="Cambria"/>
                <w:color w:val="000000" w:themeColor="text1"/>
                <w:sz w:val="24"/>
                <w:szCs w:val="24"/>
              </w:rPr>
              <w:t>第</w:t>
            </w:r>
            <w:r w:rsidRPr="00687B52">
              <w:rPr>
                <w:rFonts w:ascii="Cambria" w:hAnsi="Cambria"/>
                <w:color w:val="000000" w:themeColor="text1"/>
                <w:sz w:val="24"/>
                <w:szCs w:val="24"/>
              </w:rPr>
              <w:t>4.1.2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.3.1</w:t>
            </w:r>
            <w:r w:rsidRPr="00687B52">
              <w:rPr>
                <w:rFonts w:ascii="Cambria" w:hAnsi="Cambria" w:hint="eastAsia"/>
                <w:color w:val="000000" w:themeColor="text1"/>
                <w:sz w:val="24"/>
                <w:szCs w:val="24"/>
              </w:rPr>
              <w:t>1</w:t>
            </w:r>
          </w:p>
        </w:tc>
        <w:tc>
          <w:tcPr>
            <w:tcW w:w="2101" w:type="pct"/>
            <w:vAlign w:val="center"/>
          </w:tcPr>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kern w:val="0"/>
                <w:sz w:val="24"/>
                <w:szCs w:val="24"/>
              </w:rPr>
              <w:t>设计有静电接地要求的管道，当每对法兰或其他接头间电阻值超过</w:t>
            </w:r>
            <w:r w:rsidRPr="00687B52">
              <w:rPr>
                <w:rFonts w:ascii="Cambria" w:hAnsi="Cambria"/>
                <w:color w:val="000000" w:themeColor="text1"/>
                <w:kern w:val="0"/>
                <w:sz w:val="24"/>
                <w:szCs w:val="24"/>
              </w:rPr>
              <w:t>0.03</w:t>
            </w:r>
            <w:r w:rsidRPr="00687B52">
              <w:rPr>
                <w:rFonts w:ascii="Cambria" w:hAnsi="Cambria"/>
                <w:color w:val="000000" w:themeColor="text1"/>
                <w:kern w:val="0"/>
                <w:sz w:val="24"/>
                <w:szCs w:val="24"/>
              </w:rPr>
              <w:t>欧姆时，应设导线跨接。当金属法兰采用金属螺栓或卡子紧固时，一般可不必另装静电连接线，但应保证至少有两个螺栓或卡子间具有良好的导电接触面。</w:t>
            </w:r>
          </w:p>
        </w:tc>
        <w:tc>
          <w:tcPr>
            <w:tcW w:w="1236" w:type="pct"/>
            <w:vAlign w:val="center"/>
          </w:tcPr>
          <w:p w:rsidR="000E02C5" w:rsidRPr="00687B52" w:rsidRDefault="000E02C5" w:rsidP="00B527D4">
            <w:pPr>
              <w:rPr>
                <w:rFonts w:ascii="Cambria" w:hAnsi="Cambria"/>
                <w:color w:val="000000" w:themeColor="text1"/>
                <w:kern w:val="0"/>
                <w:sz w:val="24"/>
                <w:szCs w:val="24"/>
              </w:rPr>
            </w:pPr>
            <w:r w:rsidRPr="00687B52">
              <w:rPr>
                <w:rFonts w:ascii="Cambria" w:hAnsi="Cambria"/>
                <w:color w:val="000000" w:themeColor="text1"/>
                <w:sz w:val="24"/>
                <w:szCs w:val="24"/>
              </w:rPr>
              <w:t>《工业金属管道工程施工规范》</w:t>
            </w:r>
            <w:r w:rsidRPr="00687B52">
              <w:rPr>
                <w:rFonts w:ascii="Cambria" w:hAnsi="Cambria"/>
                <w:color w:val="000000" w:themeColor="text1"/>
                <w:sz w:val="24"/>
                <w:szCs w:val="24"/>
              </w:rPr>
              <w:t>GB50235-2010</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.3.1</w:t>
            </w:r>
            <w:r w:rsidRPr="00687B52">
              <w:rPr>
                <w:rFonts w:ascii="Cambria" w:hAnsi="Cambria" w:hint="eastAsia"/>
                <w:color w:val="000000" w:themeColor="text1"/>
                <w:sz w:val="24"/>
                <w:szCs w:val="24"/>
              </w:rPr>
              <w:t>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电力电缆不应和输送甲、乙、丙类液体管道、可燃气体管道、热力管道敷设在同</w:t>
            </w:r>
            <w:r w:rsidRPr="00687B52">
              <w:rPr>
                <w:rFonts w:ascii="Cambria" w:hAnsi="Cambria"/>
                <w:color w:val="000000" w:themeColor="text1"/>
                <w:sz w:val="24"/>
                <w:szCs w:val="24"/>
              </w:rPr>
              <w:t>—</w:t>
            </w:r>
            <w:r w:rsidRPr="00687B52">
              <w:rPr>
                <w:rFonts w:ascii="Cambria" w:hAnsi="Cambria"/>
                <w:color w:val="000000" w:themeColor="text1"/>
                <w:sz w:val="24"/>
                <w:szCs w:val="24"/>
              </w:rPr>
              <w:t>管沟内。</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10.2.2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.3.1</w:t>
            </w:r>
            <w:r w:rsidRPr="00687B52">
              <w:rPr>
                <w:rFonts w:ascii="Cambria" w:hAnsi="Cambria" w:hint="eastAsia"/>
                <w:color w:val="000000" w:themeColor="text1"/>
                <w:sz w:val="24"/>
                <w:szCs w:val="24"/>
              </w:rPr>
              <w:t>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在爆炸性气体环境内钢管配线的电气线路应作好隔离密封。</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《爆炸危险环境电力装置设计规范》</w:t>
            </w:r>
            <w:r w:rsidRPr="00687B52">
              <w:rPr>
                <w:rFonts w:ascii="Cambria" w:hAnsi="Cambria"/>
                <w:color w:val="000000" w:themeColor="text1"/>
                <w:sz w:val="24"/>
                <w:szCs w:val="24"/>
              </w:rPr>
              <w:t>GB50058</w:t>
            </w:r>
            <w:r w:rsidRPr="00687B52">
              <w:rPr>
                <w:rFonts w:ascii="Cambria" w:hAnsi="Cambria"/>
                <w:color w:val="000000" w:themeColor="text1"/>
                <w:sz w:val="24"/>
                <w:szCs w:val="24"/>
              </w:rPr>
              <w:t>－</w:t>
            </w:r>
            <w:r w:rsidRPr="00687B52">
              <w:rPr>
                <w:rFonts w:ascii="Cambria" w:hAnsi="Cambria"/>
                <w:color w:val="000000" w:themeColor="text1"/>
                <w:sz w:val="24"/>
                <w:szCs w:val="24"/>
              </w:rPr>
              <w:t>2014</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b/>
                <w:color w:val="000000" w:themeColor="text1"/>
                <w:sz w:val="24"/>
                <w:szCs w:val="24"/>
              </w:rPr>
            </w:pPr>
            <w:r w:rsidRPr="00687B52">
              <w:rPr>
                <w:rFonts w:ascii="Cambria" w:hAnsi="Cambria"/>
                <w:b/>
                <w:color w:val="000000" w:themeColor="text1"/>
                <w:sz w:val="24"/>
                <w:szCs w:val="24"/>
              </w:rPr>
              <w:t>1</w:t>
            </w:r>
            <w:r w:rsidRPr="00687B52">
              <w:rPr>
                <w:rFonts w:ascii="Cambria" w:hAnsi="Cambria" w:hint="eastAsia"/>
                <w:b/>
                <w:color w:val="000000" w:themeColor="text1"/>
                <w:sz w:val="24"/>
                <w:szCs w:val="24"/>
              </w:rPr>
              <w:t>2</w:t>
            </w:r>
            <w:r w:rsidRPr="00687B52">
              <w:rPr>
                <w:rFonts w:ascii="Cambria" w:hAnsi="Cambria"/>
                <w:b/>
                <w:color w:val="000000" w:themeColor="text1"/>
                <w:sz w:val="24"/>
                <w:szCs w:val="24"/>
              </w:rPr>
              <w:t>.4</w:t>
            </w:r>
          </w:p>
        </w:tc>
        <w:tc>
          <w:tcPr>
            <w:tcW w:w="2101" w:type="pct"/>
            <w:vAlign w:val="center"/>
          </w:tcPr>
          <w:p w:rsidR="000E02C5" w:rsidRPr="00687B52" w:rsidRDefault="000E02C5" w:rsidP="00B527D4">
            <w:pPr>
              <w:rPr>
                <w:rFonts w:ascii="Cambria" w:hAnsi="Cambria"/>
                <w:b/>
                <w:color w:val="000000" w:themeColor="text1"/>
                <w:sz w:val="24"/>
                <w:szCs w:val="24"/>
              </w:rPr>
            </w:pPr>
            <w:r w:rsidRPr="00687B52">
              <w:rPr>
                <w:rFonts w:ascii="Cambria" w:hAnsi="Cambria"/>
                <w:b/>
                <w:color w:val="000000" w:themeColor="text1"/>
                <w:sz w:val="24"/>
                <w:szCs w:val="24"/>
              </w:rPr>
              <w:t>供热</w:t>
            </w:r>
            <w:r w:rsidRPr="00687B52">
              <w:rPr>
                <w:rFonts w:ascii="Cambria" w:hAnsi="Cambria" w:cs="Times New Roman"/>
                <w:b/>
                <w:color w:val="000000" w:themeColor="text1"/>
                <w:sz w:val="24"/>
                <w:szCs w:val="24"/>
              </w:rPr>
              <w:t>——</w:t>
            </w:r>
            <w:r w:rsidRPr="00687B52">
              <w:rPr>
                <w:rFonts w:ascii="Cambria" w:hAnsi="Cambria"/>
                <w:b/>
                <w:color w:val="000000" w:themeColor="text1"/>
                <w:sz w:val="24"/>
                <w:szCs w:val="24"/>
              </w:rPr>
              <w:t>蒸汽锅炉</w:t>
            </w:r>
          </w:p>
        </w:tc>
        <w:tc>
          <w:tcPr>
            <w:tcW w:w="1236" w:type="pct"/>
            <w:vAlign w:val="center"/>
          </w:tcPr>
          <w:p w:rsidR="000E02C5" w:rsidRPr="00687B52" w:rsidRDefault="000E02C5" w:rsidP="00B527D4">
            <w:pPr>
              <w:rPr>
                <w:rFonts w:ascii="Cambria" w:hAnsi="Cambria"/>
                <w:color w:val="000000" w:themeColor="text1"/>
                <w:sz w:val="24"/>
                <w:szCs w:val="24"/>
              </w:rPr>
            </w:pP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.4.1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锅炉房的耐火等级不应低于二级，当为燃煤锅炉房时且锅炉的总蒸发量不大于</w:t>
            </w:r>
            <w:r w:rsidRPr="00687B52">
              <w:rPr>
                <w:rFonts w:ascii="Cambria" w:hAnsi="Cambria"/>
                <w:color w:val="000000" w:themeColor="text1"/>
                <w:sz w:val="24"/>
                <w:szCs w:val="24"/>
              </w:rPr>
              <w:t>4t/h</w:t>
            </w:r>
            <w:r w:rsidRPr="00687B52">
              <w:rPr>
                <w:rFonts w:ascii="Cambria" w:hAnsi="Cambria"/>
                <w:color w:val="000000" w:themeColor="text1"/>
                <w:sz w:val="24"/>
                <w:szCs w:val="24"/>
              </w:rPr>
              <w:t>时，可采用三级耐火等级的建筑。</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50016-2014</w:t>
            </w:r>
            <w:r w:rsidRPr="00687B52">
              <w:rPr>
                <w:rFonts w:ascii="Cambria" w:hAnsi="Cambria"/>
                <w:color w:val="000000" w:themeColor="text1"/>
                <w:sz w:val="24"/>
                <w:szCs w:val="24"/>
              </w:rPr>
              <w:t>第</w:t>
            </w:r>
            <w:r w:rsidRPr="00687B52">
              <w:rPr>
                <w:rFonts w:ascii="Cambria" w:hAnsi="Cambria"/>
                <w:color w:val="000000" w:themeColor="text1"/>
                <w:sz w:val="24"/>
                <w:szCs w:val="24"/>
              </w:rPr>
              <w:t>3.2.5</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.4.2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燃油或燃气锅炉房应设置自然通风或机械通风设施。燃气锅炉房应选用防爆型的事故排风机。当采取机械通风时，机械通风设施应设置导除静电的接地装置，通风量应符合下列规定：</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①</w:t>
            </w:r>
            <w:r w:rsidRPr="00687B52">
              <w:rPr>
                <w:rFonts w:ascii="Cambria" w:hAnsi="Cambria"/>
                <w:color w:val="000000" w:themeColor="text1"/>
                <w:sz w:val="24"/>
                <w:szCs w:val="24"/>
              </w:rPr>
              <w:t>燃油锅炉房的正常通风量应按换气次数不少于</w:t>
            </w:r>
            <w:r w:rsidRPr="00687B52">
              <w:rPr>
                <w:rFonts w:ascii="Cambria" w:hAnsi="Cambria"/>
                <w:color w:val="000000" w:themeColor="text1"/>
                <w:sz w:val="24"/>
                <w:szCs w:val="24"/>
              </w:rPr>
              <w:t>3</w:t>
            </w:r>
            <w:r w:rsidRPr="00687B52">
              <w:rPr>
                <w:rFonts w:ascii="Cambria" w:hAnsi="Cambria"/>
                <w:color w:val="000000" w:themeColor="text1"/>
                <w:sz w:val="24"/>
                <w:szCs w:val="24"/>
              </w:rPr>
              <w:t>次</w:t>
            </w:r>
            <w:r w:rsidRPr="00687B52">
              <w:rPr>
                <w:rFonts w:ascii="Cambria" w:hAnsi="Cambria"/>
                <w:color w:val="000000" w:themeColor="text1"/>
                <w:sz w:val="24"/>
                <w:szCs w:val="24"/>
              </w:rPr>
              <w:t>/h</w:t>
            </w:r>
            <w:r w:rsidRPr="00687B52">
              <w:rPr>
                <w:rFonts w:ascii="Cambria" w:hAnsi="Cambria"/>
                <w:color w:val="000000" w:themeColor="text1"/>
                <w:sz w:val="24"/>
                <w:szCs w:val="24"/>
              </w:rPr>
              <w:t>确定，事故排风量应按换气次数不少于</w:t>
            </w:r>
            <w:r w:rsidRPr="00687B52">
              <w:rPr>
                <w:rFonts w:ascii="Cambria" w:hAnsi="Cambria"/>
                <w:color w:val="000000" w:themeColor="text1"/>
                <w:sz w:val="24"/>
                <w:szCs w:val="24"/>
              </w:rPr>
              <w:t>6</w:t>
            </w:r>
            <w:r w:rsidRPr="00687B52">
              <w:rPr>
                <w:rFonts w:ascii="Cambria" w:hAnsi="Cambria"/>
                <w:color w:val="000000" w:themeColor="text1"/>
                <w:sz w:val="24"/>
                <w:szCs w:val="24"/>
              </w:rPr>
              <w:t>次</w:t>
            </w:r>
            <w:r w:rsidRPr="00687B52">
              <w:rPr>
                <w:rFonts w:ascii="Cambria" w:hAnsi="Cambria"/>
                <w:color w:val="000000" w:themeColor="text1"/>
                <w:sz w:val="24"/>
                <w:szCs w:val="24"/>
              </w:rPr>
              <w:t>/h</w:t>
            </w:r>
            <w:r w:rsidRPr="00687B52">
              <w:rPr>
                <w:rFonts w:ascii="Cambria" w:hAnsi="Cambria"/>
                <w:color w:val="000000" w:themeColor="text1"/>
                <w:sz w:val="24"/>
                <w:szCs w:val="24"/>
              </w:rPr>
              <w:t>确定；</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②</w:t>
            </w:r>
            <w:r w:rsidRPr="00687B52">
              <w:rPr>
                <w:rFonts w:ascii="Cambria" w:hAnsi="Cambria"/>
                <w:color w:val="000000" w:themeColor="text1"/>
                <w:sz w:val="24"/>
                <w:szCs w:val="24"/>
              </w:rPr>
              <w:t>燃气锅炉房的正常通风量应按换气次数不少于</w:t>
            </w:r>
            <w:r w:rsidRPr="00687B52">
              <w:rPr>
                <w:rFonts w:ascii="Cambria" w:hAnsi="Cambria"/>
                <w:color w:val="000000" w:themeColor="text1"/>
                <w:sz w:val="24"/>
                <w:szCs w:val="24"/>
              </w:rPr>
              <w:t>6</w:t>
            </w:r>
            <w:r w:rsidRPr="00687B52">
              <w:rPr>
                <w:rFonts w:ascii="Cambria" w:hAnsi="Cambria"/>
                <w:color w:val="000000" w:themeColor="text1"/>
                <w:sz w:val="24"/>
                <w:szCs w:val="24"/>
              </w:rPr>
              <w:t>次</w:t>
            </w:r>
            <w:r w:rsidRPr="00687B52">
              <w:rPr>
                <w:rFonts w:ascii="Cambria" w:hAnsi="Cambria"/>
                <w:color w:val="000000" w:themeColor="text1"/>
                <w:sz w:val="24"/>
                <w:szCs w:val="24"/>
              </w:rPr>
              <w:t>/h</w:t>
            </w:r>
            <w:r w:rsidRPr="00687B52">
              <w:rPr>
                <w:rFonts w:ascii="Cambria" w:hAnsi="Cambria"/>
                <w:color w:val="000000" w:themeColor="text1"/>
                <w:sz w:val="24"/>
                <w:szCs w:val="24"/>
              </w:rPr>
              <w:t>确定，事故排风量应按换气次数不少于</w:t>
            </w:r>
            <w:r w:rsidRPr="00687B52">
              <w:rPr>
                <w:rFonts w:ascii="Cambria" w:hAnsi="Cambria"/>
                <w:color w:val="000000" w:themeColor="text1"/>
                <w:sz w:val="24"/>
                <w:szCs w:val="24"/>
              </w:rPr>
              <w:t>12</w:t>
            </w:r>
            <w:r w:rsidRPr="00687B52">
              <w:rPr>
                <w:rFonts w:ascii="Cambria" w:hAnsi="Cambria"/>
                <w:color w:val="000000" w:themeColor="text1"/>
                <w:sz w:val="24"/>
                <w:szCs w:val="24"/>
              </w:rPr>
              <w:t>次</w:t>
            </w:r>
            <w:r w:rsidRPr="00687B52">
              <w:rPr>
                <w:rFonts w:ascii="Cambria" w:hAnsi="Cambria"/>
                <w:color w:val="000000" w:themeColor="text1"/>
                <w:sz w:val="24"/>
                <w:szCs w:val="24"/>
              </w:rPr>
              <w:t>/h</w:t>
            </w:r>
            <w:r w:rsidRPr="00687B52">
              <w:rPr>
                <w:rFonts w:ascii="Cambria" w:hAnsi="Cambria"/>
                <w:color w:val="000000" w:themeColor="text1"/>
                <w:sz w:val="24"/>
                <w:szCs w:val="24"/>
              </w:rPr>
              <w:t>确定。</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B50016-2014</w:t>
            </w:r>
            <w:r w:rsidRPr="00687B52">
              <w:rPr>
                <w:rFonts w:ascii="Cambria" w:hAnsi="Cambria"/>
                <w:color w:val="000000" w:themeColor="text1"/>
                <w:sz w:val="24"/>
                <w:szCs w:val="24"/>
              </w:rPr>
              <w:t>第</w:t>
            </w:r>
            <w:r w:rsidRPr="00687B52">
              <w:rPr>
                <w:rFonts w:ascii="Cambria" w:hAnsi="Cambria"/>
                <w:color w:val="000000" w:themeColor="text1"/>
                <w:sz w:val="24"/>
                <w:szCs w:val="24"/>
              </w:rPr>
              <w:t>9.3.16</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.4.3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锅炉房建筑物室内底层标高和构筑物基础顶面标高，应高出室外地坪或周围地坪</w:t>
            </w:r>
            <w:r w:rsidRPr="00687B52">
              <w:rPr>
                <w:rFonts w:ascii="Cambria" w:hAnsi="Cambria"/>
                <w:color w:val="000000" w:themeColor="text1"/>
                <w:sz w:val="24"/>
                <w:szCs w:val="24"/>
              </w:rPr>
              <w:t>0.15m</w:t>
            </w:r>
            <w:r w:rsidRPr="00687B52">
              <w:rPr>
                <w:rFonts w:ascii="Cambria" w:hAnsi="Cambria"/>
                <w:color w:val="000000" w:themeColor="text1"/>
                <w:sz w:val="24"/>
                <w:szCs w:val="24"/>
              </w:rPr>
              <w:t>及以上。锅炉间和同层的辅助间地面标高应一致。</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《锅炉房设计规范》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GB50041-2008</w:t>
            </w:r>
            <w:r w:rsidRPr="00687B52">
              <w:rPr>
                <w:rFonts w:ascii="Cambria" w:hAnsi="Cambria"/>
                <w:color w:val="000000" w:themeColor="text1"/>
                <w:sz w:val="24"/>
                <w:szCs w:val="24"/>
              </w:rPr>
              <w:t>第</w:t>
            </w:r>
            <w:r w:rsidRPr="00687B52">
              <w:rPr>
                <w:rFonts w:ascii="Cambria" w:hAnsi="Cambria"/>
                <w:color w:val="000000" w:themeColor="text1"/>
                <w:sz w:val="24"/>
                <w:szCs w:val="24"/>
              </w:rPr>
              <w:t>4.2.7</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.4.</w:t>
            </w:r>
            <w:r w:rsidRPr="00687B52">
              <w:rPr>
                <w:rFonts w:ascii="Cambria" w:hAnsi="Cambria" w:hint="eastAsia"/>
                <w:color w:val="000000" w:themeColor="text1"/>
                <w:sz w:val="24"/>
                <w:szCs w:val="24"/>
              </w:rPr>
              <w:t>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锅炉房出入口的设置，必须符合下列规定：</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①</w:t>
            </w:r>
            <w:r w:rsidRPr="00687B52">
              <w:rPr>
                <w:rFonts w:ascii="Cambria" w:hAnsi="Cambria"/>
                <w:color w:val="000000" w:themeColor="text1"/>
                <w:sz w:val="24"/>
                <w:szCs w:val="24"/>
              </w:rPr>
              <w:t>出入口不应少于</w:t>
            </w:r>
            <w:r w:rsidRPr="00687B52">
              <w:rPr>
                <w:rFonts w:ascii="Cambria" w:hAnsi="Cambria"/>
                <w:color w:val="000000" w:themeColor="text1"/>
                <w:sz w:val="24"/>
                <w:szCs w:val="24"/>
              </w:rPr>
              <w:t>2</w:t>
            </w:r>
            <w:r w:rsidRPr="00687B52">
              <w:rPr>
                <w:rFonts w:ascii="Cambria" w:hAnsi="Cambria"/>
                <w:color w:val="000000" w:themeColor="text1"/>
                <w:sz w:val="24"/>
                <w:szCs w:val="24"/>
              </w:rPr>
              <w:t>个。但对独立锅炉房，当炉前走道总长度小于</w:t>
            </w:r>
            <w:r w:rsidRPr="00687B52">
              <w:rPr>
                <w:rFonts w:ascii="Cambria" w:hAnsi="Cambria"/>
                <w:color w:val="000000" w:themeColor="text1"/>
                <w:sz w:val="24"/>
                <w:szCs w:val="24"/>
              </w:rPr>
              <w:t>12m</w:t>
            </w:r>
            <w:r w:rsidRPr="00687B52">
              <w:rPr>
                <w:rFonts w:ascii="Cambria" w:hAnsi="Cambria"/>
                <w:color w:val="000000" w:themeColor="text1"/>
                <w:sz w:val="24"/>
                <w:szCs w:val="24"/>
              </w:rPr>
              <w:t>，且总建筑面积小于</w:t>
            </w:r>
            <w:r w:rsidRPr="00687B52">
              <w:rPr>
                <w:rFonts w:ascii="Cambria" w:hAnsi="Cambria"/>
                <w:color w:val="000000" w:themeColor="text1"/>
                <w:sz w:val="24"/>
                <w:szCs w:val="24"/>
              </w:rPr>
              <w:t>200m</w:t>
            </w:r>
            <w:r w:rsidRPr="00687B52">
              <w:rPr>
                <w:rFonts w:ascii="Cambria" w:hAnsi="Cambria"/>
                <w:color w:val="000000" w:themeColor="text1"/>
                <w:sz w:val="24"/>
                <w:szCs w:val="24"/>
              </w:rPr>
              <w:t>。时，其出入口可设</w:t>
            </w:r>
            <w:r w:rsidRPr="00687B52">
              <w:rPr>
                <w:rFonts w:ascii="Cambria" w:hAnsi="Cambria"/>
                <w:color w:val="000000" w:themeColor="text1"/>
                <w:sz w:val="24"/>
                <w:szCs w:val="24"/>
              </w:rPr>
              <w:t>1</w:t>
            </w:r>
            <w:r w:rsidRPr="00687B52">
              <w:rPr>
                <w:rFonts w:ascii="Cambria" w:hAnsi="Cambria"/>
                <w:color w:val="000000" w:themeColor="text1"/>
                <w:sz w:val="24"/>
                <w:szCs w:val="24"/>
              </w:rPr>
              <w:t>个：</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②</w:t>
            </w:r>
            <w:r w:rsidRPr="00687B52">
              <w:rPr>
                <w:rFonts w:ascii="Cambria" w:hAnsi="Cambria"/>
                <w:color w:val="000000" w:themeColor="text1"/>
                <w:sz w:val="24"/>
                <w:szCs w:val="24"/>
              </w:rPr>
              <w:t>非独立锅炉房，其人员出入口必须有</w:t>
            </w:r>
            <w:r w:rsidRPr="00687B52">
              <w:rPr>
                <w:rFonts w:ascii="Cambria" w:hAnsi="Cambria"/>
                <w:color w:val="000000" w:themeColor="text1"/>
                <w:sz w:val="24"/>
                <w:szCs w:val="24"/>
              </w:rPr>
              <w:t>1</w:t>
            </w:r>
            <w:r w:rsidRPr="00687B52">
              <w:rPr>
                <w:rFonts w:ascii="Cambria" w:hAnsi="Cambria"/>
                <w:color w:val="000000" w:themeColor="text1"/>
                <w:sz w:val="24"/>
                <w:szCs w:val="24"/>
              </w:rPr>
              <w:t>个直通室外；</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③</w:t>
            </w:r>
            <w:r w:rsidRPr="00687B52">
              <w:rPr>
                <w:rFonts w:ascii="Cambria" w:hAnsi="Cambria"/>
                <w:color w:val="000000" w:themeColor="text1"/>
                <w:sz w:val="24"/>
                <w:szCs w:val="24"/>
              </w:rPr>
              <w:t>锅炉房为多层布置时，其各层的人员出入口不应少于</w:t>
            </w:r>
            <w:r w:rsidRPr="00687B52">
              <w:rPr>
                <w:rFonts w:ascii="Cambria" w:hAnsi="Cambria"/>
                <w:color w:val="000000" w:themeColor="text1"/>
                <w:sz w:val="24"/>
                <w:szCs w:val="24"/>
              </w:rPr>
              <w:t>2</w:t>
            </w:r>
            <w:r w:rsidRPr="00687B52">
              <w:rPr>
                <w:rFonts w:ascii="Cambria" w:hAnsi="Cambria"/>
                <w:color w:val="000000" w:themeColor="text1"/>
                <w:sz w:val="24"/>
                <w:szCs w:val="24"/>
              </w:rPr>
              <w:t>个。楼层上的人员出入口，应有直接通向地面的安全楼梯。</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《锅炉房设计规范》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GB50041-2008</w:t>
            </w:r>
            <w:r w:rsidRPr="00687B52">
              <w:rPr>
                <w:rFonts w:ascii="Cambria" w:hAnsi="Cambria"/>
                <w:color w:val="000000" w:themeColor="text1"/>
                <w:sz w:val="24"/>
                <w:szCs w:val="24"/>
              </w:rPr>
              <w:t>第</w:t>
            </w:r>
            <w:r w:rsidRPr="00687B52">
              <w:rPr>
                <w:rFonts w:ascii="Cambria" w:hAnsi="Cambria"/>
                <w:color w:val="000000" w:themeColor="text1"/>
                <w:sz w:val="24"/>
                <w:szCs w:val="24"/>
              </w:rPr>
              <w:t>4.3.7</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.4.</w:t>
            </w:r>
            <w:r w:rsidRPr="00687B52">
              <w:rPr>
                <w:rFonts w:ascii="Cambria" w:hAnsi="Cambria" w:hint="eastAsia"/>
                <w:color w:val="000000" w:themeColor="text1"/>
                <w:sz w:val="24"/>
                <w:szCs w:val="24"/>
              </w:rPr>
              <w:t>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当锅炉房和其他建筑物相连或设置在其内部时，严禁设置在人员密集场所和重要部门的上一层、下一层、贴邻位置以及主要通道、疏散口的两旁。并应设置在首层或地下室一层靠建筑物外墙部位。</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《锅炉房设计规范》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GB50041-2008</w:t>
            </w:r>
            <w:r w:rsidRPr="00687B52">
              <w:rPr>
                <w:rFonts w:ascii="Cambria" w:hAnsi="Cambria"/>
                <w:color w:val="000000" w:themeColor="text1"/>
                <w:sz w:val="24"/>
                <w:szCs w:val="24"/>
              </w:rPr>
              <w:t>第</w:t>
            </w:r>
            <w:r w:rsidRPr="00687B52">
              <w:rPr>
                <w:rFonts w:ascii="Cambria" w:hAnsi="Cambria"/>
                <w:color w:val="000000" w:themeColor="text1"/>
                <w:sz w:val="24"/>
                <w:szCs w:val="24"/>
              </w:rPr>
              <w:t>4.1.3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.4.</w:t>
            </w:r>
            <w:r w:rsidRPr="00687B52">
              <w:rPr>
                <w:rFonts w:ascii="Cambria" w:hAnsi="Cambria" w:hint="eastAsia"/>
                <w:color w:val="000000" w:themeColor="text1"/>
                <w:sz w:val="24"/>
                <w:szCs w:val="24"/>
              </w:rPr>
              <w:t>6</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锅炉房出入口的设置，必须符合下列规定：</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 xml:space="preserve">① </w:t>
            </w:r>
            <w:r w:rsidRPr="00687B52">
              <w:rPr>
                <w:rFonts w:ascii="Cambria" w:hAnsi="Cambria"/>
                <w:color w:val="000000" w:themeColor="text1"/>
                <w:sz w:val="24"/>
                <w:szCs w:val="24"/>
              </w:rPr>
              <w:t>出入口不应少于</w:t>
            </w:r>
            <w:r w:rsidRPr="00687B52">
              <w:rPr>
                <w:rFonts w:ascii="Cambria" w:hAnsi="Cambria"/>
                <w:color w:val="000000" w:themeColor="text1"/>
                <w:sz w:val="24"/>
                <w:szCs w:val="24"/>
              </w:rPr>
              <w:t>2</w:t>
            </w:r>
            <w:r w:rsidRPr="00687B52">
              <w:rPr>
                <w:rFonts w:ascii="Cambria" w:hAnsi="Cambria"/>
                <w:color w:val="000000" w:themeColor="text1"/>
                <w:sz w:val="24"/>
                <w:szCs w:val="24"/>
              </w:rPr>
              <w:t>个。但对独立锅炉房，当炉前走道总长度小于</w:t>
            </w:r>
            <w:smartTag w:uri="urn:schemas-microsoft-com:office:smarttags" w:element="chmetcnv">
              <w:smartTagPr>
                <w:attr w:name="TCSC" w:val="0"/>
                <w:attr w:name="NumberType" w:val="1"/>
                <w:attr w:name="Negative" w:val="False"/>
                <w:attr w:name="HasSpace" w:val="False"/>
                <w:attr w:name="SourceValue" w:val="12"/>
                <w:attr w:name="UnitName" w:val="m"/>
              </w:smartTagPr>
              <w:r w:rsidRPr="00687B52">
                <w:rPr>
                  <w:rFonts w:ascii="Cambria" w:hAnsi="Cambria"/>
                  <w:color w:val="000000" w:themeColor="text1"/>
                  <w:sz w:val="24"/>
                  <w:szCs w:val="24"/>
                </w:rPr>
                <w:t>12m</w:t>
              </w:r>
            </w:smartTag>
            <w:r w:rsidRPr="00687B52">
              <w:rPr>
                <w:rFonts w:ascii="Cambria" w:hAnsi="Cambria"/>
                <w:color w:val="000000" w:themeColor="text1"/>
                <w:sz w:val="24"/>
                <w:szCs w:val="24"/>
              </w:rPr>
              <w:t>，且总建筑面积小于</w:t>
            </w:r>
            <w:smartTag w:uri="urn:schemas-microsoft-com:office:smarttags" w:element="chmetcnv">
              <w:smartTagPr>
                <w:attr w:name="TCSC" w:val="0"/>
                <w:attr w:name="NumberType" w:val="1"/>
                <w:attr w:name="Negative" w:val="False"/>
                <w:attr w:name="HasSpace" w:val="False"/>
                <w:attr w:name="SourceValue" w:val="200"/>
                <w:attr w:name="UnitName" w:val="m"/>
              </w:smartTagPr>
              <w:r w:rsidRPr="00687B52">
                <w:rPr>
                  <w:rFonts w:ascii="Cambria" w:hAnsi="Cambria"/>
                  <w:color w:val="000000" w:themeColor="text1"/>
                  <w:sz w:val="24"/>
                  <w:szCs w:val="24"/>
                </w:rPr>
                <w:t>200m</w:t>
              </w:r>
            </w:smartTag>
            <w:r w:rsidRPr="00687B52">
              <w:rPr>
                <w:rFonts w:ascii="Cambria" w:hAnsi="Cambria"/>
                <w:color w:val="000000" w:themeColor="text1"/>
                <w:sz w:val="24"/>
                <w:szCs w:val="24"/>
              </w:rPr>
              <w:t>。时，其出入口可设</w:t>
            </w:r>
            <w:r w:rsidRPr="00687B52">
              <w:rPr>
                <w:rFonts w:ascii="Cambria" w:hAnsi="Cambria"/>
                <w:color w:val="000000" w:themeColor="text1"/>
                <w:sz w:val="24"/>
                <w:szCs w:val="24"/>
              </w:rPr>
              <w:t>1</w:t>
            </w:r>
            <w:r w:rsidRPr="00687B52">
              <w:rPr>
                <w:rFonts w:ascii="Cambria" w:hAnsi="Cambria"/>
                <w:color w:val="000000" w:themeColor="text1"/>
                <w:sz w:val="24"/>
                <w:szCs w:val="24"/>
              </w:rPr>
              <w:t>个：</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②</w:t>
            </w:r>
            <w:r w:rsidRPr="00687B52">
              <w:rPr>
                <w:rFonts w:ascii="Cambria" w:hAnsi="Cambria"/>
                <w:color w:val="000000" w:themeColor="text1"/>
                <w:sz w:val="24"/>
                <w:szCs w:val="24"/>
              </w:rPr>
              <w:t>非独立锅炉房，其人员出入口必须有</w:t>
            </w:r>
            <w:r w:rsidRPr="00687B52">
              <w:rPr>
                <w:rFonts w:ascii="Cambria" w:hAnsi="Cambria"/>
                <w:color w:val="000000" w:themeColor="text1"/>
                <w:sz w:val="24"/>
                <w:szCs w:val="24"/>
              </w:rPr>
              <w:t>1</w:t>
            </w:r>
            <w:r w:rsidRPr="00687B52">
              <w:rPr>
                <w:rFonts w:ascii="Cambria" w:hAnsi="Cambria"/>
                <w:color w:val="000000" w:themeColor="text1"/>
                <w:sz w:val="24"/>
                <w:szCs w:val="24"/>
              </w:rPr>
              <w:t>个直通室外；</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③</w:t>
            </w:r>
            <w:r w:rsidRPr="00687B52">
              <w:rPr>
                <w:rFonts w:ascii="Cambria" w:hAnsi="Cambria"/>
                <w:color w:val="000000" w:themeColor="text1"/>
                <w:sz w:val="24"/>
                <w:szCs w:val="24"/>
              </w:rPr>
              <w:t>锅炉房为多层布置时，其各层的人员出入口不应少于</w:t>
            </w:r>
            <w:r w:rsidRPr="00687B52">
              <w:rPr>
                <w:rFonts w:ascii="Cambria" w:hAnsi="Cambria"/>
                <w:color w:val="000000" w:themeColor="text1"/>
                <w:sz w:val="24"/>
                <w:szCs w:val="24"/>
              </w:rPr>
              <w:t>2</w:t>
            </w:r>
            <w:r w:rsidRPr="00687B52">
              <w:rPr>
                <w:rFonts w:ascii="Cambria" w:hAnsi="Cambria"/>
                <w:color w:val="000000" w:themeColor="text1"/>
                <w:sz w:val="24"/>
                <w:szCs w:val="24"/>
              </w:rPr>
              <w:t>个。楼层上的人员出入口，应有直接通向地面的安全楼梯。</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《锅炉房设计规范》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GB50041-2008</w:t>
            </w:r>
            <w:r w:rsidRPr="00687B52">
              <w:rPr>
                <w:rFonts w:ascii="Cambria" w:hAnsi="Cambria"/>
                <w:color w:val="000000" w:themeColor="text1"/>
                <w:sz w:val="24"/>
                <w:szCs w:val="24"/>
              </w:rPr>
              <w:t>第</w:t>
            </w:r>
            <w:r w:rsidRPr="00687B52">
              <w:rPr>
                <w:rFonts w:ascii="Cambria" w:hAnsi="Cambria"/>
                <w:color w:val="000000" w:themeColor="text1"/>
                <w:sz w:val="24"/>
                <w:szCs w:val="24"/>
              </w:rPr>
              <w:t>4.3.7</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.4.</w:t>
            </w:r>
            <w:r w:rsidRPr="00687B52">
              <w:rPr>
                <w:rFonts w:ascii="Cambria" w:hAnsi="Cambria" w:hint="eastAsia"/>
                <w:color w:val="000000" w:themeColor="text1"/>
                <w:sz w:val="24"/>
                <w:szCs w:val="24"/>
              </w:rPr>
              <w:t>7</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锅炉房通向室外的门应向室外开启，锅炉房内的工作间或生活间直通锅炉间的门应向锅炉间内开启。</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《锅炉房设计规范》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GB50041-2008</w:t>
            </w:r>
            <w:r w:rsidRPr="00687B52">
              <w:rPr>
                <w:rFonts w:ascii="Cambria" w:hAnsi="Cambria"/>
                <w:color w:val="000000" w:themeColor="text1"/>
                <w:sz w:val="24"/>
                <w:szCs w:val="24"/>
              </w:rPr>
              <w:t>第</w:t>
            </w:r>
            <w:r w:rsidRPr="00687B52">
              <w:rPr>
                <w:rFonts w:ascii="Cambria" w:hAnsi="Cambria"/>
                <w:color w:val="000000" w:themeColor="text1"/>
                <w:sz w:val="24"/>
                <w:szCs w:val="24"/>
              </w:rPr>
              <w:t>4.3.8</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.4.</w:t>
            </w:r>
            <w:r w:rsidRPr="00687B52">
              <w:rPr>
                <w:rFonts w:ascii="Cambria" w:hAnsi="Cambria" w:hint="eastAsia"/>
                <w:color w:val="000000" w:themeColor="text1"/>
                <w:sz w:val="24"/>
                <w:szCs w:val="24"/>
              </w:rPr>
              <w:t>8</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锅炉操作地点和通道的净空高度不应小于</w:t>
            </w:r>
            <w:smartTag w:uri="urn:schemas-microsoft-com:office:smarttags" w:element="chmetcnv">
              <w:smartTagPr>
                <w:attr w:name="TCSC" w:val="0"/>
                <w:attr w:name="NumberType" w:val="1"/>
                <w:attr w:name="Negative" w:val="False"/>
                <w:attr w:name="HasSpace" w:val="False"/>
                <w:attr w:name="SourceValue" w:val="2"/>
                <w:attr w:name="UnitName" w:val="m"/>
              </w:smartTagPr>
              <w:r w:rsidRPr="00687B52">
                <w:rPr>
                  <w:rFonts w:ascii="Cambria" w:hAnsi="Cambria"/>
                  <w:color w:val="000000" w:themeColor="text1"/>
                  <w:sz w:val="24"/>
                  <w:szCs w:val="24"/>
                </w:rPr>
                <w:t>2m</w:t>
              </w:r>
            </w:smartTag>
            <w:r w:rsidRPr="00687B52">
              <w:rPr>
                <w:rFonts w:ascii="Cambria" w:hAnsi="Cambria"/>
                <w:color w:val="000000" w:themeColor="text1"/>
                <w:sz w:val="24"/>
                <w:szCs w:val="24"/>
              </w:rPr>
              <w:t>，并应符合起吊设备操作高度的要求。在锅筒、省煤器及其他发热部位的上方，当不需操作和通行时，其净空高度可为</w:t>
            </w:r>
            <w:smartTag w:uri="urn:schemas-microsoft-com:office:smarttags" w:element="chmetcnv">
              <w:smartTagPr>
                <w:attr w:name="TCSC" w:val="0"/>
                <w:attr w:name="NumberType" w:val="1"/>
                <w:attr w:name="Negative" w:val="False"/>
                <w:attr w:name="HasSpace" w:val="False"/>
                <w:attr w:name="SourceValue" w:val=".7"/>
                <w:attr w:name="UnitName" w:val="m"/>
              </w:smartTagPr>
              <w:r w:rsidRPr="00687B52">
                <w:rPr>
                  <w:rFonts w:ascii="Cambria" w:hAnsi="Cambria"/>
                  <w:color w:val="000000" w:themeColor="text1"/>
                  <w:sz w:val="24"/>
                  <w:szCs w:val="24"/>
                </w:rPr>
                <w:t>0.7m</w:t>
              </w:r>
            </w:smartTag>
            <w:r w:rsidRPr="00687B52">
              <w:rPr>
                <w:rFonts w:ascii="Cambria" w:hAnsi="Cambr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《锅炉房设计规范》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GB50041-2008</w:t>
            </w:r>
            <w:r w:rsidRPr="00687B52">
              <w:rPr>
                <w:rFonts w:ascii="Cambria" w:hAnsi="Cambria"/>
                <w:color w:val="000000" w:themeColor="text1"/>
                <w:sz w:val="24"/>
                <w:szCs w:val="24"/>
              </w:rPr>
              <w:t>第</w:t>
            </w:r>
            <w:r w:rsidRPr="00687B52">
              <w:rPr>
                <w:rFonts w:ascii="Cambria" w:hAnsi="Cambria"/>
                <w:color w:val="000000" w:themeColor="text1"/>
                <w:sz w:val="24"/>
                <w:szCs w:val="24"/>
              </w:rPr>
              <w:t>4.4.5</w:t>
            </w:r>
            <w:r w:rsidRPr="00687B52">
              <w:rPr>
                <w:rFonts w:ascii="Cambria" w:hAnsi="Cambria"/>
                <w:color w:val="000000" w:themeColor="text1"/>
                <w:sz w:val="24"/>
                <w:szCs w:val="24"/>
              </w:rPr>
              <w:t>条</w:t>
            </w:r>
          </w:p>
          <w:p w:rsidR="000E02C5" w:rsidRPr="00687B52" w:rsidRDefault="000E02C5" w:rsidP="00B527D4">
            <w:pPr>
              <w:rPr>
                <w:rFonts w:ascii="Cambria" w:hAnsi="Cambria"/>
                <w:color w:val="000000" w:themeColor="text1"/>
                <w:sz w:val="24"/>
                <w:szCs w:val="24"/>
              </w:rPr>
            </w:pP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.4.</w:t>
            </w:r>
            <w:r w:rsidRPr="00687B52">
              <w:rPr>
                <w:rFonts w:ascii="Cambria" w:hAnsi="Cambria" w:hint="eastAsia"/>
                <w:color w:val="000000" w:themeColor="text1"/>
                <w:sz w:val="24"/>
                <w:szCs w:val="24"/>
              </w:rPr>
              <w:t>9</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蒸汽锅炉必须装设指示仪表监测下列安全运行参数：</w:t>
            </w:r>
            <w:r w:rsidRPr="00687B52">
              <w:rPr>
                <w:rFonts w:ascii="Cambria" w:hAnsi="Cambria"/>
                <w:color w:val="000000" w:themeColor="text1"/>
                <w:sz w:val="24"/>
                <w:szCs w:val="24"/>
              </w:rPr>
              <w:t xml:space="preserve"> ①</w:t>
            </w:r>
            <w:r w:rsidRPr="00687B52">
              <w:rPr>
                <w:rFonts w:ascii="Cambria" w:hAnsi="Cambria"/>
                <w:color w:val="000000" w:themeColor="text1"/>
                <w:sz w:val="24"/>
                <w:szCs w:val="24"/>
              </w:rPr>
              <w:t>锅筒蒸汽压力；</w:t>
            </w:r>
            <w:r w:rsidRPr="00687B52">
              <w:rPr>
                <w:rFonts w:ascii="Cambria" w:hAnsi="Cambria"/>
                <w:color w:val="000000" w:themeColor="text1"/>
                <w:sz w:val="24"/>
                <w:szCs w:val="24"/>
              </w:rPr>
              <w:t>②</w:t>
            </w:r>
            <w:r w:rsidRPr="00687B52">
              <w:rPr>
                <w:rFonts w:ascii="Cambria" w:hAnsi="Cambria"/>
                <w:color w:val="000000" w:themeColor="text1"/>
                <w:sz w:val="24"/>
                <w:szCs w:val="24"/>
              </w:rPr>
              <w:t>锅筒水位；</w:t>
            </w:r>
            <w:r w:rsidRPr="00687B52">
              <w:rPr>
                <w:rFonts w:ascii="Cambria" w:hAnsi="Cambria"/>
                <w:color w:val="000000" w:themeColor="text1"/>
                <w:sz w:val="24"/>
                <w:szCs w:val="24"/>
              </w:rPr>
              <w:t>③</w:t>
            </w:r>
            <w:r w:rsidRPr="00687B52">
              <w:rPr>
                <w:rFonts w:ascii="Cambria" w:hAnsi="Cambria"/>
                <w:color w:val="000000" w:themeColor="text1"/>
                <w:sz w:val="24"/>
                <w:szCs w:val="24"/>
              </w:rPr>
              <w:t>锅筒进口给水压力；</w:t>
            </w:r>
            <w:r w:rsidRPr="00687B52">
              <w:rPr>
                <w:rFonts w:ascii="Cambria" w:hAnsi="Cambria"/>
                <w:color w:val="000000" w:themeColor="text1"/>
                <w:sz w:val="24"/>
                <w:szCs w:val="24"/>
              </w:rPr>
              <w:t>④</w:t>
            </w:r>
            <w:r w:rsidRPr="00687B52">
              <w:rPr>
                <w:rFonts w:ascii="Cambria" w:hAnsi="Cambria"/>
                <w:color w:val="000000" w:themeColor="text1"/>
                <w:sz w:val="24"/>
                <w:szCs w:val="24"/>
              </w:rPr>
              <w:t>过热器出口蒸汽压力和温度；</w:t>
            </w:r>
            <w:r w:rsidRPr="00687B52">
              <w:rPr>
                <w:rFonts w:ascii="Cambria" w:hAnsi="Cambria"/>
                <w:color w:val="000000" w:themeColor="text1"/>
                <w:sz w:val="24"/>
                <w:szCs w:val="24"/>
              </w:rPr>
              <w:t>⑤</w:t>
            </w:r>
            <w:r w:rsidRPr="00687B52">
              <w:rPr>
                <w:rFonts w:ascii="Cambria" w:hAnsi="Cambria"/>
                <w:color w:val="000000" w:themeColor="text1"/>
                <w:sz w:val="24"/>
                <w:szCs w:val="24"/>
              </w:rPr>
              <w:t>省煤器进、出口水温和水压。</w:t>
            </w:r>
            <w:r w:rsidRPr="00687B52">
              <w:rPr>
                <w:rFonts w:ascii="Cambria" w:hAnsi="Cambria"/>
                <w:color w:val="000000" w:themeColor="text1"/>
                <w:sz w:val="24"/>
                <w:szCs w:val="24"/>
              </w:rPr>
              <w:t>⑥</w:t>
            </w:r>
            <w:r w:rsidRPr="00687B52">
              <w:rPr>
                <w:rFonts w:ascii="Cambria" w:hAnsi="Cambria"/>
                <w:color w:val="000000" w:themeColor="text1"/>
                <w:sz w:val="24"/>
                <w:szCs w:val="24"/>
              </w:rPr>
              <w:t>单台额定蒸发量大于等于</w:t>
            </w:r>
            <w:r w:rsidRPr="00687B52">
              <w:rPr>
                <w:rFonts w:ascii="Cambria" w:hAnsi="Cambria"/>
                <w:color w:val="000000" w:themeColor="text1"/>
                <w:sz w:val="24"/>
                <w:szCs w:val="24"/>
              </w:rPr>
              <w:t>20t/h</w:t>
            </w:r>
            <w:r w:rsidRPr="00687B52">
              <w:rPr>
                <w:rFonts w:ascii="Cambria" w:hAnsi="Cambria"/>
                <w:color w:val="000000" w:themeColor="text1"/>
                <w:sz w:val="24"/>
                <w:szCs w:val="24"/>
              </w:rPr>
              <w:t>的蒸汽锅炉，尚应装设记录仪表。</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热水系统应设置自动补水装置并宜设置自动排气装置，加压膨胀水箱应设置水位和压力自动调节装置。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《锅炉房设计规范》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GB50041-2008</w:t>
            </w:r>
            <w:r w:rsidRPr="00687B52">
              <w:rPr>
                <w:rFonts w:ascii="Cambria" w:hAnsi="Cambria"/>
                <w:color w:val="000000" w:themeColor="text1"/>
                <w:sz w:val="24"/>
                <w:szCs w:val="24"/>
              </w:rPr>
              <w:t>第</w:t>
            </w:r>
            <w:r w:rsidRPr="00687B52">
              <w:rPr>
                <w:rFonts w:ascii="Cambria" w:hAnsi="Cambria"/>
                <w:color w:val="000000" w:themeColor="text1"/>
                <w:sz w:val="24"/>
                <w:szCs w:val="24"/>
              </w:rPr>
              <w:t>11.1.1</w:t>
            </w:r>
            <w:r w:rsidRPr="00687B52">
              <w:rPr>
                <w:rFonts w:ascii="Cambria" w:hAnsi="Cambria"/>
                <w:color w:val="000000" w:themeColor="text1"/>
                <w:sz w:val="24"/>
                <w:szCs w:val="24"/>
              </w:rPr>
              <w:t>、</w:t>
            </w:r>
            <w:smartTag w:uri="urn:schemas-microsoft-com:office:smarttags" w:element="chsdate">
              <w:smartTagPr>
                <w:attr w:name="Year" w:val="1899"/>
                <w:attr w:name="Month" w:val="12"/>
                <w:attr w:name="Day" w:val="30"/>
                <w:attr w:name="IsLunarDate" w:val="False"/>
                <w:attr w:name="IsROCDate" w:val="False"/>
              </w:smartTagPr>
              <w:r w:rsidRPr="00687B52">
                <w:rPr>
                  <w:rFonts w:ascii="Cambria" w:hAnsi="Cambria"/>
                  <w:color w:val="000000" w:themeColor="text1"/>
                  <w:sz w:val="24"/>
                  <w:szCs w:val="24"/>
                </w:rPr>
                <w:t>11.2.4</w:t>
              </w:r>
            </w:smartTag>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b/>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b/>
                <w:color w:val="000000" w:themeColor="text1"/>
                <w:sz w:val="24"/>
                <w:szCs w:val="24"/>
              </w:rPr>
              <w:t>.5</w:t>
            </w:r>
          </w:p>
        </w:tc>
        <w:tc>
          <w:tcPr>
            <w:tcW w:w="2101" w:type="pct"/>
            <w:vAlign w:val="center"/>
          </w:tcPr>
          <w:p w:rsidR="000E02C5" w:rsidRPr="00687B52" w:rsidRDefault="000E02C5" w:rsidP="00B527D4">
            <w:pPr>
              <w:rPr>
                <w:rFonts w:ascii="Cambria" w:hAnsi="Cambria"/>
                <w:b/>
                <w:color w:val="000000" w:themeColor="text1"/>
                <w:sz w:val="24"/>
                <w:szCs w:val="24"/>
              </w:rPr>
            </w:pPr>
            <w:r w:rsidRPr="00687B52">
              <w:rPr>
                <w:rFonts w:ascii="Cambria" w:hAnsi="Cambria"/>
                <w:b/>
                <w:color w:val="000000" w:themeColor="text1"/>
                <w:sz w:val="24"/>
                <w:szCs w:val="24"/>
              </w:rPr>
              <w:t>供热</w:t>
            </w:r>
            <w:r w:rsidRPr="00687B52">
              <w:rPr>
                <w:rFonts w:ascii="Cambria" w:hAnsi="Cambria"/>
                <w:b/>
                <w:color w:val="000000" w:themeColor="text1"/>
                <w:sz w:val="24"/>
                <w:szCs w:val="24"/>
              </w:rPr>
              <w:t>——</w:t>
            </w:r>
            <w:r w:rsidRPr="00687B52">
              <w:rPr>
                <w:rFonts w:ascii="Cambria" w:hAnsi="Cambria"/>
                <w:b/>
                <w:color w:val="000000" w:themeColor="text1"/>
                <w:sz w:val="24"/>
                <w:szCs w:val="24"/>
              </w:rPr>
              <w:t>有机热载体炉</w:t>
            </w:r>
          </w:p>
        </w:tc>
        <w:tc>
          <w:tcPr>
            <w:tcW w:w="1236" w:type="pct"/>
            <w:vAlign w:val="center"/>
          </w:tcPr>
          <w:p w:rsidR="000E02C5" w:rsidRPr="00687B52" w:rsidRDefault="000E02C5" w:rsidP="00B527D4">
            <w:pPr>
              <w:rPr>
                <w:rFonts w:ascii="Cambria" w:hAnsi="Cambria"/>
                <w:color w:val="000000" w:themeColor="text1"/>
                <w:sz w:val="24"/>
                <w:szCs w:val="24"/>
              </w:rPr>
            </w:pP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.5.1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有机热载体炉设计和运行时，有机热载体炉出口处有机热载体的温度不得超过有机热载体最高使用温度。</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《有机热载体炉安全技术监察规程》第</w:t>
            </w:r>
            <w:r w:rsidRPr="00687B52">
              <w:rPr>
                <w:rFonts w:ascii="Cambria" w:hAnsi="Cambria"/>
                <w:color w:val="000000" w:themeColor="text1"/>
                <w:sz w:val="24"/>
                <w:szCs w:val="24"/>
              </w:rPr>
              <w:t>12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.5.2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在锅筒和管网最低处应装设排污装置，排污管应接到安全地点。</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《有机热载体炉安全技术监察规程》第</w:t>
            </w:r>
            <w:r w:rsidRPr="00687B52">
              <w:rPr>
                <w:rFonts w:ascii="Cambria" w:hAnsi="Cambria"/>
                <w:color w:val="000000" w:themeColor="text1"/>
                <w:sz w:val="24"/>
                <w:szCs w:val="24"/>
              </w:rPr>
              <w:t>14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.5.3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液相炉的膨胀器应安装液位计。</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《有机热载体炉安全技术监察规程》第</w:t>
            </w:r>
            <w:r w:rsidRPr="00687B52">
              <w:rPr>
                <w:rFonts w:ascii="Cambria" w:hAnsi="Cambria"/>
                <w:color w:val="000000" w:themeColor="text1"/>
                <w:sz w:val="24"/>
                <w:szCs w:val="24"/>
              </w:rPr>
              <w:t>18</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.5.4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有机热载体炉出口的气相或液相有机热载体输送管道上，在截止阀前靠近有机热载体炉的地方应安装温度显示和记录仪表；有机热载体炉热功率不超过</w:t>
            </w:r>
            <w:r w:rsidRPr="00687B52">
              <w:rPr>
                <w:rFonts w:ascii="Cambria" w:hAnsi="Cambria"/>
                <w:color w:val="000000" w:themeColor="text1"/>
                <w:sz w:val="24"/>
                <w:szCs w:val="24"/>
              </w:rPr>
              <w:t>2.8</w:t>
            </w:r>
            <w:r w:rsidRPr="00687B52">
              <w:rPr>
                <w:rFonts w:ascii="Cambria" w:hAnsi="Cambria"/>
                <w:color w:val="000000" w:themeColor="text1"/>
                <w:sz w:val="24"/>
                <w:szCs w:val="24"/>
              </w:rPr>
              <w:t>ＭＷ时，可只装温度显示仪表。在液相炉回路的入口处应装温度显示仪表。</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《有机热载体炉安全技术监察规程》第</w:t>
            </w:r>
            <w:r w:rsidRPr="00687B52">
              <w:rPr>
                <w:rFonts w:ascii="Cambria" w:hAnsi="Cambria"/>
                <w:color w:val="000000" w:themeColor="text1"/>
                <w:sz w:val="24"/>
                <w:szCs w:val="24"/>
              </w:rPr>
              <w:t>19</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.5.5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液相炉有机热载体的出口处，应装有超温报警和差压报警装置。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《有机热载体炉安全技术监察规程》第</w:t>
            </w:r>
            <w:r w:rsidRPr="00687B52">
              <w:rPr>
                <w:rFonts w:ascii="Cambria" w:hAnsi="Cambria"/>
                <w:color w:val="000000" w:themeColor="text1"/>
                <w:sz w:val="24"/>
                <w:szCs w:val="24"/>
              </w:rPr>
              <w:t>20</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.5.6</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机热载体炉应装有自动调节保护装置，并在下列情况时应能自动停炉：液位下降到低于极限位置时；有机热载体炉出口热载体温度超过允许值时；有机热载体炉出口热载体压力超过允许值时；循环泵停止运转时。</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《有机热载体炉安全技术监察规程》第</w:t>
            </w:r>
            <w:r w:rsidRPr="00687B52">
              <w:rPr>
                <w:rFonts w:ascii="Cambria" w:hAnsi="Cambria"/>
                <w:color w:val="000000" w:themeColor="text1"/>
                <w:sz w:val="24"/>
                <w:szCs w:val="24"/>
              </w:rPr>
              <w:t>20</w:t>
            </w:r>
            <w:r w:rsidRPr="00687B52">
              <w:rPr>
                <w:rFonts w:ascii="Cambria" w:hAnsi="Cambria"/>
                <w:color w:val="000000" w:themeColor="text1"/>
                <w:sz w:val="24"/>
                <w:szCs w:val="24"/>
              </w:rPr>
              <w:t>条第</w:t>
            </w:r>
            <w:r w:rsidRPr="00687B52">
              <w:rPr>
                <w:rFonts w:ascii="Cambria" w:hAnsi="Cambria"/>
                <w:color w:val="000000" w:themeColor="text1"/>
                <w:sz w:val="24"/>
                <w:szCs w:val="24"/>
              </w:rPr>
              <w:t>3</w:t>
            </w:r>
            <w:r w:rsidRPr="00687B52">
              <w:rPr>
                <w:rFonts w:ascii="Cambria" w:hAnsi="Cambria"/>
                <w:color w:val="000000" w:themeColor="text1"/>
                <w:sz w:val="24"/>
                <w:szCs w:val="24"/>
              </w:rPr>
              <w:t>项</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.5.7</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液相炉和管网系统应装有接收受热膨胀有机热载体的膨胀器。膨胀器可以是封闭式的或是敞口式的。</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《有机热载体炉安全技术监察规程》第</w:t>
            </w:r>
            <w:r w:rsidRPr="00687B52">
              <w:rPr>
                <w:rFonts w:ascii="Cambria" w:hAnsi="Cambria"/>
                <w:color w:val="000000" w:themeColor="text1"/>
                <w:sz w:val="24"/>
                <w:szCs w:val="24"/>
              </w:rPr>
              <w:t>21</w:t>
            </w:r>
            <w:r w:rsidRPr="00687B52">
              <w:rPr>
                <w:rFonts w:ascii="Cambria" w:hAnsi="Cambria"/>
                <w:color w:val="000000" w:themeColor="text1"/>
                <w:sz w:val="24"/>
                <w:szCs w:val="24"/>
              </w:rPr>
              <w:t>条第</w:t>
            </w:r>
            <w:r w:rsidRPr="00687B52">
              <w:rPr>
                <w:rFonts w:ascii="Cambria" w:hAnsi="Cambria"/>
                <w:color w:val="000000" w:themeColor="text1"/>
                <w:sz w:val="24"/>
                <w:szCs w:val="24"/>
              </w:rPr>
              <w:t>1</w:t>
            </w:r>
            <w:r w:rsidRPr="00687B52">
              <w:rPr>
                <w:rFonts w:ascii="Cambria" w:hAnsi="Cambria"/>
                <w:color w:val="000000" w:themeColor="text1"/>
                <w:sz w:val="24"/>
                <w:szCs w:val="24"/>
              </w:rPr>
              <w:t>项</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.5.8</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膨胀器一般不得安装在有机热载体炉的正上方，以防因膨胀而喷出的有机热载体引起火灾。膨胀器的底部与有机热载体炉顶部的垂直距离应不小于</w:t>
            </w:r>
            <w:r w:rsidRPr="00687B52">
              <w:rPr>
                <w:rFonts w:ascii="Cambria" w:hAnsi="Cambria"/>
                <w:color w:val="000000" w:themeColor="text1"/>
                <w:sz w:val="24"/>
                <w:szCs w:val="24"/>
              </w:rPr>
              <w:t>1.5m</w:t>
            </w:r>
            <w:r w:rsidRPr="00687B52">
              <w:rPr>
                <w:rFonts w:ascii="Cambria" w:hAnsi="Cambr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《有机热载体炉安全技术监察规程》第</w:t>
            </w:r>
            <w:r w:rsidRPr="00687B52">
              <w:rPr>
                <w:rFonts w:ascii="Cambria" w:hAnsi="Cambria"/>
                <w:color w:val="000000" w:themeColor="text1"/>
                <w:sz w:val="24"/>
                <w:szCs w:val="24"/>
              </w:rPr>
              <w:t>21</w:t>
            </w:r>
            <w:r w:rsidRPr="00687B52">
              <w:rPr>
                <w:rFonts w:ascii="Cambria" w:hAnsi="Cambria"/>
                <w:color w:val="000000" w:themeColor="text1"/>
                <w:sz w:val="24"/>
                <w:szCs w:val="24"/>
              </w:rPr>
              <w:t>条第</w:t>
            </w:r>
            <w:r w:rsidRPr="00687B52">
              <w:rPr>
                <w:rFonts w:ascii="Cambria" w:hAnsi="Cambria"/>
                <w:color w:val="000000" w:themeColor="text1"/>
                <w:sz w:val="24"/>
                <w:szCs w:val="24"/>
              </w:rPr>
              <w:t>4</w:t>
            </w:r>
            <w:r w:rsidRPr="00687B52">
              <w:rPr>
                <w:rFonts w:ascii="Cambria" w:hAnsi="Cambria"/>
                <w:color w:val="000000" w:themeColor="text1"/>
                <w:sz w:val="24"/>
                <w:szCs w:val="24"/>
              </w:rPr>
              <w:t>项</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2</w:t>
            </w:r>
            <w:r w:rsidRPr="00687B52">
              <w:rPr>
                <w:rFonts w:ascii="Cambria" w:hAnsi="Cambria"/>
                <w:color w:val="000000" w:themeColor="text1"/>
                <w:sz w:val="24"/>
                <w:szCs w:val="24"/>
              </w:rPr>
              <w:t>.5.9</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膨胀器和膨胀管不得采取保温措施。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《有机热载体炉安全技术监察规程》第</w:t>
            </w:r>
            <w:r w:rsidRPr="00687B52">
              <w:rPr>
                <w:rFonts w:ascii="Cambria" w:hAnsi="Cambria"/>
                <w:color w:val="000000" w:themeColor="text1"/>
                <w:sz w:val="24"/>
                <w:szCs w:val="24"/>
              </w:rPr>
              <w:t>21</w:t>
            </w:r>
            <w:r w:rsidRPr="00687B52">
              <w:rPr>
                <w:rFonts w:ascii="Cambria" w:hAnsi="Cambria"/>
                <w:color w:val="000000" w:themeColor="text1"/>
                <w:sz w:val="24"/>
                <w:szCs w:val="24"/>
              </w:rPr>
              <w:t>条第</w:t>
            </w:r>
            <w:r w:rsidRPr="00687B52">
              <w:rPr>
                <w:rFonts w:ascii="Cambria" w:hAnsi="Cambria"/>
                <w:color w:val="000000" w:themeColor="text1"/>
                <w:sz w:val="24"/>
                <w:szCs w:val="24"/>
              </w:rPr>
              <w:t>6</w:t>
            </w:r>
            <w:r w:rsidRPr="00687B52">
              <w:rPr>
                <w:rFonts w:ascii="Cambria" w:hAnsi="Cambria"/>
                <w:color w:val="000000" w:themeColor="text1"/>
                <w:sz w:val="24"/>
                <w:szCs w:val="24"/>
              </w:rPr>
              <w:t>项</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9032A" w:rsidP="0009032A">
            <w:pPr>
              <w:jc w:val="center"/>
              <w:rPr>
                <w:rFonts w:ascii="Cambria" w:hAnsi="Cambria"/>
                <w:b/>
                <w:color w:val="000000" w:themeColor="text1"/>
                <w:sz w:val="24"/>
                <w:szCs w:val="24"/>
              </w:rPr>
            </w:pPr>
            <w:r w:rsidRPr="00687B52">
              <w:rPr>
                <w:rFonts w:ascii="Cambria" w:hAnsi="Cambria" w:hint="eastAsia"/>
                <w:b/>
                <w:color w:val="000000" w:themeColor="text1"/>
                <w:sz w:val="24"/>
                <w:szCs w:val="24"/>
              </w:rPr>
              <w:t>13</w:t>
            </w:r>
          </w:p>
        </w:tc>
        <w:tc>
          <w:tcPr>
            <w:tcW w:w="2101" w:type="pct"/>
            <w:vAlign w:val="center"/>
          </w:tcPr>
          <w:p w:rsidR="000E02C5" w:rsidRPr="00687B52" w:rsidRDefault="000E02C5" w:rsidP="00B527D4">
            <w:pPr>
              <w:rPr>
                <w:rFonts w:ascii="Cambria" w:hAnsi="Cambria"/>
                <w:b/>
                <w:color w:val="000000" w:themeColor="text1"/>
                <w:sz w:val="24"/>
                <w:szCs w:val="24"/>
              </w:rPr>
            </w:pPr>
            <w:r w:rsidRPr="00687B52">
              <w:rPr>
                <w:rFonts w:ascii="Cambria" w:hAnsi="Cambria" w:hint="eastAsia"/>
                <w:b/>
                <w:color w:val="000000" w:themeColor="text1"/>
                <w:sz w:val="24"/>
                <w:szCs w:val="24"/>
              </w:rPr>
              <w:t>涉氨企业</w:t>
            </w:r>
            <w:r w:rsidR="008B2714" w:rsidRPr="00687B52">
              <w:rPr>
                <w:rFonts w:ascii="Cambria" w:hAnsi="Cambria" w:hint="eastAsia"/>
                <w:b/>
                <w:color w:val="000000" w:themeColor="text1"/>
                <w:sz w:val="24"/>
                <w:szCs w:val="24"/>
              </w:rPr>
              <w:t>专项检查</w:t>
            </w:r>
          </w:p>
        </w:tc>
        <w:tc>
          <w:tcPr>
            <w:tcW w:w="1236" w:type="pct"/>
            <w:vAlign w:val="center"/>
          </w:tcPr>
          <w:p w:rsidR="000E02C5" w:rsidRPr="00687B52" w:rsidRDefault="000E02C5" w:rsidP="00B527D4">
            <w:pPr>
              <w:rPr>
                <w:rFonts w:ascii="Cambria" w:hAnsi="Cambria"/>
                <w:color w:val="000000" w:themeColor="text1"/>
                <w:sz w:val="24"/>
                <w:szCs w:val="24"/>
                <w:highlight w:val="yellow"/>
              </w:rPr>
            </w:pPr>
          </w:p>
        </w:tc>
        <w:tc>
          <w:tcPr>
            <w:tcW w:w="1283" w:type="pct"/>
            <w:vAlign w:val="center"/>
          </w:tcPr>
          <w:p w:rsidR="000E02C5" w:rsidRPr="00687B52" w:rsidRDefault="000E02C5" w:rsidP="00B527D4">
            <w:pPr>
              <w:rPr>
                <w:rFonts w:ascii="Cambria" w:hAnsi="Cambria"/>
                <w:color w:val="000000" w:themeColor="text1"/>
                <w:sz w:val="24"/>
                <w:szCs w:val="24"/>
                <w:highlight w:val="yellow"/>
              </w:rPr>
            </w:pPr>
          </w:p>
        </w:tc>
      </w:tr>
      <w:tr w:rsidR="000E02C5" w:rsidRPr="00687B52" w:rsidTr="007E7CC4">
        <w:tc>
          <w:tcPr>
            <w:tcW w:w="380" w:type="pct"/>
            <w:vAlign w:val="center"/>
          </w:tcPr>
          <w:p w:rsidR="000E02C5" w:rsidRPr="00687B52" w:rsidRDefault="000E02C5" w:rsidP="00B527D4">
            <w:pPr>
              <w:jc w:val="center"/>
              <w:rPr>
                <w:rFonts w:ascii="Cambria" w:hAnsi="Cambria"/>
                <w:b/>
                <w:color w:val="000000" w:themeColor="text1"/>
                <w:sz w:val="24"/>
                <w:szCs w:val="24"/>
              </w:rPr>
            </w:pPr>
            <w:r w:rsidRPr="00687B52">
              <w:rPr>
                <w:rFonts w:ascii="Cambria" w:hAnsi="Cambria" w:hint="eastAsia"/>
                <w:b/>
                <w:color w:val="000000" w:themeColor="text1"/>
                <w:sz w:val="24"/>
                <w:szCs w:val="24"/>
              </w:rPr>
              <w:t>13.1</w:t>
            </w:r>
          </w:p>
        </w:tc>
        <w:tc>
          <w:tcPr>
            <w:tcW w:w="2101" w:type="pct"/>
            <w:vAlign w:val="center"/>
          </w:tcPr>
          <w:p w:rsidR="000E02C5" w:rsidRPr="00687B52" w:rsidRDefault="000E02C5" w:rsidP="00B527D4">
            <w:pPr>
              <w:rPr>
                <w:rFonts w:ascii="Cambria" w:hAnsi="Cambria"/>
                <w:b/>
                <w:color w:val="000000" w:themeColor="text1"/>
                <w:sz w:val="24"/>
                <w:szCs w:val="24"/>
              </w:rPr>
            </w:pPr>
            <w:r w:rsidRPr="00687B52">
              <w:rPr>
                <w:rFonts w:ascii="Cambria" w:hAnsi="Cambria"/>
                <w:b/>
                <w:color w:val="000000" w:themeColor="text1"/>
                <w:sz w:val="24"/>
                <w:szCs w:val="24"/>
              </w:rPr>
              <w:t>区域位置、总图布置与建筑</w:t>
            </w:r>
          </w:p>
        </w:tc>
        <w:tc>
          <w:tcPr>
            <w:tcW w:w="1236" w:type="pct"/>
            <w:vAlign w:val="center"/>
          </w:tcPr>
          <w:p w:rsidR="000E02C5" w:rsidRPr="00687B52" w:rsidRDefault="000E02C5" w:rsidP="00B527D4">
            <w:pPr>
              <w:rPr>
                <w:rFonts w:ascii="Cambria" w:hAnsi="Cambria"/>
                <w:color w:val="000000" w:themeColor="text1"/>
                <w:sz w:val="24"/>
                <w:szCs w:val="24"/>
                <w:highlight w:val="yellow"/>
              </w:rPr>
            </w:pPr>
          </w:p>
        </w:tc>
        <w:tc>
          <w:tcPr>
            <w:tcW w:w="1283" w:type="pct"/>
            <w:vAlign w:val="center"/>
          </w:tcPr>
          <w:p w:rsidR="000E02C5" w:rsidRPr="00687B52" w:rsidRDefault="000E02C5" w:rsidP="00B527D4">
            <w:pPr>
              <w:rPr>
                <w:rFonts w:ascii="Cambria" w:hAnsi="Cambria"/>
                <w:color w:val="000000" w:themeColor="text1"/>
                <w:sz w:val="24"/>
                <w:szCs w:val="24"/>
                <w:highlight w:val="yellow"/>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w:t>
            </w:r>
            <w:r w:rsidRPr="00687B52">
              <w:rPr>
                <w:rFonts w:ascii="Cambria" w:hAnsi="Cambria" w:hint="eastAsia"/>
                <w:color w:val="000000" w:themeColor="text1"/>
                <w:sz w:val="24"/>
                <w:szCs w:val="24"/>
              </w:rPr>
              <w:t>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厂址应位于不受洪水、潮水或内涝威胁的地带，并应符合下列规定：</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color w:val="000000" w:themeColor="text1"/>
                <w:sz w:val="24"/>
                <w:szCs w:val="24"/>
              </w:rPr>
              <w:t>）当厂址不可避免不受洪水、潮水、或内涝威胁的地带时，必须采取防洪、排涝措施；</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color w:val="000000" w:themeColor="text1"/>
                <w:sz w:val="24"/>
                <w:szCs w:val="24"/>
              </w:rPr>
              <w:t>）凡受江、河、潮、海洪水、潮水或山洪威胁的工业企业，防洪标准应符合现行国家标准《防洪标准》</w:t>
            </w:r>
            <w:r w:rsidRPr="00687B52">
              <w:rPr>
                <w:rFonts w:ascii="Cambria" w:hAnsi="Cambria"/>
                <w:color w:val="000000" w:themeColor="text1"/>
                <w:sz w:val="24"/>
                <w:szCs w:val="24"/>
              </w:rPr>
              <w:t>GB 50201</w:t>
            </w:r>
            <w:r w:rsidRPr="00687B52">
              <w:rPr>
                <w:rFonts w:ascii="Cambria" w:hAnsi="Cambria"/>
                <w:color w:val="000000" w:themeColor="text1"/>
                <w:sz w:val="24"/>
                <w:szCs w:val="24"/>
              </w:rPr>
              <w:t>的有关规定。</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《工业企业总平面设计规范》</w:t>
            </w:r>
            <w:r w:rsidRPr="00687B52">
              <w:rPr>
                <w:rFonts w:ascii="Cambria" w:hAnsi="Cambria"/>
                <w:color w:val="000000" w:themeColor="text1"/>
                <w:sz w:val="24"/>
                <w:szCs w:val="24"/>
              </w:rPr>
              <w:t>GB50187-2012</w:t>
            </w:r>
            <w:r w:rsidRPr="00687B52">
              <w:rPr>
                <w:rFonts w:ascii="Cambria" w:hAnsi="Cambria"/>
                <w:color w:val="000000" w:themeColor="text1"/>
                <w:sz w:val="24"/>
                <w:szCs w:val="24"/>
              </w:rPr>
              <w:t>第</w:t>
            </w:r>
            <w:r w:rsidRPr="00687B52">
              <w:rPr>
                <w:rFonts w:ascii="Cambria" w:hAnsi="Cambria"/>
                <w:color w:val="000000" w:themeColor="text1"/>
                <w:sz w:val="24"/>
                <w:szCs w:val="24"/>
              </w:rPr>
              <w:t>3.0.12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山区建厂，当厂址位于山坡或山脚处时，应采取防止山洪、泥石流等自然灾害的危害的加固措施，应对山坡的稳定性等作出地质灾害的危险性评估报告。</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《工业企业总平面设计规范》</w:t>
            </w:r>
            <w:r w:rsidRPr="00687B52">
              <w:rPr>
                <w:rFonts w:ascii="Cambria" w:hAnsi="Cambria"/>
                <w:color w:val="000000" w:themeColor="text1"/>
                <w:sz w:val="24"/>
                <w:szCs w:val="24"/>
              </w:rPr>
              <w:t>GB50187-2012</w:t>
            </w:r>
            <w:r w:rsidRPr="00687B52">
              <w:rPr>
                <w:rFonts w:ascii="Cambria" w:hAnsi="Cambria"/>
                <w:color w:val="000000" w:themeColor="text1"/>
                <w:sz w:val="24"/>
                <w:szCs w:val="24"/>
              </w:rPr>
              <w:t>第</w:t>
            </w:r>
            <w:r w:rsidRPr="00687B52">
              <w:rPr>
                <w:rFonts w:ascii="Cambria" w:hAnsi="Cambria"/>
                <w:color w:val="000000" w:themeColor="text1"/>
                <w:sz w:val="24"/>
                <w:szCs w:val="24"/>
              </w:rPr>
              <w:t>3.0.13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下列地段和地区不应选为厂址：</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color w:val="000000" w:themeColor="text1"/>
                <w:sz w:val="24"/>
                <w:szCs w:val="24"/>
              </w:rPr>
              <w:t>）发震断层和抗震设防烈度为</w:t>
            </w:r>
            <w:r w:rsidRPr="00687B52">
              <w:rPr>
                <w:rFonts w:ascii="Cambria" w:hAnsi="Cambria"/>
                <w:color w:val="000000" w:themeColor="text1"/>
                <w:sz w:val="24"/>
                <w:szCs w:val="24"/>
              </w:rPr>
              <w:t>9</w:t>
            </w:r>
            <w:r w:rsidRPr="00687B52">
              <w:rPr>
                <w:rFonts w:ascii="Cambria" w:hAnsi="Cambria"/>
                <w:color w:val="000000" w:themeColor="text1"/>
                <w:sz w:val="24"/>
                <w:szCs w:val="24"/>
              </w:rPr>
              <w:t>度及高于</w:t>
            </w:r>
            <w:r w:rsidRPr="00687B52">
              <w:rPr>
                <w:rFonts w:ascii="Cambria" w:hAnsi="Cambria"/>
                <w:color w:val="000000" w:themeColor="text1"/>
                <w:sz w:val="24"/>
                <w:szCs w:val="24"/>
              </w:rPr>
              <w:t>9</w:t>
            </w:r>
            <w:r w:rsidRPr="00687B52">
              <w:rPr>
                <w:rFonts w:ascii="Cambria" w:hAnsi="Cambria"/>
                <w:color w:val="000000" w:themeColor="text1"/>
                <w:sz w:val="24"/>
                <w:szCs w:val="24"/>
              </w:rPr>
              <w:t>度的地震区；</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color w:val="000000" w:themeColor="text1"/>
                <w:sz w:val="24"/>
                <w:szCs w:val="24"/>
              </w:rPr>
              <w:t>）有泥石流、滑坡、流沙、溶洞等直接危害的地段；</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3</w:t>
            </w:r>
            <w:r w:rsidRPr="00687B52">
              <w:rPr>
                <w:rFonts w:ascii="Cambria" w:hAnsi="Cambria"/>
                <w:color w:val="000000" w:themeColor="text1"/>
                <w:sz w:val="24"/>
                <w:szCs w:val="24"/>
              </w:rPr>
              <w:t>）采矿陷落（错动）区地表界限内；</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4</w:t>
            </w:r>
            <w:r w:rsidRPr="00687B52">
              <w:rPr>
                <w:rFonts w:ascii="Cambria" w:hAnsi="Cambria"/>
                <w:color w:val="000000" w:themeColor="text1"/>
                <w:sz w:val="24"/>
                <w:szCs w:val="24"/>
              </w:rPr>
              <w:t>）爆破危险界限内；</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5</w:t>
            </w:r>
            <w:r w:rsidRPr="00687B52">
              <w:rPr>
                <w:rFonts w:ascii="Cambria" w:hAnsi="Cambria"/>
                <w:color w:val="000000" w:themeColor="text1"/>
                <w:sz w:val="24"/>
                <w:szCs w:val="24"/>
              </w:rPr>
              <w:t>）坝或堤决溃后可能淹没的地区；</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6</w:t>
            </w:r>
            <w:r w:rsidRPr="00687B52">
              <w:rPr>
                <w:rFonts w:ascii="Cambria" w:hAnsi="Cambria"/>
                <w:color w:val="000000" w:themeColor="text1"/>
                <w:sz w:val="24"/>
                <w:szCs w:val="24"/>
              </w:rPr>
              <w:t>）有严重放射性物质污染影响区；</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7</w:t>
            </w:r>
            <w:r w:rsidRPr="00687B52">
              <w:rPr>
                <w:rFonts w:ascii="Cambria" w:hAnsi="Cambria"/>
                <w:color w:val="000000" w:themeColor="text1"/>
                <w:sz w:val="24"/>
                <w:szCs w:val="24"/>
              </w:rPr>
              <w:t>）生活居住区、文教区、水源保护区、名胜古迹、风景游览区、温泉、疗养区、自然保护区和其它需要特别保护的区域；</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8</w:t>
            </w:r>
            <w:r w:rsidRPr="00687B52">
              <w:rPr>
                <w:rFonts w:ascii="Cambria" w:hAnsi="Cambria"/>
                <w:color w:val="000000" w:themeColor="text1"/>
                <w:sz w:val="24"/>
                <w:szCs w:val="24"/>
              </w:rPr>
              <w:t>）对飞机起落、电台通讯、电视转播、雷达导航和重要的天文、气象、地震观察以及军事设施等规定有影响的范围内；</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9</w:t>
            </w:r>
            <w:r w:rsidRPr="00687B52">
              <w:rPr>
                <w:rFonts w:ascii="Cambria" w:hAnsi="Cambria"/>
                <w:color w:val="000000" w:themeColor="text1"/>
                <w:sz w:val="24"/>
                <w:szCs w:val="24"/>
              </w:rPr>
              <w:t>）很严重的自重湿陷性黄土地段，厚度大的新近堆积黄土地段和高压缩性的饱和黄土地段等地质条件恶劣地段；</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10</w:t>
            </w:r>
            <w:r w:rsidRPr="00687B52">
              <w:rPr>
                <w:rFonts w:ascii="Cambria" w:hAnsi="Cambria"/>
                <w:color w:val="000000" w:themeColor="text1"/>
                <w:sz w:val="24"/>
                <w:szCs w:val="24"/>
              </w:rPr>
              <w:t>）具有开采价值的矿藏区；</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11</w:t>
            </w:r>
            <w:r w:rsidRPr="00687B52">
              <w:rPr>
                <w:rFonts w:ascii="Cambria" w:hAnsi="Cambria"/>
                <w:color w:val="000000" w:themeColor="text1"/>
                <w:sz w:val="24"/>
                <w:szCs w:val="24"/>
              </w:rPr>
              <w:t>）受海啸或湖涌危害的地区。</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《工业企业总平面设计规范》</w:t>
            </w:r>
            <w:r w:rsidRPr="00687B52">
              <w:rPr>
                <w:rFonts w:ascii="Cambria" w:hAnsi="Cambria"/>
                <w:color w:val="000000" w:themeColor="text1"/>
                <w:sz w:val="24"/>
                <w:szCs w:val="24"/>
              </w:rPr>
              <w:t>GB50187-2012</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第</w:t>
            </w:r>
            <w:r w:rsidRPr="00687B52">
              <w:rPr>
                <w:rFonts w:ascii="Cambria" w:hAnsi="Cambria"/>
                <w:color w:val="000000" w:themeColor="text1"/>
                <w:sz w:val="24"/>
                <w:szCs w:val="24"/>
              </w:rPr>
              <w:t>3.0.14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构成重大危险源的场所</w:t>
            </w:r>
            <w:r w:rsidR="008B2714" w:rsidRPr="00687B52">
              <w:rPr>
                <w:rFonts w:ascii="Cambria" w:hAnsi="Cambria" w:hint="eastAsia"/>
                <w:color w:val="000000" w:themeColor="text1"/>
                <w:sz w:val="24"/>
                <w:szCs w:val="24"/>
              </w:rPr>
              <w:t>应</w:t>
            </w:r>
            <w:r w:rsidRPr="00687B52">
              <w:rPr>
                <w:rFonts w:ascii="Cambria" w:hAnsi="Cambria"/>
                <w:color w:val="000000" w:themeColor="text1"/>
                <w:sz w:val="24"/>
                <w:szCs w:val="24"/>
              </w:rPr>
              <w:t>按《危险化学品重大危险源监督管理暂行规定》（安监总局令第</w:t>
            </w:r>
            <w:r w:rsidRPr="00687B52">
              <w:rPr>
                <w:rFonts w:ascii="Cambria" w:hAnsi="Cambria"/>
                <w:color w:val="000000" w:themeColor="text1"/>
                <w:sz w:val="24"/>
                <w:szCs w:val="24"/>
              </w:rPr>
              <w:t>40</w:t>
            </w:r>
            <w:r w:rsidRPr="00687B52">
              <w:rPr>
                <w:rFonts w:ascii="Cambria" w:hAnsi="Cambria"/>
                <w:color w:val="000000" w:themeColor="text1"/>
                <w:sz w:val="24"/>
                <w:szCs w:val="24"/>
              </w:rPr>
              <w:t>号令发布，第</w:t>
            </w:r>
            <w:r w:rsidRPr="00687B52">
              <w:rPr>
                <w:rFonts w:ascii="Cambria" w:hAnsi="Cambria"/>
                <w:color w:val="000000" w:themeColor="text1"/>
                <w:sz w:val="24"/>
                <w:szCs w:val="24"/>
              </w:rPr>
              <w:t>79</w:t>
            </w:r>
            <w:r w:rsidRPr="00687B52">
              <w:rPr>
                <w:rFonts w:ascii="Cambria" w:hAnsi="Cambria"/>
                <w:color w:val="000000" w:themeColor="text1"/>
                <w:sz w:val="24"/>
                <w:szCs w:val="24"/>
              </w:rPr>
              <w:t>号修订</w:t>
            </w:r>
            <w:r w:rsidRPr="00687B52">
              <w:rPr>
                <w:rFonts w:ascii="Cambria" w:hAnsi="Cambria"/>
                <w:color w:val="000000" w:themeColor="text1"/>
                <w:sz w:val="24"/>
                <w:szCs w:val="24"/>
              </w:rPr>
              <w:t>)</w:t>
            </w:r>
            <w:r w:rsidRPr="00687B52">
              <w:rPr>
                <w:rFonts w:ascii="Cambria" w:hAnsi="Cambria"/>
                <w:color w:val="000000" w:themeColor="text1"/>
                <w:sz w:val="24"/>
                <w:szCs w:val="24"/>
              </w:rPr>
              <w:t>）确定外部安全防护距离，并计算风险；下列敏感目标是否在安全防护距离之外，个人风险和社会风险是否可接受：</w:t>
            </w:r>
          </w:p>
          <w:p w:rsidR="000E02C5" w:rsidRPr="00687B52" w:rsidRDefault="000E02C5" w:rsidP="00D9787F">
            <w:pPr>
              <w:numPr>
                <w:ilvl w:val="0"/>
                <w:numId w:val="134"/>
              </w:numPr>
              <w:ind w:left="0"/>
              <w:rPr>
                <w:rFonts w:ascii="Cambria" w:hAnsi="Cambria"/>
                <w:color w:val="000000" w:themeColor="text1"/>
                <w:sz w:val="24"/>
                <w:szCs w:val="24"/>
              </w:rPr>
            </w:pPr>
            <w:r w:rsidRPr="00687B52">
              <w:rPr>
                <w:rFonts w:ascii="Cambria" w:hAnsi="Cambria"/>
                <w:color w:val="000000" w:themeColor="text1"/>
                <w:sz w:val="24"/>
                <w:szCs w:val="24"/>
              </w:rPr>
              <w:t>居民区、商业中心、公园等人口密集区域；</w:t>
            </w:r>
          </w:p>
          <w:p w:rsidR="000E02C5" w:rsidRPr="00687B52" w:rsidRDefault="000E02C5" w:rsidP="00D9787F">
            <w:pPr>
              <w:numPr>
                <w:ilvl w:val="0"/>
                <w:numId w:val="134"/>
              </w:numPr>
              <w:ind w:left="0"/>
              <w:rPr>
                <w:rFonts w:ascii="Cambria" w:hAnsi="Cambria"/>
                <w:color w:val="000000" w:themeColor="text1"/>
                <w:sz w:val="24"/>
                <w:szCs w:val="24"/>
              </w:rPr>
            </w:pPr>
            <w:r w:rsidRPr="00687B52">
              <w:rPr>
                <w:rFonts w:ascii="Cambria" w:hAnsi="Cambria"/>
                <w:color w:val="000000" w:themeColor="text1"/>
                <w:sz w:val="24"/>
                <w:szCs w:val="24"/>
              </w:rPr>
              <w:t>学校、医院、影剧院、体育场（馆）等公共设施；</w:t>
            </w:r>
          </w:p>
          <w:p w:rsidR="000E02C5" w:rsidRPr="00687B52" w:rsidRDefault="000E02C5" w:rsidP="00D9787F">
            <w:pPr>
              <w:numPr>
                <w:ilvl w:val="0"/>
                <w:numId w:val="134"/>
              </w:numPr>
              <w:ind w:left="0"/>
              <w:rPr>
                <w:rFonts w:ascii="Cambria" w:hAnsi="Cambria"/>
                <w:color w:val="000000" w:themeColor="text1"/>
                <w:sz w:val="24"/>
                <w:szCs w:val="24"/>
              </w:rPr>
            </w:pPr>
            <w:r w:rsidRPr="00687B52">
              <w:rPr>
                <w:rFonts w:ascii="Cambria" w:hAnsi="Cambria"/>
                <w:color w:val="000000" w:themeColor="text1"/>
                <w:sz w:val="24"/>
                <w:szCs w:val="24"/>
              </w:rPr>
              <w:t>供水水源、水厂及水源保护区；</w:t>
            </w:r>
          </w:p>
          <w:p w:rsidR="000E02C5" w:rsidRPr="00687B52" w:rsidRDefault="000E02C5" w:rsidP="00D9787F">
            <w:pPr>
              <w:numPr>
                <w:ilvl w:val="0"/>
                <w:numId w:val="134"/>
              </w:numPr>
              <w:ind w:left="0"/>
              <w:rPr>
                <w:rFonts w:ascii="Cambria" w:hAnsi="Cambria"/>
                <w:color w:val="000000" w:themeColor="text1"/>
                <w:sz w:val="24"/>
                <w:szCs w:val="24"/>
              </w:rPr>
            </w:pPr>
            <w:r w:rsidRPr="00687B52">
              <w:rPr>
                <w:rFonts w:ascii="Cambria" w:hAnsi="Cambria"/>
                <w:color w:val="000000" w:themeColor="text1"/>
                <w:sz w:val="24"/>
                <w:szCs w:val="24"/>
              </w:rPr>
              <w:t>车站、码头（按照国家规定，经批准专门从事危险化学品装卸作业的除外）、机场以及公路、铁路、水路交通干线、地铁风亭及出入口；</w:t>
            </w:r>
          </w:p>
          <w:p w:rsidR="000E02C5" w:rsidRPr="00687B52" w:rsidRDefault="000E02C5" w:rsidP="00D9787F">
            <w:pPr>
              <w:numPr>
                <w:ilvl w:val="0"/>
                <w:numId w:val="134"/>
              </w:numPr>
              <w:ind w:left="0"/>
              <w:rPr>
                <w:rFonts w:ascii="Cambria" w:hAnsi="Cambria"/>
                <w:color w:val="000000" w:themeColor="text1"/>
                <w:sz w:val="24"/>
                <w:szCs w:val="24"/>
              </w:rPr>
            </w:pPr>
            <w:r w:rsidRPr="00687B52">
              <w:rPr>
                <w:rFonts w:ascii="Cambria" w:hAnsi="Cambria"/>
                <w:color w:val="000000" w:themeColor="text1"/>
                <w:sz w:val="24"/>
                <w:szCs w:val="24"/>
              </w:rPr>
              <w:t>基本农田保护区、畜牧区、渔业水域和种子、种畜、水产苗种生产基；</w:t>
            </w:r>
          </w:p>
          <w:p w:rsidR="000E02C5" w:rsidRPr="00687B52" w:rsidRDefault="000E02C5" w:rsidP="00D9787F">
            <w:pPr>
              <w:numPr>
                <w:ilvl w:val="0"/>
                <w:numId w:val="134"/>
              </w:numPr>
              <w:ind w:left="0"/>
              <w:rPr>
                <w:rFonts w:ascii="Cambria" w:hAnsi="Cambria"/>
                <w:color w:val="000000" w:themeColor="text1"/>
                <w:sz w:val="24"/>
                <w:szCs w:val="24"/>
              </w:rPr>
            </w:pPr>
            <w:r w:rsidRPr="00687B52">
              <w:rPr>
                <w:rFonts w:ascii="Cambria" w:hAnsi="Cambria"/>
                <w:color w:val="000000" w:themeColor="text1"/>
                <w:sz w:val="24"/>
                <w:szCs w:val="24"/>
              </w:rPr>
              <w:t>河流、湖泊、风景名胜区和自然保护区；</w:t>
            </w:r>
          </w:p>
          <w:p w:rsidR="000E02C5" w:rsidRPr="00687B52" w:rsidRDefault="000E02C5" w:rsidP="00D9787F">
            <w:pPr>
              <w:numPr>
                <w:ilvl w:val="0"/>
                <w:numId w:val="134"/>
              </w:numPr>
              <w:ind w:left="0"/>
              <w:rPr>
                <w:rFonts w:ascii="Cambria" w:hAnsi="Cambria"/>
                <w:color w:val="000000" w:themeColor="text1"/>
                <w:sz w:val="24"/>
                <w:szCs w:val="24"/>
              </w:rPr>
            </w:pPr>
            <w:r w:rsidRPr="00687B52">
              <w:rPr>
                <w:rFonts w:ascii="Cambria" w:hAnsi="Cambria"/>
                <w:color w:val="000000" w:themeColor="text1"/>
                <w:sz w:val="24"/>
                <w:szCs w:val="24"/>
              </w:rPr>
              <w:t>军事禁区、军事管理区；</w:t>
            </w:r>
          </w:p>
          <w:p w:rsidR="000E02C5" w:rsidRPr="00687B52" w:rsidRDefault="000E02C5" w:rsidP="00D9787F">
            <w:pPr>
              <w:numPr>
                <w:ilvl w:val="0"/>
                <w:numId w:val="134"/>
              </w:numPr>
              <w:ind w:left="0"/>
              <w:rPr>
                <w:rFonts w:ascii="Cambria" w:hAnsi="Cambria"/>
                <w:color w:val="000000" w:themeColor="text1"/>
                <w:sz w:val="24"/>
                <w:szCs w:val="24"/>
              </w:rPr>
            </w:pPr>
            <w:r w:rsidRPr="00687B52">
              <w:rPr>
                <w:rFonts w:ascii="Cambria" w:hAnsi="Cambria"/>
                <w:color w:val="000000" w:themeColor="text1"/>
                <w:sz w:val="24"/>
                <w:szCs w:val="24"/>
              </w:rPr>
              <w:t>法律、行政法规规定予以保护的其他区域。</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《危险化学品安全管理条例》第十九条</w:t>
            </w:r>
          </w:p>
        </w:tc>
        <w:tc>
          <w:tcPr>
            <w:tcW w:w="1283" w:type="pct"/>
            <w:vAlign w:val="center"/>
          </w:tcPr>
          <w:p w:rsidR="000E02C5" w:rsidRPr="00687B52" w:rsidRDefault="000E02C5" w:rsidP="00B527D4">
            <w:pPr>
              <w:spacing w:line="30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冷库地址宜选择在省市规划的物流园区中，且应位于周围集中居住区夏季最大频率风向的下风侧，使用氨制冷工质的冷库，与其下风侧居住区的防护距离不宜小于</w:t>
            </w:r>
            <w:r w:rsidRPr="00687B52">
              <w:rPr>
                <w:rFonts w:ascii="Cambria" w:hAnsi="Cambria"/>
                <w:color w:val="000000" w:themeColor="text1"/>
                <w:sz w:val="24"/>
                <w:szCs w:val="24"/>
              </w:rPr>
              <w:t>300m</w:t>
            </w:r>
            <w:r w:rsidRPr="00687B52">
              <w:rPr>
                <w:rFonts w:ascii="Cambria" w:hAnsi="Cambria"/>
                <w:color w:val="000000" w:themeColor="text1"/>
                <w:sz w:val="24"/>
                <w:szCs w:val="24"/>
              </w:rPr>
              <w:t>，与其他地方居住区的卫生防护距离不宜小于</w:t>
            </w:r>
            <w:r w:rsidRPr="00687B52">
              <w:rPr>
                <w:rFonts w:ascii="Cambria" w:hAnsi="Cambria"/>
                <w:color w:val="000000" w:themeColor="text1"/>
                <w:sz w:val="24"/>
                <w:szCs w:val="24"/>
              </w:rPr>
              <w:t>150m</w:t>
            </w:r>
            <w:r w:rsidRPr="00687B52">
              <w:rPr>
                <w:rFonts w:ascii="Cambria" w:hAnsi="Cambr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《冷库设计规范》</w:t>
            </w:r>
            <w:r w:rsidRPr="00687B52">
              <w:rPr>
                <w:rFonts w:ascii="Cambria" w:hAnsi="Cambria"/>
                <w:color w:val="000000" w:themeColor="text1"/>
                <w:sz w:val="24"/>
                <w:szCs w:val="24"/>
              </w:rPr>
              <w:t xml:space="preserve">GB50072-2010 </w:t>
            </w:r>
            <w:r w:rsidRPr="00687B52">
              <w:rPr>
                <w:rFonts w:ascii="Cambria" w:hAnsi="Cambria"/>
                <w:color w:val="000000" w:themeColor="text1"/>
                <w:sz w:val="24"/>
                <w:szCs w:val="24"/>
              </w:rPr>
              <w:t>第</w:t>
            </w:r>
            <w:r w:rsidRPr="00687B52">
              <w:rPr>
                <w:rFonts w:ascii="Cambria" w:hAnsi="Cambria"/>
                <w:color w:val="000000" w:themeColor="text1"/>
                <w:sz w:val="24"/>
                <w:szCs w:val="24"/>
              </w:rPr>
              <w:t>4.1.1</w:t>
            </w:r>
            <w:r w:rsidRPr="00687B52">
              <w:rPr>
                <w:rFonts w:ascii="Cambria" w:hAnsi="Cambria"/>
                <w:color w:val="000000" w:themeColor="text1"/>
                <w:sz w:val="24"/>
                <w:szCs w:val="24"/>
              </w:rPr>
              <w:t>（</w:t>
            </w:r>
            <w:r w:rsidRPr="00687B52">
              <w:rPr>
                <w:rFonts w:ascii="Cambria" w:hAnsi="Cambria"/>
                <w:color w:val="000000" w:themeColor="text1"/>
                <w:sz w:val="24"/>
                <w:szCs w:val="24"/>
              </w:rPr>
              <w:t>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.1.6</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库址周围应有良好的卫生条件，且必须避开和远离有害气体、灰沙、烟雾、粉尘及其他有污染源的地段</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《冷库设计规范》</w:t>
            </w:r>
            <w:r w:rsidRPr="00687B52">
              <w:rPr>
                <w:rFonts w:ascii="Cambria" w:hAnsi="Cambria"/>
                <w:color w:val="000000" w:themeColor="text1"/>
                <w:sz w:val="24"/>
                <w:szCs w:val="24"/>
              </w:rPr>
              <w:t>GB50072-2010</w:t>
            </w:r>
            <w:r w:rsidRPr="00687B52">
              <w:rPr>
                <w:rFonts w:ascii="Cambria" w:hAnsi="Cambria"/>
                <w:color w:val="000000" w:themeColor="text1"/>
                <w:sz w:val="24"/>
                <w:szCs w:val="24"/>
              </w:rPr>
              <w:t>第</w:t>
            </w:r>
            <w:r w:rsidRPr="00687B52">
              <w:rPr>
                <w:rFonts w:ascii="Cambria" w:hAnsi="Cambria"/>
                <w:color w:val="000000" w:themeColor="text1"/>
                <w:sz w:val="24"/>
                <w:szCs w:val="24"/>
              </w:rPr>
              <w:t>4.1.1</w:t>
            </w:r>
            <w:r w:rsidRPr="00687B52">
              <w:rPr>
                <w:rFonts w:ascii="Cambria" w:hAnsi="Cambria"/>
                <w:color w:val="000000" w:themeColor="text1"/>
                <w:sz w:val="24"/>
                <w:szCs w:val="24"/>
              </w:rPr>
              <w:t>（</w:t>
            </w:r>
            <w:r w:rsidRPr="00687B52">
              <w:rPr>
                <w:rFonts w:ascii="Cambria" w:hAnsi="Cambria"/>
                <w:color w:val="000000" w:themeColor="text1"/>
                <w:sz w:val="24"/>
                <w:szCs w:val="24"/>
              </w:rPr>
              <w:t>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.1.7</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液氨罐区及装置设施危险类别为乙类，与厂外变配电室、点火源（包括火炬）；</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民用建筑，厂房；仓库；甲、乙、丙类液体罐区、堆场；道路；架空电力线及其他重要设施及场所的安全间距符合相关标准要求。</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3.4.1</w:t>
            </w:r>
            <w:r w:rsidRPr="00687B52">
              <w:rPr>
                <w:rFonts w:ascii="Cambria" w:hAnsi="Cambria"/>
                <w:color w:val="000000" w:themeColor="text1"/>
                <w:sz w:val="24"/>
                <w:szCs w:val="24"/>
              </w:rPr>
              <w:t>、</w:t>
            </w:r>
            <w:r w:rsidRPr="00687B52">
              <w:rPr>
                <w:rFonts w:ascii="Cambria" w:hAnsi="Cambria"/>
                <w:color w:val="000000" w:themeColor="text1"/>
                <w:sz w:val="24"/>
                <w:szCs w:val="24"/>
              </w:rPr>
              <w:t>3.5.2</w:t>
            </w:r>
            <w:r w:rsidRPr="00687B52">
              <w:rPr>
                <w:rFonts w:ascii="Cambria" w:hAnsi="Cambria"/>
                <w:color w:val="000000" w:themeColor="text1"/>
                <w:sz w:val="24"/>
                <w:szCs w:val="24"/>
              </w:rPr>
              <w:t>、</w:t>
            </w:r>
            <w:r w:rsidRPr="00687B52">
              <w:rPr>
                <w:rFonts w:ascii="Cambria" w:hAnsi="Cambria"/>
                <w:color w:val="000000" w:themeColor="text1"/>
                <w:sz w:val="24"/>
                <w:szCs w:val="24"/>
              </w:rPr>
              <w:t>4.2.1~3</w:t>
            </w:r>
            <w:r w:rsidRPr="00687B52">
              <w:rPr>
                <w:rFonts w:ascii="Cambria" w:hAnsi="Cambria"/>
                <w:color w:val="000000" w:themeColor="text1"/>
                <w:sz w:val="24"/>
                <w:szCs w:val="24"/>
              </w:rPr>
              <w:t>、</w:t>
            </w:r>
            <w:r w:rsidRPr="00687B52">
              <w:rPr>
                <w:rFonts w:ascii="Cambria" w:hAnsi="Cambria"/>
                <w:color w:val="000000" w:themeColor="text1"/>
                <w:sz w:val="24"/>
                <w:szCs w:val="24"/>
              </w:rPr>
              <w:t>4.2.7~9</w:t>
            </w:r>
            <w:r w:rsidRPr="00687B52">
              <w:rPr>
                <w:rFonts w:ascii="Cambria" w:hAnsi="Cambria"/>
                <w:color w:val="000000" w:themeColor="text1"/>
                <w:sz w:val="24"/>
                <w:szCs w:val="24"/>
              </w:rPr>
              <w:t>、</w:t>
            </w:r>
            <w:r w:rsidRPr="00687B52">
              <w:rPr>
                <w:rFonts w:ascii="Cambria" w:hAnsi="Cambria"/>
                <w:color w:val="000000" w:themeColor="text1"/>
                <w:sz w:val="24"/>
                <w:szCs w:val="24"/>
              </w:rPr>
              <w:t>10.2.1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.1.8</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厂区总平面应按功能分区布置，可分为生产装置区、辅助生产区、公用工程设施区、仓储区和行政办公及生活服务区。辅助生产和公用工程设施也可布置在生产装置区内。</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《化工企业总图运输设计规范》</w:t>
            </w:r>
            <w:r w:rsidRPr="00687B52">
              <w:rPr>
                <w:rFonts w:ascii="Cambria" w:hAnsi="Cambria"/>
                <w:color w:val="000000" w:themeColor="text1"/>
                <w:sz w:val="24"/>
                <w:szCs w:val="24"/>
              </w:rPr>
              <w:t>GB50489-2009</w:t>
            </w:r>
            <w:r w:rsidRPr="00687B52">
              <w:rPr>
                <w:rFonts w:ascii="Cambria" w:hAnsi="Cambria"/>
                <w:color w:val="000000" w:themeColor="text1"/>
                <w:sz w:val="24"/>
                <w:szCs w:val="24"/>
              </w:rPr>
              <w:t>第</w:t>
            </w:r>
            <w:r w:rsidRPr="00687B52">
              <w:rPr>
                <w:rFonts w:ascii="Cambria" w:hAnsi="Cambria"/>
                <w:color w:val="000000" w:themeColor="text1"/>
                <w:sz w:val="24"/>
                <w:szCs w:val="24"/>
              </w:rPr>
              <w:t>5.1.4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.1.9</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总平面布置应防止或减少有害气体、烟雾、粉尘、振动、噪声对周围环境的污染。</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《化工企业总图运输设计规范》</w:t>
            </w:r>
            <w:r w:rsidRPr="00687B52">
              <w:rPr>
                <w:rFonts w:ascii="Cambria" w:hAnsi="Cambria"/>
                <w:color w:val="000000" w:themeColor="text1"/>
                <w:sz w:val="24"/>
                <w:szCs w:val="24"/>
              </w:rPr>
              <w:t>GB50489-2009</w:t>
            </w:r>
            <w:r w:rsidRPr="00687B52">
              <w:rPr>
                <w:rFonts w:ascii="Cambria" w:hAnsi="Cambria"/>
                <w:color w:val="000000" w:themeColor="text1"/>
                <w:sz w:val="24"/>
                <w:szCs w:val="24"/>
              </w:rPr>
              <w:t>第</w:t>
            </w:r>
            <w:r w:rsidRPr="00687B52">
              <w:rPr>
                <w:rFonts w:ascii="Cambria" w:hAnsi="Cambria"/>
                <w:color w:val="000000" w:themeColor="text1"/>
                <w:sz w:val="24"/>
                <w:szCs w:val="24"/>
              </w:rPr>
              <w:t>5.1.10</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Times New Roman"/>
                <w:color w:val="000000" w:themeColor="text1"/>
                <w:sz w:val="24"/>
                <w:szCs w:val="24"/>
              </w:rPr>
            </w:pPr>
            <w:r w:rsidRPr="00687B52">
              <w:rPr>
                <w:rFonts w:ascii="Cambria" w:hAnsi="Cambria" w:cs="Times New Roman"/>
                <w:color w:val="000000" w:themeColor="text1"/>
                <w:sz w:val="24"/>
                <w:szCs w:val="24"/>
              </w:rPr>
              <w:t>1</w:t>
            </w:r>
            <w:r w:rsidRPr="00687B52">
              <w:rPr>
                <w:rFonts w:ascii="Cambria" w:hAnsi="Cambria" w:cs="Times New Roman" w:hint="eastAsia"/>
                <w:color w:val="000000" w:themeColor="text1"/>
                <w:sz w:val="24"/>
                <w:szCs w:val="24"/>
              </w:rPr>
              <w:t>3</w:t>
            </w:r>
            <w:r w:rsidRPr="00687B52">
              <w:rPr>
                <w:rFonts w:ascii="Cambria" w:hAnsi="Cambria" w:cs="Times New Roman"/>
                <w:color w:val="000000" w:themeColor="text1"/>
                <w:sz w:val="24"/>
                <w:szCs w:val="24"/>
              </w:rPr>
              <w:t>.1.10</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液氨罐区及装置设施危险类别为乙类，与厂内变配电室、点火源（包括火炬）；</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民用建筑，厂房；仓库；甲、乙、丙类液体罐区、堆场；道路；架空电力线等设施的安全间距符合相关标准要求。</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3.4.1</w:t>
            </w:r>
            <w:r w:rsidRPr="00687B52">
              <w:rPr>
                <w:rFonts w:ascii="Cambria" w:hAnsi="Cambria"/>
                <w:color w:val="000000" w:themeColor="text1"/>
                <w:sz w:val="24"/>
                <w:szCs w:val="24"/>
              </w:rPr>
              <w:t>、</w:t>
            </w:r>
            <w:r w:rsidRPr="00687B52">
              <w:rPr>
                <w:rFonts w:ascii="Cambria" w:hAnsi="Cambria"/>
                <w:color w:val="000000" w:themeColor="text1"/>
                <w:sz w:val="24"/>
                <w:szCs w:val="24"/>
              </w:rPr>
              <w:t>3.5.2</w:t>
            </w:r>
            <w:r w:rsidRPr="00687B52">
              <w:rPr>
                <w:rFonts w:ascii="Cambria" w:hAnsi="Cambria"/>
                <w:color w:val="000000" w:themeColor="text1"/>
                <w:sz w:val="24"/>
                <w:szCs w:val="24"/>
              </w:rPr>
              <w:t>、</w:t>
            </w:r>
            <w:r w:rsidRPr="00687B52">
              <w:rPr>
                <w:rFonts w:ascii="Cambria" w:hAnsi="Cambria"/>
                <w:color w:val="000000" w:themeColor="text1"/>
                <w:sz w:val="24"/>
                <w:szCs w:val="24"/>
              </w:rPr>
              <w:t>4.2.1~3</w:t>
            </w:r>
            <w:r w:rsidRPr="00687B52">
              <w:rPr>
                <w:rFonts w:ascii="Cambria" w:hAnsi="Cambria"/>
                <w:color w:val="000000" w:themeColor="text1"/>
                <w:sz w:val="24"/>
                <w:szCs w:val="24"/>
              </w:rPr>
              <w:t>、</w:t>
            </w:r>
            <w:r w:rsidRPr="00687B52">
              <w:rPr>
                <w:rFonts w:ascii="Cambria" w:hAnsi="Cambria"/>
                <w:color w:val="000000" w:themeColor="text1"/>
                <w:sz w:val="24"/>
                <w:szCs w:val="24"/>
              </w:rPr>
              <w:t>4.2.7~9</w:t>
            </w:r>
            <w:r w:rsidRPr="00687B52">
              <w:rPr>
                <w:rFonts w:ascii="Cambria" w:hAnsi="Cambria"/>
                <w:color w:val="000000" w:themeColor="text1"/>
                <w:sz w:val="24"/>
                <w:szCs w:val="24"/>
              </w:rPr>
              <w:t>、</w:t>
            </w:r>
            <w:r w:rsidRPr="00687B52">
              <w:rPr>
                <w:rFonts w:ascii="Cambria" w:hAnsi="Cambria"/>
                <w:color w:val="000000" w:themeColor="text1"/>
                <w:sz w:val="24"/>
                <w:szCs w:val="24"/>
              </w:rPr>
              <w:t>10.2.1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overflowPunct w:val="0"/>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.1.11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有爆炸危险的厂房或厂房内有爆炸危险的部位应设置泄压设施。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3.6.2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.1.12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库房和制冷机房、变配电所和控制室贴邻布置时，相邻侧的墙体，应至少有一面为防火墙，屋顶耐火极限不应低于</w:t>
            </w:r>
            <w:r w:rsidRPr="00687B52">
              <w:rPr>
                <w:rFonts w:ascii="Cambria" w:hAnsi="Cambria"/>
                <w:color w:val="000000" w:themeColor="text1"/>
                <w:sz w:val="24"/>
                <w:szCs w:val="24"/>
              </w:rPr>
              <w:t>1.00h</w:t>
            </w:r>
            <w:r w:rsidRPr="00687B52">
              <w:rPr>
                <w:rFonts w:ascii="Cambria" w:hAnsi="Cambr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《冷库设计规范》</w:t>
            </w:r>
            <w:r w:rsidRPr="00687B52">
              <w:rPr>
                <w:rFonts w:ascii="Cambria" w:hAnsi="Cambria"/>
                <w:color w:val="000000" w:themeColor="text1"/>
                <w:sz w:val="24"/>
                <w:szCs w:val="24"/>
              </w:rPr>
              <w:t>GB50072-2010</w:t>
            </w:r>
            <w:r w:rsidRPr="00687B52">
              <w:rPr>
                <w:rFonts w:ascii="Cambria" w:hAnsi="Cambria"/>
                <w:color w:val="000000" w:themeColor="text1"/>
                <w:sz w:val="24"/>
                <w:szCs w:val="24"/>
              </w:rPr>
              <w:t>第</w:t>
            </w:r>
            <w:r w:rsidRPr="00687B52">
              <w:rPr>
                <w:rFonts w:ascii="Cambria" w:hAnsi="Cambria"/>
                <w:color w:val="000000" w:themeColor="text1"/>
                <w:sz w:val="24"/>
                <w:szCs w:val="24"/>
              </w:rPr>
              <w:t>4.1.9</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.1.13</w:t>
            </w:r>
          </w:p>
        </w:tc>
        <w:tc>
          <w:tcPr>
            <w:tcW w:w="2101" w:type="pct"/>
            <w:vAlign w:val="center"/>
          </w:tcPr>
          <w:p w:rsidR="000E02C5" w:rsidRPr="00687B52" w:rsidRDefault="000E02C5" w:rsidP="008B2714">
            <w:pPr>
              <w:rPr>
                <w:rFonts w:ascii="Cambria" w:hAnsi="Cambria"/>
                <w:color w:val="000000" w:themeColor="text1"/>
                <w:sz w:val="24"/>
                <w:szCs w:val="24"/>
              </w:rPr>
            </w:pPr>
            <w:r w:rsidRPr="00687B52">
              <w:rPr>
                <w:rFonts w:ascii="Cambria" w:hAnsi="Cambria"/>
                <w:color w:val="000000" w:themeColor="text1"/>
                <w:sz w:val="24"/>
                <w:szCs w:val="24"/>
              </w:rPr>
              <w:t>每座冷库冷藏间耐火等级、层数和面积应符合《冷库设计规范》</w:t>
            </w:r>
            <w:r w:rsidRPr="00687B52">
              <w:rPr>
                <w:rFonts w:ascii="Cambria" w:hAnsi="Cambria"/>
                <w:color w:val="000000" w:themeColor="text1"/>
                <w:sz w:val="24"/>
                <w:szCs w:val="24"/>
              </w:rPr>
              <w:t>GB50072-2010</w:t>
            </w:r>
            <w:r w:rsidR="008B2714" w:rsidRPr="00687B52">
              <w:rPr>
                <w:rFonts w:ascii="Cambria" w:hAnsi="Cambria" w:hint="eastAsia"/>
                <w:color w:val="000000" w:themeColor="text1"/>
                <w:sz w:val="24"/>
                <w:szCs w:val="24"/>
              </w:rPr>
              <w:t>中表</w:t>
            </w:r>
            <w:r w:rsidR="008B2714" w:rsidRPr="00687B52">
              <w:rPr>
                <w:rFonts w:ascii="Cambria" w:hAnsi="Cambria" w:hint="eastAsia"/>
                <w:color w:val="000000" w:themeColor="text1"/>
                <w:sz w:val="24"/>
                <w:szCs w:val="24"/>
              </w:rPr>
              <w:t>4.2.2</w:t>
            </w:r>
            <w:r w:rsidRPr="00687B52">
              <w:rPr>
                <w:rFonts w:ascii="Cambria" w:hAnsi="Cambria"/>
                <w:color w:val="000000" w:themeColor="text1"/>
                <w:sz w:val="24"/>
                <w:szCs w:val="24"/>
              </w:rPr>
              <w:t>的规定。</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《冷库设计规范》</w:t>
            </w:r>
            <w:r w:rsidRPr="00687B52">
              <w:rPr>
                <w:rFonts w:ascii="Cambria" w:hAnsi="Cambria"/>
                <w:color w:val="000000" w:themeColor="text1"/>
                <w:sz w:val="24"/>
                <w:szCs w:val="24"/>
              </w:rPr>
              <w:t>GB50072-2010</w:t>
            </w:r>
            <w:r w:rsidRPr="00687B52">
              <w:rPr>
                <w:rFonts w:ascii="Cambria" w:hAnsi="Cambria"/>
                <w:color w:val="000000" w:themeColor="text1"/>
                <w:sz w:val="24"/>
                <w:szCs w:val="24"/>
              </w:rPr>
              <w:t>第</w:t>
            </w:r>
            <w:r w:rsidRPr="00687B52">
              <w:rPr>
                <w:rFonts w:ascii="Cambria" w:hAnsi="Cambria"/>
                <w:color w:val="000000" w:themeColor="text1"/>
                <w:sz w:val="24"/>
                <w:szCs w:val="24"/>
              </w:rPr>
              <w:t>4.2.2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.1.14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氨制冷机房的屋面应设置通风间层及隔热层</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《冷库设计规范》</w:t>
            </w:r>
            <w:r w:rsidRPr="00687B52">
              <w:rPr>
                <w:rFonts w:ascii="Cambria" w:hAnsi="Cambria"/>
                <w:color w:val="000000" w:themeColor="text1"/>
                <w:sz w:val="24"/>
                <w:szCs w:val="24"/>
              </w:rPr>
              <w:t>GB50072-2010</w:t>
            </w:r>
            <w:r w:rsidRPr="00687B52">
              <w:rPr>
                <w:rFonts w:ascii="Cambria" w:hAnsi="Cambria"/>
                <w:color w:val="000000" w:themeColor="text1"/>
                <w:sz w:val="24"/>
                <w:szCs w:val="24"/>
              </w:rPr>
              <w:t>第</w:t>
            </w:r>
            <w:r w:rsidRPr="00687B52">
              <w:rPr>
                <w:rFonts w:ascii="Cambria" w:hAnsi="Cambria"/>
                <w:color w:val="000000" w:themeColor="text1"/>
                <w:sz w:val="24"/>
                <w:szCs w:val="24"/>
              </w:rPr>
              <w:t>4.6.1</w:t>
            </w:r>
            <w:r w:rsidRPr="00687B52">
              <w:rPr>
                <w:rFonts w:ascii="Cambria" w:hAnsi="Cambria"/>
                <w:color w:val="000000" w:themeColor="text1"/>
                <w:sz w:val="24"/>
                <w:szCs w:val="24"/>
              </w:rPr>
              <w:t>（</w:t>
            </w:r>
            <w:r w:rsidRPr="00687B52">
              <w:rPr>
                <w:rFonts w:ascii="Cambria" w:hAnsi="Cambria"/>
                <w:color w:val="000000" w:themeColor="text1"/>
                <w:sz w:val="24"/>
                <w:szCs w:val="24"/>
              </w:rPr>
              <w:t>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.1.15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氨制冷机房和变配电所的门应采用平开门并向外开启</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《冷库设计规范》</w:t>
            </w:r>
            <w:r w:rsidRPr="00687B52">
              <w:rPr>
                <w:rFonts w:ascii="Cambria" w:hAnsi="Cambria"/>
                <w:color w:val="000000" w:themeColor="text1"/>
                <w:sz w:val="24"/>
                <w:szCs w:val="24"/>
              </w:rPr>
              <w:t>GB50072-2010</w:t>
            </w:r>
            <w:r w:rsidRPr="00687B52">
              <w:rPr>
                <w:rFonts w:ascii="Cambria" w:hAnsi="Cambria"/>
                <w:color w:val="000000" w:themeColor="text1"/>
                <w:sz w:val="24"/>
                <w:szCs w:val="24"/>
              </w:rPr>
              <w:t>第</w:t>
            </w:r>
            <w:r w:rsidRPr="00687B52">
              <w:rPr>
                <w:rFonts w:ascii="Cambria" w:hAnsi="Cambria"/>
                <w:color w:val="000000" w:themeColor="text1"/>
                <w:sz w:val="24"/>
                <w:szCs w:val="24"/>
              </w:rPr>
              <w:t>4.6.1</w:t>
            </w:r>
            <w:r w:rsidRPr="00687B52">
              <w:rPr>
                <w:rFonts w:ascii="Cambria" w:hAnsi="Cambria"/>
                <w:color w:val="000000" w:themeColor="text1"/>
                <w:sz w:val="24"/>
                <w:szCs w:val="24"/>
              </w:rPr>
              <w:t>（</w:t>
            </w:r>
            <w:r w:rsidRPr="00687B52">
              <w:rPr>
                <w:rFonts w:ascii="Cambria" w:hAnsi="Cambria"/>
                <w:color w:val="000000" w:themeColor="text1"/>
                <w:sz w:val="24"/>
                <w:szCs w:val="24"/>
              </w:rPr>
              <w:t>6</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.1.16</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在地上、半地下储氨罐或储氨罐组，应按照</w:t>
            </w:r>
            <w:r w:rsidRPr="00687B52">
              <w:rPr>
                <w:rFonts w:ascii="Cambria" w:hAnsi="Cambria"/>
                <w:color w:val="000000" w:themeColor="text1"/>
                <w:sz w:val="24"/>
                <w:szCs w:val="24"/>
              </w:rPr>
              <w:t>GB50351</w:t>
            </w:r>
            <w:r w:rsidRPr="00687B52">
              <w:rPr>
                <w:rFonts w:ascii="Cambria" w:hAnsi="Cambria"/>
                <w:color w:val="000000" w:themeColor="text1"/>
                <w:sz w:val="24"/>
                <w:szCs w:val="24"/>
              </w:rPr>
              <w:t>设置非燃烧、耐腐蚀材料的防火堤。</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《火电厂脱硝工程技术规范选择性非催化还原法》</w:t>
            </w:r>
            <w:r w:rsidRPr="00687B52">
              <w:rPr>
                <w:rFonts w:ascii="Cambria" w:hAnsi="Cambria"/>
                <w:color w:val="000000" w:themeColor="text1"/>
                <w:sz w:val="24"/>
                <w:szCs w:val="24"/>
              </w:rPr>
              <w:t>HJ563-2010</w:t>
            </w:r>
            <w:r w:rsidRPr="00687B52">
              <w:rPr>
                <w:rFonts w:ascii="Cambria" w:hAnsi="Cambria"/>
                <w:color w:val="000000" w:themeColor="text1"/>
                <w:sz w:val="24"/>
                <w:szCs w:val="24"/>
              </w:rPr>
              <w:t>第</w:t>
            </w:r>
            <w:r w:rsidRPr="00687B52">
              <w:rPr>
                <w:rFonts w:ascii="Cambria" w:hAnsi="Cambria"/>
                <w:color w:val="000000" w:themeColor="text1"/>
                <w:sz w:val="24"/>
                <w:szCs w:val="24"/>
              </w:rPr>
              <w:t>5.3.12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.1.17</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液氨储罐间的防火间距要求应与液化烃储罐相同；液氧储罐间的防火间距应按《建筑设计防火规范》（</w:t>
            </w:r>
            <w:r w:rsidRPr="00687B52">
              <w:rPr>
                <w:rFonts w:ascii="Cambria" w:hAnsi="Cambria"/>
                <w:color w:val="000000" w:themeColor="text1"/>
                <w:sz w:val="24"/>
                <w:szCs w:val="24"/>
              </w:rPr>
              <w:t>GB50016</w:t>
            </w:r>
            <w:r w:rsidRPr="00687B52">
              <w:rPr>
                <w:rFonts w:ascii="Cambria" w:hAnsi="Cambria"/>
                <w:color w:val="000000" w:themeColor="text1"/>
                <w:sz w:val="24"/>
                <w:szCs w:val="24"/>
              </w:rPr>
              <w:t>）的要求执行；</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《石油化工企业设计防火规范》</w:t>
            </w:r>
            <w:r w:rsidRPr="00687B52">
              <w:rPr>
                <w:rFonts w:ascii="Cambria" w:hAnsi="Cambria"/>
                <w:color w:val="000000" w:themeColor="text1"/>
                <w:sz w:val="24"/>
                <w:szCs w:val="24"/>
              </w:rPr>
              <w:t>GB50160-2008</w:t>
            </w:r>
            <w:r w:rsidRPr="00687B52">
              <w:rPr>
                <w:rFonts w:ascii="Cambria" w:hAnsi="Cambria"/>
                <w:color w:val="000000" w:themeColor="text1"/>
                <w:sz w:val="24"/>
                <w:szCs w:val="24"/>
              </w:rPr>
              <w:t>第</w:t>
            </w:r>
            <w:r w:rsidRPr="00687B52">
              <w:rPr>
                <w:rFonts w:ascii="Cambria" w:hAnsi="Cambria"/>
                <w:color w:val="000000" w:themeColor="text1"/>
                <w:sz w:val="24"/>
                <w:szCs w:val="24"/>
              </w:rPr>
              <w:t>6.3.3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.1.18</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液氨的灌装间宜为敞开式建筑物。</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《石油化工企业设计防火规范》</w:t>
            </w:r>
            <w:r w:rsidRPr="00687B52">
              <w:rPr>
                <w:rFonts w:ascii="Cambria" w:hAnsi="Cambria"/>
                <w:color w:val="000000" w:themeColor="text1"/>
                <w:sz w:val="24"/>
                <w:szCs w:val="24"/>
              </w:rPr>
              <w:t>GB50160-2008</w:t>
            </w:r>
            <w:r w:rsidRPr="00687B52">
              <w:rPr>
                <w:rFonts w:ascii="Cambria" w:hAnsi="Cambria"/>
                <w:color w:val="000000" w:themeColor="text1"/>
                <w:sz w:val="24"/>
                <w:szCs w:val="24"/>
              </w:rPr>
              <w:t>第</w:t>
            </w:r>
            <w:r w:rsidRPr="00687B52">
              <w:rPr>
                <w:rFonts w:ascii="Cambria" w:hAnsi="Cambria"/>
                <w:color w:val="000000" w:themeColor="text1"/>
                <w:sz w:val="24"/>
                <w:szCs w:val="24"/>
              </w:rPr>
              <w:t>6.5.3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.1.19</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涉氨厂房和仓库内的防火墙，其耐火极限不应低于</w:t>
            </w:r>
            <w:r w:rsidRPr="00687B52">
              <w:rPr>
                <w:rFonts w:ascii="Cambria" w:hAnsi="Cambria"/>
                <w:color w:val="000000" w:themeColor="text1"/>
                <w:sz w:val="24"/>
                <w:szCs w:val="24"/>
              </w:rPr>
              <w:t>4.00h</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3.2.9</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.1.20</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涉氨厂房的耐火等级不应低于二级，建筑面积不大于</w:t>
            </w:r>
            <w:r w:rsidRPr="00687B52">
              <w:rPr>
                <w:rFonts w:ascii="Cambria" w:hAnsi="Cambria"/>
                <w:color w:val="000000" w:themeColor="text1"/>
                <w:sz w:val="24"/>
                <w:szCs w:val="24"/>
              </w:rPr>
              <w:t>300m2</w:t>
            </w:r>
            <w:r w:rsidRPr="00687B52">
              <w:rPr>
                <w:rFonts w:ascii="Cambria" w:hAnsi="Cambria"/>
                <w:color w:val="000000" w:themeColor="text1"/>
                <w:sz w:val="24"/>
                <w:szCs w:val="24"/>
              </w:rPr>
              <w:t>的单层厂房可采用三级耐火等级的建筑</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3.2.3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.1.21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员工宿舍严禁设置在厂房内。员工宿舍严禁设置在仓库内。</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办公室、休息室等严禁设置在涉氨仓库内，也不应贴邻。</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3.3.5</w:t>
            </w:r>
            <w:r w:rsidRPr="00687B52">
              <w:rPr>
                <w:rFonts w:ascii="Cambria" w:hAnsi="Cambria"/>
                <w:color w:val="000000" w:themeColor="text1"/>
                <w:sz w:val="24"/>
                <w:szCs w:val="24"/>
              </w:rPr>
              <w:t>、</w:t>
            </w:r>
            <w:r w:rsidRPr="00687B52">
              <w:rPr>
                <w:rFonts w:ascii="Cambria" w:hAnsi="Cambria"/>
                <w:color w:val="000000" w:themeColor="text1"/>
                <w:sz w:val="24"/>
                <w:szCs w:val="24"/>
              </w:rPr>
              <w:t>3.3.9</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.1.22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有爆炸危险的涉氨生产部位，宜布置在单层厂房靠外墙的泄压设施或多层厂房顶层靠外墙的泄压设施附近。</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有爆炸危险的设备宜避开厂房的梁、柱等主要承重构件布置。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3.6.7</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.1.23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有爆炸危险的涉氨厂房的总控制室应独立设置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3.6.8</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.1.24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有爆炸危险的涉氨厂房的分控制室宜独立设置，当贴临外墙设置时，应采用耐火极限不低于</w:t>
            </w:r>
            <w:r w:rsidRPr="00687B52">
              <w:rPr>
                <w:rFonts w:ascii="Cambria" w:hAnsi="Cambria"/>
                <w:color w:val="000000" w:themeColor="text1"/>
                <w:sz w:val="24"/>
                <w:szCs w:val="24"/>
              </w:rPr>
              <w:t>3.00h</w:t>
            </w:r>
            <w:r w:rsidRPr="00687B52">
              <w:rPr>
                <w:rFonts w:ascii="Cambria" w:hAnsi="Cambria"/>
                <w:color w:val="000000" w:themeColor="text1"/>
                <w:sz w:val="24"/>
                <w:szCs w:val="24"/>
              </w:rPr>
              <w:t>的防火隔墙与其他部位分隔</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3.6.9</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.1.25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有爆炸危险区域内的楼梯间、室外楼梯或有爆炸危险的区域和相邻区域联通处，应设置门斗等防护措施。门斗的隔墙应为耐火极限不应低于</w:t>
            </w:r>
            <w:r w:rsidRPr="00687B52">
              <w:rPr>
                <w:rFonts w:ascii="Cambria" w:hAnsi="Cambria"/>
                <w:color w:val="000000" w:themeColor="text1"/>
                <w:sz w:val="24"/>
                <w:szCs w:val="24"/>
              </w:rPr>
              <w:t>2.00h</w:t>
            </w:r>
            <w:r w:rsidRPr="00687B52">
              <w:rPr>
                <w:rFonts w:ascii="Cambria" w:hAnsi="Cambria"/>
                <w:color w:val="000000" w:themeColor="text1"/>
                <w:sz w:val="24"/>
                <w:szCs w:val="24"/>
              </w:rPr>
              <w:t>的防火隔墙，门应采用甲级防火门并应与楼梯间的门错位设置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3.6.10</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.1.26</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厂房的安全出口应分散布置。每个防火分区或一个防火分区的每个楼层，其相邻</w:t>
            </w:r>
            <w:r w:rsidRPr="00687B52">
              <w:rPr>
                <w:rFonts w:ascii="Cambria" w:hAnsi="Cambria"/>
                <w:color w:val="000000" w:themeColor="text1"/>
                <w:sz w:val="24"/>
                <w:szCs w:val="24"/>
              </w:rPr>
              <w:t>2</w:t>
            </w:r>
            <w:r w:rsidRPr="00687B52">
              <w:rPr>
                <w:rFonts w:ascii="Cambria" w:hAnsi="Cambria"/>
                <w:color w:val="000000" w:themeColor="text1"/>
                <w:sz w:val="24"/>
                <w:szCs w:val="24"/>
              </w:rPr>
              <w:t>个安全出口最近边缘之间的水平距离不应小于</w:t>
            </w:r>
            <w:r w:rsidRPr="00687B52">
              <w:rPr>
                <w:rFonts w:ascii="Cambria" w:hAnsi="Cambria"/>
                <w:color w:val="000000" w:themeColor="text1"/>
                <w:sz w:val="24"/>
                <w:szCs w:val="24"/>
              </w:rPr>
              <w:t>5m</w:t>
            </w:r>
            <w:r w:rsidRPr="00687B52">
              <w:rPr>
                <w:rFonts w:ascii="Cambria" w:hAnsi="Cambr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3.7.1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.1.27</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消防车道的净宽度和净空高度均不应小于</w:t>
            </w:r>
            <w:r w:rsidRPr="00687B52">
              <w:rPr>
                <w:rFonts w:ascii="Cambria" w:hAnsi="Cambria"/>
                <w:color w:val="000000" w:themeColor="text1"/>
                <w:sz w:val="24"/>
                <w:szCs w:val="24"/>
              </w:rPr>
              <w:t>4m</w:t>
            </w:r>
            <w:r w:rsidRPr="00687B52">
              <w:rPr>
                <w:rFonts w:ascii="Cambria" w:hAnsi="Cambr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7.1.8</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.1.28</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爆炸危险场所必须有良好的通风设施，以防止有爆炸危险气体的积聚。生产装置尽可能采用露天、半露天布置，布置在室内应有足够的通风量；通排风设施应根据气体比重确定位置；对局部易泄漏部位应设置局部符合防爆要求的机械排风设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《爆炸危险场所安全规定》</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第十六条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09032A">
            <w:pPr>
              <w:spacing w:line="240" w:lineRule="exact"/>
              <w:jc w:val="center"/>
              <w:rPr>
                <w:rFonts w:ascii="Cambria" w:hAnsi="Cambria"/>
                <w:b/>
                <w:color w:val="000000" w:themeColor="text1"/>
                <w:sz w:val="24"/>
                <w:szCs w:val="24"/>
              </w:rPr>
            </w:pPr>
            <w:r w:rsidRPr="00687B52">
              <w:rPr>
                <w:rFonts w:ascii="Cambria" w:hAnsi="Cambria" w:hint="eastAsia"/>
                <w:b/>
                <w:color w:val="000000" w:themeColor="text1"/>
                <w:sz w:val="24"/>
                <w:szCs w:val="24"/>
              </w:rPr>
              <w:t>13</w:t>
            </w:r>
            <w:r w:rsidRPr="00687B52">
              <w:rPr>
                <w:rFonts w:ascii="Cambria" w:hAnsi="Cambria"/>
                <w:b/>
                <w:color w:val="000000" w:themeColor="text1"/>
                <w:sz w:val="24"/>
                <w:szCs w:val="24"/>
              </w:rPr>
              <w:t>.</w:t>
            </w:r>
            <w:r w:rsidR="0009032A" w:rsidRPr="00687B52">
              <w:rPr>
                <w:rFonts w:ascii="Cambria" w:hAnsi="Cambria" w:hint="eastAsia"/>
                <w:b/>
                <w:color w:val="000000" w:themeColor="text1"/>
                <w:sz w:val="24"/>
                <w:szCs w:val="24"/>
              </w:rPr>
              <w:t>2</w:t>
            </w:r>
          </w:p>
        </w:tc>
        <w:tc>
          <w:tcPr>
            <w:tcW w:w="2101" w:type="pct"/>
            <w:vAlign w:val="center"/>
          </w:tcPr>
          <w:p w:rsidR="000E02C5" w:rsidRPr="00687B52" w:rsidRDefault="000E02C5" w:rsidP="00B527D4">
            <w:pPr>
              <w:adjustRightInd w:val="0"/>
              <w:snapToGrid w:val="0"/>
              <w:spacing w:line="320" w:lineRule="exact"/>
              <w:rPr>
                <w:rFonts w:ascii="Cambria" w:hAnsi="Cambria"/>
                <w:b/>
                <w:color w:val="000000" w:themeColor="text1"/>
                <w:sz w:val="24"/>
                <w:szCs w:val="24"/>
              </w:rPr>
            </w:pPr>
            <w:r w:rsidRPr="00687B52">
              <w:rPr>
                <w:rFonts w:ascii="Cambria" w:hAnsi="Cambria"/>
                <w:b/>
                <w:color w:val="000000" w:themeColor="text1"/>
                <w:sz w:val="24"/>
                <w:szCs w:val="24"/>
              </w:rPr>
              <w:t>工艺、设备设施安全</w:t>
            </w:r>
            <w:r w:rsidRPr="00687B52">
              <w:rPr>
                <w:rFonts w:ascii="Cambria" w:hAnsi="Cambria"/>
                <w:b/>
                <w:color w:val="000000" w:themeColor="text1"/>
                <w:sz w:val="24"/>
                <w:szCs w:val="24"/>
              </w:rPr>
              <w:t>——</w:t>
            </w:r>
            <w:r w:rsidRPr="00687B52">
              <w:rPr>
                <w:rFonts w:ascii="Cambria" w:hAnsi="Cambria"/>
                <w:b/>
                <w:color w:val="000000" w:themeColor="text1"/>
                <w:sz w:val="24"/>
                <w:szCs w:val="24"/>
              </w:rPr>
              <w:t>氨制冷</w:t>
            </w:r>
          </w:p>
        </w:tc>
        <w:tc>
          <w:tcPr>
            <w:tcW w:w="1236" w:type="pct"/>
            <w:vAlign w:val="center"/>
          </w:tcPr>
          <w:p w:rsidR="000E02C5" w:rsidRPr="00687B52" w:rsidRDefault="000E02C5" w:rsidP="00B527D4">
            <w:pPr>
              <w:adjustRightInd w:val="0"/>
              <w:snapToGrid w:val="0"/>
              <w:spacing w:line="320" w:lineRule="exact"/>
              <w:rPr>
                <w:rFonts w:ascii="Cambria" w:hAnsi="Cambria"/>
                <w:b/>
                <w:color w:val="000000" w:themeColor="text1"/>
                <w:sz w:val="24"/>
                <w:szCs w:val="24"/>
              </w:rPr>
            </w:pP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.2.1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包装机、分割间、产品整理间等人员较多房间的空调系统严禁采用氨直接蒸发制冷系统</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《冷库设计规范》</w:t>
            </w:r>
            <w:r w:rsidRPr="00687B52">
              <w:rPr>
                <w:rFonts w:ascii="Cambria" w:hAnsi="Cambria"/>
                <w:color w:val="000000" w:themeColor="text1"/>
                <w:sz w:val="24"/>
                <w:szCs w:val="24"/>
              </w:rPr>
              <w:t>GB50072-2010</w:t>
            </w:r>
            <w:r w:rsidRPr="00687B52">
              <w:rPr>
                <w:rFonts w:ascii="Cambria" w:hAnsi="Cambria"/>
                <w:color w:val="000000" w:themeColor="text1"/>
                <w:sz w:val="24"/>
                <w:szCs w:val="24"/>
              </w:rPr>
              <w:t>第</w:t>
            </w:r>
            <w:r w:rsidRPr="00687B52">
              <w:rPr>
                <w:rFonts w:ascii="Cambria" w:hAnsi="Cambria"/>
                <w:color w:val="000000" w:themeColor="text1"/>
                <w:sz w:val="24"/>
                <w:szCs w:val="24"/>
              </w:rPr>
              <w:t>6.2.7</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.2.2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设于室外的冷凝器、油分离器等设备，应有防止非操作人员进入的围栏。设于室外的制冷机组、贮液器，除应设围栏外，还应有通风良好的遮阳设施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《冷库设计规范》</w:t>
            </w:r>
            <w:r w:rsidRPr="00687B52">
              <w:rPr>
                <w:rFonts w:ascii="Cambria" w:hAnsi="Cambria"/>
                <w:color w:val="000000" w:themeColor="text1"/>
                <w:sz w:val="24"/>
                <w:szCs w:val="24"/>
              </w:rPr>
              <w:t>GB50072-2010</w:t>
            </w:r>
            <w:r w:rsidRPr="00687B52">
              <w:rPr>
                <w:rFonts w:ascii="Cambria" w:hAnsi="Cambria"/>
                <w:color w:val="000000" w:themeColor="text1"/>
                <w:sz w:val="24"/>
                <w:szCs w:val="24"/>
              </w:rPr>
              <w:t>第</w:t>
            </w:r>
            <w:r w:rsidRPr="00687B52">
              <w:rPr>
                <w:rFonts w:ascii="Cambria" w:hAnsi="Cambria"/>
                <w:color w:val="000000" w:themeColor="text1"/>
                <w:sz w:val="24"/>
                <w:szCs w:val="24"/>
              </w:rPr>
              <w:t>6.4.10</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overflowPunct w:val="0"/>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.2.3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制冷管道的布置应符合下列要求：</w:t>
            </w:r>
          </w:p>
        </w:tc>
        <w:tc>
          <w:tcPr>
            <w:tcW w:w="1236" w:type="pct"/>
            <w:vMerge w:val="restar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《冷库设计规范》</w:t>
            </w:r>
            <w:r w:rsidRPr="00687B52">
              <w:rPr>
                <w:rFonts w:ascii="Cambria" w:hAnsi="Cambria"/>
                <w:color w:val="000000" w:themeColor="text1"/>
                <w:sz w:val="24"/>
                <w:szCs w:val="24"/>
              </w:rPr>
              <w:t>GB50072-2010</w:t>
            </w:r>
            <w:r w:rsidRPr="00687B52">
              <w:rPr>
                <w:rFonts w:ascii="Cambria" w:hAnsi="Cambria"/>
                <w:color w:val="000000" w:themeColor="text1"/>
                <w:sz w:val="24"/>
                <w:szCs w:val="24"/>
              </w:rPr>
              <w:t>第</w:t>
            </w:r>
            <w:r w:rsidRPr="00687B52">
              <w:rPr>
                <w:rFonts w:ascii="Cambria" w:hAnsi="Cambria"/>
                <w:color w:val="000000" w:themeColor="text1"/>
                <w:sz w:val="24"/>
                <w:szCs w:val="24"/>
              </w:rPr>
              <w:t>6.5.6</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overflowPunct w:val="0"/>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低压侧制冷管道的直线段超过</w:t>
            </w:r>
            <w:r w:rsidRPr="00687B52">
              <w:rPr>
                <w:rFonts w:ascii="Cambria" w:hAnsi="Cambria"/>
                <w:color w:val="000000" w:themeColor="text1"/>
                <w:sz w:val="24"/>
                <w:szCs w:val="24"/>
              </w:rPr>
              <w:t>100m</w:t>
            </w:r>
            <w:r w:rsidRPr="00687B52">
              <w:rPr>
                <w:rFonts w:ascii="Cambria" w:hAnsi="Cambria"/>
                <w:color w:val="000000" w:themeColor="text1"/>
                <w:sz w:val="24"/>
                <w:szCs w:val="24"/>
              </w:rPr>
              <w:t>，高压侧制冷管道的直线段超过</w:t>
            </w:r>
            <w:r w:rsidRPr="00687B52">
              <w:rPr>
                <w:rFonts w:ascii="Cambria" w:hAnsi="Cambria"/>
                <w:color w:val="000000" w:themeColor="text1"/>
                <w:sz w:val="24"/>
                <w:szCs w:val="24"/>
              </w:rPr>
              <w:t>50m</w:t>
            </w:r>
            <w:r w:rsidRPr="00687B52">
              <w:rPr>
                <w:rFonts w:ascii="Cambria" w:hAnsi="Cambria"/>
                <w:color w:val="000000" w:themeColor="text1"/>
                <w:sz w:val="24"/>
                <w:szCs w:val="24"/>
              </w:rPr>
              <w:t>，应设置一处管道补偿装置，并应在管道的适当位置，设置导向支架和滑动支、吊架。</w:t>
            </w:r>
          </w:p>
        </w:tc>
        <w:tc>
          <w:tcPr>
            <w:tcW w:w="1236" w:type="pct"/>
            <w:vMerge/>
            <w:vAlign w:val="center"/>
          </w:tcPr>
          <w:p w:rsidR="000E02C5" w:rsidRPr="00687B52" w:rsidRDefault="000E02C5" w:rsidP="00B527D4">
            <w:pPr>
              <w:rPr>
                <w:rFonts w:ascii="Cambria" w:hAnsi="Cambria"/>
                <w:color w:val="000000" w:themeColor="text1"/>
                <w:sz w:val="24"/>
                <w:szCs w:val="24"/>
              </w:rPr>
            </w:pP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overflowPunct w:val="0"/>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制冷管道穿过建筑物的墙体（除防火墙外）、楼板、屋面时，应加套管，套管与管道间的空隙应密封但制冷压缩机的排气管道与套管间的空隙不应密封。套管应超出墙面、楼板、屋面</w:t>
            </w:r>
            <w:r w:rsidRPr="00687B52">
              <w:rPr>
                <w:rFonts w:ascii="Cambria" w:hAnsi="Cambria"/>
                <w:color w:val="000000" w:themeColor="text1"/>
                <w:sz w:val="24"/>
                <w:szCs w:val="24"/>
              </w:rPr>
              <w:t>50mm</w:t>
            </w:r>
            <w:r w:rsidRPr="00687B52">
              <w:rPr>
                <w:rFonts w:ascii="Cambria" w:hAnsi="Cambria"/>
                <w:color w:val="000000" w:themeColor="text1"/>
                <w:sz w:val="24"/>
                <w:szCs w:val="24"/>
              </w:rPr>
              <w:t>。管道穿过屋面时应设防雨罩。</w:t>
            </w:r>
          </w:p>
        </w:tc>
        <w:tc>
          <w:tcPr>
            <w:tcW w:w="1236" w:type="pct"/>
            <w:vMerge/>
            <w:vAlign w:val="center"/>
          </w:tcPr>
          <w:p w:rsidR="000E02C5" w:rsidRPr="00687B52" w:rsidRDefault="000E02C5" w:rsidP="00B527D4">
            <w:pPr>
              <w:rPr>
                <w:rFonts w:ascii="Cambria" w:hAnsi="Cambria"/>
                <w:color w:val="000000" w:themeColor="text1"/>
                <w:sz w:val="24"/>
                <w:szCs w:val="24"/>
              </w:rPr>
            </w:pP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overflowPunct w:val="0"/>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.2.4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制冷管道和设备保冷的设计、计算、选材等均应按现行国家标准《设备及管道绝热技术通则》</w:t>
            </w:r>
            <w:r w:rsidRPr="00687B52">
              <w:rPr>
                <w:rFonts w:ascii="Cambria" w:hAnsi="Cambria"/>
                <w:color w:val="000000" w:themeColor="text1"/>
                <w:sz w:val="24"/>
                <w:szCs w:val="24"/>
              </w:rPr>
              <w:t>GB/T 4272</w:t>
            </w:r>
            <w:r w:rsidRPr="00687B52">
              <w:rPr>
                <w:rFonts w:ascii="Cambria" w:hAnsi="Cambria"/>
                <w:color w:val="000000" w:themeColor="text1"/>
                <w:sz w:val="24"/>
                <w:szCs w:val="24"/>
              </w:rPr>
              <w:t>及《设备及管道绝热设计导则》</w:t>
            </w:r>
            <w:r w:rsidRPr="00687B52">
              <w:rPr>
                <w:rFonts w:ascii="Cambria" w:hAnsi="Cambria"/>
                <w:color w:val="000000" w:themeColor="text1"/>
                <w:sz w:val="24"/>
                <w:szCs w:val="24"/>
              </w:rPr>
              <w:t xml:space="preserve">GB/T 8175 </w:t>
            </w:r>
            <w:r w:rsidRPr="00687B52">
              <w:rPr>
                <w:rFonts w:ascii="Cambria" w:hAnsi="Cambria"/>
                <w:color w:val="000000" w:themeColor="text1"/>
                <w:sz w:val="24"/>
                <w:szCs w:val="24"/>
              </w:rPr>
              <w:t>的有关规定执行。</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《冷库设计规范》</w:t>
            </w:r>
            <w:r w:rsidRPr="00687B52">
              <w:rPr>
                <w:rFonts w:ascii="Cambria" w:hAnsi="Cambria"/>
                <w:color w:val="000000" w:themeColor="text1"/>
                <w:sz w:val="24"/>
                <w:szCs w:val="24"/>
              </w:rPr>
              <w:t>GB50072-2010</w:t>
            </w:r>
            <w:r w:rsidRPr="00687B52">
              <w:rPr>
                <w:rFonts w:ascii="Cambria" w:hAnsi="Cambria"/>
                <w:color w:val="000000" w:themeColor="text1"/>
                <w:sz w:val="24"/>
                <w:szCs w:val="24"/>
              </w:rPr>
              <w:t>第</w:t>
            </w:r>
            <w:r w:rsidRPr="00687B52">
              <w:rPr>
                <w:rFonts w:ascii="Cambria" w:hAnsi="Cambria"/>
                <w:color w:val="000000" w:themeColor="text1"/>
                <w:sz w:val="24"/>
                <w:szCs w:val="24"/>
              </w:rPr>
              <w:t>6.6.2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overflowPunct w:val="0"/>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.2.5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制冷系统管道和设备经排污、严密性试验合格后。均应涂防锈底漆和色漆。冷间制冷光滑排管可仅刷防锈漆。</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《冷库设计规范》</w:t>
            </w:r>
            <w:r w:rsidRPr="00687B52">
              <w:rPr>
                <w:rFonts w:ascii="Cambria" w:hAnsi="Cambria"/>
                <w:color w:val="000000" w:themeColor="text1"/>
                <w:sz w:val="24"/>
                <w:szCs w:val="24"/>
              </w:rPr>
              <w:t>GB50072-2010</w:t>
            </w:r>
            <w:r w:rsidRPr="00687B52">
              <w:rPr>
                <w:rFonts w:ascii="Cambria" w:hAnsi="Cambria"/>
                <w:color w:val="000000" w:themeColor="text1"/>
                <w:sz w:val="24"/>
                <w:szCs w:val="24"/>
              </w:rPr>
              <w:t>第</w:t>
            </w:r>
            <w:r w:rsidRPr="00687B52">
              <w:rPr>
                <w:rFonts w:ascii="Cambria" w:hAnsi="Cambria"/>
                <w:color w:val="000000" w:themeColor="text1"/>
                <w:sz w:val="24"/>
                <w:szCs w:val="24"/>
              </w:rPr>
              <w:t>6.6.5</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.2.6</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氨制冷机房应设置氨气体浓度报警装置，当空气中氨气浓度达到</w:t>
            </w:r>
            <w:r w:rsidRPr="00687B52">
              <w:rPr>
                <w:rFonts w:ascii="Cambria" w:hAnsi="Cambria"/>
                <w:color w:val="000000" w:themeColor="text1"/>
                <w:sz w:val="24"/>
                <w:szCs w:val="24"/>
              </w:rPr>
              <w:t>100ppm</w:t>
            </w:r>
            <w:r w:rsidRPr="00687B52">
              <w:rPr>
                <w:rFonts w:ascii="Cambria" w:hAnsi="Cambria"/>
                <w:color w:val="000000" w:themeColor="text1"/>
                <w:sz w:val="24"/>
                <w:szCs w:val="24"/>
              </w:rPr>
              <w:t>或</w:t>
            </w:r>
            <w:r w:rsidRPr="00687B52">
              <w:rPr>
                <w:rFonts w:ascii="Cambria" w:hAnsi="Cambria"/>
                <w:color w:val="000000" w:themeColor="text1"/>
                <w:sz w:val="24"/>
                <w:szCs w:val="24"/>
              </w:rPr>
              <w:t>150ppm</w:t>
            </w:r>
            <w:r w:rsidRPr="00687B52">
              <w:rPr>
                <w:rFonts w:ascii="Cambria" w:hAnsi="Cambria"/>
                <w:color w:val="000000" w:themeColor="text1"/>
                <w:sz w:val="24"/>
                <w:szCs w:val="24"/>
              </w:rPr>
              <w:t>时，应自动发出报警信号，并应自动开启制冷机房内的事故排风机。氨气浓度传感器应安装在氨制冷机组及贮氨容器上方的机房顶板上。</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《冷库设计规范》</w:t>
            </w:r>
            <w:r w:rsidRPr="00687B52">
              <w:rPr>
                <w:rFonts w:ascii="Cambria" w:hAnsi="Cambria"/>
                <w:color w:val="000000" w:themeColor="text1"/>
                <w:sz w:val="24"/>
                <w:szCs w:val="24"/>
              </w:rPr>
              <w:t>GB50072-2010</w:t>
            </w:r>
            <w:r w:rsidRPr="00687B52">
              <w:rPr>
                <w:rFonts w:ascii="Cambria" w:hAnsi="Cambria"/>
                <w:color w:val="000000" w:themeColor="text1"/>
                <w:sz w:val="24"/>
                <w:szCs w:val="24"/>
              </w:rPr>
              <w:t>第</w:t>
            </w:r>
            <w:r w:rsidRPr="00687B52">
              <w:rPr>
                <w:rFonts w:ascii="Cambria" w:hAnsi="Cambria"/>
                <w:color w:val="000000" w:themeColor="text1"/>
                <w:sz w:val="24"/>
                <w:szCs w:val="24"/>
              </w:rPr>
              <w:t>7.2.1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.2.7</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氨制冷机房应设事故排风机，在控制室配风机控制柜上和制冷机房门墙上应安装人工启停控制按钮。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《冷库设计规范》</w:t>
            </w:r>
            <w:r w:rsidRPr="00687B52">
              <w:rPr>
                <w:rFonts w:ascii="Cambria" w:hAnsi="Cambria"/>
                <w:color w:val="000000" w:themeColor="text1"/>
                <w:sz w:val="24"/>
                <w:szCs w:val="24"/>
              </w:rPr>
              <w:t>GB50072-2010</w:t>
            </w:r>
            <w:r w:rsidRPr="00687B52">
              <w:rPr>
                <w:rFonts w:ascii="Cambria" w:hAnsi="Cambria"/>
                <w:color w:val="000000" w:themeColor="text1"/>
                <w:sz w:val="24"/>
                <w:szCs w:val="24"/>
              </w:rPr>
              <w:t>第</w:t>
            </w:r>
            <w:r w:rsidRPr="00687B52">
              <w:rPr>
                <w:rFonts w:ascii="Cambria" w:hAnsi="Cambria"/>
                <w:color w:val="000000" w:themeColor="text1"/>
                <w:sz w:val="24"/>
                <w:szCs w:val="24"/>
              </w:rPr>
              <w:t>7.2.2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.2.8</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所有制冷容器、制冷系统加液站集管，以及制冷剂液体、气体分配站集管上和不凝性气体分离器的回气管上，均应设压力表或真空压力表</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《冷库设计规范》</w:t>
            </w:r>
            <w:r w:rsidRPr="00687B52">
              <w:rPr>
                <w:rFonts w:ascii="Cambria" w:hAnsi="Cambria"/>
                <w:color w:val="000000" w:themeColor="text1"/>
                <w:sz w:val="24"/>
                <w:szCs w:val="24"/>
              </w:rPr>
              <w:t>GB50072-2010</w:t>
            </w:r>
            <w:r w:rsidRPr="00687B52">
              <w:rPr>
                <w:rFonts w:ascii="Cambria" w:hAnsi="Cambria"/>
                <w:color w:val="000000" w:themeColor="text1"/>
                <w:sz w:val="24"/>
                <w:szCs w:val="24"/>
              </w:rPr>
              <w:t>第</w:t>
            </w:r>
            <w:r w:rsidRPr="00687B52">
              <w:rPr>
                <w:rFonts w:ascii="Cambria" w:hAnsi="Cambria"/>
                <w:color w:val="000000" w:themeColor="text1"/>
                <w:sz w:val="24"/>
                <w:szCs w:val="24"/>
              </w:rPr>
              <w:t>6.4.4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.2.9</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制冷系统中采用的压力表或真空压力表均应采用制冷剂专用表。</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《冷库设计规范》</w:t>
            </w:r>
            <w:r w:rsidRPr="00687B52">
              <w:rPr>
                <w:rFonts w:ascii="Cambria" w:hAnsi="Cambria"/>
                <w:color w:val="000000" w:themeColor="text1"/>
                <w:sz w:val="24"/>
                <w:szCs w:val="24"/>
              </w:rPr>
              <w:t>GB50072-2010</w:t>
            </w:r>
            <w:r w:rsidRPr="00687B52">
              <w:rPr>
                <w:rFonts w:ascii="Cambria" w:hAnsi="Cambria"/>
                <w:color w:val="000000" w:themeColor="text1"/>
                <w:sz w:val="24"/>
                <w:szCs w:val="24"/>
              </w:rPr>
              <w:t>第</w:t>
            </w:r>
            <w:r w:rsidRPr="00687B52">
              <w:rPr>
                <w:rFonts w:ascii="Cambria" w:hAnsi="Cambria"/>
                <w:color w:val="000000" w:themeColor="text1"/>
                <w:sz w:val="24"/>
                <w:szCs w:val="24"/>
              </w:rPr>
              <w:t>6.4.5</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.2.10</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氨制冷机房应设置事故排风装置，事故排风机必须选用防爆型，排风口应位于侧墙高处或屋顶。</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《冷库设计规范》</w:t>
            </w:r>
            <w:r w:rsidRPr="00687B52">
              <w:rPr>
                <w:rFonts w:ascii="Cambria" w:hAnsi="Cambria"/>
                <w:color w:val="000000" w:themeColor="text1"/>
                <w:sz w:val="24"/>
                <w:szCs w:val="24"/>
              </w:rPr>
              <w:t>GB50072-2010</w:t>
            </w:r>
            <w:r w:rsidRPr="00687B52">
              <w:rPr>
                <w:rFonts w:ascii="Cambria" w:hAnsi="Cambria"/>
                <w:color w:val="000000" w:themeColor="text1"/>
                <w:sz w:val="24"/>
                <w:szCs w:val="24"/>
              </w:rPr>
              <w:t>第</w:t>
            </w:r>
            <w:r w:rsidRPr="00687B52">
              <w:rPr>
                <w:rFonts w:ascii="Cambria" w:hAnsi="Cambria"/>
                <w:color w:val="000000" w:themeColor="text1"/>
                <w:sz w:val="24"/>
                <w:szCs w:val="24"/>
              </w:rPr>
              <w:t>9.0.2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.2.11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氨制冷机房应安装氨气浓度检测报警装置及供水系统</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《冷库安全规程》</w:t>
            </w:r>
            <w:r w:rsidRPr="00687B52">
              <w:rPr>
                <w:rFonts w:ascii="Cambria" w:hAnsi="Cambria"/>
                <w:color w:val="000000" w:themeColor="text1"/>
                <w:sz w:val="24"/>
                <w:szCs w:val="24"/>
              </w:rPr>
              <w:t>GB28009-2011</w:t>
            </w:r>
            <w:r w:rsidRPr="00687B52">
              <w:rPr>
                <w:rFonts w:ascii="Cambria" w:hAnsi="Cambria"/>
                <w:color w:val="000000" w:themeColor="text1"/>
                <w:sz w:val="24"/>
                <w:szCs w:val="24"/>
              </w:rPr>
              <w:t>第</w:t>
            </w:r>
            <w:r w:rsidRPr="00687B52">
              <w:rPr>
                <w:rFonts w:ascii="Cambria" w:hAnsi="Cambria"/>
                <w:color w:val="000000" w:themeColor="text1"/>
                <w:sz w:val="24"/>
                <w:szCs w:val="24"/>
              </w:rPr>
              <w:t>7.4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overflowPunct w:val="0"/>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.2.12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在氨制冷机房门口外侧便于操作的位置，应设置切断制冷系统电源的紧急控制装置，并应设置警示标示。每套制冷压缩机组启动控制柜（箱）及机组控制台应设经济停机按钮。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《冷库安全规程》</w:t>
            </w:r>
            <w:r w:rsidRPr="00687B52">
              <w:rPr>
                <w:rFonts w:ascii="Cambria" w:hAnsi="Cambria"/>
                <w:color w:val="000000" w:themeColor="text1"/>
                <w:sz w:val="24"/>
                <w:szCs w:val="24"/>
              </w:rPr>
              <w:t>GB28009-2011</w:t>
            </w:r>
            <w:r w:rsidRPr="00687B52">
              <w:rPr>
                <w:rFonts w:ascii="Cambria" w:hAnsi="Cambria"/>
                <w:color w:val="000000" w:themeColor="text1"/>
                <w:sz w:val="24"/>
                <w:szCs w:val="24"/>
              </w:rPr>
              <w:t>第</w:t>
            </w:r>
            <w:r w:rsidRPr="00687B52">
              <w:rPr>
                <w:rFonts w:ascii="Cambria" w:hAnsi="Cambria"/>
                <w:color w:val="000000" w:themeColor="text1"/>
                <w:sz w:val="24"/>
                <w:szCs w:val="24"/>
              </w:rPr>
              <w:t>7.1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overflowPunct w:val="0"/>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.2.13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制冷机房应装有事故排风装置。氨制冷机房的事故排风装置应采用防爆型。当制冷系统发生事故而被切断电源时，应能保证事故排风装置的可靠供电。</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《冷库安全规程》</w:t>
            </w:r>
            <w:r w:rsidRPr="00687B52">
              <w:rPr>
                <w:rFonts w:ascii="Cambria" w:hAnsi="Cambria"/>
                <w:color w:val="000000" w:themeColor="text1"/>
                <w:sz w:val="24"/>
                <w:szCs w:val="24"/>
              </w:rPr>
              <w:t>GB28009-2011</w:t>
            </w:r>
            <w:r w:rsidRPr="00687B52">
              <w:rPr>
                <w:rFonts w:ascii="Cambria" w:hAnsi="Cambria"/>
                <w:color w:val="000000" w:themeColor="text1"/>
                <w:sz w:val="24"/>
                <w:szCs w:val="24"/>
              </w:rPr>
              <w:t>第</w:t>
            </w:r>
            <w:r w:rsidRPr="00687B52">
              <w:rPr>
                <w:rFonts w:ascii="Cambria" w:hAnsi="Cambria"/>
                <w:color w:val="000000" w:themeColor="text1"/>
                <w:sz w:val="24"/>
                <w:szCs w:val="24"/>
              </w:rPr>
              <w:t>7.2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overflowPunct w:val="0"/>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.2.14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氨制冷机房、高低压配电室应设置应急照明，照明灯具应采用防爆型，照明持续时间不应小于</w:t>
            </w:r>
            <w:r w:rsidRPr="00687B52">
              <w:rPr>
                <w:rFonts w:ascii="Cambria" w:hAnsi="Cambria"/>
                <w:color w:val="000000" w:themeColor="text1"/>
                <w:sz w:val="24"/>
                <w:szCs w:val="24"/>
              </w:rPr>
              <w:t>30min</w:t>
            </w:r>
            <w:r w:rsidRPr="00687B52">
              <w:rPr>
                <w:rFonts w:ascii="Cambria" w:hAnsi="Cambr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《冷库安全规程》</w:t>
            </w:r>
            <w:r w:rsidRPr="00687B52">
              <w:rPr>
                <w:rFonts w:ascii="Cambria" w:hAnsi="Cambria"/>
                <w:color w:val="000000" w:themeColor="text1"/>
                <w:sz w:val="24"/>
                <w:szCs w:val="24"/>
              </w:rPr>
              <w:t>GB28009-2011</w:t>
            </w:r>
            <w:r w:rsidRPr="00687B52">
              <w:rPr>
                <w:rFonts w:ascii="Cambria" w:hAnsi="Cambria"/>
                <w:color w:val="000000" w:themeColor="text1"/>
                <w:sz w:val="24"/>
                <w:szCs w:val="24"/>
              </w:rPr>
              <w:t>第</w:t>
            </w:r>
            <w:r w:rsidRPr="00687B52">
              <w:rPr>
                <w:rFonts w:ascii="Cambria" w:hAnsi="Cambria"/>
                <w:color w:val="000000" w:themeColor="text1"/>
                <w:sz w:val="24"/>
                <w:szCs w:val="24"/>
              </w:rPr>
              <w:t>7.3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.2.15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包装间、分割间、产品整理间等人员较多生产场所的空调系统严禁采用氨直接蒸发制冷系统。</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《国务院安委会关于深入开展涉氨制冷企业液氨使用专项治理的通知》第二条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.2.16</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液氨管线严禁通过有人员办公、休息和居住的建筑物。</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《国务院安委会关于深入开展涉氨制冷企业液氨使用专项治理的通知》第二条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.2.17</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氨制冷机房贮氨器等重要部位应安装氨气浓度检测报警仪器，并与事故排风机自动开启联动</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《国务院安委会关于深入开展涉氨制冷企业液氨使用专项治理的通知》第二条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.2.18</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压力容器、压力管道及其安全附件应定期检验。</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《国务院安委会关于深入开展涉氨制冷企业液氨使用专项治理的通知》第二条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.2.19</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库区及氨制冷机房和设备间（靠近贮氨器处）门外应按有关规定设置消火栓，应急通道保持畅通。</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《国务院安委会关于深入开展涉氨制冷企业液氨使用专项治理的通知》第二条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.2.20</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构成重大危险源的冷库，应登记建档、定期检测、评估、监控等。</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《国务院安委会关于深入开展涉氨制冷企业液氨使用专项治理的通知》第二条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.2.21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氨制冷机房贮氨器上方应设置水喷淋系统。</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《国务院安委会关于深入开展涉氨制冷企业液氨使用专项治理的通知》第三条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b/>
                <w:color w:val="000000" w:themeColor="text1"/>
                <w:sz w:val="24"/>
                <w:szCs w:val="24"/>
                <w:shd w:val="clear" w:color="auto" w:fill="FFFFFF"/>
              </w:rPr>
            </w:pPr>
            <w:r w:rsidRPr="00687B52">
              <w:rPr>
                <w:rFonts w:ascii="Cambria" w:hAnsi="Cambria" w:cs="Arial" w:hint="eastAsia"/>
                <w:b/>
                <w:color w:val="000000" w:themeColor="text1"/>
                <w:sz w:val="24"/>
                <w:szCs w:val="24"/>
                <w:shd w:val="clear" w:color="auto" w:fill="FFFFFF"/>
              </w:rPr>
              <w:t>13</w:t>
            </w:r>
            <w:r w:rsidRPr="00687B52">
              <w:rPr>
                <w:rFonts w:ascii="Cambria" w:hAnsi="Cambria" w:cs="Arial"/>
                <w:b/>
                <w:color w:val="000000" w:themeColor="text1"/>
                <w:sz w:val="24"/>
                <w:szCs w:val="24"/>
                <w:shd w:val="clear" w:color="auto" w:fill="FFFFFF"/>
              </w:rPr>
              <w:t>.3</w:t>
            </w:r>
          </w:p>
        </w:tc>
        <w:tc>
          <w:tcPr>
            <w:tcW w:w="2101" w:type="pct"/>
            <w:vAlign w:val="center"/>
          </w:tcPr>
          <w:p w:rsidR="000E02C5" w:rsidRPr="00687B52" w:rsidRDefault="000E02C5" w:rsidP="00B376DD">
            <w:pPr>
              <w:rPr>
                <w:b/>
                <w:bCs/>
                <w:color w:val="000000" w:themeColor="text1"/>
                <w:shd w:val="clear" w:color="auto" w:fill="FFFFFF"/>
              </w:rPr>
            </w:pPr>
            <w:r w:rsidRPr="00687B52">
              <w:rPr>
                <w:rFonts w:ascii="Cambria" w:hAnsi="Cambria"/>
                <w:b/>
                <w:color w:val="000000" w:themeColor="text1"/>
                <w:sz w:val="24"/>
                <w:szCs w:val="24"/>
              </w:rPr>
              <w:t>工艺、设备设施安全</w:t>
            </w:r>
            <w:r w:rsidRPr="00687B52">
              <w:rPr>
                <w:rFonts w:ascii="Cambria" w:hAnsi="Cambria"/>
                <w:b/>
                <w:color w:val="000000" w:themeColor="text1"/>
                <w:sz w:val="24"/>
                <w:szCs w:val="24"/>
              </w:rPr>
              <w:t>——</w:t>
            </w:r>
            <w:r w:rsidRPr="00687B52">
              <w:rPr>
                <w:rFonts w:ascii="Cambria" w:hAnsi="Cambria"/>
                <w:b/>
                <w:color w:val="000000" w:themeColor="text1"/>
                <w:sz w:val="24"/>
                <w:szCs w:val="24"/>
              </w:rPr>
              <w:t>氨脱硝</w:t>
            </w:r>
          </w:p>
        </w:tc>
        <w:tc>
          <w:tcPr>
            <w:tcW w:w="1236" w:type="pct"/>
            <w:vAlign w:val="center"/>
          </w:tcPr>
          <w:p w:rsidR="000E02C5" w:rsidRPr="00687B52" w:rsidRDefault="000E02C5" w:rsidP="00B527D4">
            <w:pPr>
              <w:adjustRightInd w:val="0"/>
              <w:snapToGrid w:val="0"/>
              <w:spacing w:line="320" w:lineRule="exact"/>
              <w:rPr>
                <w:rFonts w:ascii="Cambria" w:hAnsi="Cambria"/>
                <w:color w:val="000000" w:themeColor="text1"/>
                <w:sz w:val="24"/>
                <w:szCs w:val="24"/>
              </w:rPr>
            </w:pP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.3.1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脱硝系统应采取控制氨气泄漏的措施，厂界氨气的浓度应符合</w:t>
            </w:r>
            <w:r w:rsidRPr="00687B52">
              <w:rPr>
                <w:rFonts w:ascii="Cambria" w:hAnsi="Cambria"/>
                <w:color w:val="000000" w:themeColor="text1"/>
                <w:sz w:val="24"/>
                <w:szCs w:val="24"/>
              </w:rPr>
              <w:t>GB14554</w:t>
            </w:r>
            <w:r w:rsidRPr="00687B52">
              <w:rPr>
                <w:rFonts w:ascii="Cambria" w:hAnsi="Cambria"/>
                <w:color w:val="000000" w:themeColor="text1"/>
                <w:sz w:val="24"/>
                <w:szCs w:val="24"/>
              </w:rPr>
              <w:t>的要求</w:t>
            </w:r>
            <w:r w:rsidR="003E6F05" w:rsidRPr="00687B52">
              <w:rPr>
                <w:rFonts w:ascii="Cambria" w:hAnsi="Cambria" w:hint="eastAs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《火电厂脱硝工程技术规范选择性非催化还原法》</w:t>
            </w:r>
            <w:r w:rsidRPr="00687B52">
              <w:rPr>
                <w:rFonts w:ascii="Cambria" w:hAnsi="Cambria"/>
                <w:color w:val="000000" w:themeColor="text1"/>
                <w:sz w:val="24"/>
                <w:szCs w:val="24"/>
              </w:rPr>
              <w:t>HJ563-2010</w:t>
            </w:r>
            <w:r w:rsidRPr="00687B52">
              <w:rPr>
                <w:rFonts w:ascii="Cambria" w:hAnsi="Cambria"/>
                <w:color w:val="000000" w:themeColor="text1"/>
                <w:sz w:val="24"/>
                <w:szCs w:val="24"/>
              </w:rPr>
              <w:t>第</w:t>
            </w:r>
            <w:r w:rsidRPr="00687B52">
              <w:rPr>
                <w:rFonts w:ascii="Cambria" w:hAnsi="Cambria"/>
                <w:color w:val="000000" w:themeColor="text1"/>
                <w:sz w:val="24"/>
                <w:szCs w:val="24"/>
              </w:rPr>
              <w:t>6.7.2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b/>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.3.2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系统运行工艺控制参数记录，包括氨区各设备的压力、氨的泄漏值等</w:t>
            </w:r>
            <w:r w:rsidR="003E6F05" w:rsidRPr="00687B52">
              <w:rPr>
                <w:rFonts w:ascii="Cambria" w:hAnsi="Cambria" w:hint="eastAs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《火电厂脱硝工程技术规范选择性非催化还原法》</w:t>
            </w:r>
            <w:r w:rsidRPr="00687B52">
              <w:rPr>
                <w:rFonts w:ascii="Cambria" w:hAnsi="Cambria"/>
                <w:color w:val="000000" w:themeColor="text1"/>
                <w:sz w:val="24"/>
                <w:szCs w:val="24"/>
              </w:rPr>
              <w:t>HJ563-2010</w:t>
            </w:r>
            <w:r w:rsidRPr="00687B52">
              <w:rPr>
                <w:rFonts w:ascii="Cambria" w:hAnsi="Cambria"/>
                <w:color w:val="000000" w:themeColor="text1"/>
                <w:sz w:val="24"/>
                <w:szCs w:val="24"/>
              </w:rPr>
              <w:t>第</w:t>
            </w:r>
            <w:r w:rsidRPr="00687B52">
              <w:rPr>
                <w:rFonts w:ascii="Cambria" w:hAnsi="Cambria"/>
                <w:color w:val="000000" w:themeColor="text1"/>
                <w:sz w:val="24"/>
                <w:szCs w:val="24"/>
              </w:rPr>
              <w:t>12.2.3</w:t>
            </w:r>
            <w:r w:rsidRPr="00687B52">
              <w:rPr>
                <w:rFonts w:ascii="Cambria" w:hAnsi="Cambria"/>
                <w:color w:val="000000" w:themeColor="text1"/>
                <w:sz w:val="24"/>
                <w:szCs w:val="24"/>
              </w:rPr>
              <w:t>（</w:t>
            </w:r>
            <w:r w:rsidRPr="00687B52">
              <w:rPr>
                <w:rFonts w:ascii="Cambria" w:hAnsi="Cambria"/>
                <w:color w:val="000000" w:themeColor="text1"/>
                <w:sz w:val="24"/>
                <w:szCs w:val="24"/>
              </w:rPr>
              <w:t>c</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shd w:val="clear" w:color="auto" w:fill="FFFFFF"/>
              </w:rPr>
            </w:pPr>
            <w:r w:rsidRPr="00687B52">
              <w:rPr>
                <w:rFonts w:ascii="Cambria" w:hAnsi="Cambria" w:hint="eastAsia"/>
                <w:color w:val="000000" w:themeColor="text1"/>
                <w:sz w:val="24"/>
                <w:szCs w:val="24"/>
              </w:rPr>
              <w:t>13</w:t>
            </w:r>
            <w:r w:rsidRPr="00687B52">
              <w:rPr>
                <w:rFonts w:ascii="Cambria" w:hAnsi="Cambria" w:cs="Arial"/>
                <w:color w:val="000000" w:themeColor="text1"/>
                <w:sz w:val="24"/>
                <w:szCs w:val="24"/>
                <w:shd w:val="clear" w:color="auto" w:fill="FFFFFF"/>
              </w:rPr>
              <w:t>.3.3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液氨槽车卸料应采用万向充装管道系统。</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《火电厂脱硝工程技术规范选择性催化还原法》</w:t>
            </w:r>
            <w:r w:rsidRPr="00687B52">
              <w:rPr>
                <w:rFonts w:ascii="Cambria" w:hAnsi="Cambria"/>
                <w:color w:val="000000" w:themeColor="text1"/>
                <w:sz w:val="24"/>
                <w:szCs w:val="24"/>
              </w:rPr>
              <w:t>HJ562-2010</w:t>
            </w:r>
            <w:r w:rsidRPr="00687B52">
              <w:rPr>
                <w:rFonts w:ascii="Cambria" w:hAnsi="Cambria"/>
                <w:color w:val="000000" w:themeColor="text1"/>
                <w:sz w:val="24"/>
                <w:szCs w:val="24"/>
              </w:rPr>
              <w:t>第</w:t>
            </w:r>
            <w:r w:rsidRPr="00687B52">
              <w:rPr>
                <w:rFonts w:ascii="Cambria" w:hAnsi="Cambria"/>
                <w:color w:val="000000" w:themeColor="text1"/>
                <w:sz w:val="24"/>
                <w:szCs w:val="24"/>
              </w:rPr>
              <w:t>6.3.2.4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shd w:val="clear" w:color="auto" w:fill="FFFFFF"/>
              </w:rPr>
            </w:pPr>
            <w:r w:rsidRPr="00687B52">
              <w:rPr>
                <w:rFonts w:ascii="Cambria" w:hAnsi="Cambria" w:hint="eastAsia"/>
                <w:color w:val="000000" w:themeColor="text1"/>
                <w:sz w:val="24"/>
                <w:szCs w:val="24"/>
              </w:rPr>
              <w:t>13</w:t>
            </w:r>
            <w:r w:rsidRPr="00687B52">
              <w:rPr>
                <w:rFonts w:ascii="Cambria" w:hAnsi="Cambria" w:cs="Arial"/>
                <w:color w:val="000000" w:themeColor="text1"/>
                <w:sz w:val="24"/>
                <w:szCs w:val="24"/>
                <w:shd w:val="clear" w:color="auto" w:fill="FFFFFF"/>
              </w:rPr>
              <w:t>.3.4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氨输送用管道应符合</w:t>
            </w:r>
            <w:r w:rsidRPr="00687B52">
              <w:rPr>
                <w:rFonts w:ascii="Cambria" w:hAnsi="Cambria"/>
                <w:color w:val="000000" w:themeColor="text1"/>
                <w:sz w:val="24"/>
                <w:szCs w:val="24"/>
              </w:rPr>
              <w:t>GB/T20801</w:t>
            </w:r>
            <w:r w:rsidRPr="00687B52">
              <w:rPr>
                <w:rFonts w:ascii="Cambria" w:hAnsi="Cambria"/>
                <w:color w:val="000000" w:themeColor="text1"/>
                <w:sz w:val="24"/>
                <w:szCs w:val="24"/>
              </w:rPr>
              <w:t>的有关规定，所有可能与氨接触的管道、管件、阀门等部件均应严格禁铜。液氨管道上应设置安全阀，其设计应符合</w:t>
            </w:r>
            <w:r w:rsidRPr="00687B52">
              <w:rPr>
                <w:rFonts w:ascii="Cambria" w:hAnsi="Cambria"/>
                <w:color w:val="000000" w:themeColor="text1"/>
                <w:sz w:val="24"/>
                <w:szCs w:val="24"/>
              </w:rPr>
              <w:t>SH 3007</w:t>
            </w:r>
            <w:r w:rsidRPr="00687B52">
              <w:rPr>
                <w:rFonts w:ascii="Cambria" w:hAnsi="Cambria"/>
                <w:color w:val="000000" w:themeColor="text1"/>
                <w:sz w:val="24"/>
                <w:szCs w:val="24"/>
              </w:rPr>
              <w:t>的有关规定。</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《火电厂脱硝工程技术规范选择性催化还原法》</w:t>
            </w:r>
            <w:r w:rsidRPr="00687B52">
              <w:rPr>
                <w:rFonts w:ascii="Cambria" w:hAnsi="Cambria"/>
                <w:color w:val="000000" w:themeColor="text1"/>
                <w:sz w:val="24"/>
                <w:szCs w:val="24"/>
              </w:rPr>
              <w:t>HJ562-2010</w:t>
            </w:r>
            <w:r w:rsidRPr="00687B52">
              <w:rPr>
                <w:rFonts w:ascii="Cambria" w:hAnsi="Cambria"/>
                <w:color w:val="000000" w:themeColor="text1"/>
                <w:sz w:val="24"/>
                <w:szCs w:val="24"/>
              </w:rPr>
              <w:t>第</w:t>
            </w:r>
            <w:r w:rsidRPr="00687B52">
              <w:rPr>
                <w:rFonts w:ascii="Cambria" w:hAnsi="Cambria"/>
                <w:color w:val="000000" w:themeColor="text1"/>
                <w:sz w:val="24"/>
                <w:szCs w:val="24"/>
              </w:rPr>
              <w:t>6.3.5.1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b/>
                <w:color w:val="000000" w:themeColor="text1"/>
                <w:sz w:val="24"/>
                <w:szCs w:val="24"/>
              </w:rPr>
            </w:pPr>
            <w:r w:rsidRPr="00687B52">
              <w:rPr>
                <w:rFonts w:ascii="Cambria" w:hAnsi="Cambria" w:hint="eastAsia"/>
                <w:b/>
                <w:color w:val="000000" w:themeColor="text1"/>
                <w:sz w:val="24"/>
                <w:szCs w:val="24"/>
              </w:rPr>
              <w:t>13</w:t>
            </w:r>
            <w:r w:rsidRPr="00687B52">
              <w:rPr>
                <w:rFonts w:ascii="Cambria" w:hAnsi="Cambria"/>
                <w:b/>
                <w:color w:val="000000" w:themeColor="text1"/>
                <w:sz w:val="24"/>
                <w:szCs w:val="24"/>
              </w:rPr>
              <w:t>.4</w:t>
            </w:r>
          </w:p>
        </w:tc>
        <w:tc>
          <w:tcPr>
            <w:tcW w:w="2101" w:type="pct"/>
            <w:vAlign w:val="center"/>
          </w:tcPr>
          <w:p w:rsidR="000E02C5" w:rsidRPr="00687B52" w:rsidRDefault="000E02C5" w:rsidP="00B376DD">
            <w:pPr>
              <w:rPr>
                <w:rFonts w:ascii="Cambria" w:hAnsi="Cambria"/>
                <w:b/>
                <w:color w:val="000000" w:themeColor="text1"/>
                <w:sz w:val="24"/>
                <w:szCs w:val="24"/>
              </w:rPr>
            </w:pPr>
            <w:r w:rsidRPr="00687B52">
              <w:rPr>
                <w:rFonts w:ascii="Cambria" w:hAnsi="Cambria"/>
                <w:b/>
                <w:color w:val="000000" w:themeColor="text1"/>
                <w:sz w:val="24"/>
                <w:szCs w:val="24"/>
              </w:rPr>
              <w:t>工艺、设备设施安全</w:t>
            </w:r>
            <w:r w:rsidRPr="00687B52">
              <w:rPr>
                <w:rFonts w:ascii="Cambria" w:hAnsi="Cambria"/>
                <w:b/>
                <w:color w:val="000000" w:themeColor="text1"/>
                <w:sz w:val="24"/>
                <w:szCs w:val="24"/>
              </w:rPr>
              <w:t>——</w:t>
            </w:r>
            <w:r w:rsidRPr="00687B52">
              <w:rPr>
                <w:rFonts w:ascii="Cambria" w:hAnsi="Cambria"/>
                <w:b/>
                <w:color w:val="000000" w:themeColor="text1"/>
                <w:sz w:val="24"/>
                <w:szCs w:val="24"/>
              </w:rPr>
              <w:t>通用共性设施</w:t>
            </w:r>
          </w:p>
        </w:tc>
        <w:tc>
          <w:tcPr>
            <w:tcW w:w="1236" w:type="pct"/>
            <w:vAlign w:val="center"/>
          </w:tcPr>
          <w:p w:rsidR="000E02C5" w:rsidRPr="00687B52" w:rsidRDefault="000E02C5" w:rsidP="00B527D4">
            <w:pPr>
              <w:adjustRightInd w:val="0"/>
              <w:snapToGrid w:val="0"/>
              <w:spacing w:line="320" w:lineRule="exact"/>
              <w:rPr>
                <w:rFonts w:ascii="Cambria" w:hAnsi="Cambria"/>
                <w:b/>
                <w:color w:val="000000" w:themeColor="text1"/>
                <w:sz w:val="24"/>
                <w:szCs w:val="24"/>
              </w:rPr>
            </w:pP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.4.1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压力容器、压力管道上的压力表安装前应当进行校定，在刻度盘上应当划出指示工作压力的红线，注明下次校验日期。压力表检定后应当加铅封。压力表应按相关规定定期校验。</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《固定式压力容器安全技术监察规程》</w:t>
            </w:r>
            <w:r w:rsidRPr="00687B52">
              <w:rPr>
                <w:rFonts w:ascii="Cambria" w:hAnsi="Cambria"/>
                <w:color w:val="000000" w:themeColor="text1"/>
                <w:sz w:val="24"/>
                <w:szCs w:val="24"/>
              </w:rPr>
              <w:t>TSG21-2016</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第</w:t>
            </w:r>
            <w:r w:rsidRPr="00687B52">
              <w:rPr>
                <w:rFonts w:ascii="Cambria" w:hAnsi="Cambria"/>
                <w:color w:val="000000" w:themeColor="text1"/>
                <w:sz w:val="24"/>
                <w:szCs w:val="24"/>
              </w:rPr>
              <w:t>9.2.1.2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.4.</w:t>
            </w:r>
            <w:r w:rsidRPr="00687B52">
              <w:rPr>
                <w:rFonts w:ascii="Cambria" w:hAnsi="Cambria" w:cs="Arial"/>
                <w:color w:val="000000" w:themeColor="text1"/>
                <w:sz w:val="24"/>
                <w:szCs w:val="24"/>
              </w:rPr>
              <w:t>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液氨的储罐，应设液位计、压力表和安全阀；低温液氨储罐尚应设温度指示仪。</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《石油化工企业设计防火规范》</w:t>
            </w:r>
            <w:r w:rsidRPr="00687B52">
              <w:rPr>
                <w:rFonts w:ascii="Cambria" w:hAnsi="Cambria"/>
                <w:color w:val="000000" w:themeColor="text1"/>
                <w:sz w:val="24"/>
                <w:szCs w:val="24"/>
              </w:rPr>
              <w:t>GB50160-2008</w:t>
            </w:r>
            <w:r w:rsidRPr="00687B52">
              <w:rPr>
                <w:rFonts w:ascii="Cambria" w:hAnsi="Cambria"/>
                <w:color w:val="000000" w:themeColor="text1"/>
                <w:sz w:val="24"/>
                <w:szCs w:val="24"/>
              </w:rPr>
              <w:t>第</w:t>
            </w:r>
            <w:r w:rsidRPr="00687B52">
              <w:rPr>
                <w:rFonts w:ascii="Cambria" w:hAnsi="Cambria"/>
                <w:color w:val="000000" w:themeColor="text1"/>
                <w:sz w:val="24"/>
                <w:szCs w:val="24"/>
              </w:rPr>
              <w:t>6.3.10</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overflowPunct w:val="0"/>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13</w:t>
            </w:r>
            <w:r w:rsidRPr="00687B52">
              <w:rPr>
                <w:rFonts w:ascii="Cambria" w:hAnsi="Cambria"/>
                <w:color w:val="000000" w:themeColor="text1"/>
                <w:sz w:val="24"/>
                <w:szCs w:val="24"/>
              </w:rPr>
              <w:t>.4.3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氨的安全阀排放气应经处理后放空。</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《石油化工企业设计防火规范》</w:t>
            </w:r>
            <w:r w:rsidRPr="00687B52">
              <w:rPr>
                <w:rFonts w:ascii="Cambria" w:hAnsi="Cambria"/>
                <w:color w:val="000000" w:themeColor="text1"/>
                <w:sz w:val="24"/>
                <w:szCs w:val="24"/>
              </w:rPr>
              <w:t>GB50160-2008</w:t>
            </w:r>
            <w:r w:rsidRPr="00687B52">
              <w:rPr>
                <w:rFonts w:ascii="Cambria" w:hAnsi="Cambria"/>
                <w:color w:val="000000" w:themeColor="text1"/>
                <w:sz w:val="24"/>
                <w:szCs w:val="24"/>
              </w:rPr>
              <w:t>第</w:t>
            </w:r>
            <w:r w:rsidRPr="00687B52">
              <w:rPr>
                <w:rFonts w:ascii="Cambria" w:hAnsi="Cambria"/>
                <w:color w:val="000000" w:themeColor="text1"/>
                <w:sz w:val="24"/>
                <w:szCs w:val="24"/>
              </w:rPr>
              <w:t>5.5.10</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overflowPunct w:val="0"/>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自</w:t>
            </w:r>
            <w:r w:rsidRPr="00687B52">
              <w:rPr>
                <w:rFonts w:ascii="Cambria" w:hAnsi="Cambria"/>
                <w:color w:val="000000" w:themeColor="text1"/>
                <w:sz w:val="24"/>
                <w:szCs w:val="24"/>
              </w:rPr>
              <w:t>2017</w:t>
            </w:r>
            <w:r w:rsidRPr="00687B52">
              <w:rPr>
                <w:rFonts w:ascii="Cambria" w:hAnsi="Cambria"/>
                <w:color w:val="000000" w:themeColor="text1"/>
                <w:sz w:val="24"/>
                <w:szCs w:val="24"/>
              </w:rPr>
              <w:t>年</w:t>
            </w:r>
            <w:r w:rsidRPr="00687B52">
              <w:rPr>
                <w:rFonts w:ascii="Cambria" w:hAnsi="Cambria"/>
                <w:color w:val="000000" w:themeColor="text1"/>
                <w:sz w:val="24"/>
                <w:szCs w:val="24"/>
              </w:rPr>
              <w:t>1</w:t>
            </w:r>
            <w:r w:rsidRPr="00687B52">
              <w:rPr>
                <w:rFonts w:ascii="Cambria" w:hAnsi="Cambria"/>
                <w:color w:val="000000" w:themeColor="text1"/>
                <w:sz w:val="24"/>
                <w:szCs w:val="24"/>
              </w:rPr>
              <w:t>月</w:t>
            </w:r>
            <w:r w:rsidRPr="00687B52">
              <w:rPr>
                <w:rFonts w:ascii="Cambria" w:hAnsi="Cambria"/>
                <w:color w:val="000000" w:themeColor="text1"/>
                <w:sz w:val="24"/>
                <w:szCs w:val="24"/>
              </w:rPr>
              <w:t>1</w:t>
            </w:r>
            <w:r w:rsidRPr="00687B52">
              <w:rPr>
                <w:rFonts w:ascii="Cambria" w:hAnsi="Cambria"/>
                <w:color w:val="000000" w:themeColor="text1"/>
                <w:sz w:val="24"/>
                <w:szCs w:val="24"/>
              </w:rPr>
              <w:t>日起，凡是未实现温度、压力、液位等信息的远程不间断采集检测，未设置可燃和有毒有害气体泄漏检测报警装置的构成重大危险源的危险化学品罐区，一律停止使用；</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《危险化学品储存场所安全专项整治工作方案》</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第</w:t>
            </w:r>
            <w:r w:rsidRPr="00687B52">
              <w:rPr>
                <w:rFonts w:ascii="Cambria" w:hAnsi="Cambria"/>
                <w:color w:val="000000" w:themeColor="text1"/>
                <w:sz w:val="24"/>
                <w:szCs w:val="24"/>
              </w:rPr>
              <w:t>3</w:t>
            </w:r>
            <w:r w:rsidRPr="00687B52">
              <w:rPr>
                <w:rFonts w:ascii="Cambria" w:hAnsi="Cambria"/>
                <w:color w:val="000000" w:themeColor="text1"/>
                <w:sz w:val="24"/>
                <w:szCs w:val="24"/>
              </w:rPr>
              <w:t>条（</w:t>
            </w:r>
            <w:r w:rsidRPr="00687B52">
              <w:rPr>
                <w:rFonts w:ascii="Cambria" w:hAnsi="Cambria"/>
                <w:color w:val="000000" w:themeColor="text1"/>
                <w:sz w:val="24"/>
                <w:szCs w:val="24"/>
              </w:rPr>
              <w:t>5</w:t>
            </w:r>
            <w:r w:rsidRPr="00687B52">
              <w:rPr>
                <w:rFonts w:ascii="Cambria" w:hAnsi="Cambria"/>
                <w:color w:val="000000" w:themeColor="text1"/>
                <w:sz w:val="24"/>
                <w:szCs w:val="24"/>
              </w:rPr>
              <w:t>）</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w:t>
            </w:r>
            <w:r w:rsidRPr="00687B52">
              <w:rPr>
                <w:rFonts w:ascii="Cambria" w:hAnsi="Cambria" w:cs="Arial"/>
                <w:color w:val="000000" w:themeColor="text1"/>
                <w:sz w:val="24"/>
                <w:szCs w:val="24"/>
              </w:rPr>
              <w:t>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氨气报警器通用外观要求：</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color w:val="000000" w:themeColor="text1"/>
                <w:sz w:val="24"/>
                <w:szCs w:val="24"/>
              </w:rPr>
              <w:t>）外观良好，结构完整，具备防腐性能。仪器名称、型号、制造厂名称、出厂日期、编号等应齐全、清楚。防爆性能及等级应符合</w:t>
            </w:r>
            <w:r w:rsidRPr="00687B52">
              <w:rPr>
                <w:rFonts w:ascii="Cambria" w:hAnsi="Cambria"/>
                <w:color w:val="000000" w:themeColor="text1"/>
                <w:sz w:val="24"/>
                <w:szCs w:val="24"/>
              </w:rPr>
              <w:t>GB3836</w:t>
            </w:r>
            <w:r w:rsidRPr="00687B52">
              <w:rPr>
                <w:rFonts w:ascii="Cambria" w:hAnsi="Cambria"/>
                <w:color w:val="000000" w:themeColor="text1"/>
                <w:sz w:val="24"/>
                <w:szCs w:val="24"/>
              </w:rPr>
              <w:t>的要求。</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color w:val="000000" w:themeColor="text1"/>
                <w:sz w:val="24"/>
                <w:szCs w:val="24"/>
              </w:rPr>
              <w:t>）安装于生产现场的检测仪器应具有防尘、防水功能或措施。</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3</w:t>
            </w:r>
            <w:r w:rsidRPr="00687B52">
              <w:rPr>
                <w:rFonts w:ascii="Cambria" w:hAnsi="Cambria"/>
                <w:color w:val="000000" w:themeColor="text1"/>
                <w:sz w:val="24"/>
                <w:szCs w:val="24"/>
              </w:rPr>
              <w:t>）附件齐全，并附有制造厂的仪器说明书。</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《氨气检测报警仪技术规范》</w:t>
            </w:r>
            <w:r w:rsidRPr="00687B52">
              <w:rPr>
                <w:rFonts w:ascii="Cambria" w:hAnsi="Cambria"/>
                <w:color w:val="000000" w:themeColor="text1"/>
                <w:sz w:val="24"/>
                <w:szCs w:val="24"/>
              </w:rPr>
              <w:t>AQ/T : 3044—2013</w:t>
            </w:r>
            <w:r w:rsidRPr="00687B52">
              <w:rPr>
                <w:rFonts w:ascii="Cambria" w:hAnsi="Cambria"/>
                <w:color w:val="000000" w:themeColor="text1"/>
                <w:sz w:val="24"/>
                <w:szCs w:val="24"/>
              </w:rPr>
              <w:t>第</w:t>
            </w:r>
            <w:r w:rsidRPr="00687B52">
              <w:rPr>
                <w:rFonts w:ascii="Cambria" w:hAnsi="Cambria"/>
                <w:color w:val="000000" w:themeColor="text1"/>
                <w:sz w:val="24"/>
                <w:szCs w:val="24"/>
              </w:rPr>
              <w:t>5.1.1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.4.6</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对爆炸、火灾危险场所内可能产生静电危险的设备和管道，均应采取静电接地措施。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《石油化工企业企业设计防火规范》</w:t>
            </w:r>
            <w:r w:rsidRPr="00687B52">
              <w:rPr>
                <w:rFonts w:ascii="Cambria" w:hAnsi="Cambria"/>
                <w:color w:val="000000" w:themeColor="text1"/>
                <w:sz w:val="24"/>
                <w:szCs w:val="24"/>
              </w:rPr>
              <w:t>GB50160-2008</w:t>
            </w:r>
            <w:r w:rsidRPr="00687B52">
              <w:rPr>
                <w:rFonts w:ascii="Cambria" w:hAnsi="Cambria"/>
                <w:color w:val="000000" w:themeColor="text1"/>
                <w:sz w:val="24"/>
                <w:szCs w:val="24"/>
              </w:rPr>
              <w:t>第</w:t>
            </w:r>
            <w:r w:rsidRPr="00687B52">
              <w:rPr>
                <w:rFonts w:ascii="Cambria" w:hAnsi="Cambria"/>
                <w:color w:val="000000" w:themeColor="text1"/>
                <w:sz w:val="24"/>
                <w:szCs w:val="24"/>
              </w:rPr>
              <w:t>9.3.1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.4.7</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工作场所严禁吸烟、禁止使用手机等非防爆通讯器，控制明火、火花等火源。</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.4.8</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应设置氨气泄漏检测报警仪，并将其信号与通风系统、喷淋系统联锁。</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.4.9</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使用防爆型的通风系统和设备。</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.4.10</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液氨储罐及其管线应设置安全阀、压力表、液位计、温度计，并应装有带压力、液位、温度远传记录和报警功能的安全装置。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.4.11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液氨储罐及其管线应设置需设置紧急切断装置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.4.12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液氨储罐及其管线应设置安全阀放空管应接入碱液破坏系统</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.4.13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按《</w:t>
            </w:r>
            <w:hyperlink r:id="rId119" w:tgtFrame="_blank" w:history="1">
              <w:r w:rsidRPr="00687B52">
                <w:rPr>
                  <w:rFonts w:ascii="Cambria" w:hAnsi="Cambria"/>
                  <w:color w:val="000000" w:themeColor="text1"/>
                  <w:sz w:val="24"/>
                  <w:szCs w:val="24"/>
                </w:rPr>
                <w:t>固定式压力容器安全技术监察规程</w:t>
              </w:r>
            </w:hyperlink>
            <w:r w:rsidRPr="00687B52">
              <w:rPr>
                <w:rFonts w:ascii="Cambria" w:hAnsi="Cambria"/>
                <w:color w:val="000000" w:themeColor="text1"/>
                <w:sz w:val="24"/>
                <w:szCs w:val="24"/>
              </w:rPr>
              <w:t>》要求，定期对氨储罐及管线进行检测。</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.4.14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生产、使用氨气的车间及贮氨场所应设置氨气泄漏检测报警仪，使用防爆型的通风系统和设备。</w:t>
            </w:r>
          </w:p>
          <w:p w:rsidR="000E02C5" w:rsidRPr="00687B52" w:rsidRDefault="000E02C5" w:rsidP="00B527D4">
            <w:pPr>
              <w:rPr>
                <w:rFonts w:ascii="Cambria" w:hAnsi="Cambria"/>
                <w:color w:val="000000" w:themeColor="text1"/>
                <w:sz w:val="24"/>
                <w:szCs w:val="24"/>
              </w:rPr>
            </w:pP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.4.15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储罐等压力容器和设备应设置安全阀、压力表、液位计、温度计，并应装有带压力、液位、温度远传记录和报警功能的安全装置，设置整流装置与压力机、动力电源、管线压力、通风设施或相应的吸收装置的联锁装置。重点储罐需设置紧急切断装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.4.16</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避免与氧化剂、酸类、卤素接触。</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.4.17</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在传送过程中，钢瓶和容器必须接地和跨接，防止产生静电。</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.4.18</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严禁利用氨气管道做电焊接地线。严禁用铁器敲击管道与阀体，以免引起火花。</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.4.19</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在含氨气环境中作业应根据不同作业环境配备相应的氨气检测仪及防护装置，并落实人员管理，使氨气检测仪及防护装置处于备用状态；</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.4.20</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在含氨气环境中供气装置的空气压缩机应置于上风侧</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.4.21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在含氨气环境中进行检修和抢修作业时，应携带氨气检测仪和正压式空气呼吸器。</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宋体"/>
                <w:color w:val="000000" w:themeColor="text1"/>
                <w:kern w:val="0"/>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.4.22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氨制冷机房的控制室和操作人员值班室应与机器间隔开，并设定固定密闭观察窗</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《冷库设计规范》</w:t>
            </w:r>
            <w:r w:rsidRPr="00687B52">
              <w:rPr>
                <w:rFonts w:ascii="Cambria" w:hAnsi="Cambria"/>
                <w:color w:val="000000" w:themeColor="text1"/>
                <w:sz w:val="24"/>
                <w:szCs w:val="24"/>
              </w:rPr>
              <w:t>GB50072-2010</w:t>
            </w:r>
            <w:r w:rsidRPr="00687B52">
              <w:rPr>
                <w:rFonts w:ascii="Cambria" w:hAnsi="Cambria"/>
                <w:color w:val="000000" w:themeColor="text1"/>
                <w:sz w:val="24"/>
                <w:szCs w:val="24"/>
              </w:rPr>
              <w:t>第</w:t>
            </w:r>
            <w:r w:rsidRPr="00687B52">
              <w:rPr>
                <w:rFonts w:ascii="Cambria" w:hAnsi="Cambria"/>
                <w:color w:val="000000" w:themeColor="text1"/>
                <w:sz w:val="24"/>
                <w:szCs w:val="24"/>
              </w:rPr>
              <w:t>4.6.1</w:t>
            </w:r>
            <w:r w:rsidRPr="00687B52">
              <w:rPr>
                <w:rFonts w:ascii="Cambria" w:hAnsi="Cambria"/>
                <w:color w:val="000000" w:themeColor="text1"/>
                <w:sz w:val="24"/>
                <w:szCs w:val="24"/>
              </w:rPr>
              <w:t>（</w:t>
            </w:r>
            <w:r w:rsidRPr="00687B52">
              <w:rPr>
                <w:rFonts w:ascii="Cambria" w:hAnsi="Cambria"/>
                <w:color w:val="000000" w:themeColor="text1"/>
                <w:sz w:val="24"/>
                <w:szCs w:val="24"/>
              </w:rPr>
              <w:t>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s="宋体"/>
                <w:color w:val="000000" w:themeColor="text1"/>
                <w:kern w:val="0"/>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.4.23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储罐应设置液位监测器，应具备高低位液位报警功能。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《危险化学品重大危险源罐区现场安全监控装备设置规范》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AQ3036-2010</w:t>
            </w:r>
            <w:r w:rsidRPr="00687B52">
              <w:rPr>
                <w:rFonts w:ascii="Cambria" w:hAnsi="Cambria"/>
                <w:color w:val="000000" w:themeColor="text1"/>
                <w:sz w:val="24"/>
                <w:szCs w:val="24"/>
              </w:rPr>
              <w:t>第</w:t>
            </w:r>
            <w:r w:rsidRPr="00687B52">
              <w:rPr>
                <w:rFonts w:ascii="Cambria" w:hAnsi="Cambria"/>
                <w:color w:val="000000" w:themeColor="text1"/>
                <w:sz w:val="24"/>
                <w:szCs w:val="24"/>
              </w:rPr>
              <w:t>6.3.1</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.4.24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大型（</w:t>
            </w:r>
            <w:r w:rsidRPr="00687B52">
              <w:rPr>
                <w:rFonts w:ascii="Cambria" w:hAnsi="Cambria"/>
                <w:color w:val="000000" w:themeColor="text1"/>
                <w:sz w:val="24"/>
                <w:szCs w:val="24"/>
              </w:rPr>
              <w:t>5000 m3</w:t>
            </w:r>
            <w:r w:rsidRPr="00687B52">
              <w:rPr>
                <w:rFonts w:ascii="Cambria" w:hAnsi="Cambria"/>
                <w:color w:val="000000" w:themeColor="text1"/>
                <w:sz w:val="24"/>
                <w:szCs w:val="24"/>
              </w:rPr>
              <w:t>以上）可燃液体储罐、</w:t>
            </w:r>
            <w:r w:rsidRPr="00687B52">
              <w:rPr>
                <w:rFonts w:ascii="Cambria" w:hAnsi="Cambria"/>
                <w:color w:val="000000" w:themeColor="text1"/>
                <w:sz w:val="24"/>
                <w:szCs w:val="24"/>
              </w:rPr>
              <w:t>400 m3</w:t>
            </w:r>
            <w:r w:rsidRPr="00687B52">
              <w:rPr>
                <w:rFonts w:ascii="Cambria" w:hAnsi="Cambria"/>
                <w:color w:val="000000" w:themeColor="text1"/>
                <w:sz w:val="24"/>
                <w:szCs w:val="24"/>
              </w:rPr>
              <w:t>以上的危险化学品压力储罐应另设高高液位监测报警及联锁控制系统。</w:t>
            </w:r>
          </w:p>
          <w:p w:rsidR="000E02C5" w:rsidRPr="00687B52" w:rsidRDefault="000E02C5" w:rsidP="00B527D4">
            <w:pPr>
              <w:rPr>
                <w:rFonts w:ascii="Cambria" w:hAnsi="Cambria"/>
                <w:color w:val="000000" w:themeColor="text1"/>
                <w:sz w:val="24"/>
                <w:szCs w:val="24"/>
              </w:rPr>
            </w:pP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《危险化学品重大危险源罐区现场安全监控装备设置规范》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AQ3036-2010</w:t>
            </w:r>
            <w:r w:rsidRPr="00687B52">
              <w:rPr>
                <w:rFonts w:ascii="Cambria" w:hAnsi="Cambria"/>
                <w:color w:val="000000" w:themeColor="text1"/>
                <w:sz w:val="24"/>
                <w:szCs w:val="24"/>
              </w:rPr>
              <w:t>第</w:t>
            </w:r>
            <w:r w:rsidRPr="00687B52">
              <w:rPr>
                <w:rFonts w:ascii="Cambria" w:hAnsi="Cambria"/>
                <w:color w:val="000000" w:themeColor="text1"/>
                <w:sz w:val="24"/>
                <w:szCs w:val="24"/>
              </w:rPr>
              <w:t>6.3.7</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.4.25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液氨罐区、制冷间、氨脱硝装置区等涉氨场所应设置有毒气体监测报警仪。</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《危险化学品重大危险源罐区现场安全监控装备设置规范》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AQ3036-2010</w:t>
            </w:r>
            <w:r w:rsidRPr="00687B52">
              <w:rPr>
                <w:rFonts w:ascii="Cambria" w:hAnsi="Cambria"/>
                <w:color w:val="000000" w:themeColor="text1"/>
                <w:sz w:val="24"/>
                <w:szCs w:val="24"/>
              </w:rPr>
              <w:t>第</w:t>
            </w:r>
            <w:r w:rsidRPr="00687B52">
              <w:rPr>
                <w:rFonts w:ascii="Cambria" w:hAnsi="Cambria"/>
                <w:color w:val="000000" w:themeColor="text1"/>
                <w:sz w:val="24"/>
                <w:szCs w:val="24"/>
              </w:rPr>
              <w:t>7.1.2</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.4.26</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电缆明敷设时，应选用钢管加以保护，选用保护管应与相关仪表设备等妥善连接，电缆的连接处需安装防爆接线盒。</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《危险化学品重大危险源罐区现场安全监控装备设置规范》</w:t>
            </w:r>
            <w:r w:rsidRPr="00687B52">
              <w:rPr>
                <w:rFonts w:ascii="Cambria" w:hAnsi="Cambria"/>
                <w:color w:val="000000" w:themeColor="text1"/>
                <w:sz w:val="24"/>
                <w:szCs w:val="24"/>
              </w:rPr>
              <w:t>AQ3036-2010</w:t>
            </w:r>
            <w:r w:rsidRPr="00687B52">
              <w:rPr>
                <w:rFonts w:ascii="Cambria" w:hAnsi="Cambria"/>
                <w:color w:val="000000" w:themeColor="text1"/>
                <w:sz w:val="24"/>
                <w:szCs w:val="24"/>
              </w:rPr>
              <w:t>第</w:t>
            </w:r>
            <w:r w:rsidRPr="00687B52">
              <w:rPr>
                <w:rFonts w:ascii="Cambria" w:hAnsi="Cambria"/>
                <w:color w:val="000000" w:themeColor="text1"/>
                <w:sz w:val="24"/>
                <w:szCs w:val="24"/>
              </w:rPr>
              <w:t>11.2.1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.4.27</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爆炸性环境的电力装置设计应符合下列规定：</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color w:val="000000" w:themeColor="text1"/>
                <w:sz w:val="24"/>
                <w:szCs w:val="24"/>
              </w:rPr>
              <w:t>．爆炸性环境的电力装置设计宜将设备和线路，特别是正常运行时能发生火花的设备布置在爆炸性环境以外。当需设在爆炸性环境内时，应布置在爆炸危险性较小的地点。</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color w:val="000000" w:themeColor="text1"/>
                <w:sz w:val="24"/>
                <w:szCs w:val="24"/>
              </w:rPr>
              <w:t>．在满足工艺生产及安全的前提下，应减少防爆电器设备的数量。</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3</w:t>
            </w:r>
            <w:r w:rsidRPr="00687B52">
              <w:rPr>
                <w:rFonts w:ascii="Cambria" w:hAnsi="Cambria"/>
                <w:color w:val="000000" w:themeColor="text1"/>
                <w:sz w:val="24"/>
                <w:szCs w:val="24"/>
              </w:rPr>
              <w:t>．爆炸性环境内的电气设备和线路应符合周围环境内化学、机械、热、霉菌以及风沙等不同环境条件下对电气设备的要求。</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《爆炸危险环境电力装置设计规范》</w:t>
            </w:r>
            <w:r w:rsidRPr="00687B52">
              <w:rPr>
                <w:rFonts w:ascii="Cambria" w:hAnsi="Cambria"/>
                <w:color w:val="000000" w:themeColor="text1"/>
                <w:sz w:val="24"/>
                <w:szCs w:val="24"/>
              </w:rPr>
              <w:t>GB50058-2014</w:t>
            </w:r>
            <w:r w:rsidRPr="00687B52">
              <w:rPr>
                <w:rFonts w:ascii="Cambria" w:hAnsi="Cambria"/>
                <w:color w:val="000000" w:themeColor="text1"/>
                <w:sz w:val="24"/>
                <w:szCs w:val="24"/>
              </w:rPr>
              <w:t>第</w:t>
            </w:r>
            <w:r w:rsidRPr="00687B52">
              <w:rPr>
                <w:rFonts w:ascii="Cambria" w:hAnsi="Cambria"/>
                <w:color w:val="000000" w:themeColor="text1"/>
                <w:sz w:val="24"/>
                <w:szCs w:val="24"/>
              </w:rPr>
              <w:t>5.1.1</w:t>
            </w:r>
            <w:r w:rsidRPr="00687B52">
              <w:rPr>
                <w:rFonts w:ascii="Cambria" w:hAnsi="Cambria"/>
                <w:color w:val="000000" w:themeColor="text1"/>
                <w:sz w:val="24"/>
                <w:szCs w:val="24"/>
              </w:rPr>
              <w:t>（</w:t>
            </w:r>
            <w:r w:rsidRPr="00687B52">
              <w:rPr>
                <w:rFonts w:ascii="Cambria" w:hAnsi="Cambria"/>
                <w:color w:val="000000" w:themeColor="text1"/>
                <w:sz w:val="24"/>
                <w:szCs w:val="24"/>
              </w:rPr>
              <w:t>1</w:t>
            </w:r>
            <w:r w:rsidRPr="00687B52">
              <w:rPr>
                <w:rFonts w:ascii="Cambria" w:hAnsi="Cambria"/>
                <w:color w:val="000000" w:themeColor="text1"/>
                <w:sz w:val="24"/>
                <w:szCs w:val="24"/>
              </w:rPr>
              <w:t>）</w:t>
            </w:r>
            <w:r w:rsidRPr="00687B52">
              <w:rPr>
                <w:rFonts w:ascii="Cambria" w:hAnsi="Cambria"/>
                <w:color w:val="000000" w:themeColor="text1"/>
                <w:sz w:val="24"/>
                <w:szCs w:val="24"/>
              </w:rPr>
              <w:t>-</w:t>
            </w:r>
            <w:r w:rsidRPr="00687B52">
              <w:rPr>
                <w:rFonts w:ascii="Cambria" w:hAnsi="Cambria"/>
                <w:color w:val="000000" w:themeColor="text1"/>
                <w:sz w:val="24"/>
                <w:szCs w:val="24"/>
              </w:rPr>
              <w:t>（</w:t>
            </w:r>
            <w:r w:rsidRPr="00687B52">
              <w:rPr>
                <w:rFonts w:ascii="Cambria" w:hAnsi="Cambria"/>
                <w:color w:val="000000" w:themeColor="text1"/>
                <w:sz w:val="24"/>
                <w:szCs w:val="24"/>
              </w:rPr>
              <w:t>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.4.28</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爆炸性环境内设置的防爆电气设备应符合现行国家标准《爆炸性环境第</w:t>
            </w:r>
            <w:r w:rsidRPr="00687B52">
              <w:rPr>
                <w:rFonts w:ascii="Cambria" w:hAnsi="Cambria"/>
                <w:color w:val="000000" w:themeColor="text1"/>
                <w:sz w:val="24"/>
                <w:szCs w:val="24"/>
              </w:rPr>
              <w:t>1</w:t>
            </w:r>
            <w:r w:rsidRPr="00687B52">
              <w:rPr>
                <w:rFonts w:ascii="Cambria" w:hAnsi="Cambria"/>
                <w:color w:val="000000" w:themeColor="text1"/>
                <w:sz w:val="24"/>
                <w:szCs w:val="24"/>
              </w:rPr>
              <w:t>部分：设备通用要求》</w:t>
            </w:r>
            <w:r w:rsidRPr="00687B52">
              <w:rPr>
                <w:rFonts w:ascii="Cambria" w:hAnsi="Cambria"/>
                <w:color w:val="000000" w:themeColor="text1"/>
                <w:sz w:val="24"/>
                <w:szCs w:val="24"/>
              </w:rPr>
              <w:t>GB38361</w:t>
            </w:r>
            <w:r w:rsidRPr="00687B52">
              <w:rPr>
                <w:rFonts w:ascii="Cambria" w:hAnsi="Cambria"/>
                <w:color w:val="000000" w:themeColor="text1"/>
                <w:sz w:val="24"/>
                <w:szCs w:val="24"/>
              </w:rPr>
              <w:t>的有关规定。</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《爆炸危险环境电力装置设计规范》</w:t>
            </w:r>
            <w:r w:rsidRPr="00687B52">
              <w:rPr>
                <w:rFonts w:ascii="Cambria" w:hAnsi="Cambria"/>
                <w:color w:val="000000" w:themeColor="text1"/>
                <w:sz w:val="24"/>
                <w:szCs w:val="24"/>
              </w:rPr>
              <w:t>GB50058-2014</w:t>
            </w:r>
            <w:r w:rsidRPr="00687B52">
              <w:rPr>
                <w:rFonts w:ascii="Cambria" w:hAnsi="Cambria"/>
                <w:color w:val="000000" w:themeColor="text1"/>
                <w:sz w:val="24"/>
                <w:szCs w:val="24"/>
              </w:rPr>
              <w:t>第</w:t>
            </w:r>
            <w:r w:rsidRPr="00687B52">
              <w:rPr>
                <w:rFonts w:ascii="Cambria" w:hAnsi="Cambria"/>
                <w:color w:val="000000" w:themeColor="text1"/>
                <w:sz w:val="24"/>
                <w:szCs w:val="24"/>
              </w:rPr>
              <w:t>5.1.1</w:t>
            </w:r>
            <w:r w:rsidRPr="00687B52">
              <w:rPr>
                <w:rFonts w:ascii="Cambria" w:hAnsi="Cambria"/>
                <w:color w:val="000000" w:themeColor="text1"/>
                <w:sz w:val="24"/>
                <w:szCs w:val="24"/>
              </w:rPr>
              <w:t>（</w:t>
            </w:r>
            <w:r w:rsidRPr="00687B52">
              <w:rPr>
                <w:rFonts w:ascii="Cambria" w:hAnsi="Cambria"/>
                <w:color w:val="000000" w:themeColor="text1"/>
                <w:sz w:val="24"/>
                <w:szCs w:val="24"/>
              </w:rPr>
              <w:t>7</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color w:val="000000" w:themeColor="text1"/>
                <w:sz w:val="24"/>
                <w:szCs w:val="24"/>
              </w:rPr>
              <w:t>1</w:t>
            </w:r>
            <w:r w:rsidRPr="00687B52">
              <w:rPr>
                <w:rFonts w:ascii="Cambria" w:hAnsi="Cambria" w:hint="eastAsia"/>
                <w:color w:val="000000" w:themeColor="text1"/>
                <w:sz w:val="24"/>
                <w:szCs w:val="24"/>
              </w:rPr>
              <w:t>3</w:t>
            </w:r>
            <w:r w:rsidRPr="00687B52">
              <w:rPr>
                <w:rFonts w:ascii="Cambria" w:hAnsi="Cambria"/>
                <w:color w:val="000000" w:themeColor="text1"/>
                <w:sz w:val="24"/>
                <w:szCs w:val="24"/>
              </w:rPr>
              <w:t>.4.29</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电缆明敷设时，应选用钢管加以保护，选用保护管应与相关仪表设备等妥善连接，电缆的连接处需安装防爆接线盒。</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《危险化学品重大危险源罐区现场安全监控装备设置规范》</w:t>
            </w:r>
            <w:r w:rsidRPr="00687B52">
              <w:rPr>
                <w:rFonts w:ascii="Cambria" w:hAnsi="Cambria"/>
                <w:color w:val="000000" w:themeColor="text1"/>
                <w:sz w:val="24"/>
                <w:szCs w:val="24"/>
              </w:rPr>
              <w:t>AQ3036-2010</w:t>
            </w:r>
            <w:r w:rsidRPr="00687B52">
              <w:rPr>
                <w:rFonts w:ascii="Cambria" w:hAnsi="Cambria"/>
                <w:color w:val="000000" w:themeColor="text1"/>
                <w:sz w:val="24"/>
                <w:szCs w:val="24"/>
              </w:rPr>
              <w:t>第</w:t>
            </w:r>
            <w:r w:rsidRPr="00687B52">
              <w:rPr>
                <w:rFonts w:ascii="Cambria" w:hAnsi="Cambria"/>
                <w:color w:val="000000" w:themeColor="text1"/>
                <w:sz w:val="24"/>
                <w:szCs w:val="24"/>
              </w:rPr>
              <w:t>11.2.1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overflowPunct w:val="0"/>
              <w:spacing w:line="240" w:lineRule="exact"/>
              <w:jc w:val="center"/>
              <w:rPr>
                <w:rFonts w:ascii="Cambria" w:hAnsi="Cambria"/>
                <w:b/>
                <w:color w:val="000000" w:themeColor="text1"/>
                <w:sz w:val="24"/>
                <w:szCs w:val="24"/>
              </w:rPr>
            </w:pPr>
            <w:r w:rsidRPr="00687B52">
              <w:rPr>
                <w:rFonts w:ascii="Cambria" w:hAnsi="Cambria"/>
                <w:b/>
                <w:color w:val="000000" w:themeColor="text1"/>
                <w:sz w:val="24"/>
                <w:szCs w:val="24"/>
              </w:rPr>
              <w:t>1</w:t>
            </w:r>
            <w:r w:rsidRPr="00687B52">
              <w:rPr>
                <w:rFonts w:ascii="Cambria" w:hAnsi="Cambria" w:hint="eastAsia"/>
                <w:b/>
                <w:color w:val="000000" w:themeColor="text1"/>
                <w:sz w:val="24"/>
                <w:szCs w:val="24"/>
              </w:rPr>
              <w:t>3</w:t>
            </w:r>
            <w:r w:rsidRPr="00687B52">
              <w:rPr>
                <w:rFonts w:ascii="Cambria" w:hAnsi="Cambria"/>
                <w:b/>
                <w:color w:val="000000" w:themeColor="text1"/>
                <w:sz w:val="24"/>
                <w:szCs w:val="24"/>
              </w:rPr>
              <w:t>.5</w:t>
            </w:r>
          </w:p>
        </w:tc>
        <w:tc>
          <w:tcPr>
            <w:tcW w:w="2101" w:type="pct"/>
            <w:vAlign w:val="center"/>
          </w:tcPr>
          <w:p w:rsidR="000E02C5" w:rsidRPr="00687B52" w:rsidRDefault="000E02C5" w:rsidP="00B527D4">
            <w:pPr>
              <w:adjustRightInd w:val="0"/>
              <w:snapToGrid w:val="0"/>
              <w:spacing w:line="320" w:lineRule="exact"/>
              <w:rPr>
                <w:rFonts w:ascii="Cambria" w:hAnsi="Cambria"/>
                <w:b/>
                <w:color w:val="000000" w:themeColor="text1"/>
                <w:sz w:val="24"/>
                <w:szCs w:val="24"/>
              </w:rPr>
            </w:pPr>
            <w:r w:rsidRPr="00687B52">
              <w:rPr>
                <w:rFonts w:ascii="Cambria" w:hAnsi="Cambria"/>
                <w:b/>
                <w:color w:val="000000" w:themeColor="text1"/>
                <w:sz w:val="24"/>
                <w:szCs w:val="24"/>
              </w:rPr>
              <w:t>公用工程及辅助设施</w:t>
            </w:r>
          </w:p>
        </w:tc>
        <w:tc>
          <w:tcPr>
            <w:tcW w:w="1236" w:type="pct"/>
            <w:vAlign w:val="center"/>
          </w:tcPr>
          <w:p w:rsidR="000E02C5" w:rsidRPr="00687B52" w:rsidRDefault="000E02C5" w:rsidP="00B527D4">
            <w:pPr>
              <w:adjustRightInd w:val="0"/>
              <w:snapToGrid w:val="0"/>
              <w:spacing w:line="320" w:lineRule="exact"/>
              <w:rPr>
                <w:rFonts w:ascii="Cambria" w:hAnsi="Cambria" w:cs="Arial"/>
                <w:color w:val="000000" w:themeColor="text1"/>
                <w:sz w:val="24"/>
                <w:szCs w:val="24"/>
              </w:rPr>
            </w:pP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b/>
                <w:color w:val="000000" w:themeColor="text1"/>
                <w:sz w:val="24"/>
                <w:szCs w:val="24"/>
              </w:rPr>
            </w:pPr>
            <w:r w:rsidRPr="00687B52">
              <w:rPr>
                <w:rFonts w:ascii="Cambria" w:hAnsi="Cambria"/>
                <w:b/>
                <w:color w:val="000000" w:themeColor="text1"/>
                <w:sz w:val="24"/>
                <w:szCs w:val="24"/>
              </w:rPr>
              <w:t>1</w:t>
            </w:r>
            <w:r w:rsidRPr="00687B52">
              <w:rPr>
                <w:rFonts w:ascii="Cambria" w:hAnsi="Cambria" w:hint="eastAsia"/>
                <w:b/>
                <w:color w:val="000000" w:themeColor="text1"/>
                <w:sz w:val="24"/>
                <w:szCs w:val="24"/>
              </w:rPr>
              <w:t>3</w:t>
            </w:r>
            <w:r w:rsidRPr="00687B52">
              <w:rPr>
                <w:rFonts w:ascii="Cambria" w:hAnsi="Cambria"/>
                <w:b/>
                <w:color w:val="000000" w:themeColor="text1"/>
                <w:sz w:val="24"/>
                <w:szCs w:val="24"/>
              </w:rPr>
              <w:t>.5.</w:t>
            </w:r>
            <w:r w:rsidRPr="00687B52">
              <w:rPr>
                <w:rFonts w:ascii="Cambria" w:hAnsi="Cambria" w:hint="eastAsia"/>
                <w:b/>
                <w:color w:val="000000" w:themeColor="text1"/>
                <w:sz w:val="24"/>
                <w:szCs w:val="24"/>
              </w:rPr>
              <w:t>1</w:t>
            </w:r>
          </w:p>
        </w:tc>
        <w:tc>
          <w:tcPr>
            <w:tcW w:w="2101" w:type="pct"/>
            <w:vAlign w:val="center"/>
          </w:tcPr>
          <w:p w:rsidR="000E02C5" w:rsidRPr="00687B52" w:rsidRDefault="000E02C5" w:rsidP="00B527D4">
            <w:pPr>
              <w:adjustRightInd w:val="0"/>
              <w:snapToGrid w:val="0"/>
              <w:spacing w:line="320" w:lineRule="exact"/>
              <w:rPr>
                <w:rFonts w:ascii="Cambria" w:hAnsi="Cambria"/>
                <w:b/>
                <w:color w:val="000000" w:themeColor="text1"/>
                <w:sz w:val="24"/>
                <w:szCs w:val="24"/>
              </w:rPr>
            </w:pPr>
            <w:r w:rsidRPr="00687B52">
              <w:rPr>
                <w:rFonts w:ascii="Cambria" w:hAnsi="Cambria"/>
                <w:b/>
                <w:color w:val="000000" w:themeColor="text1"/>
                <w:sz w:val="24"/>
                <w:szCs w:val="24"/>
              </w:rPr>
              <w:t>涉氨储运</w:t>
            </w:r>
          </w:p>
        </w:tc>
        <w:tc>
          <w:tcPr>
            <w:tcW w:w="1236" w:type="pct"/>
            <w:vAlign w:val="center"/>
          </w:tcPr>
          <w:p w:rsidR="000E02C5" w:rsidRPr="00687B52" w:rsidRDefault="000E02C5" w:rsidP="00B527D4">
            <w:pPr>
              <w:adjustRightInd w:val="0"/>
              <w:snapToGrid w:val="0"/>
              <w:spacing w:line="320" w:lineRule="exact"/>
              <w:rPr>
                <w:rFonts w:ascii="Cambria" w:hAnsi="Cambria"/>
                <w:b/>
                <w:color w:val="000000" w:themeColor="text1"/>
                <w:sz w:val="24"/>
                <w:szCs w:val="24"/>
              </w:rPr>
            </w:pP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液氨储罐应设置防止阳光直射的遮阳棚，遮阳棚的结构应避免形成可积聚气体的死角。</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《火电厂脱硝工程技术规范选择性非催化还原法》</w:t>
            </w:r>
            <w:r w:rsidRPr="00687B52">
              <w:rPr>
                <w:rFonts w:ascii="Cambria" w:hAnsi="Cambria"/>
                <w:color w:val="000000" w:themeColor="text1"/>
                <w:sz w:val="24"/>
                <w:szCs w:val="24"/>
              </w:rPr>
              <w:t>HJ563-2010</w:t>
            </w:r>
            <w:r w:rsidRPr="00687B52">
              <w:rPr>
                <w:rFonts w:ascii="Cambria" w:hAnsi="Cambria"/>
                <w:color w:val="000000" w:themeColor="text1"/>
                <w:sz w:val="24"/>
                <w:szCs w:val="24"/>
              </w:rPr>
              <w:t>第</w:t>
            </w:r>
            <w:r w:rsidRPr="00687B52">
              <w:rPr>
                <w:rFonts w:ascii="Cambria" w:hAnsi="Cambria"/>
                <w:color w:val="000000" w:themeColor="text1"/>
                <w:sz w:val="24"/>
                <w:szCs w:val="24"/>
              </w:rPr>
              <w:t>5.3.11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b/>
                <w:color w:val="000000" w:themeColor="text1"/>
                <w:sz w:val="24"/>
                <w:szCs w:val="24"/>
              </w:rPr>
            </w:pPr>
            <w:r w:rsidRPr="00687B52">
              <w:rPr>
                <w:rFonts w:ascii="Cambria" w:hAnsi="Cambria"/>
                <w:color w:val="000000" w:themeColor="text1"/>
                <w:sz w:val="24"/>
                <w:szCs w:val="24"/>
              </w:rPr>
              <w:t>2</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若采用液氨作为还原剂，氨的储存和氨气制备应符合</w:t>
            </w:r>
            <w:r w:rsidRPr="00687B52">
              <w:rPr>
                <w:rFonts w:ascii="Cambria" w:hAnsi="Cambria"/>
                <w:color w:val="000000" w:themeColor="text1"/>
                <w:sz w:val="24"/>
                <w:szCs w:val="24"/>
              </w:rPr>
              <w:t>GB536</w:t>
            </w:r>
            <w:r w:rsidRPr="00687B52">
              <w:rPr>
                <w:rFonts w:ascii="Cambria" w:hAnsi="Cambria"/>
                <w:color w:val="000000" w:themeColor="text1"/>
                <w:sz w:val="24"/>
                <w:szCs w:val="24"/>
              </w:rPr>
              <w:t>、《危险化学品安全管理条例》、《危险化学品生产储存建设项目安全审查办法》和</w:t>
            </w:r>
            <w:r w:rsidRPr="00687B52">
              <w:rPr>
                <w:rFonts w:ascii="Cambria" w:hAnsi="Cambria"/>
                <w:color w:val="000000" w:themeColor="text1"/>
                <w:sz w:val="24"/>
                <w:szCs w:val="24"/>
              </w:rPr>
              <w:t>GB18218</w:t>
            </w:r>
            <w:r w:rsidRPr="00687B52">
              <w:rPr>
                <w:rFonts w:ascii="Cambria" w:hAnsi="Cambria"/>
                <w:color w:val="000000" w:themeColor="text1"/>
                <w:sz w:val="24"/>
                <w:szCs w:val="24"/>
              </w:rPr>
              <w:t>的有关规定，在易发生液氨或者氨气泄漏的区域设置必要的检测设备和水喷雾系统。</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《火电厂脱硝工程技术规范选择性非催化还原法》</w:t>
            </w:r>
            <w:r w:rsidRPr="00687B52">
              <w:rPr>
                <w:rFonts w:ascii="Cambria" w:hAnsi="Cambria"/>
                <w:color w:val="000000" w:themeColor="text1"/>
                <w:sz w:val="24"/>
                <w:szCs w:val="24"/>
              </w:rPr>
              <w:t>HJ563-2010</w:t>
            </w:r>
            <w:r w:rsidRPr="00687B52">
              <w:rPr>
                <w:rFonts w:ascii="Cambria" w:hAnsi="Cambria"/>
                <w:color w:val="000000" w:themeColor="text1"/>
                <w:sz w:val="24"/>
                <w:szCs w:val="24"/>
              </w:rPr>
              <w:t>第</w:t>
            </w:r>
            <w:r w:rsidRPr="00687B52">
              <w:rPr>
                <w:rFonts w:ascii="Cambria" w:hAnsi="Cambria"/>
                <w:color w:val="000000" w:themeColor="text1"/>
                <w:sz w:val="24"/>
                <w:szCs w:val="24"/>
              </w:rPr>
              <w:t>10.2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3</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谨防容器受损；本品适宜室外或单独存放，室内储存应置于阴凉、通风处；</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《液氨安全技术说明书》</w:t>
            </w:r>
            <w:r w:rsidRPr="00687B52">
              <w:rPr>
                <w:rFonts w:ascii="Cambria" w:hAnsi="Cambria"/>
                <w:color w:val="000000" w:themeColor="text1"/>
                <w:sz w:val="24"/>
                <w:szCs w:val="24"/>
              </w:rPr>
              <w:t>YH-MSDS-2014</w:t>
            </w:r>
            <w:r w:rsidRPr="00687B52">
              <w:rPr>
                <w:rFonts w:ascii="Cambria" w:hAnsi="Cambria"/>
                <w:color w:val="000000" w:themeColor="text1"/>
                <w:sz w:val="24"/>
                <w:szCs w:val="24"/>
              </w:rPr>
              <w:t>第七部分储存注意事项</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4</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避易燃物，与其他化学物品分开存放，切忌混储，尤其是各类枫化剂、次氯酸物、碘和酸、食用化学品；</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《液氨安全技术说明书》</w:t>
            </w:r>
            <w:r w:rsidRPr="00687B52">
              <w:rPr>
                <w:rFonts w:ascii="Cambria" w:hAnsi="Cambria"/>
                <w:color w:val="000000" w:themeColor="text1"/>
                <w:sz w:val="24"/>
                <w:szCs w:val="24"/>
              </w:rPr>
              <w:t>YH-MSDS-2014</w:t>
            </w:r>
            <w:r w:rsidRPr="00687B52">
              <w:rPr>
                <w:rFonts w:ascii="Cambria" w:hAnsi="Cambria"/>
                <w:color w:val="000000" w:themeColor="text1"/>
                <w:sz w:val="24"/>
                <w:szCs w:val="24"/>
              </w:rPr>
              <w:t>第七部分储存注意事项</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5</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远离火种、热源、库温不宜超过</w:t>
            </w:r>
            <w:r w:rsidRPr="00687B52">
              <w:rPr>
                <w:rFonts w:ascii="Cambria" w:hAnsi="Cambria"/>
                <w:color w:val="000000" w:themeColor="text1"/>
                <w:sz w:val="24"/>
                <w:szCs w:val="24"/>
              </w:rPr>
              <w:t>30</w:t>
            </w:r>
            <w:r w:rsidRPr="00687B52">
              <w:rPr>
                <w:rFonts w:ascii="Cambria" w:hAnsi="Cambria" w:hint="eastAsia"/>
                <w:color w:val="000000" w:themeColor="text1"/>
                <w:sz w:val="24"/>
                <w:szCs w:val="24"/>
              </w:rPr>
              <w:t>℃</w:t>
            </w:r>
            <w:r w:rsidRPr="00687B52">
              <w:rPr>
                <w:rFonts w:ascii="Cambria" w:hAnsi="Cambr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《液氨安全技术说明书》</w:t>
            </w:r>
            <w:r w:rsidRPr="00687B52">
              <w:rPr>
                <w:rFonts w:ascii="Cambria" w:hAnsi="Cambria"/>
                <w:color w:val="000000" w:themeColor="text1"/>
                <w:sz w:val="24"/>
                <w:szCs w:val="24"/>
              </w:rPr>
              <w:t>YH-MSDS-2014</w:t>
            </w:r>
            <w:r w:rsidRPr="00687B52">
              <w:rPr>
                <w:rFonts w:ascii="Cambria" w:hAnsi="Cambria"/>
                <w:color w:val="000000" w:themeColor="text1"/>
                <w:sz w:val="24"/>
                <w:szCs w:val="24"/>
              </w:rPr>
              <w:t>第七部分储存注意事项</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6</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采用防爆型照明、通风设施；禁止使用易产生火花的机械设备和工具；</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《液氨安全技术说明书》</w:t>
            </w:r>
            <w:r w:rsidRPr="00687B52">
              <w:rPr>
                <w:rFonts w:ascii="Cambria" w:hAnsi="Cambria"/>
                <w:color w:val="000000" w:themeColor="text1"/>
                <w:sz w:val="24"/>
                <w:szCs w:val="24"/>
              </w:rPr>
              <w:t>YH-MSDS-2014</w:t>
            </w:r>
            <w:r w:rsidRPr="00687B52">
              <w:rPr>
                <w:rFonts w:ascii="Cambria" w:hAnsi="Cambria"/>
                <w:color w:val="000000" w:themeColor="text1"/>
                <w:sz w:val="24"/>
                <w:szCs w:val="24"/>
              </w:rPr>
              <w:t>第七部分储存注意事项</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7</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储区应备有泄漏应急处理设备；</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《液氨安全技术说明书》</w:t>
            </w:r>
            <w:r w:rsidRPr="00687B52">
              <w:rPr>
                <w:rFonts w:ascii="Cambria" w:hAnsi="Cambria"/>
                <w:color w:val="000000" w:themeColor="text1"/>
                <w:sz w:val="24"/>
                <w:szCs w:val="24"/>
              </w:rPr>
              <w:t>YH-MSDS-2014</w:t>
            </w:r>
            <w:r w:rsidRPr="00687B52">
              <w:rPr>
                <w:rFonts w:ascii="Cambria" w:hAnsi="Cambria"/>
                <w:color w:val="000000" w:themeColor="text1"/>
                <w:sz w:val="24"/>
                <w:szCs w:val="24"/>
              </w:rPr>
              <w:t>第七部分储存注意事项</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8</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配备相应品种和数量的消防器材及泄漏应急处理设备；设立适当的警告标志，限制无关人员进入；</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《液氨安全技术说明书》</w:t>
            </w:r>
            <w:r w:rsidRPr="00687B52">
              <w:rPr>
                <w:rFonts w:ascii="Cambria" w:hAnsi="Cambria"/>
                <w:color w:val="000000" w:themeColor="text1"/>
                <w:sz w:val="24"/>
                <w:szCs w:val="24"/>
              </w:rPr>
              <w:t>YH-MSDS-2014</w:t>
            </w:r>
            <w:r w:rsidRPr="00687B52">
              <w:rPr>
                <w:rFonts w:ascii="Cambria" w:hAnsi="Cambria"/>
                <w:color w:val="000000" w:themeColor="text1"/>
                <w:sz w:val="24"/>
                <w:szCs w:val="24"/>
              </w:rPr>
              <w:t>第七部分储存注意事项</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9</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液氨的实瓶不应露天堆放。</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《石油化工企业设计防火规范》</w:t>
            </w:r>
            <w:r w:rsidRPr="00687B52">
              <w:rPr>
                <w:rFonts w:ascii="Cambria" w:hAnsi="Cambria"/>
                <w:color w:val="000000" w:themeColor="text1"/>
                <w:sz w:val="24"/>
                <w:szCs w:val="24"/>
              </w:rPr>
              <w:t>GB50160-2008</w:t>
            </w:r>
            <w:r w:rsidRPr="00687B52">
              <w:rPr>
                <w:rFonts w:ascii="Cambria" w:hAnsi="Cambria"/>
                <w:color w:val="000000" w:themeColor="text1"/>
                <w:sz w:val="24"/>
                <w:szCs w:val="24"/>
              </w:rPr>
              <w:t>第</w:t>
            </w:r>
            <w:r w:rsidRPr="00687B52">
              <w:rPr>
                <w:rFonts w:ascii="Cambria" w:hAnsi="Cambria"/>
                <w:color w:val="000000" w:themeColor="text1"/>
                <w:sz w:val="24"/>
                <w:szCs w:val="24"/>
              </w:rPr>
              <w:t>6.5.5</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color w:val="000000" w:themeColor="text1"/>
                <w:sz w:val="24"/>
                <w:szCs w:val="24"/>
              </w:rPr>
              <w:t>10</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采用钢瓶运输时必须戴好钢瓶上的安全帽；钢瓶一般平放，并应将瓶口朝同一方向，不可交叉，高度不得超过车辆的防护栏板，并用三角木垫卡牢，防止滚动。</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《液氨安全技术说明书》</w:t>
            </w:r>
            <w:r w:rsidRPr="00687B52">
              <w:rPr>
                <w:rFonts w:ascii="Cambria" w:hAnsi="Cambria"/>
                <w:color w:val="000000" w:themeColor="text1"/>
                <w:sz w:val="24"/>
                <w:szCs w:val="24"/>
              </w:rPr>
              <w:t>YH-MSDS-2014</w:t>
            </w:r>
            <w:r w:rsidRPr="00687B52">
              <w:rPr>
                <w:rFonts w:ascii="Cambria" w:hAnsi="Cambria"/>
                <w:color w:val="000000" w:themeColor="text1"/>
                <w:sz w:val="24"/>
                <w:szCs w:val="24"/>
              </w:rPr>
              <w:t>第十四部分运输信息</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11</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装运该物品的车辆排气管必须配备阻火装置，禁止使用易产生火花的机械设备和工具装卸</w:t>
            </w:r>
            <w:r w:rsidRPr="00687B52">
              <w:rPr>
                <w:rFonts w:ascii="Cambria" w:hAnsi="Cambria" w:hint="eastAs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《液氨安全技术说明书》</w:t>
            </w:r>
            <w:r w:rsidRPr="00687B52">
              <w:rPr>
                <w:rFonts w:ascii="Cambria" w:hAnsi="Cambria"/>
                <w:color w:val="000000" w:themeColor="text1"/>
                <w:sz w:val="24"/>
                <w:szCs w:val="24"/>
              </w:rPr>
              <w:t>YH-MSDS-2014</w:t>
            </w:r>
            <w:r w:rsidRPr="00687B52">
              <w:rPr>
                <w:rFonts w:ascii="Cambria" w:hAnsi="Cambria"/>
                <w:color w:val="000000" w:themeColor="text1"/>
                <w:sz w:val="24"/>
                <w:szCs w:val="24"/>
              </w:rPr>
              <w:t>第十四部分运输信息</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12</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严禁与氧化剂、酸类、卤类、食用化学品等混装混运</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《液氨安全技术说明书》</w:t>
            </w:r>
            <w:r w:rsidRPr="00687B52">
              <w:rPr>
                <w:rFonts w:ascii="Cambria" w:hAnsi="Cambria"/>
                <w:color w:val="000000" w:themeColor="text1"/>
                <w:sz w:val="24"/>
                <w:szCs w:val="24"/>
              </w:rPr>
              <w:t>YH-MSDS-2014</w:t>
            </w:r>
            <w:r w:rsidRPr="00687B52">
              <w:rPr>
                <w:rFonts w:ascii="Cambria" w:hAnsi="Cambria"/>
                <w:color w:val="000000" w:themeColor="text1"/>
                <w:sz w:val="24"/>
                <w:szCs w:val="24"/>
              </w:rPr>
              <w:t>第十四部分运输信息</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13</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夏季应早晚运输，防止日光暴晒；中途停留时应远离火种、热源、公路运输时要按照规定路线行驶，禁止在居民区和人口稠密区停留；铁路运输时要禁止溜放。</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《液氨安全技术说明书》</w:t>
            </w:r>
            <w:r w:rsidRPr="00687B52">
              <w:rPr>
                <w:rFonts w:ascii="Cambria" w:hAnsi="Cambria"/>
                <w:color w:val="000000" w:themeColor="text1"/>
                <w:sz w:val="24"/>
                <w:szCs w:val="24"/>
              </w:rPr>
              <w:t>YH-MSDS-2014</w:t>
            </w:r>
            <w:r w:rsidRPr="00687B52">
              <w:rPr>
                <w:rFonts w:ascii="Cambria" w:hAnsi="Cambria"/>
                <w:color w:val="000000" w:themeColor="text1"/>
                <w:sz w:val="24"/>
                <w:szCs w:val="24"/>
              </w:rPr>
              <w:t>第十四部分运输信息</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14</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贮存易燃、易爆化学品的建筑，必须安装避雷设备。</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《常用危险化学品贮存通则》</w:t>
            </w:r>
            <w:r w:rsidRPr="00687B52">
              <w:rPr>
                <w:rFonts w:ascii="Cambria" w:hAnsi="Cambria"/>
                <w:color w:val="000000" w:themeColor="text1"/>
                <w:sz w:val="24"/>
                <w:szCs w:val="24"/>
              </w:rPr>
              <w:t>GB 15603-1995</w:t>
            </w:r>
            <w:r w:rsidRPr="00687B52">
              <w:rPr>
                <w:rFonts w:ascii="Cambria" w:hAnsi="Cambria"/>
                <w:color w:val="000000" w:themeColor="text1"/>
                <w:sz w:val="24"/>
                <w:szCs w:val="24"/>
              </w:rPr>
              <w:t>第</w:t>
            </w:r>
            <w:r w:rsidRPr="00687B52">
              <w:rPr>
                <w:rFonts w:ascii="Cambria" w:hAnsi="Cambria"/>
                <w:color w:val="000000" w:themeColor="text1"/>
                <w:sz w:val="24"/>
                <w:szCs w:val="24"/>
              </w:rPr>
              <w:t>5.3.3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15</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库房应干燥、易于通风、密闭和避光，并应安装避雷装置；库房内可能散发（或泄漏）可燃气体、可燃蒸汽的场所应安装可燃气体检测报警装置。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《易燃易爆性商品储存养护技术条件》</w:t>
            </w:r>
            <w:r w:rsidRPr="00687B52">
              <w:rPr>
                <w:rFonts w:ascii="Cambria" w:hAnsi="Cambria"/>
                <w:color w:val="000000" w:themeColor="text1"/>
                <w:sz w:val="24"/>
                <w:szCs w:val="24"/>
              </w:rPr>
              <w:t>GB17914-2013</w:t>
            </w:r>
            <w:r w:rsidRPr="00687B52">
              <w:rPr>
                <w:rFonts w:ascii="Cambria" w:hAnsi="Cambria"/>
                <w:color w:val="000000" w:themeColor="text1"/>
                <w:sz w:val="24"/>
                <w:szCs w:val="24"/>
              </w:rPr>
              <w:t>第</w:t>
            </w:r>
            <w:r w:rsidRPr="00687B52">
              <w:rPr>
                <w:rFonts w:ascii="Cambria" w:hAnsi="Cambria"/>
                <w:color w:val="000000" w:themeColor="text1"/>
                <w:sz w:val="24"/>
                <w:szCs w:val="24"/>
              </w:rPr>
              <w:t>3.2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16</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液氨气瓶应放置在距工作场地至少</w:t>
            </w:r>
            <w:r w:rsidRPr="00687B52">
              <w:rPr>
                <w:rFonts w:ascii="Cambria" w:hAnsi="Cambria"/>
                <w:color w:val="000000" w:themeColor="text1"/>
                <w:sz w:val="24"/>
                <w:szCs w:val="24"/>
              </w:rPr>
              <w:t>5m</w:t>
            </w:r>
            <w:r w:rsidRPr="00687B52">
              <w:rPr>
                <w:rFonts w:ascii="Cambria" w:hAnsi="Cambria"/>
                <w:color w:val="000000" w:themeColor="text1"/>
                <w:sz w:val="24"/>
                <w:szCs w:val="24"/>
              </w:rPr>
              <w:t>以外的地方，并且通风良好。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17</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注意防雷、防静电，厂</w:t>
            </w:r>
            <w:r w:rsidRPr="00687B52">
              <w:rPr>
                <w:rFonts w:ascii="Cambria" w:hAnsi="Cambria"/>
                <w:color w:val="000000" w:themeColor="text1"/>
                <w:sz w:val="24"/>
                <w:szCs w:val="24"/>
              </w:rPr>
              <w:t>(</w:t>
            </w:r>
            <w:r w:rsidRPr="00687B52">
              <w:rPr>
                <w:rFonts w:ascii="Cambria" w:hAnsi="Cambria"/>
                <w:color w:val="000000" w:themeColor="text1"/>
                <w:sz w:val="24"/>
                <w:szCs w:val="24"/>
              </w:rPr>
              <w:t>车间</w:t>
            </w:r>
            <w:r w:rsidRPr="00687B52">
              <w:rPr>
                <w:rFonts w:ascii="Cambria" w:hAnsi="Cambria"/>
                <w:color w:val="000000" w:themeColor="text1"/>
                <w:sz w:val="24"/>
                <w:szCs w:val="24"/>
              </w:rPr>
              <w:t>)</w:t>
            </w:r>
            <w:r w:rsidRPr="00687B52">
              <w:rPr>
                <w:rFonts w:ascii="Cambria" w:hAnsi="Cambria"/>
                <w:color w:val="000000" w:themeColor="text1"/>
                <w:sz w:val="24"/>
                <w:szCs w:val="24"/>
              </w:rPr>
              <w:t>内的氨气储罐应按《建筑物防雷设计规范》（</w:t>
            </w:r>
            <w:r w:rsidRPr="00687B52">
              <w:rPr>
                <w:rFonts w:ascii="Cambria" w:hAnsi="Cambria"/>
                <w:color w:val="000000" w:themeColor="text1"/>
                <w:sz w:val="24"/>
                <w:szCs w:val="24"/>
              </w:rPr>
              <w:t>GB 50057</w:t>
            </w:r>
            <w:r w:rsidRPr="00687B52">
              <w:rPr>
                <w:rFonts w:ascii="Cambria" w:hAnsi="Cambria"/>
                <w:color w:val="000000" w:themeColor="text1"/>
                <w:sz w:val="24"/>
                <w:szCs w:val="24"/>
              </w:rPr>
              <w:t>）的规定设置防雷、防静电设施。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18</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运输氨罐车辆应有危险货物运输标志、安装具有行驶记录功能的卫星定位装置。未经公安机关批准，运输车辆不得进入危险化学品运输车辆限制通行的区域。</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19</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槽车运输时要用专用槽车。槽车安装的阻火器（火星熄灭器）必须完好。槽车和运输卡车要有导静电拖线；槽车上要备有</w:t>
            </w:r>
            <w:r w:rsidRPr="00687B52">
              <w:rPr>
                <w:rFonts w:ascii="Cambria" w:hAnsi="Cambria"/>
                <w:color w:val="000000" w:themeColor="text1"/>
                <w:sz w:val="24"/>
                <w:szCs w:val="24"/>
              </w:rPr>
              <w:t>2</w:t>
            </w:r>
            <w:r w:rsidRPr="00687B52">
              <w:rPr>
                <w:rFonts w:ascii="Cambria" w:hAnsi="Cambria"/>
                <w:color w:val="000000" w:themeColor="text1"/>
                <w:sz w:val="24"/>
                <w:szCs w:val="24"/>
              </w:rPr>
              <w:t>只以上干粉或二氧化碳灭火器和防爆工具；防止阳光直射。</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20</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车辆运输钢瓶时</w:t>
            </w:r>
            <w:r w:rsidRPr="00687B52">
              <w:rPr>
                <w:rFonts w:ascii="Cambria" w:hAnsi="Cambria"/>
                <w:color w:val="000000" w:themeColor="text1"/>
                <w:sz w:val="24"/>
                <w:szCs w:val="24"/>
              </w:rPr>
              <w:t>,</w:t>
            </w:r>
            <w:r w:rsidRPr="00687B52">
              <w:rPr>
                <w:rFonts w:ascii="Cambria" w:hAnsi="Cambria"/>
                <w:color w:val="000000" w:themeColor="text1"/>
                <w:sz w:val="24"/>
                <w:szCs w:val="24"/>
              </w:rPr>
              <w:t>瓶口一律朝向车辆行驶方向的右方，堆放高度不得超过车辆的防护栏板，并用三角木垫卡牢，防止滚动。不准同车混装有抵触性质的物品和让无关人员搭车。运输途中远离火种，不准在有明火地点或人多地段停车，停车时要有人看管。发生泄漏或火灾时要把车开到安全地方进行灭火或堵漏。</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21</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输送氨的管道不应靠近热源敷设；管道采用地上敷设时，应在人员活动较多和易遭车辆、外来物撞击的地段，采取保护措施并设置明显的警示标志；氨管道架空敷设时，管道应敷设在非燃烧体的支架或栈桥上。在已敷设的氨管道下面，不得修建与氨管道无关的建筑物和堆放易燃物品；氨管道外壁颜色、标志应执行《工业管道的基本识别色、识别符号和安全标识》（</w:t>
            </w:r>
            <w:r w:rsidRPr="00687B52">
              <w:rPr>
                <w:rFonts w:ascii="Cambria" w:hAnsi="Cambria"/>
                <w:color w:val="000000" w:themeColor="text1"/>
                <w:sz w:val="24"/>
                <w:szCs w:val="24"/>
              </w:rPr>
              <w:t>GB 7231</w:t>
            </w:r>
            <w:r w:rsidRPr="00687B52">
              <w:rPr>
                <w:rFonts w:ascii="Cambria" w:hAnsi="Cambria"/>
                <w:color w:val="000000" w:themeColor="text1"/>
                <w:sz w:val="24"/>
                <w:szCs w:val="24"/>
              </w:rPr>
              <w:t>）的规定。</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22</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搬运时轻装轻卸，防止钢瓶及附件破损。禁止使用电磁起重机和用链绳捆扎、或将瓶阀作为吊运着力点。配备相应品种和数量的消防器材及泄漏应急处理设备。</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b/>
                <w:color w:val="000000" w:themeColor="text1"/>
                <w:sz w:val="24"/>
                <w:szCs w:val="24"/>
              </w:rPr>
            </w:pPr>
            <w:r w:rsidRPr="00687B52">
              <w:rPr>
                <w:rFonts w:ascii="Cambria" w:hAnsi="Cambria"/>
                <w:b/>
                <w:color w:val="000000" w:themeColor="text1"/>
                <w:sz w:val="24"/>
                <w:szCs w:val="24"/>
              </w:rPr>
              <w:t>1</w:t>
            </w:r>
            <w:r w:rsidRPr="00687B52">
              <w:rPr>
                <w:rFonts w:ascii="Cambria" w:hAnsi="Cambria" w:hint="eastAsia"/>
                <w:b/>
                <w:color w:val="000000" w:themeColor="text1"/>
                <w:sz w:val="24"/>
                <w:szCs w:val="24"/>
              </w:rPr>
              <w:t>3</w:t>
            </w:r>
            <w:r w:rsidRPr="00687B52">
              <w:rPr>
                <w:rFonts w:ascii="Cambria" w:hAnsi="Cambria"/>
                <w:b/>
                <w:color w:val="000000" w:themeColor="text1"/>
                <w:sz w:val="24"/>
                <w:szCs w:val="24"/>
              </w:rPr>
              <w:t>.5.2</w:t>
            </w:r>
          </w:p>
        </w:tc>
        <w:tc>
          <w:tcPr>
            <w:tcW w:w="2101" w:type="pct"/>
            <w:vAlign w:val="center"/>
          </w:tcPr>
          <w:p w:rsidR="000E02C5" w:rsidRPr="00687B52" w:rsidRDefault="000E02C5" w:rsidP="00B527D4">
            <w:pPr>
              <w:adjustRightInd w:val="0"/>
              <w:snapToGrid w:val="0"/>
              <w:spacing w:line="320" w:lineRule="exact"/>
              <w:rPr>
                <w:rFonts w:ascii="Cambria" w:hAnsi="Cambria"/>
                <w:b/>
                <w:color w:val="000000" w:themeColor="text1"/>
                <w:sz w:val="24"/>
                <w:szCs w:val="24"/>
              </w:rPr>
            </w:pPr>
            <w:r w:rsidRPr="00687B52">
              <w:rPr>
                <w:rFonts w:ascii="Cambria" w:hAnsi="Cambria"/>
                <w:b/>
                <w:color w:val="000000" w:themeColor="text1"/>
                <w:sz w:val="24"/>
                <w:szCs w:val="24"/>
              </w:rPr>
              <w:t>消防系统与应急设施</w:t>
            </w:r>
          </w:p>
        </w:tc>
        <w:tc>
          <w:tcPr>
            <w:tcW w:w="1236" w:type="pct"/>
            <w:vAlign w:val="center"/>
          </w:tcPr>
          <w:p w:rsidR="000E02C5" w:rsidRPr="00687B52" w:rsidRDefault="000E02C5" w:rsidP="00B527D4">
            <w:pPr>
              <w:adjustRightInd w:val="0"/>
              <w:snapToGrid w:val="0"/>
              <w:spacing w:line="320" w:lineRule="exact"/>
              <w:rPr>
                <w:rFonts w:ascii="Cambria" w:hAnsi="Cambria"/>
                <w:color w:val="000000" w:themeColor="text1"/>
                <w:sz w:val="24"/>
                <w:szCs w:val="24"/>
              </w:rPr>
            </w:pP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s="Arial"/>
                <w:color w:val="000000" w:themeColor="text1"/>
                <w:sz w:val="24"/>
                <w:szCs w:val="24"/>
              </w:rPr>
              <w:t>1</w:t>
            </w:r>
            <w:r w:rsidRPr="00687B52">
              <w:rPr>
                <w:rFonts w:ascii="Cambria" w:hAnsi="Cambria" w:cs="Arial"/>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冷库应按现行国家标准《建筑设计防火规范》</w:t>
            </w:r>
            <w:r w:rsidRPr="00687B52">
              <w:rPr>
                <w:rFonts w:ascii="Cambria" w:hAnsi="Cambria"/>
                <w:color w:val="000000" w:themeColor="text1"/>
                <w:sz w:val="24"/>
                <w:szCs w:val="24"/>
              </w:rPr>
              <w:t>GB50016</w:t>
            </w:r>
            <w:r w:rsidRPr="00687B52">
              <w:rPr>
                <w:rFonts w:ascii="Cambria" w:hAnsi="Cambria"/>
                <w:color w:val="000000" w:themeColor="text1"/>
                <w:sz w:val="24"/>
                <w:szCs w:val="24"/>
              </w:rPr>
              <w:t>及《建筑灭火器配置设计规范》</w:t>
            </w:r>
            <w:r w:rsidRPr="00687B52">
              <w:rPr>
                <w:rFonts w:ascii="Cambria" w:hAnsi="Cambria"/>
                <w:color w:val="000000" w:themeColor="text1"/>
                <w:sz w:val="24"/>
                <w:szCs w:val="24"/>
              </w:rPr>
              <w:t>GB50140</w:t>
            </w:r>
            <w:r w:rsidRPr="00687B52">
              <w:rPr>
                <w:rFonts w:ascii="Cambria" w:hAnsi="Cambria"/>
                <w:color w:val="000000" w:themeColor="text1"/>
                <w:sz w:val="24"/>
                <w:szCs w:val="24"/>
              </w:rPr>
              <w:t>设置消防给水和灭火设施。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《冷库设计规范》</w:t>
            </w:r>
            <w:r w:rsidRPr="00687B52">
              <w:rPr>
                <w:rFonts w:ascii="Cambria" w:hAnsi="Cambria"/>
                <w:color w:val="000000" w:themeColor="text1"/>
                <w:sz w:val="24"/>
                <w:szCs w:val="24"/>
              </w:rPr>
              <w:t>GB50072-2010</w:t>
            </w:r>
            <w:r w:rsidRPr="00687B52">
              <w:rPr>
                <w:rFonts w:ascii="Cambria" w:hAnsi="Cambria"/>
                <w:color w:val="000000" w:themeColor="text1"/>
                <w:sz w:val="24"/>
                <w:szCs w:val="24"/>
              </w:rPr>
              <w:t>第</w:t>
            </w:r>
            <w:r w:rsidRPr="00687B52">
              <w:rPr>
                <w:rFonts w:ascii="Cambria" w:hAnsi="Cambria"/>
                <w:color w:val="000000" w:themeColor="text1"/>
                <w:sz w:val="24"/>
                <w:szCs w:val="24"/>
              </w:rPr>
              <w:t>8.3.1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s="Arial"/>
                <w:color w:val="000000" w:themeColor="text1"/>
                <w:sz w:val="24"/>
                <w:szCs w:val="24"/>
              </w:rPr>
              <w:t>2</w:t>
            </w:r>
            <w:r w:rsidRPr="00687B52">
              <w:rPr>
                <w:rFonts w:ascii="Cambria" w:hAnsi="Cambria" w:cs="Arial"/>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冷库内的消火栓应设置在穿堂或楼梯间内，当环境温度低于</w:t>
            </w:r>
            <w:r w:rsidRPr="00687B52">
              <w:rPr>
                <w:rFonts w:ascii="Cambria" w:hAnsi="Cambria"/>
                <w:color w:val="000000" w:themeColor="text1"/>
                <w:sz w:val="24"/>
                <w:szCs w:val="24"/>
              </w:rPr>
              <w:t>0</w:t>
            </w:r>
            <w:r w:rsidRPr="00687B52">
              <w:rPr>
                <w:rFonts w:ascii="Cambria" w:hAnsi="Cambria" w:hint="eastAsia"/>
                <w:color w:val="000000" w:themeColor="text1"/>
                <w:sz w:val="24"/>
                <w:szCs w:val="24"/>
              </w:rPr>
              <w:t>℃</w:t>
            </w:r>
            <w:r w:rsidRPr="00687B52">
              <w:rPr>
                <w:rFonts w:ascii="Cambria" w:hAnsi="Cambria"/>
                <w:color w:val="000000" w:themeColor="text1"/>
                <w:sz w:val="24"/>
                <w:szCs w:val="24"/>
              </w:rPr>
              <w:t>时，室内消火栓系统可采用干式系统，但应在首层入口处设置快速接口和止回阀，管道最高处应设置自动排气阀</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《冷库设计规范》</w:t>
            </w:r>
            <w:r w:rsidRPr="00687B52">
              <w:rPr>
                <w:rFonts w:ascii="Cambria" w:hAnsi="Cambria"/>
                <w:color w:val="000000" w:themeColor="text1"/>
                <w:sz w:val="24"/>
                <w:szCs w:val="24"/>
              </w:rPr>
              <w:t>GB50072-2010</w:t>
            </w:r>
            <w:r w:rsidRPr="00687B52">
              <w:rPr>
                <w:rFonts w:ascii="Cambria" w:hAnsi="Cambria"/>
                <w:color w:val="000000" w:themeColor="text1"/>
                <w:sz w:val="24"/>
                <w:szCs w:val="24"/>
              </w:rPr>
              <w:t>第</w:t>
            </w:r>
            <w:r w:rsidRPr="00687B52">
              <w:rPr>
                <w:rFonts w:ascii="Cambria" w:hAnsi="Cambria"/>
                <w:color w:val="000000" w:themeColor="text1"/>
                <w:sz w:val="24"/>
                <w:szCs w:val="24"/>
              </w:rPr>
              <w:t>8.3.22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cs="Arial"/>
                <w:color w:val="000000" w:themeColor="text1"/>
                <w:sz w:val="24"/>
                <w:szCs w:val="24"/>
              </w:rPr>
              <w:t>3</w:t>
            </w:r>
            <w:r w:rsidRPr="00687B52">
              <w:rPr>
                <w:rFonts w:ascii="Cambria" w:hAnsi="Cambria" w:cs="Arial"/>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库存及氨压缩机房和设备间（靠近贮氨器处）门外应设室外消火栓并配置开花水枪</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《冷库设计规范》</w:t>
            </w:r>
            <w:r w:rsidRPr="00687B52">
              <w:rPr>
                <w:rFonts w:ascii="Cambria" w:hAnsi="Cambria"/>
                <w:color w:val="000000" w:themeColor="text1"/>
                <w:sz w:val="24"/>
                <w:szCs w:val="24"/>
              </w:rPr>
              <w:t>GB50072-2010</w:t>
            </w:r>
            <w:r w:rsidRPr="00687B52">
              <w:rPr>
                <w:rFonts w:ascii="Cambria" w:hAnsi="Cambria"/>
                <w:color w:val="000000" w:themeColor="text1"/>
                <w:sz w:val="24"/>
                <w:szCs w:val="24"/>
              </w:rPr>
              <w:t>第</w:t>
            </w:r>
            <w:r w:rsidRPr="00687B52">
              <w:rPr>
                <w:rFonts w:ascii="Cambria" w:hAnsi="Cambria"/>
                <w:color w:val="000000" w:themeColor="text1"/>
                <w:sz w:val="24"/>
                <w:szCs w:val="24"/>
              </w:rPr>
              <w:t>8.3.3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cs="Arial"/>
                <w:color w:val="000000" w:themeColor="text1"/>
                <w:sz w:val="24"/>
                <w:szCs w:val="24"/>
              </w:rPr>
              <w:t>4</w:t>
            </w:r>
            <w:r w:rsidRPr="00687B52">
              <w:rPr>
                <w:rFonts w:ascii="Cambria" w:hAnsi="Cambria" w:cs="Arial"/>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大型冷库氨压缩机房贮氨器处稀释漏氨排水及紧急泄氨器应单独排出，并在排入库区排水管网前应设有隔断措施，并配备事故水池，提升水泵。事故水池内稀释漏氨排水及紧急泄氨器应经处理达标后排入市政排水管网或沟渠。</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《冷库设计规范》</w:t>
            </w:r>
            <w:r w:rsidRPr="00687B52">
              <w:rPr>
                <w:rFonts w:ascii="Cambria" w:hAnsi="Cambria"/>
                <w:color w:val="000000" w:themeColor="text1"/>
                <w:sz w:val="24"/>
                <w:szCs w:val="24"/>
              </w:rPr>
              <w:t>GB50072-2010</w:t>
            </w:r>
            <w:r w:rsidRPr="00687B52">
              <w:rPr>
                <w:rFonts w:ascii="Cambria" w:hAnsi="Cambria"/>
                <w:color w:val="000000" w:themeColor="text1"/>
                <w:sz w:val="24"/>
                <w:szCs w:val="24"/>
              </w:rPr>
              <w:t>第</w:t>
            </w:r>
            <w:r w:rsidRPr="00687B52">
              <w:rPr>
                <w:rFonts w:ascii="Cambria" w:hAnsi="Cambria"/>
                <w:color w:val="000000" w:themeColor="text1"/>
                <w:sz w:val="24"/>
                <w:szCs w:val="24"/>
              </w:rPr>
              <w:t>8.3.4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cs="Arial"/>
                <w:color w:val="000000" w:themeColor="text1"/>
                <w:sz w:val="24"/>
                <w:szCs w:val="24"/>
              </w:rPr>
              <w:t>5</w:t>
            </w:r>
            <w:r w:rsidRPr="00687B52">
              <w:rPr>
                <w:rFonts w:ascii="Cambria" w:hAnsi="Cambria" w:cs="Arial"/>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氨制冷机房内应配置防护用具和抢救药品，并放置于易获取的位置。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《冷库安全规程》</w:t>
            </w:r>
            <w:r w:rsidRPr="00687B52">
              <w:rPr>
                <w:rFonts w:ascii="Cambria" w:hAnsi="Cambria"/>
                <w:color w:val="000000" w:themeColor="text1"/>
                <w:sz w:val="24"/>
                <w:szCs w:val="24"/>
              </w:rPr>
              <w:t>GB28009-2011</w:t>
            </w:r>
            <w:r w:rsidRPr="00687B52">
              <w:rPr>
                <w:rFonts w:ascii="Cambria" w:hAnsi="Cambria"/>
                <w:color w:val="000000" w:themeColor="text1"/>
                <w:sz w:val="24"/>
                <w:szCs w:val="24"/>
              </w:rPr>
              <w:t>第</w:t>
            </w:r>
            <w:r w:rsidRPr="00687B52">
              <w:rPr>
                <w:rFonts w:ascii="Cambria" w:hAnsi="Cambria"/>
                <w:color w:val="000000" w:themeColor="text1"/>
                <w:sz w:val="24"/>
                <w:szCs w:val="24"/>
              </w:rPr>
              <w:t>6.5</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cs="Arial"/>
                <w:color w:val="000000" w:themeColor="text1"/>
                <w:sz w:val="24"/>
                <w:szCs w:val="24"/>
              </w:rPr>
              <w:t>6</w:t>
            </w:r>
            <w:r w:rsidRPr="00687B52">
              <w:rPr>
                <w:rFonts w:ascii="Cambria" w:hAnsi="Cambria" w:cs="Arial"/>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突发事故应急措施：若采用氨作为还原剂，液氨储存与供应区域设置完善的消防系统、洗眼器及防毒面罩等。氨站还应设防雨、防晒及喷淋措施，喷淋措施要考虑工程所在地冬季气温因素。</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《火电厂脱硝工程技术规范选择性非催化还原法》</w:t>
            </w:r>
            <w:r w:rsidRPr="00687B52">
              <w:rPr>
                <w:rFonts w:ascii="Cambria" w:hAnsi="Cambria"/>
                <w:color w:val="000000" w:themeColor="text1"/>
                <w:sz w:val="24"/>
                <w:szCs w:val="24"/>
              </w:rPr>
              <w:t>HJ563-2010</w:t>
            </w:r>
            <w:r w:rsidRPr="00687B52">
              <w:rPr>
                <w:rFonts w:ascii="Cambria" w:hAnsi="Cambria"/>
                <w:color w:val="000000" w:themeColor="text1"/>
                <w:sz w:val="24"/>
                <w:szCs w:val="24"/>
              </w:rPr>
              <w:t>第</w:t>
            </w:r>
            <w:r w:rsidRPr="00687B52">
              <w:rPr>
                <w:rFonts w:ascii="Cambria" w:hAnsi="Cambria"/>
                <w:color w:val="000000" w:themeColor="text1"/>
                <w:sz w:val="24"/>
                <w:szCs w:val="24"/>
              </w:rPr>
              <w:t>6.8</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cs="Arial"/>
                <w:color w:val="000000" w:themeColor="text1"/>
                <w:sz w:val="24"/>
                <w:szCs w:val="24"/>
              </w:rPr>
              <w:t>7</w:t>
            </w:r>
            <w:r w:rsidRPr="00687B52">
              <w:rPr>
                <w:rFonts w:ascii="Cambria" w:hAnsi="Cambria" w:cs="Arial"/>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若采用液氨作为还原剂，应根据《危险化学品安全管理条例》的规定建立本单位事故应急救援预案，配备应急救援人员和必要应急救援器材、设备，并定期组织演练。</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《火电厂脱硝工程技术规范选择性非催化还原法》</w:t>
            </w:r>
            <w:r w:rsidRPr="00687B52">
              <w:rPr>
                <w:rFonts w:ascii="Cambria" w:hAnsi="Cambria"/>
                <w:color w:val="000000" w:themeColor="text1"/>
                <w:sz w:val="24"/>
                <w:szCs w:val="24"/>
              </w:rPr>
              <w:t>HJ563-2010</w:t>
            </w:r>
            <w:r w:rsidRPr="00687B52">
              <w:rPr>
                <w:rFonts w:ascii="Cambria" w:hAnsi="Cambria"/>
                <w:color w:val="000000" w:themeColor="text1"/>
                <w:sz w:val="24"/>
                <w:szCs w:val="24"/>
              </w:rPr>
              <w:t>第</w:t>
            </w:r>
            <w:r w:rsidRPr="00687B52">
              <w:rPr>
                <w:rFonts w:ascii="Cambria" w:hAnsi="Cambria"/>
                <w:color w:val="000000" w:themeColor="text1"/>
                <w:sz w:val="24"/>
                <w:szCs w:val="24"/>
              </w:rPr>
              <w:t>12.1.7</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cs="Arial"/>
                <w:color w:val="000000" w:themeColor="text1"/>
                <w:sz w:val="24"/>
                <w:szCs w:val="24"/>
              </w:rPr>
              <w:t>8</w:t>
            </w:r>
            <w:r w:rsidRPr="00687B52">
              <w:rPr>
                <w:rFonts w:ascii="Cambria" w:hAnsi="Cambria" w:cs="Arial"/>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涉氨场所工作人员应至少配备两套正压式空气呼吸器、长管式防毒面具、重型防护服等防护器具。戴化学安全防护眼镜，穿防静电工作服，戴橡胶手套。工作场所浓度超标时，操作人员应该佩戴过滤式防毒面具。可能接触液体时，应防止冻伤。</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9032A" w:rsidP="00B527D4">
            <w:pPr>
              <w:spacing w:line="240" w:lineRule="exact"/>
              <w:jc w:val="center"/>
              <w:rPr>
                <w:rFonts w:ascii="Cambria" w:hAnsi="Cambria"/>
                <w:b/>
                <w:color w:val="000000" w:themeColor="text1"/>
                <w:sz w:val="24"/>
                <w:szCs w:val="24"/>
              </w:rPr>
            </w:pPr>
            <w:r w:rsidRPr="00687B52">
              <w:rPr>
                <w:rFonts w:ascii="Cambria" w:hAnsi="Cambria" w:hint="eastAsia"/>
                <w:b/>
                <w:color w:val="000000" w:themeColor="text1"/>
                <w:sz w:val="24"/>
                <w:szCs w:val="24"/>
              </w:rPr>
              <w:t>14</w:t>
            </w:r>
          </w:p>
        </w:tc>
        <w:tc>
          <w:tcPr>
            <w:tcW w:w="2101" w:type="pct"/>
            <w:vAlign w:val="center"/>
          </w:tcPr>
          <w:p w:rsidR="000E02C5" w:rsidRPr="00687B52" w:rsidRDefault="000E02C5" w:rsidP="00B527D4">
            <w:pPr>
              <w:adjustRightInd w:val="0"/>
              <w:snapToGrid w:val="0"/>
              <w:spacing w:line="320" w:lineRule="exact"/>
              <w:rPr>
                <w:rFonts w:ascii="Cambria" w:hAnsi="Cambria"/>
                <w:b/>
                <w:color w:val="000000" w:themeColor="text1"/>
                <w:sz w:val="24"/>
                <w:szCs w:val="24"/>
              </w:rPr>
            </w:pPr>
            <w:r w:rsidRPr="00687B52">
              <w:rPr>
                <w:rFonts w:ascii="Cambria" w:hAnsi="Cambria"/>
                <w:b/>
                <w:color w:val="000000" w:themeColor="text1"/>
                <w:sz w:val="24"/>
                <w:szCs w:val="24"/>
              </w:rPr>
              <w:t>涉氯企业</w:t>
            </w:r>
            <w:r w:rsidR="007E7CC4" w:rsidRPr="00687B52">
              <w:rPr>
                <w:rFonts w:ascii="Cambria" w:hAnsi="Cambria" w:hint="eastAsia"/>
                <w:b/>
                <w:color w:val="000000" w:themeColor="text1"/>
                <w:sz w:val="24"/>
                <w:szCs w:val="24"/>
              </w:rPr>
              <w:t>专项检查</w:t>
            </w:r>
          </w:p>
        </w:tc>
        <w:tc>
          <w:tcPr>
            <w:tcW w:w="1236" w:type="pct"/>
            <w:vAlign w:val="center"/>
          </w:tcPr>
          <w:p w:rsidR="000E02C5" w:rsidRPr="00687B52" w:rsidRDefault="000E02C5" w:rsidP="00B527D4">
            <w:pPr>
              <w:adjustRightInd w:val="0"/>
              <w:snapToGrid w:val="0"/>
              <w:spacing w:line="320" w:lineRule="exact"/>
              <w:rPr>
                <w:rFonts w:ascii="Cambria" w:hAnsi="Cambria"/>
                <w:color w:val="000000" w:themeColor="text1"/>
                <w:sz w:val="24"/>
                <w:szCs w:val="24"/>
              </w:rPr>
            </w:pP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b/>
                <w:color w:val="000000" w:themeColor="text1"/>
                <w:sz w:val="24"/>
                <w:szCs w:val="24"/>
              </w:rPr>
            </w:pPr>
            <w:r w:rsidRPr="00687B52">
              <w:rPr>
                <w:rFonts w:ascii="Cambria" w:hAnsi="Cambria" w:hint="eastAsia"/>
                <w:b/>
                <w:color w:val="000000" w:themeColor="text1"/>
                <w:sz w:val="24"/>
                <w:szCs w:val="24"/>
              </w:rPr>
              <w:t>14</w:t>
            </w:r>
            <w:r w:rsidRPr="00687B52">
              <w:rPr>
                <w:rFonts w:ascii="Cambria" w:hAnsi="Cambria"/>
                <w:b/>
                <w:color w:val="000000" w:themeColor="text1"/>
                <w:sz w:val="24"/>
                <w:szCs w:val="24"/>
              </w:rPr>
              <w:t>.1</w:t>
            </w:r>
          </w:p>
        </w:tc>
        <w:tc>
          <w:tcPr>
            <w:tcW w:w="2101" w:type="pct"/>
            <w:vAlign w:val="center"/>
          </w:tcPr>
          <w:p w:rsidR="000E02C5" w:rsidRPr="00687B52" w:rsidRDefault="000E02C5" w:rsidP="003E6F05">
            <w:pPr>
              <w:rPr>
                <w:b/>
                <w:color w:val="000000" w:themeColor="text1"/>
              </w:rPr>
            </w:pPr>
            <w:bookmarkStart w:id="76" w:name="_Toc492557251"/>
            <w:r w:rsidRPr="00687B52">
              <w:rPr>
                <w:rFonts w:ascii="Cambria" w:hAnsi="Cambria"/>
                <w:b/>
                <w:color w:val="000000" w:themeColor="text1"/>
                <w:sz w:val="24"/>
                <w:szCs w:val="24"/>
              </w:rPr>
              <w:t>区域位置、总图布置与建筑</w:t>
            </w:r>
            <w:bookmarkEnd w:id="76"/>
          </w:p>
        </w:tc>
        <w:tc>
          <w:tcPr>
            <w:tcW w:w="1236" w:type="pct"/>
            <w:vAlign w:val="center"/>
          </w:tcPr>
          <w:p w:rsidR="000E02C5" w:rsidRPr="00687B52" w:rsidRDefault="000E02C5" w:rsidP="00B527D4">
            <w:pPr>
              <w:adjustRightInd w:val="0"/>
              <w:snapToGrid w:val="0"/>
              <w:spacing w:line="320" w:lineRule="exact"/>
              <w:rPr>
                <w:rFonts w:ascii="Cambria" w:hAnsi="Cambria"/>
                <w:color w:val="000000" w:themeColor="text1"/>
                <w:sz w:val="24"/>
                <w:szCs w:val="24"/>
              </w:rPr>
            </w:pP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宋体"/>
                <w:color w:val="000000" w:themeColor="text1"/>
                <w:kern w:val="0"/>
                <w:sz w:val="24"/>
                <w:szCs w:val="24"/>
              </w:rPr>
            </w:pPr>
            <w:r w:rsidRPr="00687B52">
              <w:rPr>
                <w:rFonts w:ascii="Cambria" w:hAnsi="Cambria" w:cs="宋体" w:hint="eastAsia"/>
                <w:color w:val="000000" w:themeColor="text1"/>
                <w:kern w:val="0"/>
                <w:sz w:val="24"/>
                <w:szCs w:val="24"/>
              </w:rPr>
              <w:t>14</w:t>
            </w:r>
            <w:r w:rsidRPr="00687B52">
              <w:rPr>
                <w:rFonts w:ascii="Cambria" w:hAnsi="Cambria" w:cs="宋体"/>
                <w:color w:val="000000" w:themeColor="text1"/>
                <w:kern w:val="0"/>
                <w:sz w:val="24"/>
                <w:szCs w:val="24"/>
              </w:rPr>
              <w:t>.1.1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厂址应位于不受洪水、潮水或内涝威胁的地带，并应符合下列规定：</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color w:val="000000" w:themeColor="text1"/>
                <w:sz w:val="24"/>
                <w:szCs w:val="24"/>
              </w:rPr>
              <w:t>）当厂址不可避免不受洪水、潮水、或内涝威胁的地带时，必须采取防洪、排涝措施；</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color w:val="000000" w:themeColor="text1"/>
                <w:sz w:val="24"/>
                <w:szCs w:val="24"/>
              </w:rPr>
              <w:t>）凡受江、河、潮、海洪水、潮水或山洪威胁的工业企业，防洪标准应符合现行国家标准《防洪标准》</w:t>
            </w:r>
            <w:r w:rsidRPr="00687B52">
              <w:rPr>
                <w:rFonts w:ascii="Cambria" w:hAnsi="Cambria"/>
                <w:color w:val="000000" w:themeColor="text1"/>
                <w:sz w:val="24"/>
                <w:szCs w:val="24"/>
              </w:rPr>
              <w:t>GB 50201</w:t>
            </w:r>
            <w:r w:rsidRPr="00687B52">
              <w:rPr>
                <w:rFonts w:ascii="Cambria" w:hAnsi="Cambria"/>
                <w:color w:val="000000" w:themeColor="text1"/>
                <w:sz w:val="24"/>
                <w:szCs w:val="24"/>
              </w:rPr>
              <w:t>的有关规定。</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《工业企业总平面设计规范》</w:t>
            </w:r>
            <w:r w:rsidRPr="00687B52">
              <w:rPr>
                <w:rFonts w:ascii="Cambria" w:hAnsi="Cambria"/>
                <w:color w:val="000000" w:themeColor="text1"/>
                <w:sz w:val="24"/>
                <w:szCs w:val="24"/>
              </w:rPr>
              <w:t>GB50187-2012</w:t>
            </w:r>
            <w:r w:rsidRPr="00687B52">
              <w:rPr>
                <w:rFonts w:ascii="Cambria" w:hAnsi="Cambria"/>
                <w:color w:val="000000" w:themeColor="text1"/>
                <w:sz w:val="24"/>
                <w:szCs w:val="24"/>
              </w:rPr>
              <w:t>第</w:t>
            </w:r>
            <w:r w:rsidRPr="00687B52">
              <w:rPr>
                <w:rFonts w:ascii="Cambria" w:hAnsi="Cambria"/>
                <w:color w:val="000000" w:themeColor="text1"/>
                <w:sz w:val="24"/>
                <w:szCs w:val="24"/>
              </w:rPr>
              <w:t>3.0.12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宋体"/>
                <w:b/>
                <w:color w:val="000000" w:themeColor="text1"/>
                <w:kern w:val="0"/>
                <w:sz w:val="24"/>
                <w:szCs w:val="24"/>
              </w:rPr>
            </w:pPr>
            <w:r w:rsidRPr="00687B52">
              <w:rPr>
                <w:rFonts w:ascii="Cambria" w:hAnsi="Cambria" w:cs="宋体" w:hint="eastAsia"/>
                <w:color w:val="000000" w:themeColor="text1"/>
                <w:kern w:val="0"/>
                <w:sz w:val="24"/>
                <w:szCs w:val="24"/>
              </w:rPr>
              <w:t>14</w:t>
            </w:r>
            <w:r w:rsidRPr="00687B52">
              <w:rPr>
                <w:rFonts w:ascii="Cambria" w:hAnsi="Cambria" w:cs="宋体"/>
                <w:color w:val="000000" w:themeColor="text1"/>
                <w:kern w:val="0"/>
                <w:sz w:val="24"/>
                <w:szCs w:val="24"/>
              </w:rPr>
              <w:t>.1.2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山区建厂，当厂址位于山坡或山脚处时，应采取防止山洪、泥石流等自然灾害的危害的加固措施，应对山坡的稳定性等作出地质灾害的危险性评估报告。</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《工业企业总平面设计规范》</w:t>
            </w:r>
            <w:r w:rsidRPr="00687B52">
              <w:rPr>
                <w:rFonts w:ascii="Cambria" w:hAnsi="Cambria"/>
                <w:color w:val="000000" w:themeColor="text1"/>
                <w:sz w:val="24"/>
                <w:szCs w:val="24"/>
              </w:rPr>
              <w:t>GB50187-2012</w:t>
            </w:r>
            <w:r w:rsidRPr="00687B52">
              <w:rPr>
                <w:rFonts w:ascii="Cambria" w:hAnsi="Cambria"/>
                <w:color w:val="000000" w:themeColor="text1"/>
                <w:sz w:val="24"/>
                <w:szCs w:val="24"/>
              </w:rPr>
              <w:t>第</w:t>
            </w:r>
            <w:r w:rsidRPr="00687B52">
              <w:rPr>
                <w:rFonts w:ascii="Cambria" w:hAnsi="Cambria"/>
                <w:color w:val="000000" w:themeColor="text1"/>
                <w:sz w:val="24"/>
                <w:szCs w:val="24"/>
              </w:rPr>
              <w:t>3.0.13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宋体"/>
                <w:b/>
                <w:color w:val="000000" w:themeColor="text1"/>
                <w:kern w:val="0"/>
                <w:sz w:val="24"/>
                <w:szCs w:val="24"/>
              </w:rPr>
            </w:pPr>
            <w:r w:rsidRPr="00687B52">
              <w:rPr>
                <w:rFonts w:ascii="Cambria" w:hAnsi="Cambria" w:cs="宋体" w:hint="eastAsia"/>
                <w:color w:val="000000" w:themeColor="text1"/>
                <w:kern w:val="0"/>
                <w:sz w:val="24"/>
                <w:szCs w:val="24"/>
              </w:rPr>
              <w:t>14</w:t>
            </w:r>
            <w:r w:rsidRPr="00687B52">
              <w:rPr>
                <w:rFonts w:ascii="Cambria" w:hAnsi="Cambria" w:cs="宋体"/>
                <w:color w:val="000000" w:themeColor="text1"/>
                <w:kern w:val="0"/>
                <w:sz w:val="24"/>
                <w:szCs w:val="24"/>
              </w:rPr>
              <w:t>.1.3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下列地段和地区不应选为厂址：</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color w:val="000000" w:themeColor="text1"/>
                <w:sz w:val="24"/>
                <w:szCs w:val="24"/>
              </w:rPr>
              <w:t>）发震断层和抗震设防烈度为</w:t>
            </w:r>
            <w:r w:rsidRPr="00687B52">
              <w:rPr>
                <w:rFonts w:ascii="Cambria" w:hAnsi="Cambria"/>
                <w:color w:val="000000" w:themeColor="text1"/>
                <w:sz w:val="24"/>
                <w:szCs w:val="24"/>
              </w:rPr>
              <w:t>9</w:t>
            </w:r>
            <w:r w:rsidRPr="00687B52">
              <w:rPr>
                <w:rFonts w:ascii="Cambria" w:hAnsi="Cambria"/>
                <w:color w:val="000000" w:themeColor="text1"/>
                <w:sz w:val="24"/>
                <w:szCs w:val="24"/>
              </w:rPr>
              <w:t>度及高于</w:t>
            </w:r>
            <w:r w:rsidRPr="00687B52">
              <w:rPr>
                <w:rFonts w:ascii="Cambria" w:hAnsi="Cambria"/>
                <w:color w:val="000000" w:themeColor="text1"/>
                <w:sz w:val="24"/>
                <w:szCs w:val="24"/>
              </w:rPr>
              <w:t>9</w:t>
            </w:r>
            <w:r w:rsidRPr="00687B52">
              <w:rPr>
                <w:rFonts w:ascii="Cambria" w:hAnsi="Cambria"/>
                <w:color w:val="000000" w:themeColor="text1"/>
                <w:sz w:val="24"/>
                <w:szCs w:val="24"/>
              </w:rPr>
              <w:t>度的地震区；</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color w:val="000000" w:themeColor="text1"/>
                <w:sz w:val="24"/>
                <w:szCs w:val="24"/>
              </w:rPr>
              <w:t>）有泥石流、滑坡、流沙、溶洞等直接危害的地段；</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3</w:t>
            </w:r>
            <w:r w:rsidRPr="00687B52">
              <w:rPr>
                <w:rFonts w:ascii="Cambria" w:hAnsi="Cambria"/>
                <w:color w:val="000000" w:themeColor="text1"/>
                <w:sz w:val="24"/>
                <w:szCs w:val="24"/>
              </w:rPr>
              <w:t>）采矿陷落（错动）区地表界限内；</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4</w:t>
            </w:r>
            <w:r w:rsidRPr="00687B52">
              <w:rPr>
                <w:rFonts w:ascii="Cambria" w:hAnsi="Cambria"/>
                <w:color w:val="000000" w:themeColor="text1"/>
                <w:sz w:val="24"/>
                <w:szCs w:val="24"/>
              </w:rPr>
              <w:t>）爆破危险界限内；</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5</w:t>
            </w:r>
            <w:r w:rsidRPr="00687B52">
              <w:rPr>
                <w:rFonts w:ascii="Cambria" w:hAnsi="Cambria"/>
                <w:color w:val="000000" w:themeColor="text1"/>
                <w:sz w:val="24"/>
                <w:szCs w:val="24"/>
              </w:rPr>
              <w:t>）坝或堤决溃后可能淹没的地区；</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6</w:t>
            </w:r>
            <w:r w:rsidRPr="00687B52">
              <w:rPr>
                <w:rFonts w:ascii="Cambria" w:hAnsi="Cambria"/>
                <w:color w:val="000000" w:themeColor="text1"/>
                <w:sz w:val="24"/>
                <w:szCs w:val="24"/>
              </w:rPr>
              <w:t>）有严重放射性物质污染影响区；</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7</w:t>
            </w:r>
            <w:r w:rsidRPr="00687B52">
              <w:rPr>
                <w:rFonts w:ascii="Cambria" w:hAnsi="Cambria"/>
                <w:color w:val="000000" w:themeColor="text1"/>
                <w:sz w:val="24"/>
                <w:szCs w:val="24"/>
              </w:rPr>
              <w:t>）生活居住区、文教区、水源保护区、名胜古迹、风景游览区、温泉、疗养区、自然保护区和其它需要特别保护的区域；</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8</w:t>
            </w:r>
            <w:r w:rsidRPr="00687B52">
              <w:rPr>
                <w:rFonts w:ascii="Cambria" w:hAnsi="Cambria"/>
                <w:color w:val="000000" w:themeColor="text1"/>
                <w:sz w:val="24"/>
                <w:szCs w:val="24"/>
              </w:rPr>
              <w:t>）对飞机起落、电台通讯、电视转播、雷达导航和重要的天文、气象、地震观察以及军事设施等规定有影响的范围内；</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9</w:t>
            </w:r>
            <w:r w:rsidRPr="00687B52">
              <w:rPr>
                <w:rFonts w:ascii="Cambria" w:hAnsi="Cambria"/>
                <w:color w:val="000000" w:themeColor="text1"/>
                <w:sz w:val="24"/>
                <w:szCs w:val="24"/>
              </w:rPr>
              <w:t>）很严重的自重湿陷性黄土地段，厚度大的新近堆积黄土地段和高压缩性的饱和黄土地段等地质条件恶劣地段；</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10</w:t>
            </w:r>
            <w:r w:rsidRPr="00687B52">
              <w:rPr>
                <w:rFonts w:ascii="Cambria" w:hAnsi="Cambria"/>
                <w:color w:val="000000" w:themeColor="text1"/>
                <w:sz w:val="24"/>
                <w:szCs w:val="24"/>
              </w:rPr>
              <w:t>）具有开采价值的矿藏区；</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11</w:t>
            </w:r>
            <w:r w:rsidRPr="00687B52">
              <w:rPr>
                <w:rFonts w:ascii="Cambria" w:hAnsi="Cambria"/>
                <w:color w:val="000000" w:themeColor="text1"/>
                <w:sz w:val="24"/>
                <w:szCs w:val="24"/>
              </w:rPr>
              <w:t>）受海啸或湖涌危害的地区。</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《工业企业总平面设计规范》</w:t>
            </w:r>
            <w:r w:rsidRPr="00687B52">
              <w:rPr>
                <w:rFonts w:ascii="Cambria" w:hAnsi="Cambria"/>
                <w:color w:val="000000" w:themeColor="text1"/>
                <w:sz w:val="24"/>
                <w:szCs w:val="24"/>
              </w:rPr>
              <w:t>GB50187-2012</w:t>
            </w:r>
            <w:r w:rsidRPr="00687B52">
              <w:rPr>
                <w:rFonts w:ascii="Cambria" w:hAnsi="Cambria"/>
                <w:color w:val="000000" w:themeColor="text1"/>
                <w:sz w:val="24"/>
                <w:szCs w:val="24"/>
              </w:rPr>
              <w:t>第</w:t>
            </w:r>
            <w:r w:rsidRPr="00687B52">
              <w:rPr>
                <w:rFonts w:ascii="Cambria" w:hAnsi="Cambria"/>
                <w:color w:val="000000" w:themeColor="text1"/>
                <w:sz w:val="24"/>
                <w:szCs w:val="24"/>
              </w:rPr>
              <w:t>3.0.14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宋体"/>
                <w:b/>
                <w:color w:val="000000" w:themeColor="text1"/>
                <w:kern w:val="0"/>
                <w:sz w:val="24"/>
                <w:szCs w:val="24"/>
              </w:rPr>
            </w:pPr>
            <w:r w:rsidRPr="00687B52">
              <w:rPr>
                <w:rFonts w:ascii="Cambria" w:hAnsi="Cambria" w:cs="宋体" w:hint="eastAsia"/>
                <w:color w:val="000000" w:themeColor="text1"/>
                <w:kern w:val="0"/>
                <w:sz w:val="24"/>
                <w:szCs w:val="24"/>
              </w:rPr>
              <w:t>14</w:t>
            </w:r>
            <w:r w:rsidRPr="00687B52">
              <w:rPr>
                <w:rFonts w:ascii="Cambria" w:hAnsi="Cambria" w:cs="宋体"/>
                <w:color w:val="000000" w:themeColor="text1"/>
                <w:kern w:val="0"/>
                <w:sz w:val="24"/>
                <w:szCs w:val="24"/>
              </w:rPr>
              <w:t>.1.4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构成重大危险源的场所是否按《危险化学品重大危险源监督管理暂行规定》（安监总局令第</w:t>
            </w:r>
            <w:r w:rsidRPr="00687B52">
              <w:rPr>
                <w:rFonts w:ascii="Cambria" w:hAnsi="Cambria"/>
                <w:color w:val="000000" w:themeColor="text1"/>
                <w:sz w:val="24"/>
                <w:szCs w:val="24"/>
              </w:rPr>
              <w:t>40</w:t>
            </w:r>
            <w:r w:rsidRPr="00687B52">
              <w:rPr>
                <w:rFonts w:ascii="Cambria" w:hAnsi="Cambria"/>
                <w:color w:val="000000" w:themeColor="text1"/>
                <w:sz w:val="24"/>
                <w:szCs w:val="24"/>
              </w:rPr>
              <w:t>号令发布，第</w:t>
            </w:r>
            <w:r w:rsidRPr="00687B52">
              <w:rPr>
                <w:rFonts w:ascii="Cambria" w:hAnsi="Cambria"/>
                <w:color w:val="000000" w:themeColor="text1"/>
                <w:sz w:val="24"/>
                <w:szCs w:val="24"/>
              </w:rPr>
              <w:t>79</w:t>
            </w:r>
            <w:r w:rsidRPr="00687B52">
              <w:rPr>
                <w:rFonts w:ascii="Cambria" w:hAnsi="Cambria"/>
                <w:color w:val="000000" w:themeColor="text1"/>
                <w:sz w:val="24"/>
                <w:szCs w:val="24"/>
              </w:rPr>
              <w:t>号修订</w:t>
            </w:r>
            <w:r w:rsidRPr="00687B52">
              <w:rPr>
                <w:rFonts w:ascii="Cambria" w:hAnsi="Cambria"/>
                <w:color w:val="000000" w:themeColor="text1"/>
                <w:sz w:val="24"/>
                <w:szCs w:val="24"/>
              </w:rPr>
              <w:t>)</w:t>
            </w:r>
            <w:r w:rsidRPr="00687B52">
              <w:rPr>
                <w:rFonts w:ascii="Cambria" w:hAnsi="Cambria"/>
                <w:color w:val="000000" w:themeColor="text1"/>
                <w:sz w:val="24"/>
                <w:szCs w:val="24"/>
              </w:rPr>
              <w:t>）确定外部安全防护距离，并计算风险；下列敏感目标是否在安全防护距离之外，个人风险和社会风险是否可接受：</w:t>
            </w:r>
          </w:p>
          <w:p w:rsidR="000E02C5" w:rsidRPr="00687B52" w:rsidRDefault="000E02C5" w:rsidP="00D9787F">
            <w:pPr>
              <w:numPr>
                <w:ilvl w:val="0"/>
                <w:numId w:val="134"/>
              </w:numPr>
              <w:ind w:left="0"/>
              <w:rPr>
                <w:rFonts w:ascii="Cambria" w:hAnsi="Cambria"/>
                <w:color w:val="000000" w:themeColor="text1"/>
                <w:sz w:val="24"/>
                <w:szCs w:val="24"/>
              </w:rPr>
            </w:pPr>
            <w:r w:rsidRPr="00687B52">
              <w:rPr>
                <w:rFonts w:ascii="Cambria" w:hAnsi="Cambria"/>
                <w:color w:val="000000" w:themeColor="text1"/>
                <w:sz w:val="24"/>
                <w:szCs w:val="24"/>
              </w:rPr>
              <w:t>居民区、商业中心、公园等人口密集区域；</w:t>
            </w:r>
          </w:p>
          <w:p w:rsidR="000E02C5" w:rsidRPr="00687B52" w:rsidRDefault="000E02C5" w:rsidP="00D9787F">
            <w:pPr>
              <w:numPr>
                <w:ilvl w:val="0"/>
                <w:numId w:val="134"/>
              </w:numPr>
              <w:ind w:left="0"/>
              <w:rPr>
                <w:rFonts w:ascii="Cambria" w:hAnsi="Cambria"/>
                <w:color w:val="000000" w:themeColor="text1"/>
                <w:sz w:val="24"/>
                <w:szCs w:val="24"/>
              </w:rPr>
            </w:pPr>
            <w:r w:rsidRPr="00687B52">
              <w:rPr>
                <w:rFonts w:ascii="Cambria" w:hAnsi="Cambria"/>
                <w:color w:val="000000" w:themeColor="text1"/>
                <w:sz w:val="24"/>
                <w:szCs w:val="24"/>
              </w:rPr>
              <w:t>学校、医院、影剧院、体育场（馆）等公共设施；</w:t>
            </w:r>
          </w:p>
          <w:p w:rsidR="000E02C5" w:rsidRPr="00687B52" w:rsidRDefault="000E02C5" w:rsidP="00D9787F">
            <w:pPr>
              <w:numPr>
                <w:ilvl w:val="0"/>
                <w:numId w:val="134"/>
              </w:numPr>
              <w:ind w:left="0"/>
              <w:rPr>
                <w:rFonts w:ascii="Cambria" w:hAnsi="Cambria"/>
                <w:color w:val="000000" w:themeColor="text1"/>
                <w:sz w:val="24"/>
                <w:szCs w:val="24"/>
              </w:rPr>
            </w:pPr>
            <w:r w:rsidRPr="00687B52">
              <w:rPr>
                <w:rFonts w:ascii="Cambria" w:hAnsi="Cambria"/>
                <w:color w:val="000000" w:themeColor="text1"/>
                <w:sz w:val="24"/>
                <w:szCs w:val="24"/>
              </w:rPr>
              <w:t>供水水源、水厂及水源保护区；</w:t>
            </w:r>
          </w:p>
          <w:p w:rsidR="000E02C5" w:rsidRPr="00687B52" w:rsidRDefault="000E02C5" w:rsidP="00D9787F">
            <w:pPr>
              <w:numPr>
                <w:ilvl w:val="0"/>
                <w:numId w:val="134"/>
              </w:numPr>
              <w:ind w:left="0"/>
              <w:rPr>
                <w:rFonts w:ascii="Cambria" w:hAnsi="Cambria"/>
                <w:color w:val="000000" w:themeColor="text1"/>
                <w:sz w:val="24"/>
                <w:szCs w:val="24"/>
              </w:rPr>
            </w:pPr>
            <w:r w:rsidRPr="00687B52">
              <w:rPr>
                <w:rFonts w:ascii="Cambria" w:hAnsi="Cambria"/>
                <w:color w:val="000000" w:themeColor="text1"/>
                <w:sz w:val="24"/>
                <w:szCs w:val="24"/>
              </w:rPr>
              <w:t>车站、码头（按照国家规定，经批准专门从事危险化学品装卸作业的除外）、机场以及公路、铁路、水路交通干线、地铁风亭及出入口；</w:t>
            </w:r>
          </w:p>
          <w:p w:rsidR="000E02C5" w:rsidRPr="00687B52" w:rsidRDefault="000E02C5" w:rsidP="00D9787F">
            <w:pPr>
              <w:numPr>
                <w:ilvl w:val="0"/>
                <w:numId w:val="134"/>
              </w:numPr>
              <w:ind w:left="0"/>
              <w:rPr>
                <w:rFonts w:ascii="Cambria" w:hAnsi="Cambria"/>
                <w:color w:val="000000" w:themeColor="text1"/>
                <w:sz w:val="24"/>
                <w:szCs w:val="24"/>
              </w:rPr>
            </w:pPr>
            <w:r w:rsidRPr="00687B52">
              <w:rPr>
                <w:rFonts w:ascii="Cambria" w:hAnsi="Cambria"/>
                <w:color w:val="000000" w:themeColor="text1"/>
                <w:sz w:val="24"/>
                <w:szCs w:val="24"/>
              </w:rPr>
              <w:t>基本农田保护区、畜牧区、渔业水域和种子、种畜、水产苗种生产基；</w:t>
            </w:r>
          </w:p>
          <w:p w:rsidR="000E02C5" w:rsidRPr="00687B52" w:rsidRDefault="000E02C5" w:rsidP="00D9787F">
            <w:pPr>
              <w:numPr>
                <w:ilvl w:val="0"/>
                <w:numId w:val="134"/>
              </w:numPr>
              <w:ind w:left="0"/>
              <w:rPr>
                <w:rFonts w:ascii="Cambria" w:hAnsi="Cambria"/>
                <w:color w:val="000000" w:themeColor="text1"/>
                <w:sz w:val="24"/>
                <w:szCs w:val="24"/>
              </w:rPr>
            </w:pPr>
            <w:r w:rsidRPr="00687B52">
              <w:rPr>
                <w:rFonts w:ascii="Cambria" w:hAnsi="Cambria"/>
                <w:color w:val="000000" w:themeColor="text1"/>
                <w:sz w:val="24"/>
                <w:szCs w:val="24"/>
              </w:rPr>
              <w:t>河流、湖泊、风景名胜区和自然保护区；</w:t>
            </w:r>
          </w:p>
          <w:p w:rsidR="000E02C5" w:rsidRPr="00687B52" w:rsidRDefault="000E02C5" w:rsidP="00D9787F">
            <w:pPr>
              <w:numPr>
                <w:ilvl w:val="0"/>
                <w:numId w:val="134"/>
              </w:numPr>
              <w:ind w:left="0"/>
              <w:rPr>
                <w:rFonts w:ascii="Cambria" w:hAnsi="Cambria"/>
                <w:color w:val="000000" w:themeColor="text1"/>
                <w:sz w:val="24"/>
                <w:szCs w:val="24"/>
              </w:rPr>
            </w:pPr>
            <w:r w:rsidRPr="00687B52">
              <w:rPr>
                <w:rFonts w:ascii="Cambria" w:hAnsi="Cambria"/>
                <w:color w:val="000000" w:themeColor="text1"/>
                <w:sz w:val="24"/>
                <w:szCs w:val="24"/>
              </w:rPr>
              <w:t>军事禁区、军事管理区；</w:t>
            </w:r>
          </w:p>
          <w:p w:rsidR="000E02C5" w:rsidRPr="00687B52" w:rsidRDefault="000E02C5" w:rsidP="00D9787F">
            <w:pPr>
              <w:numPr>
                <w:ilvl w:val="0"/>
                <w:numId w:val="134"/>
              </w:numPr>
              <w:ind w:left="0"/>
              <w:rPr>
                <w:rFonts w:ascii="Cambria" w:hAnsi="Cambria"/>
                <w:color w:val="000000" w:themeColor="text1"/>
                <w:sz w:val="24"/>
                <w:szCs w:val="24"/>
              </w:rPr>
            </w:pPr>
            <w:r w:rsidRPr="00687B52">
              <w:rPr>
                <w:rFonts w:ascii="Cambria" w:hAnsi="Cambria"/>
                <w:color w:val="000000" w:themeColor="text1"/>
                <w:sz w:val="24"/>
                <w:szCs w:val="24"/>
              </w:rPr>
              <w:t>法律、行政法规规定予以保护的其他区域。</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《危险化学品安全管理条例》第十九条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.1.5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对于半敞开式氯气生产、使用、贮存等厂房结构，应充分利用自然通风条件换气；不能采用自然通风的场所，应采用机械通风，但不宜使用循环风。对于全封闭式氯气生产、使用、贮存等厂房结构，应配套吸风和事故氯气吸收处理装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3.9</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.1.6</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液氯储罐基础应稳固，防止基础沉降引起管道应力破损。</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5.2.1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.1.7</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地上液氯储罐区地面应低于周围地面</w:t>
            </w:r>
            <w:r w:rsidRPr="00687B52">
              <w:rPr>
                <w:rFonts w:ascii="Cambria" w:hAnsi="Cambria"/>
                <w:color w:val="000000" w:themeColor="text1"/>
                <w:sz w:val="24"/>
                <w:szCs w:val="24"/>
              </w:rPr>
              <w:t>0.3~0.5m</w:t>
            </w:r>
            <w:r w:rsidRPr="00687B52">
              <w:rPr>
                <w:rFonts w:ascii="Cambria" w:hAnsi="Cambria"/>
                <w:color w:val="000000" w:themeColor="text1"/>
                <w:sz w:val="24"/>
                <w:szCs w:val="24"/>
              </w:rPr>
              <w:t>或在储存区周边设</w:t>
            </w:r>
            <w:r w:rsidRPr="00687B52">
              <w:rPr>
                <w:rFonts w:ascii="Cambria" w:hAnsi="Cambria"/>
                <w:color w:val="000000" w:themeColor="text1"/>
                <w:sz w:val="24"/>
                <w:szCs w:val="24"/>
              </w:rPr>
              <w:t>0.3~0.5m</w:t>
            </w:r>
            <w:r w:rsidRPr="00687B52">
              <w:rPr>
                <w:rFonts w:ascii="Cambria" w:hAnsi="Cambria"/>
                <w:color w:val="000000" w:themeColor="text1"/>
                <w:sz w:val="24"/>
                <w:szCs w:val="24"/>
              </w:rPr>
              <w:t>的事故围堰，防止一旦发生液氯泄漏事故，液氯汽化面积扩大。</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7.2.4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.1.8</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液氯等灌装间宜为敞开式建筑物。</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《石油化工企业设计防火规范》</w:t>
            </w:r>
            <w:r w:rsidRPr="00687B52">
              <w:rPr>
                <w:rFonts w:ascii="Cambria" w:hAnsi="Cambria"/>
                <w:color w:val="000000" w:themeColor="text1"/>
                <w:sz w:val="24"/>
                <w:szCs w:val="24"/>
              </w:rPr>
              <w:t>GB50160-2008</w:t>
            </w:r>
            <w:r w:rsidRPr="00687B52">
              <w:rPr>
                <w:rFonts w:ascii="Cambria" w:hAnsi="Cambria"/>
                <w:color w:val="000000" w:themeColor="text1"/>
                <w:sz w:val="24"/>
                <w:szCs w:val="24"/>
              </w:rPr>
              <w:t>第</w:t>
            </w:r>
            <w:r w:rsidRPr="00687B52">
              <w:rPr>
                <w:rFonts w:ascii="Cambria" w:hAnsi="Cambria"/>
                <w:color w:val="000000" w:themeColor="text1"/>
                <w:sz w:val="24"/>
                <w:szCs w:val="24"/>
              </w:rPr>
              <w:t>6.5.3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Times New Roman"/>
                <w:color w:val="000000" w:themeColor="text1"/>
                <w:sz w:val="24"/>
                <w:szCs w:val="24"/>
              </w:rPr>
            </w:pPr>
            <w:r w:rsidRPr="00687B52">
              <w:rPr>
                <w:rFonts w:ascii="Cambria" w:hAnsi="Cambria" w:cs="Times New Roman" w:hint="eastAsia"/>
                <w:color w:val="000000" w:themeColor="text1"/>
                <w:sz w:val="24"/>
                <w:szCs w:val="24"/>
              </w:rPr>
              <w:t>14</w:t>
            </w:r>
            <w:r w:rsidRPr="00687B52">
              <w:rPr>
                <w:rFonts w:ascii="Cambria" w:hAnsi="Cambria" w:cs="Times New Roman"/>
                <w:color w:val="000000" w:themeColor="text1"/>
                <w:sz w:val="24"/>
                <w:szCs w:val="24"/>
              </w:rPr>
              <w:t>.1.9</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有爆炸危险的涉氯厂房的总控制室应独立设置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3.6.8</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Times New Roman"/>
                <w:color w:val="000000" w:themeColor="text1"/>
                <w:sz w:val="24"/>
                <w:szCs w:val="24"/>
              </w:rPr>
            </w:pPr>
            <w:r w:rsidRPr="00687B52">
              <w:rPr>
                <w:rFonts w:ascii="Cambria" w:hAnsi="Cambria" w:cs="Times New Roman" w:hint="eastAsia"/>
                <w:color w:val="000000" w:themeColor="text1"/>
                <w:sz w:val="24"/>
                <w:szCs w:val="24"/>
              </w:rPr>
              <w:t>14</w:t>
            </w:r>
            <w:r w:rsidRPr="00687B52">
              <w:rPr>
                <w:rFonts w:ascii="Cambria" w:hAnsi="Cambria" w:cs="Times New Roman"/>
                <w:color w:val="000000" w:themeColor="text1"/>
                <w:sz w:val="24"/>
                <w:szCs w:val="24"/>
              </w:rPr>
              <w:t>.1.10</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有爆炸危险的涉氯厂房的分控制室宜独立设置，当贴临外墙设置时，应采用耐火极限不低于</w:t>
            </w:r>
            <w:r w:rsidRPr="00687B52">
              <w:rPr>
                <w:rFonts w:ascii="Cambria" w:hAnsi="Cambria"/>
                <w:color w:val="000000" w:themeColor="text1"/>
                <w:sz w:val="24"/>
                <w:szCs w:val="24"/>
              </w:rPr>
              <w:t>3.00h</w:t>
            </w:r>
            <w:r w:rsidRPr="00687B52">
              <w:rPr>
                <w:rFonts w:ascii="Cambria" w:hAnsi="Cambria"/>
                <w:color w:val="000000" w:themeColor="text1"/>
                <w:sz w:val="24"/>
                <w:szCs w:val="24"/>
              </w:rPr>
              <w:t>的防火隔墙与其他部位分隔</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3.6.9</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Times New Roman"/>
                <w:color w:val="000000" w:themeColor="text1"/>
                <w:sz w:val="24"/>
                <w:szCs w:val="24"/>
              </w:rPr>
            </w:pPr>
            <w:r w:rsidRPr="00687B52">
              <w:rPr>
                <w:rFonts w:ascii="Cambria" w:hAnsi="Cambria" w:cs="Times New Roman" w:hint="eastAsia"/>
                <w:color w:val="000000" w:themeColor="text1"/>
                <w:sz w:val="24"/>
                <w:szCs w:val="24"/>
              </w:rPr>
              <w:t>14</w:t>
            </w:r>
            <w:r w:rsidRPr="00687B52">
              <w:rPr>
                <w:rFonts w:ascii="Cambria" w:hAnsi="Cambria" w:cs="Times New Roman"/>
                <w:color w:val="000000" w:themeColor="text1"/>
                <w:sz w:val="24"/>
                <w:szCs w:val="24"/>
              </w:rPr>
              <w:t>.1.11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有爆炸危险的涉氯生产部位，宜布置在单层厂房靠外墙的泄压设施或多层厂房顶层靠外墙的泄压设施附近。</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有爆炸危险的设备宜避开厂房的梁、柱等主要承重构件布置。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3.6.7</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7E7CC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.1.1</w:t>
            </w:r>
            <w:r w:rsidR="007E7CC4" w:rsidRPr="00687B52">
              <w:rPr>
                <w:rFonts w:ascii="Cambria" w:hAnsi="Cambria" w:hint="eastAsia"/>
                <w:color w:val="000000" w:themeColor="text1"/>
                <w:sz w:val="24"/>
                <w:szCs w:val="24"/>
              </w:rPr>
              <w:t>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对尘毒危害严重的生产装置内的设备和管道，在满足生产工艺要求的条件下，宜集中布置在半封闭或全封闭建构筑物中，并设计合理地通风系统。</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《化工企业安全卫生设计规范》</w:t>
            </w:r>
            <w:r w:rsidRPr="00687B52">
              <w:rPr>
                <w:rFonts w:ascii="Cambria" w:hAnsi="Cambria"/>
                <w:color w:val="000000" w:themeColor="text1"/>
                <w:sz w:val="24"/>
                <w:szCs w:val="24"/>
              </w:rPr>
              <w:t>HG20571-2014</w:t>
            </w:r>
            <w:r w:rsidRPr="00687B52">
              <w:rPr>
                <w:rFonts w:ascii="Cambria" w:hAnsi="Cambria"/>
                <w:color w:val="000000" w:themeColor="text1"/>
                <w:sz w:val="24"/>
                <w:szCs w:val="24"/>
              </w:rPr>
              <w:t>第</w:t>
            </w:r>
            <w:r w:rsidRPr="00687B52">
              <w:rPr>
                <w:rFonts w:ascii="Cambria" w:hAnsi="Cambria"/>
                <w:color w:val="000000" w:themeColor="text1"/>
                <w:sz w:val="24"/>
                <w:szCs w:val="24"/>
              </w:rPr>
              <w:t>5.1.2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7E7CC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.1.1</w:t>
            </w:r>
            <w:r w:rsidR="007E7CC4" w:rsidRPr="00687B52">
              <w:rPr>
                <w:rFonts w:ascii="Cambria" w:hAnsi="Cambria" w:hint="eastAsia"/>
                <w:color w:val="000000" w:themeColor="text1"/>
                <w:sz w:val="24"/>
                <w:szCs w:val="24"/>
              </w:rPr>
              <w:t>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具有或能产生危险和有害因素的生产装置和场所，应根据生产特点，在保证从业人员和公众安全、卫生的原则下合理布置；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《生产过程安全卫生要求总则》</w:t>
            </w:r>
            <w:r w:rsidRPr="00687B52">
              <w:rPr>
                <w:rFonts w:ascii="Cambria" w:hAnsi="Cambria"/>
                <w:color w:val="000000" w:themeColor="text1"/>
                <w:sz w:val="24"/>
                <w:szCs w:val="24"/>
              </w:rPr>
              <w:t>GB/T 12801-2008</w:t>
            </w:r>
            <w:r w:rsidRPr="00687B52">
              <w:rPr>
                <w:rFonts w:ascii="Cambria" w:hAnsi="Cambria"/>
                <w:color w:val="000000" w:themeColor="text1"/>
                <w:sz w:val="24"/>
                <w:szCs w:val="24"/>
              </w:rPr>
              <w:t>第</w:t>
            </w:r>
            <w:r w:rsidRPr="00687B52">
              <w:rPr>
                <w:rFonts w:ascii="Cambria" w:hAnsi="Cambria"/>
                <w:color w:val="000000" w:themeColor="text1"/>
                <w:sz w:val="24"/>
                <w:szCs w:val="24"/>
              </w:rPr>
              <w:t>5.2.2</w:t>
            </w:r>
            <w:r w:rsidRPr="00687B52">
              <w:rPr>
                <w:rFonts w:ascii="Cambria" w:hAnsi="Cambria"/>
                <w:color w:val="000000" w:themeColor="text1"/>
                <w:sz w:val="24"/>
                <w:szCs w:val="24"/>
              </w:rPr>
              <w:t>平面布置的原则（</w:t>
            </w:r>
            <w:r w:rsidRPr="00687B52">
              <w:rPr>
                <w:rFonts w:ascii="Cambria" w:hAnsi="Cambria"/>
                <w:color w:val="000000" w:themeColor="text1"/>
                <w:sz w:val="24"/>
                <w:szCs w:val="24"/>
              </w:rPr>
              <w:t>b</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7E7CC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.1.1</w:t>
            </w:r>
            <w:r w:rsidR="007E7CC4" w:rsidRPr="00687B52">
              <w:rPr>
                <w:rFonts w:ascii="Cambria" w:hAnsi="Cambria" w:hint="eastAsia"/>
                <w:color w:val="000000" w:themeColor="text1"/>
                <w:sz w:val="24"/>
                <w:szCs w:val="24"/>
              </w:rPr>
              <w:t>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总平面布置，应结合当地气象条件，使建筑物具有良好的朝向、采光和自然通风条件。高温、热加工、有特殊要求和人员较多的建筑物，应避免西晒；</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《生产过程安全卫生要求总则》</w:t>
            </w:r>
            <w:r w:rsidRPr="00687B52">
              <w:rPr>
                <w:rFonts w:ascii="Cambria" w:hAnsi="Cambria"/>
                <w:color w:val="000000" w:themeColor="text1"/>
                <w:sz w:val="24"/>
                <w:szCs w:val="24"/>
              </w:rPr>
              <w:t>GB/T 12801-2008</w:t>
            </w:r>
            <w:r w:rsidRPr="00687B52">
              <w:rPr>
                <w:rFonts w:ascii="Cambria" w:hAnsi="Cambria"/>
                <w:color w:val="000000" w:themeColor="text1"/>
                <w:sz w:val="24"/>
                <w:szCs w:val="24"/>
              </w:rPr>
              <w:t>第</w:t>
            </w:r>
            <w:r w:rsidRPr="00687B52">
              <w:rPr>
                <w:rFonts w:ascii="Cambria" w:hAnsi="Cambria"/>
                <w:color w:val="000000" w:themeColor="text1"/>
                <w:sz w:val="24"/>
                <w:szCs w:val="24"/>
              </w:rPr>
              <w:t>5.2.2</w:t>
            </w:r>
            <w:r w:rsidRPr="00687B52">
              <w:rPr>
                <w:rFonts w:ascii="Cambria" w:hAnsi="Cambria"/>
                <w:color w:val="000000" w:themeColor="text1"/>
                <w:sz w:val="24"/>
                <w:szCs w:val="24"/>
              </w:rPr>
              <w:t>平面布置的原则（</w:t>
            </w:r>
            <w:r w:rsidRPr="00687B52">
              <w:rPr>
                <w:rFonts w:ascii="Cambria" w:hAnsi="Cambria"/>
                <w:color w:val="000000" w:themeColor="text1"/>
                <w:sz w:val="24"/>
                <w:szCs w:val="24"/>
              </w:rPr>
              <w:t>a</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7E7CC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.1.1</w:t>
            </w:r>
            <w:r w:rsidR="007E7CC4" w:rsidRPr="00687B52">
              <w:rPr>
                <w:rFonts w:ascii="Cambria" w:hAnsi="Cambria" w:hint="eastAsia"/>
                <w:color w:val="000000" w:themeColor="text1"/>
                <w:sz w:val="24"/>
                <w:szCs w:val="24"/>
              </w:rPr>
              <w:t>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易燃、易爆物品的生产区域或贮存仓库区，应根据安全生产的需要，将道路划分成为限制车辆通行或禁止车辆通行的路段，并设置标志</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《工业企业厂内铁路、道路运输安全规程》</w:t>
            </w:r>
            <w:r w:rsidRPr="00687B52">
              <w:rPr>
                <w:rFonts w:ascii="Cambria" w:hAnsi="Cambria"/>
                <w:color w:val="000000" w:themeColor="text1"/>
                <w:sz w:val="24"/>
                <w:szCs w:val="24"/>
              </w:rPr>
              <w:t>GB4387-2008</w:t>
            </w:r>
            <w:r w:rsidRPr="00687B52">
              <w:rPr>
                <w:rFonts w:ascii="Cambria" w:hAnsi="Cambria"/>
                <w:color w:val="000000" w:themeColor="text1"/>
                <w:sz w:val="24"/>
                <w:szCs w:val="24"/>
              </w:rPr>
              <w:t>第</w:t>
            </w:r>
            <w:r w:rsidRPr="00687B52">
              <w:rPr>
                <w:rFonts w:ascii="Cambria" w:hAnsi="Cambria"/>
                <w:color w:val="000000" w:themeColor="text1"/>
                <w:sz w:val="24"/>
                <w:szCs w:val="24"/>
              </w:rPr>
              <w:t>6.1.4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eastAsia="宋体" w:hAnsi="Cambria" w:cs="Times New Roman"/>
                <w:b/>
                <w:color w:val="000000" w:themeColor="text1"/>
                <w:sz w:val="24"/>
                <w:szCs w:val="24"/>
              </w:rPr>
            </w:pPr>
            <w:r w:rsidRPr="00687B52">
              <w:rPr>
                <w:rFonts w:ascii="Cambria" w:eastAsia="宋体" w:hAnsi="Cambria" w:cs="Times New Roman" w:hint="eastAsia"/>
                <w:b/>
                <w:color w:val="000000" w:themeColor="text1"/>
                <w:sz w:val="24"/>
                <w:szCs w:val="24"/>
              </w:rPr>
              <w:t>14</w:t>
            </w:r>
            <w:r w:rsidRPr="00687B52">
              <w:rPr>
                <w:rFonts w:ascii="Cambria" w:eastAsia="宋体" w:hAnsi="Cambria" w:cs="Times New Roman"/>
                <w:b/>
                <w:color w:val="000000" w:themeColor="text1"/>
                <w:sz w:val="24"/>
                <w:szCs w:val="24"/>
              </w:rPr>
              <w:t>.2</w:t>
            </w:r>
          </w:p>
        </w:tc>
        <w:tc>
          <w:tcPr>
            <w:tcW w:w="2101" w:type="pct"/>
            <w:vAlign w:val="center"/>
          </w:tcPr>
          <w:p w:rsidR="000E02C5" w:rsidRPr="00687B52" w:rsidRDefault="000E02C5" w:rsidP="003E6F05">
            <w:pPr>
              <w:rPr>
                <w:rFonts w:ascii="Cambria" w:hAnsi="Cambria" w:cs="Arial"/>
                <w:b/>
                <w:color w:val="000000" w:themeColor="text1"/>
                <w:sz w:val="24"/>
                <w:szCs w:val="24"/>
              </w:rPr>
            </w:pPr>
            <w:r w:rsidRPr="00687B52">
              <w:rPr>
                <w:rFonts w:ascii="Cambria" w:hAnsi="Cambria"/>
                <w:b/>
                <w:color w:val="000000" w:themeColor="text1"/>
                <w:sz w:val="24"/>
                <w:szCs w:val="24"/>
              </w:rPr>
              <w:t>液氯的使用和充装</w:t>
            </w:r>
          </w:p>
        </w:tc>
        <w:tc>
          <w:tcPr>
            <w:tcW w:w="1236" w:type="pct"/>
            <w:vAlign w:val="center"/>
          </w:tcPr>
          <w:p w:rsidR="000E02C5" w:rsidRPr="00687B52" w:rsidRDefault="000E02C5" w:rsidP="00B527D4">
            <w:pPr>
              <w:adjustRightInd w:val="0"/>
              <w:snapToGrid w:val="0"/>
              <w:spacing w:line="320" w:lineRule="exact"/>
              <w:rPr>
                <w:rFonts w:ascii="Cambria" w:hAnsi="Cambria" w:cs="Arial"/>
                <w:color w:val="000000" w:themeColor="text1"/>
                <w:sz w:val="24"/>
                <w:szCs w:val="24"/>
              </w:rPr>
            </w:pP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充装量为</w:t>
            </w:r>
            <w:r w:rsidRPr="00687B52">
              <w:rPr>
                <w:rFonts w:ascii="Cambria" w:hAnsi="Cambria"/>
                <w:color w:val="000000" w:themeColor="text1"/>
                <w:sz w:val="24"/>
                <w:szCs w:val="24"/>
              </w:rPr>
              <w:t>50kg</w:t>
            </w:r>
            <w:r w:rsidRPr="00687B52">
              <w:rPr>
                <w:rFonts w:ascii="Cambria" w:hAnsi="Cambria"/>
                <w:color w:val="000000" w:themeColor="text1"/>
                <w:sz w:val="24"/>
                <w:szCs w:val="24"/>
              </w:rPr>
              <w:t>和</w:t>
            </w:r>
            <w:r w:rsidRPr="00687B52">
              <w:rPr>
                <w:rFonts w:ascii="Cambria" w:hAnsi="Cambria"/>
                <w:color w:val="000000" w:themeColor="text1"/>
                <w:sz w:val="24"/>
                <w:szCs w:val="24"/>
              </w:rPr>
              <w:t>100kg</w:t>
            </w:r>
            <w:r w:rsidRPr="00687B52">
              <w:rPr>
                <w:rFonts w:ascii="Cambria" w:hAnsi="Cambria"/>
                <w:color w:val="000000" w:themeColor="text1"/>
                <w:sz w:val="24"/>
                <w:szCs w:val="24"/>
              </w:rPr>
              <w:t>的气瓶，使用时应直立放置，并有防倾倒措施；充装量为</w:t>
            </w:r>
            <w:r w:rsidRPr="00687B52">
              <w:rPr>
                <w:rFonts w:ascii="Cambria" w:hAnsi="Cambria"/>
                <w:color w:val="000000" w:themeColor="text1"/>
                <w:sz w:val="24"/>
                <w:szCs w:val="24"/>
              </w:rPr>
              <w:t>500kg</w:t>
            </w:r>
            <w:r w:rsidRPr="00687B52">
              <w:rPr>
                <w:rFonts w:ascii="Cambria" w:hAnsi="Cambria"/>
                <w:color w:val="000000" w:themeColor="text1"/>
                <w:sz w:val="24"/>
                <w:szCs w:val="24"/>
              </w:rPr>
              <w:t>和</w:t>
            </w:r>
            <w:r w:rsidRPr="00687B52">
              <w:rPr>
                <w:rFonts w:ascii="Cambria" w:hAnsi="Cambria"/>
                <w:color w:val="000000" w:themeColor="text1"/>
                <w:sz w:val="24"/>
                <w:szCs w:val="24"/>
              </w:rPr>
              <w:t>1000kg</w:t>
            </w:r>
            <w:r w:rsidRPr="00687B52">
              <w:rPr>
                <w:rFonts w:ascii="Cambria" w:hAnsi="Cambria"/>
                <w:color w:val="000000" w:themeColor="text1"/>
                <w:sz w:val="24"/>
                <w:szCs w:val="24"/>
              </w:rPr>
              <w:t>的气瓶，使用时应卧式放置，并牢靠定位。</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《液氯使用安全技术要求》</w:t>
            </w:r>
            <w:r w:rsidRPr="00687B52">
              <w:rPr>
                <w:rFonts w:ascii="Cambria" w:hAnsi="Cambria"/>
                <w:color w:val="000000" w:themeColor="text1"/>
                <w:sz w:val="24"/>
                <w:szCs w:val="24"/>
              </w:rPr>
              <w:t>AQ3014-2008</w:t>
            </w:r>
            <w:r w:rsidRPr="00687B52">
              <w:rPr>
                <w:rFonts w:ascii="Cambria" w:hAnsi="Cambria"/>
                <w:color w:val="000000" w:themeColor="text1"/>
                <w:sz w:val="24"/>
                <w:szCs w:val="24"/>
              </w:rPr>
              <w:t>第</w:t>
            </w:r>
            <w:r w:rsidRPr="00687B52">
              <w:rPr>
                <w:rFonts w:ascii="Cambria" w:hAnsi="Cambria"/>
                <w:color w:val="000000" w:themeColor="text1"/>
                <w:sz w:val="24"/>
                <w:szCs w:val="24"/>
              </w:rPr>
              <w:t>5.1.2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液氯气瓶在使用过程中，应建立使用记录，重瓶存放期不应超过三个月</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《液氯使用安全技术要求》</w:t>
            </w:r>
            <w:r w:rsidRPr="00687B52">
              <w:rPr>
                <w:rFonts w:ascii="Cambria" w:hAnsi="Cambria"/>
                <w:color w:val="000000" w:themeColor="text1"/>
                <w:sz w:val="24"/>
                <w:szCs w:val="24"/>
              </w:rPr>
              <w:t>AQ3014-2008</w:t>
            </w:r>
            <w:r w:rsidRPr="00687B52">
              <w:rPr>
                <w:rFonts w:ascii="Cambria" w:hAnsi="Cambria"/>
                <w:color w:val="000000" w:themeColor="text1"/>
                <w:sz w:val="24"/>
                <w:szCs w:val="24"/>
              </w:rPr>
              <w:t>第</w:t>
            </w:r>
            <w:r w:rsidRPr="00687B52">
              <w:rPr>
                <w:rFonts w:ascii="Cambria" w:hAnsi="Cambria"/>
                <w:color w:val="000000" w:themeColor="text1"/>
                <w:sz w:val="24"/>
                <w:szCs w:val="24"/>
              </w:rPr>
              <w:t>5.1.4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对于半敞开式氯气生产、使用、贮存等厂房结构，应充分利用自然通风条件换气；不能采用自然通风的场所，应采用机械通风，但不宜使用循环风。对于全封闭的氯气生产、使用、贮存的厂房结构，应配套吸风和事故氮气吸收处理装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3.9</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生产、使用氯气的车间（作业场所）及贮氯场所应设置氯气泄漏检测报警仪，作业场所和贮氯场所空气中氯气含量最高允许浓度为</w:t>
            </w:r>
            <w:r w:rsidRPr="00687B52">
              <w:rPr>
                <w:rFonts w:ascii="Cambria" w:hAnsi="Cambria"/>
                <w:color w:val="000000" w:themeColor="text1"/>
                <w:sz w:val="24"/>
                <w:szCs w:val="24"/>
              </w:rPr>
              <w:t>1mg/m3</w:t>
            </w:r>
            <w:r w:rsidRPr="00687B52">
              <w:rPr>
                <w:rFonts w:ascii="Cambria" w:hAnsi="Cambr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3.10</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用氯设备（容器、反应罐、塔器）设计制造，应符合压力容器有关规定，液氯管道的设计、制造、安装、使用应符合压力管道的有关规定：</w:t>
            </w:r>
          </w:p>
          <w:p w:rsidR="000E02C5" w:rsidRPr="00687B52" w:rsidRDefault="000E02C5" w:rsidP="00D9787F">
            <w:pPr>
              <w:numPr>
                <w:ilvl w:val="0"/>
                <w:numId w:val="127"/>
              </w:numPr>
              <w:ind w:left="0"/>
              <w:rPr>
                <w:rFonts w:ascii="Cambria" w:hAnsi="Cambria"/>
                <w:color w:val="000000" w:themeColor="text1"/>
                <w:sz w:val="24"/>
                <w:szCs w:val="24"/>
              </w:rPr>
            </w:pPr>
            <w:r w:rsidRPr="00687B52">
              <w:rPr>
                <w:rFonts w:ascii="Cambria" w:hAnsi="Cambria"/>
                <w:color w:val="000000" w:themeColor="text1"/>
                <w:sz w:val="24"/>
                <w:szCs w:val="24"/>
              </w:rPr>
              <w:t>氯气系统管道应完好，连接紧密，无泄漏；</w:t>
            </w:r>
          </w:p>
          <w:p w:rsidR="000E02C5" w:rsidRPr="00687B52" w:rsidRDefault="000E02C5" w:rsidP="00D9787F">
            <w:pPr>
              <w:numPr>
                <w:ilvl w:val="0"/>
                <w:numId w:val="127"/>
              </w:numPr>
              <w:ind w:left="0"/>
              <w:rPr>
                <w:rFonts w:ascii="Cambria" w:hAnsi="Cambria"/>
                <w:color w:val="000000" w:themeColor="text1"/>
                <w:sz w:val="24"/>
                <w:szCs w:val="24"/>
              </w:rPr>
            </w:pPr>
            <w:r w:rsidRPr="00687B52">
              <w:rPr>
                <w:rFonts w:ascii="Cambria" w:hAnsi="Cambria"/>
                <w:color w:val="000000" w:themeColor="text1"/>
                <w:sz w:val="24"/>
                <w:szCs w:val="24"/>
              </w:rPr>
              <w:t>用氯设备和氯气管道的法兰垫片应选用耐氯垫片；</w:t>
            </w:r>
          </w:p>
          <w:p w:rsidR="000E02C5" w:rsidRPr="00687B52" w:rsidRDefault="000E02C5" w:rsidP="00D9787F">
            <w:pPr>
              <w:numPr>
                <w:ilvl w:val="0"/>
                <w:numId w:val="127"/>
              </w:numPr>
              <w:ind w:left="0"/>
              <w:rPr>
                <w:rFonts w:ascii="Cambria" w:hAnsi="Cambria"/>
                <w:color w:val="000000" w:themeColor="text1"/>
                <w:sz w:val="24"/>
                <w:szCs w:val="24"/>
              </w:rPr>
            </w:pPr>
            <w:r w:rsidRPr="00687B52">
              <w:rPr>
                <w:rFonts w:ascii="Cambria" w:hAnsi="Cambria"/>
                <w:color w:val="000000" w:themeColor="text1"/>
                <w:sz w:val="24"/>
                <w:szCs w:val="24"/>
              </w:rPr>
              <w:t>用氯设备应使用与氯气不发生反应的润滑剂</w:t>
            </w:r>
          </w:p>
          <w:p w:rsidR="000E02C5" w:rsidRPr="00687B52" w:rsidRDefault="000E02C5" w:rsidP="00D9787F">
            <w:pPr>
              <w:numPr>
                <w:ilvl w:val="0"/>
                <w:numId w:val="127"/>
              </w:numPr>
              <w:ind w:left="0"/>
              <w:rPr>
                <w:rFonts w:ascii="Cambria" w:hAnsi="Cambria"/>
                <w:color w:val="000000" w:themeColor="text1"/>
                <w:sz w:val="24"/>
                <w:szCs w:val="24"/>
              </w:rPr>
            </w:pPr>
            <w:r w:rsidRPr="00687B52">
              <w:rPr>
                <w:rFonts w:ascii="Cambria" w:hAnsi="Cambria"/>
                <w:color w:val="000000" w:themeColor="text1"/>
                <w:sz w:val="24"/>
                <w:szCs w:val="24"/>
              </w:rPr>
              <w:t>液氯气化剂、贮罐等设施设备的压力表、液位计、温度计，应装有带远传报警的安全装置。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3.11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.2.6</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贮罐按压力容器加强管理，并按有关压力容器安全规程中规定的周期定期检查。</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3.16</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38191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w:t>
            </w:r>
            <w:r w:rsidR="00381914" w:rsidRPr="00687B52">
              <w:rPr>
                <w:rFonts w:ascii="Cambria" w:hAnsi="Cambria" w:hint="eastAsia"/>
                <w:color w:val="000000" w:themeColor="text1"/>
                <w:sz w:val="24"/>
                <w:szCs w:val="24"/>
              </w:rPr>
              <w:t>7</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充装液氯的压力不应超过</w:t>
            </w:r>
            <w:r w:rsidRPr="00687B52">
              <w:rPr>
                <w:rFonts w:ascii="Cambria" w:hAnsi="Cambria"/>
                <w:color w:val="000000" w:themeColor="text1"/>
                <w:sz w:val="24"/>
                <w:szCs w:val="24"/>
              </w:rPr>
              <w:t>1.1 MPa</w:t>
            </w:r>
            <w:r w:rsidRPr="00687B52">
              <w:rPr>
                <w:rFonts w:ascii="Cambria" w:hAnsi="Cambr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4.3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38191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w:t>
            </w:r>
            <w:r w:rsidR="00381914" w:rsidRPr="00687B52">
              <w:rPr>
                <w:rFonts w:ascii="Cambria" w:hAnsi="Cambria" w:hint="eastAsia"/>
                <w:color w:val="000000" w:themeColor="text1"/>
                <w:sz w:val="24"/>
                <w:szCs w:val="24"/>
              </w:rPr>
              <w:t>8</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氯气设备、管道和阀门，安装前应经清洗、吹扫、干燥处理，定期清除滞留在反应设备和管道内的反应生成物，消除堵塞。阀门应逐只做耐压试验，对于重要管道和阀门应建立定期更换制度。</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4.8</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38191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w:t>
            </w:r>
            <w:r w:rsidR="00381914" w:rsidRPr="00687B52">
              <w:rPr>
                <w:rFonts w:ascii="Cambria" w:hAnsi="Cambria" w:hint="eastAsia"/>
                <w:color w:val="000000" w:themeColor="text1"/>
                <w:sz w:val="24"/>
                <w:szCs w:val="24"/>
              </w:rPr>
              <w:t>9</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充装前的检查记录、充装操作记录、充装后复验和检查记录应完整保存</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 11984-2008</w:t>
            </w:r>
            <w:r w:rsidRPr="00687B52">
              <w:rPr>
                <w:rFonts w:ascii="Cambria" w:hAnsi="Cambria"/>
                <w:color w:val="000000" w:themeColor="text1"/>
                <w:sz w:val="24"/>
                <w:szCs w:val="24"/>
              </w:rPr>
              <w:t>第</w:t>
            </w:r>
            <w:r w:rsidRPr="00687B52">
              <w:rPr>
                <w:rFonts w:ascii="Cambria" w:hAnsi="Cambria"/>
                <w:color w:val="000000" w:themeColor="text1"/>
                <w:sz w:val="24"/>
                <w:szCs w:val="24"/>
              </w:rPr>
              <w:t>5.1.3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38191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.2.1</w:t>
            </w:r>
            <w:r w:rsidR="00381914" w:rsidRPr="00687B52">
              <w:rPr>
                <w:rFonts w:ascii="Cambria" w:hAnsi="Cambria" w:hint="eastAsia"/>
                <w:color w:val="000000" w:themeColor="text1"/>
                <w:sz w:val="24"/>
                <w:szCs w:val="24"/>
              </w:rPr>
              <w:t>0</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液氯钢瓶有以下情况时，不得充装：</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color w:val="000000" w:themeColor="text1"/>
                <w:sz w:val="24"/>
                <w:szCs w:val="24"/>
              </w:rPr>
              <w:t>、漆色、字样和气体不符合规定或漆色、字样脱落，不易识别气体类别。</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color w:val="000000" w:themeColor="text1"/>
                <w:sz w:val="24"/>
                <w:szCs w:val="24"/>
              </w:rPr>
              <w:t>、钢印标记不全或不能识别。</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3</w:t>
            </w:r>
            <w:r w:rsidRPr="00687B52">
              <w:rPr>
                <w:rFonts w:ascii="Cambria" w:hAnsi="Cambria"/>
                <w:color w:val="000000" w:themeColor="text1"/>
                <w:sz w:val="24"/>
                <w:szCs w:val="24"/>
              </w:rPr>
              <w:t>、新瓶无合格证。</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4</w:t>
            </w:r>
            <w:r w:rsidRPr="00687B52">
              <w:rPr>
                <w:rFonts w:ascii="Cambria" w:hAnsi="Cambria"/>
                <w:color w:val="000000" w:themeColor="text1"/>
                <w:sz w:val="24"/>
                <w:szCs w:val="24"/>
              </w:rPr>
              <w:t>、超过技术检验期限。</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5</w:t>
            </w:r>
            <w:r w:rsidRPr="00687B52">
              <w:rPr>
                <w:rFonts w:ascii="Cambria" w:hAnsi="Cambria"/>
                <w:color w:val="000000" w:themeColor="text1"/>
                <w:sz w:val="24"/>
                <w:szCs w:val="24"/>
              </w:rPr>
              <w:t>、安全附件不全、损坏或不符合规定。</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6</w:t>
            </w:r>
            <w:r w:rsidRPr="00687B52">
              <w:rPr>
                <w:rFonts w:ascii="Cambria" w:hAnsi="Cambria"/>
                <w:color w:val="000000" w:themeColor="text1"/>
                <w:sz w:val="24"/>
                <w:szCs w:val="24"/>
              </w:rPr>
              <w:t>、瓶阀和易熔塞上紧后，螺扣外露不足三扣。</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7</w:t>
            </w:r>
            <w:r w:rsidRPr="00687B52">
              <w:rPr>
                <w:rFonts w:ascii="Cambria" w:hAnsi="Cambria"/>
                <w:color w:val="000000" w:themeColor="text1"/>
                <w:sz w:val="24"/>
                <w:szCs w:val="24"/>
              </w:rPr>
              <w:t>、瓶体温度超过</w:t>
            </w:r>
            <w:r w:rsidRPr="00687B52">
              <w:rPr>
                <w:rFonts w:ascii="Cambria" w:hAnsi="Cambria"/>
                <w:color w:val="000000" w:themeColor="text1"/>
                <w:sz w:val="24"/>
                <w:szCs w:val="24"/>
              </w:rPr>
              <w:t>40</w:t>
            </w:r>
            <w:r w:rsidRPr="00687B52">
              <w:rPr>
                <w:rFonts w:ascii="Cambria" w:hAnsi="Cambria" w:hint="eastAsia"/>
                <w:color w:val="000000" w:themeColor="text1"/>
                <w:sz w:val="24"/>
                <w:szCs w:val="24"/>
              </w:rPr>
              <w:t>℃</w:t>
            </w:r>
            <w:r w:rsidRPr="00687B52">
              <w:rPr>
                <w:rFonts w:ascii="Cambria" w:hAnsi="Cambr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5.1.4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38191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.2.1</w:t>
            </w:r>
            <w:r w:rsidR="00381914" w:rsidRPr="00687B52">
              <w:rPr>
                <w:rFonts w:ascii="Cambria" w:hAnsi="Cambria" w:hint="eastAsia"/>
                <w:color w:val="000000" w:themeColor="text1"/>
                <w:sz w:val="24"/>
                <w:szCs w:val="24"/>
              </w:rPr>
              <w:t>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入库前应有产品合格证。合格证应注明：瓶号、重量、容量、充装日期、充装人和复称人姓名或者代号</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5.1.6</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38191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.2.1</w:t>
            </w:r>
            <w:r w:rsidR="00381914" w:rsidRPr="00687B52">
              <w:rPr>
                <w:rFonts w:ascii="Cambria" w:hAnsi="Cambria" w:hint="eastAsia"/>
                <w:color w:val="000000" w:themeColor="text1"/>
                <w:sz w:val="24"/>
                <w:szCs w:val="24"/>
              </w:rPr>
              <w:t>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严加密闭，提供充分的局部排风和全面通风，工作场所严禁吸烟。提供安全淋浴和洗眼设备</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38191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.2.1</w:t>
            </w:r>
            <w:r w:rsidR="00381914" w:rsidRPr="00687B52">
              <w:rPr>
                <w:rFonts w:ascii="Cambria" w:hAnsi="Cambria" w:hint="eastAsia"/>
                <w:color w:val="000000" w:themeColor="text1"/>
                <w:sz w:val="24"/>
                <w:szCs w:val="24"/>
              </w:rPr>
              <w:t>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生产、使用氯气的车间及贮氯场所应设置氯气泄漏检测报警仪，配备两套以上重型防护服。戴化学安全防护眼镜，穿防静电工作服，戴防化学品手套。工作场所浓度超标时，操作人员必须佩戴防毒面具，紧急事态抢救或撤离时，应佩戴正压自给式空气呼吸器。</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38191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.2.1</w:t>
            </w:r>
            <w:r w:rsidR="00381914" w:rsidRPr="00687B52">
              <w:rPr>
                <w:rFonts w:ascii="Cambria" w:hAnsi="Cambria" w:hint="eastAsia"/>
                <w:color w:val="000000" w:themeColor="text1"/>
                <w:sz w:val="24"/>
                <w:szCs w:val="24"/>
              </w:rPr>
              <w:t>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氯气化器、储罐等压力容器和设备应设置安全阀、压力表、液位计、温度计，并应装有带压力、液位、温度带远传记录和报警功能的安全装置。设置整流装置与氯压机、动力电源、管线压力、通风设施或相应的吸收装置的联锁装置。氯气输入、输出管线应设置紧急切断设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38191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.2.1</w:t>
            </w:r>
            <w:r w:rsidR="00381914" w:rsidRPr="00687B52">
              <w:rPr>
                <w:rFonts w:ascii="Cambria" w:hAnsi="Cambria" w:hint="eastAsia"/>
                <w:color w:val="000000" w:themeColor="text1"/>
                <w:sz w:val="24"/>
                <w:szCs w:val="24"/>
              </w:rPr>
              <w:t>5</w:t>
            </w:r>
          </w:p>
        </w:tc>
        <w:tc>
          <w:tcPr>
            <w:tcW w:w="2101" w:type="pct"/>
            <w:vAlign w:val="center"/>
          </w:tcPr>
          <w:p w:rsidR="000E02C5" w:rsidRPr="00687B52" w:rsidRDefault="008A1470" w:rsidP="00B527D4">
            <w:pPr>
              <w:rPr>
                <w:rFonts w:ascii="Cambria" w:hAnsi="Cambria"/>
                <w:color w:val="000000" w:themeColor="text1"/>
                <w:sz w:val="24"/>
                <w:szCs w:val="24"/>
              </w:rPr>
            </w:pPr>
            <w:r w:rsidRPr="00687B52">
              <w:rPr>
                <w:rFonts w:ascii="Cambria" w:hAnsi="Cambria" w:hint="eastAsia"/>
                <w:color w:val="000000" w:themeColor="text1"/>
                <w:sz w:val="24"/>
                <w:szCs w:val="24"/>
              </w:rPr>
              <w:t>氯应</w:t>
            </w:r>
            <w:r w:rsidR="000E02C5" w:rsidRPr="00687B52">
              <w:rPr>
                <w:rFonts w:ascii="Cambria" w:hAnsi="Cambria"/>
                <w:color w:val="000000" w:themeColor="text1"/>
                <w:sz w:val="24"/>
                <w:szCs w:val="24"/>
              </w:rPr>
              <w:t>避免与易燃或可燃物、醇类、乙醚、氢接触。</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38191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.2.1</w:t>
            </w:r>
            <w:r w:rsidR="00381914" w:rsidRPr="00687B52">
              <w:rPr>
                <w:rFonts w:ascii="Cambria" w:hAnsi="Cambria" w:hint="eastAsia"/>
                <w:color w:val="000000" w:themeColor="text1"/>
                <w:sz w:val="24"/>
                <w:szCs w:val="24"/>
              </w:rPr>
              <w:t>6</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生产、储存区域应设置安全警示标志。搬运时轻装轻卸，防止钢瓶及附件破损。吊装时，应将气瓶放置在符合安全要求的专用筐中进行吊运。禁止使用电磁起重机和用链绳捆扎、或将瓶阀作为吊运着力点。配备相应品种和数量的消防器材及泄漏应急处理设备。倒空的容器可能存在残留有害物时应及时处理。</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38191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.2.1</w:t>
            </w:r>
            <w:r w:rsidR="00381914" w:rsidRPr="00687B52">
              <w:rPr>
                <w:rFonts w:ascii="Cambria" w:hAnsi="Cambria" w:hint="eastAsia"/>
                <w:color w:val="000000" w:themeColor="text1"/>
                <w:sz w:val="24"/>
                <w:szCs w:val="24"/>
              </w:rPr>
              <w:t>7</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氯化设备、管道处、阀门的连接垫料应选用石棉板、石棉橡胶板、氟塑料、浸石墨的石棉绳等高强度耐氯垫料，严禁使用橡胶垫。</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38191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.2.1</w:t>
            </w:r>
            <w:r w:rsidR="00381914" w:rsidRPr="00687B52">
              <w:rPr>
                <w:rFonts w:ascii="Cambria" w:hAnsi="Cambria" w:hint="eastAsia"/>
                <w:color w:val="000000" w:themeColor="text1"/>
                <w:sz w:val="24"/>
                <w:szCs w:val="24"/>
              </w:rPr>
              <w:t>8</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采用压缩空气充装液氯时</w:t>
            </w:r>
            <w:r w:rsidRPr="00687B52">
              <w:rPr>
                <w:rFonts w:ascii="Cambria" w:hAnsi="Cambria"/>
                <w:color w:val="000000" w:themeColor="text1"/>
                <w:sz w:val="24"/>
                <w:szCs w:val="24"/>
              </w:rPr>
              <w:t>,</w:t>
            </w:r>
            <w:r w:rsidRPr="00687B52">
              <w:rPr>
                <w:rFonts w:ascii="Cambria" w:hAnsi="Cambria"/>
                <w:color w:val="000000" w:themeColor="text1"/>
                <w:sz w:val="24"/>
                <w:szCs w:val="24"/>
              </w:rPr>
              <w:t>空气含水应</w:t>
            </w:r>
            <w:r w:rsidRPr="00687B52">
              <w:rPr>
                <w:rFonts w:ascii="Cambria" w:hAnsi="Cambria"/>
                <w:color w:val="000000" w:themeColor="text1"/>
                <w:sz w:val="24"/>
                <w:szCs w:val="24"/>
              </w:rPr>
              <w:t>≤0.01%</w:t>
            </w:r>
            <w:r w:rsidRPr="00687B52">
              <w:rPr>
                <w:rFonts w:ascii="Cambria" w:hAnsi="Cambria"/>
                <w:color w:val="000000" w:themeColor="text1"/>
                <w:sz w:val="24"/>
                <w:szCs w:val="24"/>
              </w:rPr>
              <w:t>。采用液氯气化器充装液氯时</w:t>
            </w:r>
            <w:r w:rsidRPr="00687B52">
              <w:rPr>
                <w:rFonts w:ascii="Cambria" w:hAnsi="Cambria"/>
                <w:color w:val="000000" w:themeColor="text1"/>
                <w:sz w:val="24"/>
                <w:szCs w:val="24"/>
              </w:rPr>
              <w:t>,</w:t>
            </w:r>
            <w:r w:rsidRPr="00687B52">
              <w:rPr>
                <w:rFonts w:ascii="Cambria" w:hAnsi="Cambria"/>
                <w:color w:val="000000" w:themeColor="text1"/>
                <w:sz w:val="24"/>
                <w:szCs w:val="24"/>
              </w:rPr>
              <w:t>只许用温水加热气化器</w:t>
            </w:r>
            <w:r w:rsidRPr="00687B52">
              <w:rPr>
                <w:rFonts w:ascii="Cambria" w:hAnsi="Cambria"/>
                <w:color w:val="000000" w:themeColor="text1"/>
                <w:sz w:val="24"/>
                <w:szCs w:val="24"/>
              </w:rPr>
              <w:t>,</w:t>
            </w:r>
            <w:r w:rsidRPr="00687B52">
              <w:rPr>
                <w:rFonts w:ascii="Cambria" w:hAnsi="Cambria"/>
                <w:color w:val="000000" w:themeColor="text1"/>
                <w:sz w:val="24"/>
                <w:szCs w:val="24"/>
              </w:rPr>
              <w:t>不准使用蒸汽直接加热。</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38191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w:t>
            </w:r>
            <w:r w:rsidR="00381914" w:rsidRPr="00687B52">
              <w:rPr>
                <w:rFonts w:ascii="Cambria" w:hAnsi="Cambria" w:hint="eastAsia"/>
                <w:color w:val="000000" w:themeColor="text1"/>
                <w:sz w:val="24"/>
                <w:szCs w:val="24"/>
              </w:rPr>
              <w:t>19</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液氯气化器、预冷器及热交换器等设备，必须装有排污装置和污物处理设施，并定期分析三氯化氮含量。如果操作人员未按规定及时排污，并且操作不当，易发生三氯化氮爆炸、大量氯气泄漏等危害。</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38191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w:t>
            </w:r>
            <w:r w:rsidR="00381914" w:rsidRPr="00687B52">
              <w:rPr>
                <w:rFonts w:ascii="Cambria" w:hAnsi="Cambria" w:hint="eastAsia"/>
                <w:color w:val="000000" w:themeColor="text1"/>
                <w:sz w:val="24"/>
                <w:szCs w:val="24"/>
              </w:rPr>
              <w:t>20</w:t>
            </w:r>
          </w:p>
        </w:tc>
        <w:tc>
          <w:tcPr>
            <w:tcW w:w="2101" w:type="pct"/>
            <w:vAlign w:val="center"/>
          </w:tcPr>
          <w:p w:rsidR="000E02C5" w:rsidRPr="00687B52" w:rsidRDefault="000E02C5" w:rsidP="008A1470">
            <w:pPr>
              <w:rPr>
                <w:rFonts w:ascii="Cambria" w:hAnsi="Cambria"/>
                <w:color w:val="000000" w:themeColor="text1"/>
                <w:sz w:val="24"/>
                <w:szCs w:val="24"/>
              </w:rPr>
            </w:pPr>
            <w:r w:rsidRPr="00687B52">
              <w:rPr>
                <w:rFonts w:ascii="Cambria" w:hAnsi="Cambria"/>
                <w:color w:val="000000" w:themeColor="text1"/>
                <w:sz w:val="24"/>
                <w:szCs w:val="24"/>
              </w:rPr>
              <w:t>严禁在泄漏的</w:t>
            </w:r>
            <w:r w:rsidR="008A1470" w:rsidRPr="00687B52">
              <w:rPr>
                <w:rFonts w:ascii="Cambria" w:hAnsi="Cambria" w:hint="eastAsia"/>
                <w:color w:val="000000" w:themeColor="text1"/>
                <w:sz w:val="24"/>
                <w:szCs w:val="24"/>
              </w:rPr>
              <w:t>氯</w:t>
            </w:r>
            <w:r w:rsidRPr="00687B52">
              <w:rPr>
                <w:rFonts w:ascii="Cambria" w:hAnsi="Cambria"/>
                <w:color w:val="000000" w:themeColor="text1"/>
                <w:sz w:val="24"/>
                <w:szCs w:val="24"/>
              </w:rPr>
              <w:t>钢瓶上喷水。</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8A1470">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.2.2</w:t>
            </w:r>
            <w:r w:rsidR="008A1470" w:rsidRPr="00687B52">
              <w:rPr>
                <w:rFonts w:ascii="Cambria" w:hAnsi="Cambria" w:hint="eastAsia"/>
                <w:color w:val="000000" w:themeColor="text1"/>
                <w:sz w:val="24"/>
                <w:szCs w:val="24"/>
              </w:rPr>
              <w:t>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充装量为</w:t>
            </w:r>
            <w:r w:rsidRPr="00687B52">
              <w:rPr>
                <w:rFonts w:ascii="Cambria" w:hAnsi="Cambria"/>
                <w:color w:val="000000" w:themeColor="text1"/>
                <w:sz w:val="24"/>
                <w:szCs w:val="24"/>
              </w:rPr>
              <w:t>50kg</w:t>
            </w:r>
            <w:r w:rsidRPr="00687B52">
              <w:rPr>
                <w:rFonts w:ascii="Cambria" w:hAnsi="Cambria"/>
                <w:color w:val="000000" w:themeColor="text1"/>
                <w:sz w:val="24"/>
                <w:szCs w:val="24"/>
              </w:rPr>
              <w:t>和</w:t>
            </w:r>
            <w:r w:rsidRPr="00687B52">
              <w:rPr>
                <w:rFonts w:ascii="Cambria" w:hAnsi="Cambria"/>
                <w:color w:val="000000" w:themeColor="text1"/>
                <w:sz w:val="24"/>
                <w:szCs w:val="24"/>
              </w:rPr>
              <w:t>100kg</w:t>
            </w:r>
            <w:r w:rsidRPr="00687B52">
              <w:rPr>
                <w:rFonts w:ascii="Cambria" w:hAnsi="Cambria"/>
                <w:color w:val="000000" w:themeColor="text1"/>
                <w:sz w:val="24"/>
                <w:szCs w:val="24"/>
              </w:rPr>
              <w:t>的气瓶应保留</w:t>
            </w:r>
            <w:r w:rsidRPr="00687B52">
              <w:rPr>
                <w:rFonts w:ascii="Cambria" w:hAnsi="Cambria"/>
                <w:color w:val="000000" w:themeColor="text1"/>
                <w:sz w:val="24"/>
                <w:szCs w:val="24"/>
              </w:rPr>
              <w:t>2kg</w:t>
            </w:r>
            <w:r w:rsidRPr="00687B52">
              <w:rPr>
                <w:rFonts w:ascii="Cambria" w:hAnsi="Cambria"/>
                <w:color w:val="000000" w:themeColor="text1"/>
                <w:sz w:val="24"/>
                <w:szCs w:val="24"/>
              </w:rPr>
              <w:t>以上的余量，充装量为</w:t>
            </w:r>
            <w:r w:rsidRPr="00687B52">
              <w:rPr>
                <w:rFonts w:ascii="Cambria" w:hAnsi="Cambria"/>
                <w:color w:val="000000" w:themeColor="text1"/>
                <w:sz w:val="24"/>
                <w:szCs w:val="24"/>
              </w:rPr>
              <w:t>500kg</w:t>
            </w:r>
            <w:r w:rsidRPr="00687B52">
              <w:rPr>
                <w:rFonts w:ascii="Cambria" w:hAnsi="Cambria"/>
                <w:color w:val="000000" w:themeColor="text1"/>
                <w:sz w:val="24"/>
                <w:szCs w:val="24"/>
              </w:rPr>
              <w:t>和</w:t>
            </w:r>
            <w:r w:rsidRPr="00687B52">
              <w:rPr>
                <w:rFonts w:ascii="Cambria" w:hAnsi="Cambria"/>
                <w:color w:val="000000" w:themeColor="text1"/>
                <w:sz w:val="24"/>
                <w:szCs w:val="24"/>
              </w:rPr>
              <w:t>1000kg</w:t>
            </w:r>
            <w:r w:rsidRPr="00687B52">
              <w:rPr>
                <w:rFonts w:ascii="Cambria" w:hAnsi="Cambria"/>
                <w:color w:val="000000" w:themeColor="text1"/>
                <w:sz w:val="24"/>
                <w:szCs w:val="24"/>
              </w:rPr>
              <w:t>的气瓶应保留</w:t>
            </w:r>
            <w:r w:rsidRPr="00687B52">
              <w:rPr>
                <w:rFonts w:ascii="Cambria" w:hAnsi="Cambria"/>
                <w:color w:val="000000" w:themeColor="text1"/>
                <w:sz w:val="24"/>
                <w:szCs w:val="24"/>
              </w:rPr>
              <w:t>5kg</w:t>
            </w:r>
            <w:r w:rsidRPr="00687B52">
              <w:rPr>
                <w:rFonts w:ascii="Cambria" w:hAnsi="Cambria"/>
                <w:color w:val="000000" w:themeColor="text1"/>
                <w:sz w:val="24"/>
                <w:szCs w:val="24"/>
              </w:rPr>
              <w:t>以上的余量。充装前要确认气瓶内无异物</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8A1470">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.2.2</w:t>
            </w:r>
            <w:r w:rsidR="008A1470" w:rsidRPr="00687B52">
              <w:rPr>
                <w:rFonts w:ascii="Cambria" w:hAnsi="Cambria" w:hint="eastAsia"/>
                <w:color w:val="000000" w:themeColor="text1"/>
                <w:sz w:val="24"/>
                <w:szCs w:val="24"/>
              </w:rPr>
              <w:t>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充装时，使用万向节管道充装系统，严防超装。</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8A1470">
            <w:pPr>
              <w:spacing w:line="240" w:lineRule="exact"/>
              <w:jc w:val="center"/>
              <w:rPr>
                <w:rFonts w:ascii="Cambria" w:hAnsi="Cambria"/>
                <w:b/>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.2.2</w:t>
            </w:r>
            <w:r w:rsidR="008A1470" w:rsidRPr="00687B52">
              <w:rPr>
                <w:rFonts w:ascii="Cambria" w:hAnsi="Cambria" w:hint="eastAsia"/>
                <w:color w:val="000000" w:themeColor="text1"/>
                <w:sz w:val="24"/>
                <w:szCs w:val="24"/>
              </w:rPr>
              <w:t>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生产、储存危险化学品的单位，应当对其铺设的危险化学品管道设置明显标志，并对危险化学品管道定期检查、检测。</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《危险化学品安全管理条例》第十三条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8A1470">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.2.2</w:t>
            </w:r>
            <w:r w:rsidR="008A1470" w:rsidRPr="00687B52">
              <w:rPr>
                <w:rFonts w:ascii="Cambria" w:hAnsi="Cambria" w:hint="eastAsia"/>
                <w:color w:val="000000" w:themeColor="text1"/>
                <w:sz w:val="24"/>
                <w:szCs w:val="24"/>
              </w:rPr>
              <w:t>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自</w:t>
            </w:r>
            <w:r w:rsidRPr="00687B52">
              <w:rPr>
                <w:rFonts w:ascii="Cambria" w:hAnsi="Cambria"/>
                <w:color w:val="000000" w:themeColor="text1"/>
                <w:sz w:val="24"/>
                <w:szCs w:val="24"/>
              </w:rPr>
              <w:t>2017</w:t>
            </w:r>
            <w:r w:rsidRPr="00687B52">
              <w:rPr>
                <w:rFonts w:ascii="Cambria" w:hAnsi="Cambria"/>
                <w:color w:val="000000" w:themeColor="text1"/>
                <w:sz w:val="24"/>
                <w:szCs w:val="24"/>
              </w:rPr>
              <w:t>年</w:t>
            </w:r>
            <w:r w:rsidRPr="00687B52">
              <w:rPr>
                <w:rFonts w:ascii="Cambria" w:hAnsi="Cambria"/>
                <w:color w:val="000000" w:themeColor="text1"/>
                <w:sz w:val="24"/>
                <w:szCs w:val="24"/>
              </w:rPr>
              <w:t>1</w:t>
            </w:r>
            <w:r w:rsidRPr="00687B52">
              <w:rPr>
                <w:rFonts w:ascii="Cambria" w:hAnsi="Cambria"/>
                <w:color w:val="000000" w:themeColor="text1"/>
                <w:sz w:val="24"/>
                <w:szCs w:val="24"/>
              </w:rPr>
              <w:t>月</w:t>
            </w:r>
            <w:r w:rsidRPr="00687B52">
              <w:rPr>
                <w:rFonts w:ascii="Cambria" w:hAnsi="Cambria"/>
                <w:color w:val="000000" w:themeColor="text1"/>
                <w:sz w:val="24"/>
                <w:szCs w:val="24"/>
              </w:rPr>
              <w:t>1</w:t>
            </w:r>
            <w:r w:rsidRPr="00687B52">
              <w:rPr>
                <w:rFonts w:ascii="Cambria" w:hAnsi="Cambria"/>
                <w:color w:val="000000" w:themeColor="text1"/>
                <w:sz w:val="24"/>
                <w:szCs w:val="24"/>
              </w:rPr>
              <w:t>日起，凡是未实现温度、压力、液位等信息的远程不间断采集检测，未设置可燃和有毒有害气体泄漏检测报警装置的构成重大危险源的危险化学品罐区，一律停止使用；</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《危险化学品储存场所安全专项整治工作方案》第</w:t>
            </w:r>
            <w:r w:rsidRPr="00687B52">
              <w:rPr>
                <w:rFonts w:ascii="Cambria" w:hAnsi="Cambria"/>
                <w:color w:val="000000" w:themeColor="text1"/>
                <w:sz w:val="24"/>
                <w:szCs w:val="24"/>
              </w:rPr>
              <w:t>3</w:t>
            </w:r>
            <w:r w:rsidRPr="00687B52">
              <w:rPr>
                <w:rFonts w:ascii="Cambria" w:hAnsi="Cambria"/>
                <w:color w:val="000000" w:themeColor="text1"/>
                <w:sz w:val="24"/>
                <w:szCs w:val="24"/>
              </w:rPr>
              <w:t>条（</w:t>
            </w:r>
            <w:r w:rsidRPr="00687B52">
              <w:rPr>
                <w:rFonts w:ascii="Cambria" w:hAnsi="Cambria"/>
                <w:color w:val="000000" w:themeColor="text1"/>
                <w:sz w:val="24"/>
                <w:szCs w:val="24"/>
              </w:rPr>
              <w:t>5</w:t>
            </w:r>
            <w:r w:rsidRPr="00687B52">
              <w:rPr>
                <w:rFonts w:ascii="Cambria" w:hAnsi="Cambria"/>
                <w:color w:val="000000" w:themeColor="text1"/>
                <w:sz w:val="24"/>
                <w:szCs w:val="24"/>
              </w:rPr>
              <w:t>）</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8A1470">
            <w:pPr>
              <w:spacing w:line="240" w:lineRule="exact"/>
              <w:jc w:val="center"/>
              <w:rPr>
                <w:rFonts w:ascii="Cambria" w:hAnsi="Cambria"/>
                <w:b/>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.2.2</w:t>
            </w:r>
            <w:r w:rsidR="008A1470" w:rsidRPr="00687B52">
              <w:rPr>
                <w:rFonts w:ascii="Cambria" w:hAnsi="Cambria" w:hint="eastAsia"/>
                <w:color w:val="000000" w:themeColor="text1"/>
                <w:sz w:val="24"/>
                <w:szCs w:val="24"/>
              </w:rPr>
              <w:t>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生产、储存危险化学品的单位，应当根据其生产、储存的危险化学品的种类和危险特性，在作业场所设置相应的监测、监控、通风、防晒、调温、防火、灭火、防爆、泄压、防毒、中和、防潮、防雷、防静电、防腐、防泄漏以及防护围堤或者隔离操作等安全设施、设备，并按照国家标准、行业标准或者国家有关规定对安全设施、设备进行经常性维护、保养，保证安全设施、设备的正常使用。</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生产、储存危险化学品的单位，应当在其作业场所和安全设施、设备上设置明显的安全警示标志。</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《危险化学品安全管理条例》第二十条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8A1470">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.2.2</w:t>
            </w:r>
            <w:r w:rsidR="008A1470" w:rsidRPr="00687B52">
              <w:rPr>
                <w:rFonts w:ascii="Cambria" w:hAnsi="Cambria" w:hint="eastAsia"/>
                <w:color w:val="000000" w:themeColor="text1"/>
                <w:sz w:val="24"/>
                <w:szCs w:val="24"/>
              </w:rPr>
              <w:t>6</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生产、储存危险化学品的单位，应当在其作业场所设置通信、报警装置，并保证处于适用状态。</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《危险化学品安全管理条例》第二十一条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8A1470">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.2.2</w:t>
            </w:r>
            <w:r w:rsidR="008A1470" w:rsidRPr="00687B52">
              <w:rPr>
                <w:rFonts w:ascii="Cambria" w:hAnsi="Cambria" w:hint="eastAsia"/>
                <w:color w:val="000000" w:themeColor="text1"/>
                <w:sz w:val="24"/>
                <w:szCs w:val="24"/>
              </w:rPr>
              <w:t>7</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罐区应设置防止雷电、静电的接地保护系统，接地保护系统应符合</w:t>
            </w:r>
            <w:r w:rsidRPr="00687B52">
              <w:rPr>
                <w:rFonts w:ascii="Cambria" w:hAnsi="Cambria"/>
                <w:color w:val="000000" w:themeColor="text1"/>
                <w:sz w:val="24"/>
                <w:szCs w:val="24"/>
              </w:rPr>
              <w:t>GB12158</w:t>
            </w:r>
            <w:r w:rsidRPr="00687B52">
              <w:rPr>
                <w:rFonts w:ascii="Cambria" w:hAnsi="Cambria"/>
                <w:color w:val="000000" w:themeColor="text1"/>
                <w:sz w:val="24"/>
                <w:szCs w:val="24"/>
              </w:rPr>
              <w:t>等标准的要求。</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《危险化学品重大危险源罐区现场安全监控装备设置规范》</w:t>
            </w:r>
            <w:r w:rsidRPr="00687B52">
              <w:rPr>
                <w:rFonts w:ascii="Cambria" w:hAnsi="Cambria"/>
                <w:color w:val="000000" w:themeColor="text1"/>
                <w:sz w:val="24"/>
                <w:szCs w:val="24"/>
              </w:rPr>
              <w:t>AQ3036-2010</w:t>
            </w:r>
            <w:r w:rsidRPr="00687B52">
              <w:rPr>
                <w:rFonts w:ascii="Cambria" w:hAnsi="Cambria"/>
                <w:color w:val="000000" w:themeColor="text1"/>
                <w:sz w:val="24"/>
                <w:szCs w:val="24"/>
              </w:rPr>
              <w:t>第</w:t>
            </w:r>
            <w:r w:rsidRPr="00687B52">
              <w:rPr>
                <w:rFonts w:ascii="Cambria" w:hAnsi="Cambria"/>
                <w:color w:val="000000" w:themeColor="text1"/>
                <w:sz w:val="24"/>
                <w:szCs w:val="24"/>
              </w:rPr>
              <w:t>14.4.1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8A1470">
            <w:pPr>
              <w:overflowPunct w:val="0"/>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.2.2</w:t>
            </w:r>
            <w:r w:rsidR="008A1470" w:rsidRPr="00687B52">
              <w:rPr>
                <w:rFonts w:ascii="Cambria" w:hAnsi="Cambria" w:hint="eastAsia"/>
                <w:color w:val="000000" w:themeColor="text1"/>
                <w:sz w:val="24"/>
                <w:szCs w:val="24"/>
              </w:rPr>
              <w:t>8</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安全接地的接地体应设置在非爆炸危险场所，接地干线与接地体的连接点应有两处以上，安全接地地阻应小于</w:t>
            </w:r>
            <w:r w:rsidRPr="00687B52">
              <w:rPr>
                <w:rFonts w:ascii="Cambria" w:hAnsi="Cambria"/>
                <w:color w:val="000000" w:themeColor="text1"/>
                <w:sz w:val="24"/>
                <w:szCs w:val="24"/>
              </w:rPr>
              <w:t>4Ω</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《危险化学品重大危险源罐区现场安全监控装备设置规范》</w:t>
            </w:r>
            <w:r w:rsidRPr="00687B52">
              <w:rPr>
                <w:rFonts w:ascii="Cambria" w:hAnsi="Cambria"/>
                <w:color w:val="000000" w:themeColor="text1"/>
                <w:sz w:val="24"/>
                <w:szCs w:val="24"/>
              </w:rPr>
              <w:t>AQ3036-2010</w:t>
            </w:r>
            <w:r w:rsidRPr="00687B52">
              <w:rPr>
                <w:rFonts w:ascii="Cambria" w:hAnsi="Cambria"/>
                <w:color w:val="000000" w:themeColor="text1"/>
                <w:sz w:val="24"/>
                <w:szCs w:val="24"/>
              </w:rPr>
              <w:t>第</w:t>
            </w:r>
            <w:r w:rsidRPr="00687B52">
              <w:rPr>
                <w:rFonts w:ascii="Cambria" w:hAnsi="Cambria"/>
                <w:color w:val="000000" w:themeColor="text1"/>
                <w:sz w:val="24"/>
                <w:szCs w:val="24"/>
              </w:rPr>
              <w:t>14.4.2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8A1470">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w:t>
            </w:r>
            <w:r w:rsidR="00381914" w:rsidRPr="00687B52">
              <w:rPr>
                <w:rFonts w:ascii="Cambria" w:hAnsi="Cambria" w:hint="eastAsia"/>
                <w:color w:val="000000" w:themeColor="text1"/>
                <w:sz w:val="24"/>
                <w:szCs w:val="24"/>
              </w:rPr>
              <w:t>2</w:t>
            </w:r>
            <w:r w:rsidR="008A1470" w:rsidRPr="00687B52">
              <w:rPr>
                <w:rFonts w:ascii="Cambria" w:hAnsi="Cambria" w:hint="eastAsia"/>
                <w:color w:val="000000" w:themeColor="text1"/>
                <w:sz w:val="24"/>
                <w:szCs w:val="24"/>
              </w:rPr>
              <w:t>9</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对爆炸、火灾危险场所内可能产生静电危险的设备和管道，均应采取静电接地措施。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《石油化工企业企业设计防火规范》</w:t>
            </w:r>
            <w:r w:rsidRPr="00687B52">
              <w:rPr>
                <w:rFonts w:ascii="Cambria" w:hAnsi="Cambria"/>
                <w:color w:val="000000" w:themeColor="text1"/>
                <w:sz w:val="24"/>
                <w:szCs w:val="24"/>
              </w:rPr>
              <w:t>GB50160-2008</w:t>
            </w:r>
            <w:r w:rsidRPr="00687B52">
              <w:rPr>
                <w:rFonts w:ascii="Cambria" w:hAnsi="Cambria"/>
                <w:color w:val="000000" w:themeColor="text1"/>
                <w:sz w:val="24"/>
                <w:szCs w:val="24"/>
              </w:rPr>
              <w:t>第</w:t>
            </w:r>
            <w:r w:rsidRPr="00687B52">
              <w:rPr>
                <w:rFonts w:ascii="Cambria" w:hAnsi="Cambria"/>
                <w:color w:val="000000" w:themeColor="text1"/>
                <w:sz w:val="24"/>
                <w:szCs w:val="24"/>
              </w:rPr>
              <w:t>9.3.1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8A1470">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w:t>
            </w:r>
            <w:r w:rsidR="008A1470" w:rsidRPr="00687B52">
              <w:rPr>
                <w:rFonts w:ascii="Cambria" w:hAnsi="Cambria" w:hint="eastAsia"/>
                <w:color w:val="000000" w:themeColor="text1"/>
                <w:sz w:val="24"/>
                <w:szCs w:val="24"/>
              </w:rPr>
              <w:t>30</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有爆炸危险的厂房或厂房内有爆炸危险的部位应设置泄压设施。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3.6.2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8A1470">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.2.3</w:t>
            </w:r>
            <w:r w:rsidR="008A1470" w:rsidRPr="00687B52">
              <w:rPr>
                <w:rFonts w:ascii="Cambria" w:hAnsi="Cambria" w:hint="eastAsia"/>
                <w:color w:val="000000" w:themeColor="text1"/>
                <w:sz w:val="24"/>
                <w:szCs w:val="24"/>
              </w:rPr>
              <w:t>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氯气干燥、液化及充装系统应设置有毒气体（氯）浓度检测报警器。</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w:t>
            </w:r>
            <w:hyperlink r:id="rId120" w:tgtFrame="_blank" w:history="1">
              <w:r w:rsidRPr="00687B52">
                <w:rPr>
                  <w:rFonts w:ascii="Cambria" w:hAnsi="Cambria"/>
                  <w:color w:val="000000" w:themeColor="text1"/>
                  <w:sz w:val="24"/>
                  <w:szCs w:val="24"/>
                </w:rPr>
                <w:t>石油化工可燃气体和有毒气体检测报警设计规范</w:t>
              </w:r>
            </w:hyperlink>
            <w:r w:rsidRPr="00687B52">
              <w:rPr>
                <w:rFonts w:ascii="Cambria" w:hAnsi="Cambria"/>
                <w:color w:val="000000" w:themeColor="text1"/>
                <w:sz w:val="24"/>
                <w:szCs w:val="24"/>
              </w:rPr>
              <w:t>》</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GB50493-2009</w:t>
            </w:r>
            <w:r w:rsidRPr="00687B52">
              <w:rPr>
                <w:rFonts w:ascii="Cambria" w:hAnsi="Cambria"/>
                <w:color w:val="000000" w:themeColor="text1"/>
                <w:sz w:val="24"/>
                <w:szCs w:val="24"/>
              </w:rPr>
              <w:t>第</w:t>
            </w:r>
            <w:r w:rsidRPr="00687B52">
              <w:rPr>
                <w:rFonts w:ascii="Cambria" w:hAnsi="Cambria"/>
                <w:color w:val="000000" w:themeColor="text1"/>
                <w:sz w:val="24"/>
                <w:szCs w:val="24"/>
              </w:rPr>
              <w:t>3.0.1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8A1470">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.2.3</w:t>
            </w:r>
            <w:r w:rsidR="008A1470" w:rsidRPr="00687B52">
              <w:rPr>
                <w:rFonts w:ascii="Cambria" w:hAnsi="Cambria" w:hint="eastAsia"/>
                <w:color w:val="000000" w:themeColor="text1"/>
                <w:sz w:val="24"/>
                <w:szCs w:val="24"/>
              </w:rPr>
              <w:t>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氯气比重大于空气，其检（探）测器应靠近泄漏点，安装高度应距地坪（或楼地板）</w:t>
            </w:r>
            <w:r w:rsidRPr="00687B52">
              <w:rPr>
                <w:rFonts w:ascii="Cambria" w:hAnsi="Cambria"/>
                <w:color w:val="000000" w:themeColor="text1"/>
                <w:sz w:val="24"/>
                <w:szCs w:val="24"/>
              </w:rPr>
              <w:t>0.3-0.6m</w:t>
            </w:r>
            <w:r w:rsidRPr="00687B52">
              <w:rPr>
                <w:rFonts w:ascii="Cambria" w:hAnsi="Cambr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w:t>
            </w:r>
            <w:hyperlink r:id="rId121" w:tgtFrame="_blank" w:history="1">
              <w:r w:rsidRPr="00687B52">
                <w:rPr>
                  <w:rFonts w:ascii="Cambria" w:hAnsi="Cambria"/>
                  <w:color w:val="000000" w:themeColor="text1"/>
                  <w:sz w:val="24"/>
                  <w:szCs w:val="24"/>
                </w:rPr>
                <w:t>石油化工可燃气体和有毒气体检测报警设计规范</w:t>
              </w:r>
            </w:hyperlink>
            <w:r w:rsidRPr="00687B52">
              <w:rPr>
                <w:rFonts w:ascii="Cambria" w:hAnsi="Cambria"/>
                <w:color w:val="000000" w:themeColor="text1"/>
                <w:sz w:val="24"/>
                <w:szCs w:val="24"/>
              </w:rPr>
              <w:t>》</w:t>
            </w:r>
            <w:r w:rsidRPr="00687B52">
              <w:rPr>
                <w:rFonts w:ascii="Cambria" w:hAnsi="Cambria"/>
                <w:color w:val="000000" w:themeColor="text1"/>
                <w:sz w:val="24"/>
                <w:szCs w:val="24"/>
              </w:rPr>
              <w:t>GB50493-2009</w:t>
            </w:r>
            <w:r w:rsidRPr="00687B52">
              <w:rPr>
                <w:rFonts w:ascii="Cambria" w:hAnsi="Cambria"/>
                <w:color w:val="000000" w:themeColor="text1"/>
                <w:sz w:val="24"/>
                <w:szCs w:val="24"/>
              </w:rPr>
              <w:t>第</w:t>
            </w:r>
            <w:r w:rsidRPr="00687B52">
              <w:rPr>
                <w:rFonts w:ascii="Cambria" w:hAnsi="Cambria"/>
                <w:color w:val="000000" w:themeColor="text1"/>
                <w:sz w:val="24"/>
                <w:szCs w:val="24"/>
              </w:rPr>
              <w:t>6.1.1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8A1470">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.2.3</w:t>
            </w:r>
            <w:r w:rsidR="008A1470" w:rsidRPr="00687B52">
              <w:rPr>
                <w:rFonts w:ascii="Cambria" w:hAnsi="Cambria" w:hint="eastAsia"/>
                <w:color w:val="000000" w:themeColor="text1"/>
                <w:sz w:val="24"/>
                <w:szCs w:val="24"/>
              </w:rPr>
              <w:t>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压力容器、压力管道上的压力表安装前应当进行校定，在刻度盘上应当划出指示工作压力的红线，注明下次校验日期。压力表检定后应当加铅封。压力表应按相关规定定期校验。</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《固定式压力容器安全技术监察规程》</w:t>
            </w:r>
            <w:r w:rsidRPr="00687B52">
              <w:rPr>
                <w:rFonts w:ascii="Cambria" w:hAnsi="Cambria"/>
                <w:color w:val="000000" w:themeColor="text1"/>
                <w:sz w:val="24"/>
                <w:szCs w:val="24"/>
              </w:rPr>
              <w:t>TSG21-2016</w:t>
            </w:r>
            <w:r w:rsidRPr="00687B52">
              <w:rPr>
                <w:rFonts w:ascii="Cambria" w:hAnsi="Cambria"/>
                <w:color w:val="000000" w:themeColor="text1"/>
                <w:sz w:val="24"/>
                <w:szCs w:val="24"/>
              </w:rPr>
              <w:t>第</w:t>
            </w:r>
            <w:r w:rsidRPr="00687B52">
              <w:rPr>
                <w:rFonts w:ascii="Cambria" w:hAnsi="Cambria"/>
                <w:color w:val="000000" w:themeColor="text1"/>
                <w:sz w:val="24"/>
                <w:szCs w:val="24"/>
              </w:rPr>
              <w:t>9.2.1.2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381914">
            <w:pPr>
              <w:overflowPunct w:val="0"/>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.2.3</w:t>
            </w:r>
            <w:r w:rsidR="00381914" w:rsidRPr="00687B52">
              <w:rPr>
                <w:rFonts w:ascii="Cambria" w:hAnsi="Cambria" w:hint="eastAsia"/>
                <w:color w:val="000000" w:themeColor="text1"/>
                <w:sz w:val="24"/>
                <w:szCs w:val="24"/>
              </w:rPr>
              <w:t>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缓冲器应设压力表、排污阀、安全阀及压力报警装置，安装应符合工艺要求，定期排污、清洗。</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《液氯使用安全技术要求》</w:t>
            </w:r>
            <w:r w:rsidRPr="00687B52">
              <w:rPr>
                <w:rFonts w:ascii="Cambria" w:hAnsi="Cambria"/>
                <w:color w:val="000000" w:themeColor="text1"/>
                <w:sz w:val="24"/>
                <w:szCs w:val="24"/>
              </w:rPr>
              <w:t>AQ3014-2008</w:t>
            </w:r>
            <w:r w:rsidRPr="00687B52">
              <w:rPr>
                <w:rFonts w:ascii="Cambria" w:hAnsi="Cambria"/>
                <w:color w:val="000000" w:themeColor="text1"/>
                <w:sz w:val="24"/>
                <w:szCs w:val="24"/>
              </w:rPr>
              <w:t>第</w:t>
            </w:r>
            <w:r w:rsidRPr="00687B52">
              <w:rPr>
                <w:rFonts w:ascii="Cambria" w:hAnsi="Cambria"/>
                <w:color w:val="000000" w:themeColor="text1"/>
                <w:sz w:val="24"/>
                <w:szCs w:val="24"/>
              </w:rPr>
              <w:t>6.2.5.2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381914">
            <w:pPr>
              <w:overflowPunct w:val="0"/>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14</w:t>
            </w:r>
            <w:r w:rsidRPr="00687B52">
              <w:rPr>
                <w:rFonts w:ascii="Cambria" w:hAnsi="Cambria"/>
                <w:color w:val="000000" w:themeColor="text1"/>
                <w:sz w:val="24"/>
                <w:szCs w:val="24"/>
              </w:rPr>
              <w:t>.2.3</w:t>
            </w:r>
            <w:r w:rsidR="00381914" w:rsidRPr="00687B52">
              <w:rPr>
                <w:rFonts w:ascii="Cambria" w:hAnsi="Cambria" w:hint="eastAsia"/>
                <w:color w:val="000000" w:themeColor="text1"/>
                <w:sz w:val="24"/>
                <w:szCs w:val="24"/>
              </w:rPr>
              <w:t>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储罐应设置液位监测器，应具备高低位液位报警功能。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《危险化学品重大危险源罐区现场安全监控装备设置规范》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AQ3036-2010</w:t>
            </w:r>
            <w:r w:rsidRPr="00687B52">
              <w:rPr>
                <w:rFonts w:ascii="Cambria" w:hAnsi="Cambria"/>
                <w:color w:val="000000" w:themeColor="text1"/>
                <w:sz w:val="24"/>
                <w:szCs w:val="24"/>
              </w:rPr>
              <w:t>第</w:t>
            </w:r>
            <w:r w:rsidRPr="00687B52">
              <w:rPr>
                <w:rFonts w:ascii="Cambria" w:hAnsi="Cambria"/>
                <w:color w:val="000000" w:themeColor="text1"/>
                <w:sz w:val="24"/>
                <w:szCs w:val="24"/>
              </w:rPr>
              <w:t>6.3.1</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overflowPunct w:val="0"/>
              <w:spacing w:line="240" w:lineRule="exact"/>
              <w:jc w:val="center"/>
              <w:rPr>
                <w:rFonts w:ascii="Cambria" w:hAnsi="Cambria"/>
                <w:color w:val="000000" w:themeColor="text1"/>
                <w:sz w:val="24"/>
                <w:szCs w:val="24"/>
              </w:rPr>
            </w:pPr>
            <w:r w:rsidRPr="00687B52">
              <w:rPr>
                <w:rFonts w:ascii="Cambria" w:hAnsi="Cambria" w:hint="eastAsia"/>
                <w:b/>
                <w:color w:val="000000" w:themeColor="text1"/>
                <w:sz w:val="24"/>
                <w:szCs w:val="24"/>
              </w:rPr>
              <w:t>14</w:t>
            </w:r>
            <w:r w:rsidRPr="00687B52">
              <w:rPr>
                <w:rFonts w:ascii="Cambria" w:hAnsi="Cambria"/>
                <w:b/>
                <w:color w:val="000000" w:themeColor="text1"/>
                <w:sz w:val="24"/>
                <w:szCs w:val="24"/>
              </w:rPr>
              <w:t>.3</w:t>
            </w:r>
          </w:p>
        </w:tc>
        <w:tc>
          <w:tcPr>
            <w:tcW w:w="2101" w:type="pct"/>
            <w:vAlign w:val="center"/>
          </w:tcPr>
          <w:p w:rsidR="000E02C5" w:rsidRPr="00687B52" w:rsidRDefault="000E02C5" w:rsidP="00B527D4">
            <w:pPr>
              <w:adjustRightInd w:val="0"/>
              <w:snapToGrid w:val="0"/>
              <w:spacing w:line="320" w:lineRule="exact"/>
              <w:rPr>
                <w:rFonts w:ascii="Cambria" w:hAnsi="Cambria" w:cs="宋体"/>
                <w:color w:val="000000" w:themeColor="text1"/>
                <w:kern w:val="0"/>
                <w:sz w:val="24"/>
                <w:szCs w:val="24"/>
              </w:rPr>
            </w:pPr>
            <w:r w:rsidRPr="00687B52">
              <w:rPr>
                <w:rFonts w:ascii="Cambria" w:hAnsi="Cambria"/>
                <w:b/>
                <w:color w:val="000000" w:themeColor="text1"/>
                <w:sz w:val="24"/>
                <w:szCs w:val="24"/>
              </w:rPr>
              <w:t>公用工程及辅助设施</w:t>
            </w:r>
          </w:p>
        </w:tc>
        <w:tc>
          <w:tcPr>
            <w:tcW w:w="1236" w:type="pct"/>
            <w:vAlign w:val="center"/>
          </w:tcPr>
          <w:p w:rsidR="000E02C5" w:rsidRPr="00687B52" w:rsidRDefault="000E02C5" w:rsidP="00B527D4">
            <w:pPr>
              <w:adjustRightInd w:val="0"/>
              <w:snapToGrid w:val="0"/>
              <w:spacing w:line="320" w:lineRule="exact"/>
              <w:rPr>
                <w:rFonts w:ascii="Cambria" w:hAnsi="Cambria" w:cs="宋体"/>
                <w:color w:val="000000" w:themeColor="text1"/>
                <w:kern w:val="0"/>
                <w:sz w:val="24"/>
                <w:szCs w:val="24"/>
              </w:rPr>
            </w:pP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overflowPunct w:val="0"/>
              <w:spacing w:line="240" w:lineRule="exact"/>
              <w:jc w:val="center"/>
              <w:rPr>
                <w:rFonts w:ascii="Cambria" w:hAnsi="Cambria"/>
                <w:b/>
                <w:color w:val="000000" w:themeColor="text1"/>
                <w:sz w:val="24"/>
                <w:szCs w:val="24"/>
              </w:rPr>
            </w:pPr>
            <w:r w:rsidRPr="00687B52">
              <w:rPr>
                <w:rFonts w:ascii="Cambria" w:hAnsi="Cambria" w:hint="eastAsia"/>
                <w:b/>
                <w:color w:val="000000" w:themeColor="text1"/>
                <w:sz w:val="24"/>
                <w:szCs w:val="24"/>
              </w:rPr>
              <w:t>14</w:t>
            </w:r>
            <w:r w:rsidRPr="00687B52">
              <w:rPr>
                <w:rFonts w:ascii="Cambria" w:hAnsi="Cambria"/>
                <w:b/>
                <w:color w:val="000000" w:themeColor="text1"/>
                <w:sz w:val="24"/>
                <w:szCs w:val="24"/>
              </w:rPr>
              <w:t>.3.1</w:t>
            </w:r>
          </w:p>
        </w:tc>
        <w:tc>
          <w:tcPr>
            <w:tcW w:w="2101" w:type="pct"/>
            <w:vAlign w:val="center"/>
          </w:tcPr>
          <w:p w:rsidR="000E02C5" w:rsidRPr="00687B52" w:rsidRDefault="000E02C5" w:rsidP="00B527D4">
            <w:pPr>
              <w:adjustRightInd w:val="0"/>
              <w:snapToGrid w:val="0"/>
              <w:spacing w:line="320" w:lineRule="exact"/>
              <w:rPr>
                <w:rFonts w:ascii="Cambria" w:hAnsi="Cambria" w:cs="宋体"/>
                <w:b/>
                <w:color w:val="000000" w:themeColor="text1"/>
                <w:kern w:val="0"/>
                <w:sz w:val="24"/>
                <w:szCs w:val="24"/>
              </w:rPr>
            </w:pPr>
            <w:r w:rsidRPr="00687B52">
              <w:rPr>
                <w:rFonts w:ascii="Cambria" w:hAnsi="Cambria"/>
                <w:b/>
                <w:color w:val="000000" w:themeColor="text1"/>
                <w:sz w:val="24"/>
                <w:szCs w:val="24"/>
              </w:rPr>
              <w:t>涉氯储运</w:t>
            </w:r>
          </w:p>
        </w:tc>
        <w:tc>
          <w:tcPr>
            <w:tcW w:w="1236" w:type="pct"/>
            <w:vAlign w:val="center"/>
          </w:tcPr>
          <w:p w:rsidR="000E02C5" w:rsidRPr="00687B52" w:rsidRDefault="000E02C5" w:rsidP="00B527D4">
            <w:pPr>
              <w:adjustRightInd w:val="0"/>
              <w:snapToGrid w:val="0"/>
              <w:spacing w:line="320" w:lineRule="exact"/>
              <w:rPr>
                <w:rFonts w:ascii="Cambria" w:hAnsi="Cambria" w:cs="宋体"/>
                <w:color w:val="000000" w:themeColor="text1"/>
                <w:kern w:val="0"/>
                <w:sz w:val="24"/>
                <w:szCs w:val="24"/>
              </w:rPr>
            </w:pP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充装量为</w:t>
            </w:r>
            <w:r w:rsidRPr="00687B52">
              <w:rPr>
                <w:rFonts w:ascii="Cambria" w:hAnsi="Cambria"/>
                <w:color w:val="000000" w:themeColor="text1"/>
                <w:sz w:val="24"/>
                <w:szCs w:val="24"/>
              </w:rPr>
              <w:t>100kg</w:t>
            </w:r>
            <w:r w:rsidRPr="00687B52">
              <w:rPr>
                <w:rFonts w:ascii="Cambria" w:hAnsi="Cambria"/>
                <w:color w:val="000000" w:themeColor="text1"/>
                <w:sz w:val="24"/>
                <w:szCs w:val="24"/>
              </w:rPr>
              <w:t>、</w:t>
            </w:r>
            <w:r w:rsidRPr="00687B52">
              <w:rPr>
                <w:rFonts w:ascii="Cambria" w:hAnsi="Cambria"/>
                <w:color w:val="000000" w:themeColor="text1"/>
                <w:sz w:val="24"/>
                <w:szCs w:val="24"/>
              </w:rPr>
              <w:t>500kg</w:t>
            </w:r>
            <w:r w:rsidRPr="00687B52">
              <w:rPr>
                <w:rFonts w:ascii="Cambria" w:hAnsi="Cambria"/>
                <w:color w:val="000000" w:themeColor="text1"/>
                <w:sz w:val="24"/>
                <w:szCs w:val="24"/>
              </w:rPr>
              <w:t>和</w:t>
            </w:r>
            <w:r w:rsidRPr="00687B52">
              <w:rPr>
                <w:rFonts w:ascii="Cambria" w:hAnsi="Cambria"/>
                <w:color w:val="000000" w:themeColor="text1"/>
                <w:sz w:val="24"/>
                <w:szCs w:val="24"/>
              </w:rPr>
              <w:t>1000kg</w:t>
            </w:r>
            <w:r w:rsidRPr="00687B52">
              <w:rPr>
                <w:rFonts w:ascii="Cambria" w:hAnsi="Cambria"/>
                <w:color w:val="000000" w:themeColor="text1"/>
                <w:sz w:val="24"/>
                <w:szCs w:val="24"/>
              </w:rPr>
              <w:t>的气瓶装卸时，应采取起重机械，不应使用叉车装卸。起重机械起重量应大于气瓶重瓶时总重量的一倍以上，挂钩牢靠，制动可靠。</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《液氯使用安全技术要求》</w:t>
            </w:r>
            <w:r w:rsidRPr="00687B52">
              <w:rPr>
                <w:rFonts w:ascii="Cambria" w:hAnsi="Cambria"/>
                <w:color w:val="000000" w:themeColor="text1"/>
                <w:sz w:val="24"/>
                <w:szCs w:val="24"/>
              </w:rPr>
              <w:t>AQ3014-2008</w:t>
            </w:r>
            <w:r w:rsidRPr="00687B52">
              <w:rPr>
                <w:rFonts w:ascii="Cambria" w:hAnsi="Cambria"/>
                <w:color w:val="000000" w:themeColor="text1"/>
                <w:sz w:val="24"/>
                <w:szCs w:val="24"/>
              </w:rPr>
              <w:t>第</w:t>
            </w:r>
            <w:r w:rsidRPr="00687B52">
              <w:rPr>
                <w:rFonts w:ascii="Cambria" w:hAnsi="Cambria"/>
                <w:color w:val="000000" w:themeColor="text1"/>
                <w:sz w:val="24"/>
                <w:szCs w:val="24"/>
              </w:rPr>
              <w:t>6.2.1.1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出厂的工业用液氯槽车或钢瓶上应有明显牢固的标志，内容包括：企业名称、地址、产品名称、商标、执行标准号、空瓶质量及包装量、槽车号或钢瓶号、生产许可证标号及</w:t>
            </w:r>
            <w:r w:rsidRPr="00687B52">
              <w:rPr>
                <w:rFonts w:ascii="Cambria" w:hAnsi="Cambria"/>
                <w:color w:val="000000" w:themeColor="text1"/>
                <w:sz w:val="24"/>
                <w:szCs w:val="24"/>
              </w:rPr>
              <w:t>GB190</w:t>
            </w:r>
            <w:r w:rsidRPr="00687B52">
              <w:rPr>
                <w:rFonts w:ascii="Cambria" w:hAnsi="Cambria"/>
                <w:color w:val="000000" w:themeColor="text1"/>
                <w:sz w:val="24"/>
                <w:szCs w:val="24"/>
              </w:rPr>
              <w:t>中规定的</w:t>
            </w:r>
            <w:r w:rsidRPr="00687B52">
              <w:rPr>
                <w:rFonts w:ascii="Cambria" w:hAnsi="Cambria"/>
                <w:color w:val="000000" w:themeColor="text1"/>
                <w:sz w:val="24"/>
                <w:szCs w:val="24"/>
              </w:rPr>
              <w:t>“</w:t>
            </w:r>
            <w:r w:rsidRPr="00687B52">
              <w:rPr>
                <w:rFonts w:ascii="Cambria" w:hAnsi="Cambria"/>
                <w:color w:val="000000" w:themeColor="text1"/>
                <w:sz w:val="24"/>
                <w:szCs w:val="24"/>
              </w:rPr>
              <w:t>有毒品</w:t>
            </w:r>
            <w:r w:rsidRPr="00687B52">
              <w:rPr>
                <w:rFonts w:ascii="Cambria" w:hAnsi="Cambria"/>
                <w:color w:val="000000" w:themeColor="text1"/>
                <w:sz w:val="24"/>
                <w:szCs w:val="24"/>
              </w:rPr>
              <w:t>”</w:t>
            </w:r>
            <w:r w:rsidRPr="00687B52">
              <w:rPr>
                <w:rFonts w:ascii="Cambria" w:hAnsi="Cambria"/>
                <w:color w:val="000000" w:themeColor="text1"/>
                <w:sz w:val="24"/>
                <w:szCs w:val="24"/>
              </w:rPr>
              <w:t>标志。</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《工业用液氯》</w:t>
            </w:r>
            <w:r w:rsidRPr="00687B52">
              <w:rPr>
                <w:rFonts w:ascii="Cambria" w:hAnsi="Cambria"/>
                <w:color w:val="000000" w:themeColor="text1"/>
                <w:sz w:val="24"/>
                <w:szCs w:val="24"/>
              </w:rPr>
              <w:t>GB5138-2006</w:t>
            </w:r>
            <w:r w:rsidRPr="00687B52">
              <w:rPr>
                <w:rFonts w:ascii="Cambria" w:hAnsi="Cambria"/>
                <w:color w:val="000000" w:themeColor="text1"/>
                <w:sz w:val="24"/>
                <w:szCs w:val="24"/>
              </w:rPr>
              <w:t>第</w:t>
            </w:r>
            <w:r w:rsidRPr="00687B52">
              <w:rPr>
                <w:rFonts w:ascii="Cambria" w:hAnsi="Cambria"/>
                <w:color w:val="000000" w:themeColor="text1"/>
                <w:sz w:val="24"/>
                <w:szCs w:val="24"/>
              </w:rPr>
              <w:t>7.1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3</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氯气气瓶不应露天存放，也不应使用易燃、可燃材料搭设的棚架存放，应贮存在专用库房内。</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7.1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4</w:t>
            </w:r>
            <w:r w:rsidRPr="00687B52">
              <w:rPr>
                <w:rFonts w:ascii="Cambria" w:hAnsi="Cambria" w:hint="eastAs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氯气气瓶空瓶和充装后的重瓶应分开放置，不应与其他气瓶混放，不应同室存放其他危险物品。</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7.1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5</w:t>
            </w:r>
            <w:r w:rsidRPr="00687B52">
              <w:rPr>
                <w:rFonts w:ascii="Cambria" w:hAnsi="Cambria" w:hint="eastAs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氯气气瓶重瓶存放期不应超过三个月。</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7.1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6</w:t>
            </w:r>
            <w:r w:rsidRPr="00687B52">
              <w:rPr>
                <w:rFonts w:ascii="Cambria" w:hAnsi="Cambria" w:hint="eastAs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氯气气瓶充装量为</w:t>
            </w:r>
            <w:r w:rsidRPr="00687B52">
              <w:rPr>
                <w:rFonts w:ascii="Cambria" w:hAnsi="Cambria"/>
                <w:color w:val="000000" w:themeColor="text1"/>
                <w:sz w:val="24"/>
                <w:szCs w:val="24"/>
              </w:rPr>
              <w:t>500kg</w:t>
            </w:r>
            <w:r w:rsidRPr="00687B52">
              <w:rPr>
                <w:rFonts w:ascii="Cambria" w:hAnsi="Cambria"/>
                <w:color w:val="000000" w:themeColor="text1"/>
                <w:sz w:val="24"/>
                <w:szCs w:val="24"/>
              </w:rPr>
              <w:t>和</w:t>
            </w:r>
            <w:r w:rsidRPr="00687B52">
              <w:rPr>
                <w:rFonts w:ascii="Cambria" w:hAnsi="Cambria"/>
                <w:color w:val="000000" w:themeColor="text1"/>
                <w:sz w:val="24"/>
                <w:szCs w:val="24"/>
              </w:rPr>
              <w:t>1000kg</w:t>
            </w:r>
            <w:r w:rsidRPr="00687B52">
              <w:rPr>
                <w:rFonts w:ascii="Cambria" w:hAnsi="Cambria"/>
                <w:color w:val="000000" w:themeColor="text1"/>
                <w:sz w:val="24"/>
                <w:szCs w:val="24"/>
              </w:rPr>
              <w:t>的重瓶，应横向卧放，防止滚动，并流出吊运间距和通道。存放高度不应超过两层。</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7.1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b/>
                <w:color w:val="000000" w:themeColor="text1"/>
                <w:sz w:val="24"/>
                <w:szCs w:val="24"/>
              </w:rPr>
            </w:pPr>
            <w:r w:rsidRPr="00687B52">
              <w:rPr>
                <w:rFonts w:ascii="Cambria" w:hAnsi="Cambria"/>
                <w:color w:val="000000" w:themeColor="text1"/>
                <w:sz w:val="24"/>
                <w:szCs w:val="24"/>
              </w:rPr>
              <w:t>7</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液氯储罐区</w:t>
            </w:r>
            <w:r w:rsidRPr="00687B52">
              <w:rPr>
                <w:rFonts w:ascii="Cambria" w:hAnsi="Cambria"/>
                <w:color w:val="000000" w:themeColor="text1"/>
                <w:sz w:val="24"/>
                <w:szCs w:val="24"/>
              </w:rPr>
              <w:t>20m</w:t>
            </w:r>
            <w:r w:rsidRPr="00687B52">
              <w:rPr>
                <w:rFonts w:ascii="Cambria" w:hAnsi="Cambria"/>
                <w:color w:val="000000" w:themeColor="text1"/>
                <w:sz w:val="24"/>
                <w:szCs w:val="24"/>
              </w:rPr>
              <w:t>范围内，不应堆放易燃和可燃物品；</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7.2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8</w:t>
            </w:r>
            <w:r w:rsidRPr="00687B52">
              <w:rPr>
                <w:rFonts w:ascii="Cambria" w:hAnsi="Cambria" w:hint="eastAs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大贮量液氯贮罐，其液氯出口管道，应装设柔性连接或者弹簧支吊架，防止因基础下沉引起安装应力。</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7.2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9</w:t>
            </w:r>
            <w:r w:rsidRPr="00687B52">
              <w:rPr>
                <w:rFonts w:ascii="Cambria" w:hAnsi="Cambria" w:hint="eastAs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液氯贮罐库区范围内应设有安全标志，配备相应的抢修器材，有效防护用具及消防器材。</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7.2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10</w:t>
            </w:r>
            <w:r w:rsidRPr="00687B52">
              <w:rPr>
                <w:rFonts w:ascii="Cambria" w:hAnsi="Cambria" w:hint="eastAs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地上液氯贮罐地面应低于周围地面</w:t>
            </w:r>
            <w:r w:rsidRPr="00687B52">
              <w:rPr>
                <w:rFonts w:ascii="Cambria" w:hAnsi="Cambria"/>
                <w:color w:val="000000" w:themeColor="text1"/>
                <w:sz w:val="24"/>
                <w:szCs w:val="24"/>
              </w:rPr>
              <w:t>0.3-0.5m</w:t>
            </w:r>
            <w:r w:rsidRPr="00687B52">
              <w:rPr>
                <w:rFonts w:ascii="Cambria" w:hAnsi="Cambria"/>
                <w:color w:val="000000" w:themeColor="text1"/>
                <w:sz w:val="24"/>
                <w:szCs w:val="24"/>
              </w:rPr>
              <w:t>或在贮存区周边设</w:t>
            </w:r>
            <w:r w:rsidRPr="00687B52">
              <w:rPr>
                <w:rFonts w:ascii="Cambria" w:hAnsi="Cambria"/>
                <w:color w:val="000000" w:themeColor="text1"/>
                <w:sz w:val="24"/>
                <w:szCs w:val="24"/>
              </w:rPr>
              <w:t>0.3m-0.5m</w:t>
            </w:r>
            <w:r w:rsidRPr="00687B52">
              <w:rPr>
                <w:rFonts w:ascii="Cambria" w:hAnsi="Cambria"/>
                <w:color w:val="000000" w:themeColor="text1"/>
                <w:sz w:val="24"/>
                <w:szCs w:val="24"/>
              </w:rPr>
              <w:t>的事故围堰，防止一旦发生液氯泄漏事故，液氯气化面积扩大</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7.2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cs="Arial"/>
                <w:color w:val="000000" w:themeColor="text1"/>
                <w:sz w:val="24"/>
                <w:szCs w:val="24"/>
              </w:rPr>
              <w:t>11</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应当储存在专用仓库、专用场地或者专用储存室（以下统称专用仓库）内，并由专人负责管理；剧毒化学品以及储存数量构成重大危险源的其他危险化学品，应当在专用仓库内单独存放，并实行双人收发、双人保管制度。</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《危险化学品安全管理条例》第二十四条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12</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液氯气瓶的运输安全气瓶装卸、搬运时，应戴好瓶帽、防震圈，不应撞击。</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8.1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13</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充装量为</w:t>
            </w:r>
            <w:r w:rsidRPr="00687B52">
              <w:rPr>
                <w:rFonts w:ascii="Cambria" w:hAnsi="Cambria"/>
                <w:color w:val="000000" w:themeColor="text1"/>
                <w:sz w:val="24"/>
                <w:szCs w:val="24"/>
              </w:rPr>
              <w:t>50kg</w:t>
            </w:r>
            <w:r w:rsidRPr="00687B52">
              <w:rPr>
                <w:rFonts w:ascii="Cambria" w:hAnsi="Cambria"/>
                <w:color w:val="000000" w:themeColor="text1"/>
                <w:sz w:val="24"/>
                <w:szCs w:val="24"/>
              </w:rPr>
              <w:t>的液氯气瓶装卸时，应用橡胶板衬垫，用手推车搬运时，应加以固定。</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8.1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14</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充装量为</w:t>
            </w:r>
            <w:r w:rsidRPr="00687B52">
              <w:rPr>
                <w:rFonts w:ascii="Cambria" w:hAnsi="Cambria"/>
                <w:color w:val="000000" w:themeColor="text1"/>
                <w:sz w:val="24"/>
                <w:szCs w:val="24"/>
              </w:rPr>
              <w:t>100kg</w:t>
            </w:r>
            <w:r w:rsidRPr="00687B52">
              <w:rPr>
                <w:rFonts w:ascii="Cambria" w:hAnsi="Cambria"/>
                <w:color w:val="000000" w:themeColor="text1"/>
                <w:sz w:val="24"/>
                <w:szCs w:val="24"/>
              </w:rPr>
              <w:t>、</w:t>
            </w:r>
            <w:r w:rsidRPr="00687B52">
              <w:rPr>
                <w:rFonts w:ascii="Cambria" w:hAnsi="Cambria"/>
                <w:color w:val="000000" w:themeColor="text1"/>
                <w:sz w:val="24"/>
                <w:szCs w:val="24"/>
              </w:rPr>
              <w:t>500kg</w:t>
            </w:r>
            <w:r w:rsidRPr="00687B52">
              <w:rPr>
                <w:rFonts w:ascii="Cambria" w:hAnsi="Cambria"/>
                <w:color w:val="000000" w:themeColor="text1"/>
                <w:sz w:val="24"/>
                <w:szCs w:val="24"/>
              </w:rPr>
              <w:t>和</w:t>
            </w:r>
            <w:r w:rsidRPr="00687B52">
              <w:rPr>
                <w:rFonts w:ascii="Cambria" w:hAnsi="Cambria"/>
                <w:color w:val="000000" w:themeColor="text1"/>
                <w:sz w:val="24"/>
                <w:szCs w:val="24"/>
              </w:rPr>
              <w:t>1000kg</w:t>
            </w:r>
            <w:r w:rsidRPr="00687B52">
              <w:rPr>
                <w:rFonts w:ascii="Cambria" w:hAnsi="Cambria"/>
                <w:color w:val="000000" w:themeColor="text1"/>
                <w:sz w:val="24"/>
                <w:szCs w:val="24"/>
              </w:rPr>
              <w:t>的液氯气瓶装卸时，应采用起重机械，起重量应大于重瓶重量的一倍以上，并挂钩牢固。不应使用叉车装卸。</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8.1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15</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夜间装卸时，场地应有足够的照明。</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8.1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16</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危险化学品运输车辆应按规定悬挂危险品标志</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8.1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17</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不应同车混装其他物品或让无关人员搭乘</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8.1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18</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运输液氯气瓶的车辆不应从隧道过江。</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8.1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19</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车辆运输气瓶时，瓶阀一律朝向车辆行驶方向的右侧。</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8.1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20</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充装量为</w:t>
            </w:r>
            <w:r w:rsidRPr="00687B52">
              <w:rPr>
                <w:rFonts w:ascii="Cambria" w:hAnsi="Cambria"/>
                <w:color w:val="000000" w:themeColor="text1"/>
                <w:sz w:val="24"/>
                <w:szCs w:val="24"/>
              </w:rPr>
              <w:t>50kg</w:t>
            </w:r>
            <w:r w:rsidRPr="00687B52">
              <w:rPr>
                <w:rFonts w:ascii="Cambria" w:hAnsi="Cambria"/>
                <w:color w:val="000000" w:themeColor="text1"/>
                <w:sz w:val="24"/>
                <w:szCs w:val="24"/>
              </w:rPr>
              <w:t>的液氯气瓶应横向装运，堆放高度不应超过两层；充装量为</w:t>
            </w:r>
            <w:r w:rsidRPr="00687B52">
              <w:rPr>
                <w:rFonts w:ascii="Cambria" w:hAnsi="Cambria"/>
                <w:color w:val="000000" w:themeColor="text1"/>
                <w:sz w:val="24"/>
                <w:szCs w:val="24"/>
              </w:rPr>
              <w:t>100kg</w:t>
            </w:r>
            <w:r w:rsidRPr="00687B52">
              <w:rPr>
                <w:rFonts w:ascii="Cambria" w:hAnsi="Cambria"/>
                <w:color w:val="000000" w:themeColor="text1"/>
                <w:sz w:val="24"/>
                <w:szCs w:val="24"/>
              </w:rPr>
              <w:t>、</w:t>
            </w:r>
            <w:r w:rsidRPr="00687B52">
              <w:rPr>
                <w:rFonts w:ascii="Cambria" w:hAnsi="Cambria"/>
                <w:color w:val="000000" w:themeColor="text1"/>
                <w:sz w:val="24"/>
                <w:szCs w:val="24"/>
              </w:rPr>
              <w:t>500kg</w:t>
            </w:r>
            <w:r w:rsidRPr="00687B52">
              <w:rPr>
                <w:rFonts w:ascii="Cambria" w:hAnsi="Cambria"/>
                <w:color w:val="000000" w:themeColor="text1"/>
                <w:sz w:val="24"/>
                <w:szCs w:val="24"/>
              </w:rPr>
              <w:t>和</w:t>
            </w:r>
            <w:r w:rsidRPr="00687B52">
              <w:rPr>
                <w:rFonts w:ascii="Cambria" w:hAnsi="Cambria"/>
                <w:color w:val="000000" w:themeColor="text1"/>
                <w:sz w:val="24"/>
                <w:szCs w:val="24"/>
              </w:rPr>
              <w:t>1000kg</w:t>
            </w:r>
            <w:r w:rsidRPr="00687B52">
              <w:rPr>
                <w:rFonts w:ascii="Cambria" w:hAnsi="Cambria"/>
                <w:color w:val="000000" w:themeColor="text1"/>
                <w:sz w:val="24"/>
                <w:szCs w:val="24"/>
              </w:rPr>
              <w:t>的气瓶装运，只允许单层放置，并牢靠固定防止滚动。</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8.1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21</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不应用自卸车、挂车、畜力车运输液氯气瓶</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8.1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22</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氯储存安全措施</w:t>
            </w:r>
            <w:r w:rsidRPr="00687B52">
              <w:rPr>
                <w:rFonts w:ascii="Cambria" w:hAnsi="Cambria"/>
                <w:color w:val="000000" w:themeColor="text1"/>
                <w:sz w:val="24"/>
                <w:szCs w:val="24"/>
              </w:rPr>
              <w:t>-</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①</w:t>
            </w:r>
            <w:r w:rsidRPr="00687B52">
              <w:rPr>
                <w:rFonts w:ascii="Cambria" w:hAnsi="Cambria"/>
                <w:color w:val="000000" w:themeColor="text1"/>
                <w:sz w:val="24"/>
                <w:szCs w:val="24"/>
              </w:rPr>
              <w:t>储存于阴凉、通风仓库内，库房温度不宜超过</w:t>
            </w:r>
            <w:r w:rsidRPr="00687B52">
              <w:rPr>
                <w:rFonts w:ascii="Cambria" w:hAnsi="Cambria"/>
                <w:color w:val="000000" w:themeColor="text1"/>
                <w:sz w:val="24"/>
                <w:szCs w:val="24"/>
              </w:rPr>
              <w:t>30</w:t>
            </w:r>
            <w:r w:rsidRPr="00687B52">
              <w:rPr>
                <w:rFonts w:ascii="Cambria" w:hAnsi="Cambria" w:hint="eastAsia"/>
                <w:color w:val="000000" w:themeColor="text1"/>
                <w:sz w:val="24"/>
                <w:szCs w:val="24"/>
              </w:rPr>
              <w:t>℃</w:t>
            </w:r>
            <w:r w:rsidRPr="00687B52">
              <w:rPr>
                <w:rFonts w:ascii="Cambria" w:hAnsi="Cambria"/>
                <w:color w:val="000000" w:themeColor="text1"/>
                <w:sz w:val="24"/>
                <w:szCs w:val="24"/>
              </w:rPr>
              <w:t>，相对湿度不超过</w:t>
            </w:r>
            <w:r w:rsidRPr="00687B52">
              <w:rPr>
                <w:rFonts w:ascii="Cambria" w:hAnsi="Cambria"/>
                <w:color w:val="000000" w:themeColor="text1"/>
                <w:sz w:val="24"/>
                <w:szCs w:val="24"/>
              </w:rPr>
              <w:t>80</w:t>
            </w:r>
            <w:r w:rsidRPr="00687B52">
              <w:rPr>
                <w:rFonts w:ascii="Cambria" w:hAnsi="Cambria"/>
                <w:color w:val="000000" w:themeColor="text1"/>
                <w:sz w:val="24"/>
                <w:szCs w:val="24"/>
              </w:rPr>
              <w:t>％，防止阳光直射。</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②</w:t>
            </w:r>
            <w:r w:rsidRPr="00687B52">
              <w:rPr>
                <w:rFonts w:ascii="Cambria" w:hAnsi="Cambria"/>
                <w:color w:val="000000" w:themeColor="text1"/>
                <w:sz w:val="24"/>
                <w:szCs w:val="24"/>
              </w:rPr>
              <w:t>空瓶和实瓶应分开放置，并应设置明显标志。储存区应备有泄漏应急处理设备。</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③</w:t>
            </w:r>
            <w:r w:rsidRPr="00687B52">
              <w:rPr>
                <w:rFonts w:ascii="Cambria" w:hAnsi="Cambria"/>
                <w:color w:val="000000" w:themeColor="text1"/>
                <w:sz w:val="24"/>
                <w:szCs w:val="24"/>
              </w:rPr>
              <w:t>氯气钢瓶库应备应急堵漏工具和个体防护用具。</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《首批重点监管的危险化学品安全措施和应急处置原则》安监总厅管三〔</w:t>
            </w:r>
            <w:r w:rsidRPr="00687B52">
              <w:rPr>
                <w:rFonts w:ascii="Cambria" w:hAnsi="Cambria"/>
                <w:color w:val="000000" w:themeColor="text1"/>
                <w:sz w:val="24"/>
                <w:szCs w:val="24"/>
              </w:rPr>
              <w:t>2011</w:t>
            </w:r>
            <w:r w:rsidRPr="00687B52">
              <w:rPr>
                <w:rFonts w:ascii="Cambria" w:hAnsi="Cambria"/>
                <w:color w:val="000000" w:themeColor="text1"/>
                <w:sz w:val="24"/>
                <w:szCs w:val="24"/>
              </w:rPr>
              <w:t>〕</w:t>
            </w:r>
            <w:r w:rsidRPr="00687B52">
              <w:rPr>
                <w:rFonts w:ascii="Cambria" w:hAnsi="Cambria"/>
                <w:color w:val="000000" w:themeColor="text1"/>
                <w:sz w:val="24"/>
                <w:szCs w:val="24"/>
              </w:rPr>
              <w:t>142</w:t>
            </w:r>
            <w:r w:rsidRPr="00687B52">
              <w:rPr>
                <w:rFonts w:ascii="Cambria" w:hAnsi="Cambria"/>
                <w:color w:val="000000" w:themeColor="text1"/>
                <w:sz w:val="24"/>
                <w:szCs w:val="24"/>
              </w:rPr>
              <w:t>号</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b/>
                <w:color w:val="000000" w:themeColor="text1"/>
                <w:sz w:val="24"/>
                <w:szCs w:val="24"/>
              </w:rPr>
            </w:pPr>
            <w:r w:rsidRPr="00687B52">
              <w:rPr>
                <w:rFonts w:ascii="Cambria" w:hAnsi="Cambria" w:hint="eastAsia"/>
                <w:b/>
                <w:color w:val="000000" w:themeColor="text1"/>
                <w:sz w:val="24"/>
                <w:szCs w:val="24"/>
              </w:rPr>
              <w:t>14</w:t>
            </w:r>
            <w:r w:rsidRPr="00687B52">
              <w:rPr>
                <w:rFonts w:ascii="Cambria" w:hAnsi="Cambria"/>
                <w:b/>
                <w:color w:val="000000" w:themeColor="text1"/>
                <w:sz w:val="24"/>
                <w:szCs w:val="24"/>
              </w:rPr>
              <w:t>.3.2</w:t>
            </w:r>
          </w:p>
        </w:tc>
        <w:tc>
          <w:tcPr>
            <w:tcW w:w="2101" w:type="pct"/>
            <w:vAlign w:val="center"/>
          </w:tcPr>
          <w:p w:rsidR="000E02C5" w:rsidRPr="00687B52" w:rsidRDefault="000E02C5" w:rsidP="00B527D4">
            <w:pPr>
              <w:adjustRightInd w:val="0"/>
              <w:snapToGrid w:val="0"/>
              <w:spacing w:line="320" w:lineRule="exact"/>
              <w:rPr>
                <w:rFonts w:ascii="Cambria" w:hAnsi="Cambria"/>
                <w:b/>
                <w:color w:val="000000" w:themeColor="text1"/>
                <w:sz w:val="24"/>
                <w:szCs w:val="24"/>
              </w:rPr>
            </w:pPr>
            <w:r w:rsidRPr="00687B52">
              <w:rPr>
                <w:rFonts w:ascii="Cambria" w:hAnsi="Cambria"/>
                <w:b/>
                <w:color w:val="000000" w:themeColor="text1"/>
                <w:sz w:val="24"/>
                <w:szCs w:val="24"/>
              </w:rPr>
              <w:t>消防系统与应急设施</w:t>
            </w:r>
          </w:p>
        </w:tc>
        <w:tc>
          <w:tcPr>
            <w:tcW w:w="1236" w:type="pct"/>
            <w:vAlign w:val="center"/>
          </w:tcPr>
          <w:p w:rsidR="000E02C5" w:rsidRPr="00687B52" w:rsidRDefault="000E02C5" w:rsidP="00B527D4">
            <w:pPr>
              <w:adjustRightInd w:val="0"/>
              <w:snapToGrid w:val="0"/>
              <w:spacing w:line="320" w:lineRule="exact"/>
              <w:rPr>
                <w:rFonts w:ascii="Cambria" w:hAnsi="Cambria" w:cs="宋体"/>
                <w:color w:val="000000" w:themeColor="text1"/>
                <w:kern w:val="0"/>
                <w:sz w:val="24"/>
                <w:szCs w:val="24"/>
              </w:rPr>
            </w:pP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易于发生火灾且难以快速报警的场所，应按要求设置火灾报警按钮，控制室、操作室应设置声光报警控制装置。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《危险化学品重大危险源罐区现场安全监控装备设置规范》</w:t>
            </w:r>
            <w:r w:rsidRPr="00687B52">
              <w:rPr>
                <w:rFonts w:ascii="Cambria" w:hAnsi="Cambria"/>
                <w:color w:val="000000" w:themeColor="text1"/>
                <w:sz w:val="24"/>
                <w:szCs w:val="24"/>
              </w:rPr>
              <w:t>AQ3036-2010</w:t>
            </w:r>
            <w:r w:rsidRPr="00687B52">
              <w:rPr>
                <w:rFonts w:ascii="Cambria" w:hAnsi="Cambria"/>
                <w:color w:val="000000" w:themeColor="text1"/>
                <w:sz w:val="24"/>
                <w:szCs w:val="24"/>
              </w:rPr>
              <w:t>第</w:t>
            </w:r>
            <w:r w:rsidRPr="00687B52">
              <w:rPr>
                <w:rFonts w:ascii="Cambria" w:hAnsi="Cambria"/>
                <w:color w:val="000000" w:themeColor="text1"/>
                <w:sz w:val="24"/>
                <w:szCs w:val="24"/>
              </w:rPr>
              <w:t>9.1.2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有爆炸危险区域内的楼梯间、室外楼梯或有爆炸危险的区域和相邻区域联通处，应设置门斗等防护措施。门斗的隔墙应为耐火极限不应低于</w:t>
            </w:r>
            <w:r w:rsidRPr="00687B52">
              <w:rPr>
                <w:rFonts w:ascii="Cambria" w:hAnsi="Cambria"/>
                <w:color w:val="000000" w:themeColor="text1"/>
                <w:sz w:val="24"/>
                <w:szCs w:val="24"/>
              </w:rPr>
              <w:t>2.00h</w:t>
            </w:r>
            <w:r w:rsidRPr="00687B52">
              <w:rPr>
                <w:rFonts w:ascii="Cambria" w:hAnsi="Cambria"/>
                <w:color w:val="000000" w:themeColor="text1"/>
                <w:sz w:val="24"/>
                <w:szCs w:val="24"/>
              </w:rPr>
              <w:t>的防火隔墙，门应采用甲级防火门并应与楼梯间的门错位设置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3.6.10</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cs="Arial"/>
                <w:color w:val="000000" w:themeColor="text1"/>
                <w:sz w:val="24"/>
                <w:szCs w:val="24"/>
              </w:rPr>
              <w:t>3</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生产、贮存、运输、使用等氯气作业场所，都应配备应急抢修器材和防护器材，具体防护器材见《氯气安全规程》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3.8</w:t>
            </w:r>
            <w:r w:rsidRPr="00687B52">
              <w:rPr>
                <w:rFonts w:ascii="Cambria" w:hAnsi="Cambria"/>
                <w:color w:val="000000" w:themeColor="text1"/>
                <w:sz w:val="24"/>
                <w:szCs w:val="24"/>
              </w:rPr>
              <w:t>条，并定期维护。</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3.8</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cs="Arial"/>
                <w:color w:val="000000" w:themeColor="text1"/>
                <w:sz w:val="24"/>
                <w:szCs w:val="24"/>
              </w:rPr>
              <w:t>4</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防护用品应定期检查，定期更换。防护用品放置位置应便于作业人员使用。</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《氯气安全规程》</w:t>
            </w:r>
            <w:r w:rsidRPr="00687B52">
              <w:rPr>
                <w:rFonts w:ascii="Cambria" w:hAnsi="Cambria"/>
                <w:color w:val="000000" w:themeColor="text1"/>
                <w:sz w:val="24"/>
                <w:szCs w:val="24"/>
              </w:rPr>
              <w:t>GB11984-2008</w:t>
            </w:r>
            <w:r w:rsidRPr="00687B52">
              <w:rPr>
                <w:rFonts w:ascii="Cambria" w:hAnsi="Cambria"/>
                <w:color w:val="000000" w:themeColor="text1"/>
                <w:sz w:val="24"/>
                <w:szCs w:val="24"/>
              </w:rPr>
              <w:t>第</w:t>
            </w:r>
            <w:r w:rsidRPr="00687B52">
              <w:rPr>
                <w:rFonts w:ascii="Cambria" w:hAnsi="Cambria"/>
                <w:color w:val="000000" w:themeColor="text1"/>
                <w:sz w:val="24"/>
                <w:szCs w:val="24"/>
              </w:rPr>
              <w:t>9.1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9032A" w:rsidP="00B527D4">
            <w:pPr>
              <w:spacing w:line="240" w:lineRule="exact"/>
              <w:jc w:val="center"/>
              <w:rPr>
                <w:rFonts w:ascii="Cambria" w:hAnsi="Cambria" w:cs="Arial"/>
                <w:b/>
                <w:color w:val="000000" w:themeColor="text1"/>
                <w:sz w:val="24"/>
                <w:szCs w:val="24"/>
              </w:rPr>
            </w:pPr>
            <w:r w:rsidRPr="00687B52">
              <w:rPr>
                <w:rFonts w:ascii="Cambria" w:hAnsi="Cambria" w:cs="Arial" w:hint="eastAsia"/>
                <w:b/>
                <w:color w:val="000000" w:themeColor="text1"/>
                <w:sz w:val="24"/>
                <w:szCs w:val="24"/>
              </w:rPr>
              <w:t>15</w:t>
            </w:r>
          </w:p>
        </w:tc>
        <w:tc>
          <w:tcPr>
            <w:tcW w:w="2101" w:type="pct"/>
            <w:vAlign w:val="center"/>
          </w:tcPr>
          <w:p w:rsidR="000E02C5" w:rsidRPr="00687B52" w:rsidRDefault="000E02C5" w:rsidP="00B527D4">
            <w:pPr>
              <w:adjustRightInd w:val="0"/>
              <w:snapToGrid w:val="0"/>
              <w:spacing w:line="320" w:lineRule="exact"/>
              <w:rPr>
                <w:rFonts w:ascii="Cambria" w:hAnsi="Cambria" w:cs="宋体"/>
                <w:b/>
                <w:color w:val="000000" w:themeColor="text1"/>
                <w:kern w:val="0"/>
                <w:sz w:val="24"/>
                <w:szCs w:val="24"/>
              </w:rPr>
            </w:pPr>
            <w:r w:rsidRPr="00687B52">
              <w:rPr>
                <w:rFonts w:ascii="Cambria" w:hAnsi="Cambria"/>
                <w:b/>
                <w:color w:val="000000" w:themeColor="text1"/>
                <w:sz w:val="24"/>
                <w:szCs w:val="24"/>
              </w:rPr>
              <w:t>煤气站</w:t>
            </w:r>
            <w:r w:rsidRPr="00687B52">
              <w:rPr>
                <w:rFonts w:ascii="Cambria" w:hAnsi="Cambria" w:hint="eastAsia"/>
                <w:b/>
                <w:color w:val="000000" w:themeColor="text1"/>
                <w:sz w:val="24"/>
                <w:szCs w:val="24"/>
              </w:rPr>
              <w:t>企业</w:t>
            </w:r>
            <w:r w:rsidR="0043607E" w:rsidRPr="00687B52">
              <w:rPr>
                <w:rFonts w:ascii="Cambria" w:hAnsi="Cambria" w:hint="eastAsia"/>
                <w:b/>
                <w:color w:val="000000" w:themeColor="text1"/>
                <w:sz w:val="24"/>
                <w:szCs w:val="24"/>
              </w:rPr>
              <w:t>专项检查</w:t>
            </w:r>
          </w:p>
        </w:tc>
        <w:tc>
          <w:tcPr>
            <w:tcW w:w="1236" w:type="pct"/>
            <w:vAlign w:val="center"/>
          </w:tcPr>
          <w:p w:rsidR="000E02C5" w:rsidRPr="00687B52" w:rsidRDefault="000E02C5" w:rsidP="00B527D4">
            <w:pPr>
              <w:adjustRightInd w:val="0"/>
              <w:snapToGrid w:val="0"/>
              <w:spacing w:line="320" w:lineRule="exact"/>
              <w:rPr>
                <w:rFonts w:ascii="Cambria" w:hAnsi="Cambria" w:cs="宋体"/>
                <w:color w:val="000000" w:themeColor="text1"/>
                <w:kern w:val="0"/>
                <w:sz w:val="24"/>
                <w:szCs w:val="24"/>
              </w:rPr>
            </w:pP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b/>
                <w:color w:val="000000" w:themeColor="text1"/>
                <w:sz w:val="24"/>
                <w:szCs w:val="24"/>
              </w:rPr>
            </w:pPr>
            <w:r w:rsidRPr="00687B52">
              <w:rPr>
                <w:rFonts w:ascii="Cambria" w:hAnsi="Cambria" w:cs="Arial" w:hint="eastAsia"/>
                <w:b/>
                <w:color w:val="000000" w:themeColor="text1"/>
                <w:sz w:val="24"/>
                <w:szCs w:val="24"/>
              </w:rPr>
              <w:t>15</w:t>
            </w:r>
            <w:r w:rsidRPr="00687B52">
              <w:rPr>
                <w:rFonts w:ascii="Cambria" w:hAnsi="Cambria" w:cs="Arial"/>
                <w:b/>
                <w:color w:val="000000" w:themeColor="text1"/>
                <w:sz w:val="24"/>
                <w:szCs w:val="24"/>
              </w:rPr>
              <w:t>.1</w:t>
            </w:r>
          </w:p>
        </w:tc>
        <w:tc>
          <w:tcPr>
            <w:tcW w:w="2101" w:type="pct"/>
            <w:vAlign w:val="center"/>
          </w:tcPr>
          <w:p w:rsidR="000E02C5" w:rsidRPr="00687B52" w:rsidRDefault="000E02C5" w:rsidP="00B527D4">
            <w:pPr>
              <w:adjustRightInd w:val="0"/>
              <w:snapToGrid w:val="0"/>
              <w:spacing w:line="320" w:lineRule="exact"/>
              <w:rPr>
                <w:rFonts w:ascii="Cambria" w:hAnsi="Cambria"/>
                <w:b/>
                <w:color w:val="000000" w:themeColor="text1"/>
                <w:sz w:val="24"/>
                <w:szCs w:val="24"/>
              </w:rPr>
            </w:pPr>
            <w:r w:rsidRPr="00687B52">
              <w:rPr>
                <w:rFonts w:ascii="Cambria" w:hAnsi="Cambria"/>
                <w:b/>
                <w:color w:val="000000" w:themeColor="text1"/>
                <w:sz w:val="24"/>
                <w:szCs w:val="24"/>
              </w:rPr>
              <w:t>区域位置、总图布置与建筑</w:t>
            </w:r>
          </w:p>
        </w:tc>
        <w:tc>
          <w:tcPr>
            <w:tcW w:w="1236" w:type="pct"/>
            <w:vAlign w:val="center"/>
          </w:tcPr>
          <w:p w:rsidR="000E02C5" w:rsidRPr="00687B52" w:rsidRDefault="000E02C5" w:rsidP="00B527D4">
            <w:pPr>
              <w:adjustRightInd w:val="0"/>
              <w:snapToGrid w:val="0"/>
              <w:spacing w:line="320" w:lineRule="exact"/>
              <w:rPr>
                <w:rFonts w:ascii="Cambria" w:hAnsi="Cambria" w:cs="宋体"/>
                <w:color w:val="000000" w:themeColor="text1"/>
                <w:kern w:val="0"/>
                <w:sz w:val="24"/>
                <w:szCs w:val="24"/>
              </w:rPr>
            </w:pP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cs="Arial" w:hint="eastAsia"/>
                <w:color w:val="000000" w:themeColor="text1"/>
                <w:sz w:val="24"/>
                <w:szCs w:val="24"/>
              </w:rPr>
              <w:t>15</w:t>
            </w:r>
            <w:r w:rsidRPr="00687B52">
              <w:rPr>
                <w:rFonts w:ascii="Cambria" w:hAnsi="Cambria" w:cs="Arial"/>
                <w:color w:val="000000" w:themeColor="text1"/>
                <w:sz w:val="24"/>
                <w:szCs w:val="24"/>
              </w:rPr>
              <w:t>.1.1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厂址应位于不受洪水、潮水或内涝威胁的地带，并应符合下列规定：</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color w:val="000000" w:themeColor="text1"/>
                <w:sz w:val="24"/>
                <w:szCs w:val="24"/>
              </w:rPr>
              <w:t>）当厂址不可避免不受洪水、潮水、或内涝威胁的地带时，必须采取防洪、排涝措施；</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color w:val="000000" w:themeColor="text1"/>
                <w:sz w:val="24"/>
                <w:szCs w:val="24"/>
              </w:rPr>
              <w:t>）凡受江、河、潮、海洪水、潮水或山洪威胁的工业企业，防洪标准应符合现行国家标准《防洪标准》</w:t>
            </w:r>
            <w:r w:rsidRPr="00687B52">
              <w:rPr>
                <w:rFonts w:ascii="Cambria" w:hAnsi="Cambria"/>
                <w:color w:val="000000" w:themeColor="text1"/>
                <w:sz w:val="24"/>
                <w:szCs w:val="24"/>
              </w:rPr>
              <w:t>GB 50201</w:t>
            </w:r>
            <w:r w:rsidRPr="00687B52">
              <w:rPr>
                <w:rFonts w:ascii="Cambria" w:hAnsi="Cambria"/>
                <w:color w:val="000000" w:themeColor="text1"/>
                <w:sz w:val="24"/>
                <w:szCs w:val="24"/>
              </w:rPr>
              <w:t>的有关规定。</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《工业企业总平面设计规范》</w:t>
            </w:r>
            <w:r w:rsidRPr="00687B52">
              <w:rPr>
                <w:rFonts w:ascii="Cambria" w:hAnsi="Cambria"/>
                <w:color w:val="000000" w:themeColor="text1"/>
                <w:sz w:val="24"/>
                <w:szCs w:val="24"/>
              </w:rPr>
              <w:t>GB50187-2012</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第</w:t>
            </w:r>
            <w:r w:rsidRPr="00687B52">
              <w:rPr>
                <w:rFonts w:ascii="Cambria" w:hAnsi="Cambria"/>
                <w:color w:val="000000" w:themeColor="text1"/>
                <w:sz w:val="24"/>
                <w:szCs w:val="24"/>
              </w:rPr>
              <w:t>3.0.12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s="Arial" w:hint="eastAsia"/>
                <w:color w:val="000000" w:themeColor="text1"/>
                <w:sz w:val="24"/>
                <w:szCs w:val="24"/>
              </w:rPr>
              <w:t>15</w:t>
            </w:r>
            <w:r w:rsidRPr="00687B52">
              <w:rPr>
                <w:rFonts w:ascii="Cambria" w:hAnsi="Cambria" w:cs="Arial"/>
                <w:color w:val="000000" w:themeColor="text1"/>
                <w:sz w:val="24"/>
                <w:szCs w:val="24"/>
              </w:rPr>
              <w:t>.1.</w:t>
            </w:r>
            <w:r w:rsidRPr="00687B52">
              <w:rPr>
                <w:rFonts w:ascii="Cambria" w:hAnsi="Cambria"/>
                <w:color w:val="000000" w:themeColor="text1"/>
                <w:sz w:val="24"/>
                <w:szCs w:val="24"/>
              </w:rPr>
              <w:t>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山区建厂，当厂址位于山坡或山脚处时，应采取防止山洪、泥石流等自然灾害的危害的加固措施，应对山坡的稳定性等作出地质灾害的危险性评估报告。</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《工业企业总平面设计规范》</w:t>
            </w:r>
            <w:r w:rsidRPr="00687B52">
              <w:rPr>
                <w:rFonts w:ascii="Cambria" w:hAnsi="Cambria"/>
                <w:color w:val="000000" w:themeColor="text1"/>
                <w:sz w:val="24"/>
                <w:szCs w:val="24"/>
              </w:rPr>
              <w:t>GB50187-2012</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第</w:t>
            </w:r>
            <w:r w:rsidRPr="00687B52">
              <w:rPr>
                <w:rFonts w:ascii="Cambria" w:hAnsi="Cambria"/>
                <w:color w:val="000000" w:themeColor="text1"/>
                <w:sz w:val="24"/>
                <w:szCs w:val="24"/>
              </w:rPr>
              <w:t>3.0.13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s="Arial" w:hint="eastAsia"/>
                <w:color w:val="000000" w:themeColor="text1"/>
                <w:sz w:val="24"/>
                <w:szCs w:val="24"/>
              </w:rPr>
              <w:t>15</w:t>
            </w:r>
            <w:r w:rsidRPr="00687B52">
              <w:rPr>
                <w:rFonts w:ascii="Cambria" w:hAnsi="Cambria" w:cs="Arial"/>
                <w:color w:val="000000" w:themeColor="text1"/>
                <w:sz w:val="24"/>
                <w:szCs w:val="24"/>
              </w:rPr>
              <w:t>.1.</w:t>
            </w:r>
            <w:r w:rsidRPr="00687B52">
              <w:rPr>
                <w:rFonts w:ascii="Cambria" w:hAnsi="Cambria"/>
                <w:color w:val="000000" w:themeColor="text1"/>
                <w:sz w:val="24"/>
                <w:szCs w:val="24"/>
              </w:rPr>
              <w:t>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下列地段和地区不应选为厂址：</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color w:val="000000" w:themeColor="text1"/>
                <w:sz w:val="24"/>
                <w:szCs w:val="24"/>
              </w:rPr>
              <w:t>）发震断层和抗震设防烈度为</w:t>
            </w:r>
            <w:r w:rsidRPr="00687B52">
              <w:rPr>
                <w:rFonts w:ascii="Cambria" w:hAnsi="Cambria"/>
                <w:color w:val="000000" w:themeColor="text1"/>
                <w:sz w:val="24"/>
                <w:szCs w:val="24"/>
              </w:rPr>
              <w:t>9</w:t>
            </w:r>
            <w:r w:rsidRPr="00687B52">
              <w:rPr>
                <w:rFonts w:ascii="Cambria" w:hAnsi="Cambria"/>
                <w:color w:val="000000" w:themeColor="text1"/>
                <w:sz w:val="24"/>
                <w:szCs w:val="24"/>
              </w:rPr>
              <w:t>度及高于</w:t>
            </w:r>
            <w:r w:rsidRPr="00687B52">
              <w:rPr>
                <w:rFonts w:ascii="Cambria" w:hAnsi="Cambria"/>
                <w:color w:val="000000" w:themeColor="text1"/>
                <w:sz w:val="24"/>
                <w:szCs w:val="24"/>
              </w:rPr>
              <w:t>9</w:t>
            </w:r>
            <w:r w:rsidRPr="00687B52">
              <w:rPr>
                <w:rFonts w:ascii="Cambria" w:hAnsi="Cambria"/>
                <w:color w:val="000000" w:themeColor="text1"/>
                <w:sz w:val="24"/>
                <w:szCs w:val="24"/>
              </w:rPr>
              <w:t>度的地震区；</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color w:val="000000" w:themeColor="text1"/>
                <w:sz w:val="24"/>
                <w:szCs w:val="24"/>
              </w:rPr>
              <w:t>）有泥石流、滑坡、流沙、溶洞等直接危害的地段；</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3</w:t>
            </w:r>
            <w:r w:rsidRPr="00687B52">
              <w:rPr>
                <w:rFonts w:ascii="Cambria" w:hAnsi="Cambria"/>
                <w:color w:val="000000" w:themeColor="text1"/>
                <w:sz w:val="24"/>
                <w:szCs w:val="24"/>
              </w:rPr>
              <w:t>）采矿陷落（错动）区地表界限内；</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4</w:t>
            </w:r>
            <w:r w:rsidRPr="00687B52">
              <w:rPr>
                <w:rFonts w:ascii="Cambria" w:hAnsi="Cambria"/>
                <w:color w:val="000000" w:themeColor="text1"/>
                <w:sz w:val="24"/>
                <w:szCs w:val="24"/>
              </w:rPr>
              <w:t>）爆破危险界限内；</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5</w:t>
            </w:r>
            <w:r w:rsidRPr="00687B52">
              <w:rPr>
                <w:rFonts w:ascii="Cambria" w:hAnsi="Cambria"/>
                <w:color w:val="000000" w:themeColor="text1"/>
                <w:sz w:val="24"/>
                <w:szCs w:val="24"/>
              </w:rPr>
              <w:t>）坝或堤决溃后可能淹没的地区；</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6</w:t>
            </w:r>
            <w:r w:rsidRPr="00687B52">
              <w:rPr>
                <w:rFonts w:ascii="Cambria" w:hAnsi="Cambria"/>
                <w:color w:val="000000" w:themeColor="text1"/>
                <w:sz w:val="24"/>
                <w:szCs w:val="24"/>
              </w:rPr>
              <w:t>）有严重放射性物质污染影响区；</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7</w:t>
            </w:r>
            <w:r w:rsidRPr="00687B52">
              <w:rPr>
                <w:rFonts w:ascii="Cambria" w:hAnsi="Cambria"/>
                <w:color w:val="000000" w:themeColor="text1"/>
                <w:sz w:val="24"/>
                <w:szCs w:val="24"/>
              </w:rPr>
              <w:t>）生活居住区、文教区、水源保护区、名胜古迹、风景游览区、温泉、疗养区、自然保护区和其它需要特别保护的区域；</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8</w:t>
            </w:r>
            <w:r w:rsidRPr="00687B52">
              <w:rPr>
                <w:rFonts w:ascii="Cambria" w:hAnsi="Cambria"/>
                <w:color w:val="000000" w:themeColor="text1"/>
                <w:sz w:val="24"/>
                <w:szCs w:val="24"/>
              </w:rPr>
              <w:t>）对飞机起落、电台通讯、电视转播、雷达导航和重要的天文、气象、地震观察以及军事设施等规定有影响的范围内；</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9</w:t>
            </w:r>
            <w:r w:rsidRPr="00687B52">
              <w:rPr>
                <w:rFonts w:ascii="Cambria" w:hAnsi="Cambria"/>
                <w:color w:val="000000" w:themeColor="text1"/>
                <w:sz w:val="24"/>
                <w:szCs w:val="24"/>
              </w:rPr>
              <w:t>）很严重的自重湿陷性黄土地段，厚度大的新近堆积黄土地段和高压缩性的饱和黄土地段等地质条件恶劣地段；</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10</w:t>
            </w:r>
            <w:r w:rsidRPr="00687B52">
              <w:rPr>
                <w:rFonts w:ascii="Cambria" w:hAnsi="Cambria"/>
                <w:color w:val="000000" w:themeColor="text1"/>
                <w:sz w:val="24"/>
                <w:szCs w:val="24"/>
              </w:rPr>
              <w:t>）具有开采价值的矿藏区；</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11</w:t>
            </w:r>
            <w:r w:rsidRPr="00687B52">
              <w:rPr>
                <w:rFonts w:ascii="Cambria" w:hAnsi="Cambria"/>
                <w:color w:val="000000" w:themeColor="text1"/>
                <w:sz w:val="24"/>
                <w:szCs w:val="24"/>
              </w:rPr>
              <w:t>）受海啸或湖涌危害的地区。</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《工业企业总平面设计规范》</w:t>
            </w:r>
            <w:r w:rsidRPr="00687B52">
              <w:rPr>
                <w:rFonts w:ascii="Cambria" w:hAnsi="Cambria"/>
                <w:color w:val="000000" w:themeColor="text1"/>
                <w:sz w:val="24"/>
                <w:szCs w:val="24"/>
              </w:rPr>
              <w:t>GB50187-2012</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第</w:t>
            </w:r>
            <w:r w:rsidRPr="00687B52">
              <w:rPr>
                <w:rFonts w:ascii="Cambria" w:hAnsi="Cambria"/>
                <w:color w:val="000000" w:themeColor="text1"/>
                <w:sz w:val="24"/>
                <w:szCs w:val="24"/>
              </w:rPr>
              <w:t>3.0.14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b/>
                <w:color w:val="000000" w:themeColor="text1"/>
                <w:sz w:val="24"/>
                <w:szCs w:val="24"/>
              </w:rPr>
            </w:pPr>
            <w:r w:rsidRPr="00687B52">
              <w:rPr>
                <w:rFonts w:ascii="Cambria" w:hAnsi="Cambria" w:cs="Arial" w:hint="eastAsia"/>
                <w:color w:val="000000" w:themeColor="text1"/>
                <w:sz w:val="24"/>
                <w:szCs w:val="24"/>
              </w:rPr>
              <w:t>15</w:t>
            </w:r>
            <w:r w:rsidRPr="00687B52">
              <w:rPr>
                <w:rFonts w:ascii="Cambria" w:hAnsi="Cambria" w:cs="Arial"/>
                <w:color w:val="000000" w:themeColor="text1"/>
                <w:sz w:val="24"/>
                <w:szCs w:val="24"/>
              </w:rPr>
              <w:t>.1.</w:t>
            </w:r>
            <w:r w:rsidRPr="00687B52">
              <w:rPr>
                <w:rFonts w:ascii="Cambria" w:hAnsi="Cambria"/>
                <w:color w:val="000000" w:themeColor="text1"/>
                <w:sz w:val="24"/>
                <w:szCs w:val="24"/>
              </w:rPr>
              <w:t>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构成重大危险源的场所</w:t>
            </w:r>
            <w:r w:rsidR="008A1470" w:rsidRPr="00687B52">
              <w:rPr>
                <w:rFonts w:ascii="Cambria" w:hAnsi="Cambria" w:hint="eastAsia"/>
                <w:color w:val="000000" w:themeColor="text1"/>
                <w:sz w:val="24"/>
                <w:szCs w:val="24"/>
              </w:rPr>
              <w:t>应</w:t>
            </w:r>
            <w:r w:rsidRPr="00687B52">
              <w:rPr>
                <w:rFonts w:ascii="Cambria" w:hAnsi="Cambria"/>
                <w:color w:val="000000" w:themeColor="text1"/>
                <w:sz w:val="24"/>
                <w:szCs w:val="24"/>
              </w:rPr>
              <w:t>按《危险化学品重大危险源监督管理暂行规定》（安监总局令第</w:t>
            </w:r>
            <w:r w:rsidRPr="00687B52">
              <w:rPr>
                <w:rFonts w:ascii="Cambria" w:hAnsi="Cambria"/>
                <w:color w:val="000000" w:themeColor="text1"/>
                <w:sz w:val="24"/>
                <w:szCs w:val="24"/>
              </w:rPr>
              <w:t>40</w:t>
            </w:r>
            <w:r w:rsidRPr="00687B52">
              <w:rPr>
                <w:rFonts w:ascii="Cambria" w:hAnsi="Cambria"/>
                <w:color w:val="000000" w:themeColor="text1"/>
                <w:sz w:val="24"/>
                <w:szCs w:val="24"/>
              </w:rPr>
              <w:t>号令发布，第</w:t>
            </w:r>
            <w:r w:rsidRPr="00687B52">
              <w:rPr>
                <w:rFonts w:ascii="Cambria" w:hAnsi="Cambria"/>
                <w:color w:val="000000" w:themeColor="text1"/>
                <w:sz w:val="24"/>
                <w:szCs w:val="24"/>
              </w:rPr>
              <w:t>79</w:t>
            </w:r>
            <w:r w:rsidRPr="00687B52">
              <w:rPr>
                <w:rFonts w:ascii="Cambria" w:hAnsi="Cambria"/>
                <w:color w:val="000000" w:themeColor="text1"/>
                <w:sz w:val="24"/>
                <w:szCs w:val="24"/>
              </w:rPr>
              <w:t>号修订</w:t>
            </w:r>
            <w:r w:rsidRPr="00687B52">
              <w:rPr>
                <w:rFonts w:ascii="Cambria" w:hAnsi="Cambria"/>
                <w:color w:val="000000" w:themeColor="text1"/>
                <w:sz w:val="24"/>
                <w:szCs w:val="24"/>
              </w:rPr>
              <w:t>)</w:t>
            </w:r>
            <w:r w:rsidRPr="00687B52">
              <w:rPr>
                <w:rFonts w:ascii="Cambria" w:hAnsi="Cambria"/>
                <w:color w:val="000000" w:themeColor="text1"/>
                <w:sz w:val="24"/>
                <w:szCs w:val="24"/>
              </w:rPr>
              <w:t>）确定外部安全防护距离，并计算风险；下列敏感目标是否在安全防护距离之外，个人风险和社会风险是否可接受：</w:t>
            </w:r>
          </w:p>
          <w:p w:rsidR="000E02C5" w:rsidRPr="00687B52" w:rsidRDefault="000E02C5" w:rsidP="00D9787F">
            <w:pPr>
              <w:numPr>
                <w:ilvl w:val="0"/>
                <w:numId w:val="134"/>
              </w:numPr>
              <w:ind w:left="0"/>
              <w:rPr>
                <w:rFonts w:ascii="Cambria" w:hAnsi="Cambria"/>
                <w:color w:val="000000" w:themeColor="text1"/>
                <w:sz w:val="24"/>
                <w:szCs w:val="24"/>
              </w:rPr>
            </w:pPr>
            <w:r w:rsidRPr="00687B52">
              <w:rPr>
                <w:rFonts w:ascii="Cambria" w:hAnsi="Cambria"/>
                <w:color w:val="000000" w:themeColor="text1"/>
                <w:sz w:val="24"/>
                <w:szCs w:val="24"/>
              </w:rPr>
              <w:t>居民区、商业中心、公园等人口密集区域；</w:t>
            </w:r>
          </w:p>
          <w:p w:rsidR="000E02C5" w:rsidRPr="00687B52" w:rsidRDefault="000E02C5" w:rsidP="00D9787F">
            <w:pPr>
              <w:numPr>
                <w:ilvl w:val="0"/>
                <w:numId w:val="134"/>
              </w:numPr>
              <w:ind w:left="0"/>
              <w:rPr>
                <w:rFonts w:ascii="Cambria" w:hAnsi="Cambria"/>
                <w:color w:val="000000" w:themeColor="text1"/>
                <w:sz w:val="24"/>
                <w:szCs w:val="24"/>
              </w:rPr>
            </w:pPr>
            <w:r w:rsidRPr="00687B52">
              <w:rPr>
                <w:rFonts w:ascii="Cambria" w:hAnsi="Cambria"/>
                <w:color w:val="000000" w:themeColor="text1"/>
                <w:sz w:val="24"/>
                <w:szCs w:val="24"/>
              </w:rPr>
              <w:t>学校、医院、影剧院、体育场（馆）等公共设施；</w:t>
            </w:r>
          </w:p>
          <w:p w:rsidR="000E02C5" w:rsidRPr="00687B52" w:rsidRDefault="000E02C5" w:rsidP="00D9787F">
            <w:pPr>
              <w:numPr>
                <w:ilvl w:val="0"/>
                <w:numId w:val="134"/>
              </w:numPr>
              <w:ind w:left="0"/>
              <w:rPr>
                <w:rFonts w:ascii="Cambria" w:hAnsi="Cambria"/>
                <w:color w:val="000000" w:themeColor="text1"/>
                <w:sz w:val="24"/>
                <w:szCs w:val="24"/>
              </w:rPr>
            </w:pPr>
            <w:r w:rsidRPr="00687B52">
              <w:rPr>
                <w:rFonts w:ascii="Cambria" w:hAnsi="Cambria"/>
                <w:color w:val="000000" w:themeColor="text1"/>
                <w:sz w:val="24"/>
                <w:szCs w:val="24"/>
              </w:rPr>
              <w:t>供水水源、水厂及水源保护区；</w:t>
            </w:r>
          </w:p>
          <w:p w:rsidR="000E02C5" w:rsidRPr="00687B52" w:rsidRDefault="000E02C5" w:rsidP="00D9787F">
            <w:pPr>
              <w:numPr>
                <w:ilvl w:val="0"/>
                <w:numId w:val="134"/>
              </w:numPr>
              <w:ind w:left="0"/>
              <w:rPr>
                <w:rFonts w:ascii="Cambria" w:hAnsi="Cambria"/>
                <w:color w:val="000000" w:themeColor="text1"/>
                <w:sz w:val="24"/>
                <w:szCs w:val="24"/>
              </w:rPr>
            </w:pPr>
            <w:r w:rsidRPr="00687B52">
              <w:rPr>
                <w:rFonts w:ascii="Cambria" w:hAnsi="Cambria"/>
                <w:color w:val="000000" w:themeColor="text1"/>
                <w:sz w:val="24"/>
                <w:szCs w:val="24"/>
              </w:rPr>
              <w:t>车站、码头（按照国家规定，经批准专门从事危险化学品装卸作业的除外）、机场以及公路、铁路、水路交通干线、地铁风亭及出入口；</w:t>
            </w:r>
          </w:p>
          <w:p w:rsidR="000E02C5" w:rsidRPr="00687B52" w:rsidRDefault="000E02C5" w:rsidP="00D9787F">
            <w:pPr>
              <w:numPr>
                <w:ilvl w:val="0"/>
                <w:numId w:val="134"/>
              </w:numPr>
              <w:ind w:left="0"/>
              <w:rPr>
                <w:rFonts w:ascii="Cambria" w:hAnsi="Cambria"/>
                <w:color w:val="000000" w:themeColor="text1"/>
                <w:sz w:val="24"/>
                <w:szCs w:val="24"/>
              </w:rPr>
            </w:pPr>
            <w:r w:rsidRPr="00687B52">
              <w:rPr>
                <w:rFonts w:ascii="Cambria" w:hAnsi="Cambria"/>
                <w:color w:val="000000" w:themeColor="text1"/>
                <w:sz w:val="24"/>
                <w:szCs w:val="24"/>
              </w:rPr>
              <w:t>基本农田保护区、畜牧区、渔业水域和种子、种畜、水产苗种生产基；</w:t>
            </w:r>
          </w:p>
          <w:p w:rsidR="000E02C5" w:rsidRPr="00687B52" w:rsidRDefault="000E02C5" w:rsidP="00D9787F">
            <w:pPr>
              <w:numPr>
                <w:ilvl w:val="0"/>
                <w:numId w:val="134"/>
              </w:numPr>
              <w:ind w:left="0"/>
              <w:rPr>
                <w:rFonts w:ascii="Cambria" w:hAnsi="Cambria"/>
                <w:color w:val="000000" w:themeColor="text1"/>
                <w:sz w:val="24"/>
                <w:szCs w:val="24"/>
              </w:rPr>
            </w:pPr>
            <w:r w:rsidRPr="00687B52">
              <w:rPr>
                <w:rFonts w:ascii="Cambria" w:hAnsi="Cambria"/>
                <w:color w:val="000000" w:themeColor="text1"/>
                <w:sz w:val="24"/>
                <w:szCs w:val="24"/>
              </w:rPr>
              <w:t>河流、湖泊、风景名胜区和自然保护区；</w:t>
            </w:r>
          </w:p>
          <w:p w:rsidR="000E02C5" w:rsidRPr="00687B52" w:rsidRDefault="000E02C5" w:rsidP="00D9787F">
            <w:pPr>
              <w:numPr>
                <w:ilvl w:val="0"/>
                <w:numId w:val="134"/>
              </w:numPr>
              <w:ind w:left="0"/>
              <w:rPr>
                <w:rFonts w:ascii="Cambria" w:hAnsi="Cambria"/>
                <w:color w:val="000000" w:themeColor="text1"/>
                <w:sz w:val="24"/>
                <w:szCs w:val="24"/>
              </w:rPr>
            </w:pPr>
            <w:r w:rsidRPr="00687B52">
              <w:rPr>
                <w:rFonts w:ascii="Cambria" w:hAnsi="Cambria"/>
                <w:color w:val="000000" w:themeColor="text1"/>
                <w:sz w:val="24"/>
                <w:szCs w:val="24"/>
              </w:rPr>
              <w:t>军事禁区、军事管理区；</w:t>
            </w:r>
          </w:p>
          <w:p w:rsidR="000E02C5" w:rsidRPr="00687B52" w:rsidRDefault="000E02C5" w:rsidP="00D9787F">
            <w:pPr>
              <w:numPr>
                <w:ilvl w:val="0"/>
                <w:numId w:val="134"/>
              </w:numPr>
              <w:ind w:left="0"/>
              <w:rPr>
                <w:rFonts w:ascii="Cambria" w:hAnsi="Cambria"/>
                <w:color w:val="000000" w:themeColor="text1"/>
                <w:sz w:val="24"/>
                <w:szCs w:val="24"/>
              </w:rPr>
            </w:pPr>
            <w:r w:rsidRPr="00687B52">
              <w:rPr>
                <w:rFonts w:ascii="Cambria" w:hAnsi="Cambria"/>
                <w:color w:val="000000" w:themeColor="text1"/>
                <w:sz w:val="24"/>
                <w:szCs w:val="24"/>
              </w:rPr>
              <w:t>法律、行政法规规定予以保护的其他区域。</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《危险化学品安全管理条例》第十九条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s="Arial" w:hint="eastAsia"/>
                <w:color w:val="000000" w:themeColor="text1"/>
                <w:sz w:val="24"/>
                <w:szCs w:val="24"/>
              </w:rPr>
              <w:t>15</w:t>
            </w:r>
            <w:r w:rsidRPr="00687B52">
              <w:rPr>
                <w:rFonts w:ascii="Cambria" w:hAnsi="Cambria" w:cs="Arial"/>
                <w:color w:val="000000" w:themeColor="text1"/>
                <w:sz w:val="24"/>
                <w:szCs w:val="24"/>
              </w:rPr>
              <w:t>.1.</w:t>
            </w:r>
            <w:r w:rsidRPr="00687B52">
              <w:rPr>
                <w:rFonts w:ascii="Cambria" w:hAnsi="Cambria"/>
                <w:color w:val="000000" w:themeColor="text1"/>
                <w:sz w:val="24"/>
                <w:szCs w:val="24"/>
              </w:rPr>
              <w:t>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煤气站区的布置应符合现行国家标准《工业企业总平面设计规范》</w:t>
            </w:r>
            <w:r w:rsidRPr="00687B52">
              <w:rPr>
                <w:rFonts w:ascii="Cambria" w:hAnsi="Cambria"/>
                <w:color w:val="000000" w:themeColor="text1"/>
                <w:sz w:val="24"/>
                <w:szCs w:val="24"/>
              </w:rPr>
              <w:t>GB50187</w:t>
            </w:r>
            <w:r w:rsidRPr="00687B52">
              <w:rPr>
                <w:rFonts w:ascii="Cambria" w:hAnsi="Cambria"/>
                <w:color w:val="000000" w:themeColor="text1"/>
                <w:sz w:val="24"/>
                <w:szCs w:val="24"/>
              </w:rPr>
              <w:t>的有关规定，并应符合下列要求：</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color w:val="000000" w:themeColor="text1"/>
                <w:sz w:val="24"/>
                <w:szCs w:val="24"/>
              </w:rPr>
              <w:t>、煤气站区应位于厂区主要建筑物和构筑物全年最小频率风向的上风侧；</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color w:val="000000" w:themeColor="text1"/>
                <w:sz w:val="24"/>
                <w:szCs w:val="24"/>
              </w:rPr>
              <w:t>、煤气站应靠近煤气负荷比较集中的地点；</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3</w:t>
            </w:r>
            <w:r w:rsidRPr="00687B52">
              <w:rPr>
                <w:rFonts w:ascii="Cambria" w:hAnsi="Cambria"/>
                <w:color w:val="000000" w:themeColor="text1"/>
                <w:sz w:val="24"/>
                <w:szCs w:val="24"/>
              </w:rPr>
              <w:t>、应便于煤、灰渣、沫煤、焦油渣的运输和贮存以及循环水的处理；</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4</w:t>
            </w:r>
            <w:r w:rsidRPr="00687B52">
              <w:rPr>
                <w:rFonts w:ascii="Cambria" w:hAnsi="Cambria"/>
                <w:color w:val="000000" w:themeColor="text1"/>
                <w:sz w:val="24"/>
                <w:szCs w:val="24"/>
              </w:rPr>
              <w:t>、在旁侧设有锅炉房时应便于与锅炉房共用煤和灰渣的贮运设施以及沫煤的利用；</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5</w:t>
            </w:r>
            <w:r w:rsidRPr="00687B52">
              <w:rPr>
                <w:rFonts w:ascii="Cambria" w:hAnsi="Cambria"/>
                <w:color w:val="000000" w:themeColor="text1"/>
                <w:sz w:val="24"/>
                <w:szCs w:val="24"/>
              </w:rPr>
              <w:t>、应合理规划预留扩建场地；</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6</w:t>
            </w:r>
            <w:r w:rsidRPr="00687B52">
              <w:rPr>
                <w:rFonts w:ascii="Cambria" w:hAnsi="Cambria"/>
                <w:color w:val="000000" w:themeColor="text1"/>
                <w:sz w:val="24"/>
                <w:szCs w:val="24"/>
              </w:rPr>
              <w:t>、应设绿化场地</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5.0.1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cs="Arial" w:hint="eastAsia"/>
                <w:color w:val="000000" w:themeColor="text1"/>
                <w:sz w:val="24"/>
                <w:szCs w:val="24"/>
              </w:rPr>
              <w:t>15</w:t>
            </w:r>
            <w:r w:rsidRPr="00687B52">
              <w:rPr>
                <w:rFonts w:ascii="Cambria" w:hAnsi="Cambria" w:cs="Arial"/>
                <w:color w:val="000000" w:themeColor="text1"/>
                <w:sz w:val="24"/>
                <w:szCs w:val="24"/>
              </w:rPr>
              <w:t>.1.</w:t>
            </w:r>
            <w:r w:rsidRPr="00687B52">
              <w:rPr>
                <w:rFonts w:ascii="Cambria" w:hAnsi="Cambria"/>
                <w:color w:val="000000" w:themeColor="text1"/>
                <w:sz w:val="24"/>
                <w:szCs w:val="24"/>
              </w:rPr>
              <w:t>6</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煤气站的厂房应与其他生产厂房分开布置，其间距应符合现行国家标准《建筑设计防火规范》的有关规定。</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小型热煤气站的厂房，可与煤气用户的车间毗连，但应设防火墙。</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5.0.2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8A1470">
            <w:pPr>
              <w:spacing w:line="240" w:lineRule="exact"/>
              <w:jc w:val="center"/>
              <w:rPr>
                <w:rFonts w:ascii="Cambria" w:hAnsi="Cambria" w:cs="Arial"/>
                <w:color w:val="000000" w:themeColor="text1"/>
                <w:sz w:val="24"/>
                <w:szCs w:val="24"/>
              </w:rPr>
            </w:pPr>
            <w:r w:rsidRPr="00687B52">
              <w:rPr>
                <w:rFonts w:ascii="Cambria" w:hAnsi="Cambria" w:cs="Arial" w:hint="eastAsia"/>
                <w:color w:val="000000" w:themeColor="text1"/>
                <w:sz w:val="24"/>
                <w:szCs w:val="24"/>
              </w:rPr>
              <w:t>15</w:t>
            </w:r>
            <w:r w:rsidRPr="00687B52">
              <w:rPr>
                <w:rFonts w:ascii="Cambria" w:hAnsi="Cambria" w:cs="Arial"/>
                <w:color w:val="000000" w:themeColor="text1"/>
                <w:sz w:val="24"/>
                <w:szCs w:val="24"/>
              </w:rPr>
              <w:t>.1.</w:t>
            </w:r>
            <w:r w:rsidR="008A1470" w:rsidRPr="00687B52">
              <w:rPr>
                <w:rFonts w:ascii="Cambria" w:hAnsi="Cambria" w:cs="Arial" w:hint="eastAsia"/>
                <w:color w:val="000000" w:themeColor="text1"/>
                <w:sz w:val="24"/>
                <w:szCs w:val="24"/>
              </w:rPr>
              <w:t>7</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循环水系统、焦油系统和煤场等的建筑物和构筑物，宜布置在煤气站主厂房、煤气排送机间、空气鼓风机间等的夏季最大频率风向的下风侧，并应防止冷却塔散发的水雾对周围环境的影响。</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5.0.5</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8A1470">
            <w:pPr>
              <w:spacing w:line="240" w:lineRule="exact"/>
              <w:jc w:val="center"/>
              <w:rPr>
                <w:rFonts w:ascii="Cambria" w:hAnsi="Cambria" w:cs="Arial"/>
                <w:color w:val="000000" w:themeColor="text1"/>
                <w:sz w:val="24"/>
                <w:szCs w:val="24"/>
              </w:rPr>
            </w:pPr>
            <w:r w:rsidRPr="00687B52">
              <w:rPr>
                <w:rFonts w:ascii="Cambria" w:hAnsi="Cambria" w:cs="Arial" w:hint="eastAsia"/>
                <w:color w:val="000000" w:themeColor="text1"/>
                <w:sz w:val="24"/>
                <w:szCs w:val="24"/>
              </w:rPr>
              <w:t>15</w:t>
            </w:r>
            <w:r w:rsidRPr="00687B52">
              <w:rPr>
                <w:rFonts w:ascii="Cambria" w:hAnsi="Cambria" w:cs="Arial"/>
                <w:color w:val="000000" w:themeColor="text1"/>
                <w:sz w:val="24"/>
                <w:szCs w:val="24"/>
              </w:rPr>
              <w:t>.1.</w:t>
            </w:r>
            <w:r w:rsidR="008A1470" w:rsidRPr="00687B52">
              <w:rPr>
                <w:rFonts w:ascii="Cambria" w:hAnsi="Cambria" w:cs="Arial" w:hint="eastAsia"/>
                <w:color w:val="000000" w:themeColor="text1"/>
                <w:sz w:val="24"/>
                <w:szCs w:val="24"/>
              </w:rPr>
              <w:t>8</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易燃、易爆物品的生产区域或贮存仓库区，应根据安全生产的需要，将道路划分成为限制车辆通行或禁止车辆通行的路段，并设置标志</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《工业企业厂内铁路、道路运输安全规程》</w:t>
            </w:r>
            <w:r w:rsidRPr="00687B52">
              <w:rPr>
                <w:rFonts w:ascii="Cambria" w:hAnsi="Cambria"/>
                <w:color w:val="000000" w:themeColor="text1"/>
                <w:sz w:val="24"/>
                <w:szCs w:val="24"/>
              </w:rPr>
              <w:t>GB4387-2008</w:t>
            </w:r>
            <w:r w:rsidRPr="00687B52">
              <w:rPr>
                <w:rFonts w:ascii="Cambria" w:hAnsi="Cambria"/>
                <w:color w:val="000000" w:themeColor="text1"/>
                <w:sz w:val="24"/>
                <w:szCs w:val="24"/>
              </w:rPr>
              <w:t>第</w:t>
            </w:r>
            <w:r w:rsidRPr="00687B52">
              <w:rPr>
                <w:rFonts w:ascii="Cambria" w:hAnsi="Cambria"/>
                <w:color w:val="000000" w:themeColor="text1"/>
                <w:sz w:val="24"/>
                <w:szCs w:val="24"/>
              </w:rPr>
              <w:t>6.1.4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8A1470">
            <w:pPr>
              <w:spacing w:line="240" w:lineRule="exact"/>
              <w:jc w:val="center"/>
              <w:rPr>
                <w:rFonts w:ascii="Cambria" w:hAnsi="Cambria" w:cs="Arial"/>
                <w:color w:val="000000" w:themeColor="text1"/>
                <w:sz w:val="24"/>
                <w:szCs w:val="24"/>
              </w:rPr>
            </w:pPr>
            <w:r w:rsidRPr="00687B52">
              <w:rPr>
                <w:rFonts w:ascii="Cambria" w:hAnsi="Cambria" w:cs="Arial" w:hint="eastAsia"/>
                <w:color w:val="000000" w:themeColor="text1"/>
                <w:sz w:val="24"/>
                <w:szCs w:val="24"/>
              </w:rPr>
              <w:t>15</w:t>
            </w:r>
            <w:r w:rsidRPr="00687B52">
              <w:rPr>
                <w:rFonts w:ascii="Cambria" w:hAnsi="Cambria" w:cs="Arial"/>
                <w:color w:val="000000" w:themeColor="text1"/>
                <w:sz w:val="24"/>
                <w:szCs w:val="24"/>
              </w:rPr>
              <w:t>.1.</w:t>
            </w:r>
            <w:r w:rsidR="008A1470" w:rsidRPr="00687B52">
              <w:rPr>
                <w:rFonts w:ascii="Cambria" w:hAnsi="Cambria" w:cs="Arial" w:hint="eastAsia"/>
                <w:color w:val="000000" w:themeColor="text1"/>
                <w:sz w:val="24"/>
                <w:szCs w:val="24"/>
              </w:rPr>
              <w:t>9</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化工生产装置内的设备、管道、建（构）筑物之间防火距离应符合现行国家标准《建筑设计防火规范》</w:t>
            </w:r>
            <w:r w:rsidRPr="00687B52">
              <w:rPr>
                <w:rFonts w:ascii="Cambria" w:hAnsi="Cambria"/>
                <w:color w:val="000000" w:themeColor="text1"/>
                <w:sz w:val="24"/>
                <w:szCs w:val="24"/>
              </w:rPr>
              <w:t>GB50016</w:t>
            </w:r>
            <w:r w:rsidRPr="00687B52">
              <w:rPr>
                <w:rFonts w:ascii="Cambria" w:hAnsi="Cambria"/>
                <w:color w:val="000000" w:themeColor="text1"/>
                <w:sz w:val="24"/>
                <w:szCs w:val="24"/>
              </w:rPr>
              <w:t>和《石油化工企业设计防火规范</w:t>
            </w:r>
            <w:r w:rsidRPr="00687B52">
              <w:rPr>
                <w:rFonts w:ascii="Cambria" w:hAnsi="Cambria"/>
                <w:color w:val="000000" w:themeColor="text1"/>
                <w:sz w:val="24"/>
                <w:szCs w:val="24"/>
              </w:rPr>
              <w:t>GB50160</w:t>
            </w:r>
            <w:r w:rsidRPr="00687B52">
              <w:rPr>
                <w:rFonts w:ascii="Cambria" w:hAnsi="Cambria"/>
                <w:color w:val="000000" w:themeColor="text1"/>
                <w:sz w:val="24"/>
                <w:szCs w:val="24"/>
              </w:rPr>
              <w:t>的规定。</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《化工企业安全卫生设计规范》</w:t>
            </w:r>
            <w:r w:rsidRPr="00687B52">
              <w:rPr>
                <w:rFonts w:ascii="Cambria" w:hAnsi="Cambria"/>
                <w:color w:val="000000" w:themeColor="text1"/>
                <w:sz w:val="24"/>
                <w:szCs w:val="24"/>
              </w:rPr>
              <w:t>HG20571-2014</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第</w:t>
            </w:r>
            <w:r w:rsidRPr="00687B52">
              <w:rPr>
                <w:rFonts w:ascii="Cambria" w:hAnsi="Cambria"/>
                <w:color w:val="000000" w:themeColor="text1"/>
                <w:sz w:val="24"/>
                <w:szCs w:val="24"/>
              </w:rPr>
              <w:t>4.4.1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8A1470">
            <w:pPr>
              <w:spacing w:line="240" w:lineRule="exact"/>
              <w:jc w:val="center"/>
              <w:rPr>
                <w:rFonts w:ascii="Cambria" w:hAnsi="Cambria" w:cs="Arial"/>
                <w:color w:val="000000" w:themeColor="text1"/>
                <w:sz w:val="24"/>
                <w:szCs w:val="24"/>
              </w:rPr>
            </w:pPr>
            <w:r w:rsidRPr="00687B52">
              <w:rPr>
                <w:rFonts w:ascii="Cambria" w:hAnsi="Cambria" w:cs="Arial" w:hint="eastAsia"/>
                <w:color w:val="000000" w:themeColor="text1"/>
                <w:sz w:val="24"/>
                <w:szCs w:val="24"/>
              </w:rPr>
              <w:t>15</w:t>
            </w:r>
            <w:r w:rsidRPr="00687B52">
              <w:rPr>
                <w:rFonts w:ascii="Cambria" w:hAnsi="Cambria" w:cs="Arial"/>
                <w:color w:val="000000" w:themeColor="text1"/>
                <w:sz w:val="24"/>
                <w:szCs w:val="24"/>
              </w:rPr>
              <w:t>.1.1</w:t>
            </w:r>
            <w:r w:rsidR="008A1470" w:rsidRPr="00687B52">
              <w:rPr>
                <w:rFonts w:ascii="Cambria" w:hAnsi="Cambria" w:cs="Arial" w:hint="eastAsia"/>
                <w:color w:val="000000" w:themeColor="text1"/>
                <w:sz w:val="24"/>
                <w:szCs w:val="24"/>
              </w:rPr>
              <w:t>0</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化工企业主要出人口不应少于两个，并宜位于不同方位。大型化工厂的人流和货运应明确分开，大宗危险货物运输应有单独路线，不得与人流混行或平交。</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《化工企业安全卫生设计规范》</w:t>
            </w:r>
            <w:r w:rsidRPr="00687B52">
              <w:rPr>
                <w:rFonts w:ascii="Cambria" w:hAnsi="Cambria"/>
                <w:color w:val="000000" w:themeColor="text1"/>
                <w:sz w:val="24"/>
                <w:szCs w:val="24"/>
              </w:rPr>
              <w:t>HG20571-2014</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第</w:t>
            </w:r>
            <w:r w:rsidRPr="00687B52">
              <w:rPr>
                <w:rFonts w:ascii="Cambria" w:hAnsi="Cambria"/>
                <w:color w:val="000000" w:themeColor="text1"/>
                <w:sz w:val="24"/>
                <w:szCs w:val="24"/>
              </w:rPr>
              <w:t>3.2.4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8A1470">
            <w:pPr>
              <w:spacing w:line="240" w:lineRule="exact"/>
              <w:jc w:val="center"/>
              <w:rPr>
                <w:rFonts w:ascii="Cambria" w:hAnsi="Cambria" w:cs="Arial"/>
                <w:color w:val="000000" w:themeColor="text1"/>
                <w:sz w:val="24"/>
                <w:szCs w:val="24"/>
              </w:rPr>
            </w:pPr>
            <w:r w:rsidRPr="00687B52">
              <w:rPr>
                <w:rFonts w:ascii="Cambria" w:hAnsi="Cambria" w:cs="Arial" w:hint="eastAsia"/>
                <w:color w:val="000000" w:themeColor="text1"/>
                <w:sz w:val="24"/>
                <w:szCs w:val="24"/>
              </w:rPr>
              <w:t>15</w:t>
            </w:r>
            <w:r w:rsidRPr="00687B52">
              <w:rPr>
                <w:rFonts w:ascii="Cambria" w:hAnsi="Cambria" w:cs="Arial"/>
                <w:color w:val="000000" w:themeColor="text1"/>
                <w:sz w:val="24"/>
                <w:szCs w:val="24"/>
              </w:rPr>
              <w:t>.1.1</w:t>
            </w:r>
            <w:r w:rsidR="008A1470" w:rsidRPr="00687B52">
              <w:rPr>
                <w:rFonts w:ascii="Cambria" w:hAnsi="Cambria" w:cs="Arial" w:hint="eastAsia"/>
                <w:color w:val="000000" w:themeColor="text1"/>
                <w:sz w:val="24"/>
                <w:szCs w:val="24"/>
              </w:rPr>
              <w:t>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煤气的生产、回收及净化区域内，不应设置与本工序无关的设施及建筑物。</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《工业企业煤气安全规程》</w:t>
            </w:r>
            <w:r w:rsidRPr="00687B52">
              <w:rPr>
                <w:rFonts w:ascii="Cambria" w:hAnsi="Cambria"/>
                <w:color w:val="000000" w:themeColor="text1"/>
                <w:sz w:val="24"/>
                <w:szCs w:val="24"/>
              </w:rPr>
              <w:t>GB6222-2005</w:t>
            </w:r>
            <w:r w:rsidRPr="00687B52">
              <w:rPr>
                <w:rFonts w:ascii="Cambria" w:hAnsi="Cambria"/>
                <w:color w:val="000000" w:themeColor="text1"/>
                <w:sz w:val="24"/>
                <w:szCs w:val="24"/>
              </w:rPr>
              <w:t>第</w:t>
            </w:r>
            <w:r w:rsidRPr="00687B52">
              <w:rPr>
                <w:rFonts w:ascii="Cambria" w:hAnsi="Cambria"/>
                <w:color w:val="000000" w:themeColor="text1"/>
                <w:sz w:val="24"/>
                <w:szCs w:val="24"/>
              </w:rPr>
              <w:t>4.13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8A1470">
            <w:pPr>
              <w:spacing w:line="240" w:lineRule="exact"/>
              <w:jc w:val="center"/>
              <w:rPr>
                <w:rFonts w:ascii="Cambria" w:hAnsi="Cambria" w:cs="Arial"/>
                <w:color w:val="000000" w:themeColor="text1"/>
                <w:sz w:val="24"/>
                <w:szCs w:val="24"/>
              </w:rPr>
            </w:pPr>
            <w:r w:rsidRPr="00687B52">
              <w:rPr>
                <w:rFonts w:ascii="Cambria" w:hAnsi="Cambria" w:cs="Arial" w:hint="eastAsia"/>
                <w:color w:val="000000" w:themeColor="text1"/>
                <w:sz w:val="24"/>
                <w:szCs w:val="24"/>
              </w:rPr>
              <w:t>15</w:t>
            </w:r>
            <w:r w:rsidRPr="00687B52">
              <w:rPr>
                <w:rFonts w:ascii="Cambria" w:hAnsi="Cambria" w:cs="Arial"/>
                <w:color w:val="000000" w:themeColor="text1"/>
                <w:sz w:val="24"/>
                <w:szCs w:val="24"/>
              </w:rPr>
              <w:t>.1.1</w:t>
            </w:r>
            <w:r w:rsidR="008A1470" w:rsidRPr="00687B52">
              <w:rPr>
                <w:rFonts w:ascii="Cambria" w:hAnsi="Cambria" w:cs="Arial" w:hint="eastAsia"/>
                <w:color w:val="000000" w:themeColor="text1"/>
                <w:sz w:val="24"/>
                <w:szCs w:val="24"/>
              </w:rPr>
              <w:t>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室外煤气净化设备、循环水系统、焦油系统和煤场等建筑物和构筑物，宜布置在煤气发生站的主厂房、煤气加压机间、空气鼓风机间等的常年最小频率风向的上风侧，并应防止冷却塔散发的水雾对周围的影响。</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《工业企业煤气安全规程》</w:t>
            </w:r>
            <w:r w:rsidRPr="00687B52">
              <w:rPr>
                <w:rFonts w:ascii="Cambria" w:hAnsi="Cambria"/>
                <w:color w:val="000000" w:themeColor="text1"/>
                <w:sz w:val="24"/>
                <w:szCs w:val="24"/>
              </w:rPr>
              <w:t>GB6222-2005</w:t>
            </w:r>
            <w:r w:rsidRPr="00687B52">
              <w:rPr>
                <w:rFonts w:ascii="Cambria" w:hAnsi="Cambria"/>
                <w:color w:val="000000" w:themeColor="text1"/>
                <w:sz w:val="24"/>
                <w:szCs w:val="24"/>
              </w:rPr>
              <w:t>第</w:t>
            </w:r>
            <w:r w:rsidRPr="00687B52">
              <w:rPr>
                <w:rFonts w:ascii="Cambria" w:hAnsi="Cambria"/>
                <w:color w:val="000000" w:themeColor="text1"/>
                <w:sz w:val="24"/>
                <w:szCs w:val="24"/>
              </w:rPr>
              <w:t>5.1.1.2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b/>
                <w:color w:val="000000" w:themeColor="text1"/>
                <w:sz w:val="24"/>
                <w:szCs w:val="24"/>
              </w:rPr>
            </w:pPr>
            <w:r w:rsidRPr="00687B52">
              <w:rPr>
                <w:rFonts w:ascii="Cambria" w:hAnsi="Cambria" w:cs="Arial" w:hint="eastAsia"/>
                <w:b/>
                <w:color w:val="000000" w:themeColor="text1"/>
                <w:sz w:val="24"/>
                <w:szCs w:val="24"/>
              </w:rPr>
              <w:t>15</w:t>
            </w:r>
            <w:r w:rsidRPr="00687B52">
              <w:rPr>
                <w:rFonts w:ascii="Cambria" w:hAnsi="Cambria" w:cs="Arial"/>
                <w:b/>
                <w:color w:val="000000" w:themeColor="text1"/>
                <w:sz w:val="24"/>
                <w:szCs w:val="24"/>
              </w:rPr>
              <w:t>.2</w:t>
            </w:r>
          </w:p>
        </w:tc>
        <w:tc>
          <w:tcPr>
            <w:tcW w:w="2101" w:type="pct"/>
            <w:vAlign w:val="center"/>
          </w:tcPr>
          <w:p w:rsidR="000E02C5" w:rsidRPr="00687B52" w:rsidRDefault="000E02C5" w:rsidP="00B527D4">
            <w:pPr>
              <w:adjustRightInd w:val="0"/>
              <w:snapToGrid w:val="0"/>
              <w:spacing w:line="320" w:lineRule="exact"/>
              <w:rPr>
                <w:rFonts w:ascii="Cambria" w:hAnsi="Cambria"/>
                <w:b/>
                <w:color w:val="000000" w:themeColor="text1"/>
                <w:sz w:val="24"/>
                <w:szCs w:val="24"/>
              </w:rPr>
            </w:pPr>
            <w:r w:rsidRPr="00687B52">
              <w:rPr>
                <w:rFonts w:ascii="Cambria" w:hAnsi="Cambria"/>
                <w:b/>
                <w:color w:val="000000" w:themeColor="text1"/>
                <w:sz w:val="24"/>
                <w:szCs w:val="24"/>
              </w:rPr>
              <w:t>工艺、设备设施安全</w:t>
            </w:r>
            <w:r w:rsidRPr="00687B52">
              <w:rPr>
                <w:rFonts w:ascii="Cambria" w:hAnsi="Cambria"/>
                <w:b/>
                <w:color w:val="000000" w:themeColor="text1"/>
                <w:sz w:val="24"/>
                <w:szCs w:val="24"/>
              </w:rPr>
              <w:t>——</w:t>
            </w:r>
            <w:r w:rsidRPr="00687B52">
              <w:rPr>
                <w:rFonts w:ascii="Cambria" w:hAnsi="Cambria"/>
                <w:b/>
                <w:color w:val="000000" w:themeColor="text1"/>
                <w:sz w:val="24"/>
                <w:szCs w:val="24"/>
              </w:rPr>
              <w:t>煤气站</w:t>
            </w:r>
          </w:p>
        </w:tc>
        <w:tc>
          <w:tcPr>
            <w:tcW w:w="1236" w:type="pct"/>
            <w:vAlign w:val="center"/>
          </w:tcPr>
          <w:p w:rsidR="000E02C5" w:rsidRPr="00687B52" w:rsidRDefault="000E02C5" w:rsidP="00B527D4">
            <w:pPr>
              <w:adjustRightInd w:val="0"/>
              <w:snapToGrid w:val="0"/>
              <w:spacing w:line="320" w:lineRule="exact"/>
              <w:rPr>
                <w:rFonts w:ascii="Cambria" w:hAnsi="Cambria"/>
                <w:color w:val="000000" w:themeColor="text1"/>
                <w:sz w:val="24"/>
                <w:szCs w:val="24"/>
              </w:rPr>
            </w:pP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.2.1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竖管、旋风除尘器、风冷器应分别于煤气发生炉一对一配置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6.0.3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.2.2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煤气净化设备和煤气余热锅炉，应设放散管和吹扫管接头；其装设的位置应能时设备内的介质吹净；当煤气净化设备相连处无隔断装置时，应在较高的设备上或设备之间的煤气管道上装放散管。</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7.0.1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.2.3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设备和煤气管道放散管的接管上，应设取样嘴。</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7.0.2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b/>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.2.4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煤气设备的水封，应采取保持其固定水位的设施。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7.0.12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.2.5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煤气排送机和空气鼓风机应各自单排布置。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8.0.8</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.2.6</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在煤气发生炉的进口空气管道，应设明杆式或指示式的阀门、自然吸风装置和止逆阀。空气总管的末端，应设爆破膜。放散管应接至室外。</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9.0.1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.2.</w:t>
            </w:r>
            <w:r w:rsidRPr="00687B52">
              <w:rPr>
                <w:rFonts w:ascii="Cambria" w:hAnsi="Cambria" w:cs="Arial"/>
                <w:color w:val="000000" w:themeColor="text1"/>
                <w:sz w:val="24"/>
                <w:szCs w:val="24"/>
              </w:rPr>
              <w:t>7</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运煤系统必须设筛分和磁选分离的设施。当供煤的粒度大于设计要求时，必须设置破碎机，磁选分离设施应设在破碎机前。</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11.0.8</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.2.</w:t>
            </w:r>
            <w:r w:rsidRPr="00687B52">
              <w:rPr>
                <w:rFonts w:ascii="Cambria" w:hAnsi="Cambria" w:cs="Arial"/>
                <w:color w:val="000000" w:themeColor="text1"/>
                <w:sz w:val="24"/>
                <w:szCs w:val="24"/>
              </w:rPr>
              <w:t>8</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主厂房贮煤层应设防止操作人员落入贮煤斗的设施，并宜设防止楼板上的积水流入贮煤斗的设施。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11.0.13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.3.1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余热锅炉应采用火管式锅炉</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6.0.6</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.3.2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在电气滤清器上必须设爆破阀</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7.0.4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.3.3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煤气发生炉、煤气净化设备和煤气排送机与煤气管道之间，应设置可隔断煤气的装置；当设置盲板时，应设便于装卸盲板的撑铁。</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7.0.13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b/>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.3.4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在煤气设备和管道上装设的爆破阀、人孔、阀门、盲板等，其距操作层或地面的高度大于</w:t>
            </w:r>
            <w:r w:rsidRPr="00687B52">
              <w:rPr>
                <w:rFonts w:ascii="Cambria" w:hAnsi="Cambria"/>
                <w:color w:val="000000" w:themeColor="text1"/>
                <w:sz w:val="24"/>
                <w:szCs w:val="24"/>
              </w:rPr>
              <w:t>2m</w:t>
            </w:r>
            <w:r w:rsidRPr="00687B52">
              <w:rPr>
                <w:rFonts w:ascii="Cambria" w:hAnsi="Cambria"/>
                <w:color w:val="000000" w:themeColor="text1"/>
                <w:sz w:val="24"/>
                <w:szCs w:val="24"/>
              </w:rPr>
              <w:t>时，应设置操作平台。</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7.0.14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.3.5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煤气净化设备除竖管和旋风除尘器可布置在室内之外，其他设备均应布置在室外</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8.0.6</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.3.6</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空气鼓风机和煤气排送机设置的台数宜相等，其各自的并联工作台数不宜超过</w:t>
            </w:r>
            <w:r w:rsidRPr="00687B52">
              <w:rPr>
                <w:rFonts w:ascii="Cambria" w:hAnsi="Cambria"/>
                <w:color w:val="000000" w:themeColor="text1"/>
                <w:sz w:val="24"/>
                <w:szCs w:val="24"/>
              </w:rPr>
              <w:t>3</w:t>
            </w:r>
            <w:r w:rsidRPr="00687B52">
              <w:rPr>
                <w:rFonts w:ascii="Cambria" w:hAnsi="Cambria"/>
                <w:color w:val="000000" w:themeColor="text1"/>
                <w:sz w:val="24"/>
                <w:szCs w:val="24"/>
              </w:rPr>
              <w:t>台，并应另设</w:t>
            </w:r>
            <w:r w:rsidRPr="00687B52">
              <w:rPr>
                <w:rFonts w:ascii="Cambria" w:hAnsi="Cambria"/>
                <w:color w:val="000000" w:themeColor="text1"/>
                <w:sz w:val="24"/>
                <w:szCs w:val="24"/>
              </w:rPr>
              <w:t>1</w:t>
            </w:r>
            <w:r w:rsidRPr="00687B52">
              <w:rPr>
                <w:rFonts w:ascii="Cambria" w:hAnsi="Cambria"/>
                <w:color w:val="000000" w:themeColor="text1"/>
                <w:sz w:val="24"/>
                <w:szCs w:val="24"/>
              </w:rPr>
              <w:t>台备用；当需要低负荷调节确认经济合理时，可增设</w:t>
            </w:r>
            <w:r w:rsidRPr="00687B52">
              <w:rPr>
                <w:rFonts w:ascii="Cambria" w:hAnsi="Cambria"/>
                <w:color w:val="000000" w:themeColor="text1"/>
                <w:sz w:val="24"/>
                <w:szCs w:val="24"/>
              </w:rPr>
              <w:t>1</w:t>
            </w:r>
            <w:r w:rsidRPr="00687B52">
              <w:rPr>
                <w:rFonts w:ascii="Cambria" w:hAnsi="Cambria"/>
                <w:color w:val="000000" w:themeColor="text1"/>
                <w:sz w:val="24"/>
                <w:szCs w:val="24"/>
              </w:rPr>
              <w:t>台较小容量的设备。</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6.0.14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.3.7</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竖管、旋风除尘器宜设泄压水封。</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7.0.8</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.3.8</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对爆炸、火灾危险场所内可能产生静电危险的设备和管道，均应采取静电接地措施。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《石油化工企业企业设计防火规范》</w:t>
            </w:r>
            <w:r w:rsidRPr="00687B52">
              <w:rPr>
                <w:rFonts w:ascii="Cambria" w:hAnsi="Cambria"/>
                <w:color w:val="000000" w:themeColor="text1"/>
                <w:sz w:val="24"/>
                <w:szCs w:val="24"/>
              </w:rPr>
              <w:t>GB50160-2008</w:t>
            </w:r>
            <w:r w:rsidRPr="00687B52">
              <w:rPr>
                <w:rFonts w:ascii="Cambria" w:hAnsi="Cambria"/>
                <w:color w:val="000000" w:themeColor="text1"/>
                <w:sz w:val="24"/>
                <w:szCs w:val="24"/>
              </w:rPr>
              <w:t>第</w:t>
            </w:r>
            <w:r w:rsidRPr="00687B52">
              <w:rPr>
                <w:rFonts w:ascii="Cambria" w:hAnsi="Cambria"/>
                <w:color w:val="000000" w:themeColor="text1"/>
                <w:sz w:val="24"/>
                <w:szCs w:val="24"/>
              </w:rPr>
              <w:t>9.3.1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FE5FC4">
            <w:pPr>
              <w:overflowPunct w:val="0"/>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.3.</w:t>
            </w:r>
            <w:r w:rsidR="00FE5FC4" w:rsidRPr="00687B52">
              <w:rPr>
                <w:rFonts w:ascii="Cambria" w:hAnsi="Cambria" w:hint="eastAsia"/>
                <w:color w:val="000000" w:themeColor="text1"/>
                <w:sz w:val="24"/>
                <w:szCs w:val="24"/>
              </w:rPr>
              <w:t>9</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有爆炸危险的厂房或厂房内有爆炸危险的部位应设置泄压设施。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3.6.2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FE5FC4">
            <w:pPr>
              <w:overflowPunct w:val="0"/>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.3.1</w:t>
            </w:r>
            <w:r w:rsidR="00FE5FC4" w:rsidRPr="00687B52">
              <w:rPr>
                <w:rFonts w:ascii="Cambria" w:hAnsi="Cambria" w:hint="eastAsia"/>
                <w:color w:val="000000" w:themeColor="text1"/>
                <w:sz w:val="24"/>
                <w:szCs w:val="24"/>
              </w:rPr>
              <w:t>0</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当空气总管的空气压力下降到设计值时，应发出声、光信号；当压力继续下降到允许值或空气鼓风机停机时，应自动停止煤气排送机运行，并应发出声、光报警信号。</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13.0.2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FE5FC4">
            <w:pPr>
              <w:overflowPunct w:val="0"/>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.3.1</w:t>
            </w:r>
            <w:r w:rsidR="00FE5FC4" w:rsidRPr="00687B52">
              <w:rPr>
                <w:rFonts w:ascii="Cambria" w:hAnsi="Cambria" w:hint="eastAsia"/>
                <w:color w:val="000000" w:themeColor="text1"/>
                <w:sz w:val="24"/>
                <w:szCs w:val="24"/>
              </w:rPr>
              <w:t>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当煤气排送机前低压煤气总管的煤气压力下降到设计值时，应发出声、光信号；当继续下降到允许值时，应自动停止煤气排送机运行，并应发出声、光报警信号。</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13.0.2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FE5FC4">
            <w:pPr>
              <w:overflowPunct w:val="0"/>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.3.1</w:t>
            </w:r>
            <w:r w:rsidR="00FE5FC4" w:rsidRPr="00687B52">
              <w:rPr>
                <w:rFonts w:ascii="Cambria" w:hAnsi="Cambria" w:hint="eastAsia"/>
                <w:color w:val="000000" w:themeColor="text1"/>
                <w:sz w:val="24"/>
                <w:szCs w:val="24"/>
              </w:rPr>
              <w:t>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当电气滤清器出口煤气压力下降到设计值时，应发出声、光报警信号。</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13.0.2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FE5FC4">
            <w:pPr>
              <w:overflowPunct w:val="0"/>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.3.1</w:t>
            </w:r>
            <w:r w:rsidR="00FE5FC4" w:rsidRPr="00687B52">
              <w:rPr>
                <w:rFonts w:ascii="Cambria" w:hAnsi="Cambria" w:hint="eastAsia"/>
                <w:color w:val="000000" w:themeColor="text1"/>
                <w:sz w:val="24"/>
                <w:szCs w:val="24"/>
              </w:rPr>
              <w:t>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当电气滤清器绝缘子箱内的温度下降到设计值时，应发出声、光报警信号。</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13.0.2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FE5FC4">
            <w:pPr>
              <w:overflowPunct w:val="0"/>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.3.1</w:t>
            </w:r>
            <w:r w:rsidR="00FE5FC4" w:rsidRPr="00687B52">
              <w:rPr>
                <w:rFonts w:ascii="Cambria" w:hAnsi="Cambria" w:hint="eastAsia"/>
                <w:color w:val="000000" w:themeColor="text1"/>
                <w:sz w:val="24"/>
                <w:szCs w:val="24"/>
              </w:rPr>
              <w:t>4</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电气滤清器宜装设煤气含氧量检测装置。当含氧量大于</w:t>
            </w:r>
            <w:r w:rsidRPr="00687B52">
              <w:rPr>
                <w:rFonts w:ascii="Cambria" w:hAnsi="Cambria"/>
                <w:color w:val="000000" w:themeColor="text1"/>
                <w:sz w:val="24"/>
                <w:szCs w:val="24"/>
              </w:rPr>
              <w:t>0.8%</w:t>
            </w:r>
            <w:r w:rsidRPr="00687B52">
              <w:rPr>
                <w:rFonts w:ascii="Cambria" w:hAnsi="Cambria"/>
                <w:color w:val="000000" w:themeColor="text1"/>
                <w:sz w:val="24"/>
                <w:szCs w:val="24"/>
              </w:rPr>
              <w:t>（体积比）时，应发出声、光报警信号；当达到</w:t>
            </w:r>
            <w:r w:rsidRPr="00687B52">
              <w:rPr>
                <w:rFonts w:ascii="Cambria" w:hAnsi="Cambria"/>
                <w:color w:val="000000" w:themeColor="text1"/>
                <w:sz w:val="24"/>
                <w:szCs w:val="24"/>
              </w:rPr>
              <w:t>1</w:t>
            </w:r>
            <w:r w:rsidRPr="00687B52">
              <w:rPr>
                <w:rFonts w:ascii="Cambria" w:hAnsi="Cambria"/>
                <w:color w:val="000000" w:themeColor="text1"/>
                <w:sz w:val="24"/>
                <w:szCs w:val="24"/>
              </w:rPr>
              <w:t>％（体积比）时，应自动或手动切断其高压电源。</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13.0.2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FE5FC4">
            <w:pPr>
              <w:overflowPunct w:val="0"/>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.3.1</w:t>
            </w:r>
            <w:r w:rsidR="00FE5FC4" w:rsidRPr="00687B52">
              <w:rPr>
                <w:rFonts w:ascii="Cambria" w:hAnsi="Cambria" w:hint="eastAsia"/>
                <w:color w:val="000000" w:themeColor="text1"/>
                <w:sz w:val="24"/>
                <w:szCs w:val="24"/>
              </w:rPr>
              <w:t>5</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当大型煤气站的煤气排送机、空气鼓风机轴承温度大于</w:t>
            </w:r>
            <w:r w:rsidRPr="00687B52">
              <w:rPr>
                <w:rFonts w:ascii="Cambria" w:hAnsi="Cambria"/>
                <w:color w:val="000000" w:themeColor="text1"/>
                <w:sz w:val="24"/>
                <w:szCs w:val="24"/>
              </w:rPr>
              <w:t>65</w:t>
            </w:r>
            <w:r w:rsidRPr="00687B52">
              <w:rPr>
                <w:rFonts w:ascii="Cambria" w:hAnsi="Cambria" w:hint="eastAsia"/>
                <w:color w:val="000000" w:themeColor="text1"/>
                <w:sz w:val="24"/>
                <w:szCs w:val="24"/>
              </w:rPr>
              <w:t>℃</w:t>
            </w:r>
            <w:r w:rsidRPr="00687B52">
              <w:rPr>
                <w:rFonts w:ascii="Cambria" w:hAnsi="Cambria"/>
                <w:color w:val="000000" w:themeColor="text1"/>
                <w:sz w:val="24"/>
                <w:szCs w:val="24"/>
              </w:rPr>
              <w:t>或其油冷却系统的油压小于</w:t>
            </w:r>
            <w:r w:rsidRPr="00687B52">
              <w:rPr>
                <w:rFonts w:ascii="Cambria" w:hAnsi="Cambria"/>
                <w:color w:val="000000" w:themeColor="text1"/>
                <w:sz w:val="24"/>
                <w:szCs w:val="24"/>
              </w:rPr>
              <w:t>50kPa</w:t>
            </w:r>
            <w:r w:rsidRPr="00687B52">
              <w:rPr>
                <w:rFonts w:ascii="Cambria" w:hAnsi="Cambria"/>
                <w:color w:val="000000" w:themeColor="text1"/>
                <w:sz w:val="24"/>
                <w:szCs w:val="24"/>
              </w:rPr>
              <w:t>时，应发出声、光报警信号。</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13.0.2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FE5FC4">
            <w:pPr>
              <w:overflowPunct w:val="0"/>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.3.1</w:t>
            </w:r>
            <w:r w:rsidR="00FE5FC4" w:rsidRPr="00687B52">
              <w:rPr>
                <w:rFonts w:ascii="Cambria" w:hAnsi="Cambria" w:hint="eastAsia"/>
                <w:color w:val="000000" w:themeColor="text1"/>
                <w:sz w:val="24"/>
                <w:szCs w:val="24"/>
              </w:rPr>
              <w:t>6</w:t>
            </w:r>
          </w:p>
        </w:tc>
        <w:tc>
          <w:tcPr>
            <w:tcW w:w="2101" w:type="pct"/>
            <w:vAlign w:val="center"/>
          </w:tcPr>
          <w:p w:rsidR="000E02C5" w:rsidRPr="00687B52" w:rsidRDefault="000E02C5" w:rsidP="00FE5FC4">
            <w:pPr>
              <w:rPr>
                <w:rFonts w:ascii="Cambria" w:hAnsi="Cambria"/>
                <w:color w:val="000000" w:themeColor="text1"/>
                <w:sz w:val="24"/>
                <w:szCs w:val="24"/>
              </w:rPr>
            </w:pPr>
            <w:r w:rsidRPr="00687B52">
              <w:rPr>
                <w:rFonts w:ascii="Cambria" w:hAnsi="Cambria"/>
                <w:color w:val="000000" w:themeColor="text1"/>
                <w:sz w:val="24"/>
                <w:szCs w:val="24"/>
              </w:rPr>
              <w:t>大型煤气站应设仪表维修间</w:t>
            </w:r>
            <w:r w:rsidR="00FE5FC4" w:rsidRPr="00687B52">
              <w:rPr>
                <w:rFonts w:ascii="Cambria" w:hAnsi="Cambria" w:hint="eastAs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10.0.3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FE5FC4">
            <w:pPr>
              <w:overflowPunct w:val="0"/>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.3.1</w:t>
            </w:r>
            <w:r w:rsidR="00FE5FC4" w:rsidRPr="00687B52">
              <w:rPr>
                <w:rFonts w:ascii="Cambria" w:hAnsi="Cambria" w:hint="eastAsia"/>
                <w:color w:val="000000" w:themeColor="text1"/>
                <w:sz w:val="24"/>
                <w:szCs w:val="24"/>
              </w:rPr>
              <w:t>7</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煤气危险区（如地下室、加压站、热风炉及各种煤气发生设施附近）的一氧化碳浓度应定期测定，在关键部位应设置一氧化碳检测装置。作业环境一氧化碳最高允许浓度为</w:t>
            </w:r>
            <w:r w:rsidRPr="00687B52">
              <w:rPr>
                <w:rFonts w:ascii="Cambria" w:hAnsi="Cambria"/>
                <w:color w:val="000000" w:themeColor="text1"/>
                <w:sz w:val="24"/>
                <w:szCs w:val="24"/>
              </w:rPr>
              <w:t>30mg/m</w:t>
            </w:r>
            <w:r w:rsidRPr="00687B52">
              <w:rPr>
                <w:rFonts w:ascii="Cambria" w:hAnsi="Cambria"/>
                <w:color w:val="000000" w:themeColor="text1"/>
                <w:sz w:val="24"/>
                <w:szCs w:val="24"/>
                <w:vertAlign w:val="superscript"/>
              </w:rPr>
              <w:t>3</w:t>
            </w:r>
            <w:r w:rsidRPr="00687B52">
              <w:rPr>
                <w:rFonts w:ascii="Cambria" w:hAnsi="Cambria"/>
                <w:color w:val="000000" w:themeColor="text1"/>
                <w:sz w:val="24"/>
                <w:szCs w:val="24"/>
              </w:rPr>
              <w:t>（</w:t>
            </w:r>
            <w:r w:rsidRPr="00687B52">
              <w:rPr>
                <w:rFonts w:ascii="Cambria" w:hAnsi="Cambria"/>
                <w:color w:val="000000" w:themeColor="text1"/>
                <w:sz w:val="24"/>
                <w:szCs w:val="24"/>
              </w:rPr>
              <w:t>24ppm</w:t>
            </w:r>
            <w:r w:rsidRPr="00687B52">
              <w:rPr>
                <w:rFonts w:ascii="Cambria" w:hAnsi="Cambr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《工业企业煤气安全规程》</w:t>
            </w:r>
            <w:r w:rsidRPr="00687B52">
              <w:rPr>
                <w:rFonts w:ascii="Cambria" w:hAnsi="Cambria"/>
                <w:color w:val="000000" w:themeColor="text1"/>
                <w:sz w:val="24"/>
                <w:szCs w:val="24"/>
              </w:rPr>
              <w:t>GB6222-2005</w:t>
            </w:r>
            <w:r w:rsidRPr="00687B52">
              <w:rPr>
                <w:rFonts w:ascii="Cambria" w:hAnsi="Cambria"/>
                <w:color w:val="000000" w:themeColor="text1"/>
                <w:sz w:val="24"/>
                <w:szCs w:val="24"/>
              </w:rPr>
              <w:t>第</w:t>
            </w:r>
            <w:r w:rsidRPr="00687B52">
              <w:rPr>
                <w:rFonts w:ascii="Cambria" w:hAnsi="Cambria"/>
                <w:color w:val="000000" w:themeColor="text1"/>
                <w:sz w:val="24"/>
                <w:szCs w:val="24"/>
              </w:rPr>
              <w:t>4.10</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43607E">
            <w:pPr>
              <w:overflowPunct w:val="0"/>
              <w:spacing w:line="240" w:lineRule="exact"/>
              <w:jc w:val="center"/>
              <w:rPr>
                <w:rFonts w:ascii="Cambria" w:hAnsi="Cambria" w:cs="宋体"/>
                <w:color w:val="000000" w:themeColor="text1"/>
                <w:kern w:val="0"/>
                <w:sz w:val="24"/>
                <w:szCs w:val="24"/>
              </w:rPr>
            </w:pPr>
            <w:r w:rsidRPr="00687B52">
              <w:rPr>
                <w:rFonts w:ascii="Cambria" w:hAnsi="Cambria" w:cs="宋体" w:hint="eastAsia"/>
                <w:color w:val="000000" w:themeColor="text1"/>
                <w:kern w:val="0"/>
                <w:sz w:val="24"/>
                <w:szCs w:val="24"/>
              </w:rPr>
              <w:t>15</w:t>
            </w:r>
            <w:r w:rsidRPr="00687B52">
              <w:rPr>
                <w:rFonts w:ascii="Cambria" w:hAnsi="Cambria" w:cs="宋体"/>
                <w:color w:val="000000" w:themeColor="text1"/>
                <w:kern w:val="0"/>
                <w:sz w:val="24"/>
                <w:szCs w:val="24"/>
              </w:rPr>
              <w:t>.3.</w:t>
            </w:r>
            <w:r w:rsidR="0043607E" w:rsidRPr="00687B52">
              <w:rPr>
                <w:rFonts w:ascii="Cambria" w:hAnsi="Cambria" w:cs="宋体" w:hint="eastAsia"/>
                <w:color w:val="000000" w:themeColor="text1"/>
                <w:kern w:val="0"/>
                <w:sz w:val="24"/>
                <w:szCs w:val="24"/>
              </w:rPr>
              <w:t>18</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煤气站产生有毒气体的区域应设置有毒气体监测报警仪。</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《危险化学品重大危险源罐区现场安全监控装备设置规范》</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AQ3036-2010</w:t>
            </w:r>
            <w:r w:rsidRPr="00687B52">
              <w:rPr>
                <w:rFonts w:ascii="Cambria" w:hAnsi="Cambria"/>
                <w:color w:val="000000" w:themeColor="text1"/>
                <w:sz w:val="24"/>
                <w:szCs w:val="24"/>
              </w:rPr>
              <w:t>第</w:t>
            </w:r>
            <w:r w:rsidRPr="00687B52">
              <w:rPr>
                <w:rFonts w:ascii="Cambria" w:hAnsi="Cambria"/>
                <w:color w:val="000000" w:themeColor="text1"/>
                <w:sz w:val="24"/>
                <w:szCs w:val="24"/>
              </w:rPr>
              <w:t>7.1.2</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43607E">
            <w:pPr>
              <w:overflowPunct w:val="0"/>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.3.</w:t>
            </w:r>
            <w:r w:rsidR="0043607E" w:rsidRPr="00687B52">
              <w:rPr>
                <w:rFonts w:ascii="Cambria" w:hAnsi="Cambria" w:hint="eastAsia"/>
                <w:color w:val="000000" w:themeColor="text1"/>
                <w:sz w:val="24"/>
                <w:szCs w:val="24"/>
              </w:rPr>
              <w:t>19</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电缆明敷设时，应选用钢管加以保护，选用保护管应与相关仪表设备等妥善连接，电缆的连接处需安装防爆接线盒。</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《危险化学品重大危险源罐区现场安全监控装备设置规范》</w:t>
            </w:r>
            <w:r w:rsidRPr="00687B52">
              <w:rPr>
                <w:rFonts w:ascii="Cambria" w:hAnsi="Cambria"/>
                <w:color w:val="000000" w:themeColor="text1"/>
                <w:sz w:val="24"/>
                <w:szCs w:val="24"/>
              </w:rPr>
              <w:t>AQ3036-2010</w:t>
            </w:r>
            <w:r w:rsidRPr="00687B52">
              <w:rPr>
                <w:rFonts w:ascii="Cambria" w:hAnsi="Cambria"/>
                <w:color w:val="000000" w:themeColor="text1"/>
                <w:sz w:val="24"/>
                <w:szCs w:val="24"/>
              </w:rPr>
              <w:t>第</w:t>
            </w:r>
            <w:r w:rsidRPr="00687B52">
              <w:rPr>
                <w:rFonts w:ascii="Cambria" w:hAnsi="Cambria"/>
                <w:color w:val="000000" w:themeColor="text1"/>
                <w:sz w:val="24"/>
                <w:szCs w:val="24"/>
              </w:rPr>
              <w:t>11.2.1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43607E">
            <w:pPr>
              <w:overflowPunct w:val="0"/>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.3.2</w:t>
            </w:r>
            <w:r w:rsidR="0043607E" w:rsidRPr="00687B52">
              <w:rPr>
                <w:rFonts w:ascii="Cambria" w:hAnsi="Cambria" w:hint="eastAsia"/>
                <w:color w:val="000000" w:themeColor="text1"/>
                <w:sz w:val="24"/>
                <w:szCs w:val="24"/>
              </w:rPr>
              <w:t>0</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爆炸性环境的电力装置设计应符合下列规定：</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color w:val="000000" w:themeColor="text1"/>
                <w:sz w:val="24"/>
                <w:szCs w:val="24"/>
              </w:rPr>
              <w:t>．爆炸性环境的电力装置设计宜将设备和线路，特别是正常运行时能发生火花的设备布置在爆炸性环境以外。当需设在爆炸性环境内时，应布置在爆炸危险性较小的地点。</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color w:val="000000" w:themeColor="text1"/>
                <w:sz w:val="24"/>
                <w:szCs w:val="24"/>
              </w:rPr>
              <w:t>．在满足工艺生产及安全的前提下，应减少防爆电器设备的数量。</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3</w:t>
            </w:r>
            <w:r w:rsidRPr="00687B52">
              <w:rPr>
                <w:rFonts w:ascii="Cambria" w:hAnsi="Cambria"/>
                <w:color w:val="000000" w:themeColor="text1"/>
                <w:sz w:val="24"/>
                <w:szCs w:val="24"/>
              </w:rPr>
              <w:t>．爆炸性环境内的电气设备和线路应符合周围环境内化学、机械、热、霉菌以及风沙等不同环境条件下对电气设备的要求。</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《爆炸危险环境电力装置设计规范》</w:t>
            </w:r>
            <w:r w:rsidRPr="00687B52">
              <w:rPr>
                <w:rFonts w:ascii="Cambria" w:hAnsi="Cambria"/>
                <w:color w:val="000000" w:themeColor="text1"/>
                <w:sz w:val="24"/>
                <w:szCs w:val="24"/>
              </w:rPr>
              <w:t>GB50058-2014</w:t>
            </w:r>
            <w:r w:rsidRPr="00687B52">
              <w:rPr>
                <w:rFonts w:ascii="Cambria" w:hAnsi="Cambria"/>
                <w:color w:val="000000" w:themeColor="text1"/>
                <w:sz w:val="24"/>
                <w:szCs w:val="24"/>
              </w:rPr>
              <w:t>第</w:t>
            </w:r>
            <w:r w:rsidRPr="00687B52">
              <w:rPr>
                <w:rFonts w:ascii="Cambria" w:hAnsi="Cambria"/>
                <w:color w:val="000000" w:themeColor="text1"/>
                <w:sz w:val="24"/>
                <w:szCs w:val="24"/>
              </w:rPr>
              <w:t>5.1.1</w:t>
            </w:r>
            <w:r w:rsidRPr="00687B52">
              <w:rPr>
                <w:rFonts w:ascii="Cambria" w:hAnsi="Cambria"/>
                <w:color w:val="000000" w:themeColor="text1"/>
                <w:sz w:val="24"/>
                <w:szCs w:val="24"/>
              </w:rPr>
              <w:t>（</w:t>
            </w:r>
            <w:r w:rsidRPr="00687B52">
              <w:rPr>
                <w:rFonts w:ascii="Cambria" w:hAnsi="Cambria"/>
                <w:color w:val="000000" w:themeColor="text1"/>
                <w:sz w:val="24"/>
                <w:szCs w:val="24"/>
              </w:rPr>
              <w:t>1</w:t>
            </w:r>
            <w:r w:rsidRPr="00687B52">
              <w:rPr>
                <w:rFonts w:ascii="Cambria" w:hAnsi="Cambria"/>
                <w:color w:val="000000" w:themeColor="text1"/>
                <w:sz w:val="24"/>
                <w:szCs w:val="24"/>
              </w:rPr>
              <w:t>）</w:t>
            </w:r>
            <w:r w:rsidRPr="00687B52">
              <w:rPr>
                <w:rFonts w:ascii="Cambria" w:hAnsi="Cambria"/>
                <w:color w:val="000000" w:themeColor="text1"/>
                <w:sz w:val="24"/>
                <w:szCs w:val="24"/>
              </w:rPr>
              <w:t>-</w:t>
            </w:r>
            <w:r w:rsidRPr="00687B52">
              <w:rPr>
                <w:rFonts w:ascii="Cambria" w:hAnsi="Cambria"/>
                <w:color w:val="000000" w:themeColor="text1"/>
                <w:sz w:val="24"/>
                <w:szCs w:val="24"/>
              </w:rPr>
              <w:t>（</w:t>
            </w:r>
            <w:r w:rsidRPr="00687B52">
              <w:rPr>
                <w:rFonts w:ascii="Cambria" w:hAnsi="Cambria"/>
                <w:color w:val="000000" w:themeColor="text1"/>
                <w:sz w:val="24"/>
                <w:szCs w:val="24"/>
              </w:rPr>
              <w:t>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43607E">
            <w:pPr>
              <w:overflowPunct w:val="0"/>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.3.2</w:t>
            </w:r>
            <w:r w:rsidR="0043607E" w:rsidRPr="00687B52">
              <w:rPr>
                <w:rFonts w:ascii="Cambria" w:hAnsi="Cambria" w:hint="eastAsia"/>
                <w:color w:val="000000" w:themeColor="text1"/>
                <w:sz w:val="24"/>
                <w:szCs w:val="24"/>
              </w:rPr>
              <w:t>1</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爆炸性环境内设置的防爆电气设备应符合现行国家标准《爆炸性环境第</w:t>
            </w:r>
            <w:r w:rsidRPr="00687B52">
              <w:rPr>
                <w:rFonts w:ascii="Cambria" w:hAnsi="Cambria"/>
                <w:color w:val="000000" w:themeColor="text1"/>
                <w:sz w:val="24"/>
                <w:szCs w:val="24"/>
              </w:rPr>
              <w:t>1</w:t>
            </w:r>
            <w:r w:rsidRPr="00687B52">
              <w:rPr>
                <w:rFonts w:ascii="Cambria" w:hAnsi="Cambria"/>
                <w:color w:val="000000" w:themeColor="text1"/>
                <w:sz w:val="24"/>
                <w:szCs w:val="24"/>
              </w:rPr>
              <w:t>部分：设备通用要求》</w:t>
            </w:r>
            <w:r w:rsidRPr="00687B52">
              <w:rPr>
                <w:rFonts w:ascii="Cambria" w:hAnsi="Cambria"/>
                <w:color w:val="000000" w:themeColor="text1"/>
                <w:sz w:val="24"/>
                <w:szCs w:val="24"/>
              </w:rPr>
              <w:t>GB38361</w:t>
            </w:r>
            <w:r w:rsidRPr="00687B52">
              <w:rPr>
                <w:rFonts w:ascii="Cambria" w:hAnsi="Cambria"/>
                <w:color w:val="000000" w:themeColor="text1"/>
                <w:sz w:val="24"/>
                <w:szCs w:val="24"/>
              </w:rPr>
              <w:t>的有关规定。</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《爆炸危险环境电力装置设计规范》</w:t>
            </w:r>
            <w:r w:rsidRPr="00687B52">
              <w:rPr>
                <w:rFonts w:ascii="Cambria" w:hAnsi="Cambria"/>
                <w:color w:val="000000" w:themeColor="text1"/>
                <w:sz w:val="24"/>
                <w:szCs w:val="24"/>
              </w:rPr>
              <w:t>GB50058-2014</w:t>
            </w:r>
            <w:r w:rsidRPr="00687B52">
              <w:rPr>
                <w:rFonts w:ascii="Cambria" w:hAnsi="Cambria"/>
                <w:color w:val="000000" w:themeColor="text1"/>
                <w:sz w:val="24"/>
                <w:szCs w:val="24"/>
              </w:rPr>
              <w:t>第</w:t>
            </w:r>
            <w:r w:rsidRPr="00687B52">
              <w:rPr>
                <w:rFonts w:ascii="Cambria" w:hAnsi="Cambria"/>
                <w:color w:val="000000" w:themeColor="text1"/>
                <w:sz w:val="24"/>
                <w:szCs w:val="24"/>
              </w:rPr>
              <w:t>5.1.1</w:t>
            </w:r>
            <w:r w:rsidRPr="00687B52">
              <w:rPr>
                <w:rFonts w:ascii="Cambria" w:hAnsi="Cambria"/>
                <w:color w:val="000000" w:themeColor="text1"/>
                <w:sz w:val="24"/>
                <w:szCs w:val="24"/>
              </w:rPr>
              <w:t>（</w:t>
            </w:r>
            <w:r w:rsidRPr="00687B52">
              <w:rPr>
                <w:rFonts w:ascii="Cambria" w:hAnsi="Cambria"/>
                <w:color w:val="000000" w:themeColor="text1"/>
                <w:sz w:val="24"/>
                <w:szCs w:val="24"/>
              </w:rPr>
              <w:t>7</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43607E">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.3.2</w:t>
            </w:r>
            <w:r w:rsidR="0043607E" w:rsidRPr="00687B52">
              <w:rPr>
                <w:rFonts w:ascii="Cambria" w:hAnsi="Cambria" w:hint="eastAsia"/>
                <w:color w:val="000000" w:themeColor="text1"/>
                <w:sz w:val="24"/>
                <w:szCs w:val="24"/>
              </w:rPr>
              <w:t>2</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电缆明敷设时，应选用钢管加以保护，选用保护管应与相关仪表设备等妥善连接，电缆的连接处需安装防爆接线盒。</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《危险化学品重大危险源罐区现场安全监控装备设置规范》</w:t>
            </w:r>
            <w:r w:rsidRPr="00687B52">
              <w:rPr>
                <w:rFonts w:ascii="Cambria" w:hAnsi="Cambria"/>
                <w:color w:val="000000" w:themeColor="text1"/>
                <w:sz w:val="24"/>
                <w:szCs w:val="24"/>
              </w:rPr>
              <w:t>AQ3036-2010</w:t>
            </w:r>
            <w:r w:rsidRPr="00687B52">
              <w:rPr>
                <w:rFonts w:ascii="Cambria" w:hAnsi="Cambria"/>
                <w:color w:val="000000" w:themeColor="text1"/>
                <w:sz w:val="24"/>
                <w:szCs w:val="24"/>
              </w:rPr>
              <w:t>第</w:t>
            </w:r>
            <w:r w:rsidRPr="00687B52">
              <w:rPr>
                <w:rFonts w:ascii="Cambria" w:hAnsi="Cambria"/>
                <w:color w:val="000000" w:themeColor="text1"/>
                <w:sz w:val="24"/>
                <w:szCs w:val="24"/>
              </w:rPr>
              <w:t>11.2.1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43607E">
            <w:pPr>
              <w:spacing w:line="240" w:lineRule="exact"/>
              <w:jc w:val="center"/>
              <w:rPr>
                <w:rFonts w:ascii="Cambria" w:hAnsi="Cambria"/>
                <w:color w:val="000000" w:themeColor="text1"/>
                <w:sz w:val="24"/>
                <w:szCs w:val="24"/>
              </w:rPr>
            </w:pPr>
            <w:r w:rsidRPr="00687B52">
              <w:rPr>
                <w:rFonts w:ascii="Cambria" w:hAnsi="Cambria" w:hint="eastAsia"/>
                <w:color w:val="000000" w:themeColor="text1"/>
                <w:sz w:val="24"/>
                <w:szCs w:val="24"/>
              </w:rPr>
              <w:t>15</w:t>
            </w:r>
            <w:r w:rsidRPr="00687B52">
              <w:rPr>
                <w:rFonts w:ascii="Cambria" w:hAnsi="Cambria"/>
                <w:color w:val="000000" w:themeColor="text1"/>
                <w:sz w:val="24"/>
                <w:szCs w:val="24"/>
              </w:rPr>
              <w:t>.3.2</w:t>
            </w:r>
            <w:r w:rsidR="0043607E" w:rsidRPr="00687B52">
              <w:rPr>
                <w:rFonts w:ascii="Cambria" w:hAnsi="Cambria" w:hint="eastAsia"/>
                <w:color w:val="000000" w:themeColor="text1"/>
                <w:sz w:val="24"/>
                <w:szCs w:val="24"/>
              </w:rPr>
              <w:t>3</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煤气站内各操作室应设有通信设施。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15.0.5</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overflowPunct w:val="0"/>
              <w:spacing w:line="240" w:lineRule="exact"/>
              <w:jc w:val="center"/>
              <w:rPr>
                <w:rFonts w:ascii="Cambria" w:hAnsi="Cambria"/>
                <w:b/>
                <w:color w:val="000000" w:themeColor="text1"/>
                <w:sz w:val="24"/>
                <w:szCs w:val="24"/>
              </w:rPr>
            </w:pPr>
            <w:r w:rsidRPr="00687B52">
              <w:rPr>
                <w:rFonts w:ascii="Cambria" w:hAnsi="Cambria" w:hint="eastAsia"/>
                <w:b/>
                <w:color w:val="000000" w:themeColor="text1"/>
                <w:sz w:val="24"/>
                <w:szCs w:val="24"/>
              </w:rPr>
              <w:t>15</w:t>
            </w:r>
            <w:r w:rsidRPr="00687B52">
              <w:rPr>
                <w:rFonts w:ascii="Cambria" w:hAnsi="Cambria"/>
                <w:b/>
                <w:color w:val="000000" w:themeColor="text1"/>
                <w:sz w:val="24"/>
                <w:szCs w:val="24"/>
              </w:rPr>
              <w:t>.4</w:t>
            </w:r>
          </w:p>
        </w:tc>
        <w:tc>
          <w:tcPr>
            <w:tcW w:w="2101" w:type="pct"/>
            <w:vAlign w:val="center"/>
          </w:tcPr>
          <w:p w:rsidR="000E02C5" w:rsidRPr="00687B52" w:rsidRDefault="000E02C5" w:rsidP="00763863">
            <w:pPr>
              <w:rPr>
                <w:rFonts w:ascii="Cambria" w:hAnsi="Cambria"/>
                <w:b/>
                <w:color w:val="000000" w:themeColor="text1"/>
                <w:sz w:val="24"/>
                <w:szCs w:val="24"/>
              </w:rPr>
            </w:pPr>
            <w:bookmarkStart w:id="77" w:name="_Toc492557252"/>
            <w:bookmarkStart w:id="78" w:name="_Toc492557957"/>
            <w:r w:rsidRPr="00687B52">
              <w:rPr>
                <w:rFonts w:ascii="Cambria" w:hAnsi="Cambria"/>
                <w:b/>
                <w:color w:val="000000" w:themeColor="text1"/>
                <w:sz w:val="24"/>
                <w:szCs w:val="24"/>
              </w:rPr>
              <w:t>公用工程及辅助设施</w:t>
            </w:r>
            <w:bookmarkEnd w:id="77"/>
            <w:bookmarkEnd w:id="78"/>
          </w:p>
        </w:tc>
        <w:tc>
          <w:tcPr>
            <w:tcW w:w="1236" w:type="pct"/>
            <w:vAlign w:val="center"/>
          </w:tcPr>
          <w:p w:rsidR="000E02C5" w:rsidRPr="00687B52" w:rsidRDefault="000E02C5" w:rsidP="00B527D4">
            <w:pPr>
              <w:adjustRightInd w:val="0"/>
              <w:snapToGrid w:val="0"/>
              <w:spacing w:line="320" w:lineRule="exact"/>
              <w:rPr>
                <w:rFonts w:ascii="Cambria" w:hAnsi="Cambria"/>
                <w:color w:val="000000" w:themeColor="text1"/>
                <w:sz w:val="24"/>
                <w:szCs w:val="24"/>
              </w:rPr>
            </w:pP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overflowPunct w:val="0"/>
              <w:spacing w:line="240" w:lineRule="exact"/>
              <w:jc w:val="center"/>
              <w:rPr>
                <w:rFonts w:ascii="Cambria" w:hAnsi="Cambria"/>
                <w:b/>
                <w:color w:val="000000" w:themeColor="text1"/>
                <w:sz w:val="24"/>
                <w:szCs w:val="24"/>
              </w:rPr>
            </w:pPr>
            <w:r w:rsidRPr="00687B52">
              <w:rPr>
                <w:rFonts w:ascii="Cambria" w:hAnsi="Cambria" w:hint="eastAsia"/>
                <w:b/>
                <w:color w:val="000000" w:themeColor="text1"/>
                <w:sz w:val="24"/>
                <w:szCs w:val="24"/>
              </w:rPr>
              <w:t>15</w:t>
            </w:r>
            <w:r w:rsidRPr="00687B52">
              <w:rPr>
                <w:rFonts w:ascii="Cambria" w:hAnsi="Cambria"/>
                <w:b/>
                <w:color w:val="000000" w:themeColor="text1"/>
                <w:sz w:val="24"/>
                <w:szCs w:val="24"/>
              </w:rPr>
              <w:t>.4.1</w:t>
            </w:r>
          </w:p>
        </w:tc>
        <w:tc>
          <w:tcPr>
            <w:tcW w:w="2101" w:type="pct"/>
            <w:vAlign w:val="center"/>
          </w:tcPr>
          <w:p w:rsidR="000E02C5" w:rsidRPr="00687B52" w:rsidRDefault="000E02C5" w:rsidP="003E6F05">
            <w:pPr>
              <w:rPr>
                <w:rFonts w:ascii="Cambria" w:hAnsi="Cambria"/>
                <w:b/>
                <w:color w:val="000000" w:themeColor="text1"/>
                <w:sz w:val="24"/>
                <w:szCs w:val="24"/>
              </w:rPr>
            </w:pPr>
            <w:bookmarkStart w:id="79" w:name="_Toc492557253"/>
            <w:r w:rsidRPr="00687B52">
              <w:rPr>
                <w:rFonts w:ascii="Cambria" w:hAnsi="Cambria"/>
                <w:b/>
                <w:color w:val="000000" w:themeColor="text1"/>
                <w:sz w:val="24"/>
                <w:szCs w:val="24"/>
              </w:rPr>
              <w:t>供配电</w:t>
            </w:r>
            <w:bookmarkEnd w:id="79"/>
          </w:p>
        </w:tc>
        <w:tc>
          <w:tcPr>
            <w:tcW w:w="1236" w:type="pct"/>
            <w:vAlign w:val="center"/>
          </w:tcPr>
          <w:p w:rsidR="000E02C5" w:rsidRPr="00687B52" w:rsidRDefault="000E02C5" w:rsidP="00B527D4">
            <w:pPr>
              <w:adjustRightInd w:val="0"/>
              <w:snapToGrid w:val="0"/>
              <w:spacing w:line="320" w:lineRule="exact"/>
              <w:rPr>
                <w:rFonts w:ascii="Cambria" w:hAnsi="Cambria"/>
                <w:color w:val="000000" w:themeColor="text1"/>
                <w:sz w:val="24"/>
                <w:szCs w:val="24"/>
              </w:rPr>
            </w:pP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overflowPunct w:val="0"/>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煤气站的供电负荷级别和供电方式，应符合现行国家标准《供配电系统设计规范》</w:t>
            </w:r>
            <w:r w:rsidRPr="00687B52">
              <w:rPr>
                <w:rFonts w:ascii="Cambria" w:hAnsi="Cambria"/>
                <w:color w:val="000000" w:themeColor="text1"/>
                <w:sz w:val="24"/>
                <w:szCs w:val="24"/>
              </w:rPr>
              <w:t>GB50052</w:t>
            </w:r>
            <w:r w:rsidRPr="00687B52">
              <w:rPr>
                <w:rFonts w:ascii="Cambria" w:hAnsi="Cambria"/>
                <w:color w:val="000000" w:themeColor="text1"/>
                <w:sz w:val="24"/>
                <w:szCs w:val="24"/>
              </w:rPr>
              <w:t>的有关规定。</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15.0.1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overflowPunct w:val="0"/>
              <w:spacing w:line="240" w:lineRule="exact"/>
              <w:jc w:val="cente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煤气站的照明设计，应符合现行国家标准《建筑照明设计标准》</w:t>
            </w:r>
            <w:r w:rsidRPr="00687B52">
              <w:rPr>
                <w:rFonts w:ascii="Cambria" w:hAnsi="Cambria"/>
                <w:color w:val="000000" w:themeColor="text1"/>
                <w:sz w:val="24"/>
                <w:szCs w:val="24"/>
              </w:rPr>
              <w:t>GB50034</w:t>
            </w:r>
            <w:r w:rsidRPr="00687B52">
              <w:rPr>
                <w:rFonts w:ascii="Cambria" w:hAnsi="Cambria"/>
                <w:color w:val="000000" w:themeColor="text1"/>
                <w:sz w:val="24"/>
                <w:szCs w:val="24"/>
              </w:rPr>
              <w:t>的有关规定。主厂房、煤气排送机间、空气鼓风机间、煤气净化设备和运煤系统等处，应设置检修照明。主厂房、煤气排送机间内各设备的操作岗位处和控制室，应设置应急照明。主厂房的通道处，应设置灯光疏散指示标志。</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15.0.4</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overflowPunct w:val="0"/>
              <w:spacing w:line="240" w:lineRule="exact"/>
              <w:jc w:val="center"/>
              <w:rPr>
                <w:rFonts w:ascii="Cambria" w:hAnsi="Cambria" w:cs="宋体"/>
                <w:b/>
                <w:color w:val="000000" w:themeColor="text1"/>
                <w:kern w:val="0"/>
                <w:sz w:val="24"/>
                <w:szCs w:val="24"/>
              </w:rPr>
            </w:pPr>
            <w:r w:rsidRPr="00687B52">
              <w:rPr>
                <w:rFonts w:ascii="Cambria" w:hAnsi="Cambria" w:cs="宋体" w:hint="eastAsia"/>
                <w:b/>
                <w:color w:val="000000" w:themeColor="text1"/>
                <w:kern w:val="0"/>
                <w:sz w:val="24"/>
                <w:szCs w:val="24"/>
              </w:rPr>
              <w:t>15</w:t>
            </w:r>
            <w:r w:rsidRPr="00687B52">
              <w:rPr>
                <w:rFonts w:ascii="Cambria" w:hAnsi="Cambria" w:cs="宋体"/>
                <w:b/>
                <w:color w:val="000000" w:themeColor="text1"/>
                <w:kern w:val="0"/>
                <w:sz w:val="24"/>
                <w:szCs w:val="24"/>
              </w:rPr>
              <w:t>.4.2</w:t>
            </w:r>
          </w:p>
        </w:tc>
        <w:tc>
          <w:tcPr>
            <w:tcW w:w="2101" w:type="pct"/>
            <w:vAlign w:val="center"/>
          </w:tcPr>
          <w:p w:rsidR="000E02C5" w:rsidRPr="00687B52" w:rsidRDefault="000E02C5" w:rsidP="003E6F05">
            <w:pPr>
              <w:rPr>
                <w:b/>
                <w:bCs/>
                <w:color w:val="000000" w:themeColor="text1"/>
              </w:rPr>
            </w:pPr>
            <w:bookmarkStart w:id="80" w:name="_Toc492557254"/>
            <w:r w:rsidRPr="00687B52">
              <w:rPr>
                <w:rFonts w:ascii="Cambria" w:hAnsi="Cambria"/>
                <w:b/>
                <w:color w:val="000000" w:themeColor="text1"/>
                <w:sz w:val="24"/>
                <w:szCs w:val="24"/>
              </w:rPr>
              <w:t>储运系统</w:t>
            </w:r>
            <w:bookmarkEnd w:id="80"/>
          </w:p>
        </w:tc>
        <w:tc>
          <w:tcPr>
            <w:tcW w:w="1236" w:type="pct"/>
            <w:vAlign w:val="center"/>
          </w:tcPr>
          <w:p w:rsidR="000E02C5" w:rsidRPr="00687B52" w:rsidRDefault="000E02C5" w:rsidP="00B527D4">
            <w:pPr>
              <w:adjustRightInd w:val="0"/>
              <w:snapToGrid w:val="0"/>
              <w:spacing w:line="320" w:lineRule="exact"/>
              <w:rPr>
                <w:rFonts w:ascii="Cambria" w:hAnsi="Cambria" w:cs="宋体"/>
                <w:color w:val="000000" w:themeColor="text1"/>
                <w:kern w:val="0"/>
                <w:sz w:val="24"/>
                <w:szCs w:val="24"/>
              </w:rPr>
            </w:pP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cs="Arial"/>
                <w:color w:val="000000" w:themeColor="text1"/>
                <w:sz w:val="24"/>
                <w:szCs w:val="24"/>
              </w:rPr>
              <w:t>1</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大、中型煤气站的煤、灰渣和末煤应采用机械化装卸和运输；小型煤气站宜采用机械化或半机械化装卸和运输。</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11.0.1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b/>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cs="Arial"/>
                <w:color w:val="000000" w:themeColor="text1"/>
                <w:sz w:val="24"/>
                <w:szCs w:val="24"/>
              </w:rPr>
              <w:t>2</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机械加煤的煤气发生炉贮煤斗的有效贮存量，应根据运煤的工作班制确定，当煤气发生炉为连续运行时，贮煤斗的有效贮量宜按《发生炉煤气站设计规范》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11.0.5</w:t>
            </w:r>
            <w:r w:rsidRPr="00687B52">
              <w:rPr>
                <w:rFonts w:ascii="Cambria" w:hAnsi="Cambria"/>
                <w:color w:val="000000" w:themeColor="text1"/>
                <w:sz w:val="24"/>
                <w:szCs w:val="24"/>
              </w:rPr>
              <w:t>条的规定。</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11.0.5</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cs="Arial"/>
                <w:color w:val="000000" w:themeColor="text1"/>
                <w:sz w:val="24"/>
                <w:szCs w:val="24"/>
              </w:rPr>
              <w:t>3</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煤气站的贮运系统应设置煤的计量设施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11.0.9</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cs="Arial"/>
                <w:color w:val="000000" w:themeColor="text1"/>
                <w:sz w:val="24"/>
                <w:szCs w:val="24"/>
              </w:rPr>
              <w:t>4</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运煤和排渣系统中设备传动装置的外露转动部分，应设安全防护罩；当装设在运煤栈桥内的带式输送机无安全防护罩时，应设越过带式输送机的过桥，并应在操作人员行走的一侧设置栏杆。</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11.0.12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cs="Arial"/>
                <w:color w:val="000000" w:themeColor="text1"/>
                <w:sz w:val="24"/>
                <w:szCs w:val="24"/>
              </w:rPr>
              <w:t>5</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主厂房贮煤层应设防止操作人员落入贮煤斗的设施，并应设防止楼板上的积水流入贮煤斗的设施。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11.0.13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cs="Arial"/>
                <w:color w:val="000000" w:themeColor="text1"/>
                <w:sz w:val="24"/>
                <w:szCs w:val="24"/>
              </w:rPr>
              <w:t>6</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运煤筛分破碎设备间应设起吊设施和检修场地。</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11.0.18</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color w:val="000000" w:themeColor="text1"/>
                <w:sz w:val="24"/>
                <w:szCs w:val="24"/>
              </w:rPr>
            </w:pPr>
            <w:r w:rsidRPr="00687B52">
              <w:rPr>
                <w:rFonts w:ascii="Cambria" w:hAnsi="Cambria" w:cs="Arial"/>
                <w:color w:val="000000" w:themeColor="text1"/>
                <w:sz w:val="24"/>
                <w:szCs w:val="24"/>
              </w:rPr>
              <w:t>7</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运煤系统的破碎机、振动筛和产生粉尘的转卸点应设封闭设施</w:t>
            </w:r>
            <w:r w:rsidR="003F0F96" w:rsidRPr="00687B52">
              <w:rPr>
                <w:rFonts w:ascii="Cambria" w:hAnsi="Cambria" w:hint="eastAs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《发生炉煤气站设计规范》</w:t>
            </w:r>
            <w:r w:rsidRPr="00687B52">
              <w:rPr>
                <w:rFonts w:ascii="Cambria" w:hAnsi="Cambria"/>
                <w:color w:val="000000" w:themeColor="text1"/>
                <w:sz w:val="24"/>
                <w:szCs w:val="24"/>
              </w:rPr>
              <w:t>GB50195-2013</w:t>
            </w:r>
            <w:r w:rsidRPr="00687B52">
              <w:rPr>
                <w:rFonts w:ascii="Cambria" w:hAnsi="Cambria"/>
                <w:color w:val="000000" w:themeColor="text1"/>
                <w:sz w:val="24"/>
                <w:szCs w:val="24"/>
              </w:rPr>
              <w:t>第</w:t>
            </w:r>
            <w:r w:rsidRPr="00687B52">
              <w:rPr>
                <w:rFonts w:ascii="Cambria" w:hAnsi="Cambria"/>
                <w:color w:val="000000" w:themeColor="text1"/>
                <w:sz w:val="24"/>
                <w:szCs w:val="24"/>
              </w:rPr>
              <w:t>11.0.19</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spacing w:line="240" w:lineRule="exact"/>
              <w:jc w:val="center"/>
              <w:rPr>
                <w:rFonts w:ascii="Cambria" w:hAnsi="Cambria" w:cs="Arial"/>
                <w:b/>
                <w:color w:val="000000" w:themeColor="text1"/>
                <w:sz w:val="24"/>
                <w:szCs w:val="24"/>
              </w:rPr>
            </w:pPr>
            <w:r w:rsidRPr="00687B52">
              <w:rPr>
                <w:rFonts w:ascii="Cambria" w:hAnsi="Cambria" w:cs="Arial" w:hint="eastAsia"/>
                <w:b/>
                <w:color w:val="000000" w:themeColor="text1"/>
                <w:sz w:val="24"/>
                <w:szCs w:val="24"/>
              </w:rPr>
              <w:t>15</w:t>
            </w:r>
            <w:r w:rsidRPr="00687B52">
              <w:rPr>
                <w:rFonts w:ascii="Cambria" w:hAnsi="Cambria" w:cs="Arial"/>
                <w:b/>
                <w:color w:val="000000" w:themeColor="text1"/>
                <w:sz w:val="24"/>
                <w:szCs w:val="24"/>
              </w:rPr>
              <w:t>.4.3</w:t>
            </w:r>
          </w:p>
        </w:tc>
        <w:tc>
          <w:tcPr>
            <w:tcW w:w="2101" w:type="pct"/>
            <w:vAlign w:val="center"/>
          </w:tcPr>
          <w:p w:rsidR="000E02C5" w:rsidRPr="00687B52" w:rsidRDefault="000E02C5" w:rsidP="003E6F05">
            <w:pPr>
              <w:rPr>
                <w:b/>
                <w:bCs/>
                <w:color w:val="000000" w:themeColor="text1"/>
              </w:rPr>
            </w:pPr>
            <w:bookmarkStart w:id="81" w:name="_Toc492557255"/>
            <w:r w:rsidRPr="00687B52">
              <w:rPr>
                <w:rFonts w:ascii="Cambria" w:hAnsi="Cambria"/>
                <w:b/>
                <w:color w:val="000000" w:themeColor="text1"/>
                <w:sz w:val="24"/>
                <w:szCs w:val="24"/>
              </w:rPr>
              <w:t>消防系统与应急设施</w:t>
            </w:r>
            <w:bookmarkEnd w:id="81"/>
          </w:p>
        </w:tc>
        <w:tc>
          <w:tcPr>
            <w:tcW w:w="1236" w:type="pct"/>
            <w:vAlign w:val="center"/>
          </w:tcPr>
          <w:p w:rsidR="000E02C5" w:rsidRPr="00687B52" w:rsidRDefault="000E02C5" w:rsidP="00B527D4">
            <w:pPr>
              <w:adjustRightInd w:val="0"/>
              <w:snapToGrid w:val="0"/>
              <w:spacing w:line="320" w:lineRule="exact"/>
              <w:rPr>
                <w:rFonts w:ascii="Cambria" w:hAnsi="Cambria" w:cs="宋体"/>
                <w:color w:val="000000" w:themeColor="text1"/>
                <w:kern w:val="0"/>
                <w:sz w:val="24"/>
                <w:szCs w:val="24"/>
              </w:rPr>
            </w:pPr>
          </w:p>
        </w:tc>
        <w:tc>
          <w:tcPr>
            <w:tcW w:w="1283" w:type="pct"/>
            <w:vAlign w:val="center"/>
          </w:tcPr>
          <w:p w:rsidR="000E02C5" w:rsidRPr="00687B52" w:rsidRDefault="000E02C5" w:rsidP="00B527D4">
            <w:pPr>
              <w:spacing w:line="240" w:lineRule="exact"/>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1</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易于发生火灾且难以快速报警的场所，应按要求设置火灾报警按钮，控制室、操作室应设置声光报警控制装置。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《危险化学品重大危险源罐区现场安全监控装备设置规范》</w:t>
            </w:r>
            <w:r w:rsidRPr="00687B52">
              <w:rPr>
                <w:rFonts w:ascii="Cambria" w:hAnsi="Cambria"/>
                <w:color w:val="000000" w:themeColor="text1"/>
                <w:sz w:val="24"/>
                <w:szCs w:val="24"/>
              </w:rPr>
              <w:t>AQ3036-2010</w:t>
            </w:r>
            <w:r w:rsidRPr="00687B52">
              <w:rPr>
                <w:rFonts w:ascii="Cambria" w:hAnsi="Cambria"/>
                <w:color w:val="000000" w:themeColor="text1"/>
                <w:sz w:val="24"/>
                <w:szCs w:val="24"/>
              </w:rPr>
              <w:t>第</w:t>
            </w:r>
            <w:r w:rsidRPr="00687B52">
              <w:rPr>
                <w:rFonts w:ascii="Cambria" w:hAnsi="Cambria"/>
                <w:color w:val="000000" w:themeColor="text1"/>
                <w:sz w:val="24"/>
                <w:szCs w:val="24"/>
              </w:rPr>
              <w:t>9.1.2</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2</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甲、乙类厂房和甲、乙、丙类仓库内的防火墙，其耐火极限不应低于</w:t>
            </w:r>
            <w:r w:rsidRPr="00687B52">
              <w:rPr>
                <w:rFonts w:ascii="Cambria" w:hAnsi="Cambria"/>
                <w:color w:val="000000" w:themeColor="text1"/>
                <w:sz w:val="24"/>
                <w:szCs w:val="24"/>
              </w:rPr>
              <w:t>4.00h</w:t>
            </w:r>
            <w:r w:rsidR="003E6F05" w:rsidRPr="00687B52">
              <w:rPr>
                <w:rFonts w:ascii="Cambria" w:hAnsi="Cambria" w:hint="eastAs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3.2.9</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3</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高层厂房，甲、乙类厂房的耐火等级不应低于二级，建筑面积不大于</w:t>
            </w:r>
            <w:r w:rsidRPr="00687B52">
              <w:rPr>
                <w:rFonts w:ascii="Cambria" w:hAnsi="Cambria"/>
                <w:color w:val="000000" w:themeColor="text1"/>
                <w:sz w:val="24"/>
                <w:szCs w:val="24"/>
              </w:rPr>
              <w:t>300m2</w:t>
            </w:r>
            <w:r w:rsidRPr="00687B52">
              <w:rPr>
                <w:rFonts w:ascii="Cambria" w:hAnsi="Cambria"/>
                <w:color w:val="000000" w:themeColor="text1"/>
                <w:sz w:val="24"/>
                <w:szCs w:val="24"/>
              </w:rPr>
              <w:t>的独立甲、乙类单层厂房可采用三级耐火等级的建筑</w:t>
            </w:r>
            <w:r w:rsidR="003E6F05" w:rsidRPr="00687B52">
              <w:rPr>
                <w:rFonts w:ascii="Cambria" w:hAnsi="Cambria" w:hint="eastAs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3.2.3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4</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有爆炸危险的甲、乙类厂房的总控制室应独立设置</w:t>
            </w:r>
            <w:r w:rsidR="003E6F05" w:rsidRPr="00687B52">
              <w:rPr>
                <w:rFonts w:ascii="Cambria" w:hAnsi="Cambria" w:hint="eastAs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3.6.8</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5</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有爆炸危险的甲、乙类厂房的分控制室宜独立设置，当贴临外墙设置时，应采用耐火极限不低于</w:t>
            </w:r>
            <w:r w:rsidRPr="00687B52">
              <w:rPr>
                <w:rFonts w:ascii="Cambria" w:hAnsi="Cambria"/>
                <w:color w:val="000000" w:themeColor="text1"/>
                <w:sz w:val="24"/>
                <w:szCs w:val="24"/>
              </w:rPr>
              <w:t>3.00h</w:t>
            </w:r>
            <w:r w:rsidRPr="00687B52">
              <w:rPr>
                <w:rFonts w:ascii="Cambria" w:hAnsi="Cambria"/>
                <w:color w:val="000000" w:themeColor="text1"/>
                <w:sz w:val="24"/>
                <w:szCs w:val="24"/>
              </w:rPr>
              <w:t>的防火隔墙与其他部位分隔</w:t>
            </w:r>
            <w:r w:rsidR="003E6F05" w:rsidRPr="00687B52">
              <w:rPr>
                <w:rFonts w:ascii="Cambria" w:hAnsi="Cambria" w:hint="eastAs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3.6.9</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6</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有爆炸危险区域内的楼梯间、室外楼梯或有爆炸危险的区域和相邻区域联通处，应设置门斗等防护措施。门斗的隔墙应为耐火极限不应低于</w:t>
            </w:r>
            <w:r w:rsidRPr="00687B52">
              <w:rPr>
                <w:rFonts w:ascii="Cambria" w:hAnsi="Cambria"/>
                <w:color w:val="000000" w:themeColor="text1"/>
                <w:sz w:val="24"/>
                <w:szCs w:val="24"/>
              </w:rPr>
              <w:t>2.00h</w:t>
            </w:r>
            <w:r w:rsidRPr="00687B52">
              <w:rPr>
                <w:rFonts w:ascii="Cambria" w:hAnsi="Cambria"/>
                <w:color w:val="000000" w:themeColor="text1"/>
                <w:sz w:val="24"/>
                <w:szCs w:val="24"/>
              </w:rPr>
              <w:t>的防火隔墙，门应采用甲级防火门并应与楼梯间的门错位设置</w:t>
            </w:r>
            <w:r w:rsidR="003E6F05" w:rsidRPr="00687B52">
              <w:rPr>
                <w:rFonts w:ascii="Cambria" w:hAnsi="Cambria" w:hint="eastAsia"/>
                <w:color w:val="000000" w:themeColor="text1"/>
                <w:sz w:val="24"/>
                <w:szCs w:val="24"/>
              </w:rPr>
              <w:t>。</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3.6.10</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7</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有爆炸危险的甲、乙类生产部位，宜布置在单层厂房靠外墙的泄压设施或多层厂房顶层靠外墙的泄压设施附近。</w:t>
            </w:r>
          </w:p>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有爆炸危险的设备宜避开厂房的梁、柱等主要承重构件布置。</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《建筑设计防火规范》</w:t>
            </w:r>
            <w:r w:rsidRPr="00687B52">
              <w:rPr>
                <w:rFonts w:ascii="Cambria" w:hAnsi="Cambria"/>
                <w:color w:val="000000" w:themeColor="text1"/>
                <w:sz w:val="24"/>
                <w:szCs w:val="24"/>
              </w:rPr>
              <w:t>GB50016-2014</w:t>
            </w:r>
            <w:r w:rsidRPr="00687B52">
              <w:rPr>
                <w:rFonts w:ascii="Cambria" w:hAnsi="Cambria"/>
                <w:color w:val="000000" w:themeColor="text1"/>
                <w:sz w:val="24"/>
                <w:szCs w:val="24"/>
              </w:rPr>
              <w:t>第</w:t>
            </w:r>
            <w:r w:rsidRPr="00687B52">
              <w:rPr>
                <w:rFonts w:ascii="Cambria" w:hAnsi="Cambria"/>
                <w:color w:val="000000" w:themeColor="text1"/>
                <w:sz w:val="24"/>
                <w:szCs w:val="24"/>
              </w:rPr>
              <w:t>3.6.7</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8</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具有火灾爆炸危险的生产过程，应综合考虑防火防爆措施和报警系统，合理选择和配备消防设施。</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《生产过程安全卫生要求总则》</w:t>
            </w:r>
            <w:r w:rsidRPr="00687B52">
              <w:rPr>
                <w:rFonts w:ascii="Cambria" w:hAnsi="Cambria"/>
                <w:color w:val="000000" w:themeColor="text1"/>
                <w:sz w:val="24"/>
                <w:szCs w:val="24"/>
              </w:rPr>
              <w:t>GB/T 12801-2008</w:t>
            </w:r>
            <w:r w:rsidRPr="00687B52">
              <w:rPr>
                <w:rFonts w:ascii="Cambria" w:hAnsi="Cambria"/>
                <w:color w:val="000000" w:themeColor="text1"/>
                <w:sz w:val="24"/>
                <w:szCs w:val="24"/>
              </w:rPr>
              <w:t>第</w:t>
            </w:r>
            <w:r w:rsidRPr="00687B52">
              <w:rPr>
                <w:rFonts w:ascii="Cambria" w:hAnsi="Cambria"/>
                <w:color w:val="000000" w:themeColor="text1"/>
                <w:sz w:val="24"/>
                <w:szCs w:val="24"/>
              </w:rPr>
              <w:t>6.3.1</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r w:rsidR="000E02C5" w:rsidRPr="00687B52" w:rsidTr="007E7CC4">
        <w:tc>
          <w:tcPr>
            <w:tcW w:w="380" w:type="pct"/>
            <w:vAlign w:val="center"/>
          </w:tcPr>
          <w:p w:rsidR="000E02C5" w:rsidRPr="00687B52" w:rsidRDefault="000E02C5" w:rsidP="00B527D4">
            <w:pPr>
              <w:jc w:val="center"/>
              <w:rPr>
                <w:rFonts w:ascii="Cambria" w:hAnsi="Cambria"/>
                <w:color w:val="000000" w:themeColor="text1"/>
                <w:sz w:val="24"/>
                <w:szCs w:val="24"/>
              </w:rPr>
            </w:pPr>
            <w:r w:rsidRPr="00687B52">
              <w:rPr>
                <w:rFonts w:ascii="Cambria" w:hAnsi="Cambria"/>
                <w:color w:val="000000" w:themeColor="text1"/>
                <w:sz w:val="24"/>
                <w:szCs w:val="24"/>
              </w:rPr>
              <w:t>9</w:t>
            </w:r>
            <w:r w:rsidRPr="00687B52">
              <w:rPr>
                <w:rFonts w:ascii="Cambria" w:hAnsi="Cambria"/>
                <w:color w:val="000000" w:themeColor="text1"/>
                <w:sz w:val="24"/>
                <w:szCs w:val="24"/>
              </w:rPr>
              <w:t>）</w:t>
            </w:r>
          </w:p>
        </w:tc>
        <w:tc>
          <w:tcPr>
            <w:tcW w:w="2101"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剩余煤气放散装置应设有点火装置及蒸汽</w:t>
            </w:r>
            <w:r w:rsidRPr="00687B52">
              <w:rPr>
                <w:rFonts w:ascii="Cambria" w:hAnsi="Cambria"/>
                <w:color w:val="000000" w:themeColor="text1"/>
                <w:sz w:val="24"/>
                <w:szCs w:val="24"/>
              </w:rPr>
              <w:t>(</w:t>
            </w:r>
            <w:r w:rsidRPr="00687B52">
              <w:rPr>
                <w:rFonts w:ascii="Cambria" w:hAnsi="Cambria"/>
                <w:color w:val="000000" w:themeColor="text1"/>
                <w:sz w:val="24"/>
                <w:szCs w:val="24"/>
              </w:rPr>
              <w:t>或氮气</w:t>
            </w:r>
            <w:r w:rsidRPr="00687B52">
              <w:rPr>
                <w:rFonts w:ascii="Cambria" w:hAnsi="Cambria"/>
                <w:color w:val="000000" w:themeColor="text1"/>
                <w:sz w:val="24"/>
                <w:szCs w:val="24"/>
              </w:rPr>
              <w:t>)</w:t>
            </w:r>
            <w:r w:rsidRPr="00687B52">
              <w:rPr>
                <w:rFonts w:ascii="Cambria" w:hAnsi="Cambria"/>
                <w:color w:val="000000" w:themeColor="text1"/>
                <w:sz w:val="24"/>
                <w:szCs w:val="24"/>
              </w:rPr>
              <w:t>灭火设施，需要放散时，一般应点燃。</w:t>
            </w:r>
          </w:p>
        </w:tc>
        <w:tc>
          <w:tcPr>
            <w:tcW w:w="1236" w:type="pct"/>
            <w:vAlign w:val="center"/>
          </w:tcPr>
          <w:p w:rsidR="000E02C5" w:rsidRPr="00687B52" w:rsidRDefault="000E02C5" w:rsidP="00B527D4">
            <w:pPr>
              <w:rPr>
                <w:rFonts w:ascii="Cambria" w:hAnsi="Cambria"/>
                <w:color w:val="000000" w:themeColor="text1"/>
                <w:sz w:val="24"/>
                <w:szCs w:val="24"/>
              </w:rPr>
            </w:pPr>
            <w:r w:rsidRPr="00687B52">
              <w:rPr>
                <w:rFonts w:ascii="Cambria" w:hAnsi="Cambria"/>
                <w:color w:val="000000" w:themeColor="text1"/>
                <w:sz w:val="24"/>
                <w:szCs w:val="24"/>
              </w:rPr>
              <w:t>《工业企业煤气安全规程》</w:t>
            </w:r>
            <w:r w:rsidRPr="00687B52">
              <w:rPr>
                <w:rFonts w:ascii="Cambria" w:hAnsi="Cambria"/>
                <w:color w:val="000000" w:themeColor="text1"/>
                <w:sz w:val="24"/>
                <w:szCs w:val="24"/>
              </w:rPr>
              <w:t>GB6222-2005</w:t>
            </w:r>
            <w:r w:rsidRPr="00687B52">
              <w:rPr>
                <w:rFonts w:ascii="Cambria" w:hAnsi="Cambria"/>
                <w:color w:val="000000" w:themeColor="text1"/>
                <w:sz w:val="24"/>
                <w:szCs w:val="24"/>
              </w:rPr>
              <w:t>第</w:t>
            </w:r>
            <w:r w:rsidRPr="00687B52">
              <w:rPr>
                <w:rFonts w:ascii="Cambria" w:hAnsi="Cambria"/>
                <w:color w:val="000000" w:themeColor="text1"/>
                <w:sz w:val="24"/>
                <w:szCs w:val="24"/>
              </w:rPr>
              <w:t>4.13</w:t>
            </w:r>
            <w:r w:rsidRPr="00687B52">
              <w:rPr>
                <w:rFonts w:ascii="Cambria" w:hAnsi="Cambria"/>
                <w:color w:val="000000" w:themeColor="text1"/>
                <w:sz w:val="24"/>
                <w:szCs w:val="24"/>
              </w:rPr>
              <w:t>条</w:t>
            </w:r>
          </w:p>
        </w:tc>
        <w:tc>
          <w:tcPr>
            <w:tcW w:w="1283" w:type="pct"/>
            <w:vAlign w:val="center"/>
          </w:tcPr>
          <w:p w:rsidR="000E02C5" w:rsidRPr="00687B52" w:rsidRDefault="000E02C5" w:rsidP="00B527D4">
            <w:pPr>
              <w:rPr>
                <w:rFonts w:ascii="Cambria" w:hAnsi="Cambria"/>
                <w:color w:val="000000" w:themeColor="text1"/>
                <w:sz w:val="24"/>
                <w:szCs w:val="24"/>
              </w:rPr>
            </w:pPr>
          </w:p>
        </w:tc>
      </w:tr>
    </w:tbl>
    <w:p w:rsidR="000E02C5" w:rsidRPr="00687B52" w:rsidRDefault="000E02C5" w:rsidP="000E02C5">
      <w:pPr>
        <w:rPr>
          <w:rFonts w:ascii="Cambria" w:hAnsi="Cambria"/>
          <w:color w:val="000000" w:themeColor="text1"/>
        </w:rPr>
      </w:pPr>
    </w:p>
    <w:p w:rsidR="00481EDB" w:rsidRPr="00687B52" w:rsidRDefault="00481EDB" w:rsidP="00481EDB">
      <w:pPr>
        <w:pStyle w:val="af8"/>
        <w:rPr>
          <w:bCs/>
          <w:color w:val="000000" w:themeColor="text1"/>
        </w:rPr>
        <w:sectPr w:rsidR="00481EDB" w:rsidRPr="00687B52" w:rsidSect="00D22E6D">
          <w:pgSz w:w="16838" w:h="11906" w:orient="landscape"/>
          <w:pgMar w:top="1457" w:right="1780" w:bottom="1457" w:left="1780" w:header="851" w:footer="907" w:gutter="0"/>
          <w:cols w:space="425"/>
          <w:docGrid w:type="lines" w:linePitch="312"/>
        </w:sectPr>
      </w:pPr>
    </w:p>
    <w:p w:rsidR="00481EDB" w:rsidRPr="00687B52" w:rsidRDefault="00481EDB" w:rsidP="0009032A">
      <w:pPr>
        <w:pStyle w:val="aff1"/>
        <w:numPr>
          <w:ilvl w:val="0"/>
          <w:numId w:val="0"/>
        </w:numPr>
        <w:rPr>
          <w:color w:val="000000" w:themeColor="text1"/>
        </w:rPr>
      </w:pPr>
      <w:bookmarkStart w:id="82" w:name="_Toc492634911"/>
      <w:r w:rsidRPr="00687B52">
        <w:rPr>
          <w:rFonts w:hint="eastAsia"/>
          <w:color w:val="000000" w:themeColor="text1"/>
        </w:rPr>
        <w:t>附录</w:t>
      </w:r>
      <w:r w:rsidRPr="00687B52">
        <w:rPr>
          <w:rFonts w:hint="eastAsia"/>
          <w:color w:val="000000" w:themeColor="text1"/>
        </w:rPr>
        <w:t>1</w:t>
      </w:r>
      <w:r w:rsidR="00F25C7B" w:rsidRPr="00687B52">
        <w:rPr>
          <w:rFonts w:hint="eastAsia"/>
          <w:color w:val="000000" w:themeColor="text1"/>
        </w:rPr>
        <w:t xml:space="preserve"> </w:t>
      </w:r>
      <w:r w:rsidR="00980275" w:rsidRPr="00687B52">
        <w:rPr>
          <w:rFonts w:hint="eastAsia"/>
          <w:color w:val="000000" w:themeColor="text1"/>
        </w:rPr>
        <w:t>安全检查表的适用范围</w:t>
      </w:r>
      <w:bookmarkEnd w:id="82"/>
    </w:p>
    <w:p w:rsidR="00481EDB" w:rsidRPr="00687B52" w:rsidRDefault="008F7442" w:rsidP="008F7442">
      <w:pPr>
        <w:pStyle w:val="afd"/>
        <w:rPr>
          <w:rFonts w:hAnsi="Times New Roman"/>
          <w:color w:val="000000" w:themeColor="text1"/>
        </w:rPr>
      </w:pPr>
      <w:bookmarkStart w:id="83" w:name="_Toc492562324"/>
      <w:bookmarkStart w:id="84" w:name="_Toc492563460"/>
      <w:bookmarkStart w:id="85" w:name="_Toc492563793"/>
      <w:bookmarkStart w:id="86" w:name="_Toc492563977"/>
      <w:bookmarkStart w:id="87" w:name="_Toc492564966"/>
      <w:bookmarkStart w:id="88" w:name="_Toc492644880"/>
      <w:bookmarkStart w:id="89" w:name="_Toc492647592"/>
      <w:bookmarkStart w:id="90" w:name="_Toc493856951"/>
      <w:bookmarkStart w:id="91" w:name="_Toc493857061"/>
      <w:r w:rsidRPr="00687B52">
        <w:rPr>
          <w:rFonts w:hint="eastAsia"/>
          <w:color w:val="000000" w:themeColor="text1"/>
        </w:rPr>
        <w:t>附表</w:t>
      </w:r>
      <w:r w:rsidRPr="00687B52">
        <w:rPr>
          <w:rFonts w:hint="eastAsia"/>
          <w:color w:val="000000" w:themeColor="text1"/>
        </w:rPr>
        <w:t xml:space="preserve">1-1 </w:t>
      </w:r>
      <w:r w:rsidR="00481EDB" w:rsidRPr="00687B52">
        <w:rPr>
          <w:rFonts w:hint="eastAsia"/>
          <w:color w:val="000000" w:themeColor="text1"/>
        </w:rPr>
        <w:t>安全检查表的适用范围</w:t>
      </w:r>
      <w:bookmarkEnd w:id="83"/>
      <w:bookmarkEnd w:id="84"/>
      <w:bookmarkEnd w:id="85"/>
      <w:bookmarkEnd w:id="86"/>
      <w:bookmarkEnd w:id="87"/>
      <w:bookmarkEnd w:id="88"/>
      <w:bookmarkEnd w:id="89"/>
      <w:bookmarkEnd w:id="90"/>
      <w:bookmarkEnd w:id="91"/>
    </w:p>
    <w:tbl>
      <w:tblPr>
        <w:tblStyle w:val="a6"/>
        <w:tblW w:w="5000" w:type="pct"/>
        <w:tblLook w:val="04A0" w:firstRow="1" w:lastRow="0" w:firstColumn="1" w:lastColumn="0" w:noHBand="0" w:noVBand="1"/>
      </w:tblPr>
      <w:tblGrid>
        <w:gridCol w:w="527"/>
        <w:gridCol w:w="1605"/>
        <w:gridCol w:w="800"/>
        <w:gridCol w:w="662"/>
        <w:gridCol w:w="803"/>
        <w:gridCol w:w="667"/>
        <w:gridCol w:w="800"/>
        <w:gridCol w:w="800"/>
        <w:gridCol w:w="840"/>
        <w:gridCol w:w="699"/>
        <w:gridCol w:w="874"/>
        <w:gridCol w:w="425"/>
        <w:gridCol w:w="654"/>
        <w:gridCol w:w="547"/>
        <w:gridCol w:w="534"/>
        <w:gridCol w:w="534"/>
        <w:gridCol w:w="534"/>
        <w:gridCol w:w="983"/>
      </w:tblGrid>
      <w:tr w:rsidR="003227AA" w:rsidRPr="00687B52" w:rsidTr="003227AA">
        <w:trPr>
          <w:tblHeader/>
        </w:trPr>
        <w:tc>
          <w:tcPr>
            <w:tcW w:w="198"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序号</w:t>
            </w:r>
          </w:p>
        </w:tc>
        <w:tc>
          <w:tcPr>
            <w:tcW w:w="604" w:type="pct"/>
            <w:tcMar>
              <w:left w:w="0" w:type="dxa"/>
              <w:right w:w="0" w:type="dxa"/>
            </w:tcMar>
            <w:vAlign w:val="center"/>
          </w:tcPr>
          <w:p w:rsidR="003227AA" w:rsidRPr="00687B52" w:rsidRDefault="00341035" w:rsidP="003227AA">
            <w:pPr>
              <w:adjustRightInd w:val="0"/>
              <w:snapToGrid w:val="0"/>
              <w:spacing w:line="240" w:lineRule="exact"/>
              <w:jc w:val="center"/>
              <w:rPr>
                <w:color w:val="000000" w:themeColor="text1"/>
                <w:sz w:val="24"/>
                <w:szCs w:val="24"/>
              </w:rPr>
            </w:pPr>
            <w:r>
              <w:rPr>
                <w:rFonts w:ascii="Times New Roman" w:hAnsi="Times New Roman"/>
                <w:noProof/>
                <w:color w:val="000000" w:themeColor="text1"/>
                <w:sz w:val="24"/>
                <w:szCs w:val="24"/>
              </w:rPr>
              <mc:AlternateContent>
                <mc:Choice Requires="wps">
                  <w:drawing>
                    <wp:anchor distT="0" distB="0" distL="114300" distR="114300" simplePos="0" relativeHeight="251687936" behindDoc="0" locked="0" layoutInCell="1" allowOverlap="1">
                      <wp:simplePos x="0" y="0"/>
                      <wp:positionH relativeFrom="column">
                        <wp:posOffset>-44450</wp:posOffset>
                      </wp:positionH>
                      <wp:positionV relativeFrom="paragraph">
                        <wp:posOffset>-5080</wp:posOffset>
                      </wp:positionV>
                      <wp:extent cx="1047750" cy="1064260"/>
                      <wp:effectExtent l="12700" t="13970" r="6350" b="7620"/>
                      <wp:wrapNone/>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1064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left:0;text-align:left;margin-left:-3.5pt;margin-top:-.4pt;width:82.5pt;height:8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jecJQIAAEI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"/>
                  </w:pict>
                </mc:Fallback>
              </mc:AlternateContent>
            </w:r>
          </w:p>
          <w:p w:rsidR="003227AA" w:rsidRPr="00687B52" w:rsidRDefault="003227AA" w:rsidP="003227AA">
            <w:pPr>
              <w:adjustRightInd w:val="0"/>
              <w:snapToGrid w:val="0"/>
              <w:spacing w:line="240" w:lineRule="exact"/>
              <w:ind w:firstLineChars="350" w:firstLine="840"/>
              <w:jc w:val="center"/>
              <w:rPr>
                <w:color w:val="000000" w:themeColor="text1"/>
                <w:sz w:val="24"/>
                <w:szCs w:val="24"/>
              </w:rPr>
            </w:pPr>
            <w:r w:rsidRPr="00687B52">
              <w:rPr>
                <w:rFonts w:hint="eastAsia"/>
                <w:color w:val="000000" w:themeColor="text1"/>
                <w:sz w:val="24"/>
                <w:szCs w:val="24"/>
              </w:rPr>
              <w:t>企业</w:t>
            </w:r>
          </w:p>
          <w:p w:rsidR="003227AA" w:rsidRPr="00687B52" w:rsidRDefault="003227AA" w:rsidP="003227AA">
            <w:pPr>
              <w:adjustRightInd w:val="0"/>
              <w:snapToGrid w:val="0"/>
              <w:spacing w:line="240" w:lineRule="exact"/>
              <w:ind w:leftChars="285" w:left="598" w:firstLineChars="100" w:firstLine="240"/>
              <w:jc w:val="center"/>
              <w:rPr>
                <w:color w:val="000000" w:themeColor="text1"/>
                <w:sz w:val="24"/>
                <w:szCs w:val="24"/>
              </w:rPr>
            </w:pPr>
            <w:r w:rsidRPr="00687B52">
              <w:rPr>
                <w:rFonts w:hint="eastAsia"/>
                <w:color w:val="000000" w:themeColor="text1"/>
                <w:sz w:val="24"/>
                <w:szCs w:val="24"/>
              </w:rPr>
              <w:t>类型</w:t>
            </w:r>
          </w:p>
          <w:p w:rsidR="003227AA" w:rsidRPr="00687B52" w:rsidRDefault="003227AA" w:rsidP="003227AA">
            <w:pPr>
              <w:adjustRightInd w:val="0"/>
              <w:snapToGrid w:val="0"/>
              <w:spacing w:line="240" w:lineRule="exact"/>
              <w:ind w:right="480"/>
              <w:jc w:val="center"/>
              <w:rPr>
                <w:color w:val="000000" w:themeColor="text1"/>
                <w:sz w:val="24"/>
                <w:szCs w:val="24"/>
              </w:rPr>
            </w:pPr>
          </w:p>
          <w:p w:rsidR="003227AA" w:rsidRPr="00687B52" w:rsidRDefault="003227AA" w:rsidP="003227AA">
            <w:pPr>
              <w:adjustRightInd w:val="0"/>
              <w:snapToGrid w:val="0"/>
              <w:spacing w:line="240" w:lineRule="exact"/>
              <w:ind w:right="480"/>
              <w:jc w:val="center"/>
              <w:rPr>
                <w:color w:val="000000" w:themeColor="text1"/>
                <w:sz w:val="24"/>
                <w:szCs w:val="24"/>
              </w:rPr>
            </w:pPr>
            <w:r w:rsidRPr="00687B52">
              <w:rPr>
                <w:rFonts w:hint="eastAsia"/>
                <w:color w:val="000000" w:themeColor="text1"/>
                <w:sz w:val="24"/>
                <w:szCs w:val="24"/>
              </w:rPr>
              <w:t>检查表</w:t>
            </w: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石油化工生产企业</w:t>
            </w:r>
          </w:p>
        </w:tc>
        <w:tc>
          <w:tcPr>
            <w:tcW w:w="24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氯碱生产企业</w:t>
            </w:r>
          </w:p>
        </w:tc>
        <w:tc>
          <w:tcPr>
            <w:tcW w:w="302"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合成氨生产企业</w:t>
            </w:r>
          </w:p>
        </w:tc>
        <w:tc>
          <w:tcPr>
            <w:tcW w:w="25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硫酸生产企业</w:t>
            </w: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油漆涂料生产企业</w:t>
            </w: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氯酸盐生产企业</w:t>
            </w:r>
          </w:p>
        </w:tc>
        <w:tc>
          <w:tcPr>
            <w:tcW w:w="31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金属粉末生产企业</w:t>
            </w:r>
          </w:p>
        </w:tc>
        <w:tc>
          <w:tcPr>
            <w:tcW w:w="263"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其它化工生产企业</w:t>
            </w:r>
          </w:p>
        </w:tc>
        <w:tc>
          <w:tcPr>
            <w:tcW w:w="32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危险化学品使用企业</w:t>
            </w:r>
          </w:p>
        </w:tc>
        <w:tc>
          <w:tcPr>
            <w:tcW w:w="16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加油站</w:t>
            </w:r>
          </w:p>
        </w:tc>
        <w:tc>
          <w:tcPr>
            <w:tcW w:w="24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危险化学品仓库</w:t>
            </w:r>
          </w:p>
        </w:tc>
        <w:tc>
          <w:tcPr>
            <w:tcW w:w="20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油库</w:t>
            </w: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储罐区</w:t>
            </w: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长输管线</w:t>
            </w: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气体充装</w:t>
            </w:r>
          </w:p>
        </w:tc>
        <w:tc>
          <w:tcPr>
            <w:tcW w:w="37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涉氯、涉氨及煤气站的企业</w:t>
            </w:r>
          </w:p>
        </w:tc>
      </w:tr>
      <w:tr w:rsidR="003227AA" w:rsidRPr="00687B52" w:rsidTr="003227AA">
        <w:tc>
          <w:tcPr>
            <w:tcW w:w="198"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1-1</w:t>
            </w:r>
          </w:p>
        </w:tc>
        <w:tc>
          <w:tcPr>
            <w:tcW w:w="604"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基础管理通用检查表</w:t>
            </w: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24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302" w:type="pct"/>
            <w:tcMar>
              <w:left w:w="0" w:type="dxa"/>
              <w:right w:w="0" w:type="dxa"/>
            </w:tcMar>
            <w:vAlign w:val="center"/>
          </w:tcPr>
          <w:p w:rsidR="003227AA" w:rsidRPr="00687B52" w:rsidRDefault="003227AA" w:rsidP="003227AA">
            <w:pPr>
              <w:jc w:val="center"/>
              <w:rPr>
                <w:color w:val="000000" w:themeColor="text1"/>
              </w:rPr>
            </w:pPr>
            <w:r w:rsidRPr="00687B52">
              <w:rPr>
                <w:rFonts w:hint="eastAsia"/>
                <w:color w:val="000000" w:themeColor="text1"/>
                <w:sz w:val="24"/>
                <w:szCs w:val="24"/>
              </w:rPr>
              <w:t>√</w:t>
            </w:r>
          </w:p>
        </w:tc>
        <w:tc>
          <w:tcPr>
            <w:tcW w:w="251" w:type="pct"/>
            <w:tcMar>
              <w:left w:w="0" w:type="dxa"/>
              <w:right w:w="0" w:type="dxa"/>
            </w:tcMar>
            <w:vAlign w:val="center"/>
          </w:tcPr>
          <w:p w:rsidR="003227AA" w:rsidRPr="00687B52" w:rsidRDefault="003227AA" w:rsidP="003227AA">
            <w:pPr>
              <w:jc w:val="center"/>
              <w:rPr>
                <w:color w:val="000000" w:themeColor="text1"/>
              </w:rPr>
            </w:pPr>
            <w:r w:rsidRPr="00687B52">
              <w:rPr>
                <w:rFonts w:hint="eastAsia"/>
                <w:color w:val="000000" w:themeColor="text1"/>
                <w:sz w:val="24"/>
                <w:szCs w:val="24"/>
              </w:rPr>
              <w:t>√</w:t>
            </w:r>
          </w:p>
        </w:tc>
        <w:tc>
          <w:tcPr>
            <w:tcW w:w="301" w:type="pct"/>
            <w:tcMar>
              <w:left w:w="0" w:type="dxa"/>
              <w:right w:w="0" w:type="dxa"/>
            </w:tcMar>
            <w:vAlign w:val="center"/>
          </w:tcPr>
          <w:p w:rsidR="003227AA" w:rsidRPr="00687B52" w:rsidRDefault="003227AA" w:rsidP="003227AA">
            <w:pPr>
              <w:jc w:val="center"/>
              <w:rPr>
                <w:color w:val="000000" w:themeColor="text1"/>
              </w:rPr>
            </w:pPr>
            <w:r w:rsidRPr="00687B52">
              <w:rPr>
                <w:rFonts w:hint="eastAsia"/>
                <w:color w:val="000000" w:themeColor="text1"/>
                <w:sz w:val="24"/>
                <w:szCs w:val="24"/>
              </w:rPr>
              <w:t>√</w:t>
            </w:r>
          </w:p>
        </w:tc>
        <w:tc>
          <w:tcPr>
            <w:tcW w:w="301" w:type="pct"/>
            <w:tcMar>
              <w:left w:w="0" w:type="dxa"/>
              <w:right w:w="0" w:type="dxa"/>
            </w:tcMar>
            <w:vAlign w:val="center"/>
          </w:tcPr>
          <w:p w:rsidR="003227AA" w:rsidRPr="00687B52" w:rsidRDefault="003227AA" w:rsidP="003227AA">
            <w:pPr>
              <w:jc w:val="center"/>
              <w:rPr>
                <w:color w:val="000000" w:themeColor="text1"/>
              </w:rPr>
            </w:pPr>
            <w:r w:rsidRPr="00687B52">
              <w:rPr>
                <w:rFonts w:hint="eastAsia"/>
                <w:color w:val="000000" w:themeColor="text1"/>
                <w:sz w:val="24"/>
                <w:szCs w:val="24"/>
              </w:rPr>
              <w:t>√</w:t>
            </w:r>
          </w:p>
        </w:tc>
        <w:tc>
          <w:tcPr>
            <w:tcW w:w="316" w:type="pct"/>
            <w:tcMar>
              <w:left w:w="0" w:type="dxa"/>
              <w:right w:w="0" w:type="dxa"/>
            </w:tcMar>
            <w:vAlign w:val="center"/>
          </w:tcPr>
          <w:p w:rsidR="003227AA" w:rsidRPr="00687B52" w:rsidRDefault="003227AA" w:rsidP="003227AA">
            <w:pPr>
              <w:jc w:val="center"/>
              <w:rPr>
                <w:color w:val="000000" w:themeColor="text1"/>
              </w:rPr>
            </w:pPr>
            <w:r w:rsidRPr="00687B52">
              <w:rPr>
                <w:rFonts w:hint="eastAsia"/>
                <w:color w:val="000000" w:themeColor="text1"/>
                <w:sz w:val="24"/>
                <w:szCs w:val="24"/>
              </w:rPr>
              <w:t>√</w:t>
            </w:r>
          </w:p>
        </w:tc>
        <w:tc>
          <w:tcPr>
            <w:tcW w:w="263" w:type="pct"/>
            <w:tcMar>
              <w:left w:w="0" w:type="dxa"/>
              <w:right w:w="0" w:type="dxa"/>
            </w:tcMar>
            <w:vAlign w:val="center"/>
          </w:tcPr>
          <w:p w:rsidR="003227AA" w:rsidRPr="00687B52" w:rsidRDefault="003227AA" w:rsidP="003227AA">
            <w:pPr>
              <w:jc w:val="center"/>
              <w:rPr>
                <w:color w:val="000000" w:themeColor="text1"/>
              </w:rPr>
            </w:pPr>
            <w:r w:rsidRPr="00687B52">
              <w:rPr>
                <w:rFonts w:hint="eastAsia"/>
                <w:color w:val="000000" w:themeColor="text1"/>
                <w:sz w:val="24"/>
                <w:szCs w:val="24"/>
              </w:rPr>
              <w:t>√</w:t>
            </w:r>
          </w:p>
        </w:tc>
        <w:tc>
          <w:tcPr>
            <w:tcW w:w="329" w:type="pct"/>
            <w:tcMar>
              <w:left w:w="0" w:type="dxa"/>
              <w:right w:w="0" w:type="dxa"/>
            </w:tcMar>
            <w:vAlign w:val="center"/>
          </w:tcPr>
          <w:p w:rsidR="003227AA" w:rsidRPr="00687B52" w:rsidRDefault="003227AA" w:rsidP="003227AA">
            <w:pPr>
              <w:jc w:val="center"/>
              <w:rPr>
                <w:color w:val="000000" w:themeColor="text1"/>
              </w:rPr>
            </w:pPr>
            <w:r w:rsidRPr="00687B52">
              <w:rPr>
                <w:rFonts w:hint="eastAsia"/>
                <w:color w:val="000000" w:themeColor="text1"/>
                <w:sz w:val="24"/>
                <w:szCs w:val="24"/>
              </w:rPr>
              <w:t>√</w:t>
            </w:r>
          </w:p>
        </w:tc>
        <w:tc>
          <w:tcPr>
            <w:tcW w:w="16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24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20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37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r>
      <w:tr w:rsidR="003227AA" w:rsidRPr="00687B52" w:rsidTr="003227AA">
        <w:tc>
          <w:tcPr>
            <w:tcW w:w="198"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1-2</w:t>
            </w:r>
          </w:p>
        </w:tc>
        <w:tc>
          <w:tcPr>
            <w:tcW w:w="604"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职业卫生通用检查表</w:t>
            </w:r>
          </w:p>
        </w:tc>
        <w:tc>
          <w:tcPr>
            <w:tcW w:w="301" w:type="pct"/>
            <w:tcMar>
              <w:left w:w="0" w:type="dxa"/>
              <w:right w:w="0" w:type="dxa"/>
            </w:tcMar>
            <w:vAlign w:val="center"/>
          </w:tcPr>
          <w:p w:rsidR="003227AA" w:rsidRPr="00687B52" w:rsidRDefault="003227AA" w:rsidP="003227AA">
            <w:pPr>
              <w:jc w:val="center"/>
              <w:rPr>
                <w:color w:val="000000" w:themeColor="text1"/>
                <w:sz w:val="24"/>
                <w:szCs w:val="24"/>
              </w:rPr>
            </w:pPr>
            <w:r w:rsidRPr="00687B52">
              <w:rPr>
                <w:rFonts w:hint="eastAsia"/>
                <w:color w:val="000000" w:themeColor="text1"/>
                <w:sz w:val="24"/>
                <w:szCs w:val="24"/>
              </w:rPr>
              <w:t>√</w:t>
            </w:r>
          </w:p>
        </w:tc>
        <w:tc>
          <w:tcPr>
            <w:tcW w:w="24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302" w:type="pct"/>
            <w:tcMar>
              <w:left w:w="0" w:type="dxa"/>
              <w:right w:w="0" w:type="dxa"/>
            </w:tcMar>
            <w:vAlign w:val="center"/>
          </w:tcPr>
          <w:p w:rsidR="003227AA" w:rsidRPr="00687B52" w:rsidRDefault="003227AA" w:rsidP="003227AA">
            <w:pPr>
              <w:jc w:val="center"/>
              <w:rPr>
                <w:color w:val="000000" w:themeColor="text1"/>
              </w:rPr>
            </w:pPr>
            <w:r w:rsidRPr="00687B52">
              <w:rPr>
                <w:rFonts w:hint="eastAsia"/>
                <w:color w:val="000000" w:themeColor="text1"/>
                <w:sz w:val="24"/>
                <w:szCs w:val="24"/>
              </w:rPr>
              <w:t>√</w:t>
            </w:r>
          </w:p>
        </w:tc>
        <w:tc>
          <w:tcPr>
            <w:tcW w:w="251" w:type="pct"/>
            <w:tcMar>
              <w:left w:w="0" w:type="dxa"/>
              <w:right w:w="0" w:type="dxa"/>
            </w:tcMar>
            <w:vAlign w:val="center"/>
          </w:tcPr>
          <w:p w:rsidR="003227AA" w:rsidRPr="00687B52" w:rsidRDefault="003227AA" w:rsidP="003227AA">
            <w:pPr>
              <w:jc w:val="center"/>
              <w:rPr>
                <w:color w:val="000000" w:themeColor="text1"/>
              </w:rPr>
            </w:pPr>
            <w:r w:rsidRPr="00687B52">
              <w:rPr>
                <w:rFonts w:hint="eastAsia"/>
                <w:color w:val="000000" w:themeColor="text1"/>
                <w:sz w:val="24"/>
                <w:szCs w:val="24"/>
              </w:rPr>
              <w:t>√</w:t>
            </w:r>
          </w:p>
        </w:tc>
        <w:tc>
          <w:tcPr>
            <w:tcW w:w="301" w:type="pct"/>
            <w:tcMar>
              <w:left w:w="0" w:type="dxa"/>
              <w:right w:w="0" w:type="dxa"/>
            </w:tcMar>
            <w:vAlign w:val="center"/>
          </w:tcPr>
          <w:p w:rsidR="003227AA" w:rsidRPr="00687B52" w:rsidRDefault="003227AA" w:rsidP="003227AA">
            <w:pPr>
              <w:jc w:val="center"/>
              <w:rPr>
                <w:color w:val="000000" w:themeColor="text1"/>
              </w:rPr>
            </w:pPr>
            <w:r w:rsidRPr="00687B52">
              <w:rPr>
                <w:rFonts w:hint="eastAsia"/>
                <w:color w:val="000000" w:themeColor="text1"/>
                <w:sz w:val="24"/>
                <w:szCs w:val="24"/>
              </w:rPr>
              <w:t>√</w:t>
            </w:r>
          </w:p>
        </w:tc>
        <w:tc>
          <w:tcPr>
            <w:tcW w:w="301" w:type="pct"/>
            <w:tcMar>
              <w:left w:w="0" w:type="dxa"/>
              <w:right w:w="0" w:type="dxa"/>
            </w:tcMar>
            <w:vAlign w:val="center"/>
          </w:tcPr>
          <w:p w:rsidR="003227AA" w:rsidRPr="00687B52" w:rsidRDefault="003227AA" w:rsidP="003227AA">
            <w:pPr>
              <w:jc w:val="center"/>
              <w:rPr>
                <w:color w:val="000000" w:themeColor="text1"/>
              </w:rPr>
            </w:pPr>
            <w:r w:rsidRPr="00687B52">
              <w:rPr>
                <w:rFonts w:hint="eastAsia"/>
                <w:color w:val="000000" w:themeColor="text1"/>
                <w:sz w:val="24"/>
                <w:szCs w:val="24"/>
              </w:rPr>
              <w:t>√</w:t>
            </w:r>
          </w:p>
        </w:tc>
        <w:tc>
          <w:tcPr>
            <w:tcW w:w="316" w:type="pct"/>
            <w:tcMar>
              <w:left w:w="0" w:type="dxa"/>
              <w:right w:w="0" w:type="dxa"/>
            </w:tcMar>
            <w:vAlign w:val="center"/>
          </w:tcPr>
          <w:p w:rsidR="003227AA" w:rsidRPr="00687B52" w:rsidRDefault="003227AA" w:rsidP="003227AA">
            <w:pPr>
              <w:jc w:val="center"/>
              <w:rPr>
                <w:color w:val="000000" w:themeColor="text1"/>
              </w:rPr>
            </w:pPr>
            <w:r w:rsidRPr="00687B52">
              <w:rPr>
                <w:rFonts w:hint="eastAsia"/>
                <w:color w:val="000000" w:themeColor="text1"/>
                <w:sz w:val="24"/>
                <w:szCs w:val="24"/>
              </w:rPr>
              <w:t>√</w:t>
            </w:r>
          </w:p>
        </w:tc>
        <w:tc>
          <w:tcPr>
            <w:tcW w:w="263" w:type="pct"/>
            <w:tcMar>
              <w:left w:w="0" w:type="dxa"/>
              <w:right w:w="0" w:type="dxa"/>
            </w:tcMar>
            <w:vAlign w:val="center"/>
          </w:tcPr>
          <w:p w:rsidR="003227AA" w:rsidRPr="00687B52" w:rsidRDefault="003227AA" w:rsidP="003227AA">
            <w:pPr>
              <w:jc w:val="center"/>
              <w:rPr>
                <w:color w:val="000000" w:themeColor="text1"/>
              </w:rPr>
            </w:pPr>
            <w:r w:rsidRPr="00687B52">
              <w:rPr>
                <w:rFonts w:hint="eastAsia"/>
                <w:color w:val="000000" w:themeColor="text1"/>
                <w:sz w:val="24"/>
                <w:szCs w:val="24"/>
              </w:rPr>
              <w:t>√</w:t>
            </w:r>
          </w:p>
        </w:tc>
        <w:tc>
          <w:tcPr>
            <w:tcW w:w="329" w:type="pct"/>
            <w:tcMar>
              <w:left w:w="0" w:type="dxa"/>
              <w:right w:w="0" w:type="dxa"/>
            </w:tcMar>
            <w:vAlign w:val="center"/>
          </w:tcPr>
          <w:p w:rsidR="003227AA" w:rsidRPr="00687B52" w:rsidRDefault="003227AA" w:rsidP="003227AA">
            <w:pPr>
              <w:jc w:val="center"/>
              <w:rPr>
                <w:color w:val="000000" w:themeColor="text1"/>
              </w:rPr>
            </w:pPr>
            <w:r w:rsidRPr="00687B52">
              <w:rPr>
                <w:rFonts w:hint="eastAsia"/>
                <w:color w:val="000000" w:themeColor="text1"/>
                <w:sz w:val="24"/>
                <w:szCs w:val="24"/>
              </w:rPr>
              <w:t>√</w:t>
            </w:r>
          </w:p>
        </w:tc>
        <w:tc>
          <w:tcPr>
            <w:tcW w:w="16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24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20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37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r>
      <w:tr w:rsidR="003227AA" w:rsidRPr="00687B52" w:rsidTr="003227AA">
        <w:tc>
          <w:tcPr>
            <w:tcW w:w="198"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2-1</w:t>
            </w:r>
          </w:p>
        </w:tc>
        <w:tc>
          <w:tcPr>
            <w:tcW w:w="604"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危险化学品生产、使用企业专业检查表（现场通用）</w:t>
            </w: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24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302" w:type="pct"/>
            <w:tcMar>
              <w:left w:w="0" w:type="dxa"/>
              <w:right w:w="0" w:type="dxa"/>
            </w:tcMar>
            <w:vAlign w:val="center"/>
          </w:tcPr>
          <w:p w:rsidR="003227AA" w:rsidRPr="00687B52" w:rsidRDefault="003227AA" w:rsidP="003227AA">
            <w:pPr>
              <w:jc w:val="center"/>
              <w:rPr>
                <w:color w:val="000000" w:themeColor="text1"/>
              </w:rPr>
            </w:pPr>
            <w:r w:rsidRPr="00687B52">
              <w:rPr>
                <w:rFonts w:hint="eastAsia"/>
                <w:color w:val="000000" w:themeColor="text1"/>
                <w:sz w:val="24"/>
                <w:szCs w:val="24"/>
              </w:rPr>
              <w:t>√</w:t>
            </w:r>
          </w:p>
        </w:tc>
        <w:tc>
          <w:tcPr>
            <w:tcW w:w="251" w:type="pct"/>
            <w:tcMar>
              <w:left w:w="0" w:type="dxa"/>
              <w:right w:w="0" w:type="dxa"/>
            </w:tcMar>
            <w:vAlign w:val="center"/>
          </w:tcPr>
          <w:p w:rsidR="003227AA" w:rsidRPr="00687B52" w:rsidRDefault="003227AA" w:rsidP="003227AA">
            <w:pPr>
              <w:jc w:val="center"/>
              <w:rPr>
                <w:color w:val="000000" w:themeColor="text1"/>
              </w:rPr>
            </w:pPr>
            <w:r w:rsidRPr="00687B52">
              <w:rPr>
                <w:rFonts w:hint="eastAsia"/>
                <w:color w:val="000000" w:themeColor="text1"/>
                <w:sz w:val="24"/>
                <w:szCs w:val="24"/>
              </w:rPr>
              <w:t>√</w:t>
            </w:r>
          </w:p>
        </w:tc>
        <w:tc>
          <w:tcPr>
            <w:tcW w:w="301" w:type="pct"/>
            <w:tcMar>
              <w:left w:w="0" w:type="dxa"/>
              <w:right w:w="0" w:type="dxa"/>
            </w:tcMar>
            <w:vAlign w:val="center"/>
          </w:tcPr>
          <w:p w:rsidR="003227AA" w:rsidRPr="00687B52" w:rsidRDefault="003227AA" w:rsidP="003227AA">
            <w:pPr>
              <w:jc w:val="center"/>
              <w:rPr>
                <w:color w:val="000000" w:themeColor="text1"/>
              </w:rPr>
            </w:pPr>
            <w:r w:rsidRPr="00687B52">
              <w:rPr>
                <w:rFonts w:hint="eastAsia"/>
                <w:color w:val="000000" w:themeColor="text1"/>
                <w:sz w:val="24"/>
                <w:szCs w:val="24"/>
              </w:rPr>
              <w:t>√</w:t>
            </w:r>
          </w:p>
        </w:tc>
        <w:tc>
          <w:tcPr>
            <w:tcW w:w="301" w:type="pct"/>
            <w:tcMar>
              <w:left w:w="0" w:type="dxa"/>
              <w:right w:w="0" w:type="dxa"/>
            </w:tcMar>
            <w:vAlign w:val="center"/>
          </w:tcPr>
          <w:p w:rsidR="003227AA" w:rsidRPr="00687B52" w:rsidRDefault="003227AA" w:rsidP="003227AA">
            <w:pPr>
              <w:jc w:val="center"/>
              <w:rPr>
                <w:color w:val="000000" w:themeColor="text1"/>
              </w:rPr>
            </w:pPr>
            <w:r w:rsidRPr="00687B52">
              <w:rPr>
                <w:rFonts w:hint="eastAsia"/>
                <w:color w:val="000000" w:themeColor="text1"/>
                <w:sz w:val="24"/>
                <w:szCs w:val="24"/>
              </w:rPr>
              <w:t>√</w:t>
            </w:r>
          </w:p>
        </w:tc>
        <w:tc>
          <w:tcPr>
            <w:tcW w:w="316" w:type="pct"/>
            <w:tcMar>
              <w:left w:w="0" w:type="dxa"/>
              <w:right w:w="0" w:type="dxa"/>
            </w:tcMar>
            <w:vAlign w:val="center"/>
          </w:tcPr>
          <w:p w:rsidR="003227AA" w:rsidRPr="00687B52" w:rsidRDefault="003227AA" w:rsidP="003227AA">
            <w:pPr>
              <w:jc w:val="center"/>
              <w:rPr>
                <w:color w:val="000000" w:themeColor="text1"/>
              </w:rPr>
            </w:pPr>
            <w:r w:rsidRPr="00687B52">
              <w:rPr>
                <w:rFonts w:hint="eastAsia"/>
                <w:color w:val="000000" w:themeColor="text1"/>
                <w:sz w:val="24"/>
                <w:szCs w:val="24"/>
              </w:rPr>
              <w:t>√</w:t>
            </w:r>
          </w:p>
        </w:tc>
        <w:tc>
          <w:tcPr>
            <w:tcW w:w="263" w:type="pct"/>
            <w:tcMar>
              <w:left w:w="0" w:type="dxa"/>
              <w:right w:w="0" w:type="dxa"/>
            </w:tcMar>
            <w:vAlign w:val="center"/>
          </w:tcPr>
          <w:p w:rsidR="003227AA" w:rsidRPr="00687B52" w:rsidRDefault="003227AA" w:rsidP="003227AA">
            <w:pPr>
              <w:jc w:val="center"/>
              <w:rPr>
                <w:color w:val="000000" w:themeColor="text1"/>
              </w:rPr>
            </w:pPr>
            <w:r w:rsidRPr="00687B52">
              <w:rPr>
                <w:rFonts w:hint="eastAsia"/>
                <w:color w:val="000000" w:themeColor="text1"/>
                <w:sz w:val="24"/>
                <w:szCs w:val="24"/>
              </w:rPr>
              <w:t>√</w:t>
            </w:r>
          </w:p>
        </w:tc>
        <w:tc>
          <w:tcPr>
            <w:tcW w:w="32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16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7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r>
      <w:tr w:rsidR="003227AA" w:rsidRPr="00687B52" w:rsidTr="003227AA">
        <w:tc>
          <w:tcPr>
            <w:tcW w:w="198"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2-2</w:t>
            </w:r>
          </w:p>
        </w:tc>
        <w:tc>
          <w:tcPr>
            <w:tcW w:w="604"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危险化学品生产企业专业检查表（石油化工）</w:t>
            </w: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24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2" w:type="pct"/>
            <w:tcMar>
              <w:left w:w="0" w:type="dxa"/>
              <w:right w:w="0" w:type="dxa"/>
            </w:tcMar>
            <w:vAlign w:val="center"/>
          </w:tcPr>
          <w:p w:rsidR="003227AA" w:rsidRPr="00687B52" w:rsidRDefault="003227AA" w:rsidP="003227AA">
            <w:pPr>
              <w:jc w:val="center"/>
              <w:rPr>
                <w:color w:val="000000" w:themeColor="text1"/>
              </w:rPr>
            </w:pPr>
          </w:p>
        </w:tc>
        <w:tc>
          <w:tcPr>
            <w:tcW w:w="251" w:type="pct"/>
            <w:tcMar>
              <w:left w:w="0" w:type="dxa"/>
              <w:right w:w="0" w:type="dxa"/>
            </w:tcMar>
            <w:vAlign w:val="center"/>
          </w:tcPr>
          <w:p w:rsidR="003227AA" w:rsidRPr="00687B52" w:rsidRDefault="003227AA" w:rsidP="003227AA">
            <w:pPr>
              <w:jc w:val="center"/>
              <w:rPr>
                <w:color w:val="000000" w:themeColor="text1"/>
              </w:rPr>
            </w:pPr>
          </w:p>
        </w:tc>
        <w:tc>
          <w:tcPr>
            <w:tcW w:w="301" w:type="pct"/>
            <w:tcMar>
              <w:left w:w="0" w:type="dxa"/>
              <w:right w:w="0" w:type="dxa"/>
            </w:tcMar>
            <w:vAlign w:val="center"/>
          </w:tcPr>
          <w:p w:rsidR="003227AA" w:rsidRPr="00687B52" w:rsidRDefault="003227AA" w:rsidP="003227AA">
            <w:pPr>
              <w:jc w:val="center"/>
              <w:rPr>
                <w:color w:val="000000" w:themeColor="text1"/>
              </w:rPr>
            </w:pPr>
          </w:p>
        </w:tc>
        <w:tc>
          <w:tcPr>
            <w:tcW w:w="301" w:type="pct"/>
            <w:tcMar>
              <w:left w:w="0" w:type="dxa"/>
              <w:right w:w="0" w:type="dxa"/>
            </w:tcMar>
            <w:vAlign w:val="center"/>
          </w:tcPr>
          <w:p w:rsidR="003227AA" w:rsidRPr="00687B52" w:rsidRDefault="003227AA" w:rsidP="003227AA">
            <w:pPr>
              <w:jc w:val="center"/>
              <w:rPr>
                <w:color w:val="000000" w:themeColor="text1"/>
              </w:rPr>
            </w:pPr>
          </w:p>
        </w:tc>
        <w:tc>
          <w:tcPr>
            <w:tcW w:w="316" w:type="pct"/>
            <w:tcMar>
              <w:left w:w="0" w:type="dxa"/>
              <w:right w:w="0" w:type="dxa"/>
            </w:tcMar>
            <w:vAlign w:val="center"/>
          </w:tcPr>
          <w:p w:rsidR="003227AA" w:rsidRPr="00687B52" w:rsidRDefault="003227AA" w:rsidP="003227AA">
            <w:pPr>
              <w:jc w:val="center"/>
              <w:rPr>
                <w:color w:val="000000" w:themeColor="text1"/>
              </w:rPr>
            </w:pPr>
          </w:p>
        </w:tc>
        <w:tc>
          <w:tcPr>
            <w:tcW w:w="263" w:type="pct"/>
            <w:tcMar>
              <w:left w:w="0" w:type="dxa"/>
              <w:right w:w="0" w:type="dxa"/>
            </w:tcMar>
            <w:vAlign w:val="center"/>
          </w:tcPr>
          <w:p w:rsidR="003227AA" w:rsidRPr="00687B52" w:rsidRDefault="003227AA" w:rsidP="003227AA">
            <w:pPr>
              <w:jc w:val="center"/>
              <w:rPr>
                <w:color w:val="000000" w:themeColor="text1"/>
              </w:rPr>
            </w:pPr>
          </w:p>
        </w:tc>
        <w:tc>
          <w:tcPr>
            <w:tcW w:w="32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16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7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r>
      <w:tr w:rsidR="003227AA" w:rsidRPr="00687B52" w:rsidTr="003227AA">
        <w:tc>
          <w:tcPr>
            <w:tcW w:w="198"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2-3</w:t>
            </w:r>
          </w:p>
        </w:tc>
        <w:tc>
          <w:tcPr>
            <w:tcW w:w="604"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危险化学品生产企业专业检查表（氯碱）</w:t>
            </w: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302"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5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1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63"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2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16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7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r>
      <w:tr w:rsidR="003227AA" w:rsidRPr="00687B52" w:rsidTr="003227AA">
        <w:tc>
          <w:tcPr>
            <w:tcW w:w="198"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2-4</w:t>
            </w:r>
          </w:p>
        </w:tc>
        <w:tc>
          <w:tcPr>
            <w:tcW w:w="604"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危险化学品生产企业专业检查表（合成氨）</w:t>
            </w: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2"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25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1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63"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2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16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7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r>
      <w:tr w:rsidR="003227AA" w:rsidRPr="00687B52" w:rsidTr="003227AA">
        <w:tc>
          <w:tcPr>
            <w:tcW w:w="198"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2-5</w:t>
            </w:r>
          </w:p>
        </w:tc>
        <w:tc>
          <w:tcPr>
            <w:tcW w:w="604"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危险化学品生产企业专业检查表（硫酸）</w:t>
            </w: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2"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5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1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63"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2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16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7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r>
      <w:tr w:rsidR="003227AA" w:rsidRPr="00687B52" w:rsidTr="003227AA">
        <w:tc>
          <w:tcPr>
            <w:tcW w:w="198"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2-6</w:t>
            </w:r>
          </w:p>
        </w:tc>
        <w:tc>
          <w:tcPr>
            <w:tcW w:w="604"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危险化学品生产企业专业检查表（油漆涂料）</w:t>
            </w: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2"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5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1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63"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2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16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7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r>
      <w:tr w:rsidR="003227AA" w:rsidRPr="00687B52" w:rsidTr="003227AA">
        <w:tc>
          <w:tcPr>
            <w:tcW w:w="198"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2-7</w:t>
            </w:r>
          </w:p>
        </w:tc>
        <w:tc>
          <w:tcPr>
            <w:tcW w:w="604"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危险化学品生产企业专业检查表（氯酸盐）</w:t>
            </w: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2"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5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31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63"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2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16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7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r>
      <w:tr w:rsidR="003227AA" w:rsidRPr="00687B52" w:rsidTr="003227AA">
        <w:tc>
          <w:tcPr>
            <w:tcW w:w="198"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2-8</w:t>
            </w:r>
          </w:p>
        </w:tc>
        <w:tc>
          <w:tcPr>
            <w:tcW w:w="604"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危险化学品生产企业专业检查表（金属粉末）</w:t>
            </w: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2"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5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1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263"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2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16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7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r>
      <w:tr w:rsidR="003227AA" w:rsidRPr="00687B52" w:rsidTr="003227AA">
        <w:tc>
          <w:tcPr>
            <w:tcW w:w="198"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2-9</w:t>
            </w:r>
          </w:p>
        </w:tc>
        <w:tc>
          <w:tcPr>
            <w:tcW w:w="604"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危险化学品生产、使用企业专业检查表（其它）</w:t>
            </w: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2"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5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1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63"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32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16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7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r>
      <w:tr w:rsidR="003227AA" w:rsidRPr="00687B52" w:rsidTr="003227AA">
        <w:tc>
          <w:tcPr>
            <w:tcW w:w="198"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3-1</w:t>
            </w:r>
          </w:p>
        </w:tc>
        <w:tc>
          <w:tcPr>
            <w:tcW w:w="604"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危险化学品储存、经营企业专业检查表（加油站）</w:t>
            </w: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2"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5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1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63"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2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16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24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7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r>
      <w:tr w:rsidR="003227AA" w:rsidRPr="00687B52" w:rsidTr="003227AA">
        <w:tc>
          <w:tcPr>
            <w:tcW w:w="198"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3-2</w:t>
            </w:r>
          </w:p>
        </w:tc>
        <w:tc>
          <w:tcPr>
            <w:tcW w:w="604"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危险化学品储存、经营企业专业检查表（危险化学品仓库）</w:t>
            </w: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2"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5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1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63"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2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16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20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7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r>
      <w:tr w:rsidR="003227AA" w:rsidRPr="00687B52" w:rsidTr="003227AA">
        <w:tc>
          <w:tcPr>
            <w:tcW w:w="198"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3-3</w:t>
            </w:r>
          </w:p>
        </w:tc>
        <w:tc>
          <w:tcPr>
            <w:tcW w:w="604"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危险化学品储存、经营企业专业检查表（油库）</w:t>
            </w: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2"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5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1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63"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2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16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7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r>
      <w:tr w:rsidR="003227AA" w:rsidRPr="00687B52" w:rsidTr="003227AA">
        <w:tc>
          <w:tcPr>
            <w:tcW w:w="198"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3-4</w:t>
            </w:r>
          </w:p>
        </w:tc>
        <w:tc>
          <w:tcPr>
            <w:tcW w:w="604"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危险化学品储存、经营企业专业检查表（储罐区）</w:t>
            </w: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2"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5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1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63"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2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16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7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r>
      <w:tr w:rsidR="003227AA" w:rsidRPr="00687B52" w:rsidTr="003227AA">
        <w:tc>
          <w:tcPr>
            <w:tcW w:w="198"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3-5</w:t>
            </w:r>
          </w:p>
        </w:tc>
        <w:tc>
          <w:tcPr>
            <w:tcW w:w="604"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危险化学品储存、经营企业专业检查表（长输管线）</w:t>
            </w: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2"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5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1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63"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2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16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7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r>
      <w:tr w:rsidR="003227AA" w:rsidRPr="00687B52" w:rsidTr="003227AA">
        <w:tc>
          <w:tcPr>
            <w:tcW w:w="198"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3-6</w:t>
            </w:r>
          </w:p>
        </w:tc>
        <w:tc>
          <w:tcPr>
            <w:tcW w:w="604"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危险化学品储存、经营企业专业检查表（气体充装）</w:t>
            </w: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2"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5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1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63"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2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16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c>
          <w:tcPr>
            <w:tcW w:w="37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r>
      <w:tr w:rsidR="003227AA" w:rsidRPr="00687B52" w:rsidTr="003227AA">
        <w:tc>
          <w:tcPr>
            <w:tcW w:w="198"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4-1</w:t>
            </w:r>
          </w:p>
        </w:tc>
        <w:tc>
          <w:tcPr>
            <w:tcW w:w="604"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涉氯、涉氨及煤气站的企业专项检查表</w:t>
            </w: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2"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5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1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63"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29"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16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4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6"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201"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p>
        </w:tc>
        <w:tc>
          <w:tcPr>
            <w:tcW w:w="370" w:type="pct"/>
            <w:tcMar>
              <w:left w:w="0" w:type="dxa"/>
              <w:right w:w="0" w:type="dxa"/>
            </w:tcMar>
            <w:vAlign w:val="center"/>
          </w:tcPr>
          <w:p w:rsidR="003227AA" w:rsidRPr="00687B52" w:rsidRDefault="003227AA" w:rsidP="003227AA">
            <w:pPr>
              <w:adjustRightInd w:val="0"/>
              <w:snapToGrid w:val="0"/>
              <w:spacing w:line="400" w:lineRule="exact"/>
              <w:jc w:val="center"/>
              <w:rPr>
                <w:color w:val="000000" w:themeColor="text1"/>
                <w:sz w:val="24"/>
                <w:szCs w:val="24"/>
              </w:rPr>
            </w:pPr>
            <w:r w:rsidRPr="00687B52">
              <w:rPr>
                <w:rFonts w:hint="eastAsia"/>
                <w:color w:val="000000" w:themeColor="text1"/>
                <w:sz w:val="24"/>
                <w:szCs w:val="24"/>
              </w:rPr>
              <w:t>√</w:t>
            </w:r>
          </w:p>
        </w:tc>
      </w:tr>
    </w:tbl>
    <w:p w:rsidR="00481EDB" w:rsidRPr="00687B52" w:rsidRDefault="00481EDB" w:rsidP="00481EDB">
      <w:pPr>
        <w:rPr>
          <w:color w:val="000000" w:themeColor="text1"/>
        </w:rPr>
        <w:sectPr w:rsidR="00481EDB" w:rsidRPr="00687B52" w:rsidSect="00D22E6D">
          <w:pgSz w:w="16838" w:h="11906" w:orient="landscape"/>
          <w:pgMar w:top="1457" w:right="1780" w:bottom="1457" w:left="1780" w:header="851" w:footer="907" w:gutter="0"/>
          <w:cols w:space="425"/>
          <w:docGrid w:type="lines" w:linePitch="312"/>
        </w:sectPr>
      </w:pPr>
    </w:p>
    <w:p w:rsidR="006D4556" w:rsidRPr="00687B52" w:rsidRDefault="00481EDB" w:rsidP="00980275">
      <w:pPr>
        <w:pStyle w:val="aff1"/>
        <w:numPr>
          <w:ilvl w:val="0"/>
          <w:numId w:val="0"/>
        </w:numPr>
        <w:rPr>
          <w:color w:val="000000" w:themeColor="text1"/>
        </w:rPr>
      </w:pPr>
      <w:bookmarkStart w:id="92" w:name="_Toc491855654"/>
      <w:bookmarkStart w:id="93" w:name="_Toc492634912"/>
      <w:bookmarkStart w:id="94" w:name="_Toc5835"/>
      <w:r w:rsidRPr="00687B52">
        <w:rPr>
          <w:rFonts w:hint="eastAsia"/>
          <w:color w:val="000000" w:themeColor="text1"/>
        </w:rPr>
        <w:t>附录</w:t>
      </w:r>
      <w:bookmarkEnd w:id="92"/>
      <w:r w:rsidR="006D4556" w:rsidRPr="00687B52">
        <w:rPr>
          <w:rFonts w:hint="eastAsia"/>
          <w:color w:val="000000" w:themeColor="text1"/>
        </w:rPr>
        <w:t>2</w:t>
      </w:r>
      <w:bookmarkStart w:id="95" w:name="_Toc491787999"/>
      <w:bookmarkStart w:id="96" w:name="_Toc491868948"/>
      <w:r w:rsidR="00980275" w:rsidRPr="00687B52">
        <w:rPr>
          <w:rFonts w:hint="eastAsia"/>
          <w:color w:val="000000" w:themeColor="text1"/>
        </w:rPr>
        <w:t>检查表中有关标准的具体要求</w:t>
      </w:r>
      <w:bookmarkEnd w:id="93"/>
    </w:p>
    <w:p w:rsidR="00890ECB" w:rsidRPr="00687B52" w:rsidRDefault="00980275" w:rsidP="00F25ED0">
      <w:pPr>
        <w:pStyle w:val="ae"/>
        <w:spacing w:afterLines="50" w:after="156" w:line="360" w:lineRule="exact"/>
        <w:ind w:firstLine="562"/>
        <w:jc w:val="center"/>
        <w:rPr>
          <w:noProof/>
          <w:color w:val="000000" w:themeColor="text1"/>
          <w:sz w:val="21"/>
        </w:rPr>
      </w:pPr>
      <w:r w:rsidRPr="00687B52">
        <w:rPr>
          <w:rFonts w:hint="eastAsia"/>
          <w:b/>
          <w:color w:val="000000" w:themeColor="text1"/>
        </w:rPr>
        <w:t>索</w:t>
      </w:r>
      <w:r w:rsidR="00C44B6F" w:rsidRPr="00687B52">
        <w:rPr>
          <w:rFonts w:hint="eastAsia"/>
          <w:b/>
          <w:color w:val="000000" w:themeColor="text1"/>
        </w:rPr>
        <w:t xml:space="preserve"> </w:t>
      </w:r>
      <w:r w:rsidRPr="00687B52">
        <w:rPr>
          <w:rFonts w:hint="eastAsia"/>
          <w:b/>
          <w:color w:val="000000" w:themeColor="text1"/>
        </w:rPr>
        <w:t>引</w:t>
      </w:r>
      <w:bookmarkEnd w:id="94"/>
      <w:bookmarkEnd w:id="95"/>
      <w:bookmarkEnd w:id="96"/>
      <w:r w:rsidR="003912E3" w:rsidRPr="00687B52">
        <w:rPr>
          <w:color w:val="000000" w:themeColor="text1"/>
        </w:rPr>
        <w:fldChar w:fldCharType="begin"/>
      </w:r>
      <w:r w:rsidR="00A0580E" w:rsidRPr="00687B52">
        <w:rPr>
          <w:color w:val="000000" w:themeColor="text1"/>
        </w:rPr>
        <w:instrText xml:space="preserve"> TOC \h \z \t "</w:instrText>
      </w:r>
      <w:r w:rsidR="00A0580E" w:rsidRPr="00687B52">
        <w:rPr>
          <w:color w:val="000000" w:themeColor="text1"/>
        </w:rPr>
        <w:instrText>一级条标题</w:instrText>
      </w:r>
      <w:r w:rsidR="00A0580E" w:rsidRPr="00687B52">
        <w:rPr>
          <w:color w:val="000000" w:themeColor="text1"/>
        </w:rPr>
        <w:instrText>,3,</w:instrText>
      </w:r>
      <w:r w:rsidR="00A0580E" w:rsidRPr="00687B52">
        <w:rPr>
          <w:color w:val="000000" w:themeColor="text1"/>
        </w:rPr>
        <w:instrText>表格标题</w:instrText>
      </w:r>
      <w:r w:rsidR="00A0580E" w:rsidRPr="00687B52">
        <w:rPr>
          <w:color w:val="000000" w:themeColor="text1"/>
        </w:rPr>
        <w:instrText>,2,</w:instrText>
      </w:r>
      <w:r w:rsidR="00A0580E" w:rsidRPr="00687B52">
        <w:rPr>
          <w:color w:val="000000" w:themeColor="text1"/>
        </w:rPr>
        <w:instrText>目次、标准名称标题</w:instrText>
      </w:r>
      <w:r w:rsidR="00A0580E" w:rsidRPr="00687B52">
        <w:rPr>
          <w:color w:val="000000" w:themeColor="text1"/>
        </w:rPr>
        <w:instrText>,1,</w:instrText>
      </w:r>
      <w:r w:rsidR="00A0580E" w:rsidRPr="00687B52">
        <w:rPr>
          <w:color w:val="000000" w:themeColor="text1"/>
        </w:rPr>
        <w:instrText>样式一</w:instrText>
      </w:r>
      <w:r w:rsidR="00A0580E" w:rsidRPr="00687B52">
        <w:rPr>
          <w:color w:val="000000" w:themeColor="text1"/>
        </w:rPr>
        <w:instrText>,1,</w:instrText>
      </w:r>
      <w:r w:rsidR="00A0580E" w:rsidRPr="00687B52">
        <w:rPr>
          <w:color w:val="000000" w:themeColor="text1"/>
        </w:rPr>
        <w:instrText>标题二</w:instrText>
      </w:r>
      <w:r w:rsidR="00A0580E" w:rsidRPr="00687B52">
        <w:rPr>
          <w:color w:val="000000" w:themeColor="text1"/>
        </w:rPr>
        <w:instrText xml:space="preserve">,1" </w:instrText>
      </w:r>
      <w:r w:rsidR="003912E3" w:rsidRPr="00687B52">
        <w:rPr>
          <w:color w:val="000000" w:themeColor="text1"/>
        </w:rPr>
        <w:fldChar w:fldCharType="separate"/>
      </w:r>
    </w:p>
    <w:p w:rsidR="00890ECB" w:rsidRPr="00687B52" w:rsidRDefault="00F54DF7">
      <w:pPr>
        <w:pStyle w:val="10"/>
        <w:tabs>
          <w:tab w:val="right" w:leader="dot" w:pos="9174"/>
        </w:tabs>
        <w:rPr>
          <w:rFonts w:asciiTheme="minorHAnsi" w:eastAsiaTheme="minorEastAsia" w:hAnsiTheme="minorHAnsi" w:cstheme="minorBidi"/>
          <w:noProof/>
          <w:color w:val="000000" w:themeColor="text1"/>
          <w:sz w:val="21"/>
          <w:szCs w:val="22"/>
        </w:rPr>
      </w:pPr>
      <w:hyperlink w:anchor="_Toc493857062" w:history="1">
        <w:r w:rsidR="00890ECB" w:rsidRPr="00687B52">
          <w:rPr>
            <w:rStyle w:val="ad"/>
            <w:rFonts w:hint="eastAsia"/>
            <w:noProof/>
            <w:color w:val="000000" w:themeColor="text1"/>
          </w:rPr>
          <w:t>附</w:t>
        </w:r>
        <w:r w:rsidR="00890ECB" w:rsidRPr="00687B52">
          <w:rPr>
            <w:rStyle w:val="ad"/>
            <w:noProof/>
            <w:color w:val="000000" w:themeColor="text1"/>
          </w:rPr>
          <w:t>2.1</w:t>
        </w:r>
        <w:r w:rsidR="00890ECB" w:rsidRPr="00687B52">
          <w:rPr>
            <w:rStyle w:val="ad"/>
            <w:rFonts w:hint="eastAsia"/>
            <w:noProof/>
            <w:color w:val="000000" w:themeColor="text1"/>
          </w:rPr>
          <w:t>《国家安全生产监督管理总局中华人民共和国公安部中华人民共和国农业部公告</w:t>
        </w:r>
        <w:r w:rsidR="00890ECB" w:rsidRPr="00687B52">
          <w:rPr>
            <w:rStyle w:val="ad"/>
            <w:noProof/>
            <w:color w:val="000000" w:themeColor="text1"/>
          </w:rPr>
          <w:t>2013</w:t>
        </w:r>
        <w:r w:rsidR="00890ECB" w:rsidRPr="00687B52">
          <w:rPr>
            <w:rStyle w:val="ad"/>
            <w:rFonts w:hint="eastAsia"/>
            <w:noProof/>
            <w:color w:val="000000" w:themeColor="text1"/>
          </w:rPr>
          <w:t>年第</w:t>
        </w:r>
        <w:r w:rsidR="00890ECB" w:rsidRPr="00687B52">
          <w:rPr>
            <w:rStyle w:val="ad"/>
            <w:noProof/>
            <w:color w:val="000000" w:themeColor="text1"/>
          </w:rPr>
          <w:t>9</w:t>
        </w:r>
        <w:r w:rsidR="00890ECB" w:rsidRPr="00687B52">
          <w:rPr>
            <w:rStyle w:val="ad"/>
            <w:rFonts w:hint="eastAsia"/>
            <w:noProof/>
            <w:color w:val="000000" w:themeColor="text1"/>
          </w:rPr>
          <w:t>号》有关要求</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_Toc493857062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468</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63" w:history="1">
        <w:r w:rsidR="00890ECB" w:rsidRPr="00687B52">
          <w:rPr>
            <w:rStyle w:val="ad"/>
            <w:rFonts w:hint="eastAsia"/>
            <w:noProof/>
            <w:color w:val="000000" w:themeColor="text1"/>
          </w:rPr>
          <w:t>危险化学品使用量的数量标（</w:t>
        </w:r>
        <w:r w:rsidR="00890ECB" w:rsidRPr="00687B52">
          <w:rPr>
            <w:rStyle w:val="ad"/>
            <w:noProof/>
            <w:color w:val="000000" w:themeColor="text1"/>
          </w:rPr>
          <w:t>2013</w:t>
        </w:r>
        <w:r w:rsidR="00890ECB" w:rsidRPr="00687B52">
          <w:rPr>
            <w:rStyle w:val="ad"/>
            <w:rFonts w:hint="eastAsia"/>
            <w:noProof/>
            <w:color w:val="000000" w:themeColor="text1"/>
          </w:rPr>
          <w:t>年版）</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_Toc493857063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468</w:t>
        </w:r>
        <w:r w:rsidR="003912E3" w:rsidRPr="00687B52">
          <w:rPr>
            <w:noProof/>
            <w:webHidden/>
            <w:color w:val="000000" w:themeColor="text1"/>
          </w:rPr>
          <w:fldChar w:fldCharType="end"/>
        </w:r>
      </w:hyperlink>
    </w:p>
    <w:p w:rsidR="00890ECB" w:rsidRPr="00687B52" w:rsidRDefault="00F54DF7">
      <w:pPr>
        <w:pStyle w:val="10"/>
        <w:tabs>
          <w:tab w:val="right" w:leader="dot" w:pos="9174"/>
        </w:tabs>
        <w:rPr>
          <w:rFonts w:asciiTheme="minorHAnsi" w:eastAsiaTheme="minorEastAsia" w:hAnsiTheme="minorHAnsi" w:cstheme="minorBidi"/>
          <w:noProof/>
          <w:color w:val="000000" w:themeColor="text1"/>
          <w:sz w:val="21"/>
          <w:szCs w:val="22"/>
        </w:rPr>
      </w:pPr>
      <w:hyperlink w:anchor="_Toc493857064" w:history="1">
        <w:r w:rsidR="00890ECB" w:rsidRPr="00687B52">
          <w:rPr>
            <w:rStyle w:val="ad"/>
            <w:rFonts w:hint="eastAsia"/>
            <w:noProof/>
            <w:color w:val="000000" w:themeColor="text1"/>
          </w:rPr>
          <w:t>附</w:t>
        </w:r>
        <w:r w:rsidR="00890ECB" w:rsidRPr="00687B52">
          <w:rPr>
            <w:rStyle w:val="ad"/>
            <w:noProof/>
            <w:color w:val="000000" w:themeColor="text1"/>
          </w:rPr>
          <w:t>2.2</w:t>
        </w:r>
        <w:r w:rsidR="00890ECB" w:rsidRPr="00687B52">
          <w:rPr>
            <w:rStyle w:val="ad"/>
            <w:rFonts w:hint="eastAsia"/>
            <w:noProof/>
            <w:color w:val="000000" w:themeColor="text1"/>
          </w:rPr>
          <w:t>《国家安全监管总局关于印发淘汰落后安全技术装备目录（</w:t>
        </w:r>
        <w:r w:rsidR="00890ECB" w:rsidRPr="00687B52">
          <w:rPr>
            <w:rStyle w:val="ad"/>
            <w:noProof/>
            <w:color w:val="000000" w:themeColor="text1"/>
          </w:rPr>
          <w:t>2015</w:t>
        </w:r>
        <w:r w:rsidR="00890ECB" w:rsidRPr="00687B52">
          <w:rPr>
            <w:rStyle w:val="ad"/>
            <w:rFonts w:hint="eastAsia"/>
            <w:noProof/>
            <w:color w:val="000000" w:themeColor="text1"/>
          </w:rPr>
          <w:t>年第一批）的通知》（安监总科技〔</w:t>
        </w:r>
        <w:r w:rsidR="00890ECB" w:rsidRPr="00687B52">
          <w:rPr>
            <w:rStyle w:val="ad"/>
            <w:noProof/>
            <w:color w:val="000000" w:themeColor="text1"/>
          </w:rPr>
          <w:t>2015</w:t>
        </w:r>
        <w:r w:rsidR="00890ECB" w:rsidRPr="00687B52">
          <w:rPr>
            <w:rStyle w:val="ad"/>
            <w:rFonts w:hint="eastAsia"/>
            <w:noProof/>
            <w:color w:val="000000" w:themeColor="text1"/>
          </w:rPr>
          <w:t>〕</w:t>
        </w:r>
        <w:r w:rsidR="00890ECB" w:rsidRPr="00687B52">
          <w:rPr>
            <w:rStyle w:val="ad"/>
            <w:noProof/>
            <w:color w:val="000000" w:themeColor="text1"/>
          </w:rPr>
          <w:t>75</w:t>
        </w:r>
        <w:r w:rsidR="00890ECB" w:rsidRPr="00687B52">
          <w:rPr>
            <w:rStyle w:val="ad"/>
            <w:rFonts w:hint="eastAsia"/>
            <w:noProof/>
            <w:color w:val="000000" w:themeColor="text1"/>
          </w:rPr>
          <w:t>号）有关要求</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_Toc493857064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471</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65" w:history="1">
        <w:r w:rsidR="00890ECB" w:rsidRPr="00687B52">
          <w:rPr>
            <w:rStyle w:val="ad"/>
            <w:rFonts w:hint="eastAsia"/>
            <w:noProof/>
            <w:color w:val="000000" w:themeColor="text1"/>
          </w:rPr>
          <w:t>淘汰落后安全技术装备目录（</w:t>
        </w:r>
        <w:r w:rsidR="00890ECB" w:rsidRPr="00687B52">
          <w:rPr>
            <w:rStyle w:val="ad"/>
            <w:noProof/>
            <w:color w:val="000000" w:themeColor="text1"/>
          </w:rPr>
          <w:t>2015</w:t>
        </w:r>
        <w:r w:rsidR="00890ECB" w:rsidRPr="00687B52">
          <w:rPr>
            <w:rStyle w:val="ad"/>
            <w:rFonts w:hint="eastAsia"/>
            <w:noProof/>
            <w:color w:val="000000" w:themeColor="text1"/>
          </w:rPr>
          <w:t>年第一批）</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_Toc493857065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471</w:t>
        </w:r>
        <w:r w:rsidR="003912E3" w:rsidRPr="00687B52">
          <w:rPr>
            <w:noProof/>
            <w:webHidden/>
            <w:color w:val="000000" w:themeColor="text1"/>
          </w:rPr>
          <w:fldChar w:fldCharType="end"/>
        </w:r>
      </w:hyperlink>
    </w:p>
    <w:p w:rsidR="00890ECB" w:rsidRPr="00687B52" w:rsidRDefault="00F54DF7">
      <w:pPr>
        <w:pStyle w:val="10"/>
        <w:tabs>
          <w:tab w:val="right" w:leader="dot" w:pos="9174"/>
        </w:tabs>
        <w:rPr>
          <w:rFonts w:asciiTheme="minorHAnsi" w:eastAsiaTheme="minorEastAsia" w:hAnsiTheme="minorHAnsi" w:cstheme="minorBidi"/>
          <w:noProof/>
          <w:color w:val="000000" w:themeColor="text1"/>
          <w:sz w:val="21"/>
          <w:szCs w:val="22"/>
        </w:rPr>
      </w:pPr>
      <w:hyperlink w:anchor="_Toc493857066" w:history="1">
        <w:r w:rsidR="00890ECB" w:rsidRPr="00687B52">
          <w:rPr>
            <w:rStyle w:val="ad"/>
            <w:rFonts w:hint="eastAsia"/>
            <w:noProof/>
            <w:color w:val="000000" w:themeColor="text1"/>
          </w:rPr>
          <w:t>附</w:t>
        </w:r>
        <w:r w:rsidR="00890ECB" w:rsidRPr="00687B52">
          <w:rPr>
            <w:rStyle w:val="ad"/>
            <w:noProof/>
            <w:color w:val="000000" w:themeColor="text1"/>
          </w:rPr>
          <w:t xml:space="preserve">2.3 </w:t>
        </w:r>
        <w:r w:rsidR="00890ECB" w:rsidRPr="00687B52">
          <w:rPr>
            <w:rStyle w:val="ad"/>
            <w:rFonts w:hint="eastAsia"/>
            <w:noProof/>
            <w:color w:val="000000" w:themeColor="text1"/>
          </w:rPr>
          <w:t>《国家安全监管总局关于印发淘汰落后安全技术工艺、设备目录（</w:t>
        </w:r>
        <w:r w:rsidR="00890ECB" w:rsidRPr="00687B52">
          <w:rPr>
            <w:rStyle w:val="ad"/>
            <w:rFonts w:ascii="Calibri" w:hAnsi="Calibri"/>
            <w:noProof/>
            <w:color w:val="000000" w:themeColor="text1"/>
          </w:rPr>
          <w:t>20</w:t>
        </w:r>
        <w:r w:rsidR="00890ECB" w:rsidRPr="00687B52">
          <w:rPr>
            <w:rStyle w:val="ad"/>
            <w:noProof/>
            <w:color w:val="000000" w:themeColor="text1"/>
          </w:rPr>
          <w:t>16</w:t>
        </w:r>
        <w:r w:rsidR="00890ECB" w:rsidRPr="00687B52">
          <w:rPr>
            <w:rStyle w:val="ad"/>
            <w:rFonts w:hint="eastAsia"/>
            <w:noProof/>
            <w:color w:val="000000" w:themeColor="text1"/>
          </w:rPr>
          <w:t>年）的通知》（安监总科技〔</w:t>
        </w:r>
        <w:r w:rsidR="00890ECB" w:rsidRPr="00687B52">
          <w:rPr>
            <w:rStyle w:val="ad"/>
            <w:noProof/>
            <w:color w:val="000000" w:themeColor="text1"/>
          </w:rPr>
          <w:t>2016</w:t>
        </w:r>
        <w:r w:rsidR="00890ECB" w:rsidRPr="00687B52">
          <w:rPr>
            <w:rStyle w:val="ad"/>
            <w:rFonts w:hint="eastAsia"/>
            <w:noProof/>
            <w:color w:val="000000" w:themeColor="text1"/>
          </w:rPr>
          <w:t>〕</w:t>
        </w:r>
        <w:r w:rsidR="00890ECB" w:rsidRPr="00687B52">
          <w:rPr>
            <w:rStyle w:val="ad"/>
            <w:noProof/>
            <w:color w:val="000000" w:themeColor="text1"/>
          </w:rPr>
          <w:t>137</w:t>
        </w:r>
        <w:r w:rsidR="00890ECB" w:rsidRPr="00687B52">
          <w:rPr>
            <w:rStyle w:val="ad"/>
            <w:rFonts w:hint="eastAsia"/>
            <w:noProof/>
            <w:color w:val="000000" w:themeColor="text1"/>
          </w:rPr>
          <w:t>号）有关要求</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_Toc493857066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474</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67" w:history="1">
        <w:r w:rsidR="00890ECB" w:rsidRPr="00687B52">
          <w:rPr>
            <w:rStyle w:val="ad"/>
            <w:rFonts w:hint="eastAsia"/>
            <w:noProof/>
            <w:color w:val="000000" w:themeColor="text1"/>
          </w:rPr>
          <w:t>淘汰落后安全技术工艺、设备目录（</w:t>
        </w:r>
        <w:r w:rsidR="00890ECB" w:rsidRPr="00687B52">
          <w:rPr>
            <w:rStyle w:val="ad"/>
            <w:noProof/>
            <w:color w:val="000000" w:themeColor="text1"/>
          </w:rPr>
          <w:t>2016</w:t>
        </w:r>
        <w:r w:rsidR="00890ECB" w:rsidRPr="00687B52">
          <w:rPr>
            <w:rStyle w:val="ad"/>
            <w:rFonts w:hint="eastAsia"/>
            <w:noProof/>
            <w:color w:val="000000" w:themeColor="text1"/>
          </w:rPr>
          <w:t>年）</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_Toc493857067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474</w:t>
        </w:r>
        <w:r w:rsidR="003912E3" w:rsidRPr="00687B52">
          <w:rPr>
            <w:noProof/>
            <w:webHidden/>
            <w:color w:val="000000" w:themeColor="text1"/>
          </w:rPr>
          <w:fldChar w:fldCharType="end"/>
        </w:r>
      </w:hyperlink>
    </w:p>
    <w:p w:rsidR="00890ECB" w:rsidRPr="00687B52" w:rsidRDefault="00F54DF7">
      <w:pPr>
        <w:pStyle w:val="10"/>
        <w:tabs>
          <w:tab w:val="right" w:leader="dot" w:pos="9174"/>
        </w:tabs>
        <w:rPr>
          <w:rFonts w:asciiTheme="minorHAnsi" w:eastAsiaTheme="minorEastAsia" w:hAnsiTheme="minorHAnsi" w:cstheme="minorBidi"/>
          <w:noProof/>
          <w:color w:val="000000" w:themeColor="text1"/>
          <w:sz w:val="21"/>
          <w:szCs w:val="22"/>
        </w:rPr>
      </w:pPr>
      <w:hyperlink w:anchor="_Toc493857068" w:history="1">
        <w:r w:rsidR="00890ECB" w:rsidRPr="00687B52">
          <w:rPr>
            <w:rStyle w:val="ad"/>
            <w:rFonts w:hint="eastAsia"/>
            <w:noProof/>
            <w:color w:val="000000" w:themeColor="text1"/>
          </w:rPr>
          <w:t>附</w:t>
        </w:r>
        <w:r w:rsidR="00890ECB" w:rsidRPr="00687B52">
          <w:rPr>
            <w:rStyle w:val="ad"/>
            <w:noProof/>
            <w:color w:val="000000" w:themeColor="text1"/>
          </w:rPr>
          <w:t>2.4</w:t>
        </w:r>
        <w:r w:rsidR="00890ECB" w:rsidRPr="00687B52">
          <w:rPr>
            <w:rStyle w:val="ad"/>
            <w:rFonts w:hint="eastAsia"/>
            <w:noProof/>
            <w:color w:val="000000" w:themeColor="text1"/>
          </w:rPr>
          <w:t>《个体防护装备选用规范》</w:t>
        </w:r>
        <w:r w:rsidR="00890ECB" w:rsidRPr="00687B52">
          <w:rPr>
            <w:rStyle w:val="ad"/>
            <w:noProof/>
            <w:color w:val="000000" w:themeColor="text1"/>
          </w:rPr>
          <w:t>GB11651-2008</w:t>
        </w:r>
        <w:r w:rsidR="00890ECB" w:rsidRPr="00687B52">
          <w:rPr>
            <w:rStyle w:val="ad"/>
            <w:rFonts w:hint="eastAsia"/>
            <w:noProof/>
            <w:color w:val="000000" w:themeColor="text1"/>
          </w:rPr>
          <w:t>有关要求</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_Toc493857068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475</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69" w:history="1">
        <w:r w:rsidR="00890ECB" w:rsidRPr="00687B52">
          <w:rPr>
            <w:rStyle w:val="ad"/>
            <w:rFonts w:hint="eastAsia"/>
            <w:noProof/>
            <w:color w:val="000000" w:themeColor="text1"/>
          </w:rPr>
          <w:t>第</w:t>
        </w:r>
        <w:r w:rsidR="00890ECB" w:rsidRPr="00687B52">
          <w:rPr>
            <w:rStyle w:val="ad"/>
            <w:noProof/>
            <w:color w:val="000000" w:themeColor="text1"/>
          </w:rPr>
          <w:t>6.1</w:t>
        </w:r>
        <w:r w:rsidR="00890ECB" w:rsidRPr="00687B52">
          <w:rPr>
            <w:rStyle w:val="ad"/>
            <w:rFonts w:hint="eastAsia"/>
            <w:noProof/>
            <w:color w:val="000000" w:themeColor="text1"/>
          </w:rPr>
          <w:t>条表</w:t>
        </w:r>
        <w:r w:rsidR="00890ECB" w:rsidRPr="00687B52">
          <w:rPr>
            <w:rStyle w:val="ad"/>
            <w:noProof/>
            <w:color w:val="000000" w:themeColor="text1"/>
          </w:rPr>
          <w:t xml:space="preserve">3 </w:t>
        </w:r>
        <w:r w:rsidR="00890ECB" w:rsidRPr="00687B52">
          <w:rPr>
            <w:rStyle w:val="ad"/>
            <w:rFonts w:hint="eastAsia"/>
            <w:noProof/>
            <w:color w:val="000000" w:themeColor="text1"/>
          </w:rPr>
          <w:t>个体防护装备的选用</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_Toc493857069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475</w:t>
        </w:r>
        <w:r w:rsidR="003912E3" w:rsidRPr="00687B52">
          <w:rPr>
            <w:noProof/>
            <w:webHidden/>
            <w:color w:val="000000" w:themeColor="text1"/>
          </w:rPr>
          <w:fldChar w:fldCharType="end"/>
        </w:r>
      </w:hyperlink>
    </w:p>
    <w:p w:rsidR="00890ECB" w:rsidRPr="00687B52" w:rsidRDefault="00F54DF7">
      <w:pPr>
        <w:pStyle w:val="10"/>
        <w:tabs>
          <w:tab w:val="right" w:leader="dot" w:pos="9174"/>
        </w:tabs>
        <w:rPr>
          <w:rFonts w:asciiTheme="minorHAnsi" w:eastAsiaTheme="minorEastAsia" w:hAnsiTheme="minorHAnsi" w:cstheme="minorBidi"/>
          <w:noProof/>
          <w:color w:val="000000" w:themeColor="text1"/>
          <w:sz w:val="21"/>
          <w:szCs w:val="22"/>
        </w:rPr>
      </w:pPr>
      <w:hyperlink w:anchor="_Toc493857070" w:history="1">
        <w:r w:rsidR="00890ECB" w:rsidRPr="00687B52">
          <w:rPr>
            <w:rStyle w:val="ad"/>
            <w:rFonts w:hint="eastAsia"/>
            <w:noProof/>
            <w:color w:val="000000" w:themeColor="text1"/>
          </w:rPr>
          <w:t>附</w:t>
        </w:r>
        <w:r w:rsidR="00890ECB" w:rsidRPr="00687B52">
          <w:rPr>
            <w:rStyle w:val="ad"/>
            <w:noProof/>
            <w:color w:val="000000" w:themeColor="text1"/>
          </w:rPr>
          <w:t>2.5</w:t>
        </w:r>
        <w:r w:rsidR="00890ECB" w:rsidRPr="00687B52">
          <w:rPr>
            <w:rStyle w:val="ad"/>
            <w:rFonts w:hint="eastAsia"/>
            <w:noProof/>
            <w:color w:val="000000" w:themeColor="text1"/>
          </w:rPr>
          <w:t>《石油化工企业设计防火规范》（</w:t>
        </w:r>
        <w:r w:rsidR="00890ECB" w:rsidRPr="00687B52">
          <w:rPr>
            <w:rStyle w:val="ad"/>
            <w:noProof/>
            <w:color w:val="000000" w:themeColor="text1"/>
          </w:rPr>
          <w:t>GB50160-2008</w:t>
        </w:r>
        <w:r w:rsidR="00890ECB" w:rsidRPr="00687B52">
          <w:rPr>
            <w:rStyle w:val="ad"/>
            <w:rFonts w:hint="eastAsia"/>
            <w:noProof/>
            <w:color w:val="000000" w:themeColor="text1"/>
          </w:rPr>
          <w:t>）有关要求</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_Toc493857070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478</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71" w:history="1">
        <w:r w:rsidR="00890ECB" w:rsidRPr="00687B52">
          <w:rPr>
            <w:rStyle w:val="ad"/>
            <w:rFonts w:hint="eastAsia"/>
            <w:noProof/>
            <w:color w:val="000000" w:themeColor="text1"/>
          </w:rPr>
          <w:t>表</w:t>
        </w:r>
        <w:r w:rsidR="00890ECB" w:rsidRPr="00687B52">
          <w:rPr>
            <w:rStyle w:val="ad"/>
            <w:noProof/>
            <w:color w:val="000000" w:themeColor="text1"/>
          </w:rPr>
          <w:t xml:space="preserve">4.1.9 </w:t>
        </w:r>
        <w:r w:rsidR="00890ECB" w:rsidRPr="00687B52">
          <w:rPr>
            <w:rStyle w:val="ad"/>
            <w:rFonts w:hint="eastAsia"/>
            <w:noProof/>
            <w:color w:val="000000" w:themeColor="text1"/>
          </w:rPr>
          <w:t>石油化工企业与相邻工厂或设施的防火间距</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_Toc493857071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478</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72" w:history="1">
        <w:r w:rsidR="00890ECB" w:rsidRPr="00687B52">
          <w:rPr>
            <w:rStyle w:val="ad"/>
            <w:rFonts w:hint="eastAsia"/>
            <w:noProof/>
            <w:color w:val="000000" w:themeColor="text1"/>
          </w:rPr>
          <w:t>表</w:t>
        </w:r>
        <w:r w:rsidR="00890ECB" w:rsidRPr="00687B52">
          <w:rPr>
            <w:rStyle w:val="ad"/>
            <w:noProof/>
            <w:color w:val="000000" w:themeColor="text1"/>
          </w:rPr>
          <w:t xml:space="preserve">4.1.10 </w:t>
        </w:r>
        <w:r w:rsidR="00890ECB" w:rsidRPr="00687B52">
          <w:rPr>
            <w:rStyle w:val="ad"/>
            <w:rFonts w:hint="eastAsia"/>
            <w:noProof/>
            <w:color w:val="000000" w:themeColor="text1"/>
          </w:rPr>
          <w:t>石油化工企业与同类企业及油库的防火间距</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_Toc493857072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479</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73" w:history="1">
        <w:r w:rsidR="00890ECB" w:rsidRPr="00687B52">
          <w:rPr>
            <w:rStyle w:val="ad"/>
            <w:rFonts w:hint="eastAsia"/>
            <w:noProof/>
            <w:color w:val="000000" w:themeColor="text1"/>
          </w:rPr>
          <w:t>表</w:t>
        </w:r>
        <w:r w:rsidR="00890ECB" w:rsidRPr="00687B52">
          <w:rPr>
            <w:rStyle w:val="ad"/>
            <w:noProof/>
            <w:color w:val="000000" w:themeColor="text1"/>
          </w:rPr>
          <w:t xml:space="preserve">4.1.12 </w:t>
        </w:r>
        <w:r w:rsidR="00890ECB" w:rsidRPr="00687B52">
          <w:rPr>
            <w:rStyle w:val="ad"/>
            <w:rFonts w:hint="eastAsia"/>
            <w:noProof/>
            <w:color w:val="000000" w:themeColor="text1"/>
          </w:rPr>
          <w:t>石油化工厂总平面布置的防火间距</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_Toc493857073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480</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74" w:history="1">
        <w:r w:rsidR="00890ECB" w:rsidRPr="00687B52">
          <w:rPr>
            <w:rStyle w:val="ad"/>
            <w:rFonts w:hint="eastAsia"/>
            <w:noProof/>
            <w:color w:val="000000" w:themeColor="text1"/>
          </w:rPr>
          <w:t>表</w:t>
        </w:r>
        <w:r w:rsidR="00890ECB" w:rsidRPr="00687B52">
          <w:rPr>
            <w:rStyle w:val="ad"/>
            <w:noProof/>
            <w:color w:val="000000" w:themeColor="text1"/>
          </w:rPr>
          <w:t xml:space="preserve">5.2.1 </w:t>
        </w:r>
        <w:r w:rsidR="00890ECB" w:rsidRPr="00687B52">
          <w:rPr>
            <w:rStyle w:val="ad"/>
            <w:rFonts w:hint="eastAsia"/>
            <w:noProof/>
            <w:color w:val="000000" w:themeColor="text1"/>
          </w:rPr>
          <w:t>设备、建筑物平面布置的防火间距（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_Toc493857074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481</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75" w:history="1">
        <w:r w:rsidR="00890ECB" w:rsidRPr="00687B52">
          <w:rPr>
            <w:rStyle w:val="ad"/>
            <w:rFonts w:hint="eastAsia"/>
            <w:noProof/>
            <w:color w:val="000000" w:themeColor="text1"/>
          </w:rPr>
          <w:t>表</w:t>
        </w:r>
        <w:r w:rsidR="00890ECB" w:rsidRPr="00687B52">
          <w:rPr>
            <w:rStyle w:val="ad"/>
            <w:noProof/>
            <w:color w:val="000000" w:themeColor="text1"/>
          </w:rPr>
          <w:t xml:space="preserve">5.4.3 </w:t>
        </w:r>
        <w:r w:rsidR="00890ECB" w:rsidRPr="00687B52">
          <w:rPr>
            <w:rStyle w:val="ad"/>
            <w:rFonts w:hint="eastAsia"/>
            <w:noProof/>
            <w:color w:val="000000" w:themeColor="text1"/>
          </w:rPr>
          <w:t>污水处理场内的设备、建（构）筑物平面布置的防火间距（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_Toc493857075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482</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76" w:history="1">
        <w:r w:rsidR="00890ECB" w:rsidRPr="00687B52">
          <w:rPr>
            <w:rStyle w:val="ad"/>
            <w:rFonts w:hint="eastAsia"/>
            <w:noProof/>
            <w:color w:val="000000" w:themeColor="text1"/>
          </w:rPr>
          <w:t>表</w:t>
        </w:r>
        <w:r w:rsidR="00890ECB" w:rsidRPr="00687B52">
          <w:rPr>
            <w:rStyle w:val="ad"/>
            <w:noProof/>
            <w:color w:val="000000" w:themeColor="text1"/>
          </w:rPr>
          <w:t xml:space="preserve">6.2.8 </w:t>
        </w:r>
        <w:r w:rsidR="00890ECB" w:rsidRPr="00687B52">
          <w:rPr>
            <w:rStyle w:val="ad"/>
            <w:rFonts w:hint="eastAsia"/>
            <w:noProof/>
            <w:color w:val="000000" w:themeColor="text1"/>
          </w:rPr>
          <w:t>罐组内相邻可燃液体地上储罐的防火间距</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_Toc493857076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482</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77" w:history="1">
        <w:r w:rsidR="00890ECB" w:rsidRPr="00687B52">
          <w:rPr>
            <w:rStyle w:val="ad"/>
            <w:rFonts w:hint="eastAsia"/>
            <w:noProof/>
            <w:color w:val="000000" w:themeColor="text1"/>
          </w:rPr>
          <w:t>表</w:t>
        </w:r>
        <w:r w:rsidR="00890ECB" w:rsidRPr="00687B52">
          <w:rPr>
            <w:rStyle w:val="ad"/>
            <w:noProof/>
            <w:color w:val="000000" w:themeColor="text1"/>
          </w:rPr>
          <w:t xml:space="preserve">6.3.3 </w:t>
        </w:r>
        <w:r w:rsidR="00890ECB" w:rsidRPr="00687B52">
          <w:rPr>
            <w:rStyle w:val="ad"/>
            <w:rFonts w:hint="eastAsia"/>
            <w:noProof/>
            <w:color w:val="000000" w:themeColor="text1"/>
          </w:rPr>
          <w:t>液化烃、可燃气体、助燃气体的罐组内储罐的防火间距</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_Toc493857077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483</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78" w:history="1">
        <w:r w:rsidR="00890ECB" w:rsidRPr="00687B52">
          <w:rPr>
            <w:rStyle w:val="ad"/>
            <w:rFonts w:hint="eastAsia"/>
            <w:noProof/>
            <w:color w:val="000000" w:themeColor="text1"/>
          </w:rPr>
          <w:t>表</w:t>
        </w:r>
        <w:r w:rsidR="00890ECB" w:rsidRPr="00687B52">
          <w:rPr>
            <w:rStyle w:val="ad"/>
            <w:noProof/>
            <w:color w:val="000000" w:themeColor="text1"/>
          </w:rPr>
          <w:t>6.3.5</w:t>
        </w:r>
        <w:r w:rsidR="00890ECB" w:rsidRPr="00687B52">
          <w:rPr>
            <w:rStyle w:val="ad"/>
            <w:rFonts w:hint="eastAsia"/>
            <w:noProof/>
            <w:color w:val="000000" w:themeColor="text1"/>
          </w:rPr>
          <w:t>液化烃、可燃气体、助燃气体的罐组内储罐的防火间距</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_Toc493857078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483</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79" w:history="1">
        <w:r w:rsidR="00890ECB" w:rsidRPr="00687B52">
          <w:rPr>
            <w:rStyle w:val="ad"/>
            <w:rFonts w:hint="eastAsia"/>
            <w:noProof/>
            <w:color w:val="000000" w:themeColor="text1"/>
          </w:rPr>
          <w:t>表</w:t>
        </w:r>
        <w:r w:rsidR="00890ECB" w:rsidRPr="00687B52">
          <w:rPr>
            <w:rStyle w:val="ad"/>
            <w:noProof/>
            <w:color w:val="000000" w:themeColor="text1"/>
          </w:rPr>
          <w:t xml:space="preserve">6.4.4 </w:t>
        </w:r>
        <w:r w:rsidR="00890ECB" w:rsidRPr="00687B52">
          <w:rPr>
            <w:rStyle w:val="ad"/>
            <w:rFonts w:hint="eastAsia"/>
            <w:noProof/>
            <w:color w:val="000000" w:themeColor="text1"/>
          </w:rPr>
          <w:t>码头相邻泊位的船舶间的防火间距（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_Toc493857079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484</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80" w:history="1">
        <w:r w:rsidR="00890ECB" w:rsidRPr="00687B52">
          <w:rPr>
            <w:rStyle w:val="ad"/>
            <w:rFonts w:hint="eastAsia"/>
            <w:noProof/>
            <w:color w:val="000000" w:themeColor="text1"/>
          </w:rPr>
          <w:t>表</w:t>
        </w:r>
        <w:r w:rsidR="00890ECB" w:rsidRPr="00687B52">
          <w:rPr>
            <w:rStyle w:val="ad"/>
            <w:noProof/>
            <w:color w:val="000000" w:themeColor="text1"/>
          </w:rPr>
          <w:t xml:space="preserve">8.4.2 </w:t>
        </w:r>
        <w:r w:rsidR="00890ECB" w:rsidRPr="00687B52">
          <w:rPr>
            <w:rStyle w:val="ad"/>
            <w:rFonts w:hint="eastAsia"/>
            <w:noProof/>
            <w:color w:val="000000" w:themeColor="text1"/>
          </w:rPr>
          <w:t>厂区同一时间内的火灾处数</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_Toc493857080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484</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81" w:history="1">
        <w:r w:rsidR="00890ECB" w:rsidRPr="00687B52">
          <w:rPr>
            <w:rStyle w:val="ad"/>
            <w:rFonts w:hint="eastAsia"/>
            <w:noProof/>
            <w:color w:val="000000" w:themeColor="text1"/>
          </w:rPr>
          <w:t>表</w:t>
        </w:r>
        <w:r w:rsidR="00890ECB" w:rsidRPr="00687B52">
          <w:rPr>
            <w:rStyle w:val="ad"/>
            <w:noProof/>
            <w:color w:val="000000" w:themeColor="text1"/>
          </w:rPr>
          <w:t xml:space="preserve">8.4.3 </w:t>
        </w:r>
        <w:r w:rsidR="00890ECB" w:rsidRPr="00687B52">
          <w:rPr>
            <w:rStyle w:val="ad"/>
            <w:rFonts w:hint="eastAsia"/>
            <w:noProof/>
            <w:color w:val="000000" w:themeColor="text1"/>
          </w:rPr>
          <w:t>工艺装置消防用水量表（</w:t>
        </w:r>
        <w:r w:rsidR="00890ECB" w:rsidRPr="00687B52">
          <w:rPr>
            <w:rStyle w:val="ad"/>
            <w:noProof/>
            <w:color w:val="000000" w:themeColor="text1"/>
          </w:rPr>
          <w:t>L/s</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_Toc493857081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484</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82" w:history="1">
        <w:r w:rsidR="00890ECB" w:rsidRPr="00687B52">
          <w:rPr>
            <w:rStyle w:val="ad"/>
            <w:rFonts w:hint="eastAsia"/>
            <w:noProof/>
            <w:color w:val="000000" w:themeColor="text1"/>
          </w:rPr>
          <w:t>表</w:t>
        </w:r>
        <w:r w:rsidR="00890ECB" w:rsidRPr="00687B52">
          <w:rPr>
            <w:rStyle w:val="ad"/>
            <w:noProof/>
            <w:color w:val="000000" w:themeColor="text1"/>
          </w:rPr>
          <w:t xml:space="preserve">8.4.5 </w:t>
        </w:r>
        <w:r w:rsidR="00890ECB" w:rsidRPr="00687B52">
          <w:rPr>
            <w:rStyle w:val="ad"/>
            <w:rFonts w:hint="eastAsia"/>
            <w:noProof/>
            <w:color w:val="000000" w:themeColor="text1"/>
          </w:rPr>
          <w:t>消防冷却水的供水范围和供水强度</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_Toc493857082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484</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83" w:history="1">
        <w:r w:rsidR="00890ECB" w:rsidRPr="00687B52">
          <w:rPr>
            <w:rStyle w:val="ad"/>
            <w:rFonts w:hint="eastAsia"/>
            <w:noProof/>
            <w:color w:val="000000" w:themeColor="text1"/>
          </w:rPr>
          <w:t>表</w:t>
        </w:r>
        <w:r w:rsidR="00890ECB" w:rsidRPr="00687B52">
          <w:rPr>
            <w:rStyle w:val="ad"/>
            <w:noProof/>
            <w:color w:val="000000" w:themeColor="text1"/>
          </w:rPr>
          <w:t xml:space="preserve">8.9.2 </w:t>
        </w:r>
        <w:r w:rsidR="00890ECB" w:rsidRPr="00687B52">
          <w:rPr>
            <w:rStyle w:val="ad"/>
            <w:rFonts w:hint="eastAsia"/>
            <w:noProof/>
            <w:color w:val="000000" w:themeColor="text1"/>
          </w:rPr>
          <w:t>灭火器的规格</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_Toc493857083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484</w:t>
        </w:r>
        <w:r w:rsidR="003912E3" w:rsidRPr="00687B52">
          <w:rPr>
            <w:noProof/>
            <w:webHidden/>
            <w:color w:val="000000" w:themeColor="text1"/>
          </w:rPr>
          <w:fldChar w:fldCharType="end"/>
        </w:r>
      </w:hyperlink>
    </w:p>
    <w:p w:rsidR="00890ECB" w:rsidRPr="00687B52" w:rsidRDefault="00F54DF7">
      <w:pPr>
        <w:pStyle w:val="10"/>
        <w:tabs>
          <w:tab w:val="right" w:leader="dot" w:pos="9174"/>
        </w:tabs>
        <w:rPr>
          <w:rFonts w:asciiTheme="minorHAnsi" w:eastAsiaTheme="minorEastAsia" w:hAnsiTheme="minorHAnsi" w:cstheme="minorBidi"/>
          <w:noProof/>
          <w:color w:val="000000" w:themeColor="text1"/>
          <w:sz w:val="21"/>
          <w:szCs w:val="22"/>
        </w:rPr>
      </w:pPr>
      <w:hyperlink w:anchor="_Toc493857084" w:history="1">
        <w:r w:rsidR="00890ECB" w:rsidRPr="00687B52">
          <w:rPr>
            <w:rStyle w:val="ad"/>
            <w:rFonts w:hint="eastAsia"/>
            <w:noProof/>
            <w:color w:val="000000" w:themeColor="text1"/>
          </w:rPr>
          <w:t>附</w:t>
        </w:r>
        <w:r w:rsidR="00890ECB" w:rsidRPr="00687B52">
          <w:rPr>
            <w:rStyle w:val="ad"/>
            <w:noProof/>
            <w:color w:val="000000" w:themeColor="text1"/>
          </w:rPr>
          <w:t>2.6</w:t>
        </w:r>
        <w:r w:rsidR="00890ECB" w:rsidRPr="00687B52">
          <w:rPr>
            <w:rStyle w:val="ad"/>
            <w:rFonts w:hint="eastAsia"/>
            <w:noProof/>
            <w:color w:val="000000" w:themeColor="text1"/>
          </w:rPr>
          <w:t>《汽车加油加气站设计与施工规范》</w:t>
        </w:r>
        <w:r w:rsidR="00890ECB" w:rsidRPr="00687B52">
          <w:rPr>
            <w:rStyle w:val="ad"/>
            <w:noProof/>
            <w:color w:val="000000" w:themeColor="text1"/>
          </w:rPr>
          <w:t>GB50156-2012(2014</w:t>
        </w:r>
        <w:r w:rsidR="00890ECB" w:rsidRPr="00687B52">
          <w:rPr>
            <w:rStyle w:val="ad"/>
            <w:rFonts w:hint="eastAsia"/>
            <w:noProof/>
            <w:color w:val="000000" w:themeColor="text1"/>
          </w:rPr>
          <w:t>年修改版</w:t>
        </w:r>
        <w:r w:rsidR="00890ECB" w:rsidRPr="00687B52">
          <w:rPr>
            <w:rStyle w:val="ad"/>
            <w:noProof/>
            <w:color w:val="000000" w:themeColor="text1"/>
          </w:rPr>
          <w:t>)</w:t>
        </w:r>
        <w:r w:rsidR="00890ECB" w:rsidRPr="00687B52">
          <w:rPr>
            <w:rStyle w:val="ad"/>
            <w:rFonts w:hint="eastAsia"/>
            <w:noProof/>
            <w:color w:val="000000" w:themeColor="text1"/>
          </w:rPr>
          <w:t>有关要求</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_Toc493857084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485</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85" w:history="1">
        <w:r w:rsidR="00890ECB" w:rsidRPr="00687B52">
          <w:rPr>
            <w:rStyle w:val="ad"/>
            <w:rFonts w:hint="eastAsia"/>
            <w:noProof/>
            <w:color w:val="000000" w:themeColor="text1"/>
          </w:rPr>
          <w:t>表</w:t>
        </w:r>
        <w:r w:rsidR="00890ECB" w:rsidRPr="00687B52">
          <w:rPr>
            <w:rStyle w:val="ad"/>
            <w:noProof/>
            <w:color w:val="000000" w:themeColor="text1"/>
          </w:rPr>
          <w:t>4.0.4</w:t>
        </w:r>
        <w:r w:rsidR="00890ECB" w:rsidRPr="00687B52">
          <w:rPr>
            <w:rStyle w:val="ad"/>
            <w:rFonts w:hint="eastAsia"/>
            <w:noProof/>
            <w:color w:val="000000" w:themeColor="text1"/>
          </w:rPr>
          <w:t>汽油设备与站外建（构）筑物的安全间距（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_Toc493857085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485</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86" w:history="1">
        <w:r w:rsidR="00890ECB" w:rsidRPr="00687B52">
          <w:rPr>
            <w:rStyle w:val="ad"/>
            <w:rFonts w:hint="eastAsia"/>
            <w:noProof/>
            <w:color w:val="000000" w:themeColor="text1"/>
          </w:rPr>
          <w:t>表</w:t>
        </w:r>
        <w:r w:rsidR="00890ECB" w:rsidRPr="00687B52">
          <w:rPr>
            <w:rStyle w:val="ad"/>
            <w:noProof/>
            <w:color w:val="000000" w:themeColor="text1"/>
          </w:rPr>
          <w:t xml:space="preserve">5.0.13-1 </w:t>
        </w:r>
        <w:r w:rsidR="00890ECB" w:rsidRPr="00687B52">
          <w:rPr>
            <w:rStyle w:val="ad"/>
            <w:rFonts w:hint="eastAsia"/>
            <w:noProof/>
            <w:color w:val="000000" w:themeColor="text1"/>
          </w:rPr>
          <w:t>站内设施的防火间距</w:t>
        </w:r>
        <w:r w:rsidR="00890ECB" w:rsidRPr="00687B52">
          <w:rPr>
            <w:rStyle w:val="ad"/>
            <w:noProof/>
            <w:color w:val="000000" w:themeColor="text1"/>
          </w:rPr>
          <w:t xml:space="preserve"> (m)</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_Toc493857086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487</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87" w:history="1">
        <w:r w:rsidR="00890ECB" w:rsidRPr="00687B52">
          <w:rPr>
            <w:rStyle w:val="ad"/>
            <w:rFonts w:hint="eastAsia"/>
            <w:noProof/>
            <w:color w:val="000000" w:themeColor="text1"/>
          </w:rPr>
          <w:t>表</w:t>
        </w:r>
        <w:r w:rsidR="00890ECB" w:rsidRPr="00687B52">
          <w:rPr>
            <w:rStyle w:val="ad"/>
            <w:noProof/>
            <w:color w:val="000000" w:themeColor="text1"/>
          </w:rPr>
          <w:t xml:space="preserve">5.0.13-2 </w:t>
        </w:r>
        <w:r w:rsidR="00890ECB" w:rsidRPr="00687B52">
          <w:rPr>
            <w:rStyle w:val="ad"/>
            <w:rFonts w:hint="eastAsia"/>
            <w:noProof/>
            <w:color w:val="000000" w:themeColor="text1"/>
          </w:rPr>
          <w:t>站内设施的防火间距</w:t>
        </w:r>
        <w:r w:rsidR="00890ECB" w:rsidRPr="00687B52">
          <w:rPr>
            <w:rStyle w:val="ad"/>
            <w:noProof/>
            <w:color w:val="000000" w:themeColor="text1"/>
          </w:rPr>
          <w:t xml:space="preserve"> (m)</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_Toc493857087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489</w:t>
        </w:r>
        <w:r w:rsidR="003912E3" w:rsidRPr="00687B52">
          <w:rPr>
            <w:noProof/>
            <w:webHidden/>
            <w:color w:val="000000" w:themeColor="text1"/>
          </w:rPr>
          <w:fldChar w:fldCharType="end"/>
        </w:r>
      </w:hyperlink>
    </w:p>
    <w:p w:rsidR="00890ECB" w:rsidRPr="00687B52" w:rsidRDefault="00F54DF7">
      <w:pPr>
        <w:pStyle w:val="10"/>
        <w:tabs>
          <w:tab w:val="right" w:leader="dot" w:pos="9174"/>
        </w:tabs>
        <w:rPr>
          <w:rFonts w:asciiTheme="minorHAnsi" w:eastAsiaTheme="minorEastAsia" w:hAnsiTheme="minorHAnsi" w:cstheme="minorBidi"/>
          <w:noProof/>
          <w:color w:val="000000" w:themeColor="text1"/>
          <w:sz w:val="21"/>
          <w:szCs w:val="22"/>
        </w:rPr>
      </w:pPr>
      <w:hyperlink w:anchor="_Toc493857088" w:history="1">
        <w:r w:rsidR="00890ECB" w:rsidRPr="00687B52">
          <w:rPr>
            <w:rStyle w:val="ad"/>
            <w:rFonts w:hint="eastAsia"/>
            <w:noProof/>
            <w:color w:val="000000" w:themeColor="text1"/>
          </w:rPr>
          <w:t>附</w:t>
        </w:r>
        <w:r w:rsidR="00890ECB" w:rsidRPr="00687B52">
          <w:rPr>
            <w:rStyle w:val="ad"/>
            <w:noProof/>
            <w:color w:val="000000" w:themeColor="text1"/>
          </w:rPr>
          <w:t>2.7</w:t>
        </w:r>
        <w:r w:rsidR="00890ECB" w:rsidRPr="00687B52">
          <w:rPr>
            <w:rStyle w:val="ad"/>
            <w:rFonts w:hint="eastAsia"/>
            <w:noProof/>
            <w:color w:val="000000" w:themeColor="text1"/>
          </w:rPr>
          <w:t>《易燃易爆性商品储存养护技术条件》</w:t>
        </w:r>
        <w:r w:rsidR="00890ECB" w:rsidRPr="00687B52">
          <w:rPr>
            <w:rStyle w:val="ad"/>
            <w:noProof/>
            <w:color w:val="000000" w:themeColor="text1"/>
          </w:rPr>
          <w:t>GB17914-2013</w:t>
        </w:r>
        <w:r w:rsidR="00890ECB" w:rsidRPr="00687B52">
          <w:rPr>
            <w:rStyle w:val="ad"/>
            <w:rFonts w:hint="eastAsia"/>
            <w:noProof/>
            <w:color w:val="000000" w:themeColor="text1"/>
          </w:rPr>
          <w:t>有关要求</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_Toc493857088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491</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89" w:history="1">
        <w:r w:rsidR="00890ECB" w:rsidRPr="00687B52">
          <w:rPr>
            <w:rStyle w:val="ad"/>
            <w:rFonts w:hint="eastAsia"/>
            <w:noProof/>
            <w:color w:val="000000" w:themeColor="text1"/>
          </w:rPr>
          <w:t>表</w:t>
        </w:r>
        <w:r w:rsidR="00890ECB" w:rsidRPr="00687B52">
          <w:rPr>
            <w:rStyle w:val="ad"/>
            <w:noProof/>
            <w:color w:val="000000" w:themeColor="text1"/>
          </w:rPr>
          <w:t xml:space="preserve">A.1 </w:t>
        </w:r>
        <w:r w:rsidR="00890ECB" w:rsidRPr="00687B52">
          <w:rPr>
            <w:rStyle w:val="ad"/>
            <w:rFonts w:hint="eastAsia"/>
            <w:noProof/>
            <w:color w:val="000000" w:themeColor="text1"/>
          </w:rPr>
          <w:t>化学危险物品混存性能互抵表</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_Toc493857089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491</w:t>
        </w:r>
        <w:r w:rsidR="003912E3" w:rsidRPr="00687B52">
          <w:rPr>
            <w:noProof/>
            <w:webHidden/>
            <w:color w:val="000000" w:themeColor="text1"/>
          </w:rPr>
          <w:fldChar w:fldCharType="end"/>
        </w:r>
      </w:hyperlink>
    </w:p>
    <w:p w:rsidR="00890ECB" w:rsidRPr="00687B52" w:rsidRDefault="00F54DF7">
      <w:pPr>
        <w:pStyle w:val="10"/>
        <w:tabs>
          <w:tab w:val="right" w:leader="dot" w:pos="9174"/>
        </w:tabs>
        <w:rPr>
          <w:rFonts w:asciiTheme="minorHAnsi" w:eastAsiaTheme="minorEastAsia" w:hAnsiTheme="minorHAnsi" w:cstheme="minorBidi"/>
          <w:noProof/>
          <w:color w:val="000000" w:themeColor="text1"/>
          <w:sz w:val="21"/>
          <w:szCs w:val="22"/>
        </w:rPr>
      </w:pPr>
      <w:hyperlink w:anchor="_Toc493857090" w:history="1">
        <w:r w:rsidR="00890ECB" w:rsidRPr="00687B52">
          <w:rPr>
            <w:rStyle w:val="ad"/>
            <w:rFonts w:hint="eastAsia"/>
            <w:noProof/>
            <w:color w:val="000000" w:themeColor="text1"/>
          </w:rPr>
          <w:t>附</w:t>
        </w:r>
        <w:r w:rsidR="00890ECB" w:rsidRPr="00687B52">
          <w:rPr>
            <w:rStyle w:val="ad"/>
            <w:noProof/>
            <w:color w:val="000000" w:themeColor="text1"/>
          </w:rPr>
          <w:t>2.8</w:t>
        </w:r>
        <w:r w:rsidR="00890ECB" w:rsidRPr="00687B52">
          <w:rPr>
            <w:rStyle w:val="ad"/>
            <w:rFonts w:hint="eastAsia"/>
            <w:noProof/>
            <w:color w:val="000000" w:themeColor="text1"/>
          </w:rPr>
          <w:t>《石油库设计规范》</w:t>
        </w:r>
        <w:r w:rsidR="00890ECB" w:rsidRPr="00687B52">
          <w:rPr>
            <w:rStyle w:val="ad"/>
            <w:noProof/>
            <w:color w:val="000000" w:themeColor="text1"/>
          </w:rPr>
          <w:t>GB50074-2014</w:t>
        </w:r>
        <w:r w:rsidR="00890ECB" w:rsidRPr="00687B52">
          <w:rPr>
            <w:rStyle w:val="ad"/>
            <w:rFonts w:hint="eastAsia"/>
            <w:noProof/>
            <w:color w:val="000000" w:themeColor="text1"/>
          </w:rPr>
          <w:t>有关要求</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_Toc493857090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493</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91" w:history="1">
        <w:r w:rsidR="00890ECB" w:rsidRPr="00687B52">
          <w:rPr>
            <w:rStyle w:val="ad"/>
            <w:rFonts w:hint="eastAsia"/>
            <w:noProof/>
            <w:color w:val="000000" w:themeColor="text1"/>
          </w:rPr>
          <w:t>表</w:t>
        </w:r>
        <w:r w:rsidR="00890ECB" w:rsidRPr="00687B52">
          <w:rPr>
            <w:rStyle w:val="ad"/>
            <w:noProof/>
            <w:color w:val="000000" w:themeColor="text1"/>
          </w:rPr>
          <w:t xml:space="preserve">4.0.10 </w:t>
        </w:r>
        <w:r w:rsidR="00890ECB" w:rsidRPr="00687B52">
          <w:rPr>
            <w:rStyle w:val="ad"/>
            <w:rFonts w:hint="eastAsia"/>
            <w:noProof/>
            <w:color w:val="000000" w:themeColor="text1"/>
          </w:rPr>
          <w:t>石油库与库外居住区、公共建筑物、工况企业、交通线的安全距离</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_Toc493857091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493</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92" w:history="1">
        <w:r w:rsidR="00890ECB" w:rsidRPr="00687B52">
          <w:rPr>
            <w:rStyle w:val="ad"/>
            <w:rFonts w:hint="eastAsia"/>
            <w:noProof/>
            <w:color w:val="000000" w:themeColor="text1"/>
          </w:rPr>
          <w:t>表</w:t>
        </w:r>
        <w:r w:rsidR="00890ECB" w:rsidRPr="00687B52">
          <w:rPr>
            <w:rStyle w:val="ad"/>
            <w:noProof/>
            <w:color w:val="000000" w:themeColor="text1"/>
          </w:rPr>
          <w:t xml:space="preserve">4.0.16 </w:t>
        </w:r>
        <w:r w:rsidR="00890ECB" w:rsidRPr="00687B52">
          <w:rPr>
            <w:rStyle w:val="ad"/>
            <w:rFonts w:hint="eastAsia"/>
            <w:noProof/>
            <w:color w:val="000000" w:themeColor="text1"/>
          </w:rPr>
          <w:t>企业附属石油库与本企业建（构）筑物、交通线等的安全距离</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_Toc493857092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494</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93" w:history="1">
        <w:r w:rsidR="00890ECB" w:rsidRPr="00687B52">
          <w:rPr>
            <w:rStyle w:val="ad"/>
            <w:rFonts w:hint="eastAsia"/>
            <w:noProof/>
            <w:color w:val="000000" w:themeColor="text1"/>
          </w:rPr>
          <w:t>表</w:t>
        </w:r>
        <w:r w:rsidR="00890ECB" w:rsidRPr="00687B52">
          <w:rPr>
            <w:rStyle w:val="ad"/>
            <w:noProof/>
            <w:color w:val="000000" w:themeColor="text1"/>
          </w:rPr>
          <w:t xml:space="preserve">5.1.3 </w:t>
        </w:r>
        <w:r w:rsidR="00890ECB" w:rsidRPr="00687B52">
          <w:rPr>
            <w:rStyle w:val="ad"/>
            <w:rFonts w:hint="eastAsia"/>
            <w:noProof/>
            <w:color w:val="000000" w:themeColor="text1"/>
          </w:rPr>
          <w:t>石油库内建（构）筑物、设施之间的防火距离</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_Toc493857093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495</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94" w:history="1">
        <w:r w:rsidR="00890ECB" w:rsidRPr="00687B52">
          <w:rPr>
            <w:rStyle w:val="ad"/>
            <w:rFonts w:hint="eastAsia"/>
            <w:noProof/>
            <w:color w:val="000000" w:themeColor="text1"/>
          </w:rPr>
          <w:t>表</w:t>
        </w:r>
        <w:r w:rsidR="00890ECB" w:rsidRPr="00687B52">
          <w:rPr>
            <w:rStyle w:val="ad"/>
            <w:noProof/>
            <w:color w:val="000000" w:themeColor="text1"/>
          </w:rPr>
          <w:t xml:space="preserve">6.1.5 </w:t>
        </w:r>
        <w:r w:rsidR="00890ECB" w:rsidRPr="00687B52">
          <w:rPr>
            <w:rStyle w:val="ad"/>
            <w:rFonts w:hint="eastAsia"/>
            <w:noProof/>
            <w:color w:val="000000" w:themeColor="text1"/>
          </w:rPr>
          <w:t>地上储罐组内相邻储罐之间的防火距离</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_Toc493857094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497</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95" w:history="1">
        <w:r w:rsidR="00890ECB" w:rsidRPr="00687B52">
          <w:rPr>
            <w:rStyle w:val="ad"/>
            <w:rFonts w:hint="eastAsia"/>
            <w:noProof/>
            <w:color w:val="000000" w:themeColor="text1"/>
          </w:rPr>
          <w:t>表</w:t>
        </w:r>
        <w:r w:rsidR="00890ECB" w:rsidRPr="00687B52">
          <w:rPr>
            <w:rStyle w:val="ad"/>
            <w:noProof/>
            <w:color w:val="000000" w:themeColor="text1"/>
          </w:rPr>
          <w:t xml:space="preserve">9.2.3 </w:t>
        </w:r>
        <w:r w:rsidR="00890ECB" w:rsidRPr="00687B52">
          <w:rPr>
            <w:rStyle w:val="ad"/>
            <w:rFonts w:hint="eastAsia"/>
            <w:noProof/>
            <w:color w:val="000000" w:themeColor="text1"/>
          </w:rPr>
          <w:t>库外管道与相邻建（构）筑物或设施之间的距离</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_Toc493857095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497</w:t>
        </w:r>
        <w:r w:rsidR="003912E3" w:rsidRPr="00687B52">
          <w:rPr>
            <w:noProof/>
            <w:webHidden/>
            <w:color w:val="000000" w:themeColor="text1"/>
          </w:rPr>
          <w:fldChar w:fldCharType="end"/>
        </w:r>
      </w:hyperlink>
    </w:p>
    <w:p w:rsidR="00890ECB" w:rsidRPr="00687B52" w:rsidRDefault="00F54DF7">
      <w:pPr>
        <w:pStyle w:val="10"/>
        <w:tabs>
          <w:tab w:val="right" w:leader="dot" w:pos="9174"/>
        </w:tabs>
        <w:rPr>
          <w:rFonts w:asciiTheme="minorHAnsi" w:eastAsiaTheme="minorEastAsia" w:hAnsiTheme="minorHAnsi" w:cstheme="minorBidi"/>
          <w:noProof/>
          <w:color w:val="000000" w:themeColor="text1"/>
          <w:sz w:val="21"/>
          <w:szCs w:val="22"/>
        </w:rPr>
      </w:pPr>
      <w:hyperlink w:anchor="_Toc493857096" w:history="1">
        <w:r w:rsidR="00890ECB" w:rsidRPr="00687B52">
          <w:rPr>
            <w:rStyle w:val="ad"/>
            <w:rFonts w:hint="eastAsia"/>
            <w:noProof/>
            <w:color w:val="000000" w:themeColor="text1"/>
          </w:rPr>
          <w:t>附</w:t>
        </w:r>
        <w:r w:rsidR="00890ECB" w:rsidRPr="00687B52">
          <w:rPr>
            <w:rStyle w:val="ad"/>
            <w:noProof/>
            <w:color w:val="000000" w:themeColor="text1"/>
          </w:rPr>
          <w:t>2.9</w:t>
        </w:r>
        <w:r w:rsidR="00890ECB" w:rsidRPr="00687B52">
          <w:rPr>
            <w:rStyle w:val="ad"/>
            <w:rFonts w:hint="eastAsia"/>
            <w:noProof/>
            <w:color w:val="000000" w:themeColor="text1"/>
          </w:rPr>
          <w:t>《石油天然气工程设计防火规范》</w:t>
        </w:r>
        <w:r w:rsidR="00890ECB" w:rsidRPr="00687B52">
          <w:rPr>
            <w:rStyle w:val="ad"/>
            <w:noProof/>
            <w:color w:val="000000" w:themeColor="text1"/>
          </w:rPr>
          <w:t>GB50183-2004</w:t>
        </w:r>
        <w:r w:rsidR="00890ECB" w:rsidRPr="00687B52">
          <w:rPr>
            <w:rStyle w:val="ad"/>
            <w:rFonts w:hint="eastAsia"/>
            <w:noProof/>
            <w:color w:val="000000" w:themeColor="text1"/>
          </w:rPr>
          <w:t>有关要求</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_Toc493857096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498</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97" w:history="1">
        <w:r w:rsidR="00890ECB" w:rsidRPr="00687B52">
          <w:rPr>
            <w:rStyle w:val="ad"/>
            <w:rFonts w:hint="eastAsia"/>
            <w:noProof/>
            <w:color w:val="000000" w:themeColor="text1"/>
          </w:rPr>
          <w:t>表</w:t>
        </w:r>
        <w:r w:rsidR="00890ECB" w:rsidRPr="00687B52">
          <w:rPr>
            <w:rStyle w:val="ad"/>
            <w:noProof/>
            <w:color w:val="000000" w:themeColor="text1"/>
          </w:rPr>
          <w:t xml:space="preserve">4.0.4 </w:t>
        </w:r>
        <w:r w:rsidR="00890ECB" w:rsidRPr="00687B52">
          <w:rPr>
            <w:rStyle w:val="ad"/>
            <w:rFonts w:hint="eastAsia"/>
            <w:noProof/>
            <w:color w:val="000000" w:themeColor="text1"/>
          </w:rPr>
          <w:t>石油天然气站场区域布置防火间距（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_Toc493857097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498</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98" w:history="1">
        <w:r w:rsidR="00890ECB" w:rsidRPr="00687B52">
          <w:rPr>
            <w:rStyle w:val="ad"/>
            <w:rFonts w:hint="eastAsia"/>
            <w:noProof/>
            <w:color w:val="000000" w:themeColor="text1"/>
          </w:rPr>
          <w:t>表</w:t>
        </w:r>
        <w:r w:rsidR="00890ECB" w:rsidRPr="00687B52">
          <w:rPr>
            <w:rStyle w:val="ad"/>
            <w:noProof/>
            <w:color w:val="000000" w:themeColor="text1"/>
          </w:rPr>
          <w:t xml:space="preserve">5.2.1 </w:t>
        </w:r>
        <w:r w:rsidR="00890ECB" w:rsidRPr="00687B52">
          <w:rPr>
            <w:rStyle w:val="ad"/>
            <w:rFonts w:hint="eastAsia"/>
            <w:noProof/>
            <w:color w:val="000000" w:themeColor="text1"/>
          </w:rPr>
          <w:t>一、二、三、四级油气站总平面布置防火间距（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_Toc493857098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499</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099" w:history="1">
        <w:r w:rsidR="00890ECB" w:rsidRPr="00687B52">
          <w:rPr>
            <w:rStyle w:val="ad"/>
            <w:rFonts w:hint="eastAsia"/>
            <w:noProof/>
            <w:color w:val="000000" w:themeColor="text1"/>
          </w:rPr>
          <w:t>表</w:t>
        </w:r>
        <w:r w:rsidR="00890ECB" w:rsidRPr="00687B52">
          <w:rPr>
            <w:rStyle w:val="ad"/>
            <w:noProof/>
            <w:color w:val="000000" w:themeColor="text1"/>
          </w:rPr>
          <w:t>5.2.2-1</w:t>
        </w:r>
        <w:r w:rsidR="00890ECB" w:rsidRPr="00687B52">
          <w:rPr>
            <w:rStyle w:val="ad"/>
            <w:rFonts w:hint="eastAsia"/>
            <w:noProof/>
            <w:color w:val="000000" w:themeColor="text1"/>
          </w:rPr>
          <w:t>装置间的防火间距（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_Toc493857099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501</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00" w:history="1">
        <w:r w:rsidR="00890ECB" w:rsidRPr="00687B52">
          <w:rPr>
            <w:rStyle w:val="ad"/>
            <w:rFonts w:hint="eastAsia"/>
            <w:noProof/>
            <w:color w:val="000000" w:themeColor="text1"/>
          </w:rPr>
          <w:t>表</w:t>
        </w:r>
        <w:r w:rsidR="00890ECB" w:rsidRPr="00687B52">
          <w:rPr>
            <w:rStyle w:val="ad"/>
            <w:noProof/>
            <w:color w:val="000000" w:themeColor="text1"/>
          </w:rPr>
          <w:t xml:space="preserve">5.2.2-2 </w:t>
        </w:r>
        <w:r w:rsidR="00890ECB" w:rsidRPr="00687B52">
          <w:rPr>
            <w:rStyle w:val="ad"/>
            <w:rFonts w:hint="eastAsia"/>
            <w:noProof/>
            <w:color w:val="000000" w:themeColor="text1"/>
          </w:rPr>
          <w:t>装置内部的防火间距（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_Toc493857100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501</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01" w:history="1">
        <w:r w:rsidR="00890ECB" w:rsidRPr="00687B52">
          <w:rPr>
            <w:rStyle w:val="ad"/>
            <w:rFonts w:hint="eastAsia"/>
            <w:noProof/>
            <w:color w:val="000000" w:themeColor="text1"/>
          </w:rPr>
          <w:t>表</w:t>
        </w:r>
        <w:r w:rsidR="00890ECB" w:rsidRPr="00687B52">
          <w:rPr>
            <w:rStyle w:val="ad"/>
            <w:noProof/>
            <w:color w:val="000000" w:themeColor="text1"/>
          </w:rPr>
          <w:t xml:space="preserve">5.2.3 </w:t>
        </w:r>
        <w:r w:rsidR="00890ECB" w:rsidRPr="00687B52">
          <w:rPr>
            <w:rStyle w:val="ad"/>
            <w:rFonts w:hint="eastAsia"/>
            <w:noProof/>
            <w:color w:val="000000" w:themeColor="text1"/>
          </w:rPr>
          <w:t>五级油气站场防火间距（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_Toc493857101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502</w:t>
        </w:r>
        <w:r w:rsidR="003912E3" w:rsidRPr="00687B52">
          <w:rPr>
            <w:noProof/>
            <w:webHidden/>
            <w:color w:val="000000" w:themeColor="text1"/>
          </w:rPr>
          <w:fldChar w:fldCharType="end"/>
        </w:r>
      </w:hyperlink>
    </w:p>
    <w:p w:rsidR="00890ECB" w:rsidRPr="00687B52" w:rsidRDefault="00F54DF7">
      <w:pPr>
        <w:pStyle w:val="10"/>
        <w:tabs>
          <w:tab w:val="right" w:leader="dot" w:pos="9174"/>
        </w:tabs>
        <w:rPr>
          <w:rFonts w:asciiTheme="minorHAnsi" w:eastAsiaTheme="minorEastAsia" w:hAnsiTheme="minorHAnsi" w:cstheme="minorBidi"/>
          <w:noProof/>
          <w:color w:val="000000" w:themeColor="text1"/>
          <w:sz w:val="21"/>
          <w:szCs w:val="22"/>
        </w:rPr>
      </w:pPr>
      <w:hyperlink w:anchor="_Toc493857102" w:history="1">
        <w:r w:rsidR="00890ECB" w:rsidRPr="00687B52">
          <w:rPr>
            <w:rStyle w:val="ad"/>
            <w:rFonts w:hint="eastAsia"/>
            <w:noProof/>
            <w:color w:val="000000" w:themeColor="text1"/>
          </w:rPr>
          <w:t>附</w:t>
        </w:r>
        <w:r w:rsidR="00890ECB" w:rsidRPr="00687B52">
          <w:rPr>
            <w:rStyle w:val="ad"/>
            <w:noProof/>
            <w:color w:val="000000" w:themeColor="text1"/>
          </w:rPr>
          <w:t>2.10</w:t>
        </w:r>
        <w:r w:rsidR="00890ECB" w:rsidRPr="00687B52">
          <w:rPr>
            <w:rStyle w:val="ad"/>
            <w:rFonts w:hint="eastAsia"/>
            <w:noProof/>
            <w:color w:val="000000" w:themeColor="text1"/>
          </w:rPr>
          <w:t>《氢气站设计规范》</w:t>
        </w:r>
        <w:r w:rsidR="00890ECB" w:rsidRPr="00687B52">
          <w:rPr>
            <w:rStyle w:val="ad"/>
            <w:noProof/>
            <w:color w:val="000000" w:themeColor="text1"/>
          </w:rPr>
          <w:t>GB50177-2005</w:t>
        </w:r>
        <w:r w:rsidR="00890ECB" w:rsidRPr="00687B52">
          <w:rPr>
            <w:rStyle w:val="ad"/>
            <w:rFonts w:hint="eastAsia"/>
            <w:noProof/>
            <w:color w:val="000000" w:themeColor="text1"/>
          </w:rPr>
          <w:t>有关要求</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_Toc493857102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504</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03" w:history="1">
        <w:r w:rsidR="00890ECB" w:rsidRPr="00687B52">
          <w:rPr>
            <w:rStyle w:val="ad"/>
            <w:rFonts w:hint="eastAsia"/>
            <w:noProof/>
            <w:color w:val="000000" w:themeColor="text1"/>
          </w:rPr>
          <w:t>图</w:t>
        </w:r>
        <w:r w:rsidR="00890ECB" w:rsidRPr="00687B52">
          <w:rPr>
            <w:rStyle w:val="ad"/>
            <w:noProof/>
            <w:color w:val="000000" w:themeColor="text1"/>
          </w:rPr>
          <w:t xml:space="preserve">A.0.2 </w:t>
        </w:r>
        <w:r w:rsidR="00890ECB" w:rsidRPr="00687B52">
          <w:rPr>
            <w:rStyle w:val="ad"/>
            <w:rFonts w:hint="eastAsia"/>
            <w:noProof/>
            <w:color w:val="000000" w:themeColor="text1"/>
          </w:rPr>
          <w:t>氢气站厂房内爆炸危险区域划分</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_Toc493857103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504</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04" w:history="1">
        <w:r w:rsidR="00890ECB" w:rsidRPr="00687B52">
          <w:rPr>
            <w:rStyle w:val="ad"/>
            <w:rFonts w:hint="eastAsia"/>
            <w:noProof/>
            <w:color w:val="000000" w:themeColor="text1"/>
          </w:rPr>
          <w:t>图</w:t>
        </w:r>
        <w:r w:rsidR="00890ECB" w:rsidRPr="00687B52">
          <w:rPr>
            <w:rStyle w:val="ad"/>
            <w:noProof/>
            <w:color w:val="000000" w:themeColor="text1"/>
          </w:rPr>
          <w:t xml:space="preserve">A.0.3 </w:t>
        </w:r>
        <w:r w:rsidR="00890ECB" w:rsidRPr="00687B52">
          <w:rPr>
            <w:rStyle w:val="ad"/>
            <w:rFonts w:hint="eastAsia"/>
            <w:noProof/>
            <w:color w:val="000000" w:themeColor="text1"/>
          </w:rPr>
          <w:t>氢气站内的室外制氢设备、氢气罐爆炸危险区域划分</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_Toc493857104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505</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05" w:history="1">
        <w:r w:rsidR="00890ECB" w:rsidRPr="00687B52">
          <w:rPr>
            <w:rStyle w:val="ad"/>
            <w:rFonts w:hint="eastAsia"/>
            <w:noProof/>
            <w:color w:val="000000" w:themeColor="text1"/>
          </w:rPr>
          <w:t>表</w:t>
        </w:r>
        <w:r w:rsidR="00890ECB" w:rsidRPr="00687B52">
          <w:rPr>
            <w:rStyle w:val="ad"/>
            <w:noProof/>
            <w:color w:val="000000" w:themeColor="text1"/>
          </w:rPr>
          <w:t xml:space="preserve">C </w:t>
        </w:r>
        <w:r w:rsidR="00890ECB" w:rsidRPr="00687B52">
          <w:rPr>
            <w:rStyle w:val="ad"/>
            <w:rFonts w:hint="eastAsia"/>
            <w:noProof/>
            <w:color w:val="000000" w:themeColor="text1"/>
          </w:rPr>
          <w:t>厂区架空氢气管道与建筑物、构筑物之间的最小净距（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_Toc493857105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506</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06" w:history="1">
        <w:r w:rsidR="00890ECB" w:rsidRPr="00687B52">
          <w:rPr>
            <w:rStyle w:val="ad"/>
            <w:rFonts w:hint="eastAsia"/>
            <w:noProof/>
            <w:color w:val="000000" w:themeColor="text1"/>
          </w:rPr>
          <w:t>表</w:t>
        </w:r>
        <w:r w:rsidR="00890ECB" w:rsidRPr="00687B52">
          <w:rPr>
            <w:rStyle w:val="ad"/>
            <w:noProof/>
            <w:color w:val="000000" w:themeColor="text1"/>
          </w:rPr>
          <w:t xml:space="preserve">D </w:t>
        </w:r>
        <w:r w:rsidR="00890ECB" w:rsidRPr="00687B52">
          <w:rPr>
            <w:rStyle w:val="ad"/>
            <w:rFonts w:hint="eastAsia"/>
            <w:noProof/>
            <w:color w:val="000000" w:themeColor="text1"/>
          </w:rPr>
          <w:t>厂区直接埋地氢气管道与其他埋地管线之间的最小净距（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_Toc493857106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507</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07" w:history="1">
        <w:r w:rsidR="00890ECB" w:rsidRPr="00687B52">
          <w:rPr>
            <w:rStyle w:val="ad"/>
            <w:rFonts w:hint="eastAsia"/>
            <w:noProof/>
            <w:color w:val="000000" w:themeColor="text1"/>
          </w:rPr>
          <w:t>表</w:t>
        </w:r>
        <w:r w:rsidR="00890ECB" w:rsidRPr="00687B52">
          <w:rPr>
            <w:rStyle w:val="ad"/>
            <w:noProof/>
            <w:color w:val="000000" w:themeColor="text1"/>
          </w:rPr>
          <w:t xml:space="preserve">E </w:t>
        </w:r>
        <w:r w:rsidR="00890ECB" w:rsidRPr="00687B52">
          <w:rPr>
            <w:rStyle w:val="ad"/>
            <w:rFonts w:hint="eastAsia"/>
            <w:noProof/>
            <w:color w:val="000000" w:themeColor="text1"/>
          </w:rPr>
          <w:t>厂区直接埋地氢气管道与建筑物、构筑物之间的最小净距（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_Toc493857107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508</w:t>
        </w:r>
        <w:r w:rsidR="003912E3" w:rsidRPr="00687B52">
          <w:rPr>
            <w:noProof/>
            <w:webHidden/>
            <w:color w:val="000000" w:themeColor="text1"/>
          </w:rPr>
          <w:fldChar w:fldCharType="end"/>
        </w:r>
      </w:hyperlink>
    </w:p>
    <w:p w:rsidR="00890ECB" w:rsidRPr="00687B52" w:rsidRDefault="00F54DF7">
      <w:pPr>
        <w:pStyle w:val="10"/>
        <w:tabs>
          <w:tab w:val="right" w:leader="dot" w:pos="9174"/>
        </w:tabs>
        <w:rPr>
          <w:rFonts w:asciiTheme="minorHAnsi" w:eastAsiaTheme="minorEastAsia" w:hAnsiTheme="minorHAnsi" w:cstheme="minorBidi"/>
          <w:noProof/>
          <w:color w:val="000000" w:themeColor="text1"/>
          <w:sz w:val="21"/>
          <w:szCs w:val="22"/>
        </w:rPr>
      </w:pPr>
      <w:hyperlink w:anchor="_Toc493857108" w:history="1">
        <w:r w:rsidR="00890ECB" w:rsidRPr="00687B52">
          <w:rPr>
            <w:rStyle w:val="ad"/>
            <w:rFonts w:hint="eastAsia"/>
            <w:noProof/>
            <w:color w:val="000000" w:themeColor="text1"/>
          </w:rPr>
          <w:t>附</w:t>
        </w:r>
        <w:r w:rsidR="00890ECB" w:rsidRPr="00687B52">
          <w:rPr>
            <w:rStyle w:val="ad"/>
            <w:noProof/>
            <w:color w:val="000000" w:themeColor="text1"/>
          </w:rPr>
          <w:t>2.11</w:t>
        </w:r>
        <w:r w:rsidR="00890ECB" w:rsidRPr="00687B52">
          <w:rPr>
            <w:rStyle w:val="ad"/>
            <w:rFonts w:hint="eastAsia"/>
            <w:noProof/>
            <w:color w:val="000000" w:themeColor="text1"/>
          </w:rPr>
          <w:t>《氧气站设计规范》</w:t>
        </w:r>
        <w:r w:rsidR="00890ECB" w:rsidRPr="00687B52">
          <w:rPr>
            <w:rStyle w:val="ad"/>
            <w:noProof/>
            <w:color w:val="000000" w:themeColor="text1"/>
          </w:rPr>
          <w:t>GB50030-2013</w:t>
        </w:r>
        <w:r w:rsidR="00890ECB" w:rsidRPr="00687B52">
          <w:rPr>
            <w:rStyle w:val="ad"/>
            <w:rFonts w:hint="eastAsia"/>
            <w:noProof/>
            <w:color w:val="000000" w:themeColor="text1"/>
          </w:rPr>
          <w:t>有关要求</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_Toc493857108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509</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09" w:history="1">
        <w:r w:rsidR="00890ECB" w:rsidRPr="00687B52">
          <w:rPr>
            <w:rStyle w:val="ad"/>
            <w:rFonts w:hint="eastAsia"/>
            <w:noProof/>
            <w:color w:val="000000" w:themeColor="text1"/>
          </w:rPr>
          <w:t>表</w:t>
        </w:r>
        <w:r w:rsidR="00890ECB" w:rsidRPr="00687B52">
          <w:rPr>
            <w:rStyle w:val="ad"/>
            <w:noProof/>
            <w:color w:val="000000" w:themeColor="text1"/>
          </w:rPr>
          <w:t xml:space="preserve">3.0.4 </w:t>
        </w:r>
        <w:r w:rsidR="00890ECB" w:rsidRPr="00687B52">
          <w:rPr>
            <w:rStyle w:val="ad"/>
            <w:rFonts w:hint="eastAsia"/>
            <w:noProof/>
            <w:color w:val="000000" w:themeColor="text1"/>
          </w:rPr>
          <w:t>氧气站火灾危险性为乙类的建筑物及氧气贮罐与其他各类建筑物、构筑物之间的防火间距</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_Toc493857109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509</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10" w:history="1">
        <w:r w:rsidR="00890ECB" w:rsidRPr="00687B52">
          <w:rPr>
            <w:rStyle w:val="ad"/>
            <w:rFonts w:hint="eastAsia"/>
            <w:noProof/>
            <w:color w:val="000000" w:themeColor="text1"/>
          </w:rPr>
          <w:t>表</w:t>
        </w:r>
        <w:r w:rsidR="00890ECB" w:rsidRPr="00687B52">
          <w:rPr>
            <w:rStyle w:val="ad"/>
            <w:noProof/>
            <w:color w:val="000000" w:themeColor="text1"/>
          </w:rPr>
          <w:t>B</w:t>
        </w:r>
        <w:r w:rsidR="00890ECB" w:rsidRPr="00687B52">
          <w:rPr>
            <w:rStyle w:val="ad"/>
            <w:rFonts w:hint="eastAsia"/>
            <w:noProof/>
            <w:color w:val="000000" w:themeColor="text1"/>
          </w:rPr>
          <w:t>厂区架空氧气管道、管架与建筑物、构筑物、铁路、道路等之间的最小净距（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_Toc493857110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510</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11" w:history="1">
        <w:r w:rsidR="00890ECB" w:rsidRPr="00687B52">
          <w:rPr>
            <w:rStyle w:val="ad"/>
            <w:rFonts w:hint="eastAsia"/>
            <w:noProof/>
            <w:color w:val="000000" w:themeColor="text1"/>
          </w:rPr>
          <w:t>表</w:t>
        </w:r>
        <w:r w:rsidR="00890ECB" w:rsidRPr="00687B52">
          <w:rPr>
            <w:rStyle w:val="ad"/>
            <w:noProof/>
            <w:color w:val="000000" w:themeColor="text1"/>
          </w:rPr>
          <w:t>C</w:t>
        </w:r>
        <w:r w:rsidR="00890ECB" w:rsidRPr="00687B52">
          <w:rPr>
            <w:rStyle w:val="ad"/>
            <w:rFonts w:hint="eastAsia"/>
            <w:noProof/>
            <w:color w:val="000000" w:themeColor="text1"/>
          </w:rPr>
          <w:t>厂区及车间架空氧气管道与其他架空管线之间的最小净距（</w:t>
        </w:r>
        <w:r w:rsidR="00890ECB" w:rsidRPr="00687B52">
          <w:rPr>
            <w:rStyle w:val="ad"/>
            <w:noProof/>
            <w:color w:val="000000" w:themeColor="text1"/>
          </w:rPr>
          <w:t>m)</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_Toc493857111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511</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12" w:history="1">
        <w:r w:rsidR="00890ECB" w:rsidRPr="00687B52">
          <w:rPr>
            <w:rStyle w:val="ad"/>
            <w:rFonts w:hint="eastAsia"/>
            <w:noProof/>
            <w:color w:val="000000" w:themeColor="text1"/>
          </w:rPr>
          <w:t>表</w:t>
        </w:r>
        <w:r w:rsidR="00890ECB" w:rsidRPr="00687B52">
          <w:rPr>
            <w:rStyle w:val="ad"/>
            <w:noProof/>
            <w:color w:val="000000" w:themeColor="text1"/>
          </w:rPr>
          <w:t xml:space="preserve">D </w:t>
        </w:r>
        <w:r w:rsidR="00890ECB" w:rsidRPr="00687B52">
          <w:rPr>
            <w:rStyle w:val="ad"/>
            <w:rFonts w:hint="eastAsia"/>
            <w:noProof/>
            <w:color w:val="000000" w:themeColor="text1"/>
          </w:rPr>
          <w:t>厂区地下氧气管道与建筑物、构筑物等及其他地下管线之间的最小净距（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_Toc493857112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512</w:t>
        </w:r>
        <w:r w:rsidR="003912E3" w:rsidRPr="00687B52">
          <w:rPr>
            <w:noProof/>
            <w:webHidden/>
            <w:color w:val="000000" w:themeColor="text1"/>
          </w:rPr>
          <w:fldChar w:fldCharType="end"/>
        </w:r>
      </w:hyperlink>
    </w:p>
    <w:p w:rsidR="00890ECB" w:rsidRPr="00687B52" w:rsidRDefault="00F54DF7">
      <w:pPr>
        <w:pStyle w:val="10"/>
        <w:tabs>
          <w:tab w:val="right" w:leader="dot" w:pos="9174"/>
        </w:tabs>
        <w:rPr>
          <w:rFonts w:asciiTheme="minorHAnsi" w:eastAsiaTheme="minorEastAsia" w:hAnsiTheme="minorHAnsi" w:cstheme="minorBidi"/>
          <w:noProof/>
          <w:color w:val="000000" w:themeColor="text1"/>
          <w:sz w:val="21"/>
          <w:szCs w:val="22"/>
        </w:rPr>
      </w:pPr>
      <w:hyperlink w:anchor="_Toc493857113" w:history="1">
        <w:r w:rsidR="00890ECB" w:rsidRPr="00687B52">
          <w:rPr>
            <w:rStyle w:val="ad"/>
            <w:rFonts w:hint="eastAsia"/>
            <w:noProof/>
            <w:color w:val="000000" w:themeColor="text1"/>
          </w:rPr>
          <w:t>附</w:t>
        </w:r>
        <w:r w:rsidR="00890ECB" w:rsidRPr="00687B52">
          <w:rPr>
            <w:rStyle w:val="ad"/>
            <w:noProof/>
            <w:color w:val="000000" w:themeColor="text1"/>
          </w:rPr>
          <w:t>2.12</w:t>
        </w:r>
        <w:r w:rsidR="00890ECB" w:rsidRPr="00687B52">
          <w:rPr>
            <w:rStyle w:val="ad"/>
            <w:rFonts w:hint="eastAsia"/>
            <w:noProof/>
            <w:color w:val="000000" w:themeColor="text1"/>
          </w:rPr>
          <w:t>《冷库设计规范》</w:t>
        </w:r>
        <w:r w:rsidR="00890ECB" w:rsidRPr="00687B52">
          <w:rPr>
            <w:rStyle w:val="ad"/>
            <w:noProof/>
            <w:color w:val="000000" w:themeColor="text1"/>
          </w:rPr>
          <w:t>GB50072-2010</w:t>
        </w:r>
        <w:r w:rsidR="00890ECB" w:rsidRPr="00687B52">
          <w:rPr>
            <w:rStyle w:val="ad"/>
            <w:rFonts w:hint="eastAsia"/>
            <w:noProof/>
            <w:color w:val="000000" w:themeColor="text1"/>
          </w:rPr>
          <w:t>有关要求</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_Toc493857113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514</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14" w:history="1">
        <w:r w:rsidR="00890ECB" w:rsidRPr="00687B52">
          <w:rPr>
            <w:rStyle w:val="ad"/>
            <w:rFonts w:hint="eastAsia"/>
            <w:noProof/>
            <w:color w:val="000000" w:themeColor="text1"/>
          </w:rPr>
          <w:t>表</w:t>
        </w:r>
        <w:r w:rsidR="00890ECB" w:rsidRPr="00687B52">
          <w:rPr>
            <w:rStyle w:val="ad"/>
            <w:noProof/>
            <w:color w:val="000000" w:themeColor="text1"/>
          </w:rPr>
          <w:t>4.2.2</w:t>
        </w:r>
        <w:r w:rsidR="00890ECB" w:rsidRPr="00687B52">
          <w:rPr>
            <w:rStyle w:val="ad"/>
            <w:rFonts w:hint="eastAsia"/>
            <w:noProof/>
            <w:color w:val="000000" w:themeColor="text1"/>
          </w:rPr>
          <w:t>每座冷库冷藏间耐火等级、层数和面积（</w:t>
        </w:r>
        <w:r w:rsidR="00890ECB" w:rsidRPr="00687B52">
          <w:rPr>
            <w:rStyle w:val="ad"/>
            <w:noProof/>
            <w:color w:val="000000" w:themeColor="text1"/>
          </w:rPr>
          <w:t>m2</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_Toc493857114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514</w:t>
        </w:r>
        <w:r w:rsidR="003912E3" w:rsidRPr="00687B52">
          <w:rPr>
            <w:noProof/>
            <w:webHidden/>
            <w:color w:val="000000" w:themeColor="text1"/>
          </w:rPr>
          <w:fldChar w:fldCharType="end"/>
        </w:r>
      </w:hyperlink>
    </w:p>
    <w:p w:rsidR="00890ECB" w:rsidRPr="00687B52" w:rsidRDefault="00F54DF7">
      <w:pPr>
        <w:pStyle w:val="10"/>
        <w:tabs>
          <w:tab w:val="right" w:leader="dot" w:pos="9174"/>
        </w:tabs>
        <w:rPr>
          <w:rFonts w:asciiTheme="minorHAnsi" w:eastAsiaTheme="minorEastAsia" w:hAnsiTheme="minorHAnsi" w:cstheme="minorBidi"/>
          <w:noProof/>
          <w:color w:val="000000" w:themeColor="text1"/>
          <w:sz w:val="21"/>
          <w:szCs w:val="22"/>
        </w:rPr>
      </w:pPr>
      <w:hyperlink w:anchor="_Toc493857115" w:history="1">
        <w:r w:rsidR="00890ECB" w:rsidRPr="00687B52">
          <w:rPr>
            <w:rStyle w:val="ad"/>
            <w:rFonts w:hint="eastAsia"/>
            <w:noProof/>
            <w:color w:val="000000" w:themeColor="text1"/>
          </w:rPr>
          <w:t>附</w:t>
        </w:r>
        <w:r w:rsidR="00890ECB" w:rsidRPr="00687B52">
          <w:rPr>
            <w:rStyle w:val="ad"/>
            <w:noProof/>
            <w:color w:val="000000" w:themeColor="text1"/>
          </w:rPr>
          <w:t>2.13</w:t>
        </w:r>
        <w:r w:rsidR="00890ECB" w:rsidRPr="00687B52">
          <w:rPr>
            <w:rStyle w:val="ad"/>
            <w:rFonts w:hint="eastAsia"/>
            <w:noProof/>
            <w:color w:val="000000" w:themeColor="text1"/>
          </w:rPr>
          <w:t>《氯气安全规程》</w:t>
        </w:r>
        <w:r w:rsidR="00890ECB" w:rsidRPr="00687B52">
          <w:rPr>
            <w:rStyle w:val="ad"/>
            <w:noProof/>
            <w:color w:val="000000" w:themeColor="text1"/>
          </w:rPr>
          <w:t>GB11984-2008</w:t>
        </w:r>
        <w:r w:rsidR="00890ECB" w:rsidRPr="00687B52">
          <w:rPr>
            <w:rStyle w:val="ad"/>
            <w:rFonts w:hint="eastAsia"/>
            <w:noProof/>
            <w:color w:val="000000" w:themeColor="text1"/>
          </w:rPr>
          <w:t>有关要求</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_Toc493857115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514</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16" w:history="1">
        <w:r w:rsidR="00890ECB" w:rsidRPr="00687B52">
          <w:rPr>
            <w:rStyle w:val="ad"/>
            <w:rFonts w:hint="eastAsia"/>
            <w:noProof/>
            <w:color w:val="000000" w:themeColor="text1"/>
          </w:rPr>
          <w:t>第</w:t>
        </w:r>
        <w:r w:rsidR="00890ECB" w:rsidRPr="00687B52">
          <w:rPr>
            <w:rStyle w:val="ad"/>
            <w:noProof/>
            <w:color w:val="000000" w:themeColor="text1"/>
          </w:rPr>
          <w:t>3.8</w:t>
        </w:r>
        <w:r w:rsidR="00890ECB" w:rsidRPr="00687B52">
          <w:rPr>
            <w:rStyle w:val="ad"/>
            <w:rFonts w:hint="eastAsia"/>
            <w:noProof/>
            <w:color w:val="000000" w:themeColor="text1"/>
          </w:rPr>
          <w:t>条常用防护用品表</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_Toc493857116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514</w:t>
        </w:r>
        <w:r w:rsidR="003912E3" w:rsidRPr="00687B52">
          <w:rPr>
            <w:noProof/>
            <w:webHidden/>
            <w:color w:val="000000" w:themeColor="text1"/>
          </w:rPr>
          <w:fldChar w:fldCharType="end"/>
        </w:r>
      </w:hyperlink>
    </w:p>
    <w:p w:rsidR="00890ECB" w:rsidRPr="00687B52" w:rsidRDefault="00F54DF7">
      <w:pPr>
        <w:pStyle w:val="10"/>
        <w:tabs>
          <w:tab w:val="right" w:leader="dot" w:pos="9174"/>
        </w:tabs>
        <w:rPr>
          <w:rFonts w:asciiTheme="minorHAnsi" w:eastAsiaTheme="minorEastAsia" w:hAnsiTheme="minorHAnsi" w:cstheme="minorBidi"/>
          <w:noProof/>
          <w:color w:val="000000" w:themeColor="text1"/>
          <w:sz w:val="21"/>
          <w:szCs w:val="22"/>
        </w:rPr>
      </w:pPr>
      <w:hyperlink w:anchor="_Toc493857117" w:history="1">
        <w:r w:rsidR="00890ECB" w:rsidRPr="00687B52">
          <w:rPr>
            <w:rStyle w:val="ad"/>
            <w:rFonts w:hint="eastAsia"/>
            <w:noProof/>
            <w:color w:val="000000" w:themeColor="text1"/>
          </w:rPr>
          <w:t>附</w:t>
        </w:r>
        <w:r w:rsidR="00890ECB" w:rsidRPr="00687B52">
          <w:rPr>
            <w:rStyle w:val="ad"/>
            <w:noProof/>
            <w:color w:val="000000" w:themeColor="text1"/>
          </w:rPr>
          <w:t>2.14</w:t>
        </w:r>
        <w:r w:rsidR="00890ECB" w:rsidRPr="00687B52">
          <w:rPr>
            <w:rStyle w:val="ad"/>
            <w:rFonts w:hint="eastAsia"/>
            <w:noProof/>
            <w:color w:val="000000" w:themeColor="text1"/>
          </w:rPr>
          <w:t>《发生炉煤气站设计规范》</w:t>
        </w:r>
        <w:r w:rsidR="00890ECB" w:rsidRPr="00687B52">
          <w:rPr>
            <w:rStyle w:val="ad"/>
            <w:noProof/>
            <w:color w:val="000000" w:themeColor="text1"/>
          </w:rPr>
          <w:t>GB50195-2013</w:t>
        </w:r>
        <w:r w:rsidR="00890ECB" w:rsidRPr="00687B52">
          <w:rPr>
            <w:rStyle w:val="ad"/>
            <w:rFonts w:hint="eastAsia"/>
            <w:noProof/>
            <w:color w:val="000000" w:themeColor="text1"/>
          </w:rPr>
          <w:t>有关要求</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_Toc493857117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514</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18" w:history="1">
        <w:r w:rsidR="00890ECB" w:rsidRPr="00687B52">
          <w:rPr>
            <w:rStyle w:val="ad"/>
            <w:rFonts w:hint="eastAsia"/>
            <w:noProof/>
            <w:color w:val="000000" w:themeColor="text1"/>
          </w:rPr>
          <w:t>第</w:t>
        </w:r>
        <w:r w:rsidR="00890ECB" w:rsidRPr="00687B52">
          <w:rPr>
            <w:rStyle w:val="ad"/>
            <w:noProof/>
            <w:color w:val="000000" w:themeColor="text1"/>
          </w:rPr>
          <w:t>11.0.5</w:t>
        </w:r>
        <w:r w:rsidR="00890ECB" w:rsidRPr="00687B52">
          <w:rPr>
            <w:rStyle w:val="ad"/>
            <w:rFonts w:hint="eastAsia"/>
            <w:noProof/>
            <w:color w:val="000000" w:themeColor="text1"/>
          </w:rPr>
          <w:t>条煤气发生炉贮煤斗的有效贮量</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_Toc493857118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514</w:t>
        </w:r>
        <w:r w:rsidR="003912E3" w:rsidRPr="00687B52">
          <w:rPr>
            <w:noProof/>
            <w:webHidden/>
            <w:color w:val="000000" w:themeColor="text1"/>
          </w:rPr>
          <w:fldChar w:fldCharType="end"/>
        </w:r>
      </w:hyperlink>
    </w:p>
    <w:p w:rsidR="00890ECB" w:rsidRPr="00687B52" w:rsidRDefault="00F54DF7">
      <w:pPr>
        <w:pStyle w:val="10"/>
        <w:tabs>
          <w:tab w:val="right" w:leader="dot" w:pos="9174"/>
        </w:tabs>
        <w:rPr>
          <w:rFonts w:asciiTheme="minorHAnsi" w:eastAsiaTheme="minorEastAsia" w:hAnsiTheme="minorHAnsi" w:cstheme="minorBidi"/>
          <w:noProof/>
          <w:color w:val="000000" w:themeColor="text1"/>
          <w:sz w:val="21"/>
          <w:szCs w:val="22"/>
        </w:rPr>
      </w:pPr>
      <w:hyperlink w:anchor="_Toc493857119" w:history="1">
        <w:r w:rsidR="00890ECB" w:rsidRPr="00687B52">
          <w:rPr>
            <w:rStyle w:val="ad"/>
            <w:rFonts w:hint="eastAsia"/>
            <w:noProof/>
            <w:color w:val="000000" w:themeColor="text1"/>
          </w:rPr>
          <w:t>附</w:t>
        </w:r>
        <w:r w:rsidR="00890ECB" w:rsidRPr="00687B52">
          <w:rPr>
            <w:rStyle w:val="ad"/>
            <w:noProof/>
            <w:color w:val="000000" w:themeColor="text1"/>
          </w:rPr>
          <w:t>2.15</w:t>
        </w:r>
        <w:r w:rsidR="00890ECB" w:rsidRPr="00687B52">
          <w:rPr>
            <w:rStyle w:val="ad"/>
            <w:rFonts w:hint="eastAsia"/>
            <w:noProof/>
            <w:color w:val="000000" w:themeColor="text1"/>
          </w:rPr>
          <w:t>《建筑设计防火规范》</w:t>
        </w:r>
        <w:r w:rsidR="00890ECB" w:rsidRPr="00687B52">
          <w:rPr>
            <w:rStyle w:val="ad"/>
            <w:noProof/>
            <w:color w:val="000000" w:themeColor="text1"/>
          </w:rPr>
          <w:t>GB50016-2014</w:t>
        </w:r>
        <w:r w:rsidR="00890ECB" w:rsidRPr="00687B52">
          <w:rPr>
            <w:rStyle w:val="ad"/>
            <w:rFonts w:hint="eastAsia"/>
            <w:noProof/>
            <w:color w:val="000000" w:themeColor="text1"/>
          </w:rPr>
          <w:t>有关要求</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_Toc493857119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515</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20" w:history="1">
        <w:r w:rsidR="00890ECB" w:rsidRPr="00687B52">
          <w:rPr>
            <w:rStyle w:val="ad"/>
            <w:rFonts w:hint="eastAsia"/>
            <w:noProof/>
            <w:color w:val="000000" w:themeColor="text1"/>
          </w:rPr>
          <w:t>表</w:t>
        </w:r>
        <w:r w:rsidR="00890ECB" w:rsidRPr="00687B52">
          <w:rPr>
            <w:rStyle w:val="ad"/>
            <w:noProof/>
            <w:color w:val="000000" w:themeColor="text1"/>
          </w:rPr>
          <w:t xml:space="preserve">3.2.1 </w:t>
        </w:r>
        <w:r w:rsidR="00890ECB" w:rsidRPr="00687B52">
          <w:rPr>
            <w:rStyle w:val="ad"/>
            <w:rFonts w:hint="eastAsia"/>
            <w:noProof/>
            <w:color w:val="000000" w:themeColor="text1"/>
          </w:rPr>
          <w:t>不同耐火等级厂房和仓库建筑构件的燃烧性能和耐火极限</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_Toc493857120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515</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21" w:history="1">
        <w:r w:rsidR="00890ECB" w:rsidRPr="00687B52">
          <w:rPr>
            <w:rStyle w:val="ad"/>
            <w:rFonts w:hint="eastAsia"/>
            <w:noProof/>
            <w:color w:val="000000" w:themeColor="text1"/>
          </w:rPr>
          <w:t>表</w:t>
        </w:r>
        <w:r w:rsidR="00890ECB" w:rsidRPr="00687B52">
          <w:rPr>
            <w:rStyle w:val="ad"/>
            <w:noProof/>
            <w:color w:val="000000" w:themeColor="text1"/>
          </w:rPr>
          <w:t xml:space="preserve">3.3.1 </w:t>
        </w:r>
        <w:r w:rsidR="00890ECB" w:rsidRPr="00687B52">
          <w:rPr>
            <w:rStyle w:val="ad"/>
            <w:rFonts w:hint="eastAsia"/>
            <w:noProof/>
            <w:color w:val="000000" w:themeColor="text1"/>
          </w:rPr>
          <w:t>厂房的层数和每个防火分区的最大允许建筑面积</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_Toc493857121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516</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22" w:history="1">
        <w:r w:rsidR="00890ECB" w:rsidRPr="00687B52">
          <w:rPr>
            <w:rStyle w:val="ad"/>
            <w:rFonts w:hint="eastAsia"/>
            <w:noProof/>
            <w:color w:val="000000" w:themeColor="text1"/>
          </w:rPr>
          <w:t>表</w:t>
        </w:r>
        <w:r w:rsidR="00890ECB" w:rsidRPr="00687B52">
          <w:rPr>
            <w:rStyle w:val="ad"/>
            <w:noProof/>
            <w:color w:val="000000" w:themeColor="text1"/>
          </w:rPr>
          <w:t xml:space="preserve">3.3.2 </w:t>
        </w:r>
        <w:r w:rsidR="00890ECB" w:rsidRPr="00687B52">
          <w:rPr>
            <w:rStyle w:val="ad"/>
            <w:rFonts w:hint="eastAsia"/>
            <w:noProof/>
            <w:color w:val="000000" w:themeColor="text1"/>
          </w:rPr>
          <w:t>仓库的层数和面积</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_Toc493857122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517</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23" w:history="1">
        <w:r w:rsidR="00890ECB" w:rsidRPr="00687B52">
          <w:rPr>
            <w:rStyle w:val="ad"/>
            <w:rFonts w:hint="eastAsia"/>
            <w:noProof/>
            <w:color w:val="000000" w:themeColor="text1"/>
          </w:rPr>
          <w:t>表</w:t>
        </w:r>
        <w:r w:rsidR="00890ECB" w:rsidRPr="00687B52">
          <w:rPr>
            <w:rStyle w:val="ad"/>
            <w:noProof/>
            <w:color w:val="000000" w:themeColor="text1"/>
          </w:rPr>
          <w:t>3.4.1</w:t>
        </w:r>
        <w:r w:rsidR="00890ECB" w:rsidRPr="00687B52">
          <w:rPr>
            <w:rStyle w:val="ad"/>
            <w:rFonts w:hint="eastAsia"/>
            <w:noProof/>
            <w:color w:val="000000" w:themeColor="text1"/>
          </w:rPr>
          <w:t>厂房之间及与乙、丙、丁、戊类仓库、民用建筑等的防火间距（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_Toc493857123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518</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24" w:history="1">
        <w:r w:rsidR="00890ECB" w:rsidRPr="00687B52">
          <w:rPr>
            <w:rStyle w:val="ad"/>
            <w:rFonts w:hint="eastAsia"/>
            <w:noProof/>
            <w:color w:val="000000" w:themeColor="text1"/>
          </w:rPr>
          <w:t>表</w:t>
        </w:r>
        <w:r w:rsidR="00890ECB" w:rsidRPr="00687B52">
          <w:rPr>
            <w:rStyle w:val="ad"/>
            <w:noProof/>
            <w:color w:val="000000" w:themeColor="text1"/>
          </w:rPr>
          <w:t>3.4.3</w:t>
        </w:r>
        <w:r w:rsidR="00890ECB" w:rsidRPr="00687B52">
          <w:rPr>
            <w:rStyle w:val="ad"/>
            <w:rFonts w:hint="eastAsia"/>
            <w:noProof/>
            <w:color w:val="000000" w:themeColor="text1"/>
          </w:rPr>
          <w:t>散发可燃气体、可燃蒸汽的甲类厂房与铁路、道路等的防火间距（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_Toc493857124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519</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25" w:history="1">
        <w:r w:rsidR="00890ECB" w:rsidRPr="00687B52">
          <w:rPr>
            <w:rStyle w:val="ad"/>
            <w:rFonts w:hint="eastAsia"/>
            <w:noProof/>
            <w:color w:val="000000" w:themeColor="text1"/>
          </w:rPr>
          <w:t>表</w:t>
        </w:r>
        <w:r w:rsidR="00890ECB" w:rsidRPr="00687B52">
          <w:rPr>
            <w:rStyle w:val="ad"/>
            <w:noProof/>
            <w:color w:val="000000" w:themeColor="text1"/>
          </w:rPr>
          <w:t>3.5.1</w:t>
        </w:r>
        <w:r w:rsidR="00890ECB" w:rsidRPr="00687B52">
          <w:rPr>
            <w:rStyle w:val="ad"/>
            <w:rFonts w:hint="eastAsia"/>
            <w:noProof/>
            <w:color w:val="000000" w:themeColor="text1"/>
          </w:rPr>
          <w:t>甲类仓库之间及与其他建筑、明火或散发火花地点、铁路、道路等的防火间距（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_Toc493857125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519</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26" w:history="1">
        <w:r w:rsidR="00890ECB" w:rsidRPr="00687B52">
          <w:rPr>
            <w:rStyle w:val="ad"/>
            <w:rFonts w:hint="eastAsia"/>
            <w:noProof/>
            <w:color w:val="000000" w:themeColor="text1"/>
          </w:rPr>
          <w:t>表</w:t>
        </w:r>
        <w:r w:rsidR="00890ECB" w:rsidRPr="00687B52">
          <w:rPr>
            <w:rStyle w:val="ad"/>
            <w:noProof/>
            <w:color w:val="000000" w:themeColor="text1"/>
          </w:rPr>
          <w:t>3.5.2</w:t>
        </w:r>
        <w:r w:rsidR="00890ECB" w:rsidRPr="00687B52">
          <w:rPr>
            <w:rStyle w:val="ad"/>
            <w:rFonts w:hint="eastAsia"/>
            <w:noProof/>
            <w:color w:val="000000" w:themeColor="text1"/>
          </w:rPr>
          <w:t>乙、丙、丁、戊类仓库之间及与民用建筑等的防火间距（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_Toc493857126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520</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27" w:history="1">
        <w:r w:rsidR="00890ECB" w:rsidRPr="00687B52">
          <w:rPr>
            <w:rStyle w:val="ad"/>
            <w:rFonts w:hint="eastAsia"/>
            <w:noProof/>
            <w:color w:val="000000" w:themeColor="text1"/>
          </w:rPr>
          <w:t>表</w:t>
        </w:r>
        <w:r w:rsidR="00890ECB" w:rsidRPr="00687B52">
          <w:rPr>
            <w:rStyle w:val="ad"/>
            <w:noProof/>
            <w:color w:val="000000" w:themeColor="text1"/>
          </w:rPr>
          <w:t>4.2.1</w:t>
        </w:r>
        <w:r w:rsidR="00890ECB" w:rsidRPr="00687B52">
          <w:rPr>
            <w:rStyle w:val="ad"/>
            <w:rFonts w:hint="eastAsia"/>
            <w:noProof/>
            <w:color w:val="000000" w:themeColor="text1"/>
          </w:rPr>
          <w:t>甲、乙、丙类液体储罐（区）和乙、丙类液体桶装堆场与其他建筑的防火间距（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_Toc493857127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521</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28" w:history="1">
        <w:r w:rsidR="00890ECB" w:rsidRPr="00687B52">
          <w:rPr>
            <w:rStyle w:val="ad"/>
            <w:rFonts w:hint="eastAsia"/>
            <w:noProof/>
            <w:color w:val="000000" w:themeColor="text1"/>
          </w:rPr>
          <w:t>表</w:t>
        </w:r>
        <w:r w:rsidR="00890ECB" w:rsidRPr="00687B52">
          <w:rPr>
            <w:rStyle w:val="ad"/>
            <w:noProof/>
            <w:color w:val="000000" w:themeColor="text1"/>
          </w:rPr>
          <w:t>4.2.2</w:t>
        </w:r>
        <w:r w:rsidR="00890ECB" w:rsidRPr="00687B52">
          <w:rPr>
            <w:rStyle w:val="ad"/>
            <w:rFonts w:hint="eastAsia"/>
            <w:noProof/>
            <w:color w:val="000000" w:themeColor="text1"/>
          </w:rPr>
          <w:t>甲、乙、丙类液体储罐之间的防火间距（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_Toc493857128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522</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29" w:history="1">
        <w:r w:rsidR="00890ECB" w:rsidRPr="00687B52">
          <w:rPr>
            <w:rStyle w:val="ad"/>
            <w:rFonts w:hint="eastAsia"/>
            <w:noProof/>
            <w:color w:val="000000" w:themeColor="text1"/>
          </w:rPr>
          <w:t>表</w:t>
        </w:r>
        <w:r w:rsidR="00890ECB" w:rsidRPr="00687B52">
          <w:rPr>
            <w:rStyle w:val="ad"/>
            <w:noProof/>
            <w:color w:val="000000" w:themeColor="text1"/>
          </w:rPr>
          <w:t>4.2.3</w:t>
        </w:r>
        <w:r w:rsidR="00890ECB" w:rsidRPr="00687B52">
          <w:rPr>
            <w:rStyle w:val="ad"/>
            <w:rFonts w:hint="eastAsia"/>
            <w:noProof/>
            <w:color w:val="000000" w:themeColor="text1"/>
          </w:rPr>
          <w:t>甲、乙、丙类液体储罐分组布置的最大容量</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_Toc493857129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522</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30" w:history="1">
        <w:r w:rsidR="00890ECB" w:rsidRPr="00687B52">
          <w:rPr>
            <w:rStyle w:val="ad"/>
            <w:rFonts w:hint="eastAsia"/>
            <w:noProof/>
            <w:color w:val="000000" w:themeColor="text1"/>
          </w:rPr>
          <w:t>表</w:t>
        </w:r>
        <w:r w:rsidR="00890ECB" w:rsidRPr="00687B52">
          <w:rPr>
            <w:rStyle w:val="ad"/>
            <w:noProof/>
            <w:color w:val="000000" w:themeColor="text1"/>
          </w:rPr>
          <w:t xml:space="preserve">4.2.7 </w:t>
        </w:r>
        <w:r w:rsidR="00890ECB" w:rsidRPr="00687B52">
          <w:rPr>
            <w:rStyle w:val="ad"/>
            <w:rFonts w:hint="eastAsia"/>
            <w:noProof/>
            <w:color w:val="000000" w:themeColor="text1"/>
          </w:rPr>
          <w:t>甲、乙、丙类液体储罐与其泵房、装卸鹤管的防火间距（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_Toc493857130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522</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31" w:history="1">
        <w:r w:rsidR="00890ECB" w:rsidRPr="00687B52">
          <w:rPr>
            <w:rStyle w:val="ad"/>
            <w:rFonts w:hint="eastAsia"/>
            <w:noProof/>
            <w:color w:val="000000" w:themeColor="text1"/>
          </w:rPr>
          <w:t>表</w:t>
        </w:r>
        <w:r w:rsidR="00890ECB" w:rsidRPr="00687B52">
          <w:rPr>
            <w:rStyle w:val="ad"/>
            <w:noProof/>
            <w:color w:val="000000" w:themeColor="text1"/>
          </w:rPr>
          <w:t>4.2.8</w:t>
        </w:r>
        <w:r w:rsidR="00890ECB" w:rsidRPr="00687B52">
          <w:rPr>
            <w:rStyle w:val="ad"/>
            <w:rFonts w:hint="eastAsia"/>
            <w:noProof/>
            <w:color w:val="000000" w:themeColor="text1"/>
          </w:rPr>
          <w:t>甲、乙、丙类液体装卸鹤管与建筑物、厂内铁路线的防火间距（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_Toc493857131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523</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32" w:history="1">
        <w:r w:rsidR="00890ECB" w:rsidRPr="00687B52">
          <w:rPr>
            <w:rStyle w:val="ad"/>
            <w:rFonts w:hint="eastAsia"/>
            <w:noProof/>
            <w:color w:val="000000" w:themeColor="text1"/>
          </w:rPr>
          <w:t>表</w:t>
        </w:r>
        <w:r w:rsidR="00890ECB" w:rsidRPr="00687B52">
          <w:rPr>
            <w:rStyle w:val="ad"/>
            <w:noProof/>
            <w:color w:val="000000" w:themeColor="text1"/>
          </w:rPr>
          <w:t>4.2.9</w:t>
        </w:r>
        <w:r w:rsidR="00890ECB" w:rsidRPr="00687B52">
          <w:rPr>
            <w:rStyle w:val="ad"/>
            <w:rFonts w:hint="eastAsia"/>
            <w:noProof/>
            <w:color w:val="000000" w:themeColor="text1"/>
          </w:rPr>
          <w:t>甲、乙、丙类液体储罐与铁路、道路等的防火间距（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_Toc493857132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523</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33" w:history="1">
        <w:r w:rsidR="00890ECB" w:rsidRPr="00687B52">
          <w:rPr>
            <w:rStyle w:val="ad"/>
            <w:rFonts w:hint="eastAsia"/>
            <w:noProof/>
            <w:color w:val="000000" w:themeColor="text1"/>
          </w:rPr>
          <w:t>表</w:t>
        </w:r>
        <w:r w:rsidR="00890ECB" w:rsidRPr="00687B52">
          <w:rPr>
            <w:rStyle w:val="ad"/>
            <w:noProof/>
            <w:color w:val="000000" w:themeColor="text1"/>
          </w:rPr>
          <w:t xml:space="preserve">4.3.1 </w:t>
        </w:r>
        <w:r w:rsidR="00890ECB" w:rsidRPr="00687B52">
          <w:rPr>
            <w:rStyle w:val="ad"/>
            <w:rFonts w:hint="eastAsia"/>
            <w:noProof/>
            <w:color w:val="000000" w:themeColor="text1"/>
          </w:rPr>
          <w:t>湿式可燃气体储罐与建筑物、储罐、堆场等的防火间距（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_Toc493857133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524</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34" w:history="1">
        <w:r w:rsidR="00890ECB" w:rsidRPr="00687B52">
          <w:rPr>
            <w:rStyle w:val="ad"/>
            <w:rFonts w:hint="eastAsia"/>
            <w:noProof/>
            <w:color w:val="000000" w:themeColor="text1"/>
          </w:rPr>
          <w:t>表</w:t>
        </w:r>
        <w:r w:rsidR="00890ECB" w:rsidRPr="00687B52">
          <w:rPr>
            <w:rStyle w:val="ad"/>
            <w:noProof/>
            <w:color w:val="000000" w:themeColor="text1"/>
          </w:rPr>
          <w:t>4.3.6</w:t>
        </w:r>
        <w:r w:rsidR="00890ECB" w:rsidRPr="00687B52">
          <w:rPr>
            <w:rStyle w:val="ad"/>
            <w:rFonts w:hint="eastAsia"/>
            <w:noProof/>
            <w:color w:val="000000" w:themeColor="text1"/>
          </w:rPr>
          <w:t>可燃、助燃气体储罐与铁路、道路等的防火间距（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_Toc493857134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525</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35" w:history="1">
        <w:r w:rsidR="00890ECB" w:rsidRPr="00687B52">
          <w:rPr>
            <w:rStyle w:val="ad"/>
            <w:rFonts w:hint="eastAsia"/>
            <w:noProof/>
            <w:color w:val="000000" w:themeColor="text1"/>
          </w:rPr>
          <w:t>表</w:t>
        </w:r>
        <w:r w:rsidR="00890ECB" w:rsidRPr="00687B52">
          <w:rPr>
            <w:rStyle w:val="ad"/>
            <w:noProof/>
            <w:color w:val="000000" w:themeColor="text1"/>
          </w:rPr>
          <w:t>10.2.1</w:t>
        </w:r>
        <w:r w:rsidR="00890ECB" w:rsidRPr="00687B52">
          <w:rPr>
            <w:rStyle w:val="ad"/>
            <w:rFonts w:hint="eastAsia"/>
            <w:noProof/>
            <w:color w:val="000000" w:themeColor="text1"/>
          </w:rPr>
          <w:t>架空电力线与甲、乙类厂房（仓库）、可燃材料堆垛等的最近水平距离（</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_Toc493857135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525</w:t>
        </w:r>
        <w:r w:rsidR="003912E3" w:rsidRPr="00687B52">
          <w:rPr>
            <w:noProof/>
            <w:webHidden/>
            <w:color w:val="000000" w:themeColor="text1"/>
          </w:rPr>
          <w:fldChar w:fldCharType="end"/>
        </w:r>
      </w:hyperlink>
    </w:p>
    <w:p w:rsidR="00890ECB" w:rsidRPr="00687B52" w:rsidRDefault="00F54DF7" w:rsidP="00890ECB">
      <w:pPr>
        <w:pStyle w:val="22"/>
        <w:tabs>
          <w:tab w:val="right" w:leader="dot" w:pos="9174"/>
        </w:tabs>
        <w:ind w:left="420"/>
        <w:rPr>
          <w:noProof/>
          <w:color w:val="000000" w:themeColor="text1"/>
          <w:sz w:val="21"/>
        </w:rPr>
      </w:pPr>
      <w:hyperlink w:anchor="_Toc493857136" w:history="1">
        <w:r w:rsidR="00890ECB" w:rsidRPr="00687B52">
          <w:rPr>
            <w:rStyle w:val="ad"/>
            <w:rFonts w:hint="eastAsia"/>
            <w:noProof/>
            <w:color w:val="000000" w:themeColor="text1"/>
          </w:rPr>
          <w:t>表</w:t>
        </w:r>
        <w:r w:rsidR="00890ECB" w:rsidRPr="00687B52">
          <w:rPr>
            <w:rStyle w:val="ad"/>
            <w:noProof/>
            <w:color w:val="000000" w:themeColor="text1"/>
          </w:rPr>
          <w:t xml:space="preserve">4.4.1 </w:t>
        </w:r>
        <w:r w:rsidR="00890ECB" w:rsidRPr="00687B52">
          <w:rPr>
            <w:rStyle w:val="ad"/>
            <w:rFonts w:hint="eastAsia"/>
            <w:noProof/>
            <w:color w:val="000000" w:themeColor="text1"/>
          </w:rPr>
          <w:t>液化石油气供应基地的全压式和半冷冻式储罐（区）与明火或散发火花地点和基地外建筑等的防火间距（</w:t>
        </w:r>
        <w:r w:rsidR="00890ECB" w:rsidRPr="00687B52">
          <w:rPr>
            <w:rStyle w:val="ad"/>
            <w:noProof/>
            <w:color w:val="000000" w:themeColor="text1"/>
          </w:rPr>
          <w:t>m</w:t>
        </w:r>
        <w:r w:rsidR="00890ECB" w:rsidRPr="00687B52">
          <w:rPr>
            <w:rStyle w:val="ad"/>
            <w:rFonts w:hint="eastAsia"/>
            <w:noProof/>
            <w:color w:val="000000" w:themeColor="text1"/>
          </w:rPr>
          <w:t>）</w:t>
        </w:r>
        <w:r w:rsidR="00890ECB" w:rsidRPr="00687B52">
          <w:rPr>
            <w:noProof/>
            <w:webHidden/>
            <w:color w:val="000000" w:themeColor="text1"/>
          </w:rPr>
          <w:tab/>
        </w:r>
        <w:r w:rsidR="003912E3" w:rsidRPr="00687B52">
          <w:rPr>
            <w:noProof/>
            <w:webHidden/>
            <w:color w:val="000000" w:themeColor="text1"/>
          </w:rPr>
          <w:fldChar w:fldCharType="begin"/>
        </w:r>
        <w:r w:rsidR="00890ECB" w:rsidRPr="00687B52">
          <w:rPr>
            <w:noProof/>
            <w:webHidden/>
            <w:color w:val="000000" w:themeColor="text1"/>
          </w:rPr>
          <w:instrText xml:space="preserve"> PAGEREF _Toc493857136 \h </w:instrText>
        </w:r>
        <w:r w:rsidR="003912E3" w:rsidRPr="00687B52">
          <w:rPr>
            <w:noProof/>
            <w:webHidden/>
            <w:color w:val="000000" w:themeColor="text1"/>
          </w:rPr>
        </w:r>
        <w:r w:rsidR="003912E3" w:rsidRPr="00687B52">
          <w:rPr>
            <w:noProof/>
            <w:webHidden/>
            <w:color w:val="000000" w:themeColor="text1"/>
          </w:rPr>
          <w:fldChar w:fldCharType="separate"/>
        </w:r>
        <w:r w:rsidR="001A4A59">
          <w:rPr>
            <w:noProof/>
            <w:webHidden/>
            <w:color w:val="000000" w:themeColor="text1"/>
          </w:rPr>
          <w:t>526</w:t>
        </w:r>
        <w:r w:rsidR="003912E3" w:rsidRPr="00687B52">
          <w:rPr>
            <w:noProof/>
            <w:webHidden/>
            <w:color w:val="000000" w:themeColor="text1"/>
          </w:rPr>
          <w:fldChar w:fldCharType="end"/>
        </w:r>
      </w:hyperlink>
    </w:p>
    <w:p w:rsidR="00515E8A" w:rsidRPr="00687B52" w:rsidRDefault="003912E3" w:rsidP="00481EDB">
      <w:pPr>
        <w:spacing w:line="320" w:lineRule="exact"/>
        <w:rPr>
          <w:color w:val="000000" w:themeColor="text1"/>
          <w:sz w:val="24"/>
          <w:szCs w:val="24"/>
        </w:rPr>
      </w:pPr>
      <w:r w:rsidRPr="00687B52">
        <w:rPr>
          <w:color w:val="000000" w:themeColor="text1"/>
          <w:sz w:val="24"/>
          <w:szCs w:val="24"/>
        </w:rPr>
        <w:fldChar w:fldCharType="end"/>
      </w:r>
    </w:p>
    <w:p w:rsidR="00515E8A" w:rsidRPr="00687B52" w:rsidRDefault="00515E8A" w:rsidP="00481EDB">
      <w:pPr>
        <w:spacing w:line="320" w:lineRule="exact"/>
        <w:rPr>
          <w:color w:val="000000" w:themeColor="text1"/>
          <w:sz w:val="24"/>
          <w:szCs w:val="24"/>
        </w:rPr>
        <w:sectPr w:rsidR="00515E8A" w:rsidRPr="00687B52" w:rsidSect="00D22E6D">
          <w:footerReference w:type="default" r:id="rId122"/>
          <w:pgSz w:w="11906" w:h="16838"/>
          <w:pgMar w:top="1418" w:right="1134" w:bottom="1134" w:left="1588" w:header="851" w:footer="907" w:gutter="0"/>
          <w:cols w:space="425"/>
          <w:docGrid w:type="lines" w:linePitch="312"/>
        </w:sectPr>
      </w:pPr>
    </w:p>
    <w:p w:rsidR="00481EDB" w:rsidRPr="00687B52" w:rsidRDefault="00481EDB" w:rsidP="00763863">
      <w:pPr>
        <w:pStyle w:val="aff2"/>
        <w:ind w:firstLine="562"/>
        <w:rPr>
          <w:color w:val="000000" w:themeColor="text1"/>
        </w:rPr>
      </w:pPr>
      <w:bookmarkStart w:id="97" w:name="_Toc491870807"/>
      <w:bookmarkStart w:id="98" w:name="_Toc492555575"/>
      <w:bookmarkStart w:id="99" w:name="_Toc492557258"/>
      <w:bookmarkStart w:id="100" w:name="_Toc492557328"/>
      <w:bookmarkStart w:id="101" w:name="_Toc492557591"/>
      <w:bookmarkStart w:id="102" w:name="_Toc492557960"/>
      <w:bookmarkStart w:id="103" w:name="_Toc492559533"/>
      <w:bookmarkStart w:id="104" w:name="_Toc492563461"/>
      <w:bookmarkStart w:id="105" w:name="_Toc492564080"/>
      <w:bookmarkStart w:id="106" w:name="_Toc492634913"/>
      <w:bookmarkStart w:id="107" w:name="_Toc493857062"/>
      <w:r w:rsidRPr="00687B52">
        <w:rPr>
          <w:rFonts w:hint="eastAsia"/>
          <w:color w:val="000000" w:themeColor="text1"/>
          <w:szCs w:val="52"/>
        </w:rPr>
        <w:t>附</w:t>
      </w:r>
      <w:r w:rsidR="00980275" w:rsidRPr="00687B52">
        <w:rPr>
          <w:rFonts w:hint="eastAsia"/>
          <w:color w:val="000000" w:themeColor="text1"/>
          <w:szCs w:val="52"/>
        </w:rPr>
        <w:t>2</w:t>
      </w:r>
      <w:r w:rsidRPr="00687B52">
        <w:rPr>
          <w:rFonts w:hint="eastAsia"/>
          <w:color w:val="000000" w:themeColor="text1"/>
          <w:szCs w:val="52"/>
        </w:rPr>
        <w:t>.1</w:t>
      </w:r>
      <w:bookmarkStart w:id="108" w:name="_Toc491788000"/>
      <w:r w:rsidRPr="00687B52">
        <w:rPr>
          <w:rFonts w:hint="eastAsia"/>
          <w:color w:val="000000" w:themeColor="text1"/>
          <w:szCs w:val="52"/>
        </w:rPr>
        <w:t>《</w:t>
      </w:r>
      <w:r w:rsidRPr="00687B52">
        <w:rPr>
          <w:rFonts w:hint="eastAsia"/>
          <w:color w:val="000000" w:themeColor="text1"/>
        </w:rPr>
        <w:t>国家安全生产监督管理总局中华人民共和国公安部中华人民共和国农业部公告</w:t>
      </w:r>
      <w:r w:rsidRPr="00687B52">
        <w:rPr>
          <w:rFonts w:hint="eastAsia"/>
          <w:color w:val="000000" w:themeColor="text1"/>
        </w:rPr>
        <w:t>2013</w:t>
      </w:r>
      <w:r w:rsidRPr="00687B52">
        <w:rPr>
          <w:rFonts w:hint="eastAsia"/>
          <w:color w:val="000000" w:themeColor="text1"/>
        </w:rPr>
        <w:t>年第</w:t>
      </w:r>
      <w:r w:rsidRPr="00687B52">
        <w:rPr>
          <w:rFonts w:hint="eastAsia"/>
          <w:color w:val="000000" w:themeColor="text1"/>
        </w:rPr>
        <w:t>9</w:t>
      </w:r>
      <w:r w:rsidRPr="00687B52">
        <w:rPr>
          <w:rFonts w:hint="eastAsia"/>
          <w:color w:val="000000" w:themeColor="text1"/>
        </w:rPr>
        <w:t>号</w:t>
      </w:r>
      <w:bookmarkEnd w:id="108"/>
      <w:r w:rsidRPr="00687B52">
        <w:rPr>
          <w:rFonts w:hint="eastAsia"/>
          <w:color w:val="000000" w:themeColor="text1"/>
        </w:rPr>
        <w:t>》有关要求</w:t>
      </w:r>
      <w:bookmarkEnd w:id="97"/>
      <w:bookmarkEnd w:id="98"/>
      <w:bookmarkEnd w:id="99"/>
      <w:bookmarkEnd w:id="100"/>
      <w:bookmarkEnd w:id="101"/>
      <w:bookmarkEnd w:id="102"/>
      <w:bookmarkEnd w:id="103"/>
      <w:bookmarkEnd w:id="104"/>
      <w:bookmarkEnd w:id="105"/>
      <w:bookmarkEnd w:id="106"/>
      <w:bookmarkEnd w:id="107"/>
    </w:p>
    <w:p w:rsidR="00481EDB" w:rsidRPr="00687B52" w:rsidRDefault="00481EDB" w:rsidP="00515E8A">
      <w:pPr>
        <w:pStyle w:val="afd"/>
        <w:rPr>
          <w:color w:val="000000" w:themeColor="text1"/>
        </w:rPr>
      </w:pPr>
      <w:bookmarkStart w:id="109" w:name="_Toc491870808"/>
      <w:bookmarkStart w:id="110" w:name="_Toc492563462"/>
      <w:bookmarkStart w:id="111" w:name="_Toc493857063"/>
      <w:r w:rsidRPr="00687B52">
        <w:rPr>
          <w:rFonts w:hint="eastAsia"/>
          <w:color w:val="000000" w:themeColor="text1"/>
        </w:rPr>
        <w:t>危险化学品使用量的数量标（</w:t>
      </w:r>
      <w:r w:rsidRPr="00687B52">
        <w:rPr>
          <w:rFonts w:hint="eastAsia"/>
          <w:color w:val="000000" w:themeColor="text1"/>
        </w:rPr>
        <w:t>2013</w:t>
      </w:r>
      <w:r w:rsidRPr="00687B52">
        <w:rPr>
          <w:rFonts w:hint="eastAsia"/>
          <w:color w:val="000000" w:themeColor="text1"/>
        </w:rPr>
        <w:t>年版）</w:t>
      </w:r>
      <w:bookmarkEnd w:id="109"/>
      <w:bookmarkEnd w:id="110"/>
      <w:bookmarkEnd w:id="111"/>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198"/>
        <w:gridCol w:w="2196"/>
        <w:gridCol w:w="2229"/>
        <w:gridCol w:w="2222"/>
      </w:tblGrid>
      <w:tr w:rsidR="00481EDB" w:rsidRPr="00687B52" w:rsidTr="00B527D4">
        <w:trPr>
          <w:trHeight w:val="705"/>
          <w:tblHeader/>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br w:type="page"/>
            </w:r>
            <w:r w:rsidRPr="00687B52">
              <w:rPr>
                <w:rFonts w:hint="eastAsia"/>
                <w:color w:val="000000" w:themeColor="text1"/>
              </w:rPr>
              <w:t>序号</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化学品名称</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别名</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最低年设计使用量（吨</w:t>
            </w:r>
            <w:r w:rsidRPr="00687B52">
              <w:rPr>
                <w:rFonts w:hint="eastAsia"/>
                <w:color w:val="000000" w:themeColor="text1"/>
              </w:rPr>
              <w:t>/</w:t>
            </w:r>
            <w:r w:rsidRPr="00687B52">
              <w:rPr>
                <w:rFonts w:hint="eastAsia"/>
                <w:color w:val="000000" w:themeColor="text1"/>
              </w:rPr>
              <w:t>年）</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CAS</w:t>
            </w:r>
            <w:r w:rsidRPr="00687B52">
              <w:rPr>
                <w:rFonts w:hint="eastAsia"/>
                <w:color w:val="000000" w:themeColor="text1"/>
              </w:rPr>
              <w:t>号</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bookmarkStart w:id="112" w:name="_Hlk301335813"/>
            <w:r w:rsidRPr="00687B52">
              <w:rPr>
                <w:rFonts w:hint="eastAsia"/>
                <w:color w:val="000000" w:themeColor="text1"/>
              </w:rPr>
              <w:t>1</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氯</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液氯、氯气</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7782-50-5</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2</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氨</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液氨、氨气</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360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7664-41-7</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3</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液化石油气</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68476-85-7</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4</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硫化氢</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7783-06-4</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5</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甲烷、天然气</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74-82-8</w:t>
            </w:r>
            <w:r w:rsidRPr="00687B52">
              <w:rPr>
                <w:rFonts w:hint="eastAsia"/>
                <w:color w:val="000000" w:themeColor="text1"/>
              </w:rPr>
              <w:t>（甲烷）</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6</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原油</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180000</w:t>
            </w:r>
          </w:p>
        </w:tc>
        <w:tc>
          <w:tcPr>
            <w:tcW w:w="2222" w:type="dxa"/>
            <w:vAlign w:val="center"/>
          </w:tcPr>
          <w:p w:rsidR="00481EDB" w:rsidRPr="00687B52" w:rsidRDefault="00481EDB" w:rsidP="00B527D4">
            <w:pPr>
              <w:pStyle w:val="a7"/>
              <w:rPr>
                <w:color w:val="000000" w:themeColor="text1"/>
              </w:rPr>
            </w:pP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7</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汽油（含甲醇汽油、乙醇汽油）、石脑油</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7300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8006-61-9</w:t>
            </w:r>
          </w:p>
          <w:p w:rsidR="00481EDB" w:rsidRPr="00687B52" w:rsidRDefault="00481EDB" w:rsidP="00B527D4">
            <w:pPr>
              <w:pStyle w:val="a7"/>
              <w:rPr>
                <w:color w:val="000000" w:themeColor="text1"/>
              </w:rPr>
            </w:pPr>
            <w:r w:rsidRPr="00687B52">
              <w:rPr>
                <w:rFonts w:hint="eastAsia"/>
                <w:color w:val="000000" w:themeColor="text1"/>
              </w:rPr>
              <w:t>（汽油）</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8</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氢</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氢气</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1333-74-0</w:t>
            </w:r>
          </w:p>
        </w:tc>
      </w:tr>
      <w:tr w:rsidR="00481EDB" w:rsidRPr="00687B52" w:rsidTr="00B527D4">
        <w:trPr>
          <w:trHeight w:val="70"/>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9</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苯（含粗苯）</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71-43-2</w:t>
            </w:r>
          </w:p>
        </w:tc>
      </w:tr>
      <w:tr w:rsidR="00481EDB" w:rsidRPr="00687B52" w:rsidTr="00B527D4">
        <w:trPr>
          <w:trHeight w:val="644"/>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10</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碳酰氯</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光气</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11</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75-44-5</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11</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二氧化硫</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730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7446-09-5</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12</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一氧化碳</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360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630-08-0</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13</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甲醇</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木醇、木精</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67-56-1</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14</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丙烯腈</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氰基乙烯、乙烯基氰</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107-13-1</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15</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环氧乙烷</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氧化乙烯</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360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75-21-8</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16</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乙炔</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电石气</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40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74-86-2</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17</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氟化氢、氢氟酸</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40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7664-39-3</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18</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氯乙烯</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75-01-4</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19</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甲苯</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甲基苯、苯基</w:t>
            </w:r>
          </w:p>
          <w:p w:rsidR="00481EDB" w:rsidRPr="00687B52" w:rsidRDefault="00481EDB" w:rsidP="00B527D4">
            <w:pPr>
              <w:pStyle w:val="a7"/>
              <w:rPr>
                <w:color w:val="000000" w:themeColor="text1"/>
              </w:rPr>
            </w:pPr>
            <w:r w:rsidRPr="00687B52">
              <w:rPr>
                <w:rFonts w:hint="eastAsia"/>
                <w:color w:val="000000" w:themeColor="text1"/>
              </w:rPr>
              <w:t>甲烷</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108-88-3</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20</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氰化氢、氢氰酸</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40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74-90-8</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21</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乙烯</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74-85-1</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22</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三氯化磷</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7300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7719-12-2</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23</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硝基苯</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98-95-3</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24</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苯乙烯</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100-42-5</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25</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环氧丙烷</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360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75-56-9</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26</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一氯甲烷</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74-87-3</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27</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1</w:t>
            </w:r>
            <w:r w:rsidRPr="00687B52">
              <w:rPr>
                <w:rFonts w:hint="eastAsia"/>
                <w:color w:val="000000" w:themeColor="text1"/>
              </w:rPr>
              <w:t>，</w:t>
            </w:r>
            <w:r w:rsidRPr="00687B52">
              <w:rPr>
                <w:rFonts w:hint="eastAsia"/>
                <w:color w:val="000000" w:themeColor="text1"/>
              </w:rPr>
              <w:t>3-</w:t>
            </w:r>
            <w:r w:rsidRPr="00687B52">
              <w:rPr>
                <w:rFonts w:hint="eastAsia"/>
                <w:color w:val="000000" w:themeColor="text1"/>
              </w:rPr>
              <w:t>丁二烯</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106-99-0</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28</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硫酸二甲酯</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77-78-1</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29</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氰化钠</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143-33-9</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30</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1-</w:t>
            </w:r>
            <w:r w:rsidRPr="00687B52">
              <w:rPr>
                <w:rFonts w:hint="eastAsia"/>
                <w:color w:val="000000" w:themeColor="text1"/>
              </w:rPr>
              <w:t>丙烯、丙烯</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360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115-07-1</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31</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苯胺</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62-53-3</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32</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甲醚</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115-10-6</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33</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丙烯醛、</w:t>
            </w:r>
            <w:r w:rsidRPr="00687B52">
              <w:rPr>
                <w:rFonts w:hint="eastAsia"/>
                <w:color w:val="000000" w:themeColor="text1"/>
              </w:rPr>
              <w:t>2-</w:t>
            </w:r>
            <w:r w:rsidRPr="00687B52">
              <w:rPr>
                <w:rFonts w:hint="eastAsia"/>
                <w:color w:val="000000" w:themeColor="text1"/>
              </w:rPr>
              <w:t>丙烯醛</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730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107-02-8</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34</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氯苯</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108-90-7</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35</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乙酸乙烯酯</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36000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108-05-4</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36</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二甲胺</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360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124-40-3</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37</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苯酚</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石炭酸</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2700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108-95-2</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38</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四氯化钛</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2700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7550-45-0</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39</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甲苯二异氰酸酯</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TDI</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3600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584-84-9</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40</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过氧乙酸</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过乙酸、过醋酸</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360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79-21-0</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41</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六氯环戊二烯</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77-47-4</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42</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二硫化碳</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75-15-0</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43</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乙烷</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360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74-84-0</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44</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环氧氯丙烷</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3-</w:t>
            </w:r>
            <w:r w:rsidRPr="00687B52">
              <w:rPr>
                <w:rFonts w:hint="eastAsia"/>
                <w:color w:val="000000" w:themeColor="text1"/>
              </w:rPr>
              <w:t>氯</w:t>
            </w:r>
            <w:r w:rsidRPr="00687B52">
              <w:rPr>
                <w:rFonts w:hint="eastAsia"/>
                <w:color w:val="000000" w:themeColor="text1"/>
              </w:rPr>
              <w:t>-1,2-</w:t>
            </w:r>
            <w:r w:rsidRPr="00687B52">
              <w:rPr>
                <w:rFonts w:hint="eastAsia"/>
                <w:color w:val="000000" w:themeColor="text1"/>
              </w:rPr>
              <w:t>环氧丙烷</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730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106-89-8</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45</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丙酮氰醇</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2-</w:t>
            </w:r>
            <w:r w:rsidRPr="00687B52">
              <w:rPr>
                <w:rFonts w:hint="eastAsia"/>
                <w:color w:val="000000" w:themeColor="text1"/>
              </w:rPr>
              <w:t>甲基</w:t>
            </w:r>
            <w:r w:rsidRPr="00687B52">
              <w:rPr>
                <w:rFonts w:hint="eastAsia"/>
                <w:color w:val="000000" w:themeColor="text1"/>
              </w:rPr>
              <w:t>-2-</w:t>
            </w:r>
            <w:r w:rsidRPr="00687B52">
              <w:rPr>
                <w:rFonts w:hint="eastAsia"/>
                <w:color w:val="000000" w:themeColor="text1"/>
              </w:rPr>
              <w:t>羟基丙腈</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730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75-86-5</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46</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磷化氢</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膦</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40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7803-51-2</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47</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氯甲基甲醚</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107-30-2</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48</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三氟化硼</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7637-07-2</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49</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烯丙胺</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3-</w:t>
            </w:r>
            <w:r w:rsidRPr="00687B52">
              <w:rPr>
                <w:rFonts w:hint="eastAsia"/>
                <w:color w:val="000000" w:themeColor="text1"/>
              </w:rPr>
              <w:t>氨基丙烯</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730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107-11-9</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50</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异氰酸甲酯</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甲基异氰酸酯</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30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624-83-9</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51</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甲基叔丁基醚</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36000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1634-04-4</w:t>
            </w:r>
          </w:p>
        </w:tc>
      </w:tr>
      <w:tr w:rsidR="00481EDB" w:rsidRPr="00687B52" w:rsidTr="00B527D4">
        <w:trPr>
          <w:trHeight w:val="758"/>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52</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乙酸乙酯</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141-78-6</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53</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丙烯酸</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79-10-7</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54</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硝酸铵</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6484-52-2</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55</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三氧化硫</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硫酸酐</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2700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7446-11-9</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56</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三氯甲烷</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氯仿</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67-66-3</w:t>
            </w:r>
          </w:p>
        </w:tc>
      </w:tr>
      <w:tr w:rsidR="00481EDB" w:rsidRPr="00687B52" w:rsidTr="00B527D4">
        <w:trPr>
          <w:trHeight w:val="285"/>
          <w:jc w:val="center"/>
        </w:trPr>
        <w:tc>
          <w:tcPr>
            <w:tcW w:w="818" w:type="dxa"/>
            <w:vAlign w:val="center"/>
          </w:tcPr>
          <w:p w:rsidR="00481EDB" w:rsidRPr="00687B52" w:rsidRDefault="00481EDB" w:rsidP="00B527D4">
            <w:pPr>
              <w:pStyle w:val="a7"/>
              <w:rPr>
                <w:color w:val="000000" w:themeColor="text1"/>
              </w:rPr>
            </w:pPr>
            <w:r w:rsidRPr="00687B52">
              <w:rPr>
                <w:rFonts w:hint="eastAsia"/>
                <w:color w:val="000000" w:themeColor="text1"/>
              </w:rPr>
              <w:t>57</w:t>
            </w:r>
          </w:p>
        </w:tc>
        <w:tc>
          <w:tcPr>
            <w:tcW w:w="2198" w:type="dxa"/>
            <w:vAlign w:val="center"/>
          </w:tcPr>
          <w:p w:rsidR="00481EDB" w:rsidRPr="00687B52" w:rsidRDefault="00481EDB" w:rsidP="00B527D4">
            <w:pPr>
              <w:pStyle w:val="a7"/>
              <w:rPr>
                <w:color w:val="000000" w:themeColor="text1"/>
              </w:rPr>
            </w:pPr>
            <w:r w:rsidRPr="00687B52">
              <w:rPr>
                <w:rFonts w:hint="eastAsia"/>
                <w:color w:val="000000" w:themeColor="text1"/>
              </w:rPr>
              <w:t>甲基肼</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60-34-4</w:t>
            </w:r>
          </w:p>
        </w:tc>
      </w:tr>
      <w:tr w:rsidR="00481EDB" w:rsidRPr="00687B52" w:rsidTr="00B527D4">
        <w:trPr>
          <w:trHeight w:val="285"/>
          <w:jc w:val="center"/>
        </w:trPr>
        <w:tc>
          <w:tcPr>
            <w:tcW w:w="81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pStyle w:val="a7"/>
              <w:rPr>
                <w:color w:val="000000" w:themeColor="text1"/>
              </w:rPr>
            </w:pPr>
            <w:r w:rsidRPr="00687B52">
              <w:rPr>
                <w:rFonts w:hint="eastAsia"/>
                <w:color w:val="000000" w:themeColor="text1"/>
              </w:rPr>
              <w:t>58</w:t>
            </w:r>
          </w:p>
        </w:tc>
        <w:tc>
          <w:tcPr>
            <w:tcW w:w="2198" w:type="dxa"/>
            <w:tcBorders>
              <w:top w:val="single" w:sz="4" w:space="0" w:color="auto"/>
              <w:left w:val="single" w:sz="4" w:space="0" w:color="auto"/>
              <w:bottom w:val="single" w:sz="4" w:space="0" w:color="auto"/>
            </w:tcBorders>
            <w:vAlign w:val="center"/>
          </w:tcPr>
          <w:p w:rsidR="00481EDB" w:rsidRPr="00687B52" w:rsidRDefault="00481EDB" w:rsidP="00B527D4">
            <w:pPr>
              <w:pStyle w:val="a7"/>
              <w:rPr>
                <w:color w:val="000000" w:themeColor="text1"/>
              </w:rPr>
            </w:pPr>
            <w:r w:rsidRPr="00687B52">
              <w:rPr>
                <w:rFonts w:hint="eastAsia"/>
                <w:color w:val="000000" w:themeColor="text1"/>
              </w:rPr>
              <w:t>一甲胺</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74-89-5</w:t>
            </w:r>
          </w:p>
        </w:tc>
      </w:tr>
      <w:tr w:rsidR="00481EDB" w:rsidRPr="00687B52" w:rsidTr="00B527D4">
        <w:trPr>
          <w:trHeight w:val="285"/>
          <w:jc w:val="center"/>
        </w:trPr>
        <w:tc>
          <w:tcPr>
            <w:tcW w:w="81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pStyle w:val="a7"/>
              <w:rPr>
                <w:color w:val="000000" w:themeColor="text1"/>
              </w:rPr>
            </w:pPr>
            <w:r w:rsidRPr="00687B52">
              <w:rPr>
                <w:rFonts w:hint="eastAsia"/>
                <w:color w:val="000000" w:themeColor="text1"/>
              </w:rPr>
              <w:t>59</w:t>
            </w:r>
          </w:p>
        </w:tc>
        <w:tc>
          <w:tcPr>
            <w:tcW w:w="2198" w:type="dxa"/>
            <w:tcBorders>
              <w:top w:val="single" w:sz="4" w:space="0" w:color="auto"/>
              <w:left w:val="single" w:sz="4" w:space="0" w:color="auto"/>
              <w:bottom w:val="single" w:sz="4" w:space="0" w:color="auto"/>
            </w:tcBorders>
            <w:vAlign w:val="center"/>
          </w:tcPr>
          <w:p w:rsidR="00481EDB" w:rsidRPr="00687B52" w:rsidRDefault="00481EDB" w:rsidP="00B527D4">
            <w:pPr>
              <w:pStyle w:val="a7"/>
              <w:rPr>
                <w:color w:val="000000" w:themeColor="text1"/>
              </w:rPr>
            </w:pPr>
            <w:r w:rsidRPr="00687B52">
              <w:rPr>
                <w:rFonts w:hint="eastAsia"/>
                <w:color w:val="000000" w:themeColor="text1"/>
              </w:rPr>
              <w:t>乙醛</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360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75-07-0</w:t>
            </w:r>
          </w:p>
        </w:tc>
      </w:tr>
      <w:tr w:rsidR="00481EDB" w:rsidRPr="00687B52" w:rsidTr="00B527D4">
        <w:trPr>
          <w:trHeight w:val="285"/>
          <w:jc w:val="center"/>
        </w:trPr>
        <w:tc>
          <w:tcPr>
            <w:tcW w:w="81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pStyle w:val="a7"/>
              <w:rPr>
                <w:color w:val="000000" w:themeColor="text1"/>
              </w:rPr>
            </w:pPr>
            <w:r w:rsidRPr="00687B52">
              <w:rPr>
                <w:rFonts w:hint="eastAsia"/>
                <w:color w:val="000000" w:themeColor="text1"/>
              </w:rPr>
              <w:t>60</w:t>
            </w:r>
          </w:p>
        </w:tc>
        <w:tc>
          <w:tcPr>
            <w:tcW w:w="2198" w:type="dxa"/>
            <w:tcBorders>
              <w:top w:val="single" w:sz="4" w:space="0" w:color="auto"/>
              <w:left w:val="single" w:sz="4" w:space="0" w:color="auto"/>
              <w:bottom w:val="single" w:sz="4" w:space="0" w:color="auto"/>
            </w:tcBorders>
            <w:vAlign w:val="center"/>
          </w:tcPr>
          <w:p w:rsidR="00481EDB" w:rsidRPr="00687B52" w:rsidRDefault="00481EDB" w:rsidP="00B527D4">
            <w:pPr>
              <w:pStyle w:val="a7"/>
              <w:rPr>
                <w:color w:val="000000" w:themeColor="text1"/>
              </w:rPr>
            </w:pPr>
            <w:r w:rsidRPr="00687B52">
              <w:rPr>
                <w:rFonts w:hint="eastAsia"/>
                <w:color w:val="000000" w:themeColor="text1"/>
              </w:rPr>
              <w:t>氯甲酸三氯甲酯</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双光气</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22</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503-38-8</w:t>
            </w:r>
          </w:p>
        </w:tc>
      </w:tr>
      <w:tr w:rsidR="00481EDB" w:rsidRPr="00687B52" w:rsidTr="00B527D4">
        <w:trPr>
          <w:trHeight w:val="285"/>
          <w:jc w:val="center"/>
        </w:trPr>
        <w:tc>
          <w:tcPr>
            <w:tcW w:w="81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pStyle w:val="a7"/>
              <w:rPr>
                <w:color w:val="000000" w:themeColor="text1"/>
              </w:rPr>
            </w:pPr>
            <w:r w:rsidRPr="00687B52">
              <w:rPr>
                <w:rFonts w:hint="eastAsia"/>
                <w:color w:val="000000" w:themeColor="text1"/>
              </w:rPr>
              <w:t>61</w:t>
            </w:r>
          </w:p>
        </w:tc>
        <w:tc>
          <w:tcPr>
            <w:tcW w:w="2198" w:type="dxa"/>
            <w:tcBorders>
              <w:top w:val="single" w:sz="4" w:space="0" w:color="auto"/>
              <w:left w:val="single" w:sz="4" w:space="0" w:color="auto"/>
              <w:bottom w:val="single" w:sz="4" w:space="0" w:color="auto"/>
            </w:tcBorders>
            <w:vAlign w:val="center"/>
          </w:tcPr>
          <w:p w:rsidR="00481EDB" w:rsidRPr="00687B52" w:rsidRDefault="00481EDB" w:rsidP="00B527D4">
            <w:pPr>
              <w:pStyle w:val="a7"/>
              <w:rPr>
                <w:color w:val="000000" w:themeColor="text1"/>
              </w:rPr>
            </w:pPr>
            <w:r w:rsidRPr="00687B52">
              <w:rPr>
                <w:rFonts w:hint="eastAsia"/>
                <w:color w:val="000000" w:themeColor="text1"/>
              </w:rPr>
              <w:t>二</w:t>
            </w:r>
            <w:r w:rsidRPr="00687B52">
              <w:rPr>
                <w:rFonts w:hint="eastAsia"/>
                <w:color w:val="000000" w:themeColor="text1"/>
              </w:rPr>
              <w:t>(</w:t>
            </w:r>
            <w:r w:rsidRPr="00687B52">
              <w:rPr>
                <w:rFonts w:hint="eastAsia"/>
                <w:color w:val="000000" w:themeColor="text1"/>
              </w:rPr>
              <w:t>三氯甲基</w:t>
            </w:r>
            <w:r w:rsidRPr="00687B52">
              <w:rPr>
                <w:rFonts w:hint="eastAsia"/>
                <w:color w:val="000000" w:themeColor="text1"/>
              </w:rPr>
              <w:t>)</w:t>
            </w:r>
            <w:r w:rsidRPr="00687B52">
              <w:rPr>
                <w:rFonts w:hint="eastAsia"/>
                <w:color w:val="000000" w:themeColor="text1"/>
              </w:rPr>
              <w:t>碳酸酯</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三光气</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33</w:t>
            </w:r>
          </w:p>
        </w:tc>
        <w:tc>
          <w:tcPr>
            <w:tcW w:w="2222" w:type="dxa"/>
            <w:vAlign w:val="center"/>
          </w:tcPr>
          <w:p w:rsidR="00481EDB" w:rsidRPr="00687B52" w:rsidRDefault="00481EDB" w:rsidP="00B527D4">
            <w:pPr>
              <w:pStyle w:val="a7"/>
              <w:rPr>
                <w:color w:val="000000" w:themeColor="text1"/>
              </w:rPr>
            </w:pPr>
            <w:r w:rsidRPr="00687B52">
              <w:rPr>
                <w:color w:val="000000" w:themeColor="text1"/>
              </w:rPr>
              <w:t>32315-10-9</w:t>
            </w:r>
          </w:p>
        </w:tc>
      </w:tr>
      <w:tr w:rsidR="00481EDB" w:rsidRPr="00687B52" w:rsidTr="00B527D4">
        <w:trPr>
          <w:trHeight w:val="285"/>
          <w:jc w:val="center"/>
        </w:trPr>
        <w:tc>
          <w:tcPr>
            <w:tcW w:w="81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pStyle w:val="a7"/>
              <w:rPr>
                <w:color w:val="000000" w:themeColor="text1"/>
              </w:rPr>
            </w:pPr>
            <w:r w:rsidRPr="00687B52">
              <w:rPr>
                <w:rFonts w:hint="eastAsia"/>
                <w:color w:val="000000" w:themeColor="text1"/>
              </w:rPr>
              <w:t>62</w:t>
            </w:r>
          </w:p>
        </w:tc>
        <w:tc>
          <w:tcPr>
            <w:tcW w:w="2198" w:type="dxa"/>
            <w:tcBorders>
              <w:top w:val="single" w:sz="4" w:space="0" w:color="auto"/>
              <w:left w:val="single" w:sz="4" w:space="0" w:color="auto"/>
              <w:bottom w:val="single" w:sz="4" w:space="0" w:color="auto"/>
            </w:tcBorders>
            <w:vAlign w:val="center"/>
          </w:tcPr>
          <w:p w:rsidR="00481EDB" w:rsidRPr="00687B52" w:rsidRDefault="00481EDB" w:rsidP="00B527D4">
            <w:pPr>
              <w:pStyle w:val="a7"/>
              <w:rPr>
                <w:color w:val="000000" w:themeColor="text1"/>
              </w:rPr>
            </w:pPr>
            <w:r w:rsidRPr="00687B52">
              <w:rPr>
                <w:color w:val="000000" w:themeColor="text1"/>
              </w:rPr>
              <w:t>2,2'-</w:t>
            </w:r>
            <w:r w:rsidRPr="00687B52">
              <w:rPr>
                <w:rFonts w:hint="eastAsia"/>
                <w:color w:val="000000" w:themeColor="text1"/>
              </w:rPr>
              <w:t>偶氮</w:t>
            </w:r>
            <w:r w:rsidRPr="00687B52">
              <w:rPr>
                <w:color w:val="000000" w:themeColor="text1"/>
              </w:rPr>
              <w:t>-</w:t>
            </w:r>
            <w:r w:rsidRPr="00687B52">
              <w:rPr>
                <w:rFonts w:hint="eastAsia"/>
                <w:color w:val="000000" w:themeColor="text1"/>
              </w:rPr>
              <w:t>二</w:t>
            </w:r>
            <w:r w:rsidRPr="00687B52">
              <w:rPr>
                <w:color w:val="000000" w:themeColor="text1"/>
              </w:rPr>
              <w:t>-(2,4-</w:t>
            </w:r>
            <w:r w:rsidRPr="00687B52">
              <w:rPr>
                <w:rFonts w:hint="eastAsia"/>
                <w:color w:val="000000" w:themeColor="text1"/>
              </w:rPr>
              <w:t>二甲基戊腈</w:t>
            </w:r>
            <w:r w:rsidRPr="00687B52">
              <w:rPr>
                <w:color w:val="000000" w:themeColor="text1"/>
              </w:rPr>
              <w:t>)</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偶氮二异庚腈</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18000</w:t>
            </w:r>
          </w:p>
        </w:tc>
        <w:tc>
          <w:tcPr>
            <w:tcW w:w="2222" w:type="dxa"/>
            <w:vAlign w:val="center"/>
          </w:tcPr>
          <w:p w:rsidR="00481EDB" w:rsidRPr="00687B52" w:rsidRDefault="00481EDB" w:rsidP="00B527D4">
            <w:pPr>
              <w:pStyle w:val="a7"/>
              <w:rPr>
                <w:color w:val="000000" w:themeColor="text1"/>
              </w:rPr>
            </w:pPr>
            <w:r w:rsidRPr="00687B52">
              <w:rPr>
                <w:color w:val="000000" w:themeColor="text1"/>
              </w:rPr>
              <w:t>4419-11-8</w:t>
            </w:r>
          </w:p>
        </w:tc>
      </w:tr>
      <w:tr w:rsidR="00481EDB" w:rsidRPr="00687B52" w:rsidTr="00B527D4">
        <w:trPr>
          <w:trHeight w:val="285"/>
          <w:jc w:val="center"/>
        </w:trPr>
        <w:tc>
          <w:tcPr>
            <w:tcW w:w="81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pStyle w:val="a7"/>
              <w:rPr>
                <w:color w:val="000000" w:themeColor="text1"/>
              </w:rPr>
            </w:pPr>
            <w:r w:rsidRPr="00687B52">
              <w:rPr>
                <w:rFonts w:hint="eastAsia"/>
                <w:color w:val="000000" w:themeColor="text1"/>
              </w:rPr>
              <w:t>63</w:t>
            </w:r>
          </w:p>
        </w:tc>
        <w:tc>
          <w:tcPr>
            <w:tcW w:w="2198" w:type="dxa"/>
            <w:tcBorders>
              <w:top w:val="single" w:sz="4" w:space="0" w:color="auto"/>
              <w:left w:val="single" w:sz="4" w:space="0" w:color="auto"/>
              <w:bottom w:val="single" w:sz="4" w:space="0" w:color="auto"/>
            </w:tcBorders>
            <w:vAlign w:val="center"/>
          </w:tcPr>
          <w:p w:rsidR="00481EDB" w:rsidRPr="00687B52" w:rsidRDefault="00481EDB" w:rsidP="00B527D4">
            <w:pPr>
              <w:pStyle w:val="a7"/>
              <w:rPr>
                <w:color w:val="000000" w:themeColor="text1"/>
              </w:rPr>
            </w:pPr>
            <w:r w:rsidRPr="00687B52">
              <w:rPr>
                <w:color w:val="000000" w:themeColor="text1"/>
              </w:rPr>
              <w:t>2,2'-</w:t>
            </w:r>
            <w:r w:rsidRPr="00687B52">
              <w:rPr>
                <w:rFonts w:hint="eastAsia"/>
                <w:color w:val="000000" w:themeColor="text1"/>
              </w:rPr>
              <w:t>偶氮二异丁腈</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18000</w:t>
            </w:r>
          </w:p>
        </w:tc>
        <w:tc>
          <w:tcPr>
            <w:tcW w:w="2222" w:type="dxa"/>
            <w:vAlign w:val="center"/>
          </w:tcPr>
          <w:p w:rsidR="00481EDB" w:rsidRPr="00687B52" w:rsidRDefault="00481EDB" w:rsidP="00B527D4">
            <w:pPr>
              <w:pStyle w:val="a7"/>
              <w:rPr>
                <w:color w:val="000000" w:themeColor="text1"/>
              </w:rPr>
            </w:pPr>
            <w:r w:rsidRPr="00687B52">
              <w:rPr>
                <w:color w:val="000000" w:themeColor="text1"/>
              </w:rPr>
              <w:t>78-67-1</w:t>
            </w:r>
          </w:p>
        </w:tc>
      </w:tr>
      <w:tr w:rsidR="00481EDB" w:rsidRPr="00687B52" w:rsidTr="00B527D4">
        <w:trPr>
          <w:trHeight w:val="285"/>
          <w:jc w:val="center"/>
        </w:trPr>
        <w:tc>
          <w:tcPr>
            <w:tcW w:w="81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pStyle w:val="a7"/>
              <w:rPr>
                <w:color w:val="000000" w:themeColor="text1"/>
              </w:rPr>
            </w:pPr>
            <w:r w:rsidRPr="00687B52">
              <w:rPr>
                <w:rFonts w:hint="eastAsia"/>
                <w:color w:val="000000" w:themeColor="text1"/>
              </w:rPr>
              <w:t>64</w:t>
            </w:r>
          </w:p>
        </w:tc>
        <w:tc>
          <w:tcPr>
            <w:tcW w:w="2198" w:type="dxa"/>
            <w:tcBorders>
              <w:top w:val="single" w:sz="4" w:space="0" w:color="auto"/>
              <w:left w:val="single" w:sz="4" w:space="0" w:color="auto"/>
              <w:bottom w:val="single" w:sz="4" w:space="0" w:color="auto"/>
            </w:tcBorders>
            <w:vAlign w:val="center"/>
          </w:tcPr>
          <w:p w:rsidR="00481EDB" w:rsidRPr="00687B52" w:rsidRDefault="00481EDB" w:rsidP="00B527D4">
            <w:pPr>
              <w:pStyle w:val="a7"/>
              <w:rPr>
                <w:color w:val="000000" w:themeColor="text1"/>
              </w:rPr>
            </w:pPr>
            <w:r w:rsidRPr="00687B52">
              <w:rPr>
                <w:color w:val="000000" w:themeColor="text1"/>
              </w:rPr>
              <w:t>氯酸钠</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3600</w:t>
            </w:r>
          </w:p>
        </w:tc>
        <w:tc>
          <w:tcPr>
            <w:tcW w:w="2222" w:type="dxa"/>
            <w:vAlign w:val="center"/>
          </w:tcPr>
          <w:p w:rsidR="00481EDB" w:rsidRPr="00687B52" w:rsidRDefault="00481EDB" w:rsidP="00B527D4">
            <w:pPr>
              <w:pStyle w:val="a7"/>
              <w:rPr>
                <w:color w:val="000000" w:themeColor="text1"/>
              </w:rPr>
            </w:pPr>
            <w:r w:rsidRPr="00687B52">
              <w:rPr>
                <w:color w:val="000000" w:themeColor="text1"/>
              </w:rPr>
              <w:t>7775-9-9</w:t>
            </w:r>
          </w:p>
        </w:tc>
      </w:tr>
      <w:tr w:rsidR="00481EDB" w:rsidRPr="00687B52" w:rsidTr="00B527D4">
        <w:trPr>
          <w:trHeight w:val="285"/>
          <w:jc w:val="center"/>
        </w:trPr>
        <w:tc>
          <w:tcPr>
            <w:tcW w:w="81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pStyle w:val="a7"/>
              <w:rPr>
                <w:color w:val="000000" w:themeColor="text1"/>
              </w:rPr>
            </w:pPr>
            <w:r w:rsidRPr="00687B52">
              <w:rPr>
                <w:rFonts w:hint="eastAsia"/>
                <w:color w:val="000000" w:themeColor="text1"/>
              </w:rPr>
              <w:t>65</w:t>
            </w:r>
          </w:p>
        </w:tc>
        <w:tc>
          <w:tcPr>
            <w:tcW w:w="2198" w:type="dxa"/>
            <w:tcBorders>
              <w:top w:val="single" w:sz="4" w:space="0" w:color="auto"/>
              <w:left w:val="single" w:sz="4" w:space="0" w:color="auto"/>
              <w:bottom w:val="single" w:sz="4" w:space="0" w:color="auto"/>
            </w:tcBorders>
            <w:vAlign w:val="center"/>
          </w:tcPr>
          <w:p w:rsidR="00481EDB" w:rsidRPr="00687B52" w:rsidRDefault="00481EDB" w:rsidP="00B527D4">
            <w:pPr>
              <w:pStyle w:val="a7"/>
              <w:rPr>
                <w:color w:val="000000" w:themeColor="text1"/>
              </w:rPr>
            </w:pPr>
            <w:r w:rsidRPr="00687B52">
              <w:rPr>
                <w:color w:val="000000" w:themeColor="text1"/>
              </w:rPr>
              <w:t>氯酸钾</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3600</w:t>
            </w:r>
          </w:p>
        </w:tc>
        <w:tc>
          <w:tcPr>
            <w:tcW w:w="2222" w:type="dxa"/>
            <w:vAlign w:val="center"/>
          </w:tcPr>
          <w:p w:rsidR="00481EDB" w:rsidRPr="00687B52" w:rsidRDefault="00481EDB" w:rsidP="00B527D4">
            <w:pPr>
              <w:pStyle w:val="a7"/>
              <w:rPr>
                <w:color w:val="000000" w:themeColor="text1"/>
              </w:rPr>
            </w:pPr>
            <w:r w:rsidRPr="00687B52">
              <w:rPr>
                <w:color w:val="000000" w:themeColor="text1"/>
              </w:rPr>
              <w:t>3811-4-9</w:t>
            </w:r>
          </w:p>
        </w:tc>
      </w:tr>
      <w:tr w:rsidR="00481EDB" w:rsidRPr="00687B52" w:rsidTr="00B527D4">
        <w:trPr>
          <w:trHeight w:val="285"/>
          <w:jc w:val="center"/>
        </w:trPr>
        <w:tc>
          <w:tcPr>
            <w:tcW w:w="81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pStyle w:val="a7"/>
              <w:rPr>
                <w:color w:val="000000" w:themeColor="text1"/>
              </w:rPr>
            </w:pPr>
            <w:r w:rsidRPr="00687B52">
              <w:rPr>
                <w:rFonts w:hint="eastAsia"/>
                <w:color w:val="000000" w:themeColor="text1"/>
              </w:rPr>
              <w:t>66</w:t>
            </w:r>
          </w:p>
        </w:tc>
        <w:tc>
          <w:tcPr>
            <w:tcW w:w="2198" w:type="dxa"/>
            <w:tcBorders>
              <w:top w:val="single" w:sz="4" w:space="0" w:color="auto"/>
              <w:left w:val="single" w:sz="4" w:space="0" w:color="auto"/>
              <w:bottom w:val="single" w:sz="4" w:space="0" w:color="auto"/>
            </w:tcBorders>
            <w:vAlign w:val="center"/>
          </w:tcPr>
          <w:p w:rsidR="00481EDB" w:rsidRPr="00687B52" w:rsidRDefault="00481EDB" w:rsidP="00B527D4">
            <w:pPr>
              <w:pStyle w:val="a7"/>
              <w:rPr>
                <w:color w:val="000000" w:themeColor="text1"/>
              </w:rPr>
            </w:pPr>
            <w:r w:rsidRPr="00687B52">
              <w:rPr>
                <w:color w:val="000000" w:themeColor="text1"/>
              </w:rPr>
              <w:t>过氧化甲乙酮</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360</w:t>
            </w:r>
          </w:p>
        </w:tc>
        <w:tc>
          <w:tcPr>
            <w:tcW w:w="2222" w:type="dxa"/>
            <w:vAlign w:val="center"/>
          </w:tcPr>
          <w:p w:rsidR="00481EDB" w:rsidRPr="00687B52" w:rsidRDefault="00481EDB" w:rsidP="00B527D4">
            <w:pPr>
              <w:pStyle w:val="a7"/>
              <w:rPr>
                <w:color w:val="000000" w:themeColor="text1"/>
              </w:rPr>
            </w:pPr>
            <w:r w:rsidRPr="00687B52">
              <w:rPr>
                <w:color w:val="000000" w:themeColor="text1"/>
              </w:rPr>
              <w:t>1338-23-4</w:t>
            </w:r>
          </w:p>
        </w:tc>
      </w:tr>
      <w:tr w:rsidR="00481EDB" w:rsidRPr="00687B52" w:rsidTr="00B527D4">
        <w:trPr>
          <w:trHeight w:val="895"/>
          <w:jc w:val="center"/>
        </w:trPr>
        <w:tc>
          <w:tcPr>
            <w:tcW w:w="81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pStyle w:val="a7"/>
              <w:rPr>
                <w:color w:val="000000" w:themeColor="text1"/>
              </w:rPr>
            </w:pPr>
            <w:r w:rsidRPr="00687B52">
              <w:rPr>
                <w:rFonts w:hint="eastAsia"/>
                <w:color w:val="000000" w:themeColor="text1"/>
              </w:rPr>
              <w:t>67</w:t>
            </w:r>
          </w:p>
        </w:tc>
        <w:tc>
          <w:tcPr>
            <w:tcW w:w="2198" w:type="dxa"/>
            <w:tcBorders>
              <w:top w:val="single" w:sz="4" w:space="0" w:color="auto"/>
              <w:left w:val="single" w:sz="4" w:space="0" w:color="auto"/>
              <w:bottom w:val="single" w:sz="4" w:space="0" w:color="auto"/>
            </w:tcBorders>
            <w:vAlign w:val="center"/>
          </w:tcPr>
          <w:p w:rsidR="00481EDB" w:rsidRPr="00687B52" w:rsidRDefault="00481EDB" w:rsidP="00B527D4">
            <w:pPr>
              <w:pStyle w:val="a7"/>
              <w:rPr>
                <w:color w:val="000000" w:themeColor="text1"/>
              </w:rPr>
            </w:pPr>
            <w:r w:rsidRPr="00687B52">
              <w:rPr>
                <w:color w:val="000000" w:themeColor="text1"/>
              </w:rPr>
              <w:t>过氧化</w:t>
            </w:r>
            <w:r w:rsidRPr="00687B52">
              <w:rPr>
                <w:color w:val="000000" w:themeColor="text1"/>
              </w:rPr>
              <w:t>(</w:t>
            </w:r>
            <w:r w:rsidRPr="00687B52">
              <w:rPr>
                <w:color w:val="000000" w:themeColor="text1"/>
              </w:rPr>
              <w:t>二</w:t>
            </w:r>
            <w:r w:rsidRPr="00687B52">
              <w:rPr>
                <w:color w:val="000000" w:themeColor="text1"/>
              </w:rPr>
              <w:t>)</w:t>
            </w:r>
            <w:r w:rsidRPr="00687B52">
              <w:rPr>
                <w:color w:val="000000" w:themeColor="text1"/>
              </w:rPr>
              <w:t>苯甲酰</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w:t>
            </w:r>
          </w:p>
        </w:tc>
        <w:tc>
          <w:tcPr>
            <w:tcW w:w="2222" w:type="dxa"/>
            <w:vAlign w:val="center"/>
          </w:tcPr>
          <w:p w:rsidR="00481EDB" w:rsidRPr="00687B52" w:rsidRDefault="00481EDB" w:rsidP="00B527D4">
            <w:pPr>
              <w:pStyle w:val="a7"/>
              <w:rPr>
                <w:color w:val="000000" w:themeColor="text1"/>
              </w:rPr>
            </w:pPr>
            <w:r w:rsidRPr="00687B52">
              <w:rPr>
                <w:color w:val="000000" w:themeColor="text1"/>
              </w:rPr>
              <w:t>94-36-0</w:t>
            </w:r>
          </w:p>
        </w:tc>
      </w:tr>
      <w:tr w:rsidR="00481EDB" w:rsidRPr="00687B52" w:rsidTr="00B527D4">
        <w:trPr>
          <w:trHeight w:val="285"/>
          <w:jc w:val="center"/>
        </w:trPr>
        <w:tc>
          <w:tcPr>
            <w:tcW w:w="81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pStyle w:val="a7"/>
              <w:rPr>
                <w:color w:val="000000" w:themeColor="text1"/>
              </w:rPr>
            </w:pPr>
            <w:r w:rsidRPr="00687B52">
              <w:rPr>
                <w:rFonts w:hint="eastAsia"/>
                <w:color w:val="000000" w:themeColor="text1"/>
              </w:rPr>
              <w:t>68</w:t>
            </w:r>
          </w:p>
        </w:tc>
        <w:tc>
          <w:tcPr>
            <w:tcW w:w="2198" w:type="dxa"/>
            <w:tcBorders>
              <w:top w:val="single" w:sz="4" w:space="0" w:color="auto"/>
              <w:left w:val="single" w:sz="4" w:space="0" w:color="auto"/>
              <w:bottom w:val="single" w:sz="4" w:space="0" w:color="auto"/>
            </w:tcBorders>
            <w:vAlign w:val="center"/>
          </w:tcPr>
          <w:p w:rsidR="00481EDB" w:rsidRPr="00687B52" w:rsidRDefault="00481EDB" w:rsidP="00B527D4">
            <w:pPr>
              <w:pStyle w:val="a7"/>
              <w:rPr>
                <w:color w:val="000000" w:themeColor="text1"/>
              </w:rPr>
            </w:pPr>
            <w:r w:rsidRPr="00687B52">
              <w:rPr>
                <w:color w:val="000000" w:themeColor="text1"/>
              </w:rPr>
              <w:t>硝化纤维素</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360</w:t>
            </w:r>
          </w:p>
        </w:tc>
        <w:tc>
          <w:tcPr>
            <w:tcW w:w="2222" w:type="dxa"/>
            <w:vAlign w:val="center"/>
          </w:tcPr>
          <w:p w:rsidR="00481EDB" w:rsidRPr="00687B52" w:rsidRDefault="00481EDB" w:rsidP="00B527D4">
            <w:pPr>
              <w:pStyle w:val="a7"/>
              <w:rPr>
                <w:color w:val="000000" w:themeColor="text1"/>
              </w:rPr>
            </w:pPr>
            <w:r w:rsidRPr="00687B52">
              <w:rPr>
                <w:color w:val="000000" w:themeColor="text1"/>
              </w:rPr>
              <w:t>9004-70-0</w:t>
            </w:r>
          </w:p>
        </w:tc>
      </w:tr>
      <w:tr w:rsidR="00481EDB" w:rsidRPr="00687B52" w:rsidTr="00B527D4">
        <w:trPr>
          <w:trHeight w:val="285"/>
          <w:jc w:val="center"/>
        </w:trPr>
        <w:tc>
          <w:tcPr>
            <w:tcW w:w="81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pStyle w:val="a7"/>
              <w:rPr>
                <w:color w:val="000000" w:themeColor="text1"/>
              </w:rPr>
            </w:pPr>
            <w:r w:rsidRPr="00687B52">
              <w:rPr>
                <w:rFonts w:hint="eastAsia"/>
                <w:color w:val="000000" w:themeColor="text1"/>
              </w:rPr>
              <w:t>69</w:t>
            </w:r>
          </w:p>
        </w:tc>
        <w:tc>
          <w:tcPr>
            <w:tcW w:w="2198" w:type="dxa"/>
            <w:tcBorders>
              <w:top w:val="single" w:sz="4" w:space="0" w:color="auto"/>
              <w:left w:val="single" w:sz="4" w:space="0" w:color="auto"/>
              <w:bottom w:val="single" w:sz="4" w:space="0" w:color="auto"/>
            </w:tcBorders>
            <w:vAlign w:val="center"/>
          </w:tcPr>
          <w:p w:rsidR="00481EDB" w:rsidRPr="00687B52" w:rsidRDefault="00481EDB" w:rsidP="00B527D4">
            <w:pPr>
              <w:pStyle w:val="a7"/>
              <w:rPr>
                <w:color w:val="000000" w:themeColor="text1"/>
              </w:rPr>
            </w:pPr>
            <w:r w:rsidRPr="00687B52">
              <w:rPr>
                <w:color w:val="000000" w:themeColor="text1"/>
              </w:rPr>
              <w:t>硝酸胍</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7200</w:t>
            </w:r>
          </w:p>
        </w:tc>
        <w:tc>
          <w:tcPr>
            <w:tcW w:w="2222" w:type="dxa"/>
            <w:vAlign w:val="center"/>
          </w:tcPr>
          <w:p w:rsidR="00481EDB" w:rsidRPr="00687B52" w:rsidRDefault="00481EDB" w:rsidP="00B527D4">
            <w:pPr>
              <w:pStyle w:val="a7"/>
              <w:rPr>
                <w:color w:val="000000" w:themeColor="text1"/>
              </w:rPr>
            </w:pPr>
            <w:r w:rsidRPr="00687B52">
              <w:rPr>
                <w:color w:val="000000" w:themeColor="text1"/>
              </w:rPr>
              <w:t>506-93-4</w:t>
            </w:r>
          </w:p>
        </w:tc>
      </w:tr>
      <w:tr w:rsidR="00481EDB" w:rsidRPr="00687B52" w:rsidTr="00B527D4">
        <w:trPr>
          <w:trHeight w:val="285"/>
          <w:jc w:val="center"/>
        </w:trPr>
        <w:tc>
          <w:tcPr>
            <w:tcW w:w="81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pStyle w:val="a7"/>
              <w:rPr>
                <w:color w:val="000000" w:themeColor="text1"/>
              </w:rPr>
            </w:pPr>
            <w:r w:rsidRPr="00687B52">
              <w:rPr>
                <w:rFonts w:hint="eastAsia"/>
                <w:color w:val="000000" w:themeColor="text1"/>
              </w:rPr>
              <w:t>70</w:t>
            </w:r>
          </w:p>
        </w:tc>
        <w:tc>
          <w:tcPr>
            <w:tcW w:w="2198" w:type="dxa"/>
            <w:tcBorders>
              <w:top w:val="single" w:sz="4" w:space="0" w:color="auto"/>
              <w:left w:val="single" w:sz="4" w:space="0" w:color="auto"/>
              <w:bottom w:val="single" w:sz="4" w:space="0" w:color="auto"/>
            </w:tcBorders>
            <w:vAlign w:val="center"/>
          </w:tcPr>
          <w:p w:rsidR="00481EDB" w:rsidRPr="00687B52" w:rsidRDefault="00481EDB" w:rsidP="00B527D4">
            <w:pPr>
              <w:pStyle w:val="a7"/>
              <w:rPr>
                <w:color w:val="000000" w:themeColor="text1"/>
              </w:rPr>
            </w:pPr>
            <w:r w:rsidRPr="00687B52">
              <w:rPr>
                <w:color w:val="000000" w:themeColor="text1"/>
              </w:rPr>
              <w:t>高氯酸铵</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过氯酸铵</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7200</w:t>
            </w:r>
          </w:p>
        </w:tc>
        <w:tc>
          <w:tcPr>
            <w:tcW w:w="2222" w:type="dxa"/>
            <w:vAlign w:val="center"/>
          </w:tcPr>
          <w:p w:rsidR="00481EDB" w:rsidRPr="00687B52" w:rsidRDefault="00481EDB" w:rsidP="00B527D4">
            <w:pPr>
              <w:pStyle w:val="a7"/>
              <w:rPr>
                <w:color w:val="000000" w:themeColor="text1"/>
              </w:rPr>
            </w:pPr>
            <w:r w:rsidRPr="00687B52">
              <w:rPr>
                <w:color w:val="000000" w:themeColor="text1"/>
              </w:rPr>
              <w:t>7790-98-9</w:t>
            </w:r>
          </w:p>
        </w:tc>
      </w:tr>
      <w:tr w:rsidR="00481EDB" w:rsidRPr="00687B52" w:rsidTr="00B527D4">
        <w:trPr>
          <w:trHeight w:val="904"/>
          <w:jc w:val="center"/>
        </w:trPr>
        <w:tc>
          <w:tcPr>
            <w:tcW w:w="81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pStyle w:val="a7"/>
              <w:rPr>
                <w:color w:val="000000" w:themeColor="text1"/>
              </w:rPr>
            </w:pPr>
            <w:r w:rsidRPr="00687B52">
              <w:rPr>
                <w:rFonts w:hint="eastAsia"/>
                <w:color w:val="000000" w:themeColor="text1"/>
              </w:rPr>
              <w:t>71</w:t>
            </w:r>
          </w:p>
        </w:tc>
        <w:tc>
          <w:tcPr>
            <w:tcW w:w="2198" w:type="dxa"/>
            <w:tcBorders>
              <w:top w:val="single" w:sz="4" w:space="0" w:color="auto"/>
              <w:left w:val="single" w:sz="4" w:space="0" w:color="auto"/>
              <w:bottom w:val="single" w:sz="4" w:space="0" w:color="auto"/>
            </w:tcBorders>
            <w:vAlign w:val="center"/>
          </w:tcPr>
          <w:p w:rsidR="00481EDB" w:rsidRPr="00687B52" w:rsidRDefault="00481EDB" w:rsidP="00B527D4">
            <w:pPr>
              <w:pStyle w:val="a7"/>
              <w:rPr>
                <w:color w:val="000000" w:themeColor="text1"/>
              </w:rPr>
            </w:pPr>
            <w:r w:rsidRPr="00687B52">
              <w:rPr>
                <w:color w:val="000000" w:themeColor="text1"/>
              </w:rPr>
              <w:t>过氧化苯甲酸叔丁酯</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过氧化叔丁基苯甲酸酯</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w:t>
            </w:r>
          </w:p>
        </w:tc>
        <w:tc>
          <w:tcPr>
            <w:tcW w:w="2222" w:type="dxa"/>
            <w:vAlign w:val="center"/>
          </w:tcPr>
          <w:p w:rsidR="00481EDB" w:rsidRPr="00687B52" w:rsidRDefault="00481EDB" w:rsidP="00B527D4">
            <w:pPr>
              <w:pStyle w:val="a7"/>
              <w:rPr>
                <w:color w:val="000000" w:themeColor="text1"/>
              </w:rPr>
            </w:pPr>
            <w:r w:rsidRPr="00687B52">
              <w:rPr>
                <w:color w:val="000000" w:themeColor="text1"/>
              </w:rPr>
              <w:t>614-45-9</w:t>
            </w:r>
          </w:p>
        </w:tc>
      </w:tr>
      <w:tr w:rsidR="00481EDB" w:rsidRPr="00687B52" w:rsidTr="00B527D4">
        <w:trPr>
          <w:trHeight w:val="973"/>
          <w:jc w:val="center"/>
        </w:trPr>
        <w:tc>
          <w:tcPr>
            <w:tcW w:w="81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pStyle w:val="a7"/>
              <w:rPr>
                <w:color w:val="000000" w:themeColor="text1"/>
              </w:rPr>
            </w:pPr>
            <w:r w:rsidRPr="00687B52">
              <w:rPr>
                <w:rFonts w:hint="eastAsia"/>
                <w:color w:val="000000" w:themeColor="text1"/>
              </w:rPr>
              <w:t>72</w:t>
            </w:r>
          </w:p>
        </w:tc>
        <w:tc>
          <w:tcPr>
            <w:tcW w:w="2198" w:type="dxa"/>
            <w:tcBorders>
              <w:top w:val="single" w:sz="4" w:space="0" w:color="auto"/>
              <w:left w:val="single" w:sz="4" w:space="0" w:color="auto"/>
              <w:bottom w:val="single" w:sz="4" w:space="0" w:color="auto"/>
            </w:tcBorders>
            <w:vAlign w:val="center"/>
          </w:tcPr>
          <w:p w:rsidR="00481EDB" w:rsidRPr="00687B52" w:rsidRDefault="00481EDB" w:rsidP="00B527D4">
            <w:pPr>
              <w:pStyle w:val="a7"/>
              <w:rPr>
                <w:color w:val="000000" w:themeColor="text1"/>
              </w:rPr>
            </w:pPr>
            <w:r w:rsidRPr="00687B52">
              <w:rPr>
                <w:color w:val="000000" w:themeColor="text1"/>
              </w:rPr>
              <w:t>N,N'-</w:t>
            </w:r>
            <w:r w:rsidRPr="00687B52">
              <w:rPr>
                <w:color w:val="000000" w:themeColor="text1"/>
              </w:rPr>
              <w:t>二亚硝基五亚甲基四胺</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发泡剂</w:t>
            </w:r>
            <w:r w:rsidRPr="00687B52">
              <w:rPr>
                <w:rFonts w:hint="eastAsia"/>
                <w:color w:val="000000" w:themeColor="text1"/>
              </w:rPr>
              <w:t>H</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18000</w:t>
            </w:r>
          </w:p>
        </w:tc>
        <w:tc>
          <w:tcPr>
            <w:tcW w:w="2222" w:type="dxa"/>
            <w:vAlign w:val="center"/>
          </w:tcPr>
          <w:p w:rsidR="00481EDB" w:rsidRPr="00687B52" w:rsidRDefault="00481EDB" w:rsidP="00B527D4">
            <w:pPr>
              <w:pStyle w:val="a7"/>
              <w:rPr>
                <w:color w:val="000000" w:themeColor="text1"/>
              </w:rPr>
            </w:pPr>
            <w:r w:rsidRPr="00687B52">
              <w:rPr>
                <w:color w:val="000000" w:themeColor="text1"/>
              </w:rPr>
              <w:t>101-25-7</w:t>
            </w:r>
          </w:p>
        </w:tc>
      </w:tr>
      <w:tr w:rsidR="00481EDB" w:rsidRPr="00687B52" w:rsidTr="00B527D4">
        <w:trPr>
          <w:trHeight w:val="285"/>
          <w:jc w:val="center"/>
        </w:trPr>
        <w:tc>
          <w:tcPr>
            <w:tcW w:w="81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pStyle w:val="a7"/>
              <w:rPr>
                <w:color w:val="000000" w:themeColor="text1"/>
              </w:rPr>
            </w:pPr>
            <w:r w:rsidRPr="00687B52">
              <w:rPr>
                <w:rFonts w:hint="eastAsia"/>
                <w:color w:val="000000" w:themeColor="text1"/>
              </w:rPr>
              <w:t>73</w:t>
            </w:r>
          </w:p>
        </w:tc>
        <w:tc>
          <w:tcPr>
            <w:tcW w:w="2198" w:type="dxa"/>
            <w:tcBorders>
              <w:top w:val="single" w:sz="4" w:space="0" w:color="auto"/>
              <w:left w:val="single" w:sz="4" w:space="0" w:color="auto"/>
              <w:bottom w:val="single" w:sz="4" w:space="0" w:color="auto"/>
            </w:tcBorders>
            <w:vAlign w:val="center"/>
          </w:tcPr>
          <w:p w:rsidR="00481EDB" w:rsidRPr="00687B52" w:rsidRDefault="00481EDB" w:rsidP="00B527D4">
            <w:pPr>
              <w:pStyle w:val="a7"/>
              <w:rPr>
                <w:color w:val="000000" w:themeColor="text1"/>
              </w:rPr>
            </w:pPr>
            <w:r w:rsidRPr="00687B52">
              <w:rPr>
                <w:color w:val="000000" w:themeColor="text1"/>
              </w:rPr>
              <w:t>硝基胍</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1800</w:t>
            </w:r>
          </w:p>
        </w:tc>
        <w:tc>
          <w:tcPr>
            <w:tcW w:w="2222" w:type="dxa"/>
            <w:vAlign w:val="center"/>
          </w:tcPr>
          <w:p w:rsidR="00481EDB" w:rsidRPr="00687B52" w:rsidRDefault="00481EDB" w:rsidP="00B527D4">
            <w:pPr>
              <w:pStyle w:val="a7"/>
              <w:rPr>
                <w:color w:val="000000" w:themeColor="text1"/>
              </w:rPr>
            </w:pPr>
            <w:r w:rsidRPr="00687B52">
              <w:rPr>
                <w:color w:val="000000" w:themeColor="text1"/>
              </w:rPr>
              <w:t>556-88-7</w:t>
            </w:r>
          </w:p>
        </w:tc>
      </w:tr>
      <w:tr w:rsidR="00481EDB" w:rsidRPr="00687B52" w:rsidTr="00B527D4">
        <w:trPr>
          <w:trHeight w:val="285"/>
          <w:jc w:val="center"/>
        </w:trPr>
        <w:tc>
          <w:tcPr>
            <w:tcW w:w="81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pStyle w:val="a7"/>
              <w:rPr>
                <w:color w:val="000000" w:themeColor="text1"/>
              </w:rPr>
            </w:pPr>
            <w:r w:rsidRPr="00687B52">
              <w:rPr>
                <w:rFonts w:hint="eastAsia"/>
                <w:color w:val="000000" w:themeColor="text1"/>
              </w:rPr>
              <w:t>74</w:t>
            </w:r>
          </w:p>
        </w:tc>
        <w:tc>
          <w:tcPr>
            <w:tcW w:w="2198" w:type="dxa"/>
            <w:tcBorders>
              <w:top w:val="single" w:sz="4" w:space="0" w:color="auto"/>
              <w:left w:val="single" w:sz="4" w:space="0" w:color="auto"/>
              <w:bottom w:val="single" w:sz="4" w:space="0" w:color="auto"/>
            </w:tcBorders>
            <w:vAlign w:val="center"/>
          </w:tcPr>
          <w:p w:rsidR="00481EDB" w:rsidRPr="00687B52" w:rsidRDefault="00481EDB" w:rsidP="00B527D4">
            <w:pPr>
              <w:pStyle w:val="a7"/>
              <w:rPr>
                <w:color w:val="000000" w:themeColor="text1"/>
              </w:rPr>
            </w:pPr>
            <w:r w:rsidRPr="00687B52">
              <w:rPr>
                <w:color w:val="000000" w:themeColor="text1"/>
              </w:rPr>
              <w:t>硝化甘油</w:t>
            </w:r>
          </w:p>
        </w:tc>
        <w:tc>
          <w:tcPr>
            <w:tcW w:w="2196" w:type="dxa"/>
            <w:vAlign w:val="center"/>
          </w:tcPr>
          <w:p w:rsidR="00481EDB" w:rsidRPr="00687B52" w:rsidRDefault="00481EDB" w:rsidP="00B527D4">
            <w:pPr>
              <w:pStyle w:val="a7"/>
              <w:rPr>
                <w:color w:val="000000" w:themeColor="text1"/>
              </w:rPr>
            </w:pP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36</w:t>
            </w:r>
          </w:p>
        </w:tc>
        <w:tc>
          <w:tcPr>
            <w:tcW w:w="2222" w:type="dxa"/>
            <w:vAlign w:val="center"/>
          </w:tcPr>
          <w:p w:rsidR="00481EDB" w:rsidRPr="00687B52" w:rsidRDefault="00481EDB" w:rsidP="00B527D4">
            <w:pPr>
              <w:pStyle w:val="a7"/>
              <w:rPr>
                <w:color w:val="000000" w:themeColor="text1"/>
              </w:rPr>
            </w:pPr>
            <w:r w:rsidRPr="00687B52">
              <w:rPr>
                <w:color w:val="000000" w:themeColor="text1"/>
              </w:rPr>
              <w:t>55-63-0</w:t>
            </w:r>
          </w:p>
        </w:tc>
      </w:tr>
      <w:tr w:rsidR="00481EDB" w:rsidRPr="00687B52" w:rsidTr="00B527D4">
        <w:trPr>
          <w:trHeight w:val="285"/>
          <w:jc w:val="center"/>
        </w:trPr>
        <w:tc>
          <w:tcPr>
            <w:tcW w:w="81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pStyle w:val="a7"/>
              <w:rPr>
                <w:color w:val="000000" w:themeColor="text1"/>
              </w:rPr>
            </w:pPr>
            <w:r w:rsidRPr="00687B52">
              <w:rPr>
                <w:rFonts w:hint="eastAsia"/>
                <w:color w:val="000000" w:themeColor="text1"/>
              </w:rPr>
              <w:t>75</w:t>
            </w:r>
          </w:p>
        </w:tc>
        <w:tc>
          <w:tcPr>
            <w:tcW w:w="2198" w:type="dxa"/>
            <w:tcBorders>
              <w:top w:val="single" w:sz="4" w:space="0" w:color="auto"/>
              <w:left w:val="single" w:sz="4" w:space="0" w:color="auto"/>
              <w:bottom w:val="single" w:sz="4" w:space="0" w:color="auto"/>
            </w:tcBorders>
            <w:vAlign w:val="center"/>
          </w:tcPr>
          <w:p w:rsidR="00481EDB" w:rsidRPr="00687B52" w:rsidRDefault="00481EDB" w:rsidP="00B527D4">
            <w:pPr>
              <w:pStyle w:val="a7"/>
              <w:rPr>
                <w:color w:val="000000" w:themeColor="text1"/>
              </w:rPr>
            </w:pPr>
            <w:r w:rsidRPr="00687B52">
              <w:rPr>
                <w:rFonts w:hint="eastAsia"/>
                <w:color w:val="000000" w:themeColor="text1"/>
              </w:rPr>
              <w:t>乙醚</w:t>
            </w:r>
          </w:p>
        </w:tc>
        <w:tc>
          <w:tcPr>
            <w:tcW w:w="2196" w:type="dxa"/>
            <w:vAlign w:val="center"/>
          </w:tcPr>
          <w:p w:rsidR="00481EDB" w:rsidRPr="00687B52" w:rsidRDefault="00481EDB" w:rsidP="00B527D4">
            <w:pPr>
              <w:pStyle w:val="a7"/>
              <w:rPr>
                <w:color w:val="000000" w:themeColor="text1"/>
              </w:rPr>
            </w:pPr>
            <w:r w:rsidRPr="00687B52">
              <w:rPr>
                <w:rFonts w:hint="eastAsia"/>
                <w:color w:val="000000" w:themeColor="text1"/>
              </w:rPr>
              <w:t>二乙</w:t>
            </w:r>
            <w:r w:rsidRPr="00687B52">
              <w:rPr>
                <w:rFonts w:hint="eastAsia"/>
                <w:color w:val="000000" w:themeColor="text1"/>
              </w:rPr>
              <w:t>(</w:t>
            </w:r>
            <w:r w:rsidRPr="00687B52">
              <w:rPr>
                <w:rFonts w:hint="eastAsia"/>
                <w:color w:val="000000" w:themeColor="text1"/>
              </w:rPr>
              <w:t>基</w:t>
            </w:r>
            <w:r w:rsidRPr="00687B52">
              <w:rPr>
                <w:rFonts w:hint="eastAsia"/>
                <w:color w:val="000000" w:themeColor="text1"/>
              </w:rPr>
              <w:t>)</w:t>
            </w:r>
            <w:r w:rsidRPr="00687B52">
              <w:rPr>
                <w:rFonts w:hint="eastAsia"/>
                <w:color w:val="000000" w:themeColor="text1"/>
              </w:rPr>
              <w:t>醚</w:t>
            </w:r>
          </w:p>
        </w:tc>
        <w:tc>
          <w:tcPr>
            <w:tcW w:w="2229" w:type="dxa"/>
            <w:shd w:val="clear" w:color="auto" w:fill="auto"/>
            <w:vAlign w:val="center"/>
          </w:tcPr>
          <w:p w:rsidR="00481EDB" w:rsidRPr="00687B52" w:rsidRDefault="00481EDB" w:rsidP="00B527D4">
            <w:pPr>
              <w:pStyle w:val="a7"/>
              <w:rPr>
                <w:color w:val="000000" w:themeColor="text1"/>
              </w:rPr>
            </w:pPr>
            <w:r w:rsidRPr="00687B52">
              <w:rPr>
                <w:rFonts w:hint="eastAsia"/>
                <w:color w:val="000000" w:themeColor="text1"/>
              </w:rPr>
              <w:t>360</w:t>
            </w:r>
          </w:p>
        </w:tc>
        <w:tc>
          <w:tcPr>
            <w:tcW w:w="2222" w:type="dxa"/>
            <w:vAlign w:val="center"/>
          </w:tcPr>
          <w:p w:rsidR="00481EDB" w:rsidRPr="00687B52" w:rsidRDefault="00481EDB" w:rsidP="00B527D4">
            <w:pPr>
              <w:pStyle w:val="a7"/>
              <w:rPr>
                <w:color w:val="000000" w:themeColor="text1"/>
              </w:rPr>
            </w:pPr>
            <w:r w:rsidRPr="00687B52">
              <w:rPr>
                <w:rFonts w:hint="eastAsia"/>
                <w:color w:val="000000" w:themeColor="text1"/>
              </w:rPr>
              <w:t>60-29-7</w:t>
            </w:r>
          </w:p>
        </w:tc>
      </w:tr>
    </w:tbl>
    <w:bookmarkEnd w:id="112"/>
    <w:p w:rsidR="00481EDB" w:rsidRPr="00687B52" w:rsidRDefault="00481EDB" w:rsidP="00481EDB">
      <w:pPr>
        <w:pStyle w:val="a7"/>
        <w:ind w:left="720" w:hangingChars="300" w:hanging="720"/>
        <w:jc w:val="left"/>
        <w:rPr>
          <w:color w:val="000000" w:themeColor="text1"/>
        </w:rPr>
      </w:pPr>
      <w:r w:rsidRPr="00687B52">
        <w:rPr>
          <w:rFonts w:hint="eastAsia"/>
          <w:color w:val="000000" w:themeColor="text1"/>
        </w:rPr>
        <w:t>注：</w:t>
      </w:r>
      <w:r w:rsidRPr="00687B52">
        <w:rPr>
          <w:rFonts w:hint="eastAsia"/>
          <w:color w:val="000000" w:themeColor="text1"/>
        </w:rPr>
        <w:t>1.</w:t>
      </w:r>
      <w:r w:rsidRPr="00687B52">
        <w:rPr>
          <w:rFonts w:hint="eastAsia"/>
          <w:color w:val="000000" w:themeColor="text1"/>
        </w:rPr>
        <w:t>企业需要取得安全使用许可的危险化学品的使用量，由企业使用危险化学品的最低年设计使用量和实际使用量的较大值确定。</w:t>
      </w:r>
    </w:p>
    <w:p w:rsidR="00481EDB" w:rsidRPr="00687B52" w:rsidRDefault="00481EDB" w:rsidP="00481EDB">
      <w:pPr>
        <w:pStyle w:val="a7"/>
        <w:ind w:firstLineChars="200" w:firstLine="480"/>
        <w:jc w:val="left"/>
        <w:rPr>
          <w:color w:val="000000" w:themeColor="text1"/>
        </w:rPr>
        <w:sectPr w:rsidR="00481EDB" w:rsidRPr="00687B52">
          <w:pgSz w:w="11906" w:h="16838"/>
          <w:pgMar w:top="1134" w:right="1134" w:bottom="1134" w:left="1418" w:header="851" w:footer="992" w:gutter="0"/>
          <w:cols w:space="425"/>
          <w:docGrid w:type="lines" w:linePitch="312"/>
        </w:sectPr>
      </w:pPr>
      <w:r w:rsidRPr="00687B52">
        <w:rPr>
          <w:rFonts w:hint="eastAsia"/>
          <w:color w:val="000000" w:themeColor="text1"/>
        </w:rPr>
        <w:t>2.</w:t>
      </w:r>
      <w:r w:rsidRPr="00687B52">
        <w:rPr>
          <w:rFonts w:hint="eastAsia"/>
          <w:color w:val="000000" w:themeColor="text1"/>
        </w:rPr>
        <w:t>“</w:t>
      </w:r>
      <w:r w:rsidRPr="00687B52">
        <w:rPr>
          <w:rFonts w:hint="eastAsia"/>
          <w:color w:val="000000" w:themeColor="text1"/>
        </w:rPr>
        <w:t>CAS</w:t>
      </w:r>
      <w:r w:rsidRPr="00687B52">
        <w:rPr>
          <w:rFonts w:hint="eastAsia"/>
          <w:color w:val="000000" w:themeColor="text1"/>
        </w:rPr>
        <w:t>号”是指美国化学文摘社对化学品的唯一登记号。</w:t>
      </w:r>
    </w:p>
    <w:p w:rsidR="00481EDB" w:rsidRPr="00687B52" w:rsidRDefault="00481EDB" w:rsidP="00763863">
      <w:pPr>
        <w:pStyle w:val="aff2"/>
        <w:ind w:firstLine="562"/>
        <w:rPr>
          <w:rFonts w:ascii="宋体" w:hAnsi="宋体"/>
          <w:color w:val="000000" w:themeColor="text1"/>
          <w:sz w:val="24"/>
        </w:rPr>
      </w:pPr>
      <w:bookmarkStart w:id="113" w:name="_Toc491870809"/>
      <w:bookmarkStart w:id="114" w:name="_Toc492555576"/>
      <w:bookmarkStart w:id="115" w:name="_Toc492557259"/>
      <w:bookmarkStart w:id="116" w:name="_Toc492557329"/>
      <w:bookmarkStart w:id="117" w:name="_Toc492557592"/>
      <w:bookmarkStart w:id="118" w:name="_Toc492557961"/>
      <w:bookmarkStart w:id="119" w:name="_Toc492559534"/>
      <w:bookmarkStart w:id="120" w:name="_Toc492563463"/>
      <w:bookmarkStart w:id="121" w:name="_Toc492564081"/>
      <w:bookmarkStart w:id="122" w:name="_Toc492634914"/>
      <w:bookmarkStart w:id="123" w:name="_Toc493857064"/>
      <w:r w:rsidRPr="00687B52">
        <w:rPr>
          <w:rFonts w:hint="eastAsia"/>
          <w:color w:val="000000" w:themeColor="text1"/>
        </w:rPr>
        <w:t>附</w:t>
      </w:r>
      <w:r w:rsidR="00980275" w:rsidRPr="00687B52">
        <w:rPr>
          <w:rFonts w:hint="eastAsia"/>
          <w:color w:val="000000" w:themeColor="text1"/>
        </w:rPr>
        <w:t>2</w:t>
      </w:r>
      <w:r w:rsidRPr="00687B52">
        <w:rPr>
          <w:rFonts w:hint="eastAsia"/>
          <w:color w:val="000000" w:themeColor="text1"/>
        </w:rPr>
        <w:t>.2</w:t>
      </w:r>
      <w:r w:rsidRPr="00687B52">
        <w:rPr>
          <w:rFonts w:hint="eastAsia"/>
          <w:color w:val="000000" w:themeColor="text1"/>
        </w:rPr>
        <w:t>《国家安全监管总局关于印发淘汰落后安全技术装备目录（</w:t>
      </w:r>
      <w:r w:rsidRPr="00687B52">
        <w:rPr>
          <w:rFonts w:cs="Times New Roman"/>
          <w:color w:val="000000" w:themeColor="text1"/>
        </w:rPr>
        <w:t>201</w:t>
      </w:r>
      <w:r w:rsidRPr="00687B52">
        <w:rPr>
          <w:color w:val="000000" w:themeColor="text1"/>
        </w:rPr>
        <w:t>5</w:t>
      </w:r>
      <w:r w:rsidRPr="00687B52">
        <w:rPr>
          <w:rFonts w:hint="eastAsia"/>
          <w:color w:val="000000" w:themeColor="text1"/>
        </w:rPr>
        <w:t>年第一批）的通知》（安监总科技〔</w:t>
      </w:r>
      <w:r w:rsidRPr="00687B52">
        <w:rPr>
          <w:rFonts w:hint="eastAsia"/>
          <w:color w:val="000000" w:themeColor="text1"/>
        </w:rPr>
        <w:t>2015</w:t>
      </w:r>
      <w:r w:rsidRPr="00687B52">
        <w:rPr>
          <w:rFonts w:hint="eastAsia"/>
          <w:color w:val="000000" w:themeColor="text1"/>
        </w:rPr>
        <w:t>〕</w:t>
      </w:r>
      <w:r w:rsidRPr="00687B52">
        <w:rPr>
          <w:rFonts w:hint="eastAsia"/>
          <w:color w:val="000000" w:themeColor="text1"/>
        </w:rPr>
        <w:t>75</w:t>
      </w:r>
      <w:r w:rsidRPr="00687B52">
        <w:rPr>
          <w:rFonts w:hint="eastAsia"/>
          <w:color w:val="000000" w:themeColor="text1"/>
        </w:rPr>
        <w:t>号）有关要求</w:t>
      </w:r>
      <w:bookmarkEnd w:id="113"/>
      <w:bookmarkEnd w:id="114"/>
      <w:bookmarkEnd w:id="115"/>
      <w:bookmarkEnd w:id="116"/>
      <w:bookmarkEnd w:id="117"/>
      <w:bookmarkEnd w:id="118"/>
      <w:bookmarkEnd w:id="119"/>
      <w:bookmarkEnd w:id="120"/>
      <w:bookmarkEnd w:id="121"/>
      <w:bookmarkEnd w:id="122"/>
      <w:bookmarkEnd w:id="123"/>
    </w:p>
    <w:p w:rsidR="00481EDB" w:rsidRPr="00687B52" w:rsidRDefault="00481EDB" w:rsidP="00515E8A">
      <w:pPr>
        <w:pStyle w:val="afd"/>
        <w:rPr>
          <w:color w:val="000000" w:themeColor="text1"/>
        </w:rPr>
      </w:pPr>
      <w:bookmarkStart w:id="124" w:name="_Toc491870810"/>
      <w:bookmarkStart w:id="125" w:name="_Toc492563464"/>
      <w:bookmarkStart w:id="126" w:name="_Toc493857065"/>
      <w:r w:rsidRPr="00687B52">
        <w:rPr>
          <w:rFonts w:hint="eastAsia"/>
          <w:color w:val="000000" w:themeColor="text1"/>
        </w:rPr>
        <w:t>淘汰落后安全技术装备目录（</w:t>
      </w:r>
      <w:r w:rsidRPr="00687B52">
        <w:rPr>
          <w:rFonts w:hint="eastAsia"/>
          <w:color w:val="000000" w:themeColor="text1"/>
        </w:rPr>
        <w:t>2015</w:t>
      </w:r>
      <w:r w:rsidRPr="00687B52">
        <w:rPr>
          <w:rFonts w:hint="eastAsia"/>
          <w:color w:val="000000" w:themeColor="text1"/>
        </w:rPr>
        <w:t>年第一批）</w:t>
      </w:r>
      <w:bookmarkEnd w:id="124"/>
      <w:bookmarkEnd w:id="125"/>
      <w:bookmarkEnd w:id="126"/>
    </w:p>
    <w:tbl>
      <w:tblPr>
        <w:tblW w:w="147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99"/>
        <w:gridCol w:w="2060"/>
        <w:gridCol w:w="8289"/>
        <w:gridCol w:w="758"/>
        <w:gridCol w:w="815"/>
        <w:gridCol w:w="2165"/>
      </w:tblGrid>
      <w:tr w:rsidR="00481EDB" w:rsidRPr="00687B52" w:rsidTr="00B527D4">
        <w:trPr>
          <w:trHeight w:val="540"/>
          <w:tblHeader/>
          <w:jc w:val="center"/>
        </w:trPr>
        <w:tc>
          <w:tcPr>
            <w:tcW w:w="699"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b/>
                <w:bCs/>
                <w:color w:val="000000" w:themeColor="text1"/>
                <w:kern w:val="0"/>
                <w:sz w:val="24"/>
                <w:szCs w:val="24"/>
              </w:rPr>
              <w:t>序号</w:t>
            </w:r>
          </w:p>
        </w:tc>
        <w:tc>
          <w:tcPr>
            <w:tcW w:w="2060"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b/>
                <w:bCs/>
                <w:color w:val="000000" w:themeColor="text1"/>
                <w:kern w:val="0"/>
                <w:sz w:val="24"/>
                <w:szCs w:val="24"/>
              </w:rPr>
              <w:t>淘汰的落后</w:t>
            </w:r>
          </w:p>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b/>
                <w:bCs/>
                <w:color w:val="000000" w:themeColor="text1"/>
                <w:kern w:val="0"/>
                <w:sz w:val="24"/>
                <w:szCs w:val="24"/>
              </w:rPr>
              <w:t>技术装备名称</w:t>
            </w:r>
          </w:p>
        </w:tc>
        <w:tc>
          <w:tcPr>
            <w:tcW w:w="8289"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b/>
                <w:bCs/>
                <w:color w:val="000000" w:themeColor="text1"/>
                <w:kern w:val="0"/>
                <w:sz w:val="24"/>
                <w:szCs w:val="24"/>
              </w:rPr>
              <w:t>淘汰原因</w:t>
            </w:r>
          </w:p>
        </w:tc>
        <w:tc>
          <w:tcPr>
            <w:tcW w:w="758"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b/>
                <w:bCs/>
                <w:color w:val="000000" w:themeColor="text1"/>
                <w:kern w:val="0"/>
                <w:sz w:val="24"/>
                <w:szCs w:val="24"/>
              </w:rPr>
              <w:t>建议淘汰类型</w:t>
            </w:r>
          </w:p>
        </w:tc>
        <w:tc>
          <w:tcPr>
            <w:tcW w:w="815"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b/>
                <w:bCs/>
                <w:color w:val="000000" w:themeColor="text1"/>
                <w:kern w:val="0"/>
                <w:sz w:val="24"/>
                <w:szCs w:val="24"/>
              </w:rPr>
              <w:t>建议</w:t>
            </w:r>
          </w:p>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b/>
                <w:bCs/>
                <w:color w:val="000000" w:themeColor="text1"/>
                <w:kern w:val="0"/>
                <w:sz w:val="24"/>
                <w:szCs w:val="24"/>
              </w:rPr>
              <w:t>限制范围</w:t>
            </w:r>
          </w:p>
        </w:tc>
        <w:tc>
          <w:tcPr>
            <w:tcW w:w="2165"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b/>
                <w:bCs/>
                <w:color w:val="000000" w:themeColor="text1"/>
                <w:kern w:val="0"/>
                <w:sz w:val="24"/>
                <w:szCs w:val="24"/>
              </w:rPr>
              <w:t>代替的技术</w:t>
            </w:r>
          </w:p>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b/>
                <w:bCs/>
                <w:color w:val="000000" w:themeColor="text1"/>
                <w:kern w:val="0"/>
                <w:sz w:val="24"/>
                <w:szCs w:val="24"/>
              </w:rPr>
              <w:t>装备名称</w:t>
            </w:r>
          </w:p>
        </w:tc>
      </w:tr>
      <w:tr w:rsidR="00481EDB" w:rsidRPr="00687B52" w:rsidTr="00B527D4">
        <w:trPr>
          <w:trHeight w:val="624"/>
          <w:jc w:val="center"/>
        </w:trPr>
        <w:tc>
          <w:tcPr>
            <w:tcW w:w="14786" w:type="dxa"/>
            <w:gridSpan w:val="6"/>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黑体" w:eastAsia="黑体" w:hAnsi="黑体" w:cs="宋体" w:hint="eastAsia"/>
                <w:color w:val="000000" w:themeColor="text1"/>
                <w:kern w:val="0"/>
                <w:sz w:val="24"/>
                <w:szCs w:val="24"/>
              </w:rPr>
              <w:t>一、危险化学品领域行业（</w:t>
            </w:r>
            <w:r w:rsidRPr="00687B52">
              <w:rPr>
                <w:rFonts w:ascii="Times New Roman" w:eastAsia="宋体" w:hAnsi="Times New Roman" w:cs="Times New Roman"/>
                <w:color w:val="000000" w:themeColor="text1"/>
                <w:kern w:val="0"/>
                <w:sz w:val="24"/>
                <w:szCs w:val="24"/>
              </w:rPr>
              <w:t>14</w:t>
            </w:r>
            <w:r w:rsidRPr="00687B52">
              <w:rPr>
                <w:rFonts w:ascii="黑体" w:eastAsia="黑体" w:hAnsi="黑体" w:cs="宋体" w:hint="eastAsia"/>
                <w:color w:val="000000" w:themeColor="text1"/>
                <w:kern w:val="0"/>
                <w:sz w:val="24"/>
                <w:szCs w:val="24"/>
              </w:rPr>
              <w:t>项）</w:t>
            </w:r>
          </w:p>
        </w:tc>
      </w:tr>
      <w:tr w:rsidR="00481EDB" w:rsidRPr="00687B52" w:rsidTr="00B527D4">
        <w:trPr>
          <w:trHeight w:val="705"/>
          <w:jc w:val="center"/>
        </w:trPr>
        <w:tc>
          <w:tcPr>
            <w:tcW w:w="699"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1</w:t>
            </w:r>
          </w:p>
        </w:tc>
        <w:tc>
          <w:tcPr>
            <w:tcW w:w="2060"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合成氨半水煤气氨水液相脱硫工艺</w:t>
            </w:r>
          </w:p>
        </w:tc>
        <w:tc>
          <w:tcPr>
            <w:tcW w:w="8289"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没有配套硫磺回收装置，工艺过程控制复杂，危险有害因素及不可预见性危险多，自动化控制程度低，安全性差，易发生泄漏、中毒、爆炸、火灾等安全生产事故。</w:t>
            </w:r>
          </w:p>
        </w:tc>
        <w:tc>
          <w:tcPr>
            <w:tcW w:w="758"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禁止</w:t>
            </w:r>
          </w:p>
        </w:tc>
        <w:tc>
          <w:tcPr>
            <w:tcW w:w="81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 </w:t>
            </w:r>
          </w:p>
        </w:tc>
        <w:tc>
          <w:tcPr>
            <w:tcW w:w="216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配套有硫磺回收装置的栲胶湿式脱硫工艺</w:t>
            </w:r>
          </w:p>
        </w:tc>
      </w:tr>
      <w:tr w:rsidR="00481EDB" w:rsidRPr="00687B52" w:rsidTr="00B527D4">
        <w:trPr>
          <w:trHeight w:val="705"/>
          <w:jc w:val="center"/>
        </w:trPr>
        <w:tc>
          <w:tcPr>
            <w:tcW w:w="699"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2</w:t>
            </w:r>
          </w:p>
        </w:tc>
        <w:tc>
          <w:tcPr>
            <w:tcW w:w="2060"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合成氨固定层间歇式煤气化装置</w:t>
            </w:r>
          </w:p>
        </w:tc>
        <w:tc>
          <w:tcPr>
            <w:tcW w:w="8289"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没有配套建设吹风气余热回收、造气炉渣综合利用装置，自动化控制程度低，安全性差，易发生泄漏、中毒、爆炸、火灾等安全生产事故。</w:t>
            </w:r>
          </w:p>
        </w:tc>
        <w:tc>
          <w:tcPr>
            <w:tcW w:w="758"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禁止</w:t>
            </w:r>
          </w:p>
        </w:tc>
        <w:tc>
          <w:tcPr>
            <w:tcW w:w="81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 </w:t>
            </w:r>
          </w:p>
        </w:tc>
        <w:tc>
          <w:tcPr>
            <w:tcW w:w="216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配套有吹风气余热回收、造气炉渣综合利用装置的煤气化装置</w:t>
            </w:r>
          </w:p>
        </w:tc>
      </w:tr>
      <w:tr w:rsidR="00481EDB" w:rsidRPr="00687B52" w:rsidTr="00B527D4">
        <w:trPr>
          <w:trHeight w:val="705"/>
          <w:jc w:val="center"/>
        </w:trPr>
        <w:tc>
          <w:tcPr>
            <w:tcW w:w="699"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3</w:t>
            </w:r>
          </w:p>
        </w:tc>
        <w:tc>
          <w:tcPr>
            <w:tcW w:w="2060"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焦油加工工艺中的硫酸分解工艺</w:t>
            </w:r>
          </w:p>
        </w:tc>
        <w:tc>
          <w:tcPr>
            <w:tcW w:w="8289"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分解过程中硫酸对设备及管道的腐蚀性强，造成泵、管道、分解器等设备损坏率升高，安全性差。</w:t>
            </w:r>
          </w:p>
        </w:tc>
        <w:tc>
          <w:tcPr>
            <w:tcW w:w="758"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禁止</w:t>
            </w:r>
          </w:p>
        </w:tc>
        <w:tc>
          <w:tcPr>
            <w:tcW w:w="815"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 </w:t>
            </w:r>
          </w:p>
        </w:tc>
        <w:tc>
          <w:tcPr>
            <w:tcW w:w="216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二氧化碳或二氧化碳和硫酸法复合分解工艺</w:t>
            </w:r>
          </w:p>
        </w:tc>
      </w:tr>
      <w:tr w:rsidR="00481EDB" w:rsidRPr="00687B52" w:rsidTr="00B527D4">
        <w:trPr>
          <w:trHeight w:val="705"/>
          <w:jc w:val="center"/>
        </w:trPr>
        <w:tc>
          <w:tcPr>
            <w:tcW w:w="699"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4</w:t>
            </w:r>
          </w:p>
        </w:tc>
        <w:tc>
          <w:tcPr>
            <w:tcW w:w="2060"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合成氨一氧化碳常压变换及全中温变换（高温变换）工艺</w:t>
            </w:r>
          </w:p>
        </w:tc>
        <w:tc>
          <w:tcPr>
            <w:tcW w:w="8289"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自动化控制程度低，安全性差，易发生泄漏、中毒、爆炸、火灾等安全生产事故。</w:t>
            </w:r>
          </w:p>
        </w:tc>
        <w:tc>
          <w:tcPr>
            <w:tcW w:w="758"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禁止</w:t>
            </w:r>
          </w:p>
        </w:tc>
        <w:tc>
          <w:tcPr>
            <w:tcW w:w="81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 </w:t>
            </w:r>
          </w:p>
        </w:tc>
        <w:tc>
          <w:tcPr>
            <w:tcW w:w="216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中中低低变换工艺</w:t>
            </w:r>
          </w:p>
        </w:tc>
      </w:tr>
      <w:tr w:rsidR="00481EDB" w:rsidRPr="00687B52" w:rsidTr="00B527D4">
        <w:trPr>
          <w:trHeight w:val="705"/>
          <w:jc w:val="center"/>
        </w:trPr>
        <w:tc>
          <w:tcPr>
            <w:tcW w:w="699"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5</w:t>
            </w:r>
          </w:p>
        </w:tc>
        <w:tc>
          <w:tcPr>
            <w:tcW w:w="2060"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合成氨</w:t>
            </w:r>
            <w:r w:rsidRPr="00687B52">
              <w:rPr>
                <w:rFonts w:ascii="Times New Roman" w:eastAsia="宋体" w:hAnsi="Times New Roman" w:cs="Times New Roman"/>
                <w:color w:val="000000" w:themeColor="text1"/>
                <w:kern w:val="0"/>
                <w:sz w:val="24"/>
                <w:szCs w:val="24"/>
              </w:rPr>
              <w:t>L</w:t>
            </w:r>
            <w:r w:rsidRPr="00687B52">
              <w:rPr>
                <w:rFonts w:ascii="宋体" w:eastAsia="宋体" w:hAnsi="宋体" w:cs="宋体" w:hint="eastAsia"/>
                <w:color w:val="000000" w:themeColor="text1"/>
                <w:kern w:val="0"/>
                <w:sz w:val="24"/>
                <w:szCs w:val="24"/>
              </w:rPr>
              <w:t>型</w:t>
            </w:r>
            <w:r w:rsidRPr="00687B52">
              <w:rPr>
                <w:rFonts w:ascii="Times New Roman" w:eastAsia="宋体" w:hAnsi="Times New Roman" w:cs="Times New Roman"/>
                <w:color w:val="000000" w:themeColor="text1"/>
                <w:kern w:val="0"/>
                <w:sz w:val="24"/>
                <w:szCs w:val="24"/>
              </w:rPr>
              <w:t>HN</w:t>
            </w:r>
            <w:r w:rsidRPr="00687B52">
              <w:rPr>
                <w:rFonts w:ascii="宋体" w:eastAsia="宋体" w:hAnsi="宋体" w:cs="宋体" w:hint="eastAsia"/>
                <w:color w:val="000000" w:themeColor="text1"/>
                <w:kern w:val="0"/>
                <w:sz w:val="24"/>
                <w:szCs w:val="24"/>
              </w:rPr>
              <w:t>气压缩机</w:t>
            </w:r>
          </w:p>
        </w:tc>
        <w:tc>
          <w:tcPr>
            <w:tcW w:w="8289"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静动密封点多，易泄漏，从二段以后的各段分离设备均为小体积压力容器，检测难度大，安全隐患多且排查治理难度大。润滑点多，润滑油脂易带入后工序的气体内，使介质受到污染而影响工艺生产的稳定，进而影响安全生产。单机能力低，自动化控制程度低，安全性差，操作人员的劳动强度大。</w:t>
            </w:r>
          </w:p>
        </w:tc>
        <w:tc>
          <w:tcPr>
            <w:tcW w:w="758"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禁止</w:t>
            </w:r>
          </w:p>
        </w:tc>
        <w:tc>
          <w:tcPr>
            <w:tcW w:w="81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 </w:t>
            </w:r>
          </w:p>
        </w:tc>
        <w:tc>
          <w:tcPr>
            <w:tcW w:w="216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M</w:t>
            </w:r>
            <w:r w:rsidRPr="00687B52">
              <w:rPr>
                <w:rFonts w:ascii="宋体" w:eastAsia="宋体" w:hAnsi="宋体" w:cs="宋体" w:hint="eastAsia"/>
                <w:color w:val="000000" w:themeColor="text1"/>
                <w:kern w:val="0"/>
                <w:sz w:val="24"/>
                <w:szCs w:val="24"/>
              </w:rPr>
              <w:t>型或</w:t>
            </w:r>
            <w:r w:rsidRPr="00687B52">
              <w:rPr>
                <w:rFonts w:ascii="Times New Roman" w:eastAsia="宋体" w:hAnsi="Times New Roman" w:cs="Times New Roman"/>
                <w:color w:val="000000" w:themeColor="text1"/>
                <w:kern w:val="0"/>
                <w:sz w:val="24"/>
                <w:szCs w:val="24"/>
              </w:rPr>
              <w:t>MH</w:t>
            </w:r>
            <w:r w:rsidRPr="00687B52">
              <w:rPr>
                <w:rFonts w:ascii="宋体" w:eastAsia="宋体" w:hAnsi="宋体" w:cs="宋体" w:hint="eastAsia"/>
                <w:color w:val="000000" w:themeColor="text1"/>
                <w:kern w:val="0"/>
                <w:sz w:val="24"/>
                <w:szCs w:val="24"/>
              </w:rPr>
              <w:t>型</w:t>
            </w:r>
            <w:r w:rsidRPr="00687B52">
              <w:rPr>
                <w:rFonts w:ascii="Times New Roman" w:eastAsia="宋体" w:hAnsi="Times New Roman" w:cs="Times New Roman"/>
                <w:color w:val="000000" w:themeColor="text1"/>
                <w:kern w:val="0"/>
                <w:sz w:val="24"/>
                <w:szCs w:val="24"/>
              </w:rPr>
              <w:t>HN</w:t>
            </w:r>
            <w:r w:rsidRPr="00687B52">
              <w:rPr>
                <w:rFonts w:ascii="宋体" w:eastAsia="宋体" w:hAnsi="宋体" w:cs="宋体" w:hint="eastAsia"/>
                <w:color w:val="000000" w:themeColor="text1"/>
                <w:kern w:val="0"/>
                <w:sz w:val="24"/>
                <w:szCs w:val="24"/>
              </w:rPr>
              <w:t>气压缩机</w:t>
            </w:r>
          </w:p>
        </w:tc>
      </w:tr>
      <w:tr w:rsidR="00481EDB" w:rsidRPr="00687B52" w:rsidTr="00B527D4">
        <w:trPr>
          <w:trHeight w:val="705"/>
          <w:jc w:val="center"/>
        </w:trPr>
        <w:tc>
          <w:tcPr>
            <w:tcW w:w="699"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6</w:t>
            </w:r>
          </w:p>
        </w:tc>
        <w:tc>
          <w:tcPr>
            <w:tcW w:w="2060"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硫酸间接法生产仲丁醇</w:t>
            </w:r>
          </w:p>
        </w:tc>
        <w:tc>
          <w:tcPr>
            <w:tcW w:w="8289"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生产过程中产生大量低浓度废硫酸，对设备腐蚀严重，安全性差。</w:t>
            </w:r>
          </w:p>
        </w:tc>
        <w:tc>
          <w:tcPr>
            <w:tcW w:w="758"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禁止</w:t>
            </w:r>
          </w:p>
        </w:tc>
        <w:tc>
          <w:tcPr>
            <w:tcW w:w="81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 </w:t>
            </w:r>
          </w:p>
        </w:tc>
        <w:tc>
          <w:tcPr>
            <w:tcW w:w="216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丁烯直接水合法生产仲丁醇</w:t>
            </w:r>
          </w:p>
        </w:tc>
      </w:tr>
      <w:tr w:rsidR="00481EDB" w:rsidRPr="00687B52" w:rsidTr="00B527D4">
        <w:trPr>
          <w:trHeight w:val="705"/>
          <w:jc w:val="center"/>
        </w:trPr>
        <w:tc>
          <w:tcPr>
            <w:tcW w:w="699"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7</w:t>
            </w:r>
          </w:p>
        </w:tc>
        <w:tc>
          <w:tcPr>
            <w:tcW w:w="2060"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液氯釜式汽化工艺</w:t>
            </w:r>
          </w:p>
        </w:tc>
        <w:tc>
          <w:tcPr>
            <w:tcW w:w="8289"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釜式汽化器中三氯化氮易积累，到一定程度后会产生自爆。</w:t>
            </w:r>
          </w:p>
        </w:tc>
        <w:tc>
          <w:tcPr>
            <w:tcW w:w="758"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禁止</w:t>
            </w:r>
          </w:p>
        </w:tc>
        <w:tc>
          <w:tcPr>
            <w:tcW w:w="81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 </w:t>
            </w:r>
          </w:p>
        </w:tc>
        <w:tc>
          <w:tcPr>
            <w:tcW w:w="216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液氯全汽化工艺，套管式、列管式加热液氯汽化工艺</w:t>
            </w:r>
          </w:p>
        </w:tc>
      </w:tr>
      <w:tr w:rsidR="00481EDB" w:rsidRPr="00687B52" w:rsidTr="00B527D4">
        <w:trPr>
          <w:trHeight w:val="705"/>
          <w:jc w:val="center"/>
        </w:trPr>
        <w:tc>
          <w:tcPr>
            <w:tcW w:w="699"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8</w:t>
            </w:r>
          </w:p>
        </w:tc>
        <w:tc>
          <w:tcPr>
            <w:tcW w:w="2060"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液氯压料包装工艺</w:t>
            </w:r>
          </w:p>
        </w:tc>
        <w:tc>
          <w:tcPr>
            <w:tcW w:w="8289"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液氯储槽加压时，整个储液氯的设备承受压力，一旦操作失误或设备承压能力受限设备失效时，整罐的液氯有失控的危险；如果空气含有水份，则对相关设备造成较大腐蚀；釜式气化使，三氯化氮积累有爆炸危险。</w:t>
            </w:r>
          </w:p>
        </w:tc>
        <w:tc>
          <w:tcPr>
            <w:tcW w:w="758"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禁止</w:t>
            </w:r>
          </w:p>
        </w:tc>
        <w:tc>
          <w:tcPr>
            <w:tcW w:w="81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 </w:t>
            </w:r>
          </w:p>
        </w:tc>
        <w:tc>
          <w:tcPr>
            <w:tcW w:w="216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液下泵充装工艺</w:t>
            </w:r>
          </w:p>
        </w:tc>
      </w:tr>
      <w:tr w:rsidR="00481EDB" w:rsidRPr="00687B52" w:rsidTr="00B527D4">
        <w:trPr>
          <w:trHeight w:val="705"/>
          <w:jc w:val="center"/>
        </w:trPr>
        <w:tc>
          <w:tcPr>
            <w:tcW w:w="699"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9</w:t>
            </w:r>
          </w:p>
        </w:tc>
        <w:tc>
          <w:tcPr>
            <w:tcW w:w="2060"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5-</w:t>
            </w:r>
            <w:r w:rsidRPr="00687B52">
              <w:rPr>
                <w:rFonts w:ascii="宋体" w:eastAsia="宋体" w:hAnsi="宋体" w:cs="宋体" w:hint="eastAsia"/>
                <w:color w:val="000000" w:themeColor="text1"/>
                <w:kern w:val="0"/>
                <w:sz w:val="24"/>
                <w:szCs w:val="24"/>
              </w:rPr>
              <w:t>氯</w:t>
            </w:r>
            <w:r w:rsidRPr="00687B52">
              <w:rPr>
                <w:rFonts w:ascii="Times New Roman" w:eastAsia="宋体" w:hAnsi="Times New Roman" w:cs="Times New Roman"/>
                <w:color w:val="000000" w:themeColor="text1"/>
                <w:kern w:val="0"/>
                <w:sz w:val="24"/>
                <w:szCs w:val="24"/>
              </w:rPr>
              <w:t>-2-</w:t>
            </w:r>
            <w:r w:rsidRPr="00687B52">
              <w:rPr>
                <w:rFonts w:ascii="宋体" w:eastAsia="宋体" w:hAnsi="宋体" w:cs="宋体" w:hint="eastAsia"/>
                <w:color w:val="000000" w:themeColor="text1"/>
                <w:kern w:val="0"/>
                <w:sz w:val="24"/>
                <w:szCs w:val="24"/>
              </w:rPr>
              <w:t>甲基苯胺铁粉还原工艺设备</w:t>
            </w:r>
          </w:p>
        </w:tc>
        <w:tc>
          <w:tcPr>
            <w:tcW w:w="8289"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生产环境较差，容易导致工人中毒等职业病危害。</w:t>
            </w:r>
          </w:p>
        </w:tc>
        <w:tc>
          <w:tcPr>
            <w:tcW w:w="758"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禁止</w:t>
            </w:r>
          </w:p>
        </w:tc>
        <w:tc>
          <w:tcPr>
            <w:tcW w:w="81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 </w:t>
            </w:r>
          </w:p>
        </w:tc>
        <w:tc>
          <w:tcPr>
            <w:tcW w:w="216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5-</w:t>
            </w:r>
            <w:r w:rsidRPr="00687B52">
              <w:rPr>
                <w:rFonts w:ascii="宋体" w:eastAsia="宋体" w:hAnsi="宋体" w:cs="宋体" w:hint="eastAsia"/>
                <w:color w:val="000000" w:themeColor="text1"/>
                <w:kern w:val="0"/>
                <w:sz w:val="24"/>
                <w:szCs w:val="24"/>
              </w:rPr>
              <w:t>氯</w:t>
            </w:r>
            <w:r w:rsidRPr="00687B52">
              <w:rPr>
                <w:rFonts w:ascii="Times New Roman" w:eastAsia="宋体" w:hAnsi="Times New Roman" w:cs="Times New Roman"/>
                <w:color w:val="000000" w:themeColor="text1"/>
                <w:kern w:val="0"/>
                <w:sz w:val="24"/>
                <w:szCs w:val="24"/>
              </w:rPr>
              <w:t>-2-</w:t>
            </w:r>
            <w:r w:rsidRPr="00687B52">
              <w:rPr>
                <w:rFonts w:ascii="宋体" w:eastAsia="宋体" w:hAnsi="宋体" w:cs="宋体" w:hint="eastAsia"/>
                <w:color w:val="000000" w:themeColor="text1"/>
                <w:kern w:val="0"/>
                <w:sz w:val="24"/>
                <w:szCs w:val="24"/>
              </w:rPr>
              <w:t>甲基苯胺加氢还原工艺设备</w:t>
            </w:r>
          </w:p>
        </w:tc>
      </w:tr>
      <w:tr w:rsidR="00481EDB" w:rsidRPr="00687B52" w:rsidTr="00B527D4">
        <w:trPr>
          <w:trHeight w:val="705"/>
          <w:jc w:val="center"/>
        </w:trPr>
        <w:tc>
          <w:tcPr>
            <w:tcW w:w="699"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10</w:t>
            </w:r>
          </w:p>
        </w:tc>
        <w:tc>
          <w:tcPr>
            <w:tcW w:w="2060"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釜式夹套加热液氯气化工艺</w:t>
            </w:r>
          </w:p>
        </w:tc>
        <w:tc>
          <w:tcPr>
            <w:tcW w:w="8289"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釜式夹套加热技术流速低，三氯化氮容易积累，易有爆炸危险。</w:t>
            </w:r>
          </w:p>
        </w:tc>
        <w:tc>
          <w:tcPr>
            <w:tcW w:w="758"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禁止</w:t>
            </w:r>
          </w:p>
        </w:tc>
        <w:tc>
          <w:tcPr>
            <w:tcW w:w="81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 </w:t>
            </w:r>
          </w:p>
        </w:tc>
        <w:tc>
          <w:tcPr>
            <w:tcW w:w="216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套管式、列管式加热液氯气化工艺</w:t>
            </w:r>
          </w:p>
        </w:tc>
      </w:tr>
      <w:tr w:rsidR="00481EDB" w:rsidRPr="00687B52" w:rsidTr="00B527D4">
        <w:trPr>
          <w:trHeight w:val="705"/>
          <w:jc w:val="center"/>
        </w:trPr>
        <w:tc>
          <w:tcPr>
            <w:tcW w:w="699"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11</w:t>
            </w:r>
          </w:p>
        </w:tc>
        <w:tc>
          <w:tcPr>
            <w:tcW w:w="2060"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液氯钢瓶手动充装设备</w:t>
            </w:r>
          </w:p>
        </w:tc>
        <w:tc>
          <w:tcPr>
            <w:tcW w:w="8289"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手动充装易误操作导致泄漏或钢瓶爆炸。</w:t>
            </w:r>
          </w:p>
        </w:tc>
        <w:tc>
          <w:tcPr>
            <w:tcW w:w="758"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禁止</w:t>
            </w:r>
          </w:p>
        </w:tc>
        <w:tc>
          <w:tcPr>
            <w:tcW w:w="81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 </w:t>
            </w:r>
          </w:p>
        </w:tc>
        <w:tc>
          <w:tcPr>
            <w:tcW w:w="216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液氯钢瓶自动安全充装控制系统成套设备</w:t>
            </w:r>
          </w:p>
        </w:tc>
      </w:tr>
      <w:tr w:rsidR="00481EDB" w:rsidRPr="00687B52" w:rsidTr="00B527D4">
        <w:trPr>
          <w:trHeight w:val="705"/>
          <w:jc w:val="center"/>
        </w:trPr>
        <w:tc>
          <w:tcPr>
            <w:tcW w:w="699"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12</w:t>
            </w:r>
          </w:p>
        </w:tc>
        <w:tc>
          <w:tcPr>
            <w:tcW w:w="2060"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三足式离心机</w:t>
            </w:r>
          </w:p>
        </w:tc>
        <w:tc>
          <w:tcPr>
            <w:tcW w:w="8289"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开放式操作设备，易产生震动、挤压、物料喷溅等危险，安全系数较低。</w:t>
            </w:r>
          </w:p>
        </w:tc>
        <w:tc>
          <w:tcPr>
            <w:tcW w:w="758"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禁止</w:t>
            </w:r>
          </w:p>
        </w:tc>
        <w:tc>
          <w:tcPr>
            <w:tcW w:w="81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 </w:t>
            </w:r>
          </w:p>
        </w:tc>
        <w:tc>
          <w:tcPr>
            <w:tcW w:w="216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压滤机或全自动离心机</w:t>
            </w:r>
          </w:p>
        </w:tc>
      </w:tr>
      <w:tr w:rsidR="00481EDB" w:rsidRPr="00687B52" w:rsidTr="00B527D4">
        <w:trPr>
          <w:trHeight w:val="567"/>
          <w:jc w:val="center"/>
        </w:trPr>
        <w:tc>
          <w:tcPr>
            <w:tcW w:w="14786" w:type="dxa"/>
            <w:gridSpan w:val="6"/>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黑体" w:eastAsia="黑体" w:hAnsi="黑体" w:cs="宋体" w:hint="eastAsia"/>
                <w:color w:val="000000" w:themeColor="text1"/>
                <w:kern w:val="0"/>
                <w:sz w:val="24"/>
                <w:szCs w:val="24"/>
              </w:rPr>
              <w:t>二、职业健康领域（</w:t>
            </w:r>
            <w:r w:rsidRPr="00687B52">
              <w:rPr>
                <w:rFonts w:ascii="Times New Roman" w:eastAsia="宋体" w:hAnsi="Times New Roman" w:cs="Times New Roman"/>
                <w:color w:val="000000" w:themeColor="text1"/>
                <w:kern w:val="0"/>
                <w:sz w:val="24"/>
                <w:szCs w:val="24"/>
              </w:rPr>
              <w:t>4</w:t>
            </w:r>
            <w:r w:rsidRPr="00687B52">
              <w:rPr>
                <w:rFonts w:ascii="黑体" w:eastAsia="黑体" w:hAnsi="黑体" w:cs="宋体" w:hint="eastAsia"/>
                <w:color w:val="000000" w:themeColor="text1"/>
                <w:kern w:val="0"/>
                <w:sz w:val="24"/>
                <w:szCs w:val="24"/>
              </w:rPr>
              <w:t>项）</w:t>
            </w:r>
          </w:p>
        </w:tc>
      </w:tr>
      <w:tr w:rsidR="00481EDB" w:rsidRPr="00687B52" w:rsidTr="00B527D4">
        <w:trPr>
          <w:trHeight w:val="705"/>
          <w:jc w:val="center"/>
        </w:trPr>
        <w:tc>
          <w:tcPr>
            <w:tcW w:w="699"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1</w:t>
            </w:r>
          </w:p>
        </w:tc>
        <w:tc>
          <w:tcPr>
            <w:tcW w:w="2060"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不带除尘的砂轮机</w:t>
            </w:r>
          </w:p>
        </w:tc>
        <w:tc>
          <w:tcPr>
            <w:tcW w:w="8289"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在抛光、机械加工企业，在打磨作业过程中会造成大量的粉尘，如打磨铝、镁等物品会产生大量的可燃爆粉尘。在原有设备上加装除尘设备进行改装，可能会造成设备存在安全隐患，达不到安全技术要求。</w:t>
            </w:r>
          </w:p>
        </w:tc>
        <w:tc>
          <w:tcPr>
            <w:tcW w:w="758"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禁止</w:t>
            </w:r>
          </w:p>
        </w:tc>
        <w:tc>
          <w:tcPr>
            <w:tcW w:w="81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 </w:t>
            </w:r>
          </w:p>
        </w:tc>
        <w:tc>
          <w:tcPr>
            <w:tcW w:w="216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带除尘功能的砂轮机</w:t>
            </w:r>
          </w:p>
        </w:tc>
      </w:tr>
      <w:tr w:rsidR="00481EDB" w:rsidRPr="00687B52" w:rsidTr="00B527D4">
        <w:trPr>
          <w:trHeight w:val="705"/>
          <w:jc w:val="center"/>
        </w:trPr>
        <w:tc>
          <w:tcPr>
            <w:tcW w:w="699"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2</w:t>
            </w:r>
          </w:p>
        </w:tc>
        <w:tc>
          <w:tcPr>
            <w:tcW w:w="2060"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无密闭无除尘的干法石棉选矿工艺</w:t>
            </w:r>
          </w:p>
        </w:tc>
        <w:tc>
          <w:tcPr>
            <w:tcW w:w="8289"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作业过程中会产生大量高毒粉尘，对作业人员身体健康产生严重损害。</w:t>
            </w:r>
          </w:p>
        </w:tc>
        <w:tc>
          <w:tcPr>
            <w:tcW w:w="758"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禁止</w:t>
            </w:r>
          </w:p>
        </w:tc>
        <w:tc>
          <w:tcPr>
            <w:tcW w:w="81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 </w:t>
            </w:r>
          </w:p>
        </w:tc>
        <w:tc>
          <w:tcPr>
            <w:tcW w:w="216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湿法石棉洗选工艺或有密闭除尘的干法石棉选矿工艺</w:t>
            </w:r>
          </w:p>
        </w:tc>
      </w:tr>
      <w:tr w:rsidR="00481EDB" w:rsidRPr="00687B52" w:rsidTr="00B527D4">
        <w:trPr>
          <w:trHeight w:val="705"/>
          <w:jc w:val="center"/>
        </w:trPr>
        <w:tc>
          <w:tcPr>
            <w:tcW w:w="699"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3</w:t>
            </w:r>
          </w:p>
        </w:tc>
        <w:tc>
          <w:tcPr>
            <w:tcW w:w="2060"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石英砂干法加工工艺</w:t>
            </w:r>
          </w:p>
        </w:tc>
        <w:tc>
          <w:tcPr>
            <w:tcW w:w="8289"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各级破碎环节容易产生大量粉尘，而石英砂粉尘中游离二氧化硅含量极高，对人体危害很大。</w:t>
            </w:r>
          </w:p>
        </w:tc>
        <w:tc>
          <w:tcPr>
            <w:tcW w:w="758"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限制</w:t>
            </w:r>
          </w:p>
        </w:tc>
        <w:tc>
          <w:tcPr>
            <w:tcW w:w="81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五年内逐步淘汰</w:t>
            </w:r>
          </w:p>
        </w:tc>
        <w:tc>
          <w:tcPr>
            <w:tcW w:w="216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石英砂湿法加工工艺</w:t>
            </w:r>
          </w:p>
        </w:tc>
      </w:tr>
      <w:tr w:rsidR="00481EDB" w:rsidRPr="00687B52" w:rsidTr="00B527D4">
        <w:trPr>
          <w:trHeight w:val="705"/>
          <w:jc w:val="center"/>
        </w:trPr>
        <w:tc>
          <w:tcPr>
            <w:tcW w:w="699"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4</w:t>
            </w:r>
          </w:p>
        </w:tc>
        <w:tc>
          <w:tcPr>
            <w:tcW w:w="2060"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未单独设置喷漆间的木质家具制造喷漆工艺</w:t>
            </w:r>
          </w:p>
        </w:tc>
        <w:tc>
          <w:tcPr>
            <w:tcW w:w="8289"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喷漆环节产生的化学毒物容易对其他工艺作业人员产生危害。</w:t>
            </w:r>
          </w:p>
        </w:tc>
        <w:tc>
          <w:tcPr>
            <w:tcW w:w="758"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禁止</w:t>
            </w:r>
          </w:p>
        </w:tc>
        <w:tc>
          <w:tcPr>
            <w:tcW w:w="81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 </w:t>
            </w:r>
          </w:p>
        </w:tc>
        <w:tc>
          <w:tcPr>
            <w:tcW w:w="216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设置独立的喷漆间</w:t>
            </w:r>
          </w:p>
        </w:tc>
      </w:tr>
      <w:tr w:rsidR="00481EDB" w:rsidRPr="00687B52" w:rsidTr="00B527D4">
        <w:trPr>
          <w:trHeight w:val="567"/>
          <w:jc w:val="center"/>
        </w:trPr>
        <w:tc>
          <w:tcPr>
            <w:tcW w:w="14786" w:type="dxa"/>
            <w:gridSpan w:val="6"/>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黑体" w:eastAsia="黑体" w:hAnsi="黑体" w:cs="宋体" w:hint="eastAsia"/>
                <w:color w:val="000000" w:themeColor="text1"/>
                <w:kern w:val="0"/>
                <w:sz w:val="24"/>
                <w:szCs w:val="24"/>
              </w:rPr>
              <w:t>三、应急救援领域（</w:t>
            </w:r>
            <w:r w:rsidRPr="00687B52">
              <w:rPr>
                <w:rFonts w:ascii="Times New Roman" w:eastAsia="宋体" w:hAnsi="Times New Roman" w:cs="Times New Roman"/>
                <w:color w:val="000000" w:themeColor="text1"/>
                <w:kern w:val="0"/>
                <w:sz w:val="24"/>
                <w:szCs w:val="24"/>
              </w:rPr>
              <w:t>1</w:t>
            </w:r>
            <w:r w:rsidRPr="00687B52">
              <w:rPr>
                <w:rFonts w:ascii="黑体" w:eastAsia="黑体" w:hAnsi="黑体" w:cs="宋体" w:hint="eastAsia"/>
                <w:color w:val="000000" w:themeColor="text1"/>
                <w:kern w:val="0"/>
                <w:sz w:val="24"/>
                <w:szCs w:val="24"/>
              </w:rPr>
              <w:t>项）</w:t>
            </w:r>
          </w:p>
        </w:tc>
      </w:tr>
      <w:tr w:rsidR="00481EDB" w:rsidRPr="00687B52" w:rsidTr="00B527D4">
        <w:trPr>
          <w:trHeight w:val="705"/>
          <w:jc w:val="center"/>
        </w:trPr>
        <w:tc>
          <w:tcPr>
            <w:tcW w:w="699"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1</w:t>
            </w:r>
          </w:p>
        </w:tc>
        <w:tc>
          <w:tcPr>
            <w:tcW w:w="2060"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负压氧气呼吸器</w:t>
            </w:r>
          </w:p>
        </w:tc>
        <w:tc>
          <w:tcPr>
            <w:tcW w:w="8289"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使用过程中呼吸器整个系统内的压力是正负交替进行，呼气时系统内的压力高于外界的大气压，而在吸气时系统内的压力又会低于外界的大气压，一旦口鼻具松动或脱落，容易造成人员受有害气体伤害，安全性较低。</w:t>
            </w:r>
          </w:p>
        </w:tc>
        <w:tc>
          <w:tcPr>
            <w:tcW w:w="758"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禁止</w:t>
            </w:r>
          </w:p>
        </w:tc>
        <w:tc>
          <w:tcPr>
            <w:tcW w:w="81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Times New Roman" w:eastAsia="宋体" w:hAnsi="Times New Roman" w:cs="Times New Roman"/>
                <w:color w:val="000000" w:themeColor="text1"/>
                <w:kern w:val="0"/>
                <w:sz w:val="24"/>
                <w:szCs w:val="24"/>
              </w:rPr>
              <w:t> </w:t>
            </w:r>
          </w:p>
        </w:tc>
        <w:tc>
          <w:tcPr>
            <w:tcW w:w="2165" w:type="dxa"/>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正压氧气呼吸器</w:t>
            </w:r>
          </w:p>
        </w:tc>
      </w:tr>
    </w:tbl>
    <w:p w:rsidR="00481EDB" w:rsidRPr="00687B52" w:rsidRDefault="00481EDB" w:rsidP="00980275">
      <w:pPr>
        <w:pStyle w:val="ae"/>
        <w:ind w:firstLine="560"/>
        <w:rPr>
          <w:color w:val="000000" w:themeColor="text1"/>
        </w:rPr>
      </w:pPr>
    </w:p>
    <w:p w:rsidR="00481EDB" w:rsidRPr="00687B52" w:rsidRDefault="00481EDB" w:rsidP="00481EDB">
      <w:pPr>
        <w:pStyle w:val="aff"/>
        <w:rPr>
          <w:color w:val="000000" w:themeColor="text1"/>
        </w:rPr>
        <w:sectPr w:rsidR="00481EDB" w:rsidRPr="00687B52">
          <w:pgSz w:w="16838" w:h="11906" w:orient="landscape"/>
          <w:pgMar w:top="1418" w:right="1134" w:bottom="1134" w:left="1134" w:header="851" w:footer="992" w:gutter="0"/>
          <w:cols w:space="425"/>
          <w:docGrid w:type="lines" w:linePitch="312"/>
        </w:sectPr>
      </w:pPr>
    </w:p>
    <w:p w:rsidR="00481EDB" w:rsidRPr="00687B52" w:rsidRDefault="00481EDB" w:rsidP="00763863">
      <w:pPr>
        <w:pStyle w:val="aff2"/>
        <w:ind w:firstLine="562"/>
        <w:rPr>
          <w:color w:val="000000" w:themeColor="text1"/>
          <w:sz w:val="24"/>
        </w:rPr>
      </w:pPr>
      <w:bookmarkStart w:id="127" w:name="_Toc491870811"/>
      <w:bookmarkStart w:id="128" w:name="_Toc492555577"/>
      <w:bookmarkStart w:id="129" w:name="_Toc492557260"/>
      <w:bookmarkStart w:id="130" w:name="_Toc492557330"/>
      <w:bookmarkStart w:id="131" w:name="_Toc492557593"/>
      <w:bookmarkStart w:id="132" w:name="_Toc492557962"/>
      <w:bookmarkStart w:id="133" w:name="_Toc492559535"/>
      <w:bookmarkStart w:id="134" w:name="_Toc492563465"/>
      <w:bookmarkStart w:id="135" w:name="_Toc492564082"/>
      <w:bookmarkStart w:id="136" w:name="_Toc492634915"/>
      <w:bookmarkStart w:id="137" w:name="_Toc493857066"/>
      <w:r w:rsidRPr="00687B52">
        <w:rPr>
          <w:rFonts w:hint="eastAsia"/>
          <w:color w:val="000000" w:themeColor="text1"/>
        </w:rPr>
        <w:t>附</w:t>
      </w:r>
      <w:r w:rsidR="00980275" w:rsidRPr="00687B52">
        <w:rPr>
          <w:rFonts w:hint="eastAsia"/>
          <w:color w:val="000000" w:themeColor="text1"/>
        </w:rPr>
        <w:t>2</w:t>
      </w:r>
      <w:r w:rsidRPr="00687B52">
        <w:rPr>
          <w:rFonts w:hint="eastAsia"/>
          <w:color w:val="000000" w:themeColor="text1"/>
        </w:rPr>
        <w:t xml:space="preserve">.3 </w:t>
      </w:r>
      <w:r w:rsidRPr="00687B52">
        <w:rPr>
          <w:rFonts w:hint="eastAsia"/>
          <w:color w:val="000000" w:themeColor="text1"/>
        </w:rPr>
        <w:t>《国家安全监管总局关于印发淘汰落后安全技术工艺、设备目录（</w:t>
      </w:r>
      <w:r w:rsidRPr="00687B52">
        <w:rPr>
          <w:rFonts w:ascii="Calibri" w:hAnsi="Calibri"/>
          <w:color w:val="000000" w:themeColor="text1"/>
        </w:rPr>
        <w:t>20</w:t>
      </w:r>
      <w:r w:rsidRPr="00687B52">
        <w:rPr>
          <w:color w:val="000000" w:themeColor="text1"/>
        </w:rPr>
        <w:t>16</w:t>
      </w:r>
      <w:r w:rsidRPr="00687B52">
        <w:rPr>
          <w:rFonts w:hint="eastAsia"/>
          <w:color w:val="000000" w:themeColor="text1"/>
        </w:rPr>
        <w:t>年）的通知》（安监总科技〔</w:t>
      </w:r>
      <w:r w:rsidRPr="00687B52">
        <w:rPr>
          <w:rFonts w:hint="eastAsia"/>
          <w:color w:val="000000" w:themeColor="text1"/>
        </w:rPr>
        <w:t>2016</w:t>
      </w:r>
      <w:r w:rsidRPr="00687B52">
        <w:rPr>
          <w:rFonts w:hint="eastAsia"/>
          <w:color w:val="000000" w:themeColor="text1"/>
        </w:rPr>
        <w:t>〕</w:t>
      </w:r>
      <w:r w:rsidRPr="00687B52">
        <w:rPr>
          <w:rFonts w:hint="eastAsia"/>
          <w:color w:val="000000" w:themeColor="text1"/>
        </w:rPr>
        <w:t>137</w:t>
      </w:r>
      <w:r w:rsidRPr="00687B52">
        <w:rPr>
          <w:rFonts w:hint="eastAsia"/>
          <w:color w:val="000000" w:themeColor="text1"/>
        </w:rPr>
        <w:t>号）有关要求</w:t>
      </w:r>
      <w:bookmarkEnd w:id="127"/>
      <w:bookmarkEnd w:id="128"/>
      <w:bookmarkEnd w:id="129"/>
      <w:bookmarkEnd w:id="130"/>
      <w:bookmarkEnd w:id="131"/>
      <w:bookmarkEnd w:id="132"/>
      <w:bookmarkEnd w:id="133"/>
      <w:bookmarkEnd w:id="134"/>
      <w:bookmarkEnd w:id="135"/>
      <w:bookmarkEnd w:id="136"/>
      <w:bookmarkEnd w:id="137"/>
    </w:p>
    <w:p w:rsidR="00481EDB" w:rsidRPr="00687B52" w:rsidRDefault="00481EDB" w:rsidP="00856B6C">
      <w:pPr>
        <w:pStyle w:val="afd"/>
        <w:rPr>
          <w:color w:val="000000" w:themeColor="text1"/>
        </w:rPr>
      </w:pPr>
      <w:bookmarkStart w:id="138" w:name="_Toc491870812"/>
      <w:bookmarkStart w:id="139" w:name="_Toc492563466"/>
      <w:bookmarkStart w:id="140" w:name="_Toc493857067"/>
      <w:r w:rsidRPr="00687B52">
        <w:rPr>
          <w:rFonts w:hint="eastAsia"/>
          <w:color w:val="000000" w:themeColor="text1"/>
        </w:rPr>
        <w:t>淘汰落后安全技术工艺、设备目录（</w:t>
      </w:r>
      <w:r w:rsidRPr="00687B52">
        <w:rPr>
          <w:rFonts w:hint="eastAsia"/>
          <w:color w:val="000000" w:themeColor="text1"/>
        </w:rPr>
        <w:t>2016</w:t>
      </w:r>
      <w:r w:rsidRPr="00687B52">
        <w:rPr>
          <w:rFonts w:hint="eastAsia"/>
          <w:color w:val="000000" w:themeColor="text1"/>
        </w:rPr>
        <w:t>年）</w:t>
      </w:r>
      <w:bookmarkEnd w:id="138"/>
      <w:bookmarkEnd w:id="139"/>
      <w:bookmarkEnd w:id="140"/>
    </w:p>
    <w:tbl>
      <w:tblPr>
        <w:tblW w:w="147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99"/>
        <w:gridCol w:w="2117"/>
        <w:gridCol w:w="6761"/>
        <w:gridCol w:w="920"/>
        <w:gridCol w:w="1895"/>
        <w:gridCol w:w="2394"/>
      </w:tblGrid>
      <w:tr w:rsidR="00481EDB" w:rsidRPr="00687B52" w:rsidTr="00B527D4">
        <w:trPr>
          <w:trHeight w:val="540"/>
          <w:tblHeader/>
          <w:jc w:val="center"/>
        </w:trPr>
        <w:tc>
          <w:tcPr>
            <w:tcW w:w="699"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b/>
                <w:bCs/>
                <w:color w:val="000000" w:themeColor="text1"/>
                <w:kern w:val="0"/>
                <w:sz w:val="24"/>
                <w:szCs w:val="24"/>
              </w:rPr>
              <w:t>序号</w:t>
            </w:r>
          </w:p>
        </w:tc>
        <w:tc>
          <w:tcPr>
            <w:tcW w:w="2117"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b/>
                <w:bCs/>
                <w:color w:val="000000" w:themeColor="text1"/>
                <w:kern w:val="0"/>
                <w:sz w:val="24"/>
                <w:szCs w:val="24"/>
              </w:rPr>
              <w:t>淘汰的落后</w:t>
            </w:r>
          </w:p>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b/>
                <w:bCs/>
                <w:color w:val="000000" w:themeColor="text1"/>
                <w:kern w:val="0"/>
                <w:sz w:val="24"/>
                <w:szCs w:val="24"/>
              </w:rPr>
              <w:t>技术装备名称</w:t>
            </w:r>
          </w:p>
        </w:tc>
        <w:tc>
          <w:tcPr>
            <w:tcW w:w="6761"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b/>
                <w:bCs/>
                <w:color w:val="000000" w:themeColor="text1"/>
                <w:kern w:val="0"/>
                <w:sz w:val="24"/>
                <w:szCs w:val="24"/>
              </w:rPr>
              <w:t>淘汰原因</w:t>
            </w:r>
          </w:p>
        </w:tc>
        <w:tc>
          <w:tcPr>
            <w:tcW w:w="920"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b/>
                <w:bCs/>
                <w:color w:val="000000" w:themeColor="text1"/>
                <w:kern w:val="0"/>
                <w:sz w:val="24"/>
                <w:szCs w:val="24"/>
              </w:rPr>
              <w:t>建议淘汰类型</w:t>
            </w:r>
          </w:p>
        </w:tc>
        <w:tc>
          <w:tcPr>
            <w:tcW w:w="1895"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b/>
                <w:bCs/>
                <w:color w:val="000000" w:themeColor="text1"/>
                <w:kern w:val="0"/>
                <w:sz w:val="24"/>
                <w:szCs w:val="24"/>
              </w:rPr>
              <w:t>建议</w:t>
            </w:r>
          </w:p>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b/>
                <w:bCs/>
                <w:color w:val="000000" w:themeColor="text1"/>
                <w:kern w:val="0"/>
                <w:sz w:val="24"/>
                <w:szCs w:val="24"/>
              </w:rPr>
              <w:t>限制范围</w:t>
            </w:r>
          </w:p>
        </w:tc>
        <w:tc>
          <w:tcPr>
            <w:tcW w:w="2394" w:type="dxa"/>
            <w:shd w:val="clear" w:color="auto" w:fill="auto"/>
            <w:tcMar>
              <w:top w:w="0" w:type="dxa"/>
              <w:left w:w="108" w:type="dxa"/>
              <w:bottom w:w="0" w:type="dxa"/>
              <w:right w:w="108" w:type="dxa"/>
            </w:tcMar>
            <w:vAlign w:val="center"/>
          </w:tcPr>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b/>
                <w:bCs/>
                <w:color w:val="000000" w:themeColor="text1"/>
                <w:kern w:val="0"/>
                <w:sz w:val="24"/>
                <w:szCs w:val="24"/>
              </w:rPr>
              <w:t>代替的技术</w:t>
            </w:r>
          </w:p>
          <w:p w:rsidR="00481EDB" w:rsidRPr="00687B52" w:rsidRDefault="00481EDB" w:rsidP="00B527D4">
            <w:pPr>
              <w:widowControl/>
              <w:jc w:val="center"/>
              <w:rPr>
                <w:rFonts w:ascii="宋体" w:eastAsia="宋体" w:hAnsi="宋体" w:cs="宋体"/>
                <w:color w:val="000000" w:themeColor="text1"/>
                <w:kern w:val="0"/>
                <w:sz w:val="24"/>
                <w:szCs w:val="24"/>
              </w:rPr>
            </w:pPr>
            <w:r w:rsidRPr="00687B52">
              <w:rPr>
                <w:rFonts w:ascii="宋体" w:eastAsia="宋体" w:hAnsi="宋体" w:cs="宋体" w:hint="eastAsia"/>
                <w:b/>
                <w:bCs/>
                <w:color w:val="000000" w:themeColor="text1"/>
                <w:kern w:val="0"/>
                <w:sz w:val="24"/>
                <w:szCs w:val="24"/>
              </w:rPr>
              <w:t>装备名称</w:t>
            </w:r>
          </w:p>
        </w:tc>
      </w:tr>
      <w:tr w:rsidR="00481EDB" w:rsidRPr="00687B52" w:rsidTr="00B527D4">
        <w:trPr>
          <w:trHeight w:val="624"/>
          <w:jc w:val="center"/>
        </w:trPr>
        <w:tc>
          <w:tcPr>
            <w:tcW w:w="14786" w:type="dxa"/>
            <w:gridSpan w:val="6"/>
            <w:shd w:val="clear" w:color="auto" w:fill="auto"/>
            <w:tcMar>
              <w:top w:w="0" w:type="dxa"/>
              <w:left w:w="108" w:type="dxa"/>
              <w:bottom w:w="0" w:type="dxa"/>
              <w:right w:w="108" w:type="dxa"/>
            </w:tcMar>
            <w:vAlign w:val="center"/>
          </w:tcPr>
          <w:p w:rsidR="00481EDB" w:rsidRPr="00687B52" w:rsidRDefault="00481EDB" w:rsidP="00B527D4">
            <w:pPr>
              <w:widowControl/>
              <w:jc w:val="left"/>
              <w:rPr>
                <w:rFonts w:ascii="宋体" w:eastAsia="宋体" w:hAnsi="宋体" w:cs="宋体"/>
                <w:color w:val="000000" w:themeColor="text1"/>
                <w:kern w:val="0"/>
                <w:sz w:val="24"/>
                <w:szCs w:val="24"/>
              </w:rPr>
            </w:pPr>
            <w:r w:rsidRPr="00687B52">
              <w:rPr>
                <w:rFonts w:ascii="黑体" w:eastAsia="黑体" w:hAnsi="黑体" w:cs="宋体" w:hint="eastAsia"/>
                <w:color w:val="000000" w:themeColor="text1"/>
                <w:kern w:val="0"/>
                <w:sz w:val="24"/>
                <w:szCs w:val="24"/>
              </w:rPr>
              <w:t>二、危险化学品</w:t>
            </w:r>
          </w:p>
        </w:tc>
      </w:tr>
      <w:tr w:rsidR="00481EDB" w:rsidRPr="00687B52" w:rsidTr="00B527D4">
        <w:trPr>
          <w:trHeight w:val="705"/>
          <w:jc w:val="center"/>
        </w:trPr>
        <w:tc>
          <w:tcPr>
            <w:tcW w:w="699" w:type="dxa"/>
            <w:shd w:val="clear" w:color="auto" w:fill="auto"/>
            <w:tcMar>
              <w:top w:w="0" w:type="dxa"/>
              <w:left w:w="108" w:type="dxa"/>
              <w:bottom w:w="0" w:type="dxa"/>
              <w:right w:w="108" w:type="dxa"/>
            </w:tcMar>
            <w:vAlign w:val="center"/>
          </w:tcPr>
          <w:p w:rsidR="00481EDB" w:rsidRPr="00687B52" w:rsidRDefault="00481EDB" w:rsidP="00B527D4">
            <w:pPr>
              <w:pStyle w:val="a7"/>
              <w:rPr>
                <w:color w:val="000000" w:themeColor="text1"/>
                <w:szCs w:val="28"/>
              </w:rPr>
            </w:pPr>
            <w:r w:rsidRPr="00687B52">
              <w:rPr>
                <w:rFonts w:hint="eastAsia"/>
                <w:color w:val="000000" w:themeColor="text1"/>
                <w:szCs w:val="28"/>
              </w:rPr>
              <w:t>9</w:t>
            </w:r>
          </w:p>
        </w:tc>
        <w:tc>
          <w:tcPr>
            <w:tcW w:w="2117" w:type="dxa"/>
            <w:shd w:val="clear" w:color="auto" w:fill="auto"/>
            <w:tcMar>
              <w:top w:w="0" w:type="dxa"/>
              <w:left w:w="108" w:type="dxa"/>
              <w:bottom w:w="0" w:type="dxa"/>
              <w:right w:w="108" w:type="dxa"/>
            </w:tcMar>
            <w:vAlign w:val="center"/>
          </w:tcPr>
          <w:p w:rsidR="00481EDB" w:rsidRPr="00687B52" w:rsidRDefault="00481EDB" w:rsidP="00B527D4">
            <w:pPr>
              <w:pStyle w:val="a7"/>
              <w:rPr>
                <w:color w:val="000000" w:themeColor="text1"/>
                <w:szCs w:val="28"/>
              </w:rPr>
            </w:pPr>
            <w:r w:rsidRPr="00687B52">
              <w:rPr>
                <w:rFonts w:hint="eastAsia"/>
                <w:color w:val="000000" w:themeColor="text1"/>
                <w:szCs w:val="28"/>
              </w:rPr>
              <w:t>间歇焦炭法二硫化碳工艺</w:t>
            </w:r>
          </w:p>
        </w:tc>
        <w:tc>
          <w:tcPr>
            <w:tcW w:w="6761" w:type="dxa"/>
            <w:shd w:val="clear" w:color="auto" w:fill="auto"/>
            <w:tcMar>
              <w:top w:w="0" w:type="dxa"/>
              <w:left w:w="108" w:type="dxa"/>
              <w:bottom w:w="0" w:type="dxa"/>
              <w:right w:w="108" w:type="dxa"/>
            </w:tcMar>
            <w:vAlign w:val="center"/>
          </w:tcPr>
          <w:p w:rsidR="00481EDB" w:rsidRPr="00687B52" w:rsidRDefault="00481EDB" w:rsidP="00B527D4">
            <w:pPr>
              <w:pStyle w:val="a7"/>
              <w:rPr>
                <w:color w:val="000000" w:themeColor="text1"/>
                <w:szCs w:val="28"/>
              </w:rPr>
            </w:pPr>
            <w:r w:rsidRPr="00687B52">
              <w:rPr>
                <w:rFonts w:hint="eastAsia"/>
                <w:color w:val="000000" w:themeColor="text1"/>
                <w:szCs w:val="28"/>
              </w:rPr>
              <w:t>上世纪</w:t>
            </w:r>
            <w:r w:rsidRPr="00687B52">
              <w:rPr>
                <w:rFonts w:hint="eastAsia"/>
                <w:color w:val="000000" w:themeColor="text1"/>
                <w:szCs w:val="28"/>
              </w:rPr>
              <w:t>80</w:t>
            </w:r>
            <w:r w:rsidRPr="00687B52">
              <w:rPr>
                <w:rFonts w:hint="eastAsia"/>
                <w:color w:val="000000" w:themeColor="text1"/>
                <w:szCs w:val="28"/>
              </w:rPr>
              <w:t>年代国外已淘汰该工艺及设备。存在高污染、高环境危害等问题，同时易发生泄漏、中毒、爆炸等生产安全事故，安全隐患突出。</w:t>
            </w:r>
          </w:p>
        </w:tc>
        <w:tc>
          <w:tcPr>
            <w:tcW w:w="920" w:type="dxa"/>
            <w:shd w:val="clear" w:color="auto" w:fill="auto"/>
            <w:tcMar>
              <w:top w:w="0" w:type="dxa"/>
              <w:left w:w="108" w:type="dxa"/>
              <w:bottom w:w="0" w:type="dxa"/>
              <w:right w:w="108" w:type="dxa"/>
            </w:tcMar>
            <w:vAlign w:val="center"/>
          </w:tcPr>
          <w:p w:rsidR="00481EDB" w:rsidRPr="00687B52" w:rsidRDefault="00481EDB" w:rsidP="00B527D4">
            <w:pPr>
              <w:pStyle w:val="a7"/>
              <w:rPr>
                <w:color w:val="000000" w:themeColor="text1"/>
                <w:szCs w:val="28"/>
              </w:rPr>
            </w:pPr>
            <w:r w:rsidRPr="00687B52">
              <w:rPr>
                <w:rFonts w:hint="eastAsia"/>
                <w:color w:val="000000" w:themeColor="text1"/>
                <w:szCs w:val="28"/>
              </w:rPr>
              <w:t>限制</w:t>
            </w:r>
          </w:p>
        </w:tc>
        <w:tc>
          <w:tcPr>
            <w:tcW w:w="1895" w:type="dxa"/>
            <w:shd w:val="clear" w:color="auto" w:fill="auto"/>
            <w:tcMar>
              <w:top w:w="0" w:type="dxa"/>
              <w:left w:w="108" w:type="dxa"/>
              <w:bottom w:w="0" w:type="dxa"/>
              <w:right w:w="108" w:type="dxa"/>
            </w:tcMar>
            <w:vAlign w:val="center"/>
          </w:tcPr>
          <w:p w:rsidR="00481EDB" w:rsidRPr="00687B52" w:rsidRDefault="00481EDB" w:rsidP="00B527D4">
            <w:pPr>
              <w:pStyle w:val="a7"/>
              <w:rPr>
                <w:color w:val="000000" w:themeColor="text1"/>
                <w:szCs w:val="28"/>
              </w:rPr>
            </w:pPr>
            <w:r w:rsidRPr="00687B52">
              <w:rPr>
                <w:rFonts w:hint="eastAsia"/>
                <w:color w:val="000000" w:themeColor="text1"/>
                <w:szCs w:val="28"/>
              </w:rPr>
              <w:t>新建二硫化碳生产项目禁止使用。</w:t>
            </w:r>
          </w:p>
        </w:tc>
        <w:tc>
          <w:tcPr>
            <w:tcW w:w="2394" w:type="dxa"/>
            <w:shd w:val="clear" w:color="auto" w:fill="auto"/>
            <w:tcMar>
              <w:top w:w="0" w:type="dxa"/>
              <w:left w:w="108" w:type="dxa"/>
              <w:bottom w:w="0" w:type="dxa"/>
              <w:right w:w="108" w:type="dxa"/>
            </w:tcMar>
            <w:vAlign w:val="center"/>
          </w:tcPr>
          <w:p w:rsidR="00481EDB" w:rsidRPr="00687B52" w:rsidRDefault="00481EDB" w:rsidP="00B527D4">
            <w:pPr>
              <w:pStyle w:val="a7"/>
              <w:rPr>
                <w:color w:val="000000" w:themeColor="text1"/>
                <w:szCs w:val="28"/>
              </w:rPr>
            </w:pPr>
            <w:r w:rsidRPr="00687B52">
              <w:rPr>
                <w:rFonts w:hint="eastAsia"/>
                <w:color w:val="000000" w:themeColor="text1"/>
                <w:szCs w:val="28"/>
              </w:rPr>
              <w:t>天然气法二硫化碳工艺</w:t>
            </w:r>
          </w:p>
        </w:tc>
      </w:tr>
      <w:tr w:rsidR="00481EDB" w:rsidRPr="00687B52" w:rsidTr="00B527D4">
        <w:trPr>
          <w:trHeight w:val="705"/>
          <w:jc w:val="center"/>
        </w:trPr>
        <w:tc>
          <w:tcPr>
            <w:tcW w:w="14786" w:type="dxa"/>
            <w:gridSpan w:val="6"/>
            <w:shd w:val="clear" w:color="auto" w:fill="auto"/>
            <w:tcMar>
              <w:top w:w="0" w:type="dxa"/>
              <w:left w:w="108" w:type="dxa"/>
              <w:bottom w:w="0" w:type="dxa"/>
              <w:right w:w="108" w:type="dxa"/>
            </w:tcMar>
            <w:vAlign w:val="center"/>
          </w:tcPr>
          <w:p w:rsidR="00481EDB" w:rsidRPr="00687B52" w:rsidRDefault="00481EDB" w:rsidP="00B527D4">
            <w:pPr>
              <w:widowControl/>
              <w:jc w:val="left"/>
              <w:rPr>
                <w:color w:val="000000" w:themeColor="text1"/>
                <w:szCs w:val="28"/>
              </w:rPr>
            </w:pPr>
            <w:r w:rsidRPr="00687B52">
              <w:rPr>
                <w:rFonts w:ascii="黑体" w:eastAsia="黑体" w:hAnsi="黑体" w:cs="宋体" w:hint="eastAsia"/>
                <w:color w:val="000000" w:themeColor="text1"/>
                <w:kern w:val="0"/>
                <w:sz w:val="24"/>
                <w:szCs w:val="24"/>
              </w:rPr>
              <w:t>三、工贸企业</w:t>
            </w:r>
          </w:p>
        </w:tc>
      </w:tr>
      <w:tr w:rsidR="00481EDB" w:rsidRPr="00687B52" w:rsidTr="00B527D4">
        <w:trPr>
          <w:trHeight w:val="705"/>
          <w:jc w:val="center"/>
        </w:trPr>
        <w:tc>
          <w:tcPr>
            <w:tcW w:w="699" w:type="dxa"/>
            <w:shd w:val="clear" w:color="auto" w:fill="auto"/>
            <w:tcMar>
              <w:top w:w="0" w:type="dxa"/>
              <w:left w:w="108" w:type="dxa"/>
              <w:bottom w:w="0" w:type="dxa"/>
              <w:right w:w="108" w:type="dxa"/>
            </w:tcMar>
            <w:vAlign w:val="center"/>
          </w:tcPr>
          <w:p w:rsidR="00481EDB" w:rsidRPr="00687B52" w:rsidRDefault="00481EDB" w:rsidP="00B527D4">
            <w:pPr>
              <w:pStyle w:val="a7"/>
              <w:rPr>
                <w:color w:val="000000" w:themeColor="text1"/>
                <w:szCs w:val="28"/>
              </w:rPr>
            </w:pPr>
            <w:r w:rsidRPr="00687B52">
              <w:rPr>
                <w:rFonts w:hint="eastAsia"/>
                <w:color w:val="000000" w:themeColor="text1"/>
                <w:szCs w:val="28"/>
              </w:rPr>
              <w:t>10</w:t>
            </w:r>
          </w:p>
        </w:tc>
        <w:tc>
          <w:tcPr>
            <w:tcW w:w="2117" w:type="dxa"/>
            <w:shd w:val="clear" w:color="auto" w:fill="auto"/>
            <w:tcMar>
              <w:top w:w="0" w:type="dxa"/>
              <w:left w:w="108" w:type="dxa"/>
              <w:bottom w:w="0" w:type="dxa"/>
              <w:right w:w="108" w:type="dxa"/>
            </w:tcMar>
            <w:vAlign w:val="center"/>
          </w:tcPr>
          <w:p w:rsidR="00481EDB" w:rsidRPr="00687B52" w:rsidRDefault="00481EDB" w:rsidP="00B527D4">
            <w:pPr>
              <w:pStyle w:val="a7"/>
              <w:rPr>
                <w:color w:val="000000" w:themeColor="text1"/>
                <w:szCs w:val="28"/>
              </w:rPr>
            </w:pPr>
            <w:r w:rsidRPr="00687B52">
              <w:rPr>
                <w:rFonts w:hint="eastAsia"/>
                <w:color w:val="000000" w:themeColor="text1"/>
                <w:szCs w:val="28"/>
              </w:rPr>
              <w:t>金属打磨工艺的砖槽式通风道</w:t>
            </w:r>
          </w:p>
        </w:tc>
        <w:tc>
          <w:tcPr>
            <w:tcW w:w="6761" w:type="dxa"/>
            <w:shd w:val="clear" w:color="auto" w:fill="auto"/>
            <w:tcMar>
              <w:top w:w="0" w:type="dxa"/>
              <w:left w:w="108" w:type="dxa"/>
              <w:bottom w:w="0" w:type="dxa"/>
              <w:right w:w="108" w:type="dxa"/>
            </w:tcMar>
            <w:vAlign w:val="center"/>
          </w:tcPr>
          <w:p w:rsidR="00481EDB" w:rsidRPr="00687B52" w:rsidRDefault="00481EDB" w:rsidP="00B527D4">
            <w:pPr>
              <w:pStyle w:val="a7"/>
              <w:rPr>
                <w:color w:val="000000" w:themeColor="text1"/>
                <w:szCs w:val="28"/>
              </w:rPr>
            </w:pPr>
            <w:r w:rsidRPr="00687B52">
              <w:rPr>
                <w:rFonts w:hint="eastAsia"/>
                <w:color w:val="000000" w:themeColor="text1"/>
                <w:szCs w:val="28"/>
              </w:rPr>
              <w:t>容易造成粉尘沉降，导致静电累积，安全隐患大，易发生粉尘爆炸事故。</w:t>
            </w:r>
          </w:p>
        </w:tc>
        <w:tc>
          <w:tcPr>
            <w:tcW w:w="920" w:type="dxa"/>
            <w:shd w:val="clear" w:color="auto" w:fill="auto"/>
            <w:tcMar>
              <w:top w:w="0" w:type="dxa"/>
              <w:left w:w="108" w:type="dxa"/>
              <w:bottom w:w="0" w:type="dxa"/>
              <w:right w:w="108" w:type="dxa"/>
            </w:tcMar>
            <w:vAlign w:val="center"/>
          </w:tcPr>
          <w:p w:rsidR="00481EDB" w:rsidRPr="00687B52" w:rsidRDefault="00481EDB" w:rsidP="00B527D4">
            <w:pPr>
              <w:pStyle w:val="a7"/>
              <w:rPr>
                <w:color w:val="000000" w:themeColor="text1"/>
                <w:szCs w:val="28"/>
              </w:rPr>
            </w:pPr>
            <w:r w:rsidRPr="00687B52">
              <w:rPr>
                <w:rFonts w:hint="eastAsia"/>
                <w:color w:val="000000" w:themeColor="text1"/>
                <w:szCs w:val="28"/>
              </w:rPr>
              <w:t>禁止</w:t>
            </w:r>
          </w:p>
        </w:tc>
        <w:tc>
          <w:tcPr>
            <w:tcW w:w="1895" w:type="dxa"/>
            <w:shd w:val="clear" w:color="auto" w:fill="auto"/>
            <w:tcMar>
              <w:top w:w="0" w:type="dxa"/>
              <w:left w:w="108" w:type="dxa"/>
              <w:bottom w:w="0" w:type="dxa"/>
              <w:right w:w="108" w:type="dxa"/>
            </w:tcMar>
            <w:vAlign w:val="center"/>
          </w:tcPr>
          <w:p w:rsidR="00481EDB" w:rsidRPr="00687B52" w:rsidRDefault="00481EDB" w:rsidP="00B527D4">
            <w:pPr>
              <w:pStyle w:val="a7"/>
              <w:rPr>
                <w:color w:val="000000" w:themeColor="text1"/>
                <w:szCs w:val="28"/>
              </w:rPr>
            </w:pPr>
            <w:r w:rsidRPr="00687B52">
              <w:rPr>
                <w:rFonts w:hint="eastAsia"/>
                <w:color w:val="000000" w:themeColor="text1"/>
                <w:szCs w:val="28"/>
              </w:rPr>
              <w:t>1</w:t>
            </w:r>
            <w:r w:rsidRPr="00687B52">
              <w:rPr>
                <w:rFonts w:hint="eastAsia"/>
                <w:color w:val="000000" w:themeColor="text1"/>
                <w:szCs w:val="28"/>
              </w:rPr>
              <w:t>年后禁止使用。</w:t>
            </w:r>
          </w:p>
        </w:tc>
        <w:tc>
          <w:tcPr>
            <w:tcW w:w="2394" w:type="dxa"/>
            <w:shd w:val="clear" w:color="auto" w:fill="auto"/>
            <w:tcMar>
              <w:top w:w="0" w:type="dxa"/>
              <w:left w:w="108" w:type="dxa"/>
              <w:bottom w:w="0" w:type="dxa"/>
              <w:right w:w="108" w:type="dxa"/>
            </w:tcMar>
            <w:vAlign w:val="center"/>
          </w:tcPr>
          <w:p w:rsidR="00481EDB" w:rsidRPr="00687B52" w:rsidRDefault="00481EDB" w:rsidP="00B527D4">
            <w:pPr>
              <w:pStyle w:val="a7"/>
              <w:rPr>
                <w:color w:val="000000" w:themeColor="text1"/>
                <w:szCs w:val="28"/>
              </w:rPr>
            </w:pPr>
            <w:r w:rsidRPr="00687B52">
              <w:rPr>
                <w:rFonts w:hint="eastAsia"/>
                <w:color w:val="000000" w:themeColor="text1"/>
                <w:szCs w:val="28"/>
              </w:rPr>
              <w:t>金属通风管道</w:t>
            </w:r>
          </w:p>
        </w:tc>
      </w:tr>
      <w:tr w:rsidR="00481EDB" w:rsidRPr="00687B52" w:rsidTr="00B527D4">
        <w:trPr>
          <w:trHeight w:val="705"/>
          <w:jc w:val="center"/>
        </w:trPr>
        <w:tc>
          <w:tcPr>
            <w:tcW w:w="14786" w:type="dxa"/>
            <w:gridSpan w:val="6"/>
            <w:shd w:val="clear" w:color="auto" w:fill="auto"/>
            <w:tcMar>
              <w:top w:w="0" w:type="dxa"/>
              <w:left w:w="108" w:type="dxa"/>
              <w:bottom w:w="0" w:type="dxa"/>
              <w:right w:w="108" w:type="dxa"/>
            </w:tcMar>
            <w:vAlign w:val="center"/>
          </w:tcPr>
          <w:p w:rsidR="00481EDB" w:rsidRPr="00687B52" w:rsidRDefault="00481EDB" w:rsidP="00B527D4">
            <w:pPr>
              <w:widowControl/>
              <w:jc w:val="left"/>
              <w:rPr>
                <w:color w:val="000000" w:themeColor="text1"/>
                <w:szCs w:val="28"/>
              </w:rPr>
            </w:pPr>
            <w:r w:rsidRPr="00687B52">
              <w:rPr>
                <w:rFonts w:ascii="黑体" w:eastAsia="黑体" w:hAnsi="黑体" w:cs="宋体" w:hint="eastAsia"/>
                <w:color w:val="000000" w:themeColor="text1"/>
                <w:kern w:val="0"/>
                <w:sz w:val="24"/>
                <w:szCs w:val="24"/>
              </w:rPr>
              <w:t>四、职业健康</w:t>
            </w:r>
          </w:p>
        </w:tc>
      </w:tr>
      <w:tr w:rsidR="00481EDB" w:rsidRPr="00687B52" w:rsidTr="00B527D4">
        <w:trPr>
          <w:trHeight w:val="705"/>
          <w:jc w:val="center"/>
        </w:trPr>
        <w:tc>
          <w:tcPr>
            <w:tcW w:w="699" w:type="dxa"/>
            <w:shd w:val="clear" w:color="auto" w:fill="auto"/>
            <w:tcMar>
              <w:top w:w="0" w:type="dxa"/>
              <w:left w:w="108" w:type="dxa"/>
              <w:bottom w:w="0" w:type="dxa"/>
              <w:right w:w="108" w:type="dxa"/>
            </w:tcMar>
            <w:vAlign w:val="center"/>
          </w:tcPr>
          <w:p w:rsidR="00481EDB" w:rsidRPr="00687B52" w:rsidRDefault="00481EDB" w:rsidP="00B527D4">
            <w:pPr>
              <w:pStyle w:val="a7"/>
              <w:rPr>
                <w:color w:val="000000" w:themeColor="text1"/>
                <w:szCs w:val="28"/>
              </w:rPr>
            </w:pPr>
            <w:r w:rsidRPr="00687B52">
              <w:rPr>
                <w:rFonts w:hint="eastAsia"/>
                <w:color w:val="000000" w:themeColor="text1"/>
                <w:szCs w:val="28"/>
              </w:rPr>
              <w:t>11</w:t>
            </w:r>
          </w:p>
        </w:tc>
        <w:tc>
          <w:tcPr>
            <w:tcW w:w="2117" w:type="dxa"/>
            <w:shd w:val="clear" w:color="auto" w:fill="auto"/>
            <w:tcMar>
              <w:top w:w="0" w:type="dxa"/>
              <w:left w:w="108" w:type="dxa"/>
              <w:bottom w:w="0" w:type="dxa"/>
              <w:right w:w="108" w:type="dxa"/>
            </w:tcMar>
            <w:vAlign w:val="center"/>
          </w:tcPr>
          <w:p w:rsidR="00481EDB" w:rsidRPr="00687B52" w:rsidRDefault="00481EDB" w:rsidP="00B527D4">
            <w:pPr>
              <w:pStyle w:val="a7"/>
              <w:rPr>
                <w:color w:val="000000" w:themeColor="text1"/>
                <w:szCs w:val="28"/>
              </w:rPr>
            </w:pPr>
            <w:r w:rsidRPr="00687B52">
              <w:rPr>
                <w:rFonts w:hint="eastAsia"/>
                <w:color w:val="000000" w:themeColor="text1"/>
                <w:szCs w:val="28"/>
              </w:rPr>
              <w:t>鞋和箱包制造领域有害物质超标的胶粘工艺</w:t>
            </w:r>
          </w:p>
        </w:tc>
        <w:tc>
          <w:tcPr>
            <w:tcW w:w="6761" w:type="dxa"/>
            <w:shd w:val="clear" w:color="auto" w:fill="auto"/>
            <w:tcMar>
              <w:top w:w="0" w:type="dxa"/>
              <w:left w:w="108" w:type="dxa"/>
              <w:bottom w:w="0" w:type="dxa"/>
              <w:right w:w="108" w:type="dxa"/>
            </w:tcMar>
            <w:vAlign w:val="center"/>
          </w:tcPr>
          <w:p w:rsidR="00481EDB" w:rsidRPr="00687B52" w:rsidRDefault="00481EDB" w:rsidP="00B527D4">
            <w:pPr>
              <w:pStyle w:val="a7"/>
              <w:rPr>
                <w:color w:val="000000" w:themeColor="text1"/>
                <w:szCs w:val="28"/>
              </w:rPr>
            </w:pPr>
            <w:r w:rsidRPr="00687B52">
              <w:rPr>
                <w:rFonts w:hint="eastAsia"/>
                <w:color w:val="000000" w:themeColor="text1"/>
                <w:szCs w:val="28"/>
              </w:rPr>
              <w:t>胶粘剂中苯、正己烷、</w:t>
            </w:r>
            <w:r w:rsidRPr="00687B52">
              <w:rPr>
                <w:rFonts w:hint="eastAsia"/>
                <w:color w:val="000000" w:themeColor="text1"/>
                <w:szCs w:val="28"/>
              </w:rPr>
              <w:t>1,2</w:t>
            </w:r>
            <w:r w:rsidRPr="00687B52">
              <w:rPr>
                <w:rFonts w:hint="eastAsia"/>
                <w:color w:val="000000" w:themeColor="text1"/>
                <w:szCs w:val="28"/>
              </w:rPr>
              <w:t>一二氯乙烷等有害物质超标，职业病危害严重，不符合《鞋和箱包用胶粘剂》（</w:t>
            </w:r>
            <w:r w:rsidRPr="00687B52">
              <w:rPr>
                <w:rFonts w:hint="eastAsia"/>
                <w:color w:val="000000" w:themeColor="text1"/>
                <w:szCs w:val="28"/>
              </w:rPr>
              <w:t>GB19340</w:t>
            </w:r>
            <w:r w:rsidRPr="00687B52">
              <w:rPr>
                <w:rFonts w:hint="eastAsia"/>
                <w:color w:val="000000" w:themeColor="text1"/>
                <w:szCs w:val="28"/>
              </w:rPr>
              <w:t>）标准规定。</w:t>
            </w:r>
          </w:p>
        </w:tc>
        <w:tc>
          <w:tcPr>
            <w:tcW w:w="920" w:type="dxa"/>
            <w:shd w:val="clear" w:color="auto" w:fill="auto"/>
            <w:tcMar>
              <w:top w:w="0" w:type="dxa"/>
              <w:left w:w="108" w:type="dxa"/>
              <w:bottom w:w="0" w:type="dxa"/>
              <w:right w:w="108" w:type="dxa"/>
            </w:tcMar>
            <w:vAlign w:val="center"/>
          </w:tcPr>
          <w:p w:rsidR="00481EDB" w:rsidRPr="00687B52" w:rsidRDefault="00481EDB" w:rsidP="00B527D4">
            <w:pPr>
              <w:pStyle w:val="a7"/>
              <w:rPr>
                <w:color w:val="000000" w:themeColor="text1"/>
                <w:szCs w:val="28"/>
              </w:rPr>
            </w:pPr>
            <w:r w:rsidRPr="00687B52">
              <w:rPr>
                <w:rFonts w:hint="eastAsia"/>
                <w:color w:val="000000" w:themeColor="text1"/>
                <w:szCs w:val="28"/>
              </w:rPr>
              <w:t>限制</w:t>
            </w:r>
          </w:p>
        </w:tc>
        <w:tc>
          <w:tcPr>
            <w:tcW w:w="1895" w:type="dxa"/>
            <w:shd w:val="clear" w:color="auto" w:fill="auto"/>
            <w:tcMar>
              <w:top w:w="0" w:type="dxa"/>
              <w:left w:w="108" w:type="dxa"/>
              <w:bottom w:w="0" w:type="dxa"/>
              <w:right w:w="108" w:type="dxa"/>
            </w:tcMar>
            <w:vAlign w:val="center"/>
          </w:tcPr>
          <w:p w:rsidR="00481EDB" w:rsidRPr="00687B52" w:rsidRDefault="00481EDB" w:rsidP="00B527D4">
            <w:pPr>
              <w:pStyle w:val="a7"/>
              <w:rPr>
                <w:color w:val="000000" w:themeColor="text1"/>
                <w:szCs w:val="28"/>
              </w:rPr>
            </w:pPr>
            <w:r w:rsidRPr="00687B52">
              <w:rPr>
                <w:rFonts w:hint="eastAsia"/>
                <w:color w:val="000000" w:themeColor="text1"/>
                <w:szCs w:val="28"/>
              </w:rPr>
              <w:t>1</w:t>
            </w:r>
            <w:r w:rsidRPr="00687B52">
              <w:rPr>
                <w:rFonts w:hint="eastAsia"/>
                <w:color w:val="000000" w:themeColor="text1"/>
                <w:szCs w:val="28"/>
              </w:rPr>
              <w:t>年后禁止使用。</w:t>
            </w:r>
          </w:p>
        </w:tc>
        <w:tc>
          <w:tcPr>
            <w:tcW w:w="2394" w:type="dxa"/>
            <w:shd w:val="clear" w:color="auto" w:fill="auto"/>
            <w:tcMar>
              <w:top w:w="0" w:type="dxa"/>
              <w:left w:w="108" w:type="dxa"/>
              <w:bottom w:w="0" w:type="dxa"/>
              <w:right w:w="108" w:type="dxa"/>
            </w:tcMar>
            <w:vAlign w:val="center"/>
          </w:tcPr>
          <w:p w:rsidR="00481EDB" w:rsidRPr="00687B52" w:rsidRDefault="00481EDB" w:rsidP="00B527D4">
            <w:pPr>
              <w:pStyle w:val="a7"/>
              <w:rPr>
                <w:color w:val="000000" w:themeColor="text1"/>
                <w:szCs w:val="28"/>
              </w:rPr>
            </w:pPr>
            <w:r w:rsidRPr="00687B52">
              <w:rPr>
                <w:rFonts w:hint="eastAsia"/>
                <w:color w:val="000000" w:themeColor="text1"/>
                <w:szCs w:val="28"/>
              </w:rPr>
              <w:t>鞋和箱包制造领域低毒或毒物质未超标的胶粘工艺</w:t>
            </w:r>
          </w:p>
        </w:tc>
      </w:tr>
    </w:tbl>
    <w:p w:rsidR="00481EDB" w:rsidRPr="00687B52" w:rsidRDefault="00481EDB" w:rsidP="00481EDB">
      <w:pPr>
        <w:rPr>
          <w:color w:val="000000" w:themeColor="text1"/>
        </w:rPr>
        <w:sectPr w:rsidR="00481EDB" w:rsidRPr="00687B52">
          <w:pgSz w:w="16838" w:h="11906" w:orient="landscape"/>
          <w:pgMar w:top="1418" w:right="1134" w:bottom="1134" w:left="1134" w:header="851" w:footer="992" w:gutter="0"/>
          <w:cols w:space="425"/>
          <w:docGrid w:type="lines" w:linePitch="312"/>
        </w:sectPr>
      </w:pPr>
    </w:p>
    <w:p w:rsidR="00481EDB" w:rsidRPr="00687B52" w:rsidRDefault="00481EDB" w:rsidP="00763863">
      <w:pPr>
        <w:pStyle w:val="aff2"/>
        <w:ind w:firstLine="562"/>
        <w:rPr>
          <w:color w:val="000000" w:themeColor="text1"/>
        </w:rPr>
      </w:pPr>
      <w:bookmarkStart w:id="141" w:name="_Toc491870813"/>
      <w:bookmarkStart w:id="142" w:name="_Toc492555578"/>
      <w:bookmarkStart w:id="143" w:name="_Toc492557261"/>
      <w:bookmarkStart w:id="144" w:name="_Toc492557331"/>
      <w:bookmarkStart w:id="145" w:name="_Toc492557594"/>
      <w:bookmarkStart w:id="146" w:name="_Toc492557963"/>
      <w:bookmarkStart w:id="147" w:name="_Toc492559536"/>
      <w:bookmarkStart w:id="148" w:name="_Toc492563467"/>
      <w:bookmarkStart w:id="149" w:name="_Toc492564083"/>
      <w:bookmarkStart w:id="150" w:name="_Toc492634916"/>
      <w:bookmarkStart w:id="151" w:name="_Toc493857068"/>
      <w:r w:rsidRPr="00687B52">
        <w:rPr>
          <w:rFonts w:hint="eastAsia"/>
          <w:color w:val="000000" w:themeColor="text1"/>
        </w:rPr>
        <w:t>附</w:t>
      </w:r>
      <w:r w:rsidR="00980275" w:rsidRPr="00687B52">
        <w:rPr>
          <w:rFonts w:hint="eastAsia"/>
          <w:color w:val="000000" w:themeColor="text1"/>
        </w:rPr>
        <w:t>2</w:t>
      </w:r>
      <w:r w:rsidRPr="00687B52">
        <w:rPr>
          <w:rFonts w:hint="eastAsia"/>
          <w:color w:val="000000" w:themeColor="text1"/>
        </w:rPr>
        <w:t>.4</w:t>
      </w:r>
      <w:r w:rsidRPr="00687B52">
        <w:rPr>
          <w:rFonts w:hint="eastAsia"/>
          <w:color w:val="000000" w:themeColor="text1"/>
        </w:rPr>
        <w:t>《个体防护装备选用规范》</w:t>
      </w:r>
      <w:r w:rsidRPr="00687B52">
        <w:rPr>
          <w:rFonts w:hint="eastAsia"/>
          <w:color w:val="000000" w:themeColor="text1"/>
        </w:rPr>
        <w:t>GB11651-2008</w:t>
      </w:r>
      <w:r w:rsidRPr="00687B52">
        <w:rPr>
          <w:rFonts w:hint="eastAsia"/>
          <w:color w:val="000000" w:themeColor="text1"/>
        </w:rPr>
        <w:t>有关要求</w:t>
      </w:r>
      <w:bookmarkEnd w:id="141"/>
      <w:bookmarkEnd w:id="142"/>
      <w:bookmarkEnd w:id="143"/>
      <w:bookmarkEnd w:id="144"/>
      <w:bookmarkEnd w:id="145"/>
      <w:bookmarkEnd w:id="146"/>
      <w:bookmarkEnd w:id="147"/>
      <w:bookmarkEnd w:id="148"/>
      <w:bookmarkEnd w:id="149"/>
      <w:bookmarkEnd w:id="150"/>
      <w:bookmarkEnd w:id="151"/>
    </w:p>
    <w:p w:rsidR="00481EDB" w:rsidRPr="00687B52" w:rsidRDefault="00481EDB" w:rsidP="00856B6C">
      <w:pPr>
        <w:pStyle w:val="afd"/>
        <w:rPr>
          <w:color w:val="000000" w:themeColor="text1"/>
        </w:rPr>
      </w:pPr>
      <w:bookmarkStart w:id="152" w:name="_Toc491868952"/>
      <w:bookmarkStart w:id="153" w:name="_Toc491870814"/>
      <w:bookmarkStart w:id="154" w:name="_Toc492563468"/>
      <w:bookmarkStart w:id="155" w:name="_Toc493857069"/>
      <w:r w:rsidRPr="00687B52">
        <w:rPr>
          <w:rFonts w:hint="eastAsia"/>
          <w:color w:val="000000" w:themeColor="text1"/>
        </w:rPr>
        <w:t>第</w:t>
      </w:r>
      <w:r w:rsidRPr="00687B52">
        <w:rPr>
          <w:rFonts w:hint="eastAsia"/>
          <w:color w:val="000000" w:themeColor="text1"/>
        </w:rPr>
        <w:t>6.1</w:t>
      </w:r>
      <w:r w:rsidRPr="00687B52">
        <w:rPr>
          <w:rFonts w:hint="eastAsia"/>
          <w:color w:val="000000" w:themeColor="text1"/>
        </w:rPr>
        <w:t>条</w:t>
      </w:r>
      <w:bookmarkEnd w:id="152"/>
      <w:r w:rsidRPr="00687B52">
        <w:rPr>
          <w:rFonts w:hint="eastAsia"/>
          <w:color w:val="000000" w:themeColor="text1"/>
        </w:rPr>
        <w:t>表</w:t>
      </w:r>
      <w:r w:rsidRPr="00687B52">
        <w:rPr>
          <w:rFonts w:hint="eastAsia"/>
          <w:color w:val="000000" w:themeColor="text1"/>
        </w:rPr>
        <w:t xml:space="preserve">3 </w:t>
      </w:r>
      <w:r w:rsidRPr="00687B52">
        <w:rPr>
          <w:color w:val="000000" w:themeColor="text1"/>
        </w:rPr>
        <w:t>个体防护装备的选用</w:t>
      </w:r>
      <w:bookmarkEnd w:id="153"/>
      <w:bookmarkEnd w:id="154"/>
      <w:bookmarkEnd w:id="155"/>
    </w:p>
    <w:tbl>
      <w:tblPr>
        <w:tblW w:w="95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69"/>
        <w:gridCol w:w="1059"/>
        <w:gridCol w:w="2453"/>
        <w:gridCol w:w="2595"/>
        <w:gridCol w:w="2644"/>
      </w:tblGrid>
      <w:tr w:rsidR="00481EDB" w:rsidRPr="00687B52" w:rsidTr="00B527D4">
        <w:trPr>
          <w:trHeight w:val="247"/>
          <w:tblHeader/>
          <w:jc w:val="center"/>
        </w:trPr>
        <w:tc>
          <w:tcPr>
            <w:tcW w:w="4281" w:type="dxa"/>
            <w:gridSpan w:val="3"/>
            <w:shd w:val="clear" w:color="auto" w:fill="FFFFFF"/>
            <w:vAlign w:val="center"/>
          </w:tcPr>
          <w:p w:rsidR="00481EDB" w:rsidRPr="00687B52" w:rsidRDefault="00481EDB" w:rsidP="00B527D4">
            <w:pPr>
              <w:pStyle w:val="a7"/>
              <w:rPr>
                <w:rFonts w:hAnsi="Times New Roman"/>
                <w:color w:val="000000" w:themeColor="text1"/>
              </w:rPr>
            </w:pPr>
            <w:r w:rsidRPr="00687B52">
              <w:rPr>
                <w:color w:val="000000" w:themeColor="text1"/>
              </w:rPr>
              <w:t>作业类别</w:t>
            </w:r>
          </w:p>
        </w:tc>
        <w:tc>
          <w:tcPr>
            <w:tcW w:w="2595" w:type="dxa"/>
            <w:vMerge w:val="restart"/>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color w:val="000000" w:themeColor="text1"/>
              </w:rPr>
              <w:t>可以使用的防护用品</w:t>
            </w:r>
          </w:p>
        </w:tc>
        <w:tc>
          <w:tcPr>
            <w:tcW w:w="2644" w:type="dxa"/>
            <w:vMerge w:val="restart"/>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color w:val="000000" w:themeColor="text1"/>
              </w:rPr>
              <w:t>建议使用的防护用品</w:t>
            </w:r>
          </w:p>
        </w:tc>
      </w:tr>
      <w:tr w:rsidR="00481EDB" w:rsidRPr="00687B52" w:rsidTr="00B527D4">
        <w:trPr>
          <w:trHeight w:val="433"/>
          <w:tblHeader/>
          <w:jc w:val="center"/>
        </w:trPr>
        <w:tc>
          <w:tcPr>
            <w:tcW w:w="769"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color w:val="000000" w:themeColor="text1"/>
              </w:rPr>
              <w:t>编号</w:t>
            </w:r>
          </w:p>
        </w:tc>
        <w:tc>
          <w:tcPr>
            <w:tcW w:w="3512" w:type="dxa"/>
            <w:gridSpan w:val="2"/>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color w:val="000000" w:themeColor="text1"/>
              </w:rPr>
              <w:t>类别名称</w:t>
            </w:r>
          </w:p>
        </w:tc>
        <w:tc>
          <w:tcPr>
            <w:tcW w:w="2595" w:type="dxa"/>
            <w:vMerge/>
            <w:shd w:val="clear" w:color="auto" w:fill="FFFFFF"/>
            <w:vAlign w:val="center"/>
          </w:tcPr>
          <w:p w:rsidR="00481EDB" w:rsidRPr="00687B52" w:rsidRDefault="00481EDB" w:rsidP="00B527D4">
            <w:pPr>
              <w:pStyle w:val="a7"/>
              <w:rPr>
                <w:rFonts w:hAnsi="Times New Roman"/>
                <w:color w:val="000000" w:themeColor="text1"/>
              </w:rPr>
            </w:pPr>
          </w:p>
        </w:tc>
        <w:tc>
          <w:tcPr>
            <w:tcW w:w="2644" w:type="dxa"/>
            <w:vMerge/>
            <w:shd w:val="clear" w:color="auto" w:fill="FFFFFF"/>
            <w:vAlign w:val="center"/>
          </w:tcPr>
          <w:p w:rsidR="00481EDB" w:rsidRPr="00687B52" w:rsidRDefault="00481EDB" w:rsidP="00B527D4">
            <w:pPr>
              <w:pStyle w:val="a7"/>
              <w:rPr>
                <w:rFonts w:hAnsi="Times New Roman"/>
                <w:color w:val="000000" w:themeColor="text1"/>
              </w:rPr>
            </w:pPr>
          </w:p>
        </w:tc>
      </w:tr>
      <w:tr w:rsidR="00481EDB" w:rsidRPr="00687B52" w:rsidTr="00B527D4">
        <w:trPr>
          <w:trHeight w:val="805"/>
          <w:jc w:val="center"/>
        </w:trPr>
        <w:tc>
          <w:tcPr>
            <w:tcW w:w="769" w:type="dxa"/>
            <w:shd w:val="clear" w:color="auto" w:fill="FFFFFF"/>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A01</w:t>
            </w:r>
          </w:p>
        </w:tc>
        <w:tc>
          <w:tcPr>
            <w:tcW w:w="3512" w:type="dxa"/>
            <w:gridSpan w:val="2"/>
            <w:shd w:val="clear" w:color="auto" w:fill="FFFFFF"/>
            <w:vAlign w:val="center"/>
          </w:tcPr>
          <w:p w:rsidR="00481EDB" w:rsidRPr="00687B52" w:rsidRDefault="00481EDB" w:rsidP="00B527D4">
            <w:pPr>
              <w:pStyle w:val="a7"/>
              <w:rPr>
                <w:rFonts w:hAnsi="Times New Roman"/>
                <w:color w:val="000000" w:themeColor="text1"/>
              </w:rPr>
            </w:pPr>
            <w:r w:rsidRPr="00687B52">
              <w:rPr>
                <w:color w:val="000000" w:themeColor="text1"/>
              </w:rPr>
              <w:t>存在物体坠落、撞击的作业</w:t>
            </w:r>
          </w:p>
        </w:tc>
        <w:tc>
          <w:tcPr>
            <w:tcW w:w="2595"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B02</w:t>
            </w:r>
            <w:r w:rsidRPr="00687B52">
              <w:rPr>
                <w:color w:val="000000" w:themeColor="text1"/>
              </w:rPr>
              <w:t>安全帽</w:t>
            </w:r>
          </w:p>
          <w:p w:rsidR="00481EDB" w:rsidRPr="00687B52" w:rsidRDefault="00481EDB" w:rsidP="00B527D4">
            <w:pPr>
              <w:pStyle w:val="a7"/>
              <w:rPr>
                <w:rFonts w:hAnsi="Times New Roman"/>
                <w:color w:val="000000" w:themeColor="text1"/>
              </w:rPr>
            </w:pPr>
            <w:r w:rsidRPr="00687B52">
              <w:rPr>
                <w:rFonts w:hAnsi="Times New Roman"/>
                <w:color w:val="000000" w:themeColor="text1"/>
              </w:rPr>
              <w:t>B39</w:t>
            </w:r>
            <w:r w:rsidRPr="00687B52">
              <w:rPr>
                <w:color w:val="000000" w:themeColor="text1"/>
              </w:rPr>
              <w:t>防砸鞋</w:t>
            </w:r>
            <w:r w:rsidRPr="00687B52">
              <w:rPr>
                <w:rFonts w:hAnsi="Times New Roman"/>
                <w:color w:val="000000" w:themeColor="text1"/>
              </w:rPr>
              <w:t>(</w:t>
            </w:r>
            <w:r w:rsidRPr="00687B52">
              <w:rPr>
                <w:color w:val="000000" w:themeColor="text1"/>
              </w:rPr>
              <w:t>靴</w:t>
            </w:r>
            <w:r w:rsidRPr="00687B52">
              <w:rPr>
                <w:rFonts w:hAnsi="Times New Roman"/>
                <w:color w:val="000000" w:themeColor="text1"/>
              </w:rPr>
              <w:t>)</w:t>
            </w:r>
          </w:p>
          <w:p w:rsidR="00481EDB" w:rsidRPr="00687B52" w:rsidRDefault="00481EDB" w:rsidP="00B527D4">
            <w:pPr>
              <w:pStyle w:val="a7"/>
              <w:rPr>
                <w:rFonts w:hAnsi="Times New Roman"/>
                <w:color w:val="000000" w:themeColor="text1"/>
              </w:rPr>
            </w:pPr>
            <w:r w:rsidRPr="00687B52">
              <w:rPr>
                <w:rFonts w:hAnsi="Times New Roman"/>
                <w:color w:val="000000" w:themeColor="text1"/>
              </w:rPr>
              <w:t>B41</w:t>
            </w:r>
            <w:r w:rsidRPr="00687B52">
              <w:rPr>
                <w:color w:val="000000" w:themeColor="text1"/>
              </w:rPr>
              <w:t>防剌穿鞋</w:t>
            </w:r>
          </w:p>
          <w:p w:rsidR="00481EDB" w:rsidRPr="00687B52" w:rsidRDefault="00481EDB" w:rsidP="00B527D4">
            <w:pPr>
              <w:pStyle w:val="a7"/>
              <w:rPr>
                <w:rFonts w:hAnsi="Times New Roman"/>
                <w:color w:val="000000" w:themeColor="text1"/>
              </w:rPr>
            </w:pPr>
            <w:r w:rsidRPr="00687B52">
              <w:rPr>
                <w:rFonts w:hAnsi="Times New Roman"/>
                <w:color w:val="000000" w:themeColor="text1"/>
              </w:rPr>
              <w:t>B68</w:t>
            </w:r>
            <w:r w:rsidRPr="00687B52">
              <w:rPr>
                <w:color w:val="000000" w:themeColor="text1"/>
              </w:rPr>
              <w:t>安全网</w:t>
            </w:r>
          </w:p>
        </w:tc>
        <w:tc>
          <w:tcPr>
            <w:tcW w:w="2644"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B40</w:t>
            </w:r>
            <w:r w:rsidRPr="00687B52">
              <w:rPr>
                <w:color w:val="000000" w:themeColor="text1"/>
              </w:rPr>
              <w:t>防滑鞋</w:t>
            </w:r>
          </w:p>
        </w:tc>
      </w:tr>
      <w:tr w:rsidR="00481EDB" w:rsidRPr="00687B52" w:rsidTr="00B527D4">
        <w:trPr>
          <w:trHeight w:val="619"/>
          <w:jc w:val="center"/>
        </w:trPr>
        <w:tc>
          <w:tcPr>
            <w:tcW w:w="769" w:type="dxa"/>
            <w:shd w:val="clear" w:color="auto" w:fill="FFFFFF"/>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A02</w:t>
            </w:r>
          </w:p>
        </w:tc>
        <w:tc>
          <w:tcPr>
            <w:tcW w:w="3512" w:type="dxa"/>
            <w:gridSpan w:val="2"/>
            <w:shd w:val="clear" w:color="auto" w:fill="FFFFFF"/>
            <w:vAlign w:val="center"/>
          </w:tcPr>
          <w:p w:rsidR="00481EDB" w:rsidRPr="00687B52" w:rsidRDefault="00481EDB" w:rsidP="00B527D4">
            <w:pPr>
              <w:pStyle w:val="a7"/>
              <w:rPr>
                <w:rFonts w:hAnsi="Times New Roman"/>
                <w:color w:val="000000" w:themeColor="text1"/>
              </w:rPr>
            </w:pPr>
            <w:r w:rsidRPr="00687B52">
              <w:rPr>
                <w:color w:val="000000" w:themeColor="text1"/>
              </w:rPr>
              <w:t>有碎屑飞溅的作业</w:t>
            </w:r>
          </w:p>
        </w:tc>
        <w:tc>
          <w:tcPr>
            <w:tcW w:w="2595"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B02</w:t>
            </w:r>
            <w:r w:rsidRPr="00687B52">
              <w:rPr>
                <w:color w:val="000000" w:themeColor="text1"/>
              </w:rPr>
              <w:t>安全帽</w:t>
            </w:r>
          </w:p>
          <w:p w:rsidR="00481EDB" w:rsidRPr="00687B52" w:rsidRDefault="00481EDB" w:rsidP="00B527D4">
            <w:pPr>
              <w:pStyle w:val="a7"/>
              <w:rPr>
                <w:rFonts w:hAnsi="Times New Roman"/>
                <w:color w:val="000000" w:themeColor="text1"/>
              </w:rPr>
            </w:pPr>
            <w:r w:rsidRPr="00687B52">
              <w:rPr>
                <w:rFonts w:hAnsi="Times New Roman"/>
                <w:color w:val="000000" w:themeColor="text1"/>
              </w:rPr>
              <w:t xml:space="preserve">B10 </w:t>
            </w:r>
            <w:r w:rsidRPr="00687B52">
              <w:rPr>
                <w:color w:val="000000" w:themeColor="text1"/>
              </w:rPr>
              <w:t>防冲击护目镜</w:t>
            </w:r>
          </w:p>
          <w:p w:rsidR="00481EDB" w:rsidRPr="00687B52" w:rsidRDefault="00481EDB" w:rsidP="00B527D4">
            <w:pPr>
              <w:pStyle w:val="a7"/>
              <w:rPr>
                <w:rFonts w:hAnsi="Times New Roman"/>
                <w:color w:val="000000" w:themeColor="text1"/>
              </w:rPr>
            </w:pPr>
            <w:r w:rsidRPr="00687B52">
              <w:rPr>
                <w:rFonts w:hAnsi="Times New Roman"/>
                <w:color w:val="000000" w:themeColor="text1"/>
              </w:rPr>
              <w:t>B46—</w:t>
            </w:r>
            <w:r w:rsidRPr="00687B52">
              <w:rPr>
                <w:color w:val="000000" w:themeColor="text1"/>
              </w:rPr>
              <w:t>般防护服</w:t>
            </w:r>
          </w:p>
        </w:tc>
        <w:tc>
          <w:tcPr>
            <w:tcW w:w="2644"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B30</w:t>
            </w:r>
            <w:r w:rsidRPr="00687B52">
              <w:rPr>
                <w:color w:val="000000" w:themeColor="text1"/>
              </w:rPr>
              <w:t>防机械伤害手套</w:t>
            </w:r>
          </w:p>
        </w:tc>
      </w:tr>
      <w:tr w:rsidR="00481EDB" w:rsidRPr="00687B52" w:rsidTr="00B527D4">
        <w:trPr>
          <w:trHeight w:val="805"/>
          <w:jc w:val="center"/>
        </w:trPr>
        <w:tc>
          <w:tcPr>
            <w:tcW w:w="769" w:type="dxa"/>
            <w:shd w:val="clear" w:color="auto" w:fill="FFFFFF"/>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A03</w:t>
            </w:r>
          </w:p>
        </w:tc>
        <w:tc>
          <w:tcPr>
            <w:tcW w:w="3512" w:type="dxa"/>
            <w:gridSpan w:val="2"/>
            <w:shd w:val="clear" w:color="auto" w:fill="FFFFFF"/>
            <w:vAlign w:val="center"/>
          </w:tcPr>
          <w:p w:rsidR="00481EDB" w:rsidRPr="00687B52" w:rsidRDefault="00481EDB" w:rsidP="00B527D4">
            <w:pPr>
              <w:pStyle w:val="a7"/>
              <w:rPr>
                <w:rFonts w:hAnsi="Times New Roman"/>
                <w:color w:val="000000" w:themeColor="text1"/>
              </w:rPr>
            </w:pPr>
            <w:r w:rsidRPr="00687B52">
              <w:rPr>
                <w:color w:val="000000" w:themeColor="text1"/>
              </w:rPr>
              <w:t>操作转动机械作业</w:t>
            </w:r>
          </w:p>
        </w:tc>
        <w:tc>
          <w:tcPr>
            <w:tcW w:w="2595"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B01</w:t>
            </w:r>
            <w:r w:rsidRPr="00687B52">
              <w:rPr>
                <w:color w:val="000000" w:themeColor="text1"/>
              </w:rPr>
              <w:t>工作帽</w:t>
            </w:r>
          </w:p>
          <w:p w:rsidR="00481EDB" w:rsidRPr="00687B52" w:rsidRDefault="00481EDB" w:rsidP="00B527D4">
            <w:pPr>
              <w:pStyle w:val="a7"/>
              <w:rPr>
                <w:rFonts w:hAnsi="Times New Roman"/>
                <w:color w:val="000000" w:themeColor="text1"/>
              </w:rPr>
            </w:pPr>
            <w:r w:rsidRPr="00687B52">
              <w:rPr>
                <w:rFonts w:hAnsi="Times New Roman"/>
                <w:color w:val="000000" w:themeColor="text1"/>
              </w:rPr>
              <w:t>B10</w:t>
            </w:r>
            <w:r w:rsidRPr="00687B52">
              <w:rPr>
                <w:color w:val="000000" w:themeColor="text1"/>
              </w:rPr>
              <w:t>防冲击护目镜</w:t>
            </w:r>
          </w:p>
          <w:p w:rsidR="00481EDB" w:rsidRPr="00687B52" w:rsidRDefault="00481EDB" w:rsidP="00B527D4">
            <w:pPr>
              <w:pStyle w:val="a7"/>
              <w:rPr>
                <w:rFonts w:hAnsi="Times New Roman"/>
                <w:color w:val="000000" w:themeColor="text1"/>
              </w:rPr>
            </w:pPr>
            <w:r w:rsidRPr="00687B52">
              <w:rPr>
                <w:rFonts w:hAnsi="Times New Roman"/>
                <w:color w:val="000000" w:themeColor="text1"/>
              </w:rPr>
              <w:t>B71</w:t>
            </w:r>
            <w:r w:rsidRPr="00687B52">
              <w:rPr>
                <w:color w:val="000000" w:themeColor="text1"/>
              </w:rPr>
              <w:t>其他零星防护用品</w:t>
            </w:r>
          </w:p>
        </w:tc>
        <w:tc>
          <w:tcPr>
            <w:tcW w:w="2644"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p>
        </w:tc>
      </w:tr>
      <w:tr w:rsidR="00481EDB" w:rsidRPr="00687B52" w:rsidTr="00B527D4">
        <w:trPr>
          <w:trHeight w:val="619"/>
          <w:jc w:val="center"/>
        </w:trPr>
        <w:tc>
          <w:tcPr>
            <w:tcW w:w="769" w:type="dxa"/>
            <w:shd w:val="clear" w:color="auto" w:fill="FFFFFF"/>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A04</w:t>
            </w:r>
          </w:p>
        </w:tc>
        <w:tc>
          <w:tcPr>
            <w:tcW w:w="3512" w:type="dxa"/>
            <w:gridSpan w:val="2"/>
            <w:shd w:val="clear" w:color="auto" w:fill="FFFFFF"/>
            <w:vAlign w:val="center"/>
          </w:tcPr>
          <w:p w:rsidR="00481EDB" w:rsidRPr="00687B52" w:rsidRDefault="00481EDB" w:rsidP="00B527D4">
            <w:pPr>
              <w:pStyle w:val="a7"/>
              <w:rPr>
                <w:rFonts w:hAnsi="Times New Roman"/>
                <w:color w:val="000000" w:themeColor="text1"/>
              </w:rPr>
            </w:pPr>
            <w:r w:rsidRPr="00687B52">
              <w:rPr>
                <w:color w:val="000000" w:themeColor="text1"/>
              </w:rPr>
              <w:t>接触锋利器具作业</w:t>
            </w:r>
          </w:p>
        </w:tc>
        <w:tc>
          <w:tcPr>
            <w:tcW w:w="2595"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B30</w:t>
            </w:r>
            <w:r w:rsidRPr="00687B52">
              <w:rPr>
                <w:color w:val="000000" w:themeColor="text1"/>
              </w:rPr>
              <w:t>防机械伤害手套</w:t>
            </w:r>
          </w:p>
          <w:p w:rsidR="00481EDB" w:rsidRPr="00687B52" w:rsidRDefault="00481EDB" w:rsidP="00B527D4">
            <w:pPr>
              <w:pStyle w:val="a7"/>
              <w:rPr>
                <w:rFonts w:hAnsi="Times New Roman"/>
                <w:color w:val="000000" w:themeColor="text1"/>
              </w:rPr>
            </w:pPr>
            <w:r w:rsidRPr="00687B52">
              <w:rPr>
                <w:rFonts w:hAnsi="Times New Roman"/>
                <w:color w:val="000000" w:themeColor="text1"/>
              </w:rPr>
              <w:t xml:space="preserve">B46 </w:t>
            </w:r>
            <w:r w:rsidRPr="00687B52">
              <w:rPr>
                <w:color w:val="000000" w:themeColor="text1"/>
              </w:rPr>
              <w:t>一般防护服</w:t>
            </w:r>
          </w:p>
        </w:tc>
        <w:tc>
          <w:tcPr>
            <w:tcW w:w="2644"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B02</w:t>
            </w:r>
            <w:r w:rsidRPr="00687B52">
              <w:rPr>
                <w:color w:val="000000" w:themeColor="text1"/>
              </w:rPr>
              <w:t>安全帽</w:t>
            </w:r>
          </w:p>
          <w:p w:rsidR="00481EDB" w:rsidRPr="00687B52" w:rsidRDefault="00481EDB" w:rsidP="00B527D4">
            <w:pPr>
              <w:pStyle w:val="a7"/>
              <w:rPr>
                <w:rFonts w:hAnsi="Times New Roman"/>
                <w:color w:val="000000" w:themeColor="text1"/>
              </w:rPr>
            </w:pPr>
            <w:r w:rsidRPr="00687B52">
              <w:rPr>
                <w:rFonts w:hAnsi="Times New Roman"/>
                <w:color w:val="000000" w:themeColor="text1"/>
              </w:rPr>
              <w:t>B39</w:t>
            </w:r>
            <w:r w:rsidRPr="00687B52">
              <w:rPr>
                <w:color w:val="000000" w:themeColor="text1"/>
              </w:rPr>
              <w:t>防砸鞋（靴）</w:t>
            </w:r>
          </w:p>
          <w:p w:rsidR="00481EDB" w:rsidRPr="00687B52" w:rsidRDefault="00481EDB" w:rsidP="00B527D4">
            <w:pPr>
              <w:pStyle w:val="a7"/>
              <w:rPr>
                <w:rFonts w:hAnsi="Times New Roman"/>
                <w:color w:val="000000" w:themeColor="text1"/>
              </w:rPr>
            </w:pPr>
            <w:r w:rsidRPr="00687B52">
              <w:rPr>
                <w:rFonts w:hAnsi="Times New Roman"/>
                <w:color w:val="000000" w:themeColor="text1"/>
              </w:rPr>
              <w:t>B41</w:t>
            </w:r>
            <w:r w:rsidRPr="00687B52">
              <w:rPr>
                <w:color w:val="000000" w:themeColor="text1"/>
              </w:rPr>
              <w:t>防剌穿鞋</w:t>
            </w:r>
          </w:p>
        </w:tc>
      </w:tr>
      <w:tr w:rsidR="00481EDB" w:rsidRPr="00687B52" w:rsidTr="00B527D4">
        <w:trPr>
          <w:trHeight w:val="247"/>
          <w:jc w:val="center"/>
        </w:trPr>
        <w:tc>
          <w:tcPr>
            <w:tcW w:w="769" w:type="dxa"/>
            <w:shd w:val="clear" w:color="auto" w:fill="FFFFFF"/>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A05</w:t>
            </w:r>
          </w:p>
        </w:tc>
        <w:tc>
          <w:tcPr>
            <w:tcW w:w="3512" w:type="dxa"/>
            <w:gridSpan w:val="2"/>
            <w:shd w:val="clear" w:color="auto" w:fill="FFFFFF"/>
            <w:vAlign w:val="center"/>
          </w:tcPr>
          <w:p w:rsidR="00481EDB" w:rsidRPr="00687B52" w:rsidRDefault="00481EDB" w:rsidP="00B527D4">
            <w:pPr>
              <w:pStyle w:val="a7"/>
              <w:rPr>
                <w:rFonts w:hAnsi="Times New Roman"/>
                <w:color w:val="000000" w:themeColor="text1"/>
              </w:rPr>
            </w:pPr>
            <w:r w:rsidRPr="00687B52">
              <w:rPr>
                <w:color w:val="000000" w:themeColor="text1"/>
              </w:rPr>
              <w:t>地面存在尖利器物的作业</w:t>
            </w:r>
          </w:p>
        </w:tc>
        <w:tc>
          <w:tcPr>
            <w:tcW w:w="2595"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B41</w:t>
            </w:r>
            <w:r w:rsidRPr="00687B52">
              <w:rPr>
                <w:color w:val="000000" w:themeColor="text1"/>
              </w:rPr>
              <w:t>防刺穿鞋</w:t>
            </w:r>
          </w:p>
        </w:tc>
        <w:tc>
          <w:tcPr>
            <w:tcW w:w="2644"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B02</w:t>
            </w:r>
            <w:r w:rsidRPr="00687B52">
              <w:rPr>
                <w:color w:val="000000" w:themeColor="text1"/>
              </w:rPr>
              <w:t>安全帽</w:t>
            </w:r>
          </w:p>
        </w:tc>
      </w:tr>
      <w:tr w:rsidR="00481EDB" w:rsidRPr="00687B52" w:rsidTr="00B527D4">
        <w:trPr>
          <w:trHeight w:val="619"/>
          <w:jc w:val="center"/>
        </w:trPr>
        <w:tc>
          <w:tcPr>
            <w:tcW w:w="769" w:type="dxa"/>
            <w:shd w:val="clear" w:color="auto" w:fill="FFFFFF"/>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A06</w:t>
            </w:r>
          </w:p>
        </w:tc>
        <w:tc>
          <w:tcPr>
            <w:tcW w:w="3512" w:type="dxa"/>
            <w:gridSpan w:val="2"/>
            <w:shd w:val="clear" w:color="auto" w:fill="FFFFFF"/>
            <w:vAlign w:val="center"/>
          </w:tcPr>
          <w:p w:rsidR="00481EDB" w:rsidRPr="00687B52" w:rsidRDefault="00481EDB" w:rsidP="00B527D4">
            <w:pPr>
              <w:pStyle w:val="a7"/>
              <w:rPr>
                <w:rFonts w:hAnsi="Times New Roman"/>
                <w:color w:val="000000" w:themeColor="text1"/>
              </w:rPr>
            </w:pPr>
            <w:r w:rsidRPr="00687B52">
              <w:rPr>
                <w:color w:val="000000" w:themeColor="text1"/>
              </w:rPr>
              <w:t>手持振动机械作业</w:t>
            </w:r>
          </w:p>
        </w:tc>
        <w:tc>
          <w:tcPr>
            <w:tcW w:w="2595"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B18</w:t>
            </w:r>
            <w:r w:rsidRPr="00687B52">
              <w:rPr>
                <w:color w:val="000000" w:themeColor="text1"/>
              </w:rPr>
              <w:t>耳塞</w:t>
            </w:r>
          </w:p>
          <w:p w:rsidR="00481EDB" w:rsidRPr="00687B52" w:rsidRDefault="00481EDB" w:rsidP="00B527D4">
            <w:pPr>
              <w:pStyle w:val="a7"/>
              <w:rPr>
                <w:rFonts w:hAnsi="Times New Roman"/>
                <w:color w:val="000000" w:themeColor="text1"/>
              </w:rPr>
            </w:pPr>
            <w:r w:rsidRPr="00687B52">
              <w:rPr>
                <w:rFonts w:hAnsi="Times New Roman"/>
                <w:color w:val="000000" w:themeColor="text1"/>
              </w:rPr>
              <w:t>B19</w:t>
            </w:r>
            <w:r w:rsidRPr="00687B52">
              <w:rPr>
                <w:color w:val="000000" w:themeColor="text1"/>
              </w:rPr>
              <w:t>耳罩</w:t>
            </w:r>
          </w:p>
          <w:p w:rsidR="00481EDB" w:rsidRPr="00687B52" w:rsidRDefault="00481EDB" w:rsidP="00B527D4">
            <w:pPr>
              <w:pStyle w:val="a7"/>
              <w:rPr>
                <w:rFonts w:hAnsi="Times New Roman"/>
                <w:color w:val="000000" w:themeColor="text1"/>
              </w:rPr>
            </w:pPr>
            <w:r w:rsidRPr="00687B52">
              <w:rPr>
                <w:rFonts w:hAnsi="Times New Roman"/>
                <w:color w:val="000000" w:themeColor="text1"/>
              </w:rPr>
              <w:t>B29</w:t>
            </w:r>
            <w:r w:rsidRPr="00687B52">
              <w:rPr>
                <w:color w:val="000000" w:themeColor="text1"/>
              </w:rPr>
              <w:t>防振手套</w:t>
            </w:r>
          </w:p>
        </w:tc>
        <w:tc>
          <w:tcPr>
            <w:tcW w:w="2644"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B38</w:t>
            </w:r>
            <w:r w:rsidRPr="00687B52">
              <w:rPr>
                <w:color w:val="000000" w:themeColor="text1"/>
              </w:rPr>
              <w:t>防振鞋</w:t>
            </w:r>
          </w:p>
        </w:tc>
      </w:tr>
      <w:tr w:rsidR="00481EDB" w:rsidRPr="00687B52" w:rsidTr="00B527D4">
        <w:trPr>
          <w:trHeight w:val="247"/>
          <w:jc w:val="center"/>
        </w:trPr>
        <w:tc>
          <w:tcPr>
            <w:tcW w:w="769" w:type="dxa"/>
            <w:shd w:val="clear" w:color="auto" w:fill="FFFFFF"/>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A07</w:t>
            </w:r>
          </w:p>
        </w:tc>
        <w:tc>
          <w:tcPr>
            <w:tcW w:w="3512" w:type="dxa"/>
            <w:gridSpan w:val="2"/>
            <w:shd w:val="clear" w:color="auto" w:fill="FFFFFF"/>
            <w:vAlign w:val="center"/>
          </w:tcPr>
          <w:p w:rsidR="00481EDB" w:rsidRPr="00687B52" w:rsidRDefault="00481EDB" w:rsidP="00B527D4">
            <w:pPr>
              <w:pStyle w:val="a7"/>
              <w:rPr>
                <w:rFonts w:hAnsi="Times New Roman"/>
                <w:color w:val="000000" w:themeColor="text1"/>
              </w:rPr>
            </w:pPr>
            <w:r w:rsidRPr="00687B52">
              <w:rPr>
                <w:color w:val="000000" w:themeColor="text1"/>
              </w:rPr>
              <w:t>人承受全身振动的作业</w:t>
            </w:r>
          </w:p>
        </w:tc>
        <w:tc>
          <w:tcPr>
            <w:tcW w:w="2595"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B38</w:t>
            </w:r>
            <w:r w:rsidRPr="00687B52">
              <w:rPr>
                <w:color w:val="000000" w:themeColor="text1"/>
              </w:rPr>
              <w:t>防振鞋</w:t>
            </w:r>
          </w:p>
        </w:tc>
        <w:tc>
          <w:tcPr>
            <w:tcW w:w="2644"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p>
        </w:tc>
      </w:tr>
      <w:tr w:rsidR="00481EDB" w:rsidRPr="00687B52" w:rsidTr="00B527D4">
        <w:trPr>
          <w:trHeight w:val="619"/>
          <w:jc w:val="center"/>
        </w:trPr>
        <w:tc>
          <w:tcPr>
            <w:tcW w:w="769" w:type="dxa"/>
            <w:shd w:val="clear" w:color="auto" w:fill="FFFFFF"/>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A08</w:t>
            </w:r>
          </w:p>
        </w:tc>
        <w:tc>
          <w:tcPr>
            <w:tcW w:w="3512" w:type="dxa"/>
            <w:gridSpan w:val="2"/>
            <w:shd w:val="clear" w:color="auto" w:fill="FFFFFF"/>
            <w:vAlign w:val="center"/>
          </w:tcPr>
          <w:p w:rsidR="00481EDB" w:rsidRPr="00687B52" w:rsidRDefault="00481EDB" w:rsidP="00B527D4">
            <w:pPr>
              <w:pStyle w:val="a7"/>
              <w:rPr>
                <w:rFonts w:hAnsi="Times New Roman"/>
                <w:color w:val="000000" w:themeColor="text1"/>
              </w:rPr>
            </w:pPr>
            <w:r w:rsidRPr="00687B52">
              <w:rPr>
                <w:color w:val="000000" w:themeColor="text1"/>
              </w:rPr>
              <w:t>铲、装、吊、推机械操作作业</w:t>
            </w:r>
          </w:p>
        </w:tc>
        <w:tc>
          <w:tcPr>
            <w:tcW w:w="2595"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B02</w:t>
            </w:r>
            <w:r w:rsidRPr="00687B52">
              <w:rPr>
                <w:color w:val="000000" w:themeColor="text1"/>
              </w:rPr>
              <w:t>安全帽</w:t>
            </w:r>
          </w:p>
          <w:p w:rsidR="00481EDB" w:rsidRPr="00687B52" w:rsidRDefault="00481EDB" w:rsidP="00B527D4">
            <w:pPr>
              <w:pStyle w:val="a7"/>
              <w:rPr>
                <w:rFonts w:hAnsi="Times New Roman"/>
                <w:color w:val="000000" w:themeColor="text1"/>
              </w:rPr>
            </w:pPr>
            <w:r w:rsidRPr="00687B52">
              <w:rPr>
                <w:rFonts w:hAnsi="Times New Roman"/>
                <w:color w:val="000000" w:themeColor="text1"/>
              </w:rPr>
              <w:t>B46—</w:t>
            </w:r>
            <w:r w:rsidRPr="00687B52">
              <w:rPr>
                <w:color w:val="000000" w:themeColor="text1"/>
              </w:rPr>
              <w:t>般防护服</w:t>
            </w:r>
          </w:p>
        </w:tc>
        <w:tc>
          <w:tcPr>
            <w:tcW w:w="2644"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B05</w:t>
            </w:r>
            <w:r w:rsidRPr="00687B52">
              <w:rPr>
                <w:color w:val="000000" w:themeColor="text1"/>
              </w:rPr>
              <w:t>防尘口罩（防颗粒物呼吸器）</w:t>
            </w:r>
          </w:p>
          <w:p w:rsidR="00481EDB" w:rsidRPr="00687B52" w:rsidRDefault="00481EDB" w:rsidP="00B527D4">
            <w:pPr>
              <w:pStyle w:val="a7"/>
              <w:rPr>
                <w:rFonts w:hAnsi="Times New Roman"/>
                <w:color w:val="000000" w:themeColor="text1"/>
              </w:rPr>
            </w:pPr>
            <w:r w:rsidRPr="00687B52">
              <w:rPr>
                <w:rFonts w:hAnsi="Times New Roman"/>
                <w:color w:val="000000" w:themeColor="text1"/>
              </w:rPr>
              <w:t>B10</w:t>
            </w:r>
            <w:r w:rsidRPr="00687B52">
              <w:rPr>
                <w:color w:val="000000" w:themeColor="text1"/>
              </w:rPr>
              <w:t>防冲击护目镜</w:t>
            </w:r>
          </w:p>
        </w:tc>
      </w:tr>
      <w:tr w:rsidR="00481EDB" w:rsidRPr="00687B52" w:rsidTr="00B527D4">
        <w:trPr>
          <w:trHeight w:val="619"/>
          <w:jc w:val="center"/>
        </w:trPr>
        <w:tc>
          <w:tcPr>
            <w:tcW w:w="769" w:type="dxa"/>
            <w:shd w:val="clear" w:color="auto" w:fill="FFFFFF"/>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A09</w:t>
            </w:r>
          </w:p>
        </w:tc>
        <w:tc>
          <w:tcPr>
            <w:tcW w:w="3512" w:type="dxa"/>
            <w:gridSpan w:val="2"/>
            <w:shd w:val="clear" w:color="auto" w:fill="FFFFFF"/>
            <w:vAlign w:val="center"/>
          </w:tcPr>
          <w:p w:rsidR="00481EDB" w:rsidRPr="00687B52" w:rsidRDefault="00481EDB" w:rsidP="00B527D4">
            <w:pPr>
              <w:pStyle w:val="a7"/>
              <w:rPr>
                <w:rFonts w:hAnsi="Times New Roman"/>
                <w:color w:val="000000" w:themeColor="text1"/>
              </w:rPr>
            </w:pPr>
            <w:r w:rsidRPr="00687B52">
              <w:rPr>
                <w:color w:val="000000" w:themeColor="text1"/>
              </w:rPr>
              <w:t>低压带电作业〈</w:t>
            </w:r>
            <w:r w:rsidRPr="00687B52">
              <w:rPr>
                <w:rFonts w:hAnsi="Times New Roman"/>
                <w:color w:val="000000" w:themeColor="text1"/>
              </w:rPr>
              <w:t>1 [</w:t>
            </w:r>
            <w:r w:rsidRPr="00687B52">
              <w:rPr>
                <w:color w:val="000000" w:themeColor="text1"/>
              </w:rPr>
              <w:t>乂以下）</w:t>
            </w:r>
          </w:p>
        </w:tc>
        <w:tc>
          <w:tcPr>
            <w:tcW w:w="2595"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B31</w:t>
            </w:r>
            <w:r w:rsidRPr="00687B52">
              <w:rPr>
                <w:color w:val="000000" w:themeColor="text1"/>
              </w:rPr>
              <w:t>绝缘手套</w:t>
            </w:r>
          </w:p>
          <w:p w:rsidR="00481EDB" w:rsidRPr="00687B52" w:rsidRDefault="00481EDB" w:rsidP="00B527D4">
            <w:pPr>
              <w:pStyle w:val="a7"/>
              <w:rPr>
                <w:rFonts w:hAnsi="Times New Roman"/>
                <w:color w:val="000000" w:themeColor="text1"/>
              </w:rPr>
            </w:pPr>
            <w:r w:rsidRPr="00687B52">
              <w:rPr>
                <w:rFonts w:hAnsi="Times New Roman"/>
                <w:color w:val="000000" w:themeColor="text1"/>
              </w:rPr>
              <w:t>B42</w:t>
            </w:r>
            <w:r w:rsidRPr="00687B52">
              <w:rPr>
                <w:color w:val="000000" w:themeColor="text1"/>
              </w:rPr>
              <w:t>绝缘鞋</w:t>
            </w:r>
          </w:p>
          <w:p w:rsidR="00481EDB" w:rsidRPr="00687B52" w:rsidRDefault="00481EDB" w:rsidP="00B527D4">
            <w:pPr>
              <w:pStyle w:val="a7"/>
              <w:rPr>
                <w:rFonts w:hAnsi="Times New Roman"/>
                <w:color w:val="000000" w:themeColor="text1"/>
              </w:rPr>
            </w:pPr>
            <w:r w:rsidRPr="00687B52">
              <w:rPr>
                <w:rFonts w:hAnsi="Times New Roman"/>
                <w:color w:val="000000" w:themeColor="text1"/>
              </w:rPr>
              <w:t>B64</w:t>
            </w:r>
            <w:r w:rsidRPr="00687B52">
              <w:rPr>
                <w:color w:val="000000" w:themeColor="text1"/>
              </w:rPr>
              <w:t>绝缘服</w:t>
            </w:r>
          </w:p>
        </w:tc>
        <w:tc>
          <w:tcPr>
            <w:tcW w:w="2644"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B02</w:t>
            </w:r>
            <w:r w:rsidRPr="00687B52">
              <w:rPr>
                <w:color w:val="000000" w:themeColor="text1"/>
              </w:rPr>
              <w:t>安全帽（带电绝缘性能）</w:t>
            </w:r>
          </w:p>
          <w:p w:rsidR="00481EDB" w:rsidRPr="00687B52" w:rsidRDefault="00481EDB" w:rsidP="00B527D4">
            <w:pPr>
              <w:pStyle w:val="a7"/>
              <w:rPr>
                <w:rFonts w:hAnsi="Times New Roman"/>
                <w:color w:val="000000" w:themeColor="text1"/>
              </w:rPr>
            </w:pPr>
            <w:r w:rsidRPr="00687B52">
              <w:rPr>
                <w:rFonts w:hAnsi="Times New Roman"/>
                <w:color w:val="000000" w:themeColor="text1"/>
              </w:rPr>
              <w:t>B10</w:t>
            </w:r>
            <w:r w:rsidRPr="00687B52">
              <w:rPr>
                <w:color w:val="000000" w:themeColor="text1"/>
              </w:rPr>
              <w:t>防冲击护目镜</w:t>
            </w:r>
          </w:p>
        </w:tc>
      </w:tr>
      <w:tr w:rsidR="00481EDB" w:rsidRPr="00687B52" w:rsidTr="00B527D4">
        <w:trPr>
          <w:trHeight w:val="991"/>
          <w:jc w:val="center"/>
        </w:trPr>
        <w:tc>
          <w:tcPr>
            <w:tcW w:w="769" w:type="dxa"/>
            <w:vMerge w:val="restart"/>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A10</w:t>
            </w:r>
          </w:p>
        </w:tc>
        <w:tc>
          <w:tcPr>
            <w:tcW w:w="1059" w:type="dxa"/>
            <w:vMerge w:val="restart"/>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color w:val="000000" w:themeColor="text1"/>
              </w:rPr>
              <w:t>高压带电作业</w:t>
            </w:r>
          </w:p>
        </w:tc>
        <w:tc>
          <w:tcPr>
            <w:tcW w:w="2453"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color w:val="000000" w:themeColor="text1"/>
              </w:rPr>
              <w:t>在</w:t>
            </w:r>
            <w:r w:rsidRPr="00687B52">
              <w:rPr>
                <w:rFonts w:hAnsi="Times New Roman"/>
                <w:color w:val="000000" w:themeColor="text1"/>
              </w:rPr>
              <w:t>1kv</w:t>
            </w:r>
            <w:r w:rsidRPr="00687B52">
              <w:rPr>
                <w:color w:val="000000" w:themeColor="text1"/>
              </w:rPr>
              <w:t>～</w:t>
            </w:r>
            <w:r w:rsidRPr="00687B52">
              <w:rPr>
                <w:rFonts w:hAnsi="Times New Roman"/>
                <w:color w:val="000000" w:themeColor="text1"/>
              </w:rPr>
              <w:t>10kv</w:t>
            </w:r>
            <w:r w:rsidRPr="00687B52">
              <w:rPr>
                <w:color w:val="000000" w:themeColor="text1"/>
              </w:rPr>
              <w:t>带电设备上进行作业时</w:t>
            </w:r>
          </w:p>
        </w:tc>
        <w:tc>
          <w:tcPr>
            <w:tcW w:w="2595"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B02</w:t>
            </w:r>
            <w:r w:rsidRPr="00687B52">
              <w:rPr>
                <w:color w:val="000000" w:themeColor="text1"/>
              </w:rPr>
              <w:t>安全帽</w:t>
            </w:r>
            <w:r w:rsidRPr="00687B52">
              <w:rPr>
                <w:rFonts w:hAnsi="Times New Roman"/>
                <w:color w:val="000000" w:themeColor="text1"/>
              </w:rPr>
              <w:t>(</w:t>
            </w:r>
            <w:r w:rsidRPr="00687B52">
              <w:rPr>
                <w:color w:val="000000" w:themeColor="text1"/>
              </w:rPr>
              <w:t>带电绝缘性能</w:t>
            </w:r>
            <w:r w:rsidRPr="00687B52">
              <w:rPr>
                <w:rFonts w:hAnsi="Times New Roman"/>
                <w:color w:val="000000" w:themeColor="text1"/>
              </w:rPr>
              <w:t>)</w:t>
            </w:r>
          </w:p>
          <w:p w:rsidR="00481EDB" w:rsidRPr="00687B52" w:rsidRDefault="00481EDB" w:rsidP="00B527D4">
            <w:pPr>
              <w:pStyle w:val="a7"/>
              <w:rPr>
                <w:rFonts w:hAnsi="Times New Roman"/>
                <w:color w:val="000000" w:themeColor="text1"/>
              </w:rPr>
            </w:pPr>
            <w:r w:rsidRPr="00687B52">
              <w:rPr>
                <w:rFonts w:hAnsi="Times New Roman"/>
                <w:color w:val="000000" w:themeColor="text1"/>
              </w:rPr>
              <w:t>B31</w:t>
            </w:r>
            <w:r w:rsidRPr="00687B52">
              <w:rPr>
                <w:color w:val="000000" w:themeColor="text1"/>
              </w:rPr>
              <w:t>绝缘手套</w:t>
            </w:r>
          </w:p>
          <w:p w:rsidR="00481EDB" w:rsidRPr="00687B52" w:rsidRDefault="00481EDB" w:rsidP="00B527D4">
            <w:pPr>
              <w:pStyle w:val="a7"/>
              <w:rPr>
                <w:rFonts w:hAnsi="Times New Roman"/>
                <w:color w:val="000000" w:themeColor="text1"/>
              </w:rPr>
            </w:pPr>
            <w:r w:rsidRPr="00687B52">
              <w:rPr>
                <w:rFonts w:hAnsi="Times New Roman"/>
                <w:color w:val="000000" w:themeColor="text1"/>
              </w:rPr>
              <w:t>B42</w:t>
            </w:r>
            <w:r w:rsidRPr="00687B52">
              <w:rPr>
                <w:color w:val="000000" w:themeColor="text1"/>
              </w:rPr>
              <w:t>绝缘鞋</w:t>
            </w:r>
          </w:p>
          <w:p w:rsidR="00481EDB" w:rsidRPr="00687B52" w:rsidRDefault="00481EDB" w:rsidP="00B527D4">
            <w:pPr>
              <w:pStyle w:val="a7"/>
              <w:rPr>
                <w:rFonts w:hAnsi="Times New Roman"/>
                <w:color w:val="000000" w:themeColor="text1"/>
              </w:rPr>
            </w:pPr>
            <w:r w:rsidRPr="00687B52">
              <w:rPr>
                <w:rFonts w:hAnsi="Times New Roman"/>
                <w:color w:val="000000" w:themeColor="text1"/>
              </w:rPr>
              <w:t>B64</w:t>
            </w:r>
            <w:r w:rsidRPr="00687B52">
              <w:rPr>
                <w:color w:val="000000" w:themeColor="text1"/>
              </w:rPr>
              <w:t>绝缘服</w:t>
            </w:r>
          </w:p>
        </w:tc>
        <w:tc>
          <w:tcPr>
            <w:tcW w:w="2644"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B10</w:t>
            </w:r>
            <w:r w:rsidRPr="00687B52">
              <w:rPr>
                <w:color w:val="000000" w:themeColor="text1"/>
              </w:rPr>
              <w:t>防冲击护目镜</w:t>
            </w:r>
          </w:p>
          <w:p w:rsidR="00481EDB" w:rsidRPr="00687B52" w:rsidRDefault="00481EDB" w:rsidP="00B527D4">
            <w:pPr>
              <w:pStyle w:val="a7"/>
              <w:rPr>
                <w:rFonts w:hAnsi="Times New Roman"/>
                <w:color w:val="000000" w:themeColor="text1"/>
              </w:rPr>
            </w:pPr>
            <w:r w:rsidRPr="00687B52">
              <w:rPr>
                <w:rFonts w:hAnsi="Times New Roman"/>
                <w:color w:val="000000" w:themeColor="text1"/>
              </w:rPr>
              <w:t>B63</w:t>
            </w:r>
            <w:r w:rsidRPr="00687B52">
              <w:rPr>
                <w:color w:val="000000" w:themeColor="text1"/>
              </w:rPr>
              <w:t>带电作业屏蔽服</w:t>
            </w:r>
          </w:p>
          <w:p w:rsidR="00481EDB" w:rsidRPr="00687B52" w:rsidRDefault="00481EDB" w:rsidP="00B527D4">
            <w:pPr>
              <w:pStyle w:val="a7"/>
              <w:rPr>
                <w:rFonts w:hAnsi="Times New Roman"/>
                <w:color w:val="000000" w:themeColor="text1"/>
              </w:rPr>
            </w:pPr>
            <w:r w:rsidRPr="00687B52">
              <w:rPr>
                <w:rFonts w:hAnsi="Times New Roman"/>
                <w:color w:val="000000" w:themeColor="text1"/>
              </w:rPr>
              <w:t>B65</w:t>
            </w:r>
            <w:r w:rsidRPr="00687B52">
              <w:rPr>
                <w:color w:val="000000" w:themeColor="text1"/>
              </w:rPr>
              <w:t>防电弧服</w:t>
            </w:r>
          </w:p>
        </w:tc>
      </w:tr>
      <w:tr w:rsidR="00481EDB" w:rsidRPr="00687B52" w:rsidTr="00B527D4">
        <w:trPr>
          <w:trHeight w:val="619"/>
          <w:jc w:val="center"/>
        </w:trPr>
        <w:tc>
          <w:tcPr>
            <w:tcW w:w="769" w:type="dxa"/>
            <w:vMerge/>
            <w:shd w:val="clear" w:color="auto" w:fill="FFFFFF"/>
            <w:vAlign w:val="center"/>
          </w:tcPr>
          <w:p w:rsidR="00481EDB" w:rsidRPr="00687B52" w:rsidRDefault="00481EDB" w:rsidP="00B527D4">
            <w:pPr>
              <w:pStyle w:val="a7"/>
              <w:rPr>
                <w:rFonts w:hAnsi="Times New Roman"/>
                <w:color w:val="000000" w:themeColor="text1"/>
              </w:rPr>
            </w:pPr>
          </w:p>
        </w:tc>
        <w:tc>
          <w:tcPr>
            <w:tcW w:w="1059" w:type="dxa"/>
            <w:vMerge/>
            <w:shd w:val="clear" w:color="auto" w:fill="FFFFFF"/>
            <w:vAlign w:val="center"/>
          </w:tcPr>
          <w:p w:rsidR="00481EDB" w:rsidRPr="00687B52" w:rsidRDefault="00481EDB" w:rsidP="00B527D4">
            <w:pPr>
              <w:pStyle w:val="a7"/>
              <w:rPr>
                <w:rFonts w:hAnsi="Times New Roman"/>
                <w:color w:val="000000" w:themeColor="text1"/>
              </w:rPr>
            </w:pPr>
          </w:p>
        </w:tc>
        <w:tc>
          <w:tcPr>
            <w:tcW w:w="2453"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color w:val="000000" w:themeColor="text1"/>
              </w:rPr>
              <w:t>在</w:t>
            </w:r>
            <w:r w:rsidRPr="00687B52">
              <w:rPr>
                <w:rFonts w:hAnsi="Times New Roman"/>
                <w:color w:val="000000" w:themeColor="text1"/>
              </w:rPr>
              <w:t>10kv</w:t>
            </w:r>
            <w:r w:rsidRPr="00687B52">
              <w:rPr>
                <w:color w:val="000000" w:themeColor="text1"/>
              </w:rPr>
              <w:t>～</w:t>
            </w:r>
            <w:r w:rsidRPr="00687B52">
              <w:rPr>
                <w:rFonts w:hAnsi="Times New Roman"/>
                <w:color w:val="000000" w:themeColor="text1"/>
              </w:rPr>
              <w:t>500kv</w:t>
            </w:r>
            <w:r w:rsidRPr="00687B52">
              <w:rPr>
                <w:color w:val="000000" w:themeColor="text1"/>
              </w:rPr>
              <w:t>带电设备上进行作业时</w:t>
            </w:r>
          </w:p>
        </w:tc>
        <w:tc>
          <w:tcPr>
            <w:tcW w:w="2595"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B63</w:t>
            </w:r>
            <w:r w:rsidRPr="00687B52">
              <w:rPr>
                <w:color w:val="000000" w:themeColor="text1"/>
              </w:rPr>
              <w:t>带电作业屏蔽服</w:t>
            </w:r>
          </w:p>
        </w:tc>
        <w:tc>
          <w:tcPr>
            <w:tcW w:w="2644"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B13</w:t>
            </w:r>
            <w:r w:rsidRPr="00687B52">
              <w:rPr>
                <w:color w:val="000000" w:themeColor="text1"/>
              </w:rPr>
              <w:t>防强光、紫外线、红外线护目镜或面罩</w:t>
            </w:r>
          </w:p>
        </w:tc>
      </w:tr>
      <w:tr w:rsidR="00481EDB" w:rsidRPr="00687B52" w:rsidTr="00B527D4">
        <w:trPr>
          <w:trHeight w:val="1177"/>
          <w:jc w:val="center"/>
        </w:trPr>
        <w:tc>
          <w:tcPr>
            <w:tcW w:w="769" w:type="dxa"/>
            <w:shd w:val="clear" w:color="auto" w:fill="FFFFFF"/>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A11</w:t>
            </w:r>
          </w:p>
        </w:tc>
        <w:tc>
          <w:tcPr>
            <w:tcW w:w="3512" w:type="dxa"/>
            <w:gridSpan w:val="2"/>
            <w:shd w:val="clear" w:color="auto" w:fill="FFFFFF"/>
            <w:vAlign w:val="center"/>
          </w:tcPr>
          <w:p w:rsidR="00481EDB" w:rsidRPr="00687B52" w:rsidRDefault="00481EDB" w:rsidP="00B527D4">
            <w:pPr>
              <w:pStyle w:val="a7"/>
              <w:rPr>
                <w:rFonts w:hAnsi="Times New Roman"/>
                <w:color w:val="000000" w:themeColor="text1"/>
              </w:rPr>
            </w:pPr>
            <w:r w:rsidRPr="00687B52">
              <w:rPr>
                <w:color w:val="000000" w:themeColor="text1"/>
              </w:rPr>
              <w:t>高温作业</w:t>
            </w:r>
          </w:p>
        </w:tc>
        <w:tc>
          <w:tcPr>
            <w:tcW w:w="2595"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B02</w:t>
            </w:r>
            <w:r w:rsidRPr="00687B52">
              <w:rPr>
                <w:color w:val="000000" w:themeColor="text1"/>
              </w:rPr>
              <w:t>安全帽</w:t>
            </w:r>
          </w:p>
          <w:p w:rsidR="00481EDB" w:rsidRPr="00687B52" w:rsidRDefault="00481EDB" w:rsidP="00B527D4">
            <w:pPr>
              <w:pStyle w:val="a7"/>
              <w:rPr>
                <w:rFonts w:hAnsi="Times New Roman"/>
                <w:color w:val="000000" w:themeColor="text1"/>
              </w:rPr>
            </w:pPr>
            <w:r w:rsidRPr="00687B52">
              <w:rPr>
                <w:rFonts w:hAnsi="Times New Roman"/>
                <w:color w:val="000000" w:themeColor="text1"/>
              </w:rPr>
              <w:t>B13</w:t>
            </w:r>
            <w:r w:rsidRPr="00687B52">
              <w:rPr>
                <w:color w:val="000000" w:themeColor="text1"/>
              </w:rPr>
              <w:t>防强光、紫外线、红外线护目镜或面罩</w:t>
            </w:r>
          </w:p>
          <w:p w:rsidR="00481EDB" w:rsidRPr="00687B52" w:rsidRDefault="00481EDB" w:rsidP="00B527D4">
            <w:pPr>
              <w:pStyle w:val="a7"/>
              <w:rPr>
                <w:rFonts w:hAnsi="Times New Roman"/>
                <w:color w:val="000000" w:themeColor="text1"/>
              </w:rPr>
            </w:pPr>
            <w:r w:rsidRPr="00687B52">
              <w:rPr>
                <w:rFonts w:hAnsi="Times New Roman"/>
                <w:color w:val="000000" w:themeColor="text1"/>
              </w:rPr>
              <w:t>B34</w:t>
            </w:r>
            <w:r w:rsidRPr="00687B52">
              <w:rPr>
                <w:color w:val="000000" w:themeColor="text1"/>
              </w:rPr>
              <w:t>隔热阻燃鞋</w:t>
            </w:r>
          </w:p>
          <w:p w:rsidR="00481EDB" w:rsidRPr="00687B52" w:rsidRDefault="00481EDB" w:rsidP="00B527D4">
            <w:pPr>
              <w:pStyle w:val="a7"/>
              <w:rPr>
                <w:rFonts w:hAnsi="Times New Roman"/>
                <w:color w:val="000000" w:themeColor="text1"/>
              </w:rPr>
            </w:pPr>
            <w:r w:rsidRPr="00687B52">
              <w:rPr>
                <w:rFonts w:hAnsi="Times New Roman"/>
                <w:color w:val="000000" w:themeColor="text1"/>
              </w:rPr>
              <w:t>B56</w:t>
            </w:r>
            <w:r w:rsidRPr="00687B52">
              <w:rPr>
                <w:color w:val="000000" w:themeColor="text1"/>
              </w:rPr>
              <w:t>白帆布类隔热服</w:t>
            </w:r>
          </w:p>
          <w:p w:rsidR="00481EDB" w:rsidRPr="00687B52" w:rsidRDefault="00481EDB" w:rsidP="00B527D4">
            <w:pPr>
              <w:pStyle w:val="a7"/>
              <w:rPr>
                <w:rFonts w:hAnsi="Times New Roman"/>
                <w:color w:val="000000" w:themeColor="text1"/>
              </w:rPr>
            </w:pPr>
            <w:r w:rsidRPr="00687B52">
              <w:rPr>
                <w:rFonts w:hAnsi="Times New Roman"/>
                <w:color w:val="000000" w:themeColor="text1"/>
              </w:rPr>
              <w:t>B58</w:t>
            </w:r>
            <w:r w:rsidRPr="00687B52">
              <w:rPr>
                <w:color w:val="000000" w:themeColor="text1"/>
              </w:rPr>
              <w:t>热防护服</w:t>
            </w:r>
          </w:p>
        </w:tc>
        <w:tc>
          <w:tcPr>
            <w:tcW w:w="2644"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B57</w:t>
            </w:r>
            <w:r w:rsidRPr="00687B52">
              <w:rPr>
                <w:color w:val="000000" w:themeColor="text1"/>
              </w:rPr>
              <w:t>镀反射膜类隔热服</w:t>
            </w:r>
          </w:p>
          <w:p w:rsidR="00481EDB" w:rsidRPr="00687B52" w:rsidRDefault="00481EDB" w:rsidP="00B527D4">
            <w:pPr>
              <w:pStyle w:val="a7"/>
              <w:rPr>
                <w:rFonts w:hAnsi="Times New Roman"/>
                <w:color w:val="000000" w:themeColor="text1"/>
              </w:rPr>
            </w:pPr>
            <w:r w:rsidRPr="00687B52">
              <w:rPr>
                <w:rFonts w:hAnsi="Times New Roman"/>
                <w:color w:val="000000" w:themeColor="text1"/>
              </w:rPr>
              <w:t>B71</w:t>
            </w:r>
            <w:r w:rsidRPr="00687B52">
              <w:rPr>
                <w:color w:val="000000" w:themeColor="text1"/>
              </w:rPr>
              <w:t>其他零星防护用品</w:t>
            </w:r>
          </w:p>
        </w:tc>
      </w:tr>
      <w:tr w:rsidR="00481EDB" w:rsidRPr="00687B52" w:rsidTr="00B527D4">
        <w:trPr>
          <w:trHeight w:val="1177"/>
          <w:jc w:val="center"/>
        </w:trPr>
        <w:tc>
          <w:tcPr>
            <w:tcW w:w="769" w:type="dxa"/>
            <w:shd w:val="clear" w:color="auto" w:fill="FFFFFF"/>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A12</w:t>
            </w:r>
          </w:p>
        </w:tc>
        <w:tc>
          <w:tcPr>
            <w:tcW w:w="3512" w:type="dxa"/>
            <w:gridSpan w:val="2"/>
            <w:shd w:val="clear" w:color="auto" w:fill="FFFFFF"/>
            <w:vAlign w:val="center"/>
          </w:tcPr>
          <w:p w:rsidR="00481EDB" w:rsidRPr="00687B52" w:rsidRDefault="00481EDB" w:rsidP="00B527D4">
            <w:pPr>
              <w:pStyle w:val="a7"/>
              <w:rPr>
                <w:rFonts w:hAnsi="Times New Roman"/>
                <w:color w:val="000000" w:themeColor="text1"/>
              </w:rPr>
            </w:pPr>
            <w:r w:rsidRPr="00687B52">
              <w:rPr>
                <w:color w:val="000000" w:themeColor="text1"/>
              </w:rPr>
              <w:t>易燃易爆场所作业</w:t>
            </w:r>
          </w:p>
        </w:tc>
        <w:tc>
          <w:tcPr>
            <w:tcW w:w="2595"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B23</w:t>
            </w:r>
            <w:r w:rsidRPr="00687B52">
              <w:rPr>
                <w:color w:val="000000" w:themeColor="text1"/>
              </w:rPr>
              <w:t>防静电手套</w:t>
            </w:r>
          </w:p>
          <w:p w:rsidR="00481EDB" w:rsidRPr="00687B52" w:rsidRDefault="00481EDB" w:rsidP="00B527D4">
            <w:pPr>
              <w:pStyle w:val="a7"/>
              <w:rPr>
                <w:rFonts w:hAnsi="Times New Roman"/>
                <w:color w:val="000000" w:themeColor="text1"/>
              </w:rPr>
            </w:pPr>
            <w:r w:rsidRPr="00687B52">
              <w:rPr>
                <w:rFonts w:hAnsi="Times New Roman"/>
                <w:color w:val="000000" w:themeColor="text1"/>
              </w:rPr>
              <w:t>B35</w:t>
            </w:r>
            <w:r w:rsidRPr="00687B52">
              <w:rPr>
                <w:color w:val="000000" w:themeColor="text1"/>
              </w:rPr>
              <w:t>防静电鞋</w:t>
            </w:r>
          </w:p>
          <w:p w:rsidR="00481EDB" w:rsidRPr="00687B52" w:rsidRDefault="00481EDB" w:rsidP="00B527D4">
            <w:pPr>
              <w:pStyle w:val="a7"/>
              <w:rPr>
                <w:rFonts w:hAnsi="Times New Roman"/>
                <w:color w:val="000000" w:themeColor="text1"/>
              </w:rPr>
            </w:pPr>
            <w:r w:rsidRPr="00687B52">
              <w:rPr>
                <w:rFonts w:hAnsi="Times New Roman"/>
                <w:color w:val="000000" w:themeColor="text1"/>
              </w:rPr>
              <w:t>B52</w:t>
            </w:r>
            <w:r w:rsidRPr="00687B52">
              <w:rPr>
                <w:color w:val="000000" w:themeColor="text1"/>
              </w:rPr>
              <w:t>化学品防护服</w:t>
            </w:r>
          </w:p>
          <w:p w:rsidR="00481EDB" w:rsidRPr="00687B52" w:rsidRDefault="00481EDB" w:rsidP="00B527D4">
            <w:pPr>
              <w:pStyle w:val="a7"/>
              <w:rPr>
                <w:rFonts w:hAnsi="Times New Roman"/>
                <w:color w:val="000000" w:themeColor="text1"/>
              </w:rPr>
            </w:pPr>
            <w:r w:rsidRPr="00687B52">
              <w:rPr>
                <w:rFonts w:hAnsi="Times New Roman"/>
                <w:color w:val="000000" w:themeColor="text1"/>
              </w:rPr>
              <w:t>B53</w:t>
            </w:r>
            <w:r w:rsidRPr="00687B52">
              <w:rPr>
                <w:color w:val="000000" w:themeColor="text1"/>
              </w:rPr>
              <w:t>阻燃防护服</w:t>
            </w:r>
          </w:p>
          <w:p w:rsidR="00481EDB" w:rsidRPr="00687B52" w:rsidRDefault="00481EDB" w:rsidP="00A41C55">
            <w:pPr>
              <w:pStyle w:val="a7"/>
              <w:outlineLvl w:val="0"/>
              <w:rPr>
                <w:rFonts w:hAnsi="Times New Roman"/>
                <w:color w:val="000000" w:themeColor="text1"/>
              </w:rPr>
            </w:pPr>
            <w:bookmarkStart w:id="156" w:name="_Toc492555579"/>
            <w:bookmarkStart w:id="157" w:name="_Toc492557262"/>
            <w:bookmarkStart w:id="158" w:name="_Toc492557332"/>
            <w:r w:rsidRPr="00687B52">
              <w:rPr>
                <w:rFonts w:hAnsi="Times New Roman"/>
                <w:color w:val="000000" w:themeColor="text1"/>
              </w:rPr>
              <w:t>B54</w:t>
            </w:r>
            <w:r w:rsidRPr="00687B52">
              <w:rPr>
                <w:color w:val="000000" w:themeColor="text1"/>
              </w:rPr>
              <w:t>防静电服</w:t>
            </w:r>
            <w:bookmarkEnd w:id="156"/>
            <w:bookmarkEnd w:id="157"/>
            <w:bookmarkEnd w:id="158"/>
          </w:p>
          <w:p w:rsidR="00481EDB" w:rsidRPr="00687B52" w:rsidRDefault="00481EDB" w:rsidP="00B527D4">
            <w:pPr>
              <w:pStyle w:val="a7"/>
              <w:rPr>
                <w:rFonts w:hAnsi="Times New Roman"/>
                <w:color w:val="000000" w:themeColor="text1"/>
              </w:rPr>
            </w:pPr>
            <w:r w:rsidRPr="00687B52">
              <w:rPr>
                <w:rFonts w:hAnsi="Times New Roman"/>
                <w:color w:val="000000" w:themeColor="text1"/>
              </w:rPr>
              <w:t>B66</w:t>
            </w:r>
            <w:r w:rsidRPr="00687B52">
              <w:rPr>
                <w:color w:val="000000" w:themeColor="text1"/>
              </w:rPr>
              <w:t>棉布工作服</w:t>
            </w:r>
          </w:p>
        </w:tc>
        <w:tc>
          <w:tcPr>
            <w:tcW w:w="2644"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B05</w:t>
            </w:r>
            <w:r w:rsidRPr="00687B52">
              <w:rPr>
                <w:color w:val="000000" w:themeColor="text1"/>
              </w:rPr>
              <w:t>防尘口罩（防颗粒物呼吸器）</w:t>
            </w:r>
          </w:p>
          <w:p w:rsidR="00481EDB" w:rsidRPr="00687B52" w:rsidRDefault="00481EDB" w:rsidP="00B527D4">
            <w:pPr>
              <w:pStyle w:val="a7"/>
              <w:rPr>
                <w:rFonts w:hAnsi="Times New Roman"/>
                <w:color w:val="000000" w:themeColor="text1"/>
              </w:rPr>
            </w:pPr>
            <w:r w:rsidRPr="00687B52">
              <w:rPr>
                <w:rFonts w:hAnsi="Times New Roman"/>
                <w:color w:val="000000" w:themeColor="text1"/>
              </w:rPr>
              <w:t>B06</w:t>
            </w:r>
            <w:r w:rsidRPr="00687B52">
              <w:rPr>
                <w:color w:val="000000" w:themeColor="text1"/>
              </w:rPr>
              <w:t>防毒面具</w:t>
            </w:r>
          </w:p>
          <w:p w:rsidR="00481EDB" w:rsidRPr="00687B52" w:rsidRDefault="00481EDB" w:rsidP="00B527D4">
            <w:pPr>
              <w:pStyle w:val="a7"/>
              <w:rPr>
                <w:rFonts w:hAnsi="Times New Roman"/>
                <w:color w:val="000000" w:themeColor="text1"/>
              </w:rPr>
            </w:pPr>
            <w:r w:rsidRPr="00687B52">
              <w:rPr>
                <w:rFonts w:hAnsi="Times New Roman"/>
                <w:color w:val="000000" w:themeColor="text1"/>
              </w:rPr>
              <w:t>B47</w:t>
            </w:r>
            <w:r w:rsidRPr="00687B52">
              <w:rPr>
                <w:color w:val="000000" w:themeColor="text1"/>
              </w:rPr>
              <w:t>防尘服</w:t>
            </w:r>
          </w:p>
        </w:tc>
      </w:tr>
      <w:tr w:rsidR="00481EDB" w:rsidRPr="00687B52" w:rsidTr="00B527D4">
        <w:trPr>
          <w:trHeight w:val="1177"/>
          <w:jc w:val="center"/>
        </w:trPr>
        <w:tc>
          <w:tcPr>
            <w:tcW w:w="769" w:type="dxa"/>
            <w:shd w:val="clear" w:color="auto" w:fill="FFFFFF"/>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A13</w:t>
            </w:r>
          </w:p>
        </w:tc>
        <w:tc>
          <w:tcPr>
            <w:tcW w:w="3512" w:type="dxa"/>
            <w:gridSpan w:val="2"/>
            <w:shd w:val="clear" w:color="auto" w:fill="FFFFFF"/>
            <w:vAlign w:val="center"/>
          </w:tcPr>
          <w:p w:rsidR="00481EDB" w:rsidRPr="00687B52" w:rsidRDefault="00481EDB" w:rsidP="00B527D4">
            <w:pPr>
              <w:pStyle w:val="a7"/>
              <w:rPr>
                <w:rFonts w:hAnsi="Times New Roman"/>
                <w:color w:val="000000" w:themeColor="text1"/>
              </w:rPr>
            </w:pPr>
            <w:r w:rsidRPr="00687B52">
              <w:rPr>
                <w:color w:val="000000" w:themeColor="text1"/>
              </w:rPr>
              <w:t>可燃性粉尘场所作业</w:t>
            </w:r>
          </w:p>
        </w:tc>
        <w:tc>
          <w:tcPr>
            <w:tcW w:w="2595"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B05</w:t>
            </w:r>
            <w:r w:rsidRPr="00687B52">
              <w:rPr>
                <w:color w:val="000000" w:themeColor="text1"/>
              </w:rPr>
              <w:t>防尘口罩</w:t>
            </w:r>
            <w:r w:rsidRPr="00687B52">
              <w:rPr>
                <w:rFonts w:hAnsi="Times New Roman"/>
                <w:color w:val="000000" w:themeColor="text1"/>
              </w:rPr>
              <w:t>(</w:t>
            </w:r>
            <w:r w:rsidRPr="00687B52">
              <w:rPr>
                <w:color w:val="000000" w:themeColor="text1"/>
              </w:rPr>
              <w:t>防颗粒物呼吸器</w:t>
            </w:r>
            <w:r w:rsidRPr="00687B52">
              <w:rPr>
                <w:rFonts w:hAnsi="Times New Roman"/>
                <w:color w:val="000000" w:themeColor="text1"/>
              </w:rPr>
              <w:t>)</w:t>
            </w:r>
          </w:p>
          <w:p w:rsidR="00481EDB" w:rsidRPr="00687B52" w:rsidRDefault="00481EDB" w:rsidP="00B527D4">
            <w:pPr>
              <w:pStyle w:val="a7"/>
              <w:rPr>
                <w:rFonts w:hAnsi="Times New Roman"/>
                <w:color w:val="000000" w:themeColor="text1"/>
              </w:rPr>
            </w:pPr>
            <w:r w:rsidRPr="00687B52">
              <w:rPr>
                <w:rFonts w:hAnsi="Times New Roman"/>
                <w:color w:val="000000" w:themeColor="text1"/>
              </w:rPr>
              <w:t>B23</w:t>
            </w:r>
            <w:r w:rsidRPr="00687B52">
              <w:rPr>
                <w:color w:val="000000" w:themeColor="text1"/>
              </w:rPr>
              <w:t>防静电手套</w:t>
            </w:r>
          </w:p>
          <w:p w:rsidR="00481EDB" w:rsidRPr="00687B52" w:rsidRDefault="00481EDB" w:rsidP="00B527D4">
            <w:pPr>
              <w:pStyle w:val="a7"/>
              <w:rPr>
                <w:rFonts w:hAnsi="Times New Roman"/>
                <w:color w:val="000000" w:themeColor="text1"/>
              </w:rPr>
            </w:pPr>
            <w:r w:rsidRPr="00687B52">
              <w:rPr>
                <w:rFonts w:hAnsi="Times New Roman"/>
                <w:color w:val="000000" w:themeColor="text1"/>
              </w:rPr>
              <w:t>B35</w:t>
            </w:r>
            <w:r w:rsidRPr="00687B52">
              <w:rPr>
                <w:color w:val="000000" w:themeColor="text1"/>
              </w:rPr>
              <w:t>防静电鞋</w:t>
            </w:r>
          </w:p>
          <w:p w:rsidR="00481EDB" w:rsidRPr="00687B52" w:rsidRDefault="00481EDB" w:rsidP="00B527D4">
            <w:pPr>
              <w:pStyle w:val="a7"/>
              <w:rPr>
                <w:rFonts w:hAnsi="Times New Roman"/>
                <w:color w:val="000000" w:themeColor="text1"/>
              </w:rPr>
            </w:pPr>
            <w:r w:rsidRPr="00687B52">
              <w:rPr>
                <w:rFonts w:hAnsi="Times New Roman"/>
                <w:color w:val="000000" w:themeColor="text1"/>
              </w:rPr>
              <w:t>B54</w:t>
            </w:r>
            <w:r w:rsidRPr="00687B52">
              <w:rPr>
                <w:color w:val="000000" w:themeColor="text1"/>
              </w:rPr>
              <w:t>防静电服</w:t>
            </w:r>
          </w:p>
          <w:p w:rsidR="00481EDB" w:rsidRPr="00687B52" w:rsidRDefault="00481EDB" w:rsidP="00B527D4">
            <w:pPr>
              <w:pStyle w:val="a7"/>
              <w:rPr>
                <w:rFonts w:hAnsi="Times New Roman"/>
                <w:color w:val="000000" w:themeColor="text1"/>
              </w:rPr>
            </w:pPr>
            <w:r w:rsidRPr="00687B52">
              <w:rPr>
                <w:rFonts w:hAnsi="Times New Roman"/>
                <w:color w:val="000000" w:themeColor="text1"/>
              </w:rPr>
              <w:t>B66</w:t>
            </w:r>
            <w:r w:rsidRPr="00687B52">
              <w:rPr>
                <w:color w:val="000000" w:themeColor="text1"/>
              </w:rPr>
              <w:t>棉布工作服</w:t>
            </w:r>
          </w:p>
        </w:tc>
        <w:tc>
          <w:tcPr>
            <w:tcW w:w="2644"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B47</w:t>
            </w:r>
            <w:r w:rsidRPr="00687B52">
              <w:rPr>
                <w:color w:val="000000" w:themeColor="text1"/>
              </w:rPr>
              <w:t>防尘服</w:t>
            </w:r>
          </w:p>
          <w:p w:rsidR="00481EDB" w:rsidRPr="00687B52" w:rsidRDefault="00481EDB" w:rsidP="00B527D4">
            <w:pPr>
              <w:pStyle w:val="a7"/>
              <w:rPr>
                <w:rFonts w:hAnsi="Times New Roman"/>
                <w:color w:val="000000" w:themeColor="text1"/>
              </w:rPr>
            </w:pPr>
            <w:r w:rsidRPr="00687B52">
              <w:rPr>
                <w:rFonts w:hAnsi="Times New Roman"/>
                <w:color w:val="000000" w:themeColor="text1"/>
              </w:rPr>
              <w:t>B53</w:t>
            </w:r>
            <w:r w:rsidRPr="00687B52">
              <w:rPr>
                <w:color w:val="000000" w:themeColor="text1"/>
              </w:rPr>
              <w:t>阻燃防护服</w:t>
            </w:r>
          </w:p>
        </w:tc>
      </w:tr>
      <w:tr w:rsidR="00481EDB" w:rsidRPr="00687B52" w:rsidTr="00B527D4">
        <w:trPr>
          <w:trHeight w:val="619"/>
          <w:jc w:val="center"/>
        </w:trPr>
        <w:tc>
          <w:tcPr>
            <w:tcW w:w="769" w:type="dxa"/>
            <w:shd w:val="clear" w:color="auto" w:fill="FFFFFF"/>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A14</w:t>
            </w:r>
          </w:p>
        </w:tc>
        <w:tc>
          <w:tcPr>
            <w:tcW w:w="3512" w:type="dxa"/>
            <w:gridSpan w:val="2"/>
            <w:shd w:val="clear" w:color="auto" w:fill="FFFFFF"/>
            <w:vAlign w:val="center"/>
          </w:tcPr>
          <w:p w:rsidR="00481EDB" w:rsidRPr="00687B52" w:rsidRDefault="00481EDB" w:rsidP="00B527D4">
            <w:pPr>
              <w:pStyle w:val="a7"/>
              <w:rPr>
                <w:rFonts w:hAnsi="Times New Roman"/>
                <w:color w:val="000000" w:themeColor="text1"/>
              </w:rPr>
            </w:pPr>
            <w:r w:rsidRPr="00687B52">
              <w:rPr>
                <w:color w:val="000000" w:themeColor="text1"/>
              </w:rPr>
              <w:t>高处作业</w:t>
            </w:r>
          </w:p>
        </w:tc>
        <w:tc>
          <w:tcPr>
            <w:tcW w:w="2595"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B02</w:t>
            </w:r>
            <w:r w:rsidRPr="00687B52">
              <w:rPr>
                <w:color w:val="000000" w:themeColor="text1"/>
              </w:rPr>
              <w:t>安全帽</w:t>
            </w:r>
          </w:p>
          <w:p w:rsidR="00481EDB" w:rsidRPr="00687B52" w:rsidRDefault="00481EDB" w:rsidP="00B527D4">
            <w:pPr>
              <w:pStyle w:val="a7"/>
              <w:rPr>
                <w:rFonts w:hAnsi="Times New Roman"/>
                <w:color w:val="000000" w:themeColor="text1"/>
              </w:rPr>
            </w:pPr>
            <w:r w:rsidRPr="00687B52">
              <w:rPr>
                <w:rFonts w:hAnsi="Times New Roman"/>
                <w:color w:val="000000" w:themeColor="text1"/>
              </w:rPr>
              <w:t>B67</w:t>
            </w:r>
            <w:r w:rsidRPr="00687B52">
              <w:rPr>
                <w:color w:val="000000" w:themeColor="text1"/>
              </w:rPr>
              <w:t>安全带</w:t>
            </w:r>
          </w:p>
          <w:p w:rsidR="00481EDB" w:rsidRPr="00687B52" w:rsidRDefault="00481EDB" w:rsidP="00B527D4">
            <w:pPr>
              <w:pStyle w:val="a7"/>
              <w:rPr>
                <w:rFonts w:hAnsi="Times New Roman"/>
                <w:color w:val="000000" w:themeColor="text1"/>
              </w:rPr>
            </w:pPr>
            <w:r w:rsidRPr="00687B52">
              <w:rPr>
                <w:rFonts w:hAnsi="Times New Roman"/>
                <w:color w:val="000000" w:themeColor="text1"/>
              </w:rPr>
              <w:t>B68</w:t>
            </w:r>
            <w:r w:rsidRPr="00687B52">
              <w:rPr>
                <w:color w:val="000000" w:themeColor="text1"/>
              </w:rPr>
              <w:t>安全网</w:t>
            </w:r>
          </w:p>
        </w:tc>
        <w:tc>
          <w:tcPr>
            <w:tcW w:w="2644"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B40</w:t>
            </w:r>
            <w:r w:rsidRPr="00687B52">
              <w:rPr>
                <w:color w:val="000000" w:themeColor="text1"/>
              </w:rPr>
              <w:t>防滑鞋</w:t>
            </w:r>
          </w:p>
        </w:tc>
      </w:tr>
      <w:tr w:rsidR="00481EDB" w:rsidRPr="00687B52" w:rsidTr="00B527D4">
        <w:trPr>
          <w:trHeight w:val="247"/>
          <w:jc w:val="center"/>
        </w:trPr>
        <w:tc>
          <w:tcPr>
            <w:tcW w:w="769" w:type="dxa"/>
            <w:shd w:val="clear" w:color="auto" w:fill="FFFFFF"/>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A15</w:t>
            </w:r>
          </w:p>
        </w:tc>
        <w:tc>
          <w:tcPr>
            <w:tcW w:w="3512" w:type="dxa"/>
            <w:gridSpan w:val="2"/>
            <w:shd w:val="clear" w:color="auto" w:fill="FFFFFF"/>
            <w:vAlign w:val="center"/>
          </w:tcPr>
          <w:p w:rsidR="00481EDB" w:rsidRPr="00687B52" w:rsidRDefault="00481EDB" w:rsidP="00B527D4">
            <w:pPr>
              <w:pStyle w:val="a7"/>
              <w:rPr>
                <w:rFonts w:hAnsi="Times New Roman"/>
                <w:color w:val="000000" w:themeColor="text1"/>
              </w:rPr>
            </w:pPr>
            <w:r w:rsidRPr="00687B52">
              <w:rPr>
                <w:color w:val="000000" w:themeColor="text1"/>
              </w:rPr>
              <w:t>井下作业</w:t>
            </w:r>
          </w:p>
        </w:tc>
        <w:tc>
          <w:tcPr>
            <w:tcW w:w="2595" w:type="dxa"/>
            <w:vMerge w:val="restart"/>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B02</w:t>
            </w:r>
            <w:r w:rsidRPr="00687B52">
              <w:rPr>
                <w:color w:val="000000" w:themeColor="text1"/>
              </w:rPr>
              <w:t>安全帽</w:t>
            </w:r>
          </w:p>
          <w:p w:rsidR="00481EDB" w:rsidRPr="00687B52" w:rsidRDefault="00481EDB" w:rsidP="00B527D4">
            <w:pPr>
              <w:pStyle w:val="a7"/>
              <w:rPr>
                <w:rFonts w:hAnsi="Times New Roman"/>
                <w:color w:val="000000" w:themeColor="text1"/>
              </w:rPr>
            </w:pPr>
            <w:r w:rsidRPr="00687B52">
              <w:rPr>
                <w:rFonts w:hAnsi="Times New Roman"/>
                <w:color w:val="000000" w:themeColor="text1"/>
              </w:rPr>
              <w:t>B05</w:t>
            </w:r>
            <w:r w:rsidRPr="00687B52">
              <w:rPr>
                <w:color w:val="000000" w:themeColor="text1"/>
              </w:rPr>
              <w:t>防尘口罩</w:t>
            </w:r>
            <w:r w:rsidRPr="00687B52">
              <w:rPr>
                <w:rFonts w:hAnsi="Times New Roman"/>
                <w:color w:val="000000" w:themeColor="text1"/>
              </w:rPr>
              <w:t>(</w:t>
            </w:r>
            <w:r w:rsidRPr="00687B52">
              <w:rPr>
                <w:color w:val="000000" w:themeColor="text1"/>
              </w:rPr>
              <w:t>防颗粒物呼吸器</w:t>
            </w:r>
            <w:r w:rsidRPr="00687B52">
              <w:rPr>
                <w:rFonts w:hAnsi="Times New Roman"/>
                <w:color w:val="000000" w:themeColor="text1"/>
              </w:rPr>
              <w:t>)</w:t>
            </w:r>
          </w:p>
          <w:p w:rsidR="00481EDB" w:rsidRPr="00687B52" w:rsidRDefault="00481EDB" w:rsidP="00B527D4">
            <w:pPr>
              <w:pStyle w:val="a7"/>
              <w:rPr>
                <w:rFonts w:hAnsi="Times New Roman"/>
                <w:color w:val="000000" w:themeColor="text1"/>
              </w:rPr>
            </w:pPr>
            <w:r w:rsidRPr="00687B52">
              <w:rPr>
                <w:rFonts w:hAnsi="Times New Roman"/>
                <w:color w:val="000000" w:themeColor="text1"/>
              </w:rPr>
              <w:t>B06</w:t>
            </w:r>
            <w:r w:rsidRPr="00687B52">
              <w:rPr>
                <w:color w:val="000000" w:themeColor="text1"/>
              </w:rPr>
              <w:t>防毒面具</w:t>
            </w:r>
          </w:p>
          <w:p w:rsidR="00481EDB" w:rsidRPr="00687B52" w:rsidRDefault="00481EDB" w:rsidP="00B527D4">
            <w:pPr>
              <w:pStyle w:val="a7"/>
              <w:rPr>
                <w:rFonts w:hAnsi="Times New Roman"/>
                <w:color w:val="000000" w:themeColor="text1"/>
              </w:rPr>
            </w:pPr>
            <w:r w:rsidRPr="00687B52">
              <w:rPr>
                <w:rFonts w:hAnsi="Times New Roman"/>
                <w:color w:val="000000" w:themeColor="text1"/>
              </w:rPr>
              <w:t>B08</w:t>
            </w:r>
            <w:r w:rsidRPr="00687B52">
              <w:rPr>
                <w:color w:val="000000" w:themeColor="text1"/>
              </w:rPr>
              <w:t>自救器</w:t>
            </w:r>
          </w:p>
          <w:p w:rsidR="00481EDB" w:rsidRPr="00687B52" w:rsidRDefault="00481EDB" w:rsidP="00B527D4">
            <w:pPr>
              <w:pStyle w:val="a7"/>
              <w:rPr>
                <w:rFonts w:hAnsi="Times New Roman"/>
                <w:color w:val="000000" w:themeColor="text1"/>
              </w:rPr>
            </w:pPr>
            <w:r w:rsidRPr="00687B52">
              <w:rPr>
                <w:rFonts w:hAnsi="Times New Roman"/>
                <w:color w:val="000000" w:themeColor="text1"/>
              </w:rPr>
              <w:t>B18</w:t>
            </w:r>
            <w:r w:rsidRPr="00687B52">
              <w:rPr>
                <w:color w:val="000000" w:themeColor="text1"/>
              </w:rPr>
              <w:t>耳塞</w:t>
            </w:r>
          </w:p>
          <w:p w:rsidR="00481EDB" w:rsidRPr="00687B52" w:rsidRDefault="00481EDB" w:rsidP="00B527D4">
            <w:pPr>
              <w:pStyle w:val="a7"/>
              <w:rPr>
                <w:rFonts w:hAnsi="Times New Roman"/>
                <w:color w:val="000000" w:themeColor="text1"/>
              </w:rPr>
            </w:pPr>
            <w:r w:rsidRPr="00687B52">
              <w:rPr>
                <w:rFonts w:hAnsi="Times New Roman"/>
                <w:color w:val="000000" w:themeColor="text1"/>
              </w:rPr>
              <w:t>B23</w:t>
            </w:r>
            <w:r w:rsidRPr="00687B52">
              <w:rPr>
                <w:color w:val="000000" w:themeColor="text1"/>
              </w:rPr>
              <w:t>防静电手套</w:t>
            </w:r>
          </w:p>
          <w:p w:rsidR="00481EDB" w:rsidRPr="00687B52" w:rsidRDefault="00481EDB" w:rsidP="00B527D4">
            <w:pPr>
              <w:pStyle w:val="a7"/>
              <w:rPr>
                <w:rFonts w:hAnsi="Times New Roman"/>
                <w:color w:val="000000" w:themeColor="text1"/>
              </w:rPr>
            </w:pPr>
            <w:r w:rsidRPr="00687B52">
              <w:rPr>
                <w:rFonts w:hAnsi="Times New Roman"/>
                <w:color w:val="000000" w:themeColor="text1"/>
              </w:rPr>
              <w:t>B29</w:t>
            </w:r>
            <w:r w:rsidRPr="00687B52">
              <w:rPr>
                <w:color w:val="000000" w:themeColor="text1"/>
              </w:rPr>
              <w:t>防振手套</w:t>
            </w:r>
          </w:p>
          <w:p w:rsidR="00481EDB" w:rsidRPr="00687B52" w:rsidRDefault="00481EDB" w:rsidP="00B527D4">
            <w:pPr>
              <w:pStyle w:val="a7"/>
              <w:rPr>
                <w:rFonts w:hAnsi="Times New Roman"/>
                <w:color w:val="000000" w:themeColor="text1"/>
              </w:rPr>
            </w:pPr>
            <w:r w:rsidRPr="00687B52">
              <w:rPr>
                <w:rFonts w:hAnsi="Times New Roman"/>
                <w:color w:val="000000" w:themeColor="text1"/>
              </w:rPr>
              <w:t>B32</w:t>
            </w:r>
            <w:r w:rsidRPr="00687B52">
              <w:rPr>
                <w:color w:val="000000" w:themeColor="text1"/>
              </w:rPr>
              <w:t>防水胶靴</w:t>
            </w:r>
          </w:p>
          <w:p w:rsidR="00481EDB" w:rsidRPr="00687B52" w:rsidRDefault="00481EDB" w:rsidP="00B527D4">
            <w:pPr>
              <w:pStyle w:val="a7"/>
              <w:rPr>
                <w:rFonts w:hAnsi="Times New Roman"/>
                <w:color w:val="000000" w:themeColor="text1"/>
              </w:rPr>
            </w:pPr>
            <w:r w:rsidRPr="00687B52">
              <w:rPr>
                <w:rFonts w:hAnsi="Times New Roman"/>
                <w:color w:val="000000" w:themeColor="text1"/>
              </w:rPr>
              <w:t>B39</w:t>
            </w:r>
            <w:r w:rsidRPr="00687B52">
              <w:rPr>
                <w:color w:val="000000" w:themeColor="text1"/>
              </w:rPr>
              <w:t>防砸鞋</w:t>
            </w:r>
            <w:r w:rsidRPr="00687B52">
              <w:rPr>
                <w:rFonts w:hAnsi="Times New Roman"/>
                <w:color w:val="000000" w:themeColor="text1"/>
              </w:rPr>
              <w:t>(</w:t>
            </w:r>
            <w:r w:rsidRPr="00687B52">
              <w:rPr>
                <w:color w:val="000000" w:themeColor="text1"/>
              </w:rPr>
              <w:t>靴</w:t>
            </w:r>
            <w:r w:rsidRPr="00687B52">
              <w:rPr>
                <w:rFonts w:hAnsi="Times New Roman"/>
                <w:color w:val="000000" w:themeColor="text1"/>
              </w:rPr>
              <w:t>)</w:t>
            </w:r>
          </w:p>
          <w:p w:rsidR="00481EDB" w:rsidRPr="00687B52" w:rsidRDefault="00481EDB" w:rsidP="00B527D4">
            <w:pPr>
              <w:pStyle w:val="a7"/>
              <w:rPr>
                <w:rFonts w:hAnsi="Times New Roman"/>
                <w:color w:val="000000" w:themeColor="text1"/>
              </w:rPr>
            </w:pPr>
            <w:r w:rsidRPr="00687B52">
              <w:rPr>
                <w:rFonts w:hAnsi="Times New Roman"/>
                <w:color w:val="000000" w:themeColor="text1"/>
              </w:rPr>
              <w:t>B40</w:t>
            </w:r>
            <w:r w:rsidRPr="00687B52">
              <w:rPr>
                <w:color w:val="000000" w:themeColor="text1"/>
              </w:rPr>
              <w:t>防滑鞋</w:t>
            </w:r>
          </w:p>
          <w:p w:rsidR="00481EDB" w:rsidRPr="00687B52" w:rsidRDefault="00481EDB" w:rsidP="00B527D4">
            <w:pPr>
              <w:pStyle w:val="a7"/>
              <w:rPr>
                <w:rFonts w:hAnsi="Times New Roman"/>
                <w:color w:val="000000" w:themeColor="text1"/>
              </w:rPr>
            </w:pPr>
            <w:r w:rsidRPr="00687B52">
              <w:rPr>
                <w:rFonts w:hAnsi="Times New Roman"/>
                <w:color w:val="000000" w:themeColor="text1"/>
              </w:rPr>
              <w:t>B44</w:t>
            </w:r>
            <w:r w:rsidRPr="00687B52">
              <w:rPr>
                <w:color w:val="000000" w:themeColor="text1"/>
              </w:rPr>
              <w:t>矿工靴</w:t>
            </w:r>
          </w:p>
          <w:p w:rsidR="00481EDB" w:rsidRPr="00687B52" w:rsidRDefault="00481EDB" w:rsidP="00B527D4">
            <w:pPr>
              <w:pStyle w:val="a7"/>
              <w:rPr>
                <w:rFonts w:hAnsi="Times New Roman"/>
                <w:color w:val="000000" w:themeColor="text1"/>
              </w:rPr>
            </w:pPr>
            <w:r w:rsidRPr="00687B52">
              <w:rPr>
                <w:rFonts w:hAnsi="Times New Roman"/>
                <w:color w:val="000000" w:themeColor="text1"/>
              </w:rPr>
              <w:t>B48</w:t>
            </w:r>
            <w:r w:rsidRPr="00687B52">
              <w:rPr>
                <w:color w:val="000000" w:themeColor="text1"/>
              </w:rPr>
              <w:t>防水服</w:t>
            </w:r>
          </w:p>
          <w:p w:rsidR="00481EDB" w:rsidRPr="00687B52" w:rsidRDefault="00481EDB" w:rsidP="00B527D4">
            <w:pPr>
              <w:pStyle w:val="a7"/>
              <w:rPr>
                <w:rFonts w:hAnsi="Times New Roman"/>
                <w:color w:val="000000" w:themeColor="text1"/>
              </w:rPr>
            </w:pPr>
            <w:r w:rsidRPr="00687B52">
              <w:rPr>
                <w:rFonts w:hAnsi="Times New Roman"/>
                <w:color w:val="000000" w:themeColor="text1"/>
              </w:rPr>
              <w:t>B53</w:t>
            </w:r>
            <w:r w:rsidRPr="00687B52">
              <w:rPr>
                <w:color w:val="000000" w:themeColor="text1"/>
              </w:rPr>
              <w:t>阻燃防护服</w:t>
            </w:r>
          </w:p>
        </w:tc>
        <w:tc>
          <w:tcPr>
            <w:tcW w:w="2644" w:type="dxa"/>
            <w:vMerge w:val="restart"/>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B19</w:t>
            </w:r>
            <w:r w:rsidRPr="00687B52">
              <w:rPr>
                <w:color w:val="000000" w:themeColor="text1"/>
              </w:rPr>
              <w:t>耳罩</w:t>
            </w:r>
          </w:p>
          <w:p w:rsidR="00481EDB" w:rsidRPr="00687B52" w:rsidRDefault="00481EDB" w:rsidP="00B527D4">
            <w:pPr>
              <w:pStyle w:val="a7"/>
              <w:rPr>
                <w:rFonts w:hAnsi="Times New Roman"/>
                <w:color w:val="000000" w:themeColor="text1"/>
              </w:rPr>
            </w:pPr>
            <w:r w:rsidRPr="00687B52">
              <w:rPr>
                <w:rFonts w:hAnsi="Times New Roman"/>
                <w:color w:val="000000" w:themeColor="text1"/>
              </w:rPr>
              <w:t>B41</w:t>
            </w:r>
            <w:r w:rsidRPr="00687B52">
              <w:rPr>
                <w:color w:val="000000" w:themeColor="text1"/>
              </w:rPr>
              <w:t>防刺穿鞋</w:t>
            </w:r>
          </w:p>
        </w:tc>
      </w:tr>
      <w:tr w:rsidR="00481EDB" w:rsidRPr="00687B52" w:rsidTr="00B527D4">
        <w:trPr>
          <w:trHeight w:val="2418"/>
          <w:jc w:val="center"/>
        </w:trPr>
        <w:tc>
          <w:tcPr>
            <w:tcW w:w="769"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A16</w:t>
            </w:r>
          </w:p>
        </w:tc>
        <w:tc>
          <w:tcPr>
            <w:tcW w:w="3512" w:type="dxa"/>
            <w:gridSpan w:val="2"/>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color w:val="000000" w:themeColor="text1"/>
              </w:rPr>
              <w:t>地下作业</w:t>
            </w:r>
          </w:p>
        </w:tc>
        <w:tc>
          <w:tcPr>
            <w:tcW w:w="2595" w:type="dxa"/>
            <w:vMerge/>
            <w:shd w:val="clear" w:color="auto" w:fill="FFFFFF"/>
            <w:vAlign w:val="center"/>
          </w:tcPr>
          <w:p w:rsidR="00481EDB" w:rsidRPr="00687B52" w:rsidRDefault="00481EDB" w:rsidP="00B527D4">
            <w:pPr>
              <w:pStyle w:val="a7"/>
              <w:rPr>
                <w:rFonts w:hAnsi="Times New Roman"/>
                <w:color w:val="000000" w:themeColor="text1"/>
              </w:rPr>
            </w:pPr>
          </w:p>
        </w:tc>
        <w:tc>
          <w:tcPr>
            <w:tcW w:w="2644" w:type="dxa"/>
            <w:vMerge/>
            <w:shd w:val="clear" w:color="auto" w:fill="FFFFFF"/>
            <w:vAlign w:val="center"/>
          </w:tcPr>
          <w:p w:rsidR="00481EDB" w:rsidRPr="00687B52" w:rsidRDefault="00481EDB" w:rsidP="00B527D4">
            <w:pPr>
              <w:pStyle w:val="a7"/>
              <w:rPr>
                <w:rFonts w:hAnsi="Times New Roman"/>
                <w:color w:val="000000" w:themeColor="text1"/>
              </w:rPr>
            </w:pPr>
          </w:p>
        </w:tc>
      </w:tr>
      <w:tr w:rsidR="00481EDB" w:rsidRPr="00687B52" w:rsidTr="00B527D4">
        <w:trPr>
          <w:trHeight w:val="247"/>
          <w:jc w:val="center"/>
        </w:trPr>
        <w:tc>
          <w:tcPr>
            <w:tcW w:w="769" w:type="dxa"/>
            <w:shd w:val="clear" w:color="auto" w:fill="FFFFFF"/>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A17</w:t>
            </w:r>
          </w:p>
        </w:tc>
        <w:tc>
          <w:tcPr>
            <w:tcW w:w="3512" w:type="dxa"/>
            <w:gridSpan w:val="2"/>
            <w:shd w:val="clear" w:color="auto" w:fill="FFFFFF"/>
            <w:vAlign w:val="center"/>
          </w:tcPr>
          <w:p w:rsidR="00481EDB" w:rsidRPr="00687B52" w:rsidRDefault="00481EDB" w:rsidP="00B527D4">
            <w:pPr>
              <w:pStyle w:val="a7"/>
              <w:rPr>
                <w:rFonts w:hAnsi="Times New Roman"/>
                <w:color w:val="000000" w:themeColor="text1"/>
              </w:rPr>
            </w:pPr>
            <w:r w:rsidRPr="00687B52">
              <w:rPr>
                <w:color w:val="000000" w:themeColor="text1"/>
              </w:rPr>
              <w:t>水上作业</w:t>
            </w:r>
          </w:p>
        </w:tc>
        <w:tc>
          <w:tcPr>
            <w:tcW w:w="2595"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B32</w:t>
            </w:r>
            <w:r w:rsidRPr="00687B52">
              <w:rPr>
                <w:color w:val="000000" w:themeColor="text1"/>
              </w:rPr>
              <w:t>防水胶靴</w:t>
            </w:r>
          </w:p>
          <w:p w:rsidR="00481EDB" w:rsidRPr="00687B52" w:rsidRDefault="00481EDB" w:rsidP="00B527D4">
            <w:pPr>
              <w:pStyle w:val="a7"/>
              <w:rPr>
                <w:rFonts w:hAnsi="Times New Roman"/>
                <w:color w:val="000000" w:themeColor="text1"/>
              </w:rPr>
            </w:pPr>
            <w:r w:rsidRPr="00687B52">
              <w:rPr>
                <w:rFonts w:hAnsi="Times New Roman"/>
                <w:color w:val="000000" w:themeColor="text1"/>
              </w:rPr>
              <w:t>B49</w:t>
            </w:r>
            <w:r w:rsidRPr="00687B52">
              <w:rPr>
                <w:color w:val="000000" w:themeColor="text1"/>
              </w:rPr>
              <w:t>水上作业服</w:t>
            </w:r>
          </w:p>
          <w:p w:rsidR="00481EDB" w:rsidRPr="00687B52" w:rsidRDefault="00481EDB" w:rsidP="00B527D4">
            <w:pPr>
              <w:pStyle w:val="a7"/>
              <w:rPr>
                <w:rFonts w:hAnsi="Times New Roman"/>
                <w:color w:val="000000" w:themeColor="text1"/>
              </w:rPr>
            </w:pPr>
            <w:r w:rsidRPr="00687B52">
              <w:rPr>
                <w:rFonts w:hAnsi="Times New Roman"/>
                <w:color w:val="000000" w:themeColor="text1"/>
              </w:rPr>
              <w:t>B62</w:t>
            </w:r>
            <w:r w:rsidRPr="00687B52">
              <w:rPr>
                <w:color w:val="000000" w:themeColor="text1"/>
              </w:rPr>
              <w:t>救生衣</w:t>
            </w:r>
            <w:r w:rsidRPr="00687B52">
              <w:rPr>
                <w:rFonts w:hAnsi="Times New Roman"/>
                <w:color w:val="000000" w:themeColor="text1"/>
              </w:rPr>
              <w:t>(</w:t>
            </w:r>
            <w:r w:rsidRPr="00687B52">
              <w:rPr>
                <w:color w:val="000000" w:themeColor="text1"/>
              </w:rPr>
              <w:t>圈</w:t>
            </w:r>
            <w:r w:rsidRPr="00687B52">
              <w:rPr>
                <w:rFonts w:hAnsi="Times New Roman"/>
                <w:color w:val="000000" w:themeColor="text1"/>
              </w:rPr>
              <w:t>)</w:t>
            </w:r>
          </w:p>
        </w:tc>
        <w:tc>
          <w:tcPr>
            <w:tcW w:w="2644"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B48</w:t>
            </w:r>
            <w:r w:rsidRPr="00687B52">
              <w:rPr>
                <w:color w:val="000000" w:themeColor="text1"/>
              </w:rPr>
              <w:t>防水服</w:t>
            </w:r>
          </w:p>
        </w:tc>
      </w:tr>
      <w:tr w:rsidR="00481EDB" w:rsidRPr="00687B52" w:rsidTr="00B527D4">
        <w:trPr>
          <w:trHeight w:val="247"/>
          <w:jc w:val="center"/>
        </w:trPr>
        <w:tc>
          <w:tcPr>
            <w:tcW w:w="769" w:type="dxa"/>
            <w:shd w:val="clear" w:color="auto" w:fill="FFFFFF"/>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A18</w:t>
            </w:r>
          </w:p>
        </w:tc>
        <w:tc>
          <w:tcPr>
            <w:tcW w:w="3512" w:type="dxa"/>
            <w:gridSpan w:val="2"/>
            <w:shd w:val="clear" w:color="auto" w:fill="FFFFFF"/>
            <w:vAlign w:val="center"/>
          </w:tcPr>
          <w:p w:rsidR="00481EDB" w:rsidRPr="00687B52" w:rsidRDefault="00481EDB" w:rsidP="00B527D4">
            <w:pPr>
              <w:pStyle w:val="a7"/>
              <w:rPr>
                <w:rFonts w:hAnsi="Times New Roman"/>
                <w:color w:val="000000" w:themeColor="text1"/>
              </w:rPr>
            </w:pPr>
            <w:r w:rsidRPr="00687B52">
              <w:rPr>
                <w:color w:val="000000" w:themeColor="text1"/>
              </w:rPr>
              <w:t>潜水作业</w:t>
            </w:r>
          </w:p>
        </w:tc>
        <w:tc>
          <w:tcPr>
            <w:tcW w:w="2595"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B50</w:t>
            </w:r>
            <w:r w:rsidRPr="00687B52">
              <w:rPr>
                <w:color w:val="000000" w:themeColor="text1"/>
              </w:rPr>
              <w:t>潜水服</w:t>
            </w:r>
          </w:p>
        </w:tc>
        <w:tc>
          <w:tcPr>
            <w:tcW w:w="2644"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p>
        </w:tc>
      </w:tr>
      <w:tr w:rsidR="00481EDB" w:rsidRPr="00687B52" w:rsidTr="00B527D4">
        <w:trPr>
          <w:trHeight w:val="619"/>
          <w:jc w:val="center"/>
        </w:trPr>
        <w:tc>
          <w:tcPr>
            <w:tcW w:w="769" w:type="dxa"/>
            <w:shd w:val="clear" w:color="auto" w:fill="FFFFFF"/>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A19</w:t>
            </w:r>
          </w:p>
        </w:tc>
        <w:tc>
          <w:tcPr>
            <w:tcW w:w="3512" w:type="dxa"/>
            <w:gridSpan w:val="2"/>
            <w:shd w:val="clear" w:color="auto" w:fill="FFFFFF"/>
            <w:vAlign w:val="center"/>
          </w:tcPr>
          <w:p w:rsidR="00481EDB" w:rsidRPr="00687B52" w:rsidRDefault="00481EDB" w:rsidP="00B527D4">
            <w:pPr>
              <w:pStyle w:val="a7"/>
              <w:rPr>
                <w:rFonts w:hAnsi="Times New Roman"/>
                <w:color w:val="000000" w:themeColor="text1"/>
              </w:rPr>
            </w:pPr>
            <w:r w:rsidRPr="00687B52">
              <w:rPr>
                <w:color w:val="000000" w:themeColor="text1"/>
              </w:rPr>
              <w:t>吸入性气相毒物作业</w:t>
            </w:r>
          </w:p>
        </w:tc>
        <w:tc>
          <w:tcPr>
            <w:tcW w:w="2595"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B06</w:t>
            </w:r>
            <w:r w:rsidRPr="00687B52">
              <w:rPr>
                <w:color w:val="000000" w:themeColor="text1"/>
              </w:rPr>
              <w:t>防毒面具</w:t>
            </w:r>
          </w:p>
          <w:p w:rsidR="00481EDB" w:rsidRPr="00687B52" w:rsidRDefault="00481EDB" w:rsidP="00B527D4">
            <w:pPr>
              <w:pStyle w:val="a7"/>
              <w:rPr>
                <w:rFonts w:hAnsi="Times New Roman"/>
                <w:color w:val="000000" w:themeColor="text1"/>
              </w:rPr>
            </w:pPr>
            <w:r w:rsidRPr="00687B52">
              <w:rPr>
                <w:rFonts w:hAnsi="Times New Roman"/>
                <w:color w:val="000000" w:themeColor="text1"/>
              </w:rPr>
              <w:t>B21</w:t>
            </w:r>
            <w:r w:rsidRPr="00687B52">
              <w:rPr>
                <w:color w:val="000000" w:themeColor="text1"/>
              </w:rPr>
              <w:t>防化学品手套</w:t>
            </w:r>
          </w:p>
          <w:p w:rsidR="00481EDB" w:rsidRPr="00687B52" w:rsidRDefault="00481EDB" w:rsidP="00B527D4">
            <w:pPr>
              <w:pStyle w:val="a7"/>
              <w:rPr>
                <w:rFonts w:hAnsi="Times New Roman"/>
                <w:color w:val="000000" w:themeColor="text1"/>
              </w:rPr>
            </w:pPr>
            <w:r w:rsidRPr="00687B52">
              <w:rPr>
                <w:rFonts w:hAnsi="Times New Roman"/>
                <w:color w:val="000000" w:themeColor="text1"/>
              </w:rPr>
              <w:t>B52</w:t>
            </w:r>
            <w:r w:rsidRPr="00687B52">
              <w:rPr>
                <w:color w:val="000000" w:themeColor="text1"/>
              </w:rPr>
              <w:t>化学品防护服</w:t>
            </w:r>
          </w:p>
        </w:tc>
        <w:tc>
          <w:tcPr>
            <w:tcW w:w="2644"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B69</w:t>
            </w:r>
            <w:r w:rsidRPr="00687B52">
              <w:rPr>
                <w:color w:val="000000" w:themeColor="text1"/>
              </w:rPr>
              <w:t>劳动护肤剂</w:t>
            </w:r>
          </w:p>
        </w:tc>
      </w:tr>
      <w:tr w:rsidR="00481EDB" w:rsidRPr="00687B52" w:rsidTr="00B527D4">
        <w:trPr>
          <w:trHeight w:val="805"/>
          <w:jc w:val="center"/>
        </w:trPr>
        <w:tc>
          <w:tcPr>
            <w:tcW w:w="769" w:type="dxa"/>
            <w:shd w:val="clear" w:color="auto" w:fill="FFFFFF"/>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A20</w:t>
            </w:r>
          </w:p>
        </w:tc>
        <w:tc>
          <w:tcPr>
            <w:tcW w:w="3512" w:type="dxa"/>
            <w:gridSpan w:val="2"/>
            <w:shd w:val="clear" w:color="auto" w:fill="FFFFFF"/>
            <w:vAlign w:val="center"/>
          </w:tcPr>
          <w:p w:rsidR="00481EDB" w:rsidRPr="00687B52" w:rsidRDefault="00481EDB" w:rsidP="00B527D4">
            <w:pPr>
              <w:pStyle w:val="a7"/>
              <w:rPr>
                <w:rFonts w:hAnsi="Times New Roman"/>
                <w:color w:val="000000" w:themeColor="text1"/>
              </w:rPr>
            </w:pPr>
            <w:r w:rsidRPr="00687B52">
              <w:rPr>
                <w:color w:val="000000" w:themeColor="text1"/>
              </w:rPr>
              <w:t>密闭场所作业</w:t>
            </w:r>
          </w:p>
        </w:tc>
        <w:tc>
          <w:tcPr>
            <w:tcW w:w="2595"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B06</w:t>
            </w:r>
            <w:r w:rsidRPr="00687B52">
              <w:rPr>
                <w:color w:val="000000" w:themeColor="text1"/>
              </w:rPr>
              <w:t>防毒面具</w:t>
            </w:r>
            <w:r w:rsidRPr="00687B52">
              <w:rPr>
                <w:rFonts w:hAnsi="Times New Roman"/>
                <w:color w:val="000000" w:themeColor="text1"/>
              </w:rPr>
              <w:t>(</w:t>
            </w:r>
            <w:r w:rsidRPr="00687B52">
              <w:rPr>
                <w:color w:val="000000" w:themeColor="text1"/>
              </w:rPr>
              <w:t>供气或携气</w:t>
            </w:r>
            <w:r w:rsidRPr="00687B52">
              <w:rPr>
                <w:rFonts w:hAnsi="Times New Roman"/>
                <w:color w:val="000000" w:themeColor="text1"/>
              </w:rPr>
              <w:t>)</w:t>
            </w:r>
          </w:p>
          <w:p w:rsidR="00481EDB" w:rsidRPr="00687B52" w:rsidRDefault="00481EDB" w:rsidP="00B527D4">
            <w:pPr>
              <w:pStyle w:val="a7"/>
              <w:rPr>
                <w:rFonts w:hAnsi="Times New Roman"/>
                <w:color w:val="000000" w:themeColor="text1"/>
              </w:rPr>
            </w:pPr>
            <w:r w:rsidRPr="00687B52">
              <w:rPr>
                <w:rFonts w:hAnsi="Times New Roman"/>
                <w:color w:val="000000" w:themeColor="text1"/>
              </w:rPr>
              <w:t>B21</w:t>
            </w:r>
            <w:r w:rsidRPr="00687B52">
              <w:rPr>
                <w:color w:val="000000" w:themeColor="text1"/>
              </w:rPr>
              <w:t>防化学品手套</w:t>
            </w:r>
          </w:p>
          <w:p w:rsidR="00481EDB" w:rsidRPr="00687B52" w:rsidRDefault="00481EDB" w:rsidP="00B527D4">
            <w:pPr>
              <w:pStyle w:val="a7"/>
              <w:rPr>
                <w:rFonts w:hAnsi="Times New Roman"/>
                <w:color w:val="000000" w:themeColor="text1"/>
              </w:rPr>
            </w:pPr>
            <w:r w:rsidRPr="00687B52">
              <w:rPr>
                <w:rFonts w:hAnsi="Times New Roman"/>
                <w:color w:val="000000" w:themeColor="text1"/>
              </w:rPr>
              <w:t>B52</w:t>
            </w:r>
            <w:r w:rsidRPr="00687B52">
              <w:rPr>
                <w:color w:val="000000" w:themeColor="text1"/>
              </w:rPr>
              <w:t>化学品防护服</w:t>
            </w:r>
          </w:p>
        </w:tc>
        <w:tc>
          <w:tcPr>
            <w:tcW w:w="2644"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B07</w:t>
            </w:r>
            <w:r w:rsidRPr="00687B52">
              <w:rPr>
                <w:color w:val="000000" w:themeColor="text1"/>
              </w:rPr>
              <w:t>空气呼吸器</w:t>
            </w:r>
          </w:p>
          <w:p w:rsidR="00481EDB" w:rsidRPr="00687B52" w:rsidRDefault="00481EDB" w:rsidP="00B527D4">
            <w:pPr>
              <w:pStyle w:val="a7"/>
              <w:rPr>
                <w:rFonts w:hAnsi="Times New Roman"/>
                <w:color w:val="000000" w:themeColor="text1"/>
              </w:rPr>
            </w:pPr>
            <w:r w:rsidRPr="00687B52">
              <w:rPr>
                <w:rFonts w:hAnsi="Times New Roman"/>
                <w:color w:val="000000" w:themeColor="text1"/>
              </w:rPr>
              <w:t>B69</w:t>
            </w:r>
            <w:r w:rsidRPr="00687B52">
              <w:rPr>
                <w:color w:val="000000" w:themeColor="text1"/>
              </w:rPr>
              <w:t>劳动护肤剂</w:t>
            </w:r>
          </w:p>
        </w:tc>
      </w:tr>
      <w:tr w:rsidR="00481EDB" w:rsidRPr="00687B52" w:rsidTr="00B527D4">
        <w:trPr>
          <w:trHeight w:val="805"/>
          <w:jc w:val="center"/>
        </w:trPr>
        <w:tc>
          <w:tcPr>
            <w:tcW w:w="769" w:type="dxa"/>
            <w:shd w:val="clear" w:color="auto" w:fill="FFFFFF"/>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A21</w:t>
            </w:r>
          </w:p>
        </w:tc>
        <w:tc>
          <w:tcPr>
            <w:tcW w:w="3512" w:type="dxa"/>
            <w:gridSpan w:val="2"/>
            <w:shd w:val="clear" w:color="auto" w:fill="FFFFFF"/>
            <w:vAlign w:val="center"/>
          </w:tcPr>
          <w:p w:rsidR="00481EDB" w:rsidRPr="00687B52" w:rsidRDefault="00481EDB" w:rsidP="00B527D4">
            <w:pPr>
              <w:pStyle w:val="a7"/>
              <w:rPr>
                <w:rFonts w:hAnsi="Times New Roman"/>
                <w:color w:val="000000" w:themeColor="text1"/>
              </w:rPr>
            </w:pPr>
            <w:r w:rsidRPr="00687B52">
              <w:rPr>
                <w:color w:val="000000" w:themeColor="text1"/>
              </w:rPr>
              <w:t>吸入性气溶胶毒物作业</w:t>
            </w:r>
          </w:p>
        </w:tc>
        <w:tc>
          <w:tcPr>
            <w:tcW w:w="2595"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B01</w:t>
            </w:r>
            <w:r w:rsidRPr="00687B52">
              <w:rPr>
                <w:color w:val="000000" w:themeColor="text1"/>
              </w:rPr>
              <w:t>工作帽</w:t>
            </w:r>
          </w:p>
          <w:p w:rsidR="00481EDB" w:rsidRPr="00687B52" w:rsidRDefault="00481EDB" w:rsidP="00B527D4">
            <w:pPr>
              <w:pStyle w:val="a7"/>
              <w:rPr>
                <w:rFonts w:hAnsi="Times New Roman"/>
                <w:color w:val="000000" w:themeColor="text1"/>
              </w:rPr>
            </w:pPr>
            <w:r w:rsidRPr="00687B52">
              <w:rPr>
                <w:rFonts w:hAnsi="Times New Roman"/>
                <w:color w:val="000000" w:themeColor="text1"/>
              </w:rPr>
              <w:t>B06</w:t>
            </w:r>
            <w:r w:rsidRPr="00687B52">
              <w:rPr>
                <w:color w:val="000000" w:themeColor="text1"/>
              </w:rPr>
              <w:t>防毒面具</w:t>
            </w:r>
          </w:p>
          <w:p w:rsidR="00481EDB" w:rsidRPr="00687B52" w:rsidRDefault="00481EDB" w:rsidP="00B527D4">
            <w:pPr>
              <w:pStyle w:val="a7"/>
              <w:rPr>
                <w:rFonts w:hAnsi="Times New Roman"/>
                <w:color w:val="000000" w:themeColor="text1"/>
              </w:rPr>
            </w:pPr>
            <w:r w:rsidRPr="00687B52">
              <w:rPr>
                <w:rFonts w:hAnsi="Times New Roman"/>
                <w:color w:val="000000" w:themeColor="text1"/>
              </w:rPr>
              <w:t>B21</w:t>
            </w:r>
            <w:r w:rsidRPr="00687B52">
              <w:rPr>
                <w:color w:val="000000" w:themeColor="text1"/>
              </w:rPr>
              <w:t>防化学品手套</w:t>
            </w:r>
          </w:p>
          <w:p w:rsidR="00481EDB" w:rsidRPr="00687B52" w:rsidRDefault="00481EDB" w:rsidP="00B527D4">
            <w:pPr>
              <w:pStyle w:val="a7"/>
              <w:rPr>
                <w:rFonts w:hAnsi="Times New Roman"/>
                <w:color w:val="000000" w:themeColor="text1"/>
              </w:rPr>
            </w:pPr>
            <w:r w:rsidRPr="00687B52">
              <w:rPr>
                <w:rFonts w:hAnsi="Times New Roman"/>
                <w:color w:val="000000" w:themeColor="text1"/>
              </w:rPr>
              <w:t>B52</w:t>
            </w:r>
            <w:r w:rsidRPr="00687B52">
              <w:rPr>
                <w:color w:val="000000" w:themeColor="text1"/>
              </w:rPr>
              <w:t>化学品昉护服</w:t>
            </w:r>
          </w:p>
        </w:tc>
        <w:tc>
          <w:tcPr>
            <w:tcW w:w="2644"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B05</w:t>
            </w:r>
            <w:r w:rsidRPr="00687B52">
              <w:rPr>
                <w:color w:val="000000" w:themeColor="text1"/>
              </w:rPr>
              <w:t>防尘口罩</w:t>
            </w:r>
            <w:r w:rsidRPr="00687B52">
              <w:rPr>
                <w:rFonts w:hAnsi="Times New Roman"/>
                <w:color w:val="000000" w:themeColor="text1"/>
              </w:rPr>
              <w:t>(</w:t>
            </w:r>
            <w:r w:rsidRPr="00687B52">
              <w:rPr>
                <w:color w:val="000000" w:themeColor="text1"/>
              </w:rPr>
              <w:t>防颗粒物呼吸器</w:t>
            </w:r>
            <w:r w:rsidRPr="00687B52">
              <w:rPr>
                <w:rFonts w:hAnsi="Times New Roman"/>
                <w:color w:val="000000" w:themeColor="text1"/>
              </w:rPr>
              <w:t>)</w:t>
            </w:r>
          </w:p>
          <w:p w:rsidR="00481EDB" w:rsidRPr="00687B52" w:rsidRDefault="00481EDB" w:rsidP="00B527D4">
            <w:pPr>
              <w:pStyle w:val="a7"/>
              <w:rPr>
                <w:rFonts w:hAnsi="Times New Roman"/>
                <w:color w:val="000000" w:themeColor="text1"/>
              </w:rPr>
            </w:pPr>
            <w:r w:rsidRPr="00687B52">
              <w:rPr>
                <w:rFonts w:hAnsi="Times New Roman"/>
                <w:color w:val="000000" w:themeColor="text1"/>
              </w:rPr>
              <w:t>B69</w:t>
            </w:r>
            <w:r w:rsidRPr="00687B52">
              <w:rPr>
                <w:color w:val="000000" w:themeColor="text1"/>
              </w:rPr>
              <w:t>劳动护肤剂</w:t>
            </w:r>
          </w:p>
        </w:tc>
      </w:tr>
      <w:tr w:rsidR="00481EDB" w:rsidRPr="00687B52" w:rsidTr="00B527D4">
        <w:trPr>
          <w:trHeight w:val="991"/>
          <w:jc w:val="center"/>
        </w:trPr>
        <w:tc>
          <w:tcPr>
            <w:tcW w:w="769" w:type="dxa"/>
            <w:shd w:val="clear" w:color="auto" w:fill="FFFFFF"/>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A22</w:t>
            </w:r>
          </w:p>
        </w:tc>
        <w:tc>
          <w:tcPr>
            <w:tcW w:w="3512" w:type="dxa"/>
            <w:gridSpan w:val="2"/>
            <w:shd w:val="clear" w:color="auto" w:fill="FFFFFF"/>
            <w:vAlign w:val="center"/>
          </w:tcPr>
          <w:p w:rsidR="00481EDB" w:rsidRPr="00687B52" w:rsidRDefault="00481EDB" w:rsidP="00B527D4">
            <w:pPr>
              <w:pStyle w:val="a7"/>
              <w:rPr>
                <w:rFonts w:hAnsi="Times New Roman"/>
                <w:color w:val="000000" w:themeColor="text1"/>
              </w:rPr>
            </w:pPr>
            <w:r w:rsidRPr="00687B52">
              <w:rPr>
                <w:color w:val="000000" w:themeColor="text1"/>
              </w:rPr>
              <w:t>沾染性毒物作业</w:t>
            </w:r>
          </w:p>
        </w:tc>
        <w:tc>
          <w:tcPr>
            <w:tcW w:w="2595"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B01</w:t>
            </w:r>
            <w:r w:rsidRPr="00687B52">
              <w:rPr>
                <w:color w:val="000000" w:themeColor="text1"/>
              </w:rPr>
              <w:t>工作帽</w:t>
            </w:r>
          </w:p>
          <w:p w:rsidR="00481EDB" w:rsidRPr="00687B52" w:rsidRDefault="00481EDB" w:rsidP="00B527D4">
            <w:pPr>
              <w:pStyle w:val="a7"/>
              <w:rPr>
                <w:rFonts w:hAnsi="Times New Roman"/>
                <w:color w:val="000000" w:themeColor="text1"/>
              </w:rPr>
            </w:pPr>
            <w:r w:rsidRPr="00687B52">
              <w:rPr>
                <w:rFonts w:hAnsi="Times New Roman"/>
                <w:color w:val="000000" w:themeColor="text1"/>
              </w:rPr>
              <w:t>B06</w:t>
            </w:r>
            <w:r w:rsidRPr="00687B52">
              <w:rPr>
                <w:color w:val="000000" w:themeColor="text1"/>
              </w:rPr>
              <w:t>防毒面具</w:t>
            </w:r>
          </w:p>
          <w:p w:rsidR="00481EDB" w:rsidRPr="00687B52" w:rsidRDefault="00481EDB" w:rsidP="00B527D4">
            <w:pPr>
              <w:pStyle w:val="a7"/>
              <w:rPr>
                <w:rFonts w:hAnsi="Times New Roman"/>
                <w:color w:val="000000" w:themeColor="text1"/>
              </w:rPr>
            </w:pPr>
            <w:r w:rsidRPr="00687B52">
              <w:rPr>
                <w:rFonts w:hAnsi="Times New Roman"/>
                <w:color w:val="000000" w:themeColor="text1"/>
              </w:rPr>
              <w:t>B16</w:t>
            </w:r>
            <w:r w:rsidRPr="00687B52">
              <w:rPr>
                <w:color w:val="000000" w:themeColor="text1"/>
              </w:rPr>
              <w:t>防腐蚀液护目镜</w:t>
            </w:r>
          </w:p>
          <w:p w:rsidR="00481EDB" w:rsidRPr="00687B52" w:rsidRDefault="00481EDB" w:rsidP="00B527D4">
            <w:pPr>
              <w:pStyle w:val="a7"/>
              <w:rPr>
                <w:rFonts w:hAnsi="Times New Roman"/>
                <w:color w:val="000000" w:themeColor="text1"/>
              </w:rPr>
            </w:pPr>
            <w:r w:rsidRPr="00687B52">
              <w:rPr>
                <w:rFonts w:hAnsi="Times New Roman"/>
                <w:color w:val="000000" w:themeColor="text1"/>
              </w:rPr>
              <w:t>B21</w:t>
            </w:r>
            <w:r w:rsidRPr="00687B52">
              <w:rPr>
                <w:color w:val="000000" w:themeColor="text1"/>
              </w:rPr>
              <w:t>防化学品手套</w:t>
            </w:r>
          </w:p>
          <w:p w:rsidR="00481EDB" w:rsidRPr="00687B52" w:rsidRDefault="00481EDB" w:rsidP="00B527D4">
            <w:pPr>
              <w:pStyle w:val="a7"/>
              <w:rPr>
                <w:rFonts w:hAnsi="Times New Roman"/>
                <w:color w:val="000000" w:themeColor="text1"/>
              </w:rPr>
            </w:pPr>
            <w:r w:rsidRPr="00687B52">
              <w:rPr>
                <w:rFonts w:hAnsi="Times New Roman"/>
                <w:color w:val="000000" w:themeColor="text1"/>
              </w:rPr>
              <w:t>B52</w:t>
            </w:r>
            <w:r w:rsidRPr="00687B52">
              <w:rPr>
                <w:color w:val="000000" w:themeColor="text1"/>
              </w:rPr>
              <w:t>化学品防护服</w:t>
            </w:r>
          </w:p>
        </w:tc>
        <w:tc>
          <w:tcPr>
            <w:tcW w:w="2644"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B05</w:t>
            </w:r>
            <w:r w:rsidRPr="00687B52">
              <w:rPr>
                <w:color w:val="000000" w:themeColor="text1"/>
              </w:rPr>
              <w:t>防尘口罩</w:t>
            </w:r>
            <w:r w:rsidRPr="00687B52">
              <w:rPr>
                <w:rFonts w:hAnsi="Times New Roman"/>
                <w:color w:val="000000" w:themeColor="text1"/>
              </w:rPr>
              <w:t>(</w:t>
            </w:r>
            <w:r w:rsidRPr="00687B52">
              <w:rPr>
                <w:color w:val="000000" w:themeColor="text1"/>
              </w:rPr>
              <w:t>防颗粒物呼吸器</w:t>
            </w:r>
            <w:r w:rsidRPr="00687B52">
              <w:rPr>
                <w:rFonts w:hAnsi="Times New Roman"/>
                <w:color w:val="000000" w:themeColor="text1"/>
              </w:rPr>
              <w:t>)</w:t>
            </w:r>
          </w:p>
          <w:p w:rsidR="00481EDB" w:rsidRPr="00687B52" w:rsidRDefault="00481EDB" w:rsidP="00B527D4">
            <w:pPr>
              <w:pStyle w:val="a7"/>
              <w:rPr>
                <w:rFonts w:hAnsi="Times New Roman"/>
                <w:color w:val="000000" w:themeColor="text1"/>
              </w:rPr>
            </w:pPr>
            <w:r w:rsidRPr="00687B52">
              <w:rPr>
                <w:rFonts w:hAnsi="Times New Roman"/>
                <w:color w:val="000000" w:themeColor="text1"/>
              </w:rPr>
              <w:t>B69</w:t>
            </w:r>
            <w:r w:rsidRPr="00687B52">
              <w:rPr>
                <w:color w:val="000000" w:themeColor="text1"/>
              </w:rPr>
              <w:t>劳动护肤剂</w:t>
            </w:r>
          </w:p>
        </w:tc>
      </w:tr>
      <w:tr w:rsidR="00481EDB" w:rsidRPr="00687B52" w:rsidTr="00B527D4">
        <w:trPr>
          <w:trHeight w:val="1177"/>
          <w:jc w:val="center"/>
        </w:trPr>
        <w:tc>
          <w:tcPr>
            <w:tcW w:w="769" w:type="dxa"/>
            <w:shd w:val="clear" w:color="auto" w:fill="FFFFFF"/>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A23</w:t>
            </w:r>
          </w:p>
        </w:tc>
        <w:tc>
          <w:tcPr>
            <w:tcW w:w="3512" w:type="dxa"/>
            <w:gridSpan w:val="2"/>
            <w:shd w:val="clear" w:color="auto" w:fill="FFFFFF"/>
            <w:vAlign w:val="center"/>
          </w:tcPr>
          <w:p w:rsidR="00481EDB" w:rsidRPr="00687B52" w:rsidRDefault="00481EDB" w:rsidP="00B527D4">
            <w:pPr>
              <w:pStyle w:val="a7"/>
              <w:rPr>
                <w:rFonts w:hAnsi="Times New Roman"/>
                <w:color w:val="000000" w:themeColor="text1"/>
              </w:rPr>
            </w:pPr>
            <w:r w:rsidRPr="00687B52">
              <w:rPr>
                <w:color w:val="000000" w:themeColor="text1"/>
              </w:rPr>
              <w:t>生物性毒物作业</w:t>
            </w:r>
          </w:p>
        </w:tc>
        <w:tc>
          <w:tcPr>
            <w:tcW w:w="2595"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B01</w:t>
            </w:r>
            <w:r w:rsidRPr="00687B52">
              <w:rPr>
                <w:color w:val="000000" w:themeColor="text1"/>
              </w:rPr>
              <w:t>工作帽</w:t>
            </w:r>
          </w:p>
          <w:p w:rsidR="00481EDB" w:rsidRPr="00687B52" w:rsidRDefault="00481EDB" w:rsidP="00B527D4">
            <w:pPr>
              <w:pStyle w:val="a7"/>
              <w:rPr>
                <w:rFonts w:hAnsi="Times New Roman"/>
                <w:color w:val="000000" w:themeColor="text1"/>
              </w:rPr>
            </w:pPr>
            <w:r w:rsidRPr="00687B52">
              <w:rPr>
                <w:rFonts w:hAnsi="Times New Roman"/>
                <w:color w:val="000000" w:themeColor="text1"/>
              </w:rPr>
              <w:t>B05</w:t>
            </w:r>
            <w:r w:rsidRPr="00687B52">
              <w:rPr>
                <w:color w:val="000000" w:themeColor="text1"/>
              </w:rPr>
              <w:t>防尘口罩</w:t>
            </w:r>
            <w:r w:rsidRPr="00687B52">
              <w:rPr>
                <w:rFonts w:hAnsi="Times New Roman"/>
                <w:color w:val="000000" w:themeColor="text1"/>
              </w:rPr>
              <w:t>(</w:t>
            </w:r>
            <w:r w:rsidRPr="00687B52">
              <w:rPr>
                <w:color w:val="000000" w:themeColor="text1"/>
              </w:rPr>
              <w:t>防颗粒物呼吸器</w:t>
            </w:r>
            <w:r w:rsidRPr="00687B52">
              <w:rPr>
                <w:rFonts w:hAnsi="Times New Roman"/>
                <w:color w:val="000000" w:themeColor="text1"/>
              </w:rPr>
              <w:t>)</w:t>
            </w:r>
          </w:p>
          <w:p w:rsidR="00481EDB" w:rsidRPr="00687B52" w:rsidRDefault="00481EDB" w:rsidP="00B527D4">
            <w:pPr>
              <w:pStyle w:val="a7"/>
              <w:rPr>
                <w:rFonts w:hAnsi="Times New Roman"/>
                <w:color w:val="000000" w:themeColor="text1"/>
              </w:rPr>
            </w:pPr>
            <w:r w:rsidRPr="00687B52">
              <w:rPr>
                <w:rFonts w:hAnsi="Times New Roman"/>
                <w:color w:val="000000" w:themeColor="text1"/>
              </w:rPr>
              <w:t>B16</w:t>
            </w:r>
            <w:r w:rsidRPr="00687B52">
              <w:rPr>
                <w:color w:val="000000" w:themeColor="text1"/>
              </w:rPr>
              <w:t>防腐蚀液护目镜</w:t>
            </w:r>
          </w:p>
          <w:p w:rsidR="00481EDB" w:rsidRPr="00687B52" w:rsidRDefault="00481EDB" w:rsidP="00B527D4">
            <w:pPr>
              <w:pStyle w:val="a7"/>
              <w:rPr>
                <w:rFonts w:hAnsi="Times New Roman"/>
                <w:color w:val="000000" w:themeColor="text1"/>
              </w:rPr>
            </w:pPr>
            <w:r w:rsidRPr="00687B52">
              <w:rPr>
                <w:rFonts w:hAnsi="Times New Roman"/>
                <w:color w:val="000000" w:themeColor="text1"/>
              </w:rPr>
              <w:t>B22</w:t>
            </w:r>
            <w:r w:rsidRPr="00687B52">
              <w:rPr>
                <w:color w:val="000000" w:themeColor="text1"/>
              </w:rPr>
              <w:t>防微生物手套</w:t>
            </w:r>
          </w:p>
          <w:p w:rsidR="00481EDB" w:rsidRPr="00687B52" w:rsidRDefault="00481EDB" w:rsidP="00B527D4">
            <w:pPr>
              <w:pStyle w:val="a7"/>
              <w:rPr>
                <w:rFonts w:hAnsi="Times New Roman"/>
                <w:color w:val="000000" w:themeColor="text1"/>
              </w:rPr>
            </w:pPr>
            <w:r w:rsidRPr="00687B52">
              <w:rPr>
                <w:rFonts w:hAnsi="Times New Roman"/>
                <w:color w:val="000000" w:themeColor="text1"/>
              </w:rPr>
              <w:t>B52</w:t>
            </w:r>
            <w:r w:rsidRPr="00687B52">
              <w:rPr>
                <w:color w:val="000000" w:themeColor="text1"/>
              </w:rPr>
              <w:t>化学品防护服</w:t>
            </w:r>
          </w:p>
        </w:tc>
        <w:tc>
          <w:tcPr>
            <w:tcW w:w="2644"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B69</w:t>
            </w:r>
            <w:r w:rsidRPr="00687B52">
              <w:rPr>
                <w:color w:val="000000" w:themeColor="text1"/>
              </w:rPr>
              <w:t>劳动护肤剂</w:t>
            </w:r>
          </w:p>
        </w:tc>
      </w:tr>
      <w:tr w:rsidR="00481EDB" w:rsidRPr="00687B52" w:rsidTr="00B527D4">
        <w:trPr>
          <w:trHeight w:val="256"/>
          <w:jc w:val="center"/>
        </w:trPr>
        <w:tc>
          <w:tcPr>
            <w:tcW w:w="769" w:type="dxa"/>
            <w:shd w:val="clear" w:color="auto" w:fill="FFFFFF"/>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A24</w:t>
            </w:r>
          </w:p>
        </w:tc>
        <w:tc>
          <w:tcPr>
            <w:tcW w:w="3512" w:type="dxa"/>
            <w:gridSpan w:val="2"/>
            <w:shd w:val="clear" w:color="auto" w:fill="FFFFFF"/>
            <w:vAlign w:val="center"/>
          </w:tcPr>
          <w:p w:rsidR="00481EDB" w:rsidRPr="00687B52" w:rsidRDefault="00481EDB" w:rsidP="00B527D4">
            <w:pPr>
              <w:pStyle w:val="a7"/>
              <w:rPr>
                <w:rFonts w:hAnsi="Times New Roman"/>
                <w:color w:val="000000" w:themeColor="text1"/>
              </w:rPr>
            </w:pPr>
            <w:r w:rsidRPr="00687B52">
              <w:rPr>
                <w:color w:val="000000" w:themeColor="text1"/>
              </w:rPr>
              <w:t>噪声作业</w:t>
            </w:r>
          </w:p>
        </w:tc>
        <w:tc>
          <w:tcPr>
            <w:tcW w:w="2595"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B18</w:t>
            </w:r>
            <w:r w:rsidRPr="00687B52">
              <w:rPr>
                <w:color w:val="000000" w:themeColor="text1"/>
              </w:rPr>
              <w:t>耳塞</w:t>
            </w:r>
          </w:p>
        </w:tc>
        <w:tc>
          <w:tcPr>
            <w:tcW w:w="2644" w:type="dxa"/>
            <w:shd w:val="clear" w:color="auto" w:fill="FFFFFF"/>
            <w:tcMar>
              <w:top w:w="45" w:type="dxa"/>
              <w:left w:w="150" w:type="dxa"/>
              <w:bottom w:w="45" w:type="dxa"/>
              <w:right w:w="150" w:type="dxa"/>
            </w:tcMar>
            <w:vAlign w:val="center"/>
          </w:tcPr>
          <w:p w:rsidR="00481EDB" w:rsidRPr="00687B52" w:rsidRDefault="00481EDB" w:rsidP="00B527D4">
            <w:pPr>
              <w:pStyle w:val="a7"/>
              <w:rPr>
                <w:rFonts w:hAnsi="Times New Roman"/>
                <w:color w:val="000000" w:themeColor="text1"/>
              </w:rPr>
            </w:pPr>
            <w:r w:rsidRPr="00687B52">
              <w:rPr>
                <w:rFonts w:hAnsi="Times New Roman"/>
                <w:color w:val="000000" w:themeColor="text1"/>
              </w:rPr>
              <w:t>B19</w:t>
            </w:r>
            <w:r w:rsidRPr="00687B52">
              <w:rPr>
                <w:color w:val="000000" w:themeColor="text1"/>
              </w:rPr>
              <w:t>耳罩</w:t>
            </w:r>
          </w:p>
        </w:tc>
      </w:tr>
    </w:tbl>
    <w:p w:rsidR="00481EDB" w:rsidRPr="00687B52" w:rsidRDefault="00481EDB" w:rsidP="00481EDB">
      <w:pPr>
        <w:jc w:val="center"/>
        <w:rPr>
          <w:rFonts w:ascii="Arial" w:eastAsia="黑体" w:hAnsi="Arial" w:cs="Arial"/>
          <w:color w:val="000000" w:themeColor="text1"/>
          <w:w w:val="90"/>
          <w:sz w:val="72"/>
          <w:szCs w:val="72"/>
        </w:rPr>
        <w:sectPr w:rsidR="00481EDB" w:rsidRPr="00687B52">
          <w:pgSz w:w="11906" w:h="16838"/>
          <w:pgMar w:top="1134" w:right="1134" w:bottom="1134" w:left="1418" w:header="851" w:footer="992" w:gutter="0"/>
          <w:cols w:space="425"/>
          <w:docGrid w:type="lines" w:linePitch="312"/>
        </w:sectPr>
      </w:pPr>
      <w:bookmarkStart w:id="159" w:name="_Toc30007"/>
    </w:p>
    <w:p w:rsidR="00481EDB" w:rsidRPr="00687B52" w:rsidRDefault="00481EDB" w:rsidP="00763863">
      <w:pPr>
        <w:pStyle w:val="aff2"/>
        <w:ind w:firstLine="562"/>
        <w:rPr>
          <w:rFonts w:ascii="黑体" w:hAnsi="黑体"/>
          <w:color w:val="000000" w:themeColor="text1"/>
        </w:rPr>
      </w:pPr>
      <w:bookmarkStart w:id="160" w:name="_Toc491870815"/>
      <w:bookmarkStart w:id="161" w:name="_Toc492555580"/>
      <w:bookmarkStart w:id="162" w:name="_Toc492557263"/>
      <w:bookmarkStart w:id="163" w:name="_Toc492557333"/>
      <w:bookmarkStart w:id="164" w:name="_Toc492557595"/>
      <w:bookmarkStart w:id="165" w:name="_Toc492557964"/>
      <w:bookmarkStart w:id="166" w:name="_Toc492559537"/>
      <w:bookmarkStart w:id="167" w:name="_Toc492563469"/>
      <w:bookmarkStart w:id="168" w:name="_Toc492564084"/>
      <w:bookmarkStart w:id="169" w:name="_Toc492634917"/>
      <w:bookmarkStart w:id="170" w:name="_Toc493857070"/>
      <w:r w:rsidRPr="00687B52">
        <w:rPr>
          <w:rFonts w:hint="eastAsia"/>
          <w:color w:val="000000" w:themeColor="text1"/>
        </w:rPr>
        <w:t>附</w:t>
      </w:r>
      <w:r w:rsidR="00980275" w:rsidRPr="00687B52">
        <w:rPr>
          <w:rFonts w:hint="eastAsia"/>
          <w:color w:val="000000" w:themeColor="text1"/>
        </w:rPr>
        <w:t>2</w:t>
      </w:r>
      <w:r w:rsidRPr="00687B52">
        <w:rPr>
          <w:rFonts w:hint="eastAsia"/>
          <w:color w:val="000000" w:themeColor="text1"/>
        </w:rPr>
        <w:t>.5</w:t>
      </w:r>
      <w:r w:rsidRPr="00687B52">
        <w:rPr>
          <w:rFonts w:hint="eastAsia"/>
          <w:color w:val="000000" w:themeColor="text1"/>
        </w:rPr>
        <w:t>《</w:t>
      </w:r>
      <w:r w:rsidRPr="00687B52">
        <w:rPr>
          <w:color w:val="000000" w:themeColor="text1"/>
        </w:rPr>
        <w:t>石油化工企业设计防火规范</w:t>
      </w:r>
      <w:r w:rsidRPr="00687B52">
        <w:rPr>
          <w:rFonts w:hint="eastAsia"/>
          <w:color w:val="000000" w:themeColor="text1"/>
        </w:rPr>
        <w:t>》（</w:t>
      </w:r>
      <w:r w:rsidRPr="00687B52">
        <w:rPr>
          <w:color w:val="000000" w:themeColor="text1"/>
        </w:rPr>
        <w:t>GB50160-2008</w:t>
      </w:r>
      <w:bookmarkEnd w:id="159"/>
      <w:r w:rsidRPr="00687B52">
        <w:rPr>
          <w:rFonts w:hint="eastAsia"/>
          <w:color w:val="000000" w:themeColor="text1"/>
        </w:rPr>
        <w:t>）有关要求</w:t>
      </w:r>
      <w:bookmarkEnd w:id="160"/>
      <w:bookmarkEnd w:id="161"/>
      <w:bookmarkEnd w:id="162"/>
      <w:bookmarkEnd w:id="163"/>
      <w:bookmarkEnd w:id="164"/>
      <w:bookmarkEnd w:id="165"/>
      <w:bookmarkEnd w:id="166"/>
      <w:bookmarkEnd w:id="167"/>
      <w:bookmarkEnd w:id="168"/>
      <w:bookmarkEnd w:id="169"/>
      <w:bookmarkEnd w:id="170"/>
    </w:p>
    <w:p w:rsidR="00481EDB" w:rsidRPr="00687B52" w:rsidRDefault="00481EDB" w:rsidP="00856B6C">
      <w:pPr>
        <w:pStyle w:val="afd"/>
        <w:rPr>
          <w:color w:val="000000" w:themeColor="text1"/>
        </w:rPr>
      </w:pPr>
      <w:bookmarkStart w:id="171" w:name="_Toc491870816"/>
      <w:bookmarkStart w:id="172" w:name="_Toc492563470"/>
      <w:bookmarkStart w:id="173" w:name="_Toc493857071"/>
      <w:r w:rsidRPr="00687B52">
        <w:rPr>
          <w:rFonts w:hint="eastAsia"/>
          <w:color w:val="000000" w:themeColor="text1"/>
        </w:rPr>
        <w:t>表</w:t>
      </w:r>
      <w:r w:rsidRPr="00687B52">
        <w:rPr>
          <w:rFonts w:hint="eastAsia"/>
          <w:color w:val="000000" w:themeColor="text1"/>
        </w:rPr>
        <w:t xml:space="preserve">4.1.9 </w:t>
      </w:r>
      <w:r w:rsidRPr="00687B52">
        <w:rPr>
          <w:color w:val="000000" w:themeColor="text1"/>
        </w:rPr>
        <w:t>石油化工企业与相邻工厂或设施的防火间距</w:t>
      </w:r>
      <w:bookmarkEnd w:id="171"/>
      <w:bookmarkEnd w:id="172"/>
      <w:bookmarkEnd w:id="173"/>
    </w:p>
    <w:tbl>
      <w:tblPr>
        <w:tblW w:w="10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1963"/>
        <w:gridCol w:w="1375"/>
        <w:gridCol w:w="1438"/>
        <w:gridCol w:w="1469"/>
        <w:gridCol w:w="1524"/>
        <w:gridCol w:w="1454"/>
      </w:tblGrid>
      <w:tr w:rsidR="00481EDB" w:rsidRPr="00687B52" w:rsidTr="00B527D4">
        <w:trPr>
          <w:trHeight w:val="224"/>
          <w:jc w:val="center"/>
        </w:trPr>
        <w:tc>
          <w:tcPr>
            <w:tcW w:w="2900" w:type="dxa"/>
            <w:gridSpan w:val="2"/>
            <w:vMerge w:val="restart"/>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相邻工厂或设施</w:t>
            </w:r>
          </w:p>
        </w:tc>
        <w:tc>
          <w:tcPr>
            <w:tcW w:w="7260" w:type="dxa"/>
            <w:gridSpan w:val="5"/>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防火间距（</w:t>
            </w:r>
            <w:r w:rsidRPr="00687B52">
              <w:rPr>
                <w:rFonts w:ascii="Times New Roman" w:eastAsia="宋体" w:cs="Times New Roman"/>
                <w:color w:val="000000" w:themeColor="text1"/>
                <w:sz w:val="21"/>
                <w:szCs w:val="21"/>
              </w:rPr>
              <w:t>m</w:t>
            </w:r>
            <w:r w:rsidRPr="00687B52">
              <w:rPr>
                <w:rFonts w:ascii="Times New Roman" w:eastAsia="宋体" w:hAnsi="Arial" w:cs="Times New Roman"/>
                <w:color w:val="000000" w:themeColor="text1"/>
                <w:sz w:val="21"/>
                <w:szCs w:val="21"/>
              </w:rPr>
              <w:t>）</w:t>
            </w:r>
          </w:p>
        </w:tc>
      </w:tr>
      <w:tr w:rsidR="00481EDB" w:rsidRPr="00687B52" w:rsidTr="00B527D4">
        <w:trPr>
          <w:trHeight w:val="1305"/>
          <w:jc w:val="center"/>
        </w:trPr>
        <w:tc>
          <w:tcPr>
            <w:tcW w:w="2900" w:type="dxa"/>
            <w:gridSpan w:val="2"/>
            <w:vMerge/>
          </w:tcPr>
          <w:p w:rsidR="00481EDB" w:rsidRPr="00687B52" w:rsidRDefault="00481EDB" w:rsidP="00B527D4">
            <w:pPr>
              <w:pStyle w:val="Default"/>
              <w:snapToGrid w:val="0"/>
              <w:jc w:val="both"/>
              <w:rPr>
                <w:rFonts w:ascii="Times New Roman" w:eastAsia="宋体" w:cs="Times New Roman"/>
                <w:color w:val="000000" w:themeColor="text1"/>
                <w:sz w:val="21"/>
                <w:szCs w:val="21"/>
              </w:rPr>
            </w:pPr>
          </w:p>
        </w:tc>
        <w:tc>
          <w:tcPr>
            <w:tcW w:w="137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液化烃罐组（罐外壁）</w:t>
            </w:r>
          </w:p>
        </w:tc>
        <w:tc>
          <w:tcPr>
            <w:tcW w:w="1438"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甲、乙类液体罐组（罐外壁）</w:t>
            </w:r>
          </w:p>
        </w:tc>
        <w:tc>
          <w:tcPr>
            <w:tcW w:w="1469"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可能携带可燃液体的高架火炬（火炬中心）</w:t>
            </w:r>
          </w:p>
        </w:tc>
        <w:tc>
          <w:tcPr>
            <w:tcW w:w="152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甲乙类工艺装置或设施（最外侧设备外缘或建筑物的最外轴线）</w:t>
            </w:r>
          </w:p>
        </w:tc>
        <w:tc>
          <w:tcPr>
            <w:tcW w:w="145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全厂性或区域性重要设施（最外侧设备外缘或建筑物的最外轴线）</w:t>
            </w:r>
          </w:p>
        </w:tc>
      </w:tr>
      <w:tr w:rsidR="00481EDB" w:rsidRPr="00687B52" w:rsidTr="00B527D4">
        <w:trPr>
          <w:trHeight w:val="265"/>
          <w:jc w:val="center"/>
        </w:trPr>
        <w:tc>
          <w:tcPr>
            <w:tcW w:w="2900" w:type="dxa"/>
            <w:gridSpan w:val="2"/>
            <w:vAlign w:val="center"/>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居民区、公共福利设施、村庄</w:t>
            </w:r>
          </w:p>
        </w:tc>
        <w:tc>
          <w:tcPr>
            <w:tcW w:w="137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150</w:t>
            </w:r>
          </w:p>
        </w:tc>
        <w:tc>
          <w:tcPr>
            <w:tcW w:w="1438"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100</w:t>
            </w:r>
          </w:p>
        </w:tc>
        <w:tc>
          <w:tcPr>
            <w:tcW w:w="1469"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120</w:t>
            </w:r>
          </w:p>
        </w:tc>
        <w:tc>
          <w:tcPr>
            <w:tcW w:w="152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100</w:t>
            </w:r>
          </w:p>
        </w:tc>
        <w:tc>
          <w:tcPr>
            <w:tcW w:w="145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25</w:t>
            </w:r>
          </w:p>
        </w:tc>
      </w:tr>
      <w:tr w:rsidR="00481EDB" w:rsidRPr="00687B52" w:rsidTr="00B527D4">
        <w:trPr>
          <w:trHeight w:val="440"/>
          <w:jc w:val="center"/>
        </w:trPr>
        <w:tc>
          <w:tcPr>
            <w:tcW w:w="2900" w:type="dxa"/>
            <w:gridSpan w:val="2"/>
            <w:vAlign w:val="center"/>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相邻工厂（围墙或用地边界线）</w:t>
            </w:r>
          </w:p>
        </w:tc>
        <w:tc>
          <w:tcPr>
            <w:tcW w:w="137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120</w:t>
            </w:r>
          </w:p>
        </w:tc>
        <w:tc>
          <w:tcPr>
            <w:tcW w:w="1438"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70</w:t>
            </w:r>
          </w:p>
        </w:tc>
        <w:tc>
          <w:tcPr>
            <w:tcW w:w="1469"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120</w:t>
            </w:r>
          </w:p>
        </w:tc>
        <w:tc>
          <w:tcPr>
            <w:tcW w:w="152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50</w:t>
            </w:r>
          </w:p>
        </w:tc>
        <w:tc>
          <w:tcPr>
            <w:tcW w:w="145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70</w:t>
            </w:r>
          </w:p>
        </w:tc>
      </w:tr>
      <w:tr w:rsidR="00481EDB" w:rsidRPr="00687B52" w:rsidTr="00B527D4">
        <w:trPr>
          <w:trHeight w:val="440"/>
          <w:jc w:val="center"/>
        </w:trPr>
        <w:tc>
          <w:tcPr>
            <w:tcW w:w="937" w:type="dxa"/>
            <w:vMerge w:val="restart"/>
            <w:textDirection w:val="tbRlV"/>
            <w:vAlign w:val="center"/>
          </w:tcPr>
          <w:p w:rsidR="00481EDB" w:rsidRPr="00687B52" w:rsidRDefault="00481EDB" w:rsidP="00B527D4">
            <w:pPr>
              <w:pStyle w:val="Default"/>
              <w:snapToGrid w:val="0"/>
              <w:ind w:left="113" w:right="113"/>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厂外铁路</w:t>
            </w:r>
          </w:p>
        </w:tc>
        <w:tc>
          <w:tcPr>
            <w:tcW w:w="1963" w:type="dxa"/>
            <w:vAlign w:val="center"/>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国家铁路线（中心线）</w:t>
            </w:r>
          </w:p>
        </w:tc>
        <w:tc>
          <w:tcPr>
            <w:tcW w:w="137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55</w:t>
            </w:r>
          </w:p>
        </w:tc>
        <w:tc>
          <w:tcPr>
            <w:tcW w:w="1438"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45</w:t>
            </w:r>
          </w:p>
        </w:tc>
        <w:tc>
          <w:tcPr>
            <w:tcW w:w="1469"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80</w:t>
            </w:r>
          </w:p>
        </w:tc>
        <w:tc>
          <w:tcPr>
            <w:tcW w:w="152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35</w:t>
            </w:r>
          </w:p>
        </w:tc>
        <w:tc>
          <w:tcPr>
            <w:tcW w:w="145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w:t>
            </w:r>
          </w:p>
        </w:tc>
      </w:tr>
      <w:tr w:rsidR="00481EDB" w:rsidRPr="00687B52" w:rsidTr="00B527D4">
        <w:trPr>
          <w:trHeight w:val="440"/>
          <w:jc w:val="center"/>
        </w:trPr>
        <w:tc>
          <w:tcPr>
            <w:tcW w:w="937" w:type="dxa"/>
            <w:vMerge/>
          </w:tcPr>
          <w:p w:rsidR="00481EDB" w:rsidRPr="00687B52" w:rsidRDefault="00481EDB" w:rsidP="00B527D4">
            <w:pPr>
              <w:pStyle w:val="Default"/>
              <w:snapToGrid w:val="0"/>
              <w:jc w:val="both"/>
              <w:rPr>
                <w:rFonts w:ascii="Times New Roman" w:eastAsia="宋体" w:cs="Times New Roman"/>
                <w:color w:val="000000" w:themeColor="text1"/>
                <w:sz w:val="21"/>
                <w:szCs w:val="21"/>
              </w:rPr>
            </w:pPr>
          </w:p>
        </w:tc>
        <w:tc>
          <w:tcPr>
            <w:tcW w:w="1963" w:type="dxa"/>
            <w:vAlign w:val="center"/>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厂外企业铁路线（中心线）</w:t>
            </w:r>
          </w:p>
        </w:tc>
        <w:tc>
          <w:tcPr>
            <w:tcW w:w="137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45</w:t>
            </w:r>
          </w:p>
        </w:tc>
        <w:tc>
          <w:tcPr>
            <w:tcW w:w="1438"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35</w:t>
            </w:r>
          </w:p>
        </w:tc>
        <w:tc>
          <w:tcPr>
            <w:tcW w:w="1469"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80</w:t>
            </w:r>
          </w:p>
        </w:tc>
        <w:tc>
          <w:tcPr>
            <w:tcW w:w="152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30</w:t>
            </w:r>
          </w:p>
        </w:tc>
        <w:tc>
          <w:tcPr>
            <w:tcW w:w="145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w:t>
            </w:r>
          </w:p>
        </w:tc>
      </w:tr>
      <w:tr w:rsidR="00481EDB" w:rsidRPr="00687B52" w:rsidTr="00B527D4">
        <w:trPr>
          <w:trHeight w:val="440"/>
          <w:jc w:val="center"/>
        </w:trPr>
        <w:tc>
          <w:tcPr>
            <w:tcW w:w="2900" w:type="dxa"/>
            <w:gridSpan w:val="2"/>
            <w:vAlign w:val="center"/>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国家或工业区铁路编组站（铁路中心线或建筑物）</w:t>
            </w:r>
          </w:p>
        </w:tc>
        <w:tc>
          <w:tcPr>
            <w:tcW w:w="137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55</w:t>
            </w:r>
          </w:p>
        </w:tc>
        <w:tc>
          <w:tcPr>
            <w:tcW w:w="1438"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45</w:t>
            </w:r>
          </w:p>
        </w:tc>
        <w:tc>
          <w:tcPr>
            <w:tcW w:w="1469"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80</w:t>
            </w:r>
          </w:p>
        </w:tc>
        <w:tc>
          <w:tcPr>
            <w:tcW w:w="152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35</w:t>
            </w:r>
          </w:p>
        </w:tc>
        <w:tc>
          <w:tcPr>
            <w:tcW w:w="145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25</w:t>
            </w:r>
          </w:p>
        </w:tc>
      </w:tr>
      <w:tr w:rsidR="00481EDB" w:rsidRPr="00687B52" w:rsidTr="00B527D4">
        <w:trPr>
          <w:trHeight w:val="440"/>
          <w:jc w:val="center"/>
        </w:trPr>
        <w:tc>
          <w:tcPr>
            <w:tcW w:w="937" w:type="dxa"/>
            <w:vMerge w:val="restart"/>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厂外</w:t>
            </w:r>
          </w:p>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公路</w:t>
            </w:r>
          </w:p>
        </w:tc>
        <w:tc>
          <w:tcPr>
            <w:tcW w:w="1963" w:type="dxa"/>
            <w:vAlign w:val="center"/>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高速公路、一级公路（路边）</w:t>
            </w:r>
          </w:p>
        </w:tc>
        <w:tc>
          <w:tcPr>
            <w:tcW w:w="137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35</w:t>
            </w:r>
          </w:p>
        </w:tc>
        <w:tc>
          <w:tcPr>
            <w:tcW w:w="1438"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30</w:t>
            </w:r>
          </w:p>
        </w:tc>
        <w:tc>
          <w:tcPr>
            <w:tcW w:w="1469"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80</w:t>
            </w:r>
          </w:p>
        </w:tc>
        <w:tc>
          <w:tcPr>
            <w:tcW w:w="152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30</w:t>
            </w:r>
          </w:p>
        </w:tc>
        <w:tc>
          <w:tcPr>
            <w:tcW w:w="145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w:t>
            </w:r>
          </w:p>
        </w:tc>
      </w:tr>
      <w:tr w:rsidR="00481EDB" w:rsidRPr="00687B52" w:rsidTr="00B527D4">
        <w:trPr>
          <w:trHeight w:val="224"/>
          <w:jc w:val="center"/>
        </w:trPr>
        <w:tc>
          <w:tcPr>
            <w:tcW w:w="937" w:type="dxa"/>
            <w:vMerge/>
          </w:tcPr>
          <w:p w:rsidR="00481EDB" w:rsidRPr="00687B52" w:rsidRDefault="00481EDB" w:rsidP="00B527D4">
            <w:pPr>
              <w:pStyle w:val="Default"/>
              <w:snapToGrid w:val="0"/>
              <w:jc w:val="both"/>
              <w:rPr>
                <w:rFonts w:ascii="Times New Roman" w:eastAsia="宋体" w:cs="Times New Roman"/>
                <w:color w:val="000000" w:themeColor="text1"/>
                <w:sz w:val="21"/>
                <w:szCs w:val="21"/>
              </w:rPr>
            </w:pPr>
          </w:p>
        </w:tc>
        <w:tc>
          <w:tcPr>
            <w:tcW w:w="1963" w:type="dxa"/>
            <w:vAlign w:val="center"/>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其他公路（路边）</w:t>
            </w:r>
          </w:p>
        </w:tc>
        <w:tc>
          <w:tcPr>
            <w:tcW w:w="137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25</w:t>
            </w:r>
          </w:p>
        </w:tc>
        <w:tc>
          <w:tcPr>
            <w:tcW w:w="1438"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20</w:t>
            </w:r>
          </w:p>
        </w:tc>
        <w:tc>
          <w:tcPr>
            <w:tcW w:w="1469"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60</w:t>
            </w:r>
          </w:p>
        </w:tc>
        <w:tc>
          <w:tcPr>
            <w:tcW w:w="152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20</w:t>
            </w:r>
          </w:p>
        </w:tc>
        <w:tc>
          <w:tcPr>
            <w:tcW w:w="145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w:t>
            </w:r>
          </w:p>
        </w:tc>
      </w:tr>
      <w:tr w:rsidR="00481EDB" w:rsidRPr="00687B52" w:rsidTr="00B527D4">
        <w:trPr>
          <w:trHeight w:val="224"/>
          <w:jc w:val="center"/>
        </w:trPr>
        <w:tc>
          <w:tcPr>
            <w:tcW w:w="2900" w:type="dxa"/>
            <w:gridSpan w:val="2"/>
            <w:vAlign w:val="center"/>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变配电站（围墙）</w:t>
            </w:r>
          </w:p>
        </w:tc>
        <w:tc>
          <w:tcPr>
            <w:tcW w:w="137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80</w:t>
            </w:r>
          </w:p>
        </w:tc>
        <w:tc>
          <w:tcPr>
            <w:tcW w:w="1438"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50</w:t>
            </w:r>
          </w:p>
        </w:tc>
        <w:tc>
          <w:tcPr>
            <w:tcW w:w="1469"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120</w:t>
            </w:r>
          </w:p>
        </w:tc>
        <w:tc>
          <w:tcPr>
            <w:tcW w:w="152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40</w:t>
            </w:r>
          </w:p>
        </w:tc>
        <w:tc>
          <w:tcPr>
            <w:tcW w:w="145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25</w:t>
            </w:r>
          </w:p>
        </w:tc>
      </w:tr>
      <w:tr w:rsidR="00481EDB" w:rsidRPr="00687B52" w:rsidTr="00B527D4">
        <w:trPr>
          <w:trHeight w:val="511"/>
          <w:jc w:val="center"/>
        </w:trPr>
        <w:tc>
          <w:tcPr>
            <w:tcW w:w="2900" w:type="dxa"/>
            <w:gridSpan w:val="2"/>
            <w:vAlign w:val="center"/>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架空电力线路（中心线）</w:t>
            </w:r>
          </w:p>
        </w:tc>
        <w:tc>
          <w:tcPr>
            <w:tcW w:w="137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1.5</w:t>
            </w:r>
            <w:r w:rsidRPr="00687B52">
              <w:rPr>
                <w:rFonts w:ascii="Times New Roman" w:eastAsia="宋体" w:hAnsi="Arial" w:cs="Times New Roman"/>
                <w:color w:val="000000" w:themeColor="text1"/>
                <w:sz w:val="21"/>
                <w:szCs w:val="21"/>
              </w:rPr>
              <w:t>倍</w:t>
            </w:r>
          </w:p>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塔杆高度</w:t>
            </w:r>
          </w:p>
        </w:tc>
        <w:tc>
          <w:tcPr>
            <w:tcW w:w="1438"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1.5</w:t>
            </w:r>
            <w:r w:rsidRPr="00687B52">
              <w:rPr>
                <w:rFonts w:ascii="Times New Roman" w:eastAsia="宋体" w:hAnsi="Arial" w:cs="Times New Roman"/>
                <w:color w:val="000000" w:themeColor="text1"/>
                <w:sz w:val="21"/>
                <w:szCs w:val="21"/>
              </w:rPr>
              <w:t>倍</w:t>
            </w:r>
          </w:p>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塔杆高度</w:t>
            </w:r>
          </w:p>
        </w:tc>
        <w:tc>
          <w:tcPr>
            <w:tcW w:w="1469"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80</w:t>
            </w:r>
          </w:p>
        </w:tc>
        <w:tc>
          <w:tcPr>
            <w:tcW w:w="152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1.5</w:t>
            </w:r>
            <w:r w:rsidRPr="00687B52">
              <w:rPr>
                <w:rFonts w:ascii="Times New Roman" w:eastAsia="宋体" w:hAnsi="Arial" w:cs="Times New Roman"/>
                <w:color w:val="000000" w:themeColor="text1"/>
                <w:sz w:val="21"/>
                <w:szCs w:val="21"/>
              </w:rPr>
              <w:t>倍</w:t>
            </w:r>
          </w:p>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塔杆高度</w:t>
            </w:r>
          </w:p>
        </w:tc>
        <w:tc>
          <w:tcPr>
            <w:tcW w:w="145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w:t>
            </w:r>
          </w:p>
        </w:tc>
      </w:tr>
      <w:tr w:rsidR="00481EDB" w:rsidRPr="00687B52" w:rsidTr="00B527D4">
        <w:trPr>
          <w:trHeight w:val="440"/>
          <w:jc w:val="center"/>
        </w:trPr>
        <w:tc>
          <w:tcPr>
            <w:tcW w:w="2900" w:type="dxa"/>
            <w:gridSpan w:val="2"/>
            <w:vAlign w:val="center"/>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Ⅰ</w:t>
            </w:r>
            <w:r w:rsidRPr="00687B52">
              <w:rPr>
                <w:rFonts w:ascii="Times New Roman" w:eastAsia="宋体" w:hAnsi="Arial" w:cs="Times New Roman"/>
                <w:color w:val="000000" w:themeColor="text1"/>
                <w:sz w:val="21"/>
                <w:szCs w:val="21"/>
              </w:rPr>
              <w:t>、</w:t>
            </w:r>
            <w:r w:rsidRPr="00687B52">
              <w:rPr>
                <w:rFonts w:ascii="Times New Roman" w:eastAsia="宋体" w:hAnsi="Arial" w:cs="Times New Roman"/>
                <w:color w:val="000000" w:themeColor="text1"/>
                <w:sz w:val="21"/>
                <w:szCs w:val="21"/>
              </w:rPr>
              <w:t>Ⅱ</w:t>
            </w:r>
            <w:r w:rsidRPr="00687B52">
              <w:rPr>
                <w:rFonts w:ascii="Times New Roman" w:eastAsia="宋体" w:hAnsi="Arial" w:cs="Times New Roman"/>
                <w:color w:val="000000" w:themeColor="text1"/>
                <w:sz w:val="21"/>
                <w:szCs w:val="21"/>
              </w:rPr>
              <w:t>国家架空通信线路（中心线）</w:t>
            </w:r>
          </w:p>
        </w:tc>
        <w:tc>
          <w:tcPr>
            <w:tcW w:w="137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50</w:t>
            </w:r>
          </w:p>
        </w:tc>
        <w:tc>
          <w:tcPr>
            <w:tcW w:w="1438"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40</w:t>
            </w:r>
          </w:p>
        </w:tc>
        <w:tc>
          <w:tcPr>
            <w:tcW w:w="1469"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80</w:t>
            </w:r>
          </w:p>
        </w:tc>
        <w:tc>
          <w:tcPr>
            <w:tcW w:w="152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40</w:t>
            </w:r>
          </w:p>
        </w:tc>
        <w:tc>
          <w:tcPr>
            <w:tcW w:w="145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w:t>
            </w:r>
          </w:p>
        </w:tc>
      </w:tr>
      <w:tr w:rsidR="00481EDB" w:rsidRPr="00687B52" w:rsidTr="00B527D4">
        <w:trPr>
          <w:trHeight w:val="224"/>
          <w:jc w:val="center"/>
        </w:trPr>
        <w:tc>
          <w:tcPr>
            <w:tcW w:w="2900" w:type="dxa"/>
            <w:gridSpan w:val="2"/>
            <w:vAlign w:val="center"/>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通航江、河、海岸边</w:t>
            </w:r>
          </w:p>
        </w:tc>
        <w:tc>
          <w:tcPr>
            <w:tcW w:w="137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25</w:t>
            </w:r>
          </w:p>
        </w:tc>
        <w:tc>
          <w:tcPr>
            <w:tcW w:w="1438"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25</w:t>
            </w:r>
          </w:p>
        </w:tc>
        <w:tc>
          <w:tcPr>
            <w:tcW w:w="1469"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80</w:t>
            </w:r>
          </w:p>
        </w:tc>
        <w:tc>
          <w:tcPr>
            <w:tcW w:w="152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20</w:t>
            </w:r>
          </w:p>
        </w:tc>
        <w:tc>
          <w:tcPr>
            <w:tcW w:w="145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w:t>
            </w:r>
          </w:p>
        </w:tc>
      </w:tr>
      <w:tr w:rsidR="00481EDB" w:rsidRPr="00687B52" w:rsidTr="00B527D4">
        <w:trPr>
          <w:trHeight w:val="440"/>
          <w:jc w:val="center"/>
        </w:trPr>
        <w:tc>
          <w:tcPr>
            <w:tcW w:w="937" w:type="dxa"/>
            <w:vMerge w:val="restart"/>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地区</w:t>
            </w:r>
          </w:p>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埋地</w:t>
            </w:r>
          </w:p>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输油</w:t>
            </w:r>
          </w:p>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管道</w:t>
            </w:r>
          </w:p>
        </w:tc>
        <w:tc>
          <w:tcPr>
            <w:tcW w:w="1963" w:type="dxa"/>
            <w:vAlign w:val="center"/>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原油及成品油（管道中心）</w:t>
            </w:r>
          </w:p>
        </w:tc>
        <w:tc>
          <w:tcPr>
            <w:tcW w:w="137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30</w:t>
            </w:r>
          </w:p>
        </w:tc>
        <w:tc>
          <w:tcPr>
            <w:tcW w:w="1438"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30</w:t>
            </w:r>
          </w:p>
        </w:tc>
        <w:tc>
          <w:tcPr>
            <w:tcW w:w="1469"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60</w:t>
            </w:r>
          </w:p>
        </w:tc>
        <w:tc>
          <w:tcPr>
            <w:tcW w:w="152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30</w:t>
            </w:r>
          </w:p>
        </w:tc>
        <w:tc>
          <w:tcPr>
            <w:tcW w:w="145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30</w:t>
            </w:r>
          </w:p>
        </w:tc>
      </w:tr>
      <w:tr w:rsidR="00481EDB" w:rsidRPr="00687B52" w:rsidTr="00B527D4">
        <w:trPr>
          <w:trHeight w:val="432"/>
          <w:jc w:val="center"/>
        </w:trPr>
        <w:tc>
          <w:tcPr>
            <w:tcW w:w="937" w:type="dxa"/>
            <w:vMerge/>
          </w:tcPr>
          <w:p w:rsidR="00481EDB" w:rsidRPr="00687B52" w:rsidRDefault="00481EDB" w:rsidP="00B527D4">
            <w:pPr>
              <w:pStyle w:val="Default"/>
              <w:snapToGrid w:val="0"/>
              <w:jc w:val="both"/>
              <w:rPr>
                <w:rFonts w:ascii="Times New Roman" w:eastAsia="宋体" w:cs="Times New Roman"/>
                <w:color w:val="000000" w:themeColor="text1"/>
                <w:sz w:val="21"/>
                <w:szCs w:val="21"/>
              </w:rPr>
            </w:pPr>
          </w:p>
        </w:tc>
        <w:tc>
          <w:tcPr>
            <w:tcW w:w="1963" w:type="dxa"/>
            <w:vAlign w:val="center"/>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液化烃（管道中心）</w:t>
            </w:r>
          </w:p>
        </w:tc>
        <w:tc>
          <w:tcPr>
            <w:tcW w:w="137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60</w:t>
            </w:r>
          </w:p>
        </w:tc>
        <w:tc>
          <w:tcPr>
            <w:tcW w:w="1438"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60</w:t>
            </w:r>
          </w:p>
        </w:tc>
        <w:tc>
          <w:tcPr>
            <w:tcW w:w="1469"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80</w:t>
            </w:r>
          </w:p>
        </w:tc>
        <w:tc>
          <w:tcPr>
            <w:tcW w:w="152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60</w:t>
            </w:r>
          </w:p>
        </w:tc>
        <w:tc>
          <w:tcPr>
            <w:tcW w:w="145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60</w:t>
            </w:r>
          </w:p>
        </w:tc>
      </w:tr>
      <w:tr w:rsidR="00481EDB" w:rsidRPr="00687B52" w:rsidTr="00B527D4">
        <w:trPr>
          <w:trHeight w:val="440"/>
          <w:jc w:val="center"/>
        </w:trPr>
        <w:tc>
          <w:tcPr>
            <w:tcW w:w="2900" w:type="dxa"/>
            <w:gridSpan w:val="2"/>
            <w:vAlign w:val="center"/>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地区埋地输气管道（管道中心）</w:t>
            </w:r>
          </w:p>
        </w:tc>
        <w:tc>
          <w:tcPr>
            <w:tcW w:w="137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30</w:t>
            </w:r>
          </w:p>
        </w:tc>
        <w:tc>
          <w:tcPr>
            <w:tcW w:w="1438"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30</w:t>
            </w:r>
          </w:p>
        </w:tc>
        <w:tc>
          <w:tcPr>
            <w:tcW w:w="1469"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60</w:t>
            </w:r>
          </w:p>
        </w:tc>
        <w:tc>
          <w:tcPr>
            <w:tcW w:w="152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30</w:t>
            </w:r>
          </w:p>
        </w:tc>
        <w:tc>
          <w:tcPr>
            <w:tcW w:w="145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30</w:t>
            </w:r>
          </w:p>
        </w:tc>
      </w:tr>
      <w:tr w:rsidR="00481EDB" w:rsidRPr="00687B52" w:rsidTr="00B527D4">
        <w:trPr>
          <w:cantSplit/>
          <w:trHeight w:val="232"/>
          <w:jc w:val="center"/>
        </w:trPr>
        <w:tc>
          <w:tcPr>
            <w:tcW w:w="2900" w:type="dxa"/>
            <w:gridSpan w:val="2"/>
            <w:vAlign w:val="center"/>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装卸油品码头（码头前沿）</w:t>
            </w:r>
          </w:p>
        </w:tc>
        <w:tc>
          <w:tcPr>
            <w:tcW w:w="137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70</w:t>
            </w:r>
          </w:p>
        </w:tc>
        <w:tc>
          <w:tcPr>
            <w:tcW w:w="1438"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60</w:t>
            </w:r>
          </w:p>
        </w:tc>
        <w:tc>
          <w:tcPr>
            <w:tcW w:w="1469"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120</w:t>
            </w:r>
          </w:p>
        </w:tc>
        <w:tc>
          <w:tcPr>
            <w:tcW w:w="152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60</w:t>
            </w:r>
          </w:p>
        </w:tc>
        <w:tc>
          <w:tcPr>
            <w:tcW w:w="1454"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60</w:t>
            </w:r>
          </w:p>
        </w:tc>
      </w:tr>
    </w:tbl>
    <w:p w:rsidR="00481EDB" w:rsidRPr="00687B52" w:rsidRDefault="00481EDB" w:rsidP="00481EDB">
      <w:pPr>
        <w:pStyle w:val="Default"/>
        <w:snapToGrid w:val="0"/>
        <w:spacing w:line="300" w:lineRule="auto"/>
        <w:rPr>
          <w:rFonts w:ascii="Times New Roman" w:eastAsia="宋体" w:cs="Times New Roman"/>
          <w:color w:val="000000" w:themeColor="text1"/>
          <w:sz w:val="21"/>
          <w:szCs w:val="21"/>
        </w:rPr>
      </w:pPr>
      <w:r w:rsidRPr="00687B52">
        <w:rPr>
          <w:rFonts w:ascii="Times New Roman" w:eastAsia="宋体" w:hAnsi="宋体" w:cs="Times New Roman"/>
          <w:color w:val="000000" w:themeColor="text1"/>
          <w:sz w:val="21"/>
          <w:szCs w:val="21"/>
        </w:rPr>
        <w:t>注：</w:t>
      </w:r>
      <w:r w:rsidRPr="00687B52">
        <w:rPr>
          <w:rFonts w:ascii="Times New Roman" w:eastAsia="宋体" w:cs="Times New Roman"/>
          <w:color w:val="000000" w:themeColor="text1"/>
          <w:sz w:val="21"/>
          <w:szCs w:val="21"/>
        </w:rPr>
        <w:t xml:space="preserve">1. </w:t>
      </w:r>
      <w:r w:rsidRPr="00687B52">
        <w:rPr>
          <w:rFonts w:ascii="Times New Roman" w:eastAsia="宋体" w:hAnsi="宋体" w:cs="Times New Roman"/>
          <w:color w:val="000000" w:themeColor="text1"/>
          <w:sz w:val="21"/>
          <w:szCs w:val="21"/>
        </w:rPr>
        <w:t>本表中相邻工厂指除石油化工企业和油库以外的工厂；</w:t>
      </w:r>
    </w:p>
    <w:p w:rsidR="00481EDB" w:rsidRPr="00687B52" w:rsidRDefault="00481EDB" w:rsidP="00481EDB">
      <w:pPr>
        <w:pStyle w:val="Default"/>
        <w:snapToGrid w:val="0"/>
        <w:spacing w:line="300" w:lineRule="auto"/>
        <w:ind w:firstLineChars="200" w:firstLine="420"/>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 xml:space="preserve">2. </w:t>
      </w:r>
      <w:r w:rsidRPr="00687B52">
        <w:rPr>
          <w:rFonts w:ascii="Times New Roman" w:eastAsia="宋体" w:hAnsi="宋体" w:cs="Times New Roman"/>
          <w:color w:val="000000" w:themeColor="text1"/>
          <w:sz w:val="21"/>
          <w:szCs w:val="21"/>
        </w:rPr>
        <w:t>括号内指防火间距起止点；</w:t>
      </w:r>
    </w:p>
    <w:p w:rsidR="00481EDB" w:rsidRPr="00687B52" w:rsidRDefault="00481EDB" w:rsidP="00481EDB">
      <w:pPr>
        <w:pStyle w:val="Default"/>
        <w:snapToGrid w:val="0"/>
        <w:spacing w:line="300" w:lineRule="auto"/>
        <w:ind w:firstLineChars="200" w:firstLine="420"/>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 xml:space="preserve">3. </w:t>
      </w:r>
      <w:r w:rsidRPr="00687B52">
        <w:rPr>
          <w:rFonts w:ascii="Times New Roman" w:eastAsia="宋体" w:hAnsi="宋体" w:cs="Times New Roman"/>
          <w:color w:val="000000" w:themeColor="text1"/>
          <w:sz w:val="21"/>
          <w:szCs w:val="21"/>
        </w:rPr>
        <w:t>当相邻设施为港区陆域、重要物品仓库和堆场、军事设施、机场等，对石油化工企业的安全距离有特殊要求时，应按有关规定执行；</w:t>
      </w:r>
    </w:p>
    <w:p w:rsidR="00481EDB" w:rsidRPr="00687B52" w:rsidRDefault="00481EDB" w:rsidP="00481EDB">
      <w:pPr>
        <w:pStyle w:val="Default"/>
        <w:snapToGrid w:val="0"/>
        <w:spacing w:line="300" w:lineRule="auto"/>
        <w:ind w:firstLineChars="200" w:firstLine="420"/>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 xml:space="preserve">4. </w:t>
      </w:r>
      <w:r w:rsidRPr="00687B52">
        <w:rPr>
          <w:rFonts w:ascii="Times New Roman" w:eastAsia="宋体" w:hAnsi="宋体" w:cs="Times New Roman"/>
          <w:color w:val="000000" w:themeColor="text1"/>
          <w:sz w:val="21"/>
          <w:szCs w:val="21"/>
        </w:rPr>
        <w:t>丙类可燃液体罐组的防火距离，可按甲、乙类可燃液体罐组的规定减少</w:t>
      </w:r>
      <w:r w:rsidRPr="00687B52">
        <w:rPr>
          <w:rFonts w:ascii="Times New Roman" w:eastAsia="宋体" w:cs="Times New Roman"/>
          <w:color w:val="000000" w:themeColor="text1"/>
          <w:sz w:val="21"/>
          <w:szCs w:val="21"/>
        </w:rPr>
        <w:t>25%</w:t>
      </w:r>
      <w:r w:rsidRPr="00687B52">
        <w:rPr>
          <w:rFonts w:ascii="Times New Roman" w:eastAsia="宋体" w:hAnsi="宋体" w:cs="Times New Roman"/>
          <w:color w:val="000000" w:themeColor="text1"/>
          <w:sz w:val="21"/>
          <w:szCs w:val="21"/>
        </w:rPr>
        <w:t>；</w:t>
      </w:r>
    </w:p>
    <w:p w:rsidR="00481EDB" w:rsidRPr="00687B52" w:rsidRDefault="00481EDB" w:rsidP="00481EDB">
      <w:pPr>
        <w:pStyle w:val="Default"/>
        <w:snapToGrid w:val="0"/>
        <w:spacing w:line="300" w:lineRule="auto"/>
        <w:ind w:firstLineChars="200" w:firstLine="420"/>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 xml:space="preserve">5. </w:t>
      </w:r>
      <w:r w:rsidRPr="00687B52">
        <w:rPr>
          <w:rFonts w:ascii="Times New Roman" w:eastAsia="宋体" w:hAnsi="宋体" w:cs="Times New Roman"/>
          <w:color w:val="000000" w:themeColor="text1"/>
          <w:sz w:val="21"/>
          <w:szCs w:val="21"/>
        </w:rPr>
        <w:t>丙类工艺装置或设施的防火距离，可按甲乙类工艺装置或设施的规定减少</w:t>
      </w:r>
      <w:r w:rsidRPr="00687B52">
        <w:rPr>
          <w:rFonts w:ascii="Times New Roman" w:eastAsia="宋体" w:cs="Times New Roman"/>
          <w:color w:val="000000" w:themeColor="text1"/>
          <w:sz w:val="21"/>
          <w:szCs w:val="21"/>
        </w:rPr>
        <w:t>25%</w:t>
      </w:r>
      <w:r w:rsidRPr="00687B52">
        <w:rPr>
          <w:rFonts w:ascii="Times New Roman" w:eastAsia="宋体" w:hAnsi="宋体" w:cs="Times New Roman"/>
          <w:color w:val="000000" w:themeColor="text1"/>
          <w:sz w:val="21"/>
          <w:szCs w:val="21"/>
        </w:rPr>
        <w:t>；</w:t>
      </w:r>
    </w:p>
    <w:p w:rsidR="00481EDB" w:rsidRPr="00687B52" w:rsidRDefault="00481EDB" w:rsidP="00481EDB">
      <w:pPr>
        <w:pStyle w:val="Default"/>
        <w:snapToGrid w:val="0"/>
        <w:spacing w:line="300" w:lineRule="auto"/>
        <w:ind w:firstLineChars="200" w:firstLine="420"/>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 xml:space="preserve">6. </w:t>
      </w:r>
      <w:r w:rsidRPr="00687B52">
        <w:rPr>
          <w:rFonts w:ascii="Times New Roman" w:eastAsia="宋体" w:hAnsi="宋体" w:cs="Times New Roman"/>
          <w:color w:val="000000" w:themeColor="text1"/>
          <w:sz w:val="21"/>
          <w:szCs w:val="21"/>
        </w:rPr>
        <w:t>地面敷设的地区输油（输气）管道的防火距离，可按地区埋地输油（输气）管道的规定增加</w:t>
      </w:r>
      <w:r w:rsidRPr="00687B52">
        <w:rPr>
          <w:rFonts w:ascii="Times New Roman" w:eastAsia="宋体" w:cs="Times New Roman"/>
          <w:color w:val="000000" w:themeColor="text1"/>
          <w:sz w:val="21"/>
          <w:szCs w:val="21"/>
        </w:rPr>
        <w:t>50%</w:t>
      </w:r>
      <w:r w:rsidRPr="00687B52">
        <w:rPr>
          <w:rFonts w:ascii="Times New Roman" w:eastAsia="宋体" w:hAnsi="宋体" w:cs="Times New Roman"/>
          <w:color w:val="000000" w:themeColor="text1"/>
          <w:sz w:val="21"/>
          <w:szCs w:val="21"/>
        </w:rPr>
        <w:t>；</w:t>
      </w:r>
    </w:p>
    <w:p w:rsidR="00481EDB" w:rsidRPr="00687B52" w:rsidRDefault="00481EDB" w:rsidP="00481EDB">
      <w:pPr>
        <w:pStyle w:val="Default"/>
        <w:snapToGrid w:val="0"/>
        <w:spacing w:line="300" w:lineRule="auto"/>
        <w:ind w:firstLineChars="200" w:firstLine="420"/>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 xml:space="preserve">7. </w:t>
      </w:r>
      <w:r w:rsidRPr="00687B52">
        <w:rPr>
          <w:rFonts w:ascii="Times New Roman" w:eastAsia="宋体" w:hAnsi="宋体" w:cs="Times New Roman"/>
          <w:color w:val="000000" w:themeColor="text1"/>
          <w:sz w:val="21"/>
          <w:szCs w:val="21"/>
        </w:rPr>
        <w:t>当相邻工厂围墙内为非火灾危险性设施时，其与全厂性或区域性重要设施防火间距最小可为</w:t>
      </w:r>
      <w:r w:rsidRPr="00687B52">
        <w:rPr>
          <w:rFonts w:ascii="Times New Roman" w:eastAsia="宋体" w:cs="Times New Roman"/>
          <w:color w:val="000000" w:themeColor="text1"/>
          <w:sz w:val="21"/>
          <w:szCs w:val="21"/>
        </w:rPr>
        <w:t>25m</w:t>
      </w:r>
      <w:r w:rsidRPr="00687B52">
        <w:rPr>
          <w:rFonts w:ascii="Times New Roman" w:eastAsia="宋体" w:hAnsi="宋体" w:cs="Times New Roman"/>
          <w:color w:val="000000" w:themeColor="text1"/>
          <w:sz w:val="21"/>
          <w:szCs w:val="21"/>
        </w:rPr>
        <w:t>；</w:t>
      </w:r>
    </w:p>
    <w:p w:rsidR="00481EDB" w:rsidRPr="00687B52" w:rsidRDefault="00481EDB" w:rsidP="00481EDB">
      <w:pPr>
        <w:pStyle w:val="Default"/>
        <w:snapToGrid w:val="0"/>
        <w:spacing w:line="300" w:lineRule="auto"/>
        <w:ind w:firstLineChars="200" w:firstLine="420"/>
        <w:rPr>
          <w:rFonts w:ascii="Times New Roman" w:eastAsia="宋体" w:hAnsi="宋体" w:cs="Times New Roman"/>
          <w:color w:val="000000" w:themeColor="text1"/>
          <w:sz w:val="21"/>
          <w:szCs w:val="21"/>
        </w:rPr>
        <w:sectPr w:rsidR="00481EDB" w:rsidRPr="00687B52">
          <w:pgSz w:w="11906" w:h="16838"/>
          <w:pgMar w:top="1134" w:right="1134" w:bottom="1134" w:left="1418" w:header="851" w:footer="992" w:gutter="0"/>
          <w:cols w:space="425"/>
          <w:docGrid w:type="lines" w:linePitch="312"/>
        </w:sectPr>
      </w:pPr>
      <w:r w:rsidRPr="00687B52">
        <w:rPr>
          <w:rFonts w:ascii="Times New Roman" w:eastAsia="宋体" w:cs="Times New Roman"/>
          <w:color w:val="000000" w:themeColor="text1"/>
          <w:sz w:val="21"/>
          <w:szCs w:val="21"/>
        </w:rPr>
        <w:t xml:space="preserve">8. </w:t>
      </w:r>
      <w:r w:rsidRPr="00687B52">
        <w:rPr>
          <w:rFonts w:ascii="Times New Roman" w:eastAsia="宋体" w:hAnsi="宋体" w:cs="Times New Roman"/>
          <w:color w:val="000000" w:themeColor="text1"/>
          <w:sz w:val="21"/>
          <w:szCs w:val="21"/>
        </w:rPr>
        <w:t>表中</w:t>
      </w:r>
      <w:r w:rsidRPr="00687B52">
        <w:rPr>
          <w:rFonts w:ascii="Times New Roman" w:eastAsia="宋体" w:cs="Times New Roman"/>
          <w:color w:val="000000" w:themeColor="text1"/>
          <w:sz w:val="21"/>
          <w:szCs w:val="21"/>
        </w:rPr>
        <w:t>“—”</w:t>
      </w:r>
      <w:r w:rsidRPr="00687B52">
        <w:rPr>
          <w:rFonts w:ascii="Times New Roman" w:eastAsia="宋体" w:hAnsi="宋体" w:cs="Times New Roman"/>
          <w:color w:val="000000" w:themeColor="text1"/>
          <w:sz w:val="21"/>
          <w:szCs w:val="21"/>
        </w:rPr>
        <w:t>表示无防火间距要求或执行相关规范。</w:t>
      </w:r>
    </w:p>
    <w:p w:rsidR="00481EDB" w:rsidRPr="00687B52" w:rsidRDefault="00481EDB" w:rsidP="00856B6C">
      <w:pPr>
        <w:pStyle w:val="afd"/>
        <w:rPr>
          <w:color w:val="000000" w:themeColor="text1"/>
        </w:rPr>
      </w:pPr>
      <w:bookmarkStart w:id="174" w:name="_Toc491870817"/>
      <w:bookmarkStart w:id="175" w:name="_Toc492563471"/>
      <w:bookmarkStart w:id="176" w:name="_Toc493857072"/>
      <w:r w:rsidRPr="00687B52">
        <w:rPr>
          <w:rFonts w:hint="eastAsia"/>
          <w:color w:val="000000" w:themeColor="text1"/>
        </w:rPr>
        <w:t>表</w:t>
      </w:r>
      <w:r w:rsidRPr="00687B52">
        <w:rPr>
          <w:rFonts w:hint="eastAsia"/>
          <w:color w:val="000000" w:themeColor="text1"/>
        </w:rPr>
        <w:t xml:space="preserve">4.1.10 </w:t>
      </w:r>
      <w:r w:rsidRPr="00687B52">
        <w:rPr>
          <w:rFonts w:hint="eastAsia"/>
          <w:color w:val="000000" w:themeColor="text1"/>
        </w:rPr>
        <w:t>石油化工企业与同类企业及油库的防火间距</w:t>
      </w:r>
      <w:bookmarkEnd w:id="174"/>
      <w:bookmarkEnd w:id="175"/>
      <w:bookmarkEnd w:id="176"/>
    </w:p>
    <w:tbl>
      <w:tblPr>
        <w:tblW w:w="9428"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5"/>
        <w:gridCol w:w="1050"/>
        <w:gridCol w:w="1365"/>
        <w:gridCol w:w="1365"/>
        <w:gridCol w:w="1785"/>
        <w:gridCol w:w="1868"/>
      </w:tblGrid>
      <w:tr w:rsidR="00481EDB" w:rsidRPr="00687B52" w:rsidTr="00B527D4">
        <w:trPr>
          <w:cantSplit/>
          <w:trHeight w:val="284"/>
        </w:trPr>
        <w:tc>
          <w:tcPr>
            <w:tcW w:w="1995" w:type="dxa"/>
            <w:vMerge w:val="restart"/>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项目</w:t>
            </w:r>
          </w:p>
        </w:tc>
        <w:tc>
          <w:tcPr>
            <w:tcW w:w="7433" w:type="dxa"/>
            <w:gridSpan w:val="5"/>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防火间距（</w:t>
            </w:r>
            <w:r w:rsidRPr="00687B52">
              <w:rPr>
                <w:rFonts w:ascii="Times New Roman" w:eastAsia="宋体" w:cs="Times New Roman"/>
                <w:color w:val="000000" w:themeColor="text1"/>
                <w:sz w:val="21"/>
                <w:szCs w:val="21"/>
              </w:rPr>
              <w:t>m</w:t>
            </w:r>
            <w:r w:rsidRPr="00687B52">
              <w:rPr>
                <w:rFonts w:ascii="Times New Roman" w:eastAsia="宋体" w:hAnsi="Arial" w:cs="Times New Roman"/>
                <w:color w:val="000000" w:themeColor="text1"/>
                <w:sz w:val="21"/>
                <w:szCs w:val="21"/>
              </w:rPr>
              <w:t>）</w:t>
            </w:r>
          </w:p>
        </w:tc>
      </w:tr>
      <w:tr w:rsidR="00481EDB" w:rsidRPr="00687B52" w:rsidTr="00B527D4">
        <w:trPr>
          <w:cantSplit/>
          <w:trHeight w:val="340"/>
        </w:trPr>
        <w:tc>
          <w:tcPr>
            <w:tcW w:w="1995" w:type="dxa"/>
            <w:vMerge/>
            <w:vAlign w:val="center"/>
          </w:tcPr>
          <w:p w:rsidR="00481EDB" w:rsidRPr="00687B52" w:rsidRDefault="00481EDB" w:rsidP="00B527D4">
            <w:pPr>
              <w:pStyle w:val="Default"/>
              <w:snapToGrid w:val="0"/>
              <w:jc w:val="both"/>
              <w:rPr>
                <w:rFonts w:ascii="Times New Roman" w:eastAsia="宋体" w:cs="Times New Roman"/>
                <w:color w:val="000000" w:themeColor="text1"/>
                <w:sz w:val="21"/>
                <w:szCs w:val="21"/>
              </w:rPr>
            </w:pPr>
          </w:p>
        </w:tc>
        <w:tc>
          <w:tcPr>
            <w:tcW w:w="1050" w:type="dxa"/>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液化烃罐组（罐外壁）</w:t>
            </w:r>
          </w:p>
        </w:tc>
        <w:tc>
          <w:tcPr>
            <w:tcW w:w="1365" w:type="dxa"/>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甲、乙类液体罐组（罐外壁）</w:t>
            </w:r>
          </w:p>
        </w:tc>
        <w:tc>
          <w:tcPr>
            <w:tcW w:w="1365" w:type="dxa"/>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可能携带可燃液体的高架火炬（火炬中心）</w:t>
            </w:r>
          </w:p>
        </w:tc>
        <w:tc>
          <w:tcPr>
            <w:tcW w:w="1785" w:type="dxa"/>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甲乙类工艺装置或设施（最外侧设备外缘或建筑物的最外轴线）</w:t>
            </w:r>
          </w:p>
        </w:tc>
        <w:tc>
          <w:tcPr>
            <w:tcW w:w="1868" w:type="dxa"/>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全厂性或区域性重要设施（最外侧设备外缘或建筑物的最外轴线）</w:t>
            </w:r>
          </w:p>
        </w:tc>
      </w:tr>
      <w:tr w:rsidR="00481EDB" w:rsidRPr="00687B52" w:rsidTr="00B527D4">
        <w:trPr>
          <w:cantSplit/>
          <w:trHeight w:val="340"/>
        </w:trPr>
        <w:tc>
          <w:tcPr>
            <w:tcW w:w="1995" w:type="dxa"/>
            <w:vAlign w:val="center"/>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液化烃罐组（罐外壁）</w:t>
            </w:r>
          </w:p>
        </w:tc>
        <w:tc>
          <w:tcPr>
            <w:tcW w:w="1050" w:type="dxa"/>
            <w:tcBorders>
              <w:right w:val="single" w:sz="12" w:space="0" w:color="auto"/>
            </w:tcBorders>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60</w:t>
            </w:r>
          </w:p>
        </w:tc>
        <w:tc>
          <w:tcPr>
            <w:tcW w:w="1365" w:type="dxa"/>
            <w:tcBorders>
              <w:left w:val="single" w:sz="12" w:space="0" w:color="auto"/>
              <w:bottom w:val="single" w:sz="12" w:space="0" w:color="auto"/>
            </w:tcBorders>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60</w:t>
            </w:r>
          </w:p>
        </w:tc>
        <w:tc>
          <w:tcPr>
            <w:tcW w:w="136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90</w:t>
            </w:r>
          </w:p>
        </w:tc>
        <w:tc>
          <w:tcPr>
            <w:tcW w:w="178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70</w:t>
            </w:r>
          </w:p>
        </w:tc>
        <w:tc>
          <w:tcPr>
            <w:tcW w:w="1868"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90</w:t>
            </w:r>
          </w:p>
        </w:tc>
      </w:tr>
      <w:tr w:rsidR="00481EDB" w:rsidRPr="00687B52" w:rsidTr="00B527D4">
        <w:trPr>
          <w:cantSplit/>
          <w:trHeight w:val="340"/>
        </w:trPr>
        <w:tc>
          <w:tcPr>
            <w:tcW w:w="1995" w:type="dxa"/>
            <w:vAlign w:val="center"/>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甲、乙类液体罐组（罐外壁）</w:t>
            </w:r>
          </w:p>
        </w:tc>
        <w:tc>
          <w:tcPr>
            <w:tcW w:w="1050"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60</w:t>
            </w:r>
          </w:p>
        </w:tc>
        <w:tc>
          <w:tcPr>
            <w:tcW w:w="1365" w:type="dxa"/>
            <w:tcBorders>
              <w:top w:val="single" w:sz="12" w:space="0" w:color="auto"/>
              <w:right w:val="single" w:sz="12" w:space="0" w:color="auto"/>
            </w:tcBorders>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1.5D</w:t>
            </w:r>
          </w:p>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（见注</w:t>
            </w:r>
            <w:r w:rsidRPr="00687B52">
              <w:rPr>
                <w:rFonts w:ascii="Times New Roman" w:eastAsia="宋体" w:cs="Times New Roman"/>
                <w:color w:val="000000" w:themeColor="text1"/>
                <w:sz w:val="21"/>
                <w:szCs w:val="21"/>
              </w:rPr>
              <w:t>2</w:t>
            </w:r>
            <w:r w:rsidRPr="00687B52">
              <w:rPr>
                <w:rFonts w:ascii="Times New Roman" w:eastAsia="宋体" w:hAnsi="Arial" w:cs="Times New Roman"/>
                <w:color w:val="000000" w:themeColor="text1"/>
                <w:sz w:val="21"/>
                <w:szCs w:val="21"/>
              </w:rPr>
              <w:t>）</w:t>
            </w:r>
          </w:p>
        </w:tc>
        <w:tc>
          <w:tcPr>
            <w:tcW w:w="1365" w:type="dxa"/>
            <w:tcBorders>
              <w:left w:val="single" w:sz="12" w:space="0" w:color="auto"/>
              <w:bottom w:val="single" w:sz="12" w:space="0" w:color="auto"/>
            </w:tcBorders>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90</w:t>
            </w:r>
          </w:p>
        </w:tc>
        <w:tc>
          <w:tcPr>
            <w:tcW w:w="178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50</w:t>
            </w:r>
          </w:p>
        </w:tc>
        <w:tc>
          <w:tcPr>
            <w:tcW w:w="1868"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60</w:t>
            </w:r>
          </w:p>
        </w:tc>
      </w:tr>
      <w:tr w:rsidR="00481EDB" w:rsidRPr="00687B52" w:rsidTr="00B527D4">
        <w:trPr>
          <w:cantSplit/>
          <w:trHeight w:val="340"/>
        </w:trPr>
        <w:tc>
          <w:tcPr>
            <w:tcW w:w="1995" w:type="dxa"/>
            <w:vAlign w:val="center"/>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可能携带可燃液体的高架火炬（火炬中心）</w:t>
            </w:r>
          </w:p>
        </w:tc>
        <w:tc>
          <w:tcPr>
            <w:tcW w:w="1050"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90</w:t>
            </w:r>
          </w:p>
        </w:tc>
        <w:tc>
          <w:tcPr>
            <w:tcW w:w="136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90</w:t>
            </w:r>
          </w:p>
        </w:tc>
        <w:tc>
          <w:tcPr>
            <w:tcW w:w="1365" w:type="dxa"/>
            <w:tcBorders>
              <w:top w:val="single" w:sz="12" w:space="0" w:color="auto"/>
              <w:right w:val="single" w:sz="12" w:space="0" w:color="auto"/>
            </w:tcBorders>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（见注</w:t>
            </w:r>
            <w:r w:rsidRPr="00687B52">
              <w:rPr>
                <w:rFonts w:ascii="Times New Roman" w:eastAsia="宋体" w:cs="Times New Roman"/>
                <w:color w:val="000000" w:themeColor="text1"/>
                <w:sz w:val="21"/>
                <w:szCs w:val="21"/>
              </w:rPr>
              <w:t>4</w:t>
            </w:r>
            <w:r w:rsidRPr="00687B52">
              <w:rPr>
                <w:rFonts w:ascii="Times New Roman" w:eastAsia="宋体" w:hAnsi="Arial" w:cs="Times New Roman"/>
                <w:color w:val="000000" w:themeColor="text1"/>
                <w:sz w:val="21"/>
                <w:szCs w:val="21"/>
              </w:rPr>
              <w:t>）</w:t>
            </w:r>
          </w:p>
        </w:tc>
        <w:tc>
          <w:tcPr>
            <w:tcW w:w="1785" w:type="dxa"/>
            <w:tcBorders>
              <w:left w:val="single" w:sz="12" w:space="0" w:color="auto"/>
              <w:bottom w:val="single" w:sz="12" w:space="0" w:color="auto"/>
            </w:tcBorders>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90</w:t>
            </w:r>
          </w:p>
        </w:tc>
        <w:tc>
          <w:tcPr>
            <w:tcW w:w="1868"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90</w:t>
            </w:r>
          </w:p>
        </w:tc>
      </w:tr>
      <w:tr w:rsidR="00481EDB" w:rsidRPr="00687B52" w:rsidTr="00B527D4">
        <w:trPr>
          <w:cantSplit/>
          <w:trHeight w:val="340"/>
        </w:trPr>
        <w:tc>
          <w:tcPr>
            <w:tcW w:w="1995" w:type="dxa"/>
            <w:vAlign w:val="center"/>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甲乙类工艺装置或设施（最外侧设备外缘或建筑物的最外轴线）</w:t>
            </w:r>
          </w:p>
        </w:tc>
        <w:tc>
          <w:tcPr>
            <w:tcW w:w="1050"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70</w:t>
            </w:r>
          </w:p>
        </w:tc>
        <w:tc>
          <w:tcPr>
            <w:tcW w:w="136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50</w:t>
            </w:r>
          </w:p>
        </w:tc>
        <w:tc>
          <w:tcPr>
            <w:tcW w:w="136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90</w:t>
            </w:r>
          </w:p>
        </w:tc>
        <w:tc>
          <w:tcPr>
            <w:tcW w:w="1785" w:type="dxa"/>
            <w:tcBorders>
              <w:top w:val="single" w:sz="12" w:space="0" w:color="auto"/>
              <w:right w:val="single" w:sz="12" w:space="0" w:color="auto"/>
            </w:tcBorders>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40</w:t>
            </w:r>
          </w:p>
        </w:tc>
        <w:tc>
          <w:tcPr>
            <w:tcW w:w="1868" w:type="dxa"/>
            <w:tcBorders>
              <w:left w:val="single" w:sz="12" w:space="0" w:color="auto"/>
              <w:bottom w:val="single" w:sz="12" w:space="0" w:color="auto"/>
            </w:tcBorders>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40</w:t>
            </w:r>
          </w:p>
        </w:tc>
      </w:tr>
      <w:tr w:rsidR="00481EDB" w:rsidRPr="00687B52" w:rsidTr="00B527D4">
        <w:trPr>
          <w:cantSplit/>
          <w:trHeight w:val="340"/>
        </w:trPr>
        <w:tc>
          <w:tcPr>
            <w:tcW w:w="1995" w:type="dxa"/>
            <w:vAlign w:val="center"/>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全厂性或区域性重要设施（最外侧设备外缘或建筑物的最外轴线）</w:t>
            </w:r>
          </w:p>
        </w:tc>
        <w:tc>
          <w:tcPr>
            <w:tcW w:w="1050"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90</w:t>
            </w:r>
          </w:p>
        </w:tc>
        <w:tc>
          <w:tcPr>
            <w:tcW w:w="136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60</w:t>
            </w:r>
          </w:p>
        </w:tc>
        <w:tc>
          <w:tcPr>
            <w:tcW w:w="136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90</w:t>
            </w:r>
          </w:p>
        </w:tc>
        <w:tc>
          <w:tcPr>
            <w:tcW w:w="178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40</w:t>
            </w:r>
          </w:p>
        </w:tc>
        <w:tc>
          <w:tcPr>
            <w:tcW w:w="1868" w:type="dxa"/>
            <w:tcBorders>
              <w:top w:val="single" w:sz="12" w:space="0" w:color="auto"/>
            </w:tcBorders>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20</w:t>
            </w:r>
          </w:p>
        </w:tc>
      </w:tr>
      <w:tr w:rsidR="00481EDB" w:rsidRPr="00687B52" w:rsidTr="00B527D4">
        <w:trPr>
          <w:cantSplit/>
          <w:trHeight w:val="284"/>
        </w:trPr>
        <w:tc>
          <w:tcPr>
            <w:tcW w:w="1995" w:type="dxa"/>
            <w:vAlign w:val="center"/>
          </w:tcPr>
          <w:p w:rsidR="00481EDB" w:rsidRPr="00687B52" w:rsidRDefault="00481EDB" w:rsidP="00B527D4">
            <w:pPr>
              <w:pStyle w:val="Default"/>
              <w:snapToGrid w:val="0"/>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明火地点</w:t>
            </w:r>
          </w:p>
        </w:tc>
        <w:tc>
          <w:tcPr>
            <w:tcW w:w="1050"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70</w:t>
            </w:r>
          </w:p>
        </w:tc>
        <w:tc>
          <w:tcPr>
            <w:tcW w:w="136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40</w:t>
            </w:r>
          </w:p>
        </w:tc>
        <w:tc>
          <w:tcPr>
            <w:tcW w:w="136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60</w:t>
            </w:r>
          </w:p>
        </w:tc>
        <w:tc>
          <w:tcPr>
            <w:tcW w:w="178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40</w:t>
            </w:r>
          </w:p>
        </w:tc>
        <w:tc>
          <w:tcPr>
            <w:tcW w:w="1868"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20</w:t>
            </w:r>
          </w:p>
        </w:tc>
      </w:tr>
    </w:tbl>
    <w:p w:rsidR="00481EDB" w:rsidRPr="00687B52" w:rsidRDefault="00481EDB" w:rsidP="00481EDB">
      <w:pPr>
        <w:pStyle w:val="Default"/>
        <w:snapToGrid w:val="0"/>
        <w:spacing w:line="300" w:lineRule="auto"/>
        <w:rPr>
          <w:rFonts w:ascii="Times New Roman" w:eastAsia="宋体" w:cs="Times New Roman"/>
          <w:color w:val="000000" w:themeColor="text1"/>
          <w:sz w:val="21"/>
          <w:szCs w:val="21"/>
        </w:rPr>
      </w:pPr>
      <w:r w:rsidRPr="00687B52">
        <w:rPr>
          <w:rFonts w:ascii="Arial" w:eastAsia="宋体" w:hAnsi="Arial" w:cs="Arial" w:hint="eastAsia"/>
          <w:color w:val="000000" w:themeColor="text1"/>
          <w:sz w:val="21"/>
          <w:szCs w:val="21"/>
        </w:rPr>
        <w:t>注：</w:t>
      </w:r>
      <w:r w:rsidRPr="00687B52">
        <w:rPr>
          <w:rFonts w:ascii="Times New Roman" w:eastAsia="宋体" w:cs="Times New Roman"/>
          <w:color w:val="000000" w:themeColor="text1"/>
          <w:sz w:val="21"/>
          <w:szCs w:val="21"/>
        </w:rPr>
        <w:t>1</w:t>
      </w:r>
      <w:r w:rsidRPr="00687B52">
        <w:rPr>
          <w:rFonts w:ascii="Times New Roman" w:eastAsia="宋体" w:cs="Times New Roman" w:hint="eastAsia"/>
          <w:color w:val="000000" w:themeColor="text1"/>
          <w:sz w:val="21"/>
          <w:szCs w:val="21"/>
        </w:rPr>
        <w:t>.</w:t>
      </w:r>
      <w:r w:rsidRPr="00687B52">
        <w:rPr>
          <w:rFonts w:ascii="Times New Roman" w:eastAsia="宋体" w:cs="Times New Roman" w:hint="eastAsia"/>
          <w:color w:val="000000" w:themeColor="text1"/>
          <w:sz w:val="21"/>
          <w:szCs w:val="21"/>
        </w:rPr>
        <w:t>括号内指防火间距起止点；</w:t>
      </w:r>
    </w:p>
    <w:p w:rsidR="00481EDB" w:rsidRPr="00687B52" w:rsidRDefault="00481EDB" w:rsidP="00481EDB">
      <w:pPr>
        <w:pStyle w:val="Default"/>
        <w:snapToGrid w:val="0"/>
        <w:spacing w:line="300" w:lineRule="auto"/>
        <w:ind w:firstLineChars="200" w:firstLine="420"/>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2</w:t>
      </w:r>
      <w:r w:rsidRPr="00687B52">
        <w:rPr>
          <w:rFonts w:ascii="Times New Roman" w:eastAsia="宋体" w:cs="Times New Roman" w:hint="eastAsia"/>
          <w:color w:val="000000" w:themeColor="text1"/>
          <w:sz w:val="21"/>
          <w:szCs w:val="21"/>
        </w:rPr>
        <w:t>.</w:t>
      </w:r>
      <w:r w:rsidRPr="00687B52">
        <w:rPr>
          <w:rFonts w:ascii="Times New Roman" w:eastAsia="宋体" w:cs="Times New Roman" w:hint="eastAsia"/>
          <w:color w:val="000000" w:themeColor="text1"/>
          <w:sz w:val="21"/>
          <w:szCs w:val="21"/>
        </w:rPr>
        <w:t>表中</w:t>
      </w:r>
      <w:r w:rsidRPr="00687B52">
        <w:rPr>
          <w:rFonts w:ascii="Times New Roman" w:eastAsia="宋体" w:cs="Times New Roman"/>
          <w:color w:val="000000" w:themeColor="text1"/>
          <w:sz w:val="21"/>
          <w:szCs w:val="21"/>
        </w:rPr>
        <w:t>D</w:t>
      </w:r>
      <w:r w:rsidRPr="00687B52">
        <w:rPr>
          <w:rFonts w:ascii="Times New Roman" w:eastAsia="宋体" w:cs="Times New Roman" w:hint="eastAsia"/>
          <w:color w:val="000000" w:themeColor="text1"/>
          <w:sz w:val="21"/>
          <w:szCs w:val="21"/>
        </w:rPr>
        <w:t>为较大罐的直径。当</w:t>
      </w:r>
      <w:r w:rsidRPr="00687B52">
        <w:rPr>
          <w:rFonts w:ascii="Times New Roman" w:eastAsia="宋体" w:cs="Times New Roman"/>
          <w:color w:val="000000" w:themeColor="text1"/>
          <w:sz w:val="21"/>
          <w:szCs w:val="21"/>
        </w:rPr>
        <w:t>1.5D</w:t>
      </w:r>
      <w:r w:rsidRPr="00687B52">
        <w:rPr>
          <w:rFonts w:ascii="Times New Roman" w:eastAsia="宋体" w:cs="Times New Roman" w:hint="eastAsia"/>
          <w:color w:val="000000" w:themeColor="text1"/>
          <w:sz w:val="21"/>
          <w:szCs w:val="21"/>
        </w:rPr>
        <w:t>小于</w:t>
      </w:r>
      <w:r w:rsidRPr="00687B52">
        <w:rPr>
          <w:rFonts w:ascii="Times New Roman" w:eastAsia="宋体" w:cs="Times New Roman"/>
          <w:color w:val="000000" w:themeColor="text1"/>
          <w:sz w:val="21"/>
          <w:szCs w:val="21"/>
        </w:rPr>
        <w:t>30m</w:t>
      </w:r>
      <w:r w:rsidRPr="00687B52">
        <w:rPr>
          <w:rFonts w:ascii="Times New Roman" w:eastAsia="宋体" w:cs="Times New Roman" w:hint="eastAsia"/>
          <w:color w:val="000000" w:themeColor="text1"/>
          <w:sz w:val="21"/>
          <w:szCs w:val="21"/>
        </w:rPr>
        <w:t>时，取</w:t>
      </w:r>
      <w:r w:rsidRPr="00687B52">
        <w:rPr>
          <w:rFonts w:ascii="Times New Roman" w:eastAsia="宋体" w:cs="Times New Roman"/>
          <w:color w:val="000000" w:themeColor="text1"/>
          <w:sz w:val="21"/>
          <w:szCs w:val="21"/>
        </w:rPr>
        <w:t>30m</w:t>
      </w:r>
      <w:r w:rsidRPr="00687B52">
        <w:rPr>
          <w:rFonts w:ascii="Times New Roman" w:eastAsia="宋体" w:cs="Times New Roman" w:hint="eastAsia"/>
          <w:color w:val="000000" w:themeColor="text1"/>
          <w:sz w:val="21"/>
          <w:szCs w:val="21"/>
        </w:rPr>
        <w:t>；当</w:t>
      </w:r>
      <w:r w:rsidRPr="00687B52">
        <w:rPr>
          <w:rFonts w:ascii="Times New Roman" w:eastAsia="宋体" w:cs="Times New Roman"/>
          <w:color w:val="000000" w:themeColor="text1"/>
          <w:sz w:val="21"/>
          <w:szCs w:val="21"/>
        </w:rPr>
        <w:t>1.5D</w:t>
      </w:r>
      <w:r w:rsidRPr="00687B52">
        <w:rPr>
          <w:rFonts w:ascii="Times New Roman" w:eastAsia="宋体" w:cs="Times New Roman" w:hint="eastAsia"/>
          <w:color w:val="000000" w:themeColor="text1"/>
          <w:sz w:val="21"/>
          <w:szCs w:val="21"/>
        </w:rPr>
        <w:t>大于</w:t>
      </w:r>
      <w:r w:rsidRPr="00687B52">
        <w:rPr>
          <w:rFonts w:ascii="Times New Roman" w:eastAsia="宋体" w:cs="Times New Roman"/>
          <w:color w:val="000000" w:themeColor="text1"/>
          <w:sz w:val="21"/>
          <w:szCs w:val="21"/>
        </w:rPr>
        <w:t>60m</w:t>
      </w:r>
      <w:r w:rsidRPr="00687B52">
        <w:rPr>
          <w:rFonts w:ascii="Times New Roman" w:eastAsia="宋体" w:cs="Times New Roman" w:hint="eastAsia"/>
          <w:color w:val="000000" w:themeColor="text1"/>
          <w:sz w:val="21"/>
          <w:szCs w:val="21"/>
        </w:rPr>
        <w:t>时，可取</w:t>
      </w:r>
      <w:r w:rsidRPr="00687B52">
        <w:rPr>
          <w:rFonts w:ascii="Times New Roman" w:eastAsia="宋体" w:cs="Times New Roman"/>
          <w:color w:val="000000" w:themeColor="text1"/>
          <w:sz w:val="21"/>
          <w:szCs w:val="21"/>
        </w:rPr>
        <w:t>60m</w:t>
      </w:r>
      <w:r w:rsidRPr="00687B52">
        <w:rPr>
          <w:rFonts w:ascii="Times New Roman" w:eastAsia="宋体" w:cs="Times New Roman" w:hint="eastAsia"/>
          <w:color w:val="000000" w:themeColor="text1"/>
          <w:sz w:val="21"/>
          <w:szCs w:val="21"/>
        </w:rPr>
        <w:t>；当丙类可燃液体罐相邻布置时，防火间距可取</w:t>
      </w:r>
      <w:r w:rsidRPr="00687B52">
        <w:rPr>
          <w:rFonts w:ascii="Times New Roman" w:eastAsia="宋体" w:cs="Times New Roman"/>
          <w:color w:val="000000" w:themeColor="text1"/>
          <w:sz w:val="21"/>
          <w:szCs w:val="21"/>
        </w:rPr>
        <w:t>30m</w:t>
      </w:r>
      <w:r w:rsidRPr="00687B52">
        <w:rPr>
          <w:rFonts w:ascii="Times New Roman" w:eastAsia="宋体" w:cs="Times New Roman" w:hint="eastAsia"/>
          <w:color w:val="000000" w:themeColor="text1"/>
          <w:sz w:val="21"/>
          <w:szCs w:val="21"/>
        </w:rPr>
        <w:t>；</w:t>
      </w:r>
    </w:p>
    <w:p w:rsidR="00481EDB" w:rsidRPr="00687B52" w:rsidRDefault="00481EDB" w:rsidP="00481EDB">
      <w:pPr>
        <w:pStyle w:val="Default"/>
        <w:snapToGrid w:val="0"/>
        <w:spacing w:line="300" w:lineRule="auto"/>
        <w:ind w:firstLineChars="200" w:firstLine="420"/>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3</w:t>
      </w:r>
      <w:r w:rsidRPr="00687B52">
        <w:rPr>
          <w:rFonts w:ascii="Times New Roman" w:eastAsia="宋体" w:cs="Times New Roman" w:hint="eastAsia"/>
          <w:color w:val="000000" w:themeColor="text1"/>
          <w:sz w:val="21"/>
          <w:szCs w:val="21"/>
        </w:rPr>
        <w:t>.</w:t>
      </w:r>
      <w:r w:rsidRPr="00687B52">
        <w:rPr>
          <w:rFonts w:ascii="Times New Roman" w:eastAsia="宋体" w:cs="Times New Roman" w:hint="eastAsia"/>
          <w:color w:val="000000" w:themeColor="text1"/>
          <w:sz w:val="21"/>
          <w:szCs w:val="21"/>
        </w:rPr>
        <w:t>与散发火花地点的防火间距，可按与明火地点的防火间距减少</w:t>
      </w:r>
      <w:r w:rsidRPr="00687B52">
        <w:rPr>
          <w:rFonts w:ascii="Times New Roman" w:eastAsia="宋体" w:cs="Times New Roman"/>
          <w:color w:val="000000" w:themeColor="text1"/>
          <w:sz w:val="21"/>
          <w:szCs w:val="21"/>
        </w:rPr>
        <w:t>50%</w:t>
      </w:r>
      <w:r w:rsidRPr="00687B52">
        <w:rPr>
          <w:rFonts w:ascii="Times New Roman" w:eastAsia="宋体" w:cs="Times New Roman" w:hint="eastAsia"/>
          <w:color w:val="000000" w:themeColor="text1"/>
          <w:sz w:val="21"/>
          <w:szCs w:val="21"/>
        </w:rPr>
        <w:t>，但散发火花地点应布置在火灾爆炸危险区域之外；</w:t>
      </w:r>
    </w:p>
    <w:p w:rsidR="00481EDB" w:rsidRPr="00687B52" w:rsidRDefault="00481EDB" w:rsidP="00481EDB">
      <w:pPr>
        <w:pStyle w:val="Default"/>
        <w:snapToGrid w:val="0"/>
        <w:spacing w:line="300" w:lineRule="auto"/>
        <w:ind w:firstLineChars="200" w:firstLine="420"/>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4</w:t>
      </w:r>
      <w:r w:rsidRPr="00687B52">
        <w:rPr>
          <w:rFonts w:ascii="Times New Roman" w:eastAsia="宋体" w:cs="Times New Roman" w:hint="eastAsia"/>
          <w:color w:val="000000" w:themeColor="text1"/>
          <w:sz w:val="21"/>
          <w:szCs w:val="21"/>
        </w:rPr>
        <w:t>.</w:t>
      </w:r>
      <w:r w:rsidRPr="00687B52">
        <w:rPr>
          <w:rFonts w:ascii="Times New Roman" w:eastAsia="宋体" w:cs="Times New Roman" w:hint="eastAsia"/>
          <w:color w:val="000000" w:themeColor="text1"/>
          <w:sz w:val="21"/>
          <w:szCs w:val="21"/>
        </w:rPr>
        <w:t>辐射热不应影响相邻火炬的检修和运行；</w:t>
      </w:r>
    </w:p>
    <w:p w:rsidR="00481EDB" w:rsidRPr="00687B52" w:rsidRDefault="00481EDB" w:rsidP="00481EDB">
      <w:pPr>
        <w:pStyle w:val="Default"/>
        <w:snapToGrid w:val="0"/>
        <w:spacing w:line="300" w:lineRule="auto"/>
        <w:ind w:firstLineChars="200" w:firstLine="420"/>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5</w:t>
      </w:r>
      <w:r w:rsidRPr="00687B52">
        <w:rPr>
          <w:rFonts w:ascii="Times New Roman" w:eastAsia="宋体" w:cs="Times New Roman" w:hint="eastAsia"/>
          <w:color w:val="000000" w:themeColor="text1"/>
          <w:sz w:val="21"/>
          <w:szCs w:val="21"/>
        </w:rPr>
        <w:t>.</w:t>
      </w:r>
      <w:r w:rsidRPr="00687B52">
        <w:rPr>
          <w:rFonts w:ascii="Times New Roman" w:eastAsia="宋体" w:cs="Times New Roman" w:hint="eastAsia"/>
          <w:color w:val="000000" w:themeColor="text1"/>
          <w:sz w:val="21"/>
          <w:szCs w:val="21"/>
        </w:rPr>
        <w:t>丙类工艺装置或设施的防火间距，可按甲、乙类工艺装置或设施的规定减少</w:t>
      </w:r>
      <w:r w:rsidRPr="00687B52">
        <w:rPr>
          <w:rFonts w:ascii="Times New Roman" w:eastAsia="宋体" w:cs="Times New Roman"/>
          <w:color w:val="000000" w:themeColor="text1"/>
          <w:sz w:val="21"/>
          <w:szCs w:val="21"/>
        </w:rPr>
        <w:t>10m</w:t>
      </w:r>
      <w:r w:rsidRPr="00687B52">
        <w:rPr>
          <w:rFonts w:ascii="Times New Roman" w:eastAsia="宋体" w:cs="Times New Roman" w:hint="eastAsia"/>
          <w:color w:val="000000" w:themeColor="text1"/>
          <w:sz w:val="21"/>
          <w:szCs w:val="21"/>
        </w:rPr>
        <w:t>（火炬除外），但不应小于</w:t>
      </w:r>
      <w:r w:rsidRPr="00687B52">
        <w:rPr>
          <w:rFonts w:ascii="Times New Roman" w:eastAsia="宋体" w:cs="Times New Roman"/>
          <w:color w:val="000000" w:themeColor="text1"/>
          <w:sz w:val="21"/>
          <w:szCs w:val="21"/>
        </w:rPr>
        <w:t>30m</w:t>
      </w:r>
      <w:r w:rsidRPr="00687B52">
        <w:rPr>
          <w:rFonts w:ascii="Times New Roman" w:eastAsia="宋体" w:cs="Times New Roman" w:hint="eastAsia"/>
          <w:color w:val="000000" w:themeColor="text1"/>
          <w:sz w:val="21"/>
          <w:szCs w:val="21"/>
        </w:rPr>
        <w:t>；</w:t>
      </w:r>
    </w:p>
    <w:p w:rsidR="00481EDB" w:rsidRPr="00687B52" w:rsidRDefault="00481EDB" w:rsidP="00481EDB">
      <w:pPr>
        <w:pStyle w:val="Default"/>
        <w:snapToGrid w:val="0"/>
        <w:spacing w:line="300" w:lineRule="auto"/>
        <w:ind w:firstLineChars="200" w:firstLine="420"/>
        <w:rPr>
          <w:rFonts w:ascii="Times New Roman" w:eastAsia="宋体" w:cs="Times New Roman"/>
          <w:color w:val="000000" w:themeColor="text1"/>
          <w:sz w:val="21"/>
          <w:szCs w:val="21"/>
        </w:rPr>
        <w:sectPr w:rsidR="00481EDB" w:rsidRPr="00687B52">
          <w:pgSz w:w="11906" w:h="16838"/>
          <w:pgMar w:top="1418" w:right="1134" w:bottom="1134" w:left="1588" w:header="851" w:footer="992" w:gutter="0"/>
          <w:cols w:space="425"/>
          <w:docGrid w:type="lines" w:linePitch="312"/>
        </w:sectPr>
      </w:pPr>
      <w:r w:rsidRPr="00687B52">
        <w:rPr>
          <w:rFonts w:ascii="Times New Roman" w:eastAsia="宋体" w:cs="Times New Roman"/>
          <w:color w:val="000000" w:themeColor="text1"/>
          <w:sz w:val="21"/>
          <w:szCs w:val="21"/>
        </w:rPr>
        <w:t>6</w:t>
      </w:r>
      <w:r w:rsidRPr="00687B52">
        <w:rPr>
          <w:rFonts w:ascii="Times New Roman" w:eastAsia="宋体" w:cs="Times New Roman" w:hint="eastAsia"/>
          <w:color w:val="000000" w:themeColor="text1"/>
          <w:sz w:val="21"/>
          <w:szCs w:val="21"/>
        </w:rPr>
        <w:t>.</w:t>
      </w:r>
      <w:r w:rsidRPr="00687B52">
        <w:rPr>
          <w:rFonts w:ascii="Times New Roman" w:eastAsia="宋体" w:cs="Times New Roman" w:hint="eastAsia"/>
          <w:color w:val="000000" w:themeColor="text1"/>
          <w:sz w:val="21"/>
          <w:szCs w:val="21"/>
        </w:rPr>
        <w:t>石油化工工业园区内公用的输油（气）管道，可布置在石油化工企业围墙或用地边界线外。</w:t>
      </w:r>
    </w:p>
    <w:p w:rsidR="00481EDB" w:rsidRPr="00687B52" w:rsidRDefault="00481EDB" w:rsidP="00856B6C">
      <w:pPr>
        <w:pStyle w:val="afd"/>
        <w:rPr>
          <w:color w:val="000000" w:themeColor="text1"/>
        </w:rPr>
      </w:pPr>
      <w:bookmarkStart w:id="177" w:name="_Toc491870818"/>
      <w:bookmarkStart w:id="178" w:name="_Toc492563472"/>
      <w:bookmarkStart w:id="179" w:name="_Toc493857073"/>
      <w:r w:rsidRPr="00687B52">
        <w:rPr>
          <w:rFonts w:hint="eastAsia"/>
          <w:color w:val="000000" w:themeColor="text1"/>
        </w:rPr>
        <w:t>表</w:t>
      </w:r>
      <w:r w:rsidRPr="00687B52">
        <w:rPr>
          <w:rFonts w:hint="eastAsia"/>
          <w:color w:val="000000" w:themeColor="text1"/>
        </w:rPr>
        <w:t xml:space="preserve">4.1.12 </w:t>
      </w:r>
      <w:r w:rsidRPr="00687B52">
        <w:rPr>
          <w:rFonts w:hint="eastAsia"/>
          <w:color w:val="000000" w:themeColor="text1"/>
        </w:rPr>
        <w:t>石油化工厂总平面布置的防火间距</w:t>
      </w:r>
      <w:bookmarkEnd w:id="177"/>
      <w:bookmarkEnd w:id="178"/>
      <w:bookmarkEnd w:id="179"/>
    </w:p>
    <w:tbl>
      <w:tblPr>
        <w:tblpPr w:leftFromText="180" w:rightFromText="180" w:vertAnchor="text" w:horzAnchor="margin" w:tblpXSpec="center" w:tblpY="137"/>
        <w:tblW w:w="22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1575"/>
        <w:gridCol w:w="1785"/>
        <w:gridCol w:w="630"/>
        <w:gridCol w:w="630"/>
        <w:gridCol w:w="507"/>
        <w:gridCol w:w="505"/>
        <w:gridCol w:w="418"/>
        <w:gridCol w:w="513"/>
        <w:gridCol w:w="450"/>
        <w:gridCol w:w="495"/>
        <w:gridCol w:w="450"/>
        <w:gridCol w:w="480"/>
        <w:gridCol w:w="450"/>
        <w:gridCol w:w="483"/>
        <w:gridCol w:w="450"/>
        <w:gridCol w:w="495"/>
        <w:gridCol w:w="574"/>
        <w:gridCol w:w="597"/>
        <w:gridCol w:w="449"/>
        <w:gridCol w:w="494"/>
        <w:gridCol w:w="449"/>
        <w:gridCol w:w="449"/>
        <w:gridCol w:w="449"/>
        <w:gridCol w:w="518"/>
        <w:gridCol w:w="419"/>
        <w:gridCol w:w="419"/>
        <w:gridCol w:w="626"/>
        <w:gridCol w:w="525"/>
        <w:gridCol w:w="630"/>
        <w:gridCol w:w="630"/>
        <w:gridCol w:w="1260"/>
        <w:gridCol w:w="735"/>
        <w:gridCol w:w="840"/>
        <w:gridCol w:w="735"/>
      </w:tblGrid>
      <w:tr w:rsidR="00481EDB" w:rsidRPr="00687B52" w:rsidTr="00B527D4">
        <w:trPr>
          <w:cantSplit/>
          <w:trHeight w:val="284"/>
        </w:trPr>
        <w:tc>
          <w:tcPr>
            <w:tcW w:w="4719" w:type="dxa"/>
            <w:gridSpan w:val="3"/>
            <w:vMerge w:val="restart"/>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color w:val="000000" w:themeColor="text1"/>
                <w:sz w:val="21"/>
                <w:szCs w:val="21"/>
              </w:rPr>
              <w:t>项目</w:t>
            </w:r>
          </w:p>
        </w:tc>
        <w:tc>
          <w:tcPr>
            <w:tcW w:w="1767" w:type="dxa"/>
            <w:gridSpan w:val="3"/>
            <w:vMerge w:val="restart"/>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工艺装置（单元</w:t>
            </w:r>
          </w:p>
        </w:tc>
        <w:tc>
          <w:tcPr>
            <w:tcW w:w="923" w:type="dxa"/>
            <w:gridSpan w:val="2"/>
            <w:vMerge w:val="restart"/>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全厂重</w:t>
            </w:r>
          </w:p>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要设施</w:t>
            </w:r>
          </w:p>
        </w:tc>
        <w:tc>
          <w:tcPr>
            <w:tcW w:w="513" w:type="dxa"/>
            <w:vMerge w:val="restart"/>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明火地点</w:t>
            </w:r>
          </w:p>
        </w:tc>
        <w:tc>
          <w:tcPr>
            <w:tcW w:w="4327" w:type="dxa"/>
            <w:gridSpan w:val="9"/>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地上可燃液体储罐</w:t>
            </w:r>
          </w:p>
        </w:tc>
        <w:tc>
          <w:tcPr>
            <w:tcW w:w="597" w:type="dxa"/>
            <w:vMerge w:val="restart"/>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沸点低于</w:t>
            </w:r>
            <w:r w:rsidRPr="00687B52">
              <w:rPr>
                <w:rFonts w:ascii="Arial" w:eastAsia="宋体" w:hAnsi="Arial" w:cs="Arial"/>
                <w:color w:val="000000" w:themeColor="text1"/>
                <w:sz w:val="18"/>
                <w:szCs w:val="18"/>
              </w:rPr>
              <w:t>45℃</w:t>
            </w:r>
            <w:r w:rsidRPr="00687B52">
              <w:rPr>
                <w:rFonts w:ascii="Arial" w:eastAsia="宋体" w:hAnsi="Arial" w:cs="Arial"/>
                <w:color w:val="000000" w:themeColor="text1"/>
                <w:sz w:val="18"/>
                <w:szCs w:val="18"/>
              </w:rPr>
              <w:t>的甲</w:t>
            </w:r>
            <w:r w:rsidRPr="00687B52">
              <w:rPr>
                <w:rFonts w:ascii="Arial" w:eastAsia="宋体" w:hAnsi="Arial" w:cs="Arial"/>
                <w:color w:val="000000" w:themeColor="text1"/>
                <w:sz w:val="18"/>
                <w:szCs w:val="18"/>
              </w:rPr>
              <w:t>B</w:t>
            </w:r>
            <w:r w:rsidRPr="00687B52">
              <w:rPr>
                <w:rFonts w:ascii="Arial" w:eastAsia="宋体" w:hAnsi="Arial" w:cs="Arial"/>
                <w:color w:val="000000" w:themeColor="text1"/>
                <w:sz w:val="18"/>
                <w:szCs w:val="18"/>
              </w:rPr>
              <w:t>类液体全压力储存</w:t>
            </w:r>
          </w:p>
        </w:tc>
        <w:tc>
          <w:tcPr>
            <w:tcW w:w="2290" w:type="dxa"/>
            <w:gridSpan w:val="5"/>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液化烃储罐</w:t>
            </w:r>
          </w:p>
        </w:tc>
        <w:tc>
          <w:tcPr>
            <w:tcW w:w="518" w:type="dxa"/>
            <w:vMerge w:val="restart"/>
            <w:vAlign w:val="center"/>
          </w:tcPr>
          <w:p w:rsidR="00481EDB" w:rsidRPr="00687B52" w:rsidRDefault="00481EDB" w:rsidP="00B527D4">
            <w:pPr>
              <w:pStyle w:val="Default"/>
              <w:snapToGrid w:val="0"/>
              <w:ind w:leftChars="-54" w:left="-113" w:firstLineChars="1" w:firstLine="2"/>
              <w:jc w:val="center"/>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可燃</w:t>
            </w:r>
          </w:p>
          <w:p w:rsidR="00481EDB" w:rsidRPr="00687B52" w:rsidRDefault="00481EDB" w:rsidP="00B527D4">
            <w:pPr>
              <w:pStyle w:val="Default"/>
              <w:snapToGrid w:val="0"/>
              <w:ind w:leftChars="-54" w:left="-113" w:firstLineChars="1" w:firstLine="2"/>
              <w:jc w:val="center"/>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气体</w:t>
            </w:r>
          </w:p>
          <w:p w:rsidR="00481EDB" w:rsidRPr="00687B52" w:rsidRDefault="00481EDB" w:rsidP="00B527D4">
            <w:pPr>
              <w:pStyle w:val="Default"/>
              <w:snapToGrid w:val="0"/>
              <w:ind w:leftChars="-54" w:left="-113" w:firstLineChars="1" w:firstLine="2"/>
              <w:jc w:val="center"/>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储罐</w:t>
            </w:r>
          </w:p>
        </w:tc>
        <w:tc>
          <w:tcPr>
            <w:tcW w:w="1464" w:type="dxa"/>
            <w:gridSpan w:val="3"/>
            <w:vMerge w:val="restart"/>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液化烃及甲</w:t>
            </w:r>
            <w:r w:rsidRPr="00687B52">
              <w:rPr>
                <w:rFonts w:ascii="Arial" w:eastAsia="宋体" w:hAnsi="Arial" w:cs="Arial"/>
                <w:color w:val="000000" w:themeColor="text1"/>
                <w:sz w:val="18"/>
                <w:szCs w:val="18"/>
              </w:rPr>
              <w:t>B</w:t>
            </w:r>
            <w:r w:rsidRPr="00687B52">
              <w:rPr>
                <w:rFonts w:ascii="Arial" w:eastAsia="宋体" w:cs="Arial"/>
                <w:color w:val="000000" w:themeColor="text1"/>
                <w:sz w:val="18"/>
                <w:szCs w:val="18"/>
              </w:rPr>
              <w:t>、乙类液体</w:t>
            </w:r>
          </w:p>
        </w:tc>
        <w:tc>
          <w:tcPr>
            <w:tcW w:w="1155" w:type="dxa"/>
            <w:gridSpan w:val="2"/>
            <w:vMerge w:val="restart"/>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灌装站</w:t>
            </w:r>
          </w:p>
        </w:tc>
        <w:tc>
          <w:tcPr>
            <w:tcW w:w="630" w:type="dxa"/>
            <w:vMerge w:val="restart"/>
            <w:vAlign w:val="center"/>
          </w:tcPr>
          <w:p w:rsidR="00481EDB" w:rsidRPr="00687B52" w:rsidRDefault="00481EDB" w:rsidP="00B527D4">
            <w:pPr>
              <w:pStyle w:val="Default"/>
              <w:snapToGrid w:val="0"/>
              <w:ind w:leftChars="-44" w:hangingChars="51" w:hanging="92"/>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甲类</w:t>
            </w:r>
          </w:p>
          <w:p w:rsidR="00481EDB" w:rsidRPr="00687B52" w:rsidRDefault="00481EDB" w:rsidP="00B527D4">
            <w:pPr>
              <w:pStyle w:val="Default"/>
              <w:snapToGrid w:val="0"/>
              <w:ind w:leftChars="-44" w:hangingChars="51" w:hanging="92"/>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物品</w:t>
            </w:r>
          </w:p>
          <w:p w:rsidR="00481EDB" w:rsidRPr="00687B52" w:rsidRDefault="00481EDB" w:rsidP="00B527D4">
            <w:pPr>
              <w:pStyle w:val="Default"/>
              <w:snapToGrid w:val="0"/>
              <w:ind w:leftChars="-44" w:hangingChars="51" w:hanging="92"/>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库</w:t>
            </w:r>
          </w:p>
          <w:p w:rsidR="00481EDB" w:rsidRPr="00687B52" w:rsidRDefault="00481EDB" w:rsidP="00B527D4">
            <w:pPr>
              <w:pStyle w:val="Default"/>
              <w:snapToGrid w:val="0"/>
              <w:ind w:leftChars="-44" w:hangingChars="51" w:hanging="92"/>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（棚）或</w:t>
            </w:r>
          </w:p>
          <w:p w:rsidR="00481EDB" w:rsidRPr="00687B52" w:rsidRDefault="00481EDB" w:rsidP="00B527D4">
            <w:pPr>
              <w:pStyle w:val="Default"/>
              <w:snapToGrid w:val="0"/>
              <w:ind w:leftChars="-44" w:hangingChars="51" w:hanging="92"/>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堆场</w:t>
            </w:r>
          </w:p>
        </w:tc>
        <w:tc>
          <w:tcPr>
            <w:tcW w:w="1260" w:type="dxa"/>
            <w:vMerge w:val="restart"/>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罐区甲乙类泵（房）、全冷冻式液化烃储存的压缩机（包括添加剂设施及其专用变配电室、控制室）</w:t>
            </w:r>
          </w:p>
        </w:tc>
        <w:tc>
          <w:tcPr>
            <w:tcW w:w="735" w:type="dxa"/>
            <w:vMerge w:val="restart"/>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污水处理场（隔油池、污油罐）</w:t>
            </w:r>
          </w:p>
        </w:tc>
        <w:tc>
          <w:tcPr>
            <w:tcW w:w="840" w:type="dxa"/>
            <w:vMerge w:val="restart"/>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铁路走形线（中心线）、原料及产品运输道路（路面边）</w:t>
            </w:r>
          </w:p>
        </w:tc>
        <w:tc>
          <w:tcPr>
            <w:tcW w:w="735" w:type="dxa"/>
            <w:vMerge w:val="restart"/>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cs="Arial"/>
                <w:color w:val="000000" w:themeColor="text1"/>
                <w:sz w:val="18"/>
                <w:szCs w:val="18"/>
              </w:rPr>
              <w:t>附注</w:t>
            </w:r>
          </w:p>
        </w:tc>
      </w:tr>
      <w:tr w:rsidR="00481EDB" w:rsidRPr="00687B52" w:rsidTr="00B527D4">
        <w:trPr>
          <w:cantSplit/>
          <w:trHeight w:val="284"/>
        </w:trPr>
        <w:tc>
          <w:tcPr>
            <w:tcW w:w="4719" w:type="dxa"/>
            <w:gridSpan w:val="3"/>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767" w:type="dxa"/>
            <w:gridSpan w:val="3"/>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923" w:type="dxa"/>
            <w:gridSpan w:val="2"/>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513"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875" w:type="dxa"/>
            <w:gridSpan w:val="4"/>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甲</w:t>
            </w:r>
            <w:r w:rsidRPr="00687B52">
              <w:rPr>
                <w:rFonts w:ascii="Arial" w:eastAsia="宋体" w:hAnsi="Arial" w:cs="Arial"/>
                <w:color w:val="000000" w:themeColor="text1"/>
                <w:sz w:val="18"/>
                <w:szCs w:val="18"/>
              </w:rPr>
              <w:t>B</w:t>
            </w:r>
            <w:r w:rsidRPr="00687B52">
              <w:rPr>
                <w:rFonts w:ascii="Arial" w:eastAsia="宋体" w:hAnsi="Arial" w:cs="Arial"/>
                <w:color w:val="000000" w:themeColor="text1"/>
                <w:sz w:val="18"/>
                <w:szCs w:val="18"/>
              </w:rPr>
              <w:t>、乙类固定罐</w:t>
            </w:r>
          </w:p>
        </w:tc>
        <w:tc>
          <w:tcPr>
            <w:tcW w:w="2452" w:type="dxa"/>
            <w:gridSpan w:val="5"/>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浮顶、内浮顶或丙</w:t>
            </w:r>
            <w:r w:rsidRPr="00687B52">
              <w:rPr>
                <w:rFonts w:ascii="Arial" w:eastAsia="宋体" w:hAnsi="Arial" w:cs="Arial"/>
                <w:color w:val="000000" w:themeColor="text1"/>
                <w:sz w:val="18"/>
                <w:szCs w:val="18"/>
              </w:rPr>
              <w:t>A</w:t>
            </w:r>
            <w:r w:rsidRPr="00687B52">
              <w:rPr>
                <w:rFonts w:ascii="Arial" w:eastAsia="宋体" w:hAnsi="Arial" w:cs="Arial"/>
                <w:color w:val="000000" w:themeColor="text1"/>
                <w:sz w:val="18"/>
                <w:szCs w:val="18"/>
              </w:rPr>
              <w:t>类固定罐</w:t>
            </w:r>
          </w:p>
        </w:tc>
        <w:tc>
          <w:tcPr>
            <w:tcW w:w="597"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392" w:type="dxa"/>
            <w:gridSpan w:val="3"/>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全压力式储存</w:t>
            </w:r>
          </w:p>
        </w:tc>
        <w:tc>
          <w:tcPr>
            <w:tcW w:w="898" w:type="dxa"/>
            <w:gridSpan w:val="2"/>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全冷冻式储存</w:t>
            </w:r>
          </w:p>
        </w:tc>
        <w:tc>
          <w:tcPr>
            <w:tcW w:w="518"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464" w:type="dxa"/>
            <w:gridSpan w:val="3"/>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155" w:type="dxa"/>
            <w:gridSpan w:val="2"/>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630"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260"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840"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r>
      <w:tr w:rsidR="00481EDB" w:rsidRPr="00687B52" w:rsidTr="00B527D4">
        <w:trPr>
          <w:cantSplit/>
          <w:trHeight w:val="207"/>
        </w:trPr>
        <w:tc>
          <w:tcPr>
            <w:tcW w:w="4719" w:type="dxa"/>
            <w:gridSpan w:val="3"/>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767" w:type="dxa"/>
            <w:gridSpan w:val="3"/>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923" w:type="dxa"/>
            <w:gridSpan w:val="2"/>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513"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450" w:type="dxa"/>
            <w:vMerge w:val="restart"/>
            <w:textDirection w:val="tbRlV"/>
            <w:vAlign w:val="center"/>
          </w:tcPr>
          <w:p w:rsidR="00481EDB" w:rsidRPr="00687B52" w:rsidRDefault="00481EDB" w:rsidP="00B527D4">
            <w:pPr>
              <w:pStyle w:val="Default"/>
              <w:snapToGrid w:val="0"/>
              <w:ind w:left="113" w:right="113"/>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&gt;5000m</w:t>
            </w:r>
            <w:r w:rsidRPr="00687B52">
              <w:rPr>
                <w:rFonts w:ascii="Arial" w:eastAsia="宋体" w:hAnsi="Arial" w:cs="Arial"/>
                <w:color w:val="000000" w:themeColor="text1"/>
                <w:sz w:val="18"/>
                <w:szCs w:val="18"/>
                <w:vertAlign w:val="superscript"/>
              </w:rPr>
              <w:t>3</w:t>
            </w:r>
          </w:p>
        </w:tc>
        <w:tc>
          <w:tcPr>
            <w:tcW w:w="495" w:type="dxa"/>
            <w:vMerge w:val="restart"/>
            <w:textDirection w:val="tbRlV"/>
            <w:vAlign w:val="center"/>
          </w:tcPr>
          <w:p w:rsidR="00481EDB" w:rsidRPr="00687B52" w:rsidRDefault="00481EDB" w:rsidP="00B527D4">
            <w:pPr>
              <w:pStyle w:val="Default"/>
              <w:snapToGrid w:val="0"/>
              <w:ind w:left="113" w:right="113"/>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&gt;1000m</w:t>
            </w:r>
            <w:r w:rsidRPr="00687B52">
              <w:rPr>
                <w:rFonts w:ascii="Arial" w:eastAsia="宋体" w:hAnsi="Arial" w:cs="Arial"/>
                <w:color w:val="000000" w:themeColor="text1"/>
                <w:sz w:val="18"/>
                <w:szCs w:val="18"/>
                <w:vertAlign w:val="superscript"/>
              </w:rPr>
              <w:t>3</w:t>
            </w:r>
            <w:r w:rsidRPr="00687B52">
              <w:rPr>
                <w:rFonts w:ascii="Arial" w:eastAsia="宋体" w:hAnsi="Arial" w:cs="Arial"/>
                <w:color w:val="000000" w:themeColor="text1"/>
                <w:sz w:val="18"/>
                <w:szCs w:val="18"/>
              </w:rPr>
              <w:t>~5000m</w:t>
            </w:r>
            <w:r w:rsidRPr="00687B52">
              <w:rPr>
                <w:rFonts w:ascii="Arial" w:eastAsia="宋体" w:hAnsi="Arial" w:cs="Arial"/>
                <w:color w:val="000000" w:themeColor="text1"/>
                <w:sz w:val="18"/>
                <w:szCs w:val="18"/>
                <w:vertAlign w:val="superscript"/>
              </w:rPr>
              <w:t>3</w:t>
            </w:r>
          </w:p>
        </w:tc>
        <w:tc>
          <w:tcPr>
            <w:tcW w:w="450" w:type="dxa"/>
            <w:vMerge w:val="restart"/>
            <w:textDirection w:val="tbRlV"/>
            <w:vAlign w:val="center"/>
          </w:tcPr>
          <w:p w:rsidR="00481EDB" w:rsidRPr="00687B52" w:rsidRDefault="00481EDB" w:rsidP="00B527D4">
            <w:pPr>
              <w:pStyle w:val="Default"/>
              <w:snapToGrid w:val="0"/>
              <w:ind w:left="113" w:right="113"/>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&gt;500m</w:t>
            </w:r>
            <w:r w:rsidRPr="00687B52">
              <w:rPr>
                <w:rFonts w:ascii="Arial" w:eastAsia="宋体" w:hAnsi="Arial" w:cs="Arial"/>
                <w:color w:val="000000" w:themeColor="text1"/>
                <w:sz w:val="18"/>
                <w:szCs w:val="18"/>
                <w:vertAlign w:val="superscript"/>
              </w:rPr>
              <w:t>3</w:t>
            </w:r>
            <w:r w:rsidRPr="00687B52">
              <w:rPr>
                <w:rFonts w:ascii="Arial" w:eastAsia="宋体" w:hAnsi="Arial" w:cs="Arial"/>
                <w:color w:val="000000" w:themeColor="text1"/>
                <w:sz w:val="18"/>
                <w:szCs w:val="18"/>
              </w:rPr>
              <w:t>~1000m</w:t>
            </w:r>
            <w:r w:rsidRPr="00687B52">
              <w:rPr>
                <w:rFonts w:ascii="Arial" w:eastAsia="宋体" w:hAnsi="Arial" w:cs="Arial"/>
                <w:color w:val="000000" w:themeColor="text1"/>
                <w:sz w:val="18"/>
                <w:szCs w:val="18"/>
                <w:vertAlign w:val="superscript"/>
              </w:rPr>
              <w:t>3</w:t>
            </w:r>
          </w:p>
        </w:tc>
        <w:tc>
          <w:tcPr>
            <w:tcW w:w="480" w:type="dxa"/>
            <w:vMerge w:val="restart"/>
            <w:textDirection w:val="tbRlV"/>
            <w:vAlign w:val="center"/>
          </w:tcPr>
          <w:p w:rsidR="00481EDB" w:rsidRPr="00687B52" w:rsidRDefault="00481EDB" w:rsidP="00B527D4">
            <w:pPr>
              <w:pStyle w:val="Default"/>
              <w:snapToGrid w:val="0"/>
              <w:ind w:left="113" w:right="113"/>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≤500m</w:t>
            </w:r>
            <w:r w:rsidRPr="00687B52">
              <w:rPr>
                <w:rFonts w:ascii="Arial" w:eastAsia="宋体" w:hAnsi="Arial" w:cs="Arial"/>
                <w:color w:val="000000" w:themeColor="text1"/>
                <w:sz w:val="18"/>
                <w:szCs w:val="18"/>
                <w:vertAlign w:val="superscript"/>
              </w:rPr>
              <w:t>3</w:t>
            </w:r>
            <w:r w:rsidRPr="00687B52">
              <w:rPr>
                <w:rFonts w:ascii="Arial" w:eastAsia="宋体" w:cs="Arial"/>
                <w:color w:val="000000" w:themeColor="text1"/>
                <w:sz w:val="18"/>
                <w:szCs w:val="18"/>
              </w:rPr>
              <w:t>或卧式</w:t>
            </w:r>
          </w:p>
        </w:tc>
        <w:tc>
          <w:tcPr>
            <w:tcW w:w="450" w:type="dxa"/>
            <w:vMerge w:val="restart"/>
            <w:textDirection w:val="tbRlV"/>
            <w:vAlign w:val="center"/>
          </w:tcPr>
          <w:p w:rsidR="00481EDB" w:rsidRPr="00687B52" w:rsidRDefault="00481EDB" w:rsidP="00B527D4">
            <w:pPr>
              <w:pStyle w:val="Default"/>
              <w:snapToGrid w:val="0"/>
              <w:ind w:left="113" w:right="113"/>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&gt;20000m</w:t>
            </w:r>
            <w:r w:rsidRPr="00687B52">
              <w:rPr>
                <w:rFonts w:ascii="Arial" w:eastAsia="宋体" w:hAnsi="Arial" w:cs="Arial"/>
                <w:color w:val="000000" w:themeColor="text1"/>
                <w:sz w:val="18"/>
                <w:szCs w:val="18"/>
                <w:vertAlign w:val="superscript"/>
              </w:rPr>
              <w:t>3</w:t>
            </w:r>
          </w:p>
        </w:tc>
        <w:tc>
          <w:tcPr>
            <w:tcW w:w="483" w:type="dxa"/>
            <w:vMerge w:val="restart"/>
            <w:textDirection w:val="tbRlV"/>
            <w:vAlign w:val="center"/>
          </w:tcPr>
          <w:p w:rsidR="00481EDB" w:rsidRPr="00687B52" w:rsidRDefault="00481EDB" w:rsidP="00B527D4">
            <w:pPr>
              <w:pStyle w:val="Default"/>
              <w:snapToGrid w:val="0"/>
              <w:ind w:left="113" w:right="113"/>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&gt;5000m</w:t>
            </w:r>
            <w:r w:rsidRPr="00687B52">
              <w:rPr>
                <w:rFonts w:ascii="Arial" w:eastAsia="宋体" w:hAnsi="Arial" w:cs="Arial"/>
                <w:color w:val="000000" w:themeColor="text1"/>
                <w:sz w:val="18"/>
                <w:szCs w:val="18"/>
                <w:vertAlign w:val="superscript"/>
              </w:rPr>
              <w:t>3</w:t>
            </w:r>
            <w:r w:rsidRPr="00687B52">
              <w:rPr>
                <w:rFonts w:ascii="Arial" w:eastAsia="宋体" w:hAnsi="Arial" w:cs="Arial"/>
                <w:color w:val="000000" w:themeColor="text1"/>
                <w:sz w:val="18"/>
                <w:szCs w:val="18"/>
              </w:rPr>
              <w:t>~20000m</w:t>
            </w:r>
            <w:r w:rsidRPr="00687B52">
              <w:rPr>
                <w:rFonts w:ascii="Arial" w:eastAsia="宋体" w:hAnsi="Arial" w:cs="Arial"/>
                <w:color w:val="000000" w:themeColor="text1"/>
                <w:sz w:val="18"/>
                <w:szCs w:val="18"/>
                <w:vertAlign w:val="superscript"/>
              </w:rPr>
              <w:t>3</w:t>
            </w:r>
          </w:p>
        </w:tc>
        <w:tc>
          <w:tcPr>
            <w:tcW w:w="450" w:type="dxa"/>
            <w:vMerge w:val="restart"/>
            <w:textDirection w:val="tbRlV"/>
            <w:vAlign w:val="center"/>
          </w:tcPr>
          <w:p w:rsidR="00481EDB" w:rsidRPr="00687B52" w:rsidRDefault="00481EDB" w:rsidP="00B527D4">
            <w:pPr>
              <w:pStyle w:val="Default"/>
              <w:snapToGrid w:val="0"/>
              <w:ind w:left="113" w:right="113"/>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&gt;1000m</w:t>
            </w:r>
            <w:r w:rsidRPr="00687B52">
              <w:rPr>
                <w:rFonts w:ascii="Arial" w:eastAsia="宋体" w:hAnsi="Arial" w:cs="Arial"/>
                <w:color w:val="000000" w:themeColor="text1"/>
                <w:sz w:val="18"/>
                <w:szCs w:val="18"/>
                <w:vertAlign w:val="superscript"/>
              </w:rPr>
              <w:t>3</w:t>
            </w:r>
            <w:r w:rsidRPr="00687B52">
              <w:rPr>
                <w:rFonts w:ascii="Arial" w:eastAsia="宋体" w:hAnsi="Arial" w:cs="Arial"/>
                <w:color w:val="000000" w:themeColor="text1"/>
                <w:sz w:val="18"/>
                <w:szCs w:val="18"/>
              </w:rPr>
              <w:t>~5000m</w:t>
            </w:r>
            <w:r w:rsidRPr="00687B52">
              <w:rPr>
                <w:rFonts w:ascii="Arial" w:eastAsia="宋体" w:hAnsi="Arial" w:cs="Arial"/>
                <w:color w:val="000000" w:themeColor="text1"/>
                <w:sz w:val="18"/>
                <w:szCs w:val="18"/>
                <w:vertAlign w:val="superscript"/>
              </w:rPr>
              <w:t>3</w:t>
            </w:r>
          </w:p>
        </w:tc>
        <w:tc>
          <w:tcPr>
            <w:tcW w:w="495" w:type="dxa"/>
            <w:vMerge w:val="restart"/>
            <w:textDirection w:val="tbRlV"/>
            <w:vAlign w:val="center"/>
          </w:tcPr>
          <w:p w:rsidR="00481EDB" w:rsidRPr="00687B52" w:rsidRDefault="00481EDB" w:rsidP="00B527D4">
            <w:pPr>
              <w:pStyle w:val="Default"/>
              <w:snapToGrid w:val="0"/>
              <w:ind w:left="113" w:right="113"/>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&gt;500m</w:t>
            </w:r>
            <w:r w:rsidRPr="00687B52">
              <w:rPr>
                <w:rFonts w:ascii="Arial" w:eastAsia="宋体" w:hAnsi="Arial" w:cs="Arial"/>
                <w:color w:val="000000" w:themeColor="text1"/>
                <w:sz w:val="18"/>
                <w:szCs w:val="18"/>
                <w:vertAlign w:val="superscript"/>
              </w:rPr>
              <w:t>3</w:t>
            </w:r>
            <w:r w:rsidRPr="00687B52">
              <w:rPr>
                <w:rFonts w:ascii="Arial" w:eastAsia="宋体" w:hAnsi="Arial" w:cs="Arial"/>
                <w:color w:val="000000" w:themeColor="text1"/>
                <w:sz w:val="18"/>
                <w:szCs w:val="18"/>
              </w:rPr>
              <w:t>~1000m</w:t>
            </w:r>
            <w:r w:rsidRPr="00687B52">
              <w:rPr>
                <w:rFonts w:ascii="Arial" w:eastAsia="宋体" w:hAnsi="Arial" w:cs="Arial"/>
                <w:color w:val="000000" w:themeColor="text1"/>
                <w:sz w:val="18"/>
                <w:szCs w:val="18"/>
                <w:vertAlign w:val="superscript"/>
              </w:rPr>
              <w:t>3</w:t>
            </w:r>
          </w:p>
        </w:tc>
        <w:tc>
          <w:tcPr>
            <w:tcW w:w="574" w:type="dxa"/>
            <w:vMerge w:val="restart"/>
            <w:textDirection w:val="tbRlV"/>
            <w:vAlign w:val="center"/>
          </w:tcPr>
          <w:p w:rsidR="00481EDB" w:rsidRPr="00687B52" w:rsidRDefault="00481EDB" w:rsidP="00B527D4">
            <w:pPr>
              <w:pStyle w:val="Default"/>
              <w:snapToGrid w:val="0"/>
              <w:ind w:left="113" w:right="113"/>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≤500m</w:t>
            </w:r>
            <w:r w:rsidRPr="00687B52">
              <w:rPr>
                <w:rFonts w:ascii="Arial" w:eastAsia="宋体" w:hAnsi="Arial" w:cs="Arial"/>
                <w:color w:val="000000" w:themeColor="text1"/>
                <w:sz w:val="18"/>
                <w:szCs w:val="18"/>
                <w:vertAlign w:val="superscript"/>
              </w:rPr>
              <w:t>3</w:t>
            </w:r>
            <w:r w:rsidRPr="00687B52">
              <w:rPr>
                <w:rFonts w:ascii="Arial" w:eastAsia="宋体" w:cs="Arial"/>
                <w:color w:val="000000" w:themeColor="text1"/>
                <w:sz w:val="18"/>
                <w:szCs w:val="18"/>
              </w:rPr>
              <w:t>或卧式</w:t>
            </w:r>
          </w:p>
        </w:tc>
        <w:tc>
          <w:tcPr>
            <w:tcW w:w="597"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449" w:type="dxa"/>
            <w:vMerge w:val="restart"/>
            <w:textDirection w:val="tbRlV"/>
            <w:vAlign w:val="center"/>
          </w:tcPr>
          <w:p w:rsidR="00481EDB" w:rsidRPr="00687B52" w:rsidRDefault="00481EDB" w:rsidP="00B527D4">
            <w:pPr>
              <w:pStyle w:val="Default"/>
              <w:snapToGrid w:val="0"/>
              <w:ind w:left="113" w:right="113"/>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&gt;1000m</w:t>
            </w:r>
            <w:r w:rsidRPr="00687B52">
              <w:rPr>
                <w:rFonts w:ascii="Arial" w:eastAsia="宋体" w:hAnsi="Arial" w:cs="Arial"/>
                <w:color w:val="000000" w:themeColor="text1"/>
                <w:sz w:val="18"/>
                <w:szCs w:val="18"/>
                <w:vertAlign w:val="superscript"/>
              </w:rPr>
              <w:t>3</w:t>
            </w:r>
          </w:p>
        </w:tc>
        <w:tc>
          <w:tcPr>
            <w:tcW w:w="494" w:type="dxa"/>
            <w:vMerge w:val="restart"/>
            <w:textDirection w:val="tbRlV"/>
            <w:vAlign w:val="center"/>
          </w:tcPr>
          <w:p w:rsidR="00481EDB" w:rsidRPr="00687B52" w:rsidRDefault="00481EDB" w:rsidP="00B527D4">
            <w:pPr>
              <w:pStyle w:val="Default"/>
              <w:snapToGrid w:val="0"/>
              <w:ind w:left="113" w:right="113"/>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&gt;100m</w:t>
            </w:r>
            <w:r w:rsidRPr="00687B52">
              <w:rPr>
                <w:rFonts w:ascii="Arial" w:eastAsia="宋体" w:hAnsi="Arial" w:cs="Arial"/>
                <w:color w:val="000000" w:themeColor="text1"/>
                <w:sz w:val="18"/>
                <w:szCs w:val="18"/>
                <w:vertAlign w:val="superscript"/>
              </w:rPr>
              <w:t>3</w:t>
            </w:r>
            <w:r w:rsidRPr="00687B52">
              <w:rPr>
                <w:rFonts w:ascii="Arial" w:eastAsia="宋体" w:hAnsi="Arial" w:cs="Arial"/>
                <w:color w:val="000000" w:themeColor="text1"/>
                <w:sz w:val="18"/>
                <w:szCs w:val="18"/>
              </w:rPr>
              <w:t>~1000m</w:t>
            </w:r>
            <w:r w:rsidRPr="00687B52">
              <w:rPr>
                <w:rFonts w:ascii="Arial" w:eastAsia="宋体" w:hAnsi="Arial" w:cs="Arial"/>
                <w:color w:val="000000" w:themeColor="text1"/>
                <w:sz w:val="18"/>
                <w:szCs w:val="18"/>
                <w:vertAlign w:val="superscript"/>
              </w:rPr>
              <w:t>3</w:t>
            </w:r>
          </w:p>
        </w:tc>
        <w:tc>
          <w:tcPr>
            <w:tcW w:w="449" w:type="dxa"/>
            <w:vMerge w:val="restart"/>
            <w:textDirection w:val="tbRlV"/>
            <w:vAlign w:val="center"/>
          </w:tcPr>
          <w:p w:rsidR="00481EDB" w:rsidRPr="00687B52" w:rsidRDefault="00481EDB" w:rsidP="00B527D4">
            <w:pPr>
              <w:pStyle w:val="Default"/>
              <w:snapToGrid w:val="0"/>
              <w:ind w:left="113" w:right="113"/>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≤100m</w:t>
            </w:r>
            <w:r w:rsidRPr="00687B52">
              <w:rPr>
                <w:rFonts w:ascii="Arial" w:eastAsia="宋体" w:hAnsi="Arial" w:cs="Arial"/>
                <w:color w:val="000000" w:themeColor="text1"/>
                <w:sz w:val="18"/>
                <w:szCs w:val="18"/>
                <w:vertAlign w:val="superscript"/>
              </w:rPr>
              <w:t>3</w:t>
            </w:r>
          </w:p>
        </w:tc>
        <w:tc>
          <w:tcPr>
            <w:tcW w:w="449" w:type="dxa"/>
            <w:vMerge w:val="restart"/>
            <w:textDirection w:val="tbRlV"/>
            <w:vAlign w:val="center"/>
          </w:tcPr>
          <w:p w:rsidR="00481EDB" w:rsidRPr="00687B52" w:rsidRDefault="00481EDB" w:rsidP="00B527D4">
            <w:pPr>
              <w:pStyle w:val="Default"/>
              <w:snapToGrid w:val="0"/>
              <w:ind w:left="113" w:right="113"/>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&gt;10000m</w:t>
            </w:r>
            <w:r w:rsidRPr="00687B52">
              <w:rPr>
                <w:rFonts w:ascii="Arial" w:eastAsia="宋体" w:hAnsi="Arial" w:cs="Arial"/>
                <w:color w:val="000000" w:themeColor="text1"/>
                <w:sz w:val="18"/>
                <w:szCs w:val="18"/>
                <w:vertAlign w:val="superscript"/>
              </w:rPr>
              <w:t>3</w:t>
            </w:r>
          </w:p>
        </w:tc>
        <w:tc>
          <w:tcPr>
            <w:tcW w:w="449" w:type="dxa"/>
            <w:vMerge w:val="restart"/>
            <w:textDirection w:val="tbRlV"/>
            <w:vAlign w:val="center"/>
          </w:tcPr>
          <w:p w:rsidR="00481EDB" w:rsidRPr="00687B52" w:rsidRDefault="00481EDB" w:rsidP="00B527D4">
            <w:pPr>
              <w:pStyle w:val="Default"/>
              <w:snapToGrid w:val="0"/>
              <w:ind w:left="113" w:right="113"/>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≤10000m</w:t>
            </w:r>
            <w:r w:rsidRPr="00687B52">
              <w:rPr>
                <w:rFonts w:ascii="Arial" w:eastAsia="宋体" w:hAnsi="Arial" w:cs="Arial"/>
                <w:color w:val="000000" w:themeColor="text1"/>
                <w:sz w:val="18"/>
                <w:szCs w:val="18"/>
                <w:vertAlign w:val="superscript"/>
              </w:rPr>
              <w:t>3</w:t>
            </w:r>
          </w:p>
        </w:tc>
        <w:tc>
          <w:tcPr>
            <w:tcW w:w="518" w:type="dxa"/>
            <w:vMerge w:val="restart"/>
            <w:textDirection w:val="tbRlV"/>
            <w:vAlign w:val="center"/>
          </w:tcPr>
          <w:p w:rsidR="00481EDB" w:rsidRPr="00687B52" w:rsidRDefault="00481EDB" w:rsidP="00B527D4">
            <w:pPr>
              <w:pStyle w:val="Default"/>
              <w:snapToGrid w:val="0"/>
              <w:ind w:left="113" w:right="113"/>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&gt;1000m</w:t>
            </w:r>
            <w:r w:rsidRPr="00687B52">
              <w:rPr>
                <w:rFonts w:ascii="Arial" w:eastAsia="宋体" w:hAnsi="Arial" w:cs="Arial"/>
                <w:color w:val="000000" w:themeColor="text1"/>
                <w:sz w:val="18"/>
                <w:szCs w:val="18"/>
                <w:vertAlign w:val="superscript"/>
              </w:rPr>
              <w:t>3</w:t>
            </w:r>
            <w:r w:rsidRPr="00687B52">
              <w:rPr>
                <w:rFonts w:ascii="Arial" w:eastAsia="宋体" w:hAnsi="Arial" w:cs="Arial"/>
                <w:color w:val="000000" w:themeColor="text1"/>
                <w:sz w:val="18"/>
                <w:szCs w:val="18"/>
              </w:rPr>
              <w:t>~50000m</w:t>
            </w:r>
            <w:r w:rsidRPr="00687B52">
              <w:rPr>
                <w:rFonts w:ascii="Arial" w:eastAsia="宋体" w:hAnsi="Arial" w:cs="Arial"/>
                <w:color w:val="000000" w:themeColor="text1"/>
                <w:sz w:val="18"/>
                <w:szCs w:val="18"/>
                <w:vertAlign w:val="superscript"/>
              </w:rPr>
              <w:t>3</w:t>
            </w:r>
          </w:p>
        </w:tc>
        <w:tc>
          <w:tcPr>
            <w:tcW w:w="419" w:type="dxa"/>
            <w:vMerge w:val="restart"/>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码头装卸区</w:t>
            </w:r>
          </w:p>
        </w:tc>
        <w:tc>
          <w:tcPr>
            <w:tcW w:w="419" w:type="dxa"/>
            <w:vMerge w:val="restart"/>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汽车装卸站</w:t>
            </w:r>
          </w:p>
        </w:tc>
        <w:tc>
          <w:tcPr>
            <w:tcW w:w="626" w:type="dxa"/>
            <w:vMerge w:val="restart"/>
            <w:vAlign w:val="center"/>
          </w:tcPr>
          <w:p w:rsidR="00481EDB" w:rsidRPr="00687B52" w:rsidRDefault="00481EDB" w:rsidP="00B527D4">
            <w:pPr>
              <w:pStyle w:val="Default"/>
              <w:snapToGrid w:val="0"/>
              <w:ind w:leftChars="-51" w:left="-107" w:firstLine="1"/>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铁路装卸设施、</w:t>
            </w:r>
          </w:p>
          <w:p w:rsidR="00481EDB" w:rsidRPr="00687B52" w:rsidRDefault="00481EDB" w:rsidP="00B527D4">
            <w:pPr>
              <w:pStyle w:val="Default"/>
              <w:snapToGrid w:val="0"/>
              <w:ind w:leftChars="-51" w:left="-107" w:firstLine="1"/>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槽车洗罐站</w:t>
            </w:r>
          </w:p>
        </w:tc>
        <w:tc>
          <w:tcPr>
            <w:tcW w:w="525" w:type="dxa"/>
            <w:vMerge w:val="restart"/>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液化烃</w:t>
            </w:r>
          </w:p>
        </w:tc>
        <w:tc>
          <w:tcPr>
            <w:tcW w:w="630" w:type="dxa"/>
            <w:vMerge w:val="restart"/>
            <w:vAlign w:val="center"/>
          </w:tcPr>
          <w:p w:rsidR="00481EDB" w:rsidRPr="00687B52" w:rsidRDefault="00481EDB" w:rsidP="00B527D4">
            <w:pPr>
              <w:pStyle w:val="Default"/>
              <w:snapToGrid w:val="0"/>
              <w:ind w:leftChars="-50" w:left="-105"/>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甲</w:t>
            </w:r>
            <w:r w:rsidRPr="00687B52">
              <w:rPr>
                <w:rFonts w:ascii="Arial" w:eastAsia="宋体" w:hAnsi="Arial" w:cs="Arial"/>
                <w:color w:val="000000" w:themeColor="text1"/>
                <w:sz w:val="18"/>
                <w:szCs w:val="18"/>
              </w:rPr>
              <w:t>B</w:t>
            </w:r>
            <w:r w:rsidRPr="00687B52">
              <w:rPr>
                <w:rFonts w:ascii="Arial" w:eastAsia="宋体" w:cs="Arial"/>
                <w:color w:val="000000" w:themeColor="text1"/>
                <w:sz w:val="18"/>
                <w:szCs w:val="18"/>
              </w:rPr>
              <w:t>、乙类液体及可燃与助燃气体</w:t>
            </w:r>
          </w:p>
        </w:tc>
        <w:tc>
          <w:tcPr>
            <w:tcW w:w="630"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260"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840"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r>
      <w:tr w:rsidR="00481EDB" w:rsidRPr="00687B52" w:rsidTr="00B527D4">
        <w:trPr>
          <w:cantSplit/>
          <w:trHeight w:val="1573"/>
        </w:trPr>
        <w:tc>
          <w:tcPr>
            <w:tcW w:w="4719" w:type="dxa"/>
            <w:gridSpan w:val="3"/>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甲</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乙</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丙</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一类</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二类</w:t>
            </w:r>
          </w:p>
        </w:tc>
        <w:tc>
          <w:tcPr>
            <w:tcW w:w="513"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450"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495"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450"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480"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450"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483"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450"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495"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574"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597"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449"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494"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449"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449"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449"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518"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419"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419"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626"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525"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630"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630"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260"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840"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r>
      <w:tr w:rsidR="00481EDB" w:rsidRPr="00687B52" w:rsidTr="00B527D4">
        <w:trPr>
          <w:cantSplit/>
          <w:trHeight w:val="284"/>
        </w:trPr>
        <w:tc>
          <w:tcPr>
            <w:tcW w:w="2934" w:type="dxa"/>
            <w:gridSpan w:val="2"/>
            <w:vMerge w:val="restart"/>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工艺装置（单元）</w:t>
            </w:r>
          </w:p>
        </w:tc>
        <w:tc>
          <w:tcPr>
            <w:tcW w:w="1785" w:type="dxa"/>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甲</w:t>
            </w:r>
          </w:p>
        </w:tc>
        <w:tc>
          <w:tcPr>
            <w:tcW w:w="630" w:type="dxa"/>
            <w:vAlign w:val="center"/>
          </w:tcPr>
          <w:p w:rsidR="00481EDB" w:rsidRPr="00687B52" w:rsidRDefault="00481EDB" w:rsidP="00B527D4">
            <w:pPr>
              <w:pStyle w:val="Default"/>
              <w:snapToGrid w:val="0"/>
              <w:ind w:leftChars="-19" w:hangingChars="22" w:hanging="40"/>
              <w:jc w:val="center"/>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30/25</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8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8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7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restart"/>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注</w:t>
            </w:r>
            <w:r w:rsidRPr="00687B52">
              <w:rPr>
                <w:rFonts w:ascii="Arial" w:eastAsia="宋体" w:hAnsi="Arial" w:cs="Arial" w:hint="eastAsia"/>
                <w:color w:val="000000" w:themeColor="text1"/>
                <w:sz w:val="18"/>
                <w:szCs w:val="18"/>
              </w:rPr>
              <w:t>1</w:t>
            </w:r>
            <w:r w:rsidRPr="00687B52">
              <w:rPr>
                <w:rFonts w:ascii="Arial" w:eastAsia="宋体" w:hAnsi="Arial" w:cs="Arial" w:hint="eastAsia"/>
                <w:color w:val="000000" w:themeColor="text1"/>
                <w:sz w:val="18"/>
                <w:szCs w:val="18"/>
              </w:rPr>
              <w:t>、</w:t>
            </w:r>
            <w:r w:rsidRPr="00687B52">
              <w:rPr>
                <w:rFonts w:ascii="Arial" w:eastAsia="宋体" w:hAnsi="Arial" w:cs="Arial" w:hint="eastAsia"/>
                <w:color w:val="000000" w:themeColor="text1"/>
                <w:sz w:val="18"/>
                <w:szCs w:val="18"/>
              </w:rPr>
              <w:t>2</w:t>
            </w:r>
          </w:p>
        </w:tc>
      </w:tr>
      <w:tr w:rsidR="00481EDB" w:rsidRPr="00687B52" w:rsidTr="00B527D4">
        <w:trPr>
          <w:cantSplit/>
          <w:trHeight w:val="284"/>
        </w:trPr>
        <w:tc>
          <w:tcPr>
            <w:tcW w:w="2934" w:type="dxa"/>
            <w:gridSpan w:val="2"/>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785" w:type="dxa"/>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乙</w:t>
            </w:r>
          </w:p>
        </w:tc>
        <w:tc>
          <w:tcPr>
            <w:tcW w:w="630" w:type="dxa"/>
            <w:vAlign w:val="center"/>
          </w:tcPr>
          <w:p w:rsidR="00481EDB" w:rsidRPr="00687B52" w:rsidRDefault="00481EDB" w:rsidP="00B527D4">
            <w:pPr>
              <w:pStyle w:val="Default"/>
              <w:snapToGrid w:val="0"/>
              <w:ind w:leftChars="-19" w:hangingChars="22" w:hanging="4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25/20</w:t>
            </w:r>
          </w:p>
        </w:tc>
        <w:tc>
          <w:tcPr>
            <w:tcW w:w="630" w:type="dxa"/>
            <w:vAlign w:val="center"/>
          </w:tcPr>
          <w:p w:rsidR="00481EDB" w:rsidRPr="00687B52" w:rsidRDefault="00481EDB" w:rsidP="00B527D4">
            <w:pPr>
              <w:pStyle w:val="Default"/>
              <w:snapToGrid w:val="0"/>
              <w:ind w:leftChars="-37" w:left="-1" w:hangingChars="43" w:hanging="77"/>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20/15</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8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8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7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r>
      <w:tr w:rsidR="00481EDB" w:rsidRPr="00687B52" w:rsidTr="00B527D4">
        <w:trPr>
          <w:cantSplit/>
          <w:trHeight w:val="284"/>
        </w:trPr>
        <w:tc>
          <w:tcPr>
            <w:tcW w:w="2934" w:type="dxa"/>
            <w:gridSpan w:val="2"/>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785" w:type="dxa"/>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丙</w:t>
            </w:r>
          </w:p>
        </w:tc>
        <w:tc>
          <w:tcPr>
            <w:tcW w:w="630" w:type="dxa"/>
            <w:vAlign w:val="center"/>
          </w:tcPr>
          <w:p w:rsidR="00481EDB" w:rsidRPr="00687B52" w:rsidRDefault="00481EDB" w:rsidP="00B527D4">
            <w:pPr>
              <w:pStyle w:val="Default"/>
              <w:snapToGrid w:val="0"/>
              <w:ind w:leftChars="-19" w:hangingChars="22" w:hanging="4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20/15</w:t>
            </w:r>
          </w:p>
        </w:tc>
        <w:tc>
          <w:tcPr>
            <w:tcW w:w="630" w:type="dxa"/>
            <w:vAlign w:val="center"/>
          </w:tcPr>
          <w:p w:rsidR="00481EDB" w:rsidRPr="00687B52" w:rsidRDefault="00481EDB" w:rsidP="00B527D4">
            <w:pPr>
              <w:pStyle w:val="Default"/>
              <w:snapToGrid w:val="0"/>
              <w:ind w:leftChars="-37" w:left="-1" w:hangingChars="43" w:hanging="77"/>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15/10</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8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8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7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r>
      <w:tr w:rsidR="00481EDB" w:rsidRPr="00687B52" w:rsidTr="00B527D4">
        <w:trPr>
          <w:cantSplit/>
          <w:trHeight w:val="284"/>
        </w:trPr>
        <w:tc>
          <w:tcPr>
            <w:tcW w:w="2934" w:type="dxa"/>
            <w:gridSpan w:val="2"/>
            <w:vMerge w:val="restart"/>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全厂重要设施</w:t>
            </w:r>
          </w:p>
        </w:tc>
        <w:tc>
          <w:tcPr>
            <w:tcW w:w="1785" w:type="dxa"/>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一类</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8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8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7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restart"/>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注</w:t>
            </w:r>
            <w:r w:rsidRPr="00687B52">
              <w:rPr>
                <w:rFonts w:ascii="Arial" w:eastAsia="宋体" w:hAnsi="Arial" w:cs="Arial" w:hint="eastAsia"/>
                <w:color w:val="000000" w:themeColor="text1"/>
                <w:sz w:val="18"/>
                <w:szCs w:val="18"/>
              </w:rPr>
              <w:t>3</w:t>
            </w:r>
          </w:p>
        </w:tc>
      </w:tr>
      <w:tr w:rsidR="00481EDB" w:rsidRPr="00687B52" w:rsidTr="00B527D4">
        <w:trPr>
          <w:cantSplit/>
          <w:trHeight w:val="284"/>
        </w:trPr>
        <w:tc>
          <w:tcPr>
            <w:tcW w:w="2934" w:type="dxa"/>
            <w:gridSpan w:val="2"/>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785" w:type="dxa"/>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二类</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8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8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7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r>
      <w:tr w:rsidR="00481EDB" w:rsidRPr="00687B52" w:rsidTr="00B527D4">
        <w:trPr>
          <w:cantSplit/>
          <w:trHeight w:val="284"/>
        </w:trPr>
        <w:tc>
          <w:tcPr>
            <w:tcW w:w="4719" w:type="dxa"/>
            <w:gridSpan w:val="3"/>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明火地点</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8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8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7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注</w:t>
            </w:r>
            <w:r w:rsidRPr="00687B52">
              <w:rPr>
                <w:rFonts w:ascii="Arial" w:eastAsia="宋体" w:hAnsi="Arial" w:cs="Arial" w:hint="eastAsia"/>
                <w:color w:val="000000" w:themeColor="text1"/>
                <w:sz w:val="18"/>
                <w:szCs w:val="18"/>
              </w:rPr>
              <w:t>11</w:t>
            </w:r>
          </w:p>
        </w:tc>
      </w:tr>
      <w:tr w:rsidR="00481EDB" w:rsidRPr="00687B52" w:rsidTr="00B527D4">
        <w:trPr>
          <w:cantSplit/>
          <w:trHeight w:val="284"/>
        </w:trPr>
        <w:tc>
          <w:tcPr>
            <w:tcW w:w="1359" w:type="dxa"/>
            <w:vMerge w:val="restart"/>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地上可燃液体储罐</w:t>
            </w:r>
          </w:p>
        </w:tc>
        <w:tc>
          <w:tcPr>
            <w:tcW w:w="1575" w:type="dxa"/>
            <w:vMerge w:val="restart"/>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甲</w:t>
            </w:r>
            <w:r w:rsidRPr="00687B52">
              <w:rPr>
                <w:rFonts w:ascii="Arial" w:eastAsia="宋体" w:hAnsi="Arial" w:cs="Arial"/>
                <w:color w:val="000000" w:themeColor="text1"/>
                <w:sz w:val="18"/>
                <w:szCs w:val="18"/>
              </w:rPr>
              <w:t>B</w:t>
            </w:r>
            <w:r w:rsidRPr="00687B52">
              <w:rPr>
                <w:rFonts w:ascii="Arial" w:eastAsia="宋体" w:hAnsi="Arial" w:cs="Arial"/>
                <w:color w:val="000000" w:themeColor="text1"/>
                <w:sz w:val="18"/>
                <w:szCs w:val="18"/>
              </w:rPr>
              <w:t>、乙类固定罐</w:t>
            </w:r>
          </w:p>
        </w:tc>
        <w:tc>
          <w:tcPr>
            <w:tcW w:w="1785" w:type="dxa"/>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&gt;5000m</w:t>
            </w:r>
            <w:r w:rsidRPr="00687B52">
              <w:rPr>
                <w:rFonts w:ascii="Arial" w:eastAsia="宋体" w:hAnsi="Arial" w:cs="Arial"/>
                <w:color w:val="000000" w:themeColor="text1"/>
                <w:sz w:val="18"/>
                <w:szCs w:val="18"/>
                <w:vertAlign w:val="superscript"/>
              </w:rPr>
              <w:t>3</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60</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50</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327" w:type="dxa"/>
            <w:gridSpan w:val="9"/>
            <w:vMerge w:val="restart"/>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见表</w:t>
            </w:r>
            <w:r w:rsidRPr="00687B52">
              <w:rPr>
                <w:rFonts w:ascii="Arial" w:eastAsia="宋体" w:hAnsi="Arial" w:cs="Arial" w:hint="eastAsia"/>
                <w:color w:val="000000" w:themeColor="text1"/>
              </w:rPr>
              <w:t>6.2.8</w:t>
            </w: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restart"/>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注</w:t>
            </w:r>
            <w:r w:rsidRPr="00687B52">
              <w:rPr>
                <w:rFonts w:ascii="Arial" w:eastAsia="宋体" w:hAnsi="Arial" w:cs="Arial" w:hint="eastAsia"/>
                <w:color w:val="000000" w:themeColor="text1"/>
                <w:sz w:val="18"/>
                <w:szCs w:val="18"/>
              </w:rPr>
              <w:t>4</w:t>
            </w:r>
            <w:r w:rsidRPr="00687B52">
              <w:rPr>
                <w:rFonts w:ascii="Arial" w:eastAsia="宋体" w:hAnsi="Arial" w:cs="Arial" w:hint="eastAsia"/>
                <w:color w:val="000000" w:themeColor="text1"/>
                <w:sz w:val="18"/>
                <w:szCs w:val="18"/>
              </w:rPr>
              <w:t>、</w:t>
            </w:r>
            <w:r w:rsidRPr="00687B52">
              <w:rPr>
                <w:rFonts w:ascii="Arial" w:eastAsia="宋体" w:hAnsi="Arial" w:cs="Arial" w:hint="eastAsia"/>
                <w:color w:val="000000" w:themeColor="text1"/>
                <w:sz w:val="18"/>
                <w:szCs w:val="18"/>
              </w:rPr>
              <w:t>2</w:t>
            </w:r>
          </w:p>
        </w:tc>
      </w:tr>
      <w:tr w:rsidR="00481EDB" w:rsidRPr="00687B52" w:rsidTr="00B527D4">
        <w:trPr>
          <w:cantSplit/>
          <w:trHeight w:val="284"/>
        </w:trPr>
        <w:tc>
          <w:tcPr>
            <w:tcW w:w="1359"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575"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785" w:type="dxa"/>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&gt;1000m</w:t>
            </w:r>
            <w:r w:rsidRPr="00687B52">
              <w:rPr>
                <w:rFonts w:ascii="Arial" w:eastAsia="宋体" w:hAnsi="Arial" w:cs="Arial"/>
                <w:color w:val="000000" w:themeColor="text1"/>
                <w:sz w:val="18"/>
                <w:szCs w:val="18"/>
                <w:vertAlign w:val="superscript"/>
              </w:rPr>
              <w:t>3</w:t>
            </w:r>
            <w:r w:rsidRPr="00687B52">
              <w:rPr>
                <w:rFonts w:ascii="Arial" w:eastAsia="宋体" w:hAnsi="Arial" w:cs="Arial"/>
                <w:color w:val="000000" w:themeColor="text1"/>
                <w:sz w:val="18"/>
                <w:szCs w:val="18"/>
              </w:rPr>
              <w:t>~5000m</w:t>
            </w:r>
            <w:r w:rsidRPr="00687B52">
              <w:rPr>
                <w:rFonts w:ascii="Arial" w:eastAsia="宋体" w:hAnsi="Arial" w:cs="Arial"/>
                <w:color w:val="000000" w:themeColor="text1"/>
                <w:sz w:val="18"/>
                <w:szCs w:val="18"/>
                <w:vertAlign w:val="superscript"/>
              </w:rPr>
              <w:t>3</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50</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327" w:type="dxa"/>
            <w:gridSpan w:val="9"/>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r>
      <w:tr w:rsidR="00481EDB" w:rsidRPr="00687B52" w:rsidTr="00B527D4">
        <w:trPr>
          <w:cantSplit/>
          <w:trHeight w:val="284"/>
        </w:trPr>
        <w:tc>
          <w:tcPr>
            <w:tcW w:w="1359"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575"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785" w:type="dxa"/>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&gt;500m</w:t>
            </w:r>
            <w:r w:rsidRPr="00687B52">
              <w:rPr>
                <w:rFonts w:ascii="Arial" w:eastAsia="宋体" w:hAnsi="Arial" w:cs="Arial"/>
                <w:color w:val="000000" w:themeColor="text1"/>
                <w:sz w:val="18"/>
                <w:szCs w:val="18"/>
                <w:vertAlign w:val="superscript"/>
              </w:rPr>
              <w:t>3</w:t>
            </w:r>
            <w:r w:rsidRPr="00687B52">
              <w:rPr>
                <w:rFonts w:ascii="Arial" w:eastAsia="宋体" w:hAnsi="Arial" w:cs="Arial"/>
                <w:color w:val="000000" w:themeColor="text1"/>
                <w:sz w:val="18"/>
                <w:szCs w:val="18"/>
              </w:rPr>
              <w:t>~1000m</w:t>
            </w:r>
            <w:r w:rsidRPr="00687B52">
              <w:rPr>
                <w:rFonts w:ascii="Arial" w:eastAsia="宋体" w:hAnsi="Arial" w:cs="Arial"/>
                <w:color w:val="000000" w:themeColor="text1"/>
                <w:sz w:val="18"/>
                <w:szCs w:val="18"/>
                <w:vertAlign w:val="superscript"/>
              </w:rPr>
              <w:t>3</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45</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327" w:type="dxa"/>
            <w:gridSpan w:val="9"/>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r>
      <w:tr w:rsidR="00481EDB" w:rsidRPr="00687B52" w:rsidTr="00B527D4">
        <w:trPr>
          <w:cantSplit/>
          <w:trHeight w:val="284"/>
        </w:trPr>
        <w:tc>
          <w:tcPr>
            <w:tcW w:w="1359"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575"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785" w:type="dxa"/>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≤500m</w:t>
            </w:r>
            <w:r w:rsidRPr="00687B52">
              <w:rPr>
                <w:rFonts w:ascii="Arial" w:eastAsia="宋体" w:hAnsi="Arial" w:cs="Arial"/>
                <w:color w:val="000000" w:themeColor="text1"/>
                <w:sz w:val="18"/>
                <w:szCs w:val="18"/>
                <w:vertAlign w:val="superscript"/>
              </w:rPr>
              <w:t>3</w:t>
            </w:r>
            <w:r w:rsidRPr="00687B52">
              <w:rPr>
                <w:rFonts w:ascii="Arial" w:eastAsia="宋体" w:cs="Arial"/>
                <w:color w:val="000000" w:themeColor="text1"/>
                <w:sz w:val="18"/>
                <w:szCs w:val="18"/>
              </w:rPr>
              <w:t>或卧式</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327" w:type="dxa"/>
            <w:gridSpan w:val="9"/>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r>
      <w:tr w:rsidR="00481EDB" w:rsidRPr="00687B52" w:rsidTr="00B527D4">
        <w:trPr>
          <w:cantSplit/>
          <w:trHeight w:val="284"/>
        </w:trPr>
        <w:tc>
          <w:tcPr>
            <w:tcW w:w="1359"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575" w:type="dxa"/>
            <w:vMerge w:val="restart"/>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浮顶、内浮顶或丙</w:t>
            </w:r>
            <w:r w:rsidRPr="00687B52">
              <w:rPr>
                <w:rFonts w:ascii="Arial" w:eastAsia="宋体" w:hAnsi="Arial" w:cs="Arial"/>
                <w:color w:val="000000" w:themeColor="text1"/>
                <w:sz w:val="18"/>
                <w:szCs w:val="18"/>
              </w:rPr>
              <w:t>A</w:t>
            </w:r>
            <w:r w:rsidRPr="00687B52">
              <w:rPr>
                <w:rFonts w:ascii="Arial" w:eastAsia="宋体" w:hAnsi="Arial" w:cs="Arial"/>
                <w:color w:val="000000" w:themeColor="text1"/>
                <w:sz w:val="18"/>
                <w:szCs w:val="18"/>
              </w:rPr>
              <w:t>类固定罐</w:t>
            </w:r>
          </w:p>
        </w:tc>
        <w:tc>
          <w:tcPr>
            <w:tcW w:w="1785" w:type="dxa"/>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&gt;20000m</w:t>
            </w:r>
            <w:r w:rsidRPr="00687B52">
              <w:rPr>
                <w:rFonts w:ascii="Arial" w:eastAsia="宋体" w:hAnsi="Arial" w:cs="Arial"/>
                <w:color w:val="000000" w:themeColor="text1"/>
                <w:sz w:val="18"/>
                <w:szCs w:val="18"/>
                <w:vertAlign w:val="superscript"/>
              </w:rPr>
              <w:t>3</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50</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327" w:type="dxa"/>
            <w:gridSpan w:val="9"/>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r>
      <w:tr w:rsidR="00481EDB" w:rsidRPr="00687B52" w:rsidTr="00B527D4">
        <w:trPr>
          <w:cantSplit/>
          <w:trHeight w:val="284"/>
        </w:trPr>
        <w:tc>
          <w:tcPr>
            <w:tcW w:w="1359"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575"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785" w:type="dxa"/>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&gt;5000m</w:t>
            </w:r>
            <w:r w:rsidRPr="00687B52">
              <w:rPr>
                <w:rFonts w:ascii="Arial" w:eastAsia="宋体" w:hAnsi="Arial" w:cs="Arial"/>
                <w:color w:val="000000" w:themeColor="text1"/>
                <w:sz w:val="18"/>
                <w:szCs w:val="18"/>
                <w:vertAlign w:val="superscript"/>
              </w:rPr>
              <w:t>3</w:t>
            </w:r>
            <w:r w:rsidRPr="00687B52">
              <w:rPr>
                <w:rFonts w:ascii="Arial" w:eastAsia="宋体" w:hAnsi="Arial" w:cs="Arial"/>
                <w:color w:val="000000" w:themeColor="text1"/>
                <w:sz w:val="18"/>
                <w:szCs w:val="18"/>
              </w:rPr>
              <w:t>~20000m</w:t>
            </w:r>
            <w:r w:rsidRPr="00687B52">
              <w:rPr>
                <w:rFonts w:ascii="Arial" w:eastAsia="宋体" w:hAnsi="Arial" w:cs="Arial"/>
                <w:color w:val="000000" w:themeColor="text1"/>
                <w:sz w:val="18"/>
                <w:szCs w:val="18"/>
                <w:vertAlign w:val="superscript"/>
              </w:rPr>
              <w:t>3</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45</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327" w:type="dxa"/>
            <w:gridSpan w:val="9"/>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r>
      <w:tr w:rsidR="00481EDB" w:rsidRPr="00687B52" w:rsidTr="00B527D4">
        <w:trPr>
          <w:cantSplit/>
          <w:trHeight w:val="284"/>
        </w:trPr>
        <w:tc>
          <w:tcPr>
            <w:tcW w:w="1359"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575"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785" w:type="dxa"/>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&gt;1000m</w:t>
            </w:r>
            <w:r w:rsidRPr="00687B52">
              <w:rPr>
                <w:rFonts w:ascii="Arial" w:eastAsia="宋体" w:hAnsi="Arial" w:cs="Arial"/>
                <w:color w:val="000000" w:themeColor="text1"/>
                <w:sz w:val="18"/>
                <w:szCs w:val="18"/>
                <w:vertAlign w:val="superscript"/>
              </w:rPr>
              <w:t>3</w:t>
            </w:r>
            <w:r w:rsidRPr="00687B52">
              <w:rPr>
                <w:rFonts w:ascii="Arial" w:eastAsia="宋体" w:hAnsi="Arial" w:cs="Arial"/>
                <w:color w:val="000000" w:themeColor="text1"/>
                <w:sz w:val="18"/>
                <w:szCs w:val="18"/>
              </w:rPr>
              <w:t>~5000m</w:t>
            </w:r>
            <w:r w:rsidRPr="00687B52">
              <w:rPr>
                <w:rFonts w:ascii="Arial" w:eastAsia="宋体" w:hAnsi="Arial" w:cs="Arial"/>
                <w:color w:val="000000" w:themeColor="text1"/>
                <w:sz w:val="18"/>
                <w:szCs w:val="18"/>
                <w:vertAlign w:val="superscript"/>
              </w:rPr>
              <w:t>3</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327" w:type="dxa"/>
            <w:gridSpan w:val="9"/>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r>
      <w:tr w:rsidR="00481EDB" w:rsidRPr="00687B52" w:rsidTr="00B527D4">
        <w:trPr>
          <w:cantSplit/>
          <w:trHeight w:val="284"/>
        </w:trPr>
        <w:tc>
          <w:tcPr>
            <w:tcW w:w="1359"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575"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785" w:type="dxa"/>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&gt;500m</w:t>
            </w:r>
            <w:r w:rsidRPr="00687B52">
              <w:rPr>
                <w:rFonts w:ascii="Arial" w:eastAsia="宋体" w:hAnsi="Arial" w:cs="Arial"/>
                <w:color w:val="000000" w:themeColor="text1"/>
                <w:sz w:val="18"/>
                <w:szCs w:val="18"/>
                <w:vertAlign w:val="superscript"/>
              </w:rPr>
              <w:t>3</w:t>
            </w:r>
            <w:r w:rsidRPr="00687B52">
              <w:rPr>
                <w:rFonts w:ascii="Arial" w:eastAsia="宋体" w:hAnsi="Arial" w:cs="Arial"/>
                <w:color w:val="000000" w:themeColor="text1"/>
                <w:sz w:val="18"/>
                <w:szCs w:val="18"/>
              </w:rPr>
              <w:t>~1000m</w:t>
            </w:r>
            <w:r w:rsidRPr="00687B52">
              <w:rPr>
                <w:rFonts w:ascii="Arial" w:eastAsia="宋体" w:hAnsi="Arial" w:cs="Arial"/>
                <w:color w:val="000000" w:themeColor="text1"/>
                <w:sz w:val="18"/>
                <w:szCs w:val="18"/>
                <w:vertAlign w:val="superscript"/>
              </w:rPr>
              <w:t>3</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327" w:type="dxa"/>
            <w:gridSpan w:val="9"/>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r>
      <w:tr w:rsidR="00481EDB" w:rsidRPr="00687B52" w:rsidTr="00B527D4">
        <w:trPr>
          <w:cantSplit/>
          <w:trHeight w:val="284"/>
        </w:trPr>
        <w:tc>
          <w:tcPr>
            <w:tcW w:w="1359"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575"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785" w:type="dxa"/>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≤500m</w:t>
            </w:r>
            <w:r w:rsidRPr="00687B52">
              <w:rPr>
                <w:rFonts w:ascii="Arial" w:eastAsia="宋体" w:hAnsi="Arial" w:cs="Arial"/>
                <w:color w:val="000000" w:themeColor="text1"/>
                <w:sz w:val="18"/>
                <w:szCs w:val="18"/>
                <w:vertAlign w:val="superscript"/>
              </w:rPr>
              <w:t>3</w:t>
            </w:r>
            <w:r w:rsidRPr="00687B52">
              <w:rPr>
                <w:rFonts w:ascii="Arial" w:eastAsia="宋体" w:cs="Arial"/>
                <w:color w:val="000000" w:themeColor="text1"/>
                <w:sz w:val="18"/>
                <w:szCs w:val="18"/>
              </w:rPr>
              <w:t>或卧式</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4327" w:type="dxa"/>
            <w:gridSpan w:val="9"/>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r>
      <w:tr w:rsidR="00481EDB" w:rsidRPr="00687B52" w:rsidTr="00B527D4">
        <w:trPr>
          <w:cantSplit/>
          <w:trHeight w:val="284"/>
        </w:trPr>
        <w:tc>
          <w:tcPr>
            <w:tcW w:w="4719" w:type="dxa"/>
            <w:gridSpan w:val="3"/>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沸点低于</w:t>
            </w:r>
            <w:r w:rsidRPr="00687B52">
              <w:rPr>
                <w:rFonts w:ascii="Arial" w:eastAsia="宋体" w:hAnsi="Arial" w:cs="Arial"/>
                <w:color w:val="000000" w:themeColor="text1"/>
                <w:sz w:val="18"/>
                <w:szCs w:val="18"/>
              </w:rPr>
              <w:t>45℃</w:t>
            </w:r>
            <w:r w:rsidRPr="00687B52">
              <w:rPr>
                <w:rFonts w:ascii="Arial" w:eastAsia="宋体" w:hAnsi="Arial" w:cs="Arial"/>
                <w:color w:val="000000" w:themeColor="text1"/>
                <w:sz w:val="18"/>
                <w:szCs w:val="18"/>
              </w:rPr>
              <w:t>的甲</w:t>
            </w:r>
            <w:r w:rsidRPr="00687B52">
              <w:rPr>
                <w:rFonts w:ascii="Arial" w:eastAsia="宋体" w:hAnsi="Arial" w:cs="Arial"/>
                <w:color w:val="000000" w:themeColor="text1"/>
                <w:sz w:val="18"/>
                <w:szCs w:val="18"/>
              </w:rPr>
              <w:t>B</w:t>
            </w:r>
            <w:r w:rsidRPr="00687B52">
              <w:rPr>
                <w:rFonts w:ascii="Arial" w:eastAsia="宋体" w:hAnsi="Arial" w:cs="Arial"/>
                <w:color w:val="000000" w:themeColor="text1"/>
                <w:sz w:val="18"/>
                <w:szCs w:val="18"/>
              </w:rPr>
              <w:t>类液体全压力储存</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50</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8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8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57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1989" w:type="dxa"/>
            <w:gridSpan w:val="4"/>
            <w:vMerge w:val="restart"/>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见表</w:t>
            </w:r>
            <w:r w:rsidRPr="00687B52">
              <w:rPr>
                <w:rFonts w:ascii="Arial" w:eastAsia="宋体" w:hAnsi="Arial" w:cs="Arial" w:hint="eastAsia"/>
                <w:color w:val="000000" w:themeColor="text1"/>
                <w:sz w:val="18"/>
                <w:szCs w:val="18"/>
              </w:rPr>
              <w:t>6.3.3</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r>
      <w:tr w:rsidR="00481EDB" w:rsidRPr="00687B52" w:rsidTr="00B527D4">
        <w:trPr>
          <w:cantSplit/>
          <w:trHeight w:val="284"/>
        </w:trPr>
        <w:tc>
          <w:tcPr>
            <w:tcW w:w="1359" w:type="dxa"/>
            <w:vMerge w:val="restart"/>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液化烃储罐</w:t>
            </w:r>
          </w:p>
        </w:tc>
        <w:tc>
          <w:tcPr>
            <w:tcW w:w="1575" w:type="dxa"/>
            <w:vMerge w:val="restart"/>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全压力式储存</w:t>
            </w:r>
          </w:p>
        </w:tc>
        <w:tc>
          <w:tcPr>
            <w:tcW w:w="1785" w:type="dxa"/>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&gt;1000m</w:t>
            </w:r>
            <w:r w:rsidRPr="00687B52">
              <w:rPr>
                <w:rFonts w:ascii="Arial" w:eastAsia="宋体" w:hAnsi="Arial" w:cs="Arial"/>
                <w:color w:val="000000" w:themeColor="text1"/>
                <w:sz w:val="18"/>
                <w:szCs w:val="18"/>
                <w:vertAlign w:val="superscript"/>
              </w:rPr>
              <w:t>3</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60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55</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50</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80</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70</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60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50</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8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45</w:t>
            </w:r>
          </w:p>
        </w:tc>
        <w:tc>
          <w:tcPr>
            <w:tcW w:w="48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57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1989" w:type="dxa"/>
            <w:gridSpan w:val="4"/>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r>
      <w:tr w:rsidR="00481EDB" w:rsidRPr="00687B52" w:rsidTr="00B527D4">
        <w:trPr>
          <w:cantSplit/>
          <w:trHeight w:val="284"/>
        </w:trPr>
        <w:tc>
          <w:tcPr>
            <w:tcW w:w="1359"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575"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785" w:type="dxa"/>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&gt;100m</w:t>
            </w:r>
            <w:r w:rsidRPr="00687B52">
              <w:rPr>
                <w:rFonts w:ascii="Arial" w:eastAsia="宋体" w:hAnsi="Arial" w:cs="Arial"/>
                <w:color w:val="000000" w:themeColor="text1"/>
                <w:sz w:val="18"/>
                <w:szCs w:val="18"/>
                <w:vertAlign w:val="superscript"/>
              </w:rPr>
              <w:t>3</w:t>
            </w:r>
            <w:r w:rsidRPr="00687B52">
              <w:rPr>
                <w:rFonts w:ascii="Arial" w:eastAsia="宋体" w:hAnsi="Arial" w:cs="Arial"/>
                <w:color w:val="000000" w:themeColor="text1"/>
                <w:sz w:val="18"/>
                <w:szCs w:val="18"/>
              </w:rPr>
              <w:t>~1000m</w:t>
            </w:r>
            <w:r w:rsidRPr="00687B52">
              <w:rPr>
                <w:rFonts w:ascii="Arial" w:eastAsia="宋体" w:hAnsi="Arial" w:cs="Arial"/>
                <w:color w:val="000000" w:themeColor="text1"/>
                <w:sz w:val="18"/>
                <w:szCs w:val="18"/>
                <w:vertAlign w:val="superscript"/>
              </w:rPr>
              <w:t>3</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45</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70</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60</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45</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8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8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57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1989" w:type="dxa"/>
            <w:gridSpan w:val="4"/>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r>
      <w:tr w:rsidR="00481EDB" w:rsidRPr="00687B52" w:rsidTr="00B527D4">
        <w:trPr>
          <w:cantSplit/>
          <w:trHeight w:val="284"/>
        </w:trPr>
        <w:tc>
          <w:tcPr>
            <w:tcW w:w="1359"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575"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785" w:type="dxa"/>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≤100m</w:t>
            </w:r>
            <w:r w:rsidRPr="00687B52">
              <w:rPr>
                <w:rFonts w:ascii="Arial" w:eastAsia="宋体" w:hAnsi="Arial" w:cs="Arial"/>
                <w:color w:val="000000" w:themeColor="text1"/>
                <w:sz w:val="18"/>
                <w:szCs w:val="18"/>
                <w:vertAlign w:val="superscript"/>
              </w:rPr>
              <w:t>3</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55</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45</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8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8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57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1989" w:type="dxa"/>
            <w:gridSpan w:val="4"/>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r>
      <w:tr w:rsidR="00481EDB" w:rsidRPr="00687B52" w:rsidTr="00B527D4">
        <w:trPr>
          <w:cantSplit/>
          <w:trHeight w:val="284"/>
        </w:trPr>
        <w:tc>
          <w:tcPr>
            <w:tcW w:w="1359"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575" w:type="dxa"/>
            <w:vMerge w:val="restart"/>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全</w:t>
            </w:r>
            <w:r w:rsidRPr="00687B52">
              <w:rPr>
                <w:rFonts w:ascii="Arial" w:eastAsia="宋体" w:hAnsi="Arial" w:cs="Arial" w:hint="eastAsia"/>
                <w:color w:val="000000" w:themeColor="text1"/>
                <w:sz w:val="18"/>
                <w:szCs w:val="18"/>
              </w:rPr>
              <w:t>冷冻</w:t>
            </w:r>
            <w:r w:rsidRPr="00687B52">
              <w:rPr>
                <w:rFonts w:ascii="Arial" w:eastAsia="宋体" w:hAnsi="Arial" w:cs="Arial"/>
                <w:color w:val="000000" w:themeColor="text1"/>
                <w:sz w:val="18"/>
                <w:szCs w:val="18"/>
              </w:rPr>
              <w:t>式储存</w:t>
            </w:r>
          </w:p>
        </w:tc>
        <w:tc>
          <w:tcPr>
            <w:tcW w:w="1785" w:type="dxa"/>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&gt;10000m</w:t>
            </w:r>
            <w:r w:rsidRPr="00687B52">
              <w:rPr>
                <w:rFonts w:ascii="Arial" w:eastAsia="宋体" w:hAnsi="Arial" w:cs="Arial"/>
                <w:color w:val="000000" w:themeColor="text1"/>
                <w:sz w:val="18"/>
                <w:szCs w:val="18"/>
                <w:vertAlign w:val="superscript"/>
              </w:rPr>
              <w:t>3</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70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65</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60</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80</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70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8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8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57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898" w:type="dxa"/>
            <w:gridSpan w:val="2"/>
            <w:vMerge w:val="restart"/>
            <w:vAlign w:val="center"/>
          </w:tcPr>
          <w:p w:rsidR="00481EDB" w:rsidRPr="00687B52" w:rsidRDefault="00481EDB" w:rsidP="00B527D4">
            <w:pPr>
              <w:pStyle w:val="Default"/>
              <w:snapToGrid w:val="0"/>
              <w:ind w:leftChars="-37" w:left="-64" w:hangingChars="8" w:hanging="14"/>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见</w:t>
            </w:r>
          </w:p>
          <w:p w:rsidR="00481EDB" w:rsidRPr="00687B52" w:rsidRDefault="00481EDB" w:rsidP="00B527D4">
            <w:pPr>
              <w:pStyle w:val="Default"/>
              <w:snapToGrid w:val="0"/>
              <w:ind w:leftChars="-37" w:left="-64" w:hangingChars="8" w:hanging="14"/>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表</w:t>
            </w:r>
            <w:r w:rsidRPr="00687B52">
              <w:rPr>
                <w:rFonts w:ascii="Arial" w:eastAsia="宋体" w:hAnsi="Arial" w:cs="Arial" w:hint="eastAsia"/>
                <w:color w:val="000000" w:themeColor="text1"/>
                <w:sz w:val="18"/>
                <w:szCs w:val="18"/>
                <w:u w:val="single"/>
              </w:rPr>
              <w:t>6.3.3</w:t>
            </w: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r>
      <w:tr w:rsidR="00481EDB" w:rsidRPr="00687B52" w:rsidTr="00B527D4">
        <w:trPr>
          <w:cantSplit/>
          <w:trHeight w:val="284"/>
        </w:trPr>
        <w:tc>
          <w:tcPr>
            <w:tcW w:w="1359"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575"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1785" w:type="dxa"/>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≤10000m</w:t>
            </w:r>
            <w:r w:rsidRPr="00687B52">
              <w:rPr>
                <w:rFonts w:ascii="Arial" w:eastAsia="宋体" w:hAnsi="Arial" w:cs="Arial"/>
                <w:color w:val="000000" w:themeColor="text1"/>
                <w:sz w:val="18"/>
                <w:szCs w:val="18"/>
                <w:vertAlign w:val="superscript"/>
              </w:rPr>
              <w:t>3</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60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55</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50</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80</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70</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60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8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8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57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898" w:type="dxa"/>
            <w:gridSpan w:val="2"/>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r>
      <w:tr w:rsidR="00481EDB" w:rsidRPr="00687B52" w:rsidTr="00B527D4">
        <w:trPr>
          <w:cantSplit/>
          <w:trHeight w:val="284"/>
        </w:trPr>
        <w:tc>
          <w:tcPr>
            <w:tcW w:w="2934" w:type="dxa"/>
            <w:gridSpan w:val="2"/>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可燃气体储罐</w:t>
            </w:r>
          </w:p>
        </w:tc>
        <w:tc>
          <w:tcPr>
            <w:tcW w:w="1785" w:type="dxa"/>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hAnsi="Arial" w:cs="Arial"/>
                <w:color w:val="000000" w:themeColor="text1"/>
                <w:sz w:val="18"/>
                <w:szCs w:val="18"/>
              </w:rPr>
              <w:t>&gt;1000m</w:t>
            </w:r>
            <w:r w:rsidRPr="00687B52">
              <w:rPr>
                <w:rFonts w:ascii="Arial" w:eastAsia="宋体" w:hAnsi="Arial" w:cs="Arial"/>
                <w:color w:val="000000" w:themeColor="text1"/>
                <w:sz w:val="18"/>
                <w:szCs w:val="18"/>
                <w:vertAlign w:val="superscript"/>
              </w:rPr>
              <w:t>3</w:t>
            </w:r>
            <w:r w:rsidRPr="00687B52">
              <w:rPr>
                <w:rFonts w:ascii="Arial" w:eastAsia="宋体" w:hAnsi="Arial" w:cs="Arial"/>
                <w:color w:val="000000" w:themeColor="text1"/>
                <w:sz w:val="18"/>
                <w:szCs w:val="18"/>
              </w:rPr>
              <w:t>~50000m</w:t>
            </w:r>
            <w:r w:rsidRPr="00687B52">
              <w:rPr>
                <w:rFonts w:ascii="Arial" w:eastAsia="宋体" w:hAnsi="Arial" w:cs="Arial"/>
                <w:color w:val="000000" w:themeColor="text1"/>
                <w:sz w:val="18"/>
                <w:szCs w:val="18"/>
                <w:vertAlign w:val="superscript"/>
              </w:rPr>
              <w:t>3</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8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8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57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8</w:t>
            </w: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937" w:type="dxa"/>
            <w:gridSpan w:val="2"/>
            <w:vAlign w:val="center"/>
          </w:tcPr>
          <w:p w:rsidR="00481EDB" w:rsidRPr="00687B52" w:rsidRDefault="00481EDB" w:rsidP="00B527D4">
            <w:pPr>
              <w:pStyle w:val="Default"/>
              <w:snapToGrid w:val="0"/>
              <w:ind w:leftChars="-50" w:left="16" w:hangingChars="67" w:hanging="121"/>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见表</w:t>
            </w:r>
            <w:r w:rsidRPr="00687B52">
              <w:rPr>
                <w:rFonts w:ascii="Arial" w:eastAsia="宋体" w:hAnsi="Arial" w:cs="Arial" w:hint="eastAsia"/>
                <w:color w:val="000000" w:themeColor="text1"/>
                <w:sz w:val="18"/>
                <w:szCs w:val="18"/>
                <w:u w:val="single"/>
              </w:rPr>
              <w:t>6.3.3</w:t>
            </w: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restart"/>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注</w:t>
            </w:r>
            <w:r w:rsidRPr="00687B52">
              <w:rPr>
                <w:rFonts w:ascii="Arial" w:eastAsia="宋体" w:hAnsi="Arial" w:cs="Arial" w:hint="eastAsia"/>
                <w:color w:val="000000" w:themeColor="text1"/>
                <w:sz w:val="18"/>
                <w:szCs w:val="18"/>
              </w:rPr>
              <w:t>6</w:t>
            </w:r>
            <w:r w:rsidRPr="00687B52">
              <w:rPr>
                <w:rFonts w:ascii="Arial" w:eastAsia="宋体" w:hAnsi="Arial" w:cs="Arial" w:hint="eastAsia"/>
                <w:color w:val="000000" w:themeColor="text1"/>
                <w:sz w:val="18"/>
                <w:szCs w:val="18"/>
              </w:rPr>
              <w:t>、</w:t>
            </w:r>
            <w:r w:rsidRPr="00687B52">
              <w:rPr>
                <w:rFonts w:ascii="Arial" w:eastAsia="宋体" w:hAnsi="Arial" w:cs="Arial" w:hint="eastAsia"/>
                <w:color w:val="000000" w:themeColor="text1"/>
                <w:sz w:val="18"/>
                <w:szCs w:val="18"/>
              </w:rPr>
              <w:t>2</w:t>
            </w:r>
          </w:p>
        </w:tc>
      </w:tr>
      <w:tr w:rsidR="00481EDB" w:rsidRPr="00687B52" w:rsidTr="00B527D4">
        <w:trPr>
          <w:cantSplit/>
          <w:trHeight w:val="284"/>
        </w:trPr>
        <w:tc>
          <w:tcPr>
            <w:tcW w:w="1359" w:type="dxa"/>
            <w:vMerge w:val="restart"/>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液化烃及甲</w:t>
            </w:r>
            <w:r w:rsidRPr="00687B52">
              <w:rPr>
                <w:rFonts w:ascii="Arial" w:eastAsia="宋体" w:hAnsi="Arial" w:cs="Arial"/>
                <w:color w:val="000000" w:themeColor="text1"/>
                <w:sz w:val="18"/>
                <w:szCs w:val="18"/>
              </w:rPr>
              <w:t>B</w:t>
            </w:r>
            <w:r w:rsidRPr="00687B52">
              <w:rPr>
                <w:rFonts w:ascii="Arial" w:eastAsia="宋体" w:cs="Arial"/>
                <w:color w:val="000000" w:themeColor="text1"/>
                <w:sz w:val="18"/>
                <w:szCs w:val="18"/>
              </w:rPr>
              <w:t>、乙类液体</w:t>
            </w:r>
          </w:p>
        </w:tc>
        <w:tc>
          <w:tcPr>
            <w:tcW w:w="3360" w:type="dxa"/>
            <w:gridSpan w:val="2"/>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码头装卸区</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50</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50</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8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45</w:t>
            </w:r>
          </w:p>
        </w:tc>
        <w:tc>
          <w:tcPr>
            <w:tcW w:w="48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57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55</w:t>
            </w: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45</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65</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55</w:t>
            </w: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w:t>
            </w: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r>
      <w:tr w:rsidR="00481EDB" w:rsidRPr="00687B52" w:rsidTr="00B527D4">
        <w:trPr>
          <w:cantSplit/>
          <w:trHeight w:val="284"/>
        </w:trPr>
        <w:tc>
          <w:tcPr>
            <w:tcW w:w="1359"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3360" w:type="dxa"/>
            <w:gridSpan w:val="2"/>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汽车装卸站</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48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8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12</w:t>
            </w:r>
          </w:p>
        </w:tc>
        <w:tc>
          <w:tcPr>
            <w:tcW w:w="57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45</w:t>
            </w: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55</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45</w:t>
            </w: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w:t>
            </w: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r>
      <w:tr w:rsidR="00481EDB" w:rsidRPr="00687B52" w:rsidTr="00B527D4">
        <w:trPr>
          <w:cantSplit/>
          <w:trHeight w:val="284"/>
        </w:trPr>
        <w:tc>
          <w:tcPr>
            <w:tcW w:w="1359"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3360" w:type="dxa"/>
            <w:gridSpan w:val="2"/>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铁路装卸设施、槽车洗罐站</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45</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48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8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12</w:t>
            </w:r>
          </w:p>
        </w:tc>
        <w:tc>
          <w:tcPr>
            <w:tcW w:w="57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50</w:t>
            </w: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60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50</w:t>
            </w: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r>
      <w:tr w:rsidR="00481EDB" w:rsidRPr="00687B52" w:rsidTr="00B527D4">
        <w:trPr>
          <w:cantSplit/>
          <w:trHeight w:val="284"/>
        </w:trPr>
        <w:tc>
          <w:tcPr>
            <w:tcW w:w="1359" w:type="dxa"/>
            <w:vMerge w:val="restart"/>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灌装站</w:t>
            </w:r>
          </w:p>
        </w:tc>
        <w:tc>
          <w:tcPr>
            <w:tcW w:w="3360" w:type="dxa"/>
            <w:gridSpan w:val="2"/>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液化烃</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45</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8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8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17</w:t>
            </w:r>
          </w:p>
        </w:tc>
        <w:tc>
          <w:tcPr>
            <w:tcW w:w="57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45</w:t>
            </w: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55</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45</w:t>
            </w: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r>
      <w:tr w:rsidR="00481EDB" w:rsidRPr="00687B52" w:rsidTr="00B527D4">
        <w:trPr>
          <w:cantSplit/>
          <w:trHeight w:val="284"/>
        </w:trPr>
        <w:tc>
          <w:tcPr>
            <w:tcW w:w="1359" w:type="dxa"/>
            <w:vMerge/>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p>
        </w:tc>
        <w:tc>
          <w:tcPr>
            <w:tcW w:w="3360" w:type="dxa"/>
            <w:gridSpan w:val="2"/>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甲</w:t>
            </w:r>
            <w:r w:rsidRPr="00687B52">
              <w:rPr>
                <w:rFonts w:ascii="Arial" w:eastAsia="宋体" w:hAnsi="Arial" w:cs="Arial"/>
                <w:color w:val="000000" w:themeColor="text1"/>
                <w:sz w:val="18"/>
                <w:szCs w:val="18"/>
              </w:rPr>
              <w:t>B</w:t>
            </w:r>
            <w:r w:rsidRPr="00687B52">
              <w:rPr>
                <w:rFonts w:ascii="Arial" w:eastAsia="宋体" w:cs="Arial"/>
                <w:color w:val="000000" w:themeColor="text1"/>
                <w:sz w:val="18"/>
                <w:szCs w:val="18"/>
              </w:rPr>
              <w:t>、乙类液体及可燃与助燃气体</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8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8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12</w:t>
            </w:r>
          </w:p>
        </w:tc>
        <w:tc>
          <w:tcPr>
            <w:tcW w:w="57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Merge/>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r>
      <w:tr w:rsidR="00481EDB" w:rsidRPr="00687B52" w:rsidTr="00B527D4">
        <w:trPr>
          <w:cantSplit/>
          <w:trHeight w:val="284"/>
        </w:trPr>
        <w:tc>
          <w:tcPr>
            <w:tcW w:w="4719" w:type="dxa"/>
            <w:gridSpan w:val="3"/>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甲类物品库（棚）或堆场</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45</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8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8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57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60</w:t>
            </w: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70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60</w:t>
            </w: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w:t>
            </w: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注</w:t>
            </w:r>
            <w:r w:rsidRPr="00687B52">
              <w:rPr>
                <w:rFonts w:ascii="Arial" w:eastAsia="宋体" w:hAnsi="Arial" w:cs="Arial" w:hint="eastAsia"/>
                <w:color w:val="000000" w:themeColor="text1"/>
                <w:sz w:val="18"/>
                <w:szCs w:val="18"/>
              </w:rPr>
              <w:t>7</w:t>
            </w:r>
            <w:r w:rsidRPr="00687B52">
              <w:rPr>
                <w:rFonts w:ascii="Arial" w:eastAsia="宋体" w:hAnsi="Arial" w:cs="Arial" w:hint="eastAsia"/>
                <w:color w:val="000000" w:themeColor="text1"/>
                <w:sz w:val="18"/>
                <w:szCs w:val="18"/>
              </w:rPr>
              <w:t>、</w:t>
            </w:r>
            <w:r w:rsidRPr="00687B52">
              <w:rPr>
                <w:rFonts w:ascii="Arial" w:eastAsia="宋体" w:hAnsi="Arial" w:cs="Arial" w:hint="eastAsia"/>
                <w:color w:val="000000" w:themeColor="text1"/>
                <w:sz w:val="18"/>
                <w:szCs w:val="18"/>
              </w:rPr>
              <w:t>2</w:t>
            </w:r>
          </w:p>
        </w:tc>
      </w:tr>
      <w:tr w:rsidR="00481EDB" w:rsidRPr="00687B52" w:rsidTr="00B527D4">
        <w:trPr>
          <w:cantSplit/>
          <w:trHeight w:val="284"/>
        </w:trPr>
        <w:tc>
          <w:tcPr>
            <w:tcW w:w="4719" w:type="dxa"/>
            <w:gridSpan w:val="3"/>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罐区甲、乙类泵（房）、全冷冻式液化烃储存的压缩机（包括添加剂设施及其专用变配电室、控制室）</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12</w:t>
            </w:r>
          </w:p>
        </w:tc>
        <w:tc>
          <w:tcPr>
            <w:tcW w:w="48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8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12</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57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8</w:t>
            </w: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45</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12</w:t>
            </w: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w:t>
            </w: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注</w:t>
            </w:r>
            <w:r w:rsidRPr="00687B52">
              <w:rPr>
                <w:rFonts w:ascii="Arial" w:eastAsia="宋体" w:hAnsi="Arial" w:cs="Arial" w:hint="eastAsia"/>
                <w:color w:val="000000" w:themeColor="text1"/>
                <w:sz w:val="18"/>
                <w:szCs w:val="18"/>
              </w:rPr>
              <w:t>8</w:t>
            </w:r>
            <w:r w:rsidRPr="00687B52">
              <w:rPr>
                <w:rFonts w:ascii="Arial" w:eastAsia="宋体" w:hAnsi="Arial" w:cs="Arial" w:hint="eastAsia"/>
                <w:color w:val="000000" w:themeColor="text1"/>
                <w:sz w:val="18"/>
                <w:szCs w:val="18"/>
              </w:rPr>
              <w:t>、</w:t>
            </w:r>
            <w:r w:rsidRPr="00687B52">
              <w:rPr>
                <w:rFonts w:ascii="Arial" w:eastAsia="宋体" w:hAnsi="Arial" w:cs="Arial" w:hint="eastAsia"/>
                <w:color w:val="000000" w:themeColor="text1"/>
                <w:sz w:val="18"/>
                <w:szCs w:val="18"/>
              </w:rPr>
              <w:t>2</w:t>
            </w:r>
          </w:p>
        </w:tc>
      </w:tr>
      <w:tr w:rsidR="00481EDB" w:rsidRPr="00687B52" w:rsidTr="00B527D4">
        <w:trPr>
          <w:cantSplit/>
          <w:trHeight w:val="284"/>
        </w:trPr>
        <w:tc>
          <w:tcPr>
            <w:tcW w:w="4719" w:type="dxa"/>
            <w:gridSpan w:val="3"/>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污水处理场（隔油池、污油罐）</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48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8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57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w:t>
            </w: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注</w:t>
            </w:r>
            <w:r w:rsidRPr="00687B52">
              <w:rPr>
                <w:rFonts w:ascii="Arial" w:eastAsia="宋体" w:hAnsi="Arial" w:cs="Arial" w:hint="eastAsia"/>
                <w:color w:val="000000" w:themeColor="text1"/>
                <w:sz w:val="18"/>
                <w:szCs w:val="18"/>
              </w:rPr>
              <w:t>9</w:t>
            </w:r>
            <w:r w:rsidRPr="00687B52">
              <w:rPr>
                <w:rFonts w:ascii="Arial" w:eastAsia="宋体" w:hAnsi="Arial" w:cs="Arial" w:hint="eastAsia"/>
                <w:color w:val="000000" w:themeColor="text1"/>
                <w:sz w:val="18"/>
                <w:szCs w:val="18"/>
              </w:rPr>
              <w:t>、</w:t>
            </w:r>
            <w:r w:rsidRPr="00687B52">
              <w:rPr>
                <w:rFonts w:ascii="Arial" w:eastAsia="宋体" w:hAnsi="Arial" w:cs="Arial" w:hint="eastAsia"/>
                <w:color w:val="000000" w:themeColor="text1"/>
                <w:sz w:val="18"/>
                <w:szCs w:val="18"/>
              </w:rPr>
              <w:t>2</w:t>
            </w:r>
          </w:p>
        </w:tc>
      </w:tr>
      <w:tr w:rsidR="00481EDB" w:rsidRPr="00687B52" w:rsidTr="00B527D4">
        <w:trPr>
          <w:cantSplit/>
          <w:trHeight w:val="284"/>
        </w:trPr>
        <w:tc>
          <w:tcPr>
            <w:tcW w:w="4719" w:type="dxa"/>
            <w:gridSpan w:val="3"/>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color w:val="000000" w:themeColor="text1"/>
                <w:sz w:val="18"/>
                <w:szCs w:val="18"/>
              </w:rPr>
              <w:t>铁路走形线（中心线）、原料及产品运输道路（路面边）</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12</w:t>
            </w:r>
          </w:p>
        </w:tc>
        <w:tc>
          <w:tcPr>
            <w:tcW w:w="48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8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12</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57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626" w:type="dxa"/>
            <w:vAlign w:val="center"/>
          </w:tcPr>
          <w:p w:rsidR="00481EDB" w:rsidRPr="00687B52" w:rsidRDefault="00481EDB" w:rsidP="00B527D4">
            <w:pPr>
              <w:pStyle w:val="Default"/>
              <w:snapToGrid w:val="0"/>
              <w:ind w:leftChars="-53" w:left="1" w:hangingChars="62" w:hanging="112"/>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15(10)</w:t>
            </w: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10</w:t>
            </w: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w:t>
            </w:r>
          </w:p>
        </w:tc>
        <w:tc>
          <w:tcPr>
            <w:tcW w:w="735" w:type="dxa"/>
            <w:vAlign w:val="center"/>
          </w:tcPr>
          <w:p w:rsidR="00481EDB" w:rsidRPr="00687B52" w:rsidRDefault="00481EDB" w:rsidP="00B527D4">
            <w:pPr>
              <w:pStyle w:val="Default"/>
              <w:snapToGrid w:val="0"/>
              <w:ind w:leftChars="-51" w:left="1" w:hangingChars="60" w:hanging="108"/>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注</w:t>
            </w:r>
            <w:r w:rsidRPr="00687B52">
              <w:rPr>
                <w:rFonts w:ascii="Arial" w:eastAsia="宋体" w:hAnsi="Arial" w:cs="Arial" w:hint="eastAsia"/>
                <w:color w:val="000000" w:themeColor="text1"/>
                <w:sz w:val="18"/>
                <w:szCs w:val="18"/>
              </w:rPr>
              <w:t>10</w:t>
            </w:r>
            <w:r w:rsidRPr="00687B52">
              <w:rPr>
                <w:rFonts w:ascii="Arial" w:eastAsia="宋体" w:hAnsi="Arial" w:cs="Arial" w:hint="eastAsia"/>
                <w:color w:val="000000" w:themeColor="text1"/>
                <w:sz w:val="18"/>
                <w:szCs w:val="18"/>
              </w:rPr>
              <w:t>、</w:t>
            </w:r>
            <w:r w:rsidRPr="00687B52">
              <w:rPr>
                <w:rFonts w:ascii="Arial" w:eastAsia="宋体" w:hAnsi="Arial" w:cs="Arial" w:hint="eastAsia"/>
                <w:color w:val="000000" w:themeColor="text1"/>
                <w:sz w:val="18"/>
                <w:szCs w:val="18"/>
              </w:rPr>
              <w:t>2</w:t>
            </w:r>
          </w:p>
        </w:tc>
      </w:tr>
      <w:tr w:rsidR="00481EDB" w:rsidRPr="00687B52" w:rsidTr="00B527D4">
        <w:trPr>
          <w:cantSplit/>
          <w:trHeight w:val="284"/>
        </w:trPr>
        <w:tc>
          <w:tcPr>
            <w:tcW w:w="4719" w:type="dxa"/>
            <w:gridSpan w:val="3"/>
            <w:vAlign w:val="center"/>
          </w:tcPr>
          <w:p w:rsidR="00481EDB" w:rsidRPr="00687B52" w:rsidRDefault="00481EDB" w:rsidP="00B527D4">
            <w:pPr>
              <w:pStyle w:val="Default"/>
              <w:snapToGrid w:val="0"/>
              <w:jc w:val="both"/>
              <w:rPr>
                <w:rFonts w:ascii="Arial" w:eastAsia="宋体" w:hAnsi="Arial" w:cs="Arial"/>
                <w:color w:val="000000" w:themeColor="text1"/>
                <w:sz w:val="18"/>
                <w:szCs w:val="18"/>
              </w:rPr>
            </w:pPr>
            <w:r w:rsidRPr="00687B52">
              <w:rPr>
                <w:rFonts w:ascii="Arial" w:eastAsia="宋体" w:cs="Arial" w:hint="eastAsia"/>
                <w:color w:val="000000" w:themeColor="text1"/>
                <w:sz w:val="18"/>
                <w:szCs w:val="18"/>
              </w:rPr>
              <w:t>可能携带可燃液体的高架火炬</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60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48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48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57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60</w:t>
            </w: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90</w:t>
            </w: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50</w:t>
            </w: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r>
      <w:tr w:rsidR="00481EDB" w:rsidRPr="00687B52" w:rsidTr="00B527D4">
        <w:trPr>
          <w:cantSplit/>
          <w:trHeight w:val="284"/>
        </w:trPr>
        <w:tc>
          <w:tcPr>
            <w:tcW w:w="4719" w:type="dxa"/>
            <w:gridSpan w:val="3"/>
            <w:vAlign w:val="center"/>
          </w:tcPr>
          <w:p w:rsidR="00481EDB" w:rsidRPr="00687B52" w:rsidRDefault="00481EDB" w:rsidP="00B527D4">
            <w:pPr>
              <w:pStyle w:val="Default"/>
              <w:snapToGrid w:val="0"/>
              <w:jc w:val="both"/>
              <w:rPr>
                <w:rFonts w:ascii="Arial" w:eastAsia="宋体" w:cs="Arial"/>
                <w:color w:val="000000" w:themeColor="text1"/>
                <w:sz w:val="18"/>
                <w:szCs w:val="18"/>
              </w:rPr>
            </w:pPr>
            <w:r w:rsidRPr="00687B52">
              <w:rPr>
                <w:rFonts w:ascii="Arial" w:eastAsia="宋体" w:cs="Arial" w:hint="eastAsia"/>
                <w:color w:val="000000" w:themeColor="text1"/>
                <w:sz w:val="18"/>
                <w:szCs w:val="18"/>
              </w:rPr>
              <w:t>厂区围墙（中心线）或用地边界线</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50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50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w:t>
            </w:r>
          </w:p>
        </w:tc>
        <w:tc>
          <w:tcPr>
            <w:tcW w:w="4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w:t>
            </w:r>
          </w:p>
        </w:tc>
        <w:tc>
          <w:tcPr>
            <w:tcW w:w="51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8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83"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5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49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57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20</w:t>
            </w:r>
          </w:p>
        </w:tc>
        <w:tc>
          <w:tcPr>
            <w:tcW w:w="597"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94"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35</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44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40</w:t>
            </w:r>
          </w:p>
        </w:tc>
        <w:tc>
          <w:tcPr>
            <w:tcW w:w="518"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w:t>
            </w:r>
          </w:p>
        </w:tc>
        <w:tc>
          <w:tcPr>
            <w:tcW w:w="419"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626"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52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25</w:t>
            </w:r>
          </w:p>
        </w:tc>
        <w:tc>
          <w:tcPr>
            <w:tcW w:w="63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126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15</w:t>
            </w: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30</w:t>
            </w:r>
          </w:p>
        </w:tc>
        <w:tc>
          <w:tcPr>
            <w:tcW w:w="840"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r w:rsidRPr="00687B52">
              <w:rPr>
                <w:rFonts w:ascii="Arial" w:eastAsia="宋体" w:hAnsi="Arial" w:cs="Arial" w:hint="eastAsia"/>
                <w:color w:val="000000" w:themeColor="text1"/>
                <w:sz w:val="18"/>
                <w:szCs w:val="18"/>
              </w:rPr>
              <w:t>—</w:t>
            </w:r>
          </w:p>
        </w:tc>
        <w:tc>
          <w:tcPr>
            <w:tcW w:w="735" w:type="dxa"/>
            <w:vAlign w:val="center"/>
          </w:tcPr>
          <w:p w:rsidR="00481EDB" w:rsidRPr="00687B52" w:rsidRDefault="00481EDB" w:rsidP="00B527D4">
            <w:pPr>
              <w:pStyle w:val="Default"/>
              <w:snapToGrid w:val="0"/>
              <w:jc w:val="center"/>
              <w:rPr>
                <w:rFonts w:ascii="Arial" w:eastAsia="宋体" w:hAnsi="Arial" w:cs="Arial"/>
                <w:color w:val="000000" w:themeColor="text1"/>
                <w:sz w:val="18"/>
                <w:szCs w:val="18"/>
              </w:rPr>
            </w:pPr>
          </w:p>
        </w:tc>
      </w:tr>
    </w:tbl>
    <w:p w:rsidR="00481EDB" w:rsidRPr="00687B52" w:rsidRDefault="00481EDB" w:rsidP="00481EDB">
      <w:pPr>
        <w:pStyle w:val="Default"/>
        <w:snapToGrid w:val="0"/>
        <w:rPr>
          <w:rFonts w:ascii="Times New Roman" w:eastAsia="宋体" w:cs="Times New Roman"/>
          <w:color w:val="000000" w:themeColor="text1"/>
        </w:rPr>
      </w:pPr>
    </w:p>
    <w:p w:rsidR="00481EDB" w:rsidRPr="00687B52" w:rsidRDefault="00481EDB" w:rsidP="00481EDB">
      <w:pPr>
        <w:pStyle w:val="Default"/>
        <w:snapToGrid w:val="0"/>
        <w:spacing w:line="300" w:lineRule="auto"/>
        <w:rPr>
          <w:rFonts w:ascii="Times New Roman" w:eastAsia="宋体" w:cs="Times New Roman"/>
          <w:color w:val="000000" w:themeColor="text1"/>
          <w:sz w:val="21"/>
          <w:szCs w:val="21"/>
        </w:rPr>
        <w:sectPr w:rsidR="00481EDB" w:rsidRPr="00687B52">
          <w:pgSz w:w="23814" w:h="16839" w:orient="landscape"/>
          <w:pgMar w:top="1588" w:right="1418" w:bottom="1134" w:left="1134" w:header="851" w:footer="992" w:gutter="0"/>
          <w:cols w:space="425"/>
          <w:docGrid w:type="lines" w:linePitch="312"/>
        </w:sectPr>
      </w:pPr>
    </w:p>
    <w:p w:rsidR="00481EDB" w:rsidRPr="00687B52" w:rsidRDefault="00481EDB" w:rsidP="00856B6C">
      <w:pPr>
        <w:pStyle w:val="afd"/>
        <w:rPr>
          <w:color w:val="000000" w:themeColor="text1"/>
        </w:rPr>
      </w:pPr>
      <w:bookmarkStart w:id="180" w:name="_Toc491870819"/>
      <w:bookmarkStart w:id="181" w:name="_Toc492563473"/>
      <w:bookmarkStart w:id="182" w:name="_Toc493857074"/>
      <w:r w:rsidRPr="00687B52">
        <w:rPr>
          <w:rFonts w:hint="eastAsia"/>
          <w:color w:val="000000" w:themeColor="text1"/>
        </w:rPr>
        <w:t>表</w:t>
      </w:r>
      <w:r w:rsidRPr="00687B52">
        <w:rPr>
          <w:rFonts w:hint="eastAsia"/>
          <w:color w:val="000000" w:themeColor="text1"/>
        </w:rPr>
        <w:t xml:space="preserve">5.2.1 </w:t>
      </w:r>
      <w:r w:rsidRPr="00687B52">
        <w:rPr>
          <w:color w:val="000000" w:themeColor="text1"/>
        </w:rPr>
        <w:t>设备、建筑物平面布置的防火间距（</w:t>
      </w:r>
      <w:r w:rsidRPr="00687B52">
        <w:rPr>
          <w:color w:val="000000" w:themeColor="text1"/>
        </w:rPr>
        <w:t>m</w:t>
      </w:r>
      <w:r w:rsidRPr="00687B52">
        <w:rPr>
          <w:color w:val="000000" w:themeColor="text1"/>
        </w:rPr>
        <w:t>）</w:t>
      </w:r>
      <w:bookmarkEnd w:id="180"/>
      <w:bookmarkEnd w:id="181"/>
      <w:bookmarkEnd w:id="182"/>
    </w:p>
    <w:tbl>
      <w:tblPr>
        <w:tblW w:w="15456" w:type="dxa"/>
        <w:tblInd w:w="-107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77"/>
        <w:gridCol w:w="998"/>
        <w:gridCol w:w="704"/>
        <w:gridCol w:w="1239"/>
        <w:gridCol w:w="935"/>
        <w:gridCol w:w="701"/>
        <w:gridCol w:w="567"/>
        <w:gridCol w:w="567"/>
        <w:gridCol w:w="527"/>
        <w:gridCol w:w="567"/>
        <w:gridCol w:w="657"/>
        <w:gridCol w:w="734"/>
        <w:gridCol w:w="620"/>
        <w:gridCol w:w="621"/>
        <w:gridCol w:w="483"/>
        <w:gridCol w:w="513"/>
        <w:gridCol w:w="517"/>
        <w:gridCol w:w="525"/>
        <w:gridCol w:w="525"/>
        <w:gridCol w:w="668"/>
        <w:gridCol w:w="761"/>
        <w:gridCol w:w="628"/>
        <w:gridCol w:w="622"/>
      </w:tblGrid>
      <w:tr w:rsidR="00481EDB" w:rsidRPr="00687B52" w:rsidTr="00856B6C">
        <w:trPr>
          <w:cantSplit/>
          <w:trHeight w:val="326"/>
        </w:trPr>
        <w:tc>
          <w:tcPr>
            <w:tcW w:w="4653" w:type="dxa"/>
            <w:gridSpan w:val="5"/>
            <w:vMerge w:val="restart"/>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项目</w:t>
            </w:r>
          </w:p>
        </w:tc>
        <w:tc>
          <w:tcPr>
            <w:tcW w:w="701"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rPr>
                <w:rFonts w:ascii="Arial" w:cs="Arial"/>
                <w:color w:val="000000" w:themeColor="text1"/>
                <w:sz w:val="18"/>
              </w:rPr>
            </w:pPr>
            <w:r w:rsidRPr="00687B52">
              <w:rPr>
                <w:rFonts w:ascii="Arial" w:cs="Arial"/>
                <w:color w:val="000000" w:themeColor="text1"/>
                <w:sz w:val="18"/>
              </w:rPr>
              <w:t>控制</w:t>
            </w:r>
          </w:p>
          <w:p w:rsidR="00481EDB" w:rsidRPr="00687B52" w:rsidRDefault="00481EDB" w:rsidP="00B527D4">
            <w:pPr>
              <w:adjustRightInd w:val="0"/>
              <w:snapToGrid w:val="0"/>
              <w:rPr>
                <w:rFonts w:ascii="Arial" w:cs="Arial"/>
                <w:color w:val="000000" w:themeColor="text1"/>
                <w:sz w:val="18"/>
              </w:rPr>
            </w:pPr>
            <w:r w:rsidRPr="00687B52">
              <w:rPr>
                <w:rFonts w:ascii="Arial" w:cs="Arial"/>
                <w:color w:val="000000" w:themeColor="text1"/>
                <w:sz w:val="18"/>
              </w:rPr>
              <w:t>室、机</w:t>
            </w:r>
          </w:p>
          <w:p w:rsidR="00481EDB" w:rsidRPr="00687B52" w:rsidRDefault="00481EDB" w:rsidP="00B527D4">
            <w:pPr>
              <w:adjustRightInd w:val="0"/>
              <w:snapToGrid w:val="0"/>
              <w:rPr>
                <w:rFonts w:ascii="Arial" w:cs="Arial"/>
                <w:color w:val="000000" w:themeColor="text1"/>
                <w:sz w:val="18"/>
              </w:rPr>
            </w:pPr>
            <w:r w:rsidRPr="00687B52">
              <w:rPr>
                <w:rFonts w:ascii="Arial" w:cs="Arial"/>
                <w:color w:val="000000" w:themeColor="text1"/>
                <w:sz w:val="18"/>
              </w:rPr>
              <w:t>柜间、</w:t>
            </w:r>
          </w:p>
          <w:p w:rsidR="00481EDB" w:rsidRPr="00687B52" w:rsidRDefault="00481EDB" w:rsidP="00B527D4">
            <w:pPr>
              <w:adjustRightInd w:val="0"/>
              <w:snapToGrid w:val="0"/>
              <w:rPr>
                <w:rFonts w:ascii="Arial" w:cs="Arial"/>
                <w:color w:val="000000" w:themeColor="text1"/>
                <w:sz w:val="18"/>
              </w:rPr>
            </w:pPr>
            <w:r w:rsidRPr="00687B52">
              <w:rPr>
                <w:rFonts w:ascii="Arial" w:cs="Arial"/>
                <w:color w:val="000000" w:themeColor="text1"/>
                <w:sz w:val="18"/>
              </w:rPr>
              <w:t>变配</w:t>
            </w:r>
          </w:p>
          <w:p w:rsidR="00481EDB" w:rsidRPr="00687B52" w:rsidRDefault="00481EDB" w:rsidP="00B527D4">
            <w:pPr>
              <w:adjustRightInd w:val="0"/>
              <w:snapToGrid w:val="0"/>
              <w:rPr>
                <w:rFonts w:ascii="Arial" w:cs="Arial"/>
                <w:color w:val="000000" w:themeColor="text1"/>
                <w:sz w:val="18"/>
              </w:rPr>
            </w:pPr>
            <w:r w:rsidRPr="00687B52">
              <w:rPr>
                <w:rFonts w:ascii="Arial" w:cs="Arial"/>
                <w:color w:val="000000" w:themeColor="text1"/>
                <w:sz w:val="18"/>
              </w:rPr>
              <w:t>电所、</w:t>
            </w:r>
          </w:p>
          <w:p w:rsidR="00481EDB" w:rsidRPr="00687B52" w:rsidRDefault="00481EDB" w:rsidP="00B527D4">
            <w:pPr>
              <w:adjustRightInd w:val="0"/>
              <w:snapToGrid w:val="0"/>
              <w:rPr>
                <w:rFonts w:ascii="Arial" w:cs="Arial"/>
                <w:color w:val="000000" w:themeColor="text1"/>
                <w:sz w:val="18"/>
              </w:rPr>
            </w:pPr>
            <w:r w:rsidRPr="00687B52">
              <w:rPr>
                <w:rFonts w:ascii="Arial" w:cs="Arial"/>
                <w:color w:val="000000" w:themeColor="text1"/>
                <w:sz w:val="18"/>
              </w:rPr>
              <w:t>化验</w:t>
            </w:r>
          </w:p>
          <w:p w:rsidR="00481EDB" w:rsidRPr="00687B52" w:rsidRDefault="00481EDB" w:rsidP="00B527D4">
            <w:pPr>
              <w:adjustRightInd w:val="0"/>
              <w:snapToGrid w:val="0"/>
              <w:rPr>
                <w:rFonts w:ascii="Arial" w:cs="Arial"/>
                <w:color w:val="000000" w:themeColor="text1"/>
                <w:sz w:val="18"/>
              </w:rPr>
            </w:pPr>
            <w:r w:rsidRPr="00687B52">
              <w:rPr>
                <w:rFonts w:ascii="Arial" w:cs="Arial"/>
                <w:color w:val="000000" w:themeColor="text1"/>
                <w:sz w:val="18"/>
              </w:rPr>
              <w:t>室、办</w:t>
            </w:r>
          </w:p>
          <w:p w:rsidR="00481EDB" w:rsidRPr="00687B52" w:rsidRDefault="00481EDB" w:rsidP="00B527D4">
            <w:pPr>
              <w:adjustRightInd w:val="0"/>
              <w:snapToGrid w:val="0"/>
              <w:rPr>
                <w:rFonts w:ascii="Arial" w:hAnsi="Arial" w:cs="Arial"/>
                <w:color w:val="000000" w:themeColor="text1"/>
                <w:sz w:val="18"/>
              </w:rPr>
            </w:pPr>
            <w:r w:rsidRPr="00687B52">
              <w:rPr>
                <w:rFonts w:ascii="Arial" w:cs="Arial"/>
                <w:color w:val="000000" w:themeColor="text1"/>
                <w:sz w:val="18"/>
              </w:rPr>
              <w:t>公室</w:t>
            </w:r>
          </w:p>
        </w:tc>
        <w:tc>
          <w:tcPr>
            <w:tcW w:w="567"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cs="Arial"/>
                <w:color w:val="000000" w:themeColor="text1"/>
                <w:sz w:val="18"/>
              </w:rPr>
              <w:t>明火设备</w:t>
            </w:r>
          </w:p>
        </w:tc>
        <w:tc>
          <w:tcPr>
            <w:tcW w:w="6856" w:type="dxa"/>
            <w:gridSpan w:val="12"/>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操作温度低于自燃点的工艺设备</w:t>
            </w:r>
          </w:p>
        </w:tc>
        <w:tc>
          <w:tcPr>
            <w:tcW w:w="668"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ind w:leftChars="-53" w:left="-111" w:firstLine="1"/>
              <w:rPr>
                <w:rFonts w:ascii="Arial" w:hAnsi="Arial" w:cs="Arial"/>
                <w:color w:val="000000" w:themeColor="text1"/>
                <w:sz w:val="18"/>
              </w:rPr>
            </w:pPr>
            <w:r w:rsidRPr="00687B52">
              <w:rPr>
                <w:rFonts w:ascii="Arial" w:cs="Arial" w:hint="eastAsia"/>
                <w:color w:val="000000" w:themeColor="text1"/>
                <w:sz w:val="18"/>
              </w:rPr>
              <w:t>操作温度等于或高于自燃点的工艺设备</w:t>
            </w:r>
          </w:p>
        </w:tc>
        <w:tc>
          <w:tcPr>
            <w:tcW w:w="761"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ind w:leftChars="-50" w:left="-105"/>
              <w:rPr>
                <w:rFonts w:ascii="Arial" w:hAnsi="Arial" w:cs="Arial"/>
                <w:color w:val="000000" w:themeColor="text1"/>
                <w:sz w:val="18"/>
              </w:rPr>
            </w:pPr>
            <w:r w:rsidRPr="00687B52">
              <w:rPr>
                <w:rFonts w:ascii="Arial" w:hAnsi="Arial" w:cs="Arial" w:hint="eastAsia"/>
                <w:color w:val="000000" w:themeColor="text1"/>
                <w:sz w:val="18"/>
              </w:rPr>
              <w:t>含可燃液体的污水池</w:t>
            </w:r>
            <w:r w:rsidRPr="00687B52">
              <w:rPr>
                <w:rFonts w:ascii="Arial" w:hAnsi="Arial" w:cs="Arial"/>
                <w:color w:val="000000" w:themeColor="text1"/>
                <w:sz w:val="18"/>
              </w:rPr>
              <w:t>、隔油池、酸性污水罐、含油污水罐</w:t>
            </w:r>
          </w:p>
        </w:tc>
        <w:tc>
          <w:tcPr>
            <w:tcW w:w="628"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ind w:leftChars="-51" w:left="-107" w:firstLine="1"/>
              <w:jc w:val="center"/>
              <w:rPr>
                <w:rFonts w:ascii="Arial" w:hAnsi="Arial" w:cs="Arial"/>
                <w:color w:val="000000" w:themeColor="text1"/>
                <w:sz w:val="18"/>
              </w:rPr>
            </w:pPr>
            <w:r w:rsidRPr="00687B52">
              <w:rPr>
                <w:rFonts w:ascii="Arial" w:hAnsi="Arial" w:cs="Arial"/>
                <w:color w:val="000000" w:themeColor="text1"/>
                <w:sz w:val="18"/>
              </w:rPr>
              <w:t>丙类</w:t>
            </w:r>
          </w:p>
          <w:p w:rsidR="00481EDB" w:rsidRPr="00687B52" w:rsidRDefault="00481EDB" w:rsidP="00B527D4">
            <w:pPr>
              <w:adjustRightInd w:val="0"/>
              <w:snapToGrid w:val="0"/>
              <w:ind w:leftChars="-51" w:left="-107" w:firstLine="1"/>
              <w:jc w:val="center"/>
              <w:rPr>
                <w:rFonts w:ascii="Arial" w:hAnsi="Arial" w:cs="Arial"/>
                <w:color w:val="000000" w:themeColor="text1"/>
                <w:sz w:val="18"/>
              </w:rPr>
            </w:pPr>
            <w:r w:rsidRPr="00687B52">
              <w:rPr>
                <w:rFonts w:ascii="Arial" w:hAnsi="Arial" w:cs="Arial"/>
                <w:color w:val="000000" w:themeColor="text1"/>
                <w:sz w:val="18"/>
              </w:rPr>
              <w:t>物品</w:t>
            </w:r>
          </w:p>
          <w:p w:rsidR="00481EDB" w:rsidRPr="00687B52" w:rsidRDefault="00481EDB" w:rsidP="00B527D4">
            <w:pPr>
              <w:adjustRightInd w:val="0"/>
              <w:snapToGrid w:val="0"/>
              <w:ind w:leftChars="-51" w:left="-107" w:firstLine="1"/>
              <w:jc w:val="center"/>
              <w:rPr>
                <w:rFonts w:ascii="Arial" w:hAnsi="Arial" w:cs="Arial"/>
                <w:color w:val="000000" w:themeColor="text1"/>
                <w:sz w:val="18"/>
              </w:rPr>
            </w:pPr>
            <w:r w:rsidRPr="00687B52">
              <w:rPr>
                <w:rFonts w:ascii="Arial" w:hAnsi="Arial" w:cs="Arial"/>
                <w:color w:val="000000" w:themeColor="text1"/>
                <w:sz w:val="18"/>
              </w:rPr>
              <w:t>仓库、</w:t>
            </w:r>
          </w:p>
          <w:p w:rsidR="00481EDB" w:rsidRPr="00687B52" w:rsidRDefault="00481EDB" w:rsidP="00B527D4">
            <w:pPr>
              <w:adjustRightInd w:val="0"/>
              <w:snapToGrid w:val="0"/>
              <w:ind w:leftChars="-51" w:left="-107" w:firstLine="1"/>
              <w:jc w:val="center"/>
              <w:rPr>
                <w:rFonts w:ascii="Arial" w:hAnsi="Arial" w:cs="Arial"/>
                <w:color w:val="000000" w:themeColor="text1"/>
                <w:sz w:val="18"/>
              </w:rPr>
            </w:pPr>
            <w:r w:rsidRPr="00687B52">
              <w:rPr>
                <w:rFonts w:ascii="Arial" w:hAnsi="Arial" w:cs="Arial"/>
                <w:color w:val="000000" w:themeColor="text1"/>
                <w:sz w:val="18"/>
              </w:rPr>
              <w:t>乙类</w:t>
            </w:r>
          </w:p>
          <w:p w:rsidR="00481EDB" w:rsidRPr="00687B52" w:rsidRDefault="00481EDB" w:rsidP="00B527D4">
            <w:pPr>
              <w:adjustRightInd w:val="0"/>
              <w:snapToGrid w:val="0"/>
              <w:ind w:leftChars="-51" w:left="-107" w:firstLine="1"/>
              <w:jc w:val="center"/>
              <w:rPr>
                <w:rFonts w:ascii="Arial" w:hAnsi="Arial" w:cs="Arial"/>
                <w:color w:val="000000" w:themeColor="text1"/>
                <w:sz w:val="18"/>
              </w:rPr>
            </w:pPr>
            <w:r w:rsidRPr="00687B52">
              <w:rPr>
                <w:rFonts w:ascii="Arial" w:hAnsi="Arial" w:cs="Arial"/>
                <w:color w:val="000000" w:themeColor="text1"/>
                <w:sz w:val="18"/>
              </w:rPr>
              <w:t>物品</w:t>
            </w:r>
          </w:p>
          <w:p w:rsidR="00481EDB" w:rsidRPr="00687B52" w:rsidRDefault="00481EDB" w:rsidP="00B527D4">
            <w:pPr>
              <w:adjustRightInd w:val="0"/>
              <w:snapToGrid w:val="0"/>
              <w:ind w:leftChars="-51" w:left="-107" w:firstLine="1"/>
              <w:jc w:val="center"/>
              <w:rPr>
                <w:rFonts w:ascii="Arial" w:hAnsi="Arial" w:cs="Arial"/>
                <w:color w:val="000000" w:themeColor="text1"/>
                <w:sz w:val="18"/>
              </w:rPr>
            </w:pPr>
            <w:r w:rsidRPr="00687B52">
              <w:rPr>
                <w:rFonts w:ascii="Arial" w:hAnsi="Arial" w:cs="Arial"/>
                <w:color w:val="000000" w:themeColor="text1"/>
                <w:sz w:val="18"/>
              </w:rPr>
              <w:t>储存</w:t>
            </w:r>
          </w:p>
          <w:p w:rsidR="00481EDB" w:rsidRPr="00687B52" w:rsidRDefault="00481EDB" w:rsidP="00B527D4">
            <w:pPr>
              <w:adjustRightInd w:val="0"/>
              <w:snapToGrid w:val="0"/>
              <w:ind w:leftChars="-51" w:left="-107" w:firstLine="1"/>
              <w:jc w:val="center"/>
              <w:rPr>
                <w:rFonts w:ascii="Arial" w:hAnsi="Arial" w:cs="Arial"/>
                <w:color w:val="000000" w:themeColor="text1"/>
                <w:sz w:val="18"/>
              </w:rPr>
            </w:pPr>
            <w:r w:rsidRPr="00687B52">
              <w:rPr>
                <w:rFonts w:ascii="Arial" w:hAnsi="Arial" w:cs="Arial"/>
                <w:color w:val="000000" w:themeColor="text1"/>
                <w:sz w:val="18"/>
              </w:rPr>
              <w:t>间</w:t>
            </w:r>
          </w:p>
        </w:tc>
        <w:tc>
          <w:tcPr>
            <w:tcW w:w="622"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cs="Arial" w:hint="eastAsia"/>
                <w:color w:val="000000" w:themeColor="text1"/>
                <w:sz w:val="18"/>
              </w:rPr>
              <w:t>备注</w:t>
            </w:r>
          </w:p>
        </w:tc>
      </w:tr>
      <w:tr w:rsidR="00481EDB" w:rsidRPr="00687B52" w:rsidTr="00856B6C">
        <w:trPr>
          <w:cantSplit/>
          <w:trHeight w:val="310"/>
        </w:trPr>
        <w:tc>
          <w:tcPr>
            <w:tcW w:w="4653" w:type="dxa"/>
            <w:gridSpan w:val="5"/>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701"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567"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1094" w:type="dxa"/>
            <w:gridSpan w:val="2"/>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cs="Arial"/>
                <w:color w:val="000000" w:themeColor="text1"/>
                <w:sz w:val="18"/>
              </w:rPr>
              <w:t>可燃气体压缩机或压缩机房</w:t>
            </w:r>
          </w:p>
        </w:tc>
        <w:tc>
          <w:tcPr>
            <w:tcW w:w="3199" w:type="dxa"/>
            <w:gridSpan w:val="5"/>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装置储罐（总容积）</w:t>
            </w:r>
          </w:p>
        </w:tc>
        <w:tc>
          <w:tcPr>
            <w:tcW w:w="2563" w:type="dxa"/>
            <w:gridSpan w:val="5"/>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cs="Arial"/>
                <w:color w:val="000000" w:themeColor="text1"/>
                <w:sz w:val="18"/>
              </w:rPr>
              <w:t>其他工艺设备或其房间</w:t>
            </w:r>
          </w:p>
        </w:tc>
        <w:tc>
          <w:tcPr>
            <w:tcW w:w="668"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761"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628"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622"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r>
      <w:tr w:rsidR="00481EDB" w:rsidRPr="00687B52" w:rsidTr="00856B6C">
        <w:trPr>
          <w:cantSplit/>
          <w:trHeight w:val="326"/>
        </w:trPr>
        <w:tc>
          <w:tcPr>
            <w:tcW w:w="4653" w:type="dxa"/>
            <w:gridSpan w:val="5"/>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701"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567"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1094" w:type="dxa"/>
            <w:gridSpan w:val="2"/>
            <w:vMerge/>
            <w:tcBorders>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1224" w:type="dxa"/>
            <w:gridSpan w:val="2"/>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cs="Arial" w:hint="eastAsia"/>
                <w:color w:val="000000" w:themeColor="text1"/>
                <w:sz w:val="18"/>
              </w:rPr>
              <w:t>可燃气体</w:t>
            </w:r>
          </w:p>
        </w:tc>
        <w:tc>
          <w:tcPr>
            <w:tcW w:w="734"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ind w:leftChars="-33" w:left="-69"/>
              <w:rPr>
                <w:rFonts w:ascii="Arial" w:hAnsi="Arial" w:cs="Arial"/>
                <w:color w:val="000000" w:themeColor="text1"/>
                <w:sz w:val="18"/>
              </w:rPr>
            </w:pPr>
            <w:r w:rsidRPr="00687B52">
              <w:rPr>
                <w:rFonts w:ascii="Arial" w:hAnsi="Arial" w:cs="Arial" w:hint="eastAsia"/>
                <w:color w:val="000000" w:themeColor="text1"/>
                <w:sz w:val="18"/>
              </w:rPr>
              <w:t>液化烃</w:t>
            </w:r>
          </w:p>
        </w:tc>
        <w:tc>
          <w:tcPr>
            <w:tcW w:w="1241" w:type="dxa"/>
            <w:gridSpan w:val="2"/>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hint="eastAsia"/>
                <w:color w:val="000000" w:themeColor="text1"/>
                <w:sz w:val="18"/>
              </w:rPr>
              <w:t>可燃液体</w:t>
            </w:r>
          </w:p>
        </w:tc>
        <w:tc>
          <w:tcPr>
            <w:tcW w:w="996" w:type="dxa"/>
            <w:gridSpan w:val="2"/>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cs="Arial" w:hint="eastAsia"/>
                <w:color w:val="000000" w:themeColor="text1"/>
                <w:sz w:val="18"/>
              </w:rPr>
              <w:t>可燃气体</w:t>
            </w:r>
          </w:p>
        </w:tc>
        <w:tc>
          <w:tcPr>
            <w:tcW w:w="517"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ind w:leftChars="-51" w:left="1" w:hangingChars="60" w:hanging="108"/>
              <w:rPr>
                <w:rFonts w:ascii="Arial" w:cs="Arial"/>
                <w:color w:val="000000" w:themeColor="text1"/>
                <w:sz w:val="18"/>
              </w:rPr>
            </w:pPr>
            <w:r w:rsidRPr="00687B52">
              <w:rPr>
                <w:rFonts w:ascii="Arial" w:cs="Arial" w:hint="eastAsia"/>
                <w:color w:val="000000" w:themeColor="text1"/>
                <w:sz w:val="18"/>
              </w:rPr>
              <w:t>液化</w:t>
            </w:r>
          </w:p>
          <w:p w:rsidR="00481EDB" w:rsidRPr="00687B52" w:rsidRDefault="00481EDB" w:rsidP="00B527D4">
            <w:pPr>
              <w:adjustRightInd w:val="0"/>
              <w:snapToGrid w:val="0"/>
              <w:rPr>
                <w:rFonts w:ascii="Arial" w:hAnsi="Arial" w:cs="Arial"/>
                <w:color w:val="000000" w:themeColor="text1"/>
                <w:sz w:val="18"/>
              </w:rPr>
            </w:pPr>
            <w:r w:rsidRPr="00687B52">
              <w:rPr>
                <w:rFonts w:ascii="Arial" w:cs="Arial" w:hint="eastAsia"/>
                <w:color w:val="000000" w:themeColor="text1"/>
                <w:sz w:val="18"/>
              </w:rPr>
              <w:t>烃</w:t>
            </w:r>
          </w:p>
        </w:tc>
        <w:tc>
          <w:tcPr>
            <w:tcW w:w="1050" w:type="dxa"/>
            <w:gridSpan w:val="2"/>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cs="Arial" w:hint="eastAsia"/>
                <w:color w:val="000000" w:themeColor="text1"/>
                <w:sz w:val="18"/>
              </w:rPr>
              <w:t>可燃液体</w:t>
            </w:r>
          </w:p>
        </w:tc>
        <w:tc>
          <w:tcPr>
            <w:tcW w:w="668"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761"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628"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622"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r>
      <w:tr w:rsidR="00481EDB" w:rsidRPr="00687B52" w:rsidTr="00856B6C">
        <w:trPr>
          <w:cantSplit/>
          <w:trHeight w:val="326"/>
        </w:trPr>
        <w:tc>
          <w:tcPr>
            <w:tcW w:w="4653" w:type="dxa"/>
            <w:gridSpan w:val="5"/>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701"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567"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1094" w:type="dxa"/>
            <w:gridSpan w:val="2"/>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1224" w:type="dxa"/>
            <w:gridSpan w:val="2"/>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ind w:leftChars="-28" w:left="-59"/>
              <w:rPr>
                <w:rFonts w:ascii="Arial" w:cs="Arial"/>
                <w:color w:val="000000" w:themeColor="text1"/>
                <w:sz w:val="18"/>
              </w:rPr>
            </w:pPr>
            <w:r w:rsidRPr="00687B52">
              <w:rPr>
                <w:rFonts w:ascii="Arial" w:hAnsi="Arial" w:cs="Arial"/>
                <w:color w:val="000000" w:themeColor="text1"/>
                <w:sz w:val="18"/>
              </w:rPr>
              <w:t>200~1000m</w:t>
            </w:r>
            <w:r w:rsidRPr="00687B52">
              <w:rPr>
                <w:rFonts w:ascii="Arial" w:hAnsi="Arial" w:cs="Arial"/>
                <w:color w:val="000000" w:themeColor="text1"/>
                <w:sz w:val="18"/>
                <w:vertAlign w:val="superscript"/>
              </w:rPr>
              <w:t>3</w:t>
            </w:r>
          </w:p>
        </w:tc>
        <w:tc>
          <w:tcPr>
            <w:tcW w:w="734"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hint="eastAsia"/>
                <w:color w:val="000000" w:themeColor="text1"/>
                <w:sz w:val="18"/>
              </w:rPr>
              <w:t>5</w:t>
            </w:r>
            <w:r w:rsidRPr="00687B52">
              <w:rPr>
                <w:rFonts w:ascii="Arial" w:hAnsi="Arial" w:cs="Arial"/>
                <w:color w:val="000000" w:themeColor="text1"/>
                <w:sz w:val="18"/>
              </w:rPr>
              <w:t>0~</w:t>
            </w:r>
          </w:p>
          <w:p w:rsidR="00481EDB" w:rsidRPr="00687B52" w:rsidRDefault="00481EDB" w:rsidP="00B527D4">
            <w:pPr>
              <w:adjustRightInd w:val="0"/>
              <w:snapToGrid w:val="0"/>
              <w:rPr>
                <w:rFonts w:ascii="Arial" w:cs="Arial"/>
                <w:color w:val="000000" w:themeColor="text1"/>
                <w:sz w:val="18"/>
              </w:rPr>
            </w:pPr>
            <w:r w:rsidRPr="00687B52">
              <w:rPr>
                <w:rFonts w:ascii="Arial" w:hAnsi="Arial" w:cs="Arial"/>
                <w:color w:val="000000" w:themeColor="text1"/>
                <w:sz w:val="18"/>
              </w:rPr>
              <w:t>100m</w:t>
            </w:r>
            <w:r w:rsidRPr="00687B52">
              <w:rPr>
                <w:rFonts w:ascii="Arial" w:hAnsi="Arial" w:cs="Arial"/>
                <w:color w:val="000000" w:themeColor="text1"/>
                <w:sz w:val="18"/>
                <w:vertAlign w:val="superscript"/>
              </w:rPr>
              <w:t>3</w:t>
            </w:r>
          </w:p>
        </w:tc>
        <w:tc>
          <w:tcPr>
            <w:tcW w:w="1241" w:type="dxa"/>
            <w:gridSpan w:val="2"/>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cs="Arial"/>
                <w:color w:val="000000" w:themeColor="text1"/>
                <w:sz w:val="18"/>
              </w:rPr>
            </w:pPr>
            <w:r w:rsidRPr="00687B52">
              <w:rPr>
                <w:rFonts w:ascii="Arial" w:hAnsi="Arial" w:cs="Arial" w:hint="eastAsia"/>
                <w:color w:val="000000" w:themeColor="text1"/>
                <w:sz w:val="18"/>
              </w:rPr>
              <w:t>1</w:t>
            </w:r>
            <w:r w:rsidRPr="00687B52">
              <w:rPr>
                <w:rFonts w:ascii="Arial" w:hAnsi="Arial" w:cs="Arial"/>
                <w:color w:val="000000" w:themeColor="text1"/>
                <w:sz w:val="18"/>
              </w:rPr>
              <w:t>00~1000m</w:t>
            </w:r>
            <w:r w:rsidRPr="00687B52">
              <w:rPr>
                <w:rFonts w:ascii="Arial" w:hAnsi="Arial" w:cs="Arial"/>
                <w:color w:val="000000" w:themeColor="text1"/>
                <w:sz w:val="18"/>
                <w:vertAlign w:val="superscript"/>
              </w:rPr>
              <w:t>3</w:t>
            </w:r>
          </w:p>
        </w:tc>
        <w:tc>
          <w:tcPr>
            <w:tcW w:w="996" w:type="dxa"/>
            <w:gridSpan w:val="2"/>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cs="Arial"/>
                <w:color w:val="000000" w:themeColor="text1"/>
                <w:sz w:val="18"/>
              </w:rPr>
            </w:pPr>
          </w:p>
        </w:tc>
        <w:tc>
          <w:tcPr>
            <w:tcW w:w="517"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cs="Arial"/>
                <w:color w:val="000000" w:themeColor="text1"/>
                <w:sz w:val="18"/>
              </w:rPr>
            </w:pPr>
          </w:p>
        </w:tc>
        <w:tc>
          <w:tcPr>
            <w:tcW w:w="1050" w:type="dxa"/>
            <w:gridSpan w:val="2"/>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cs="Arial"/>
                <w:color w:val="000000" w:themeColor="text1"/>
                <w:sz w:val="18"/>
              </w:rPr>
            </w:pPr>
          </w:p>
        </w:tc>
        <w:tc>
          <w:tcPr>
            <w:tcW w:w="668"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Arial" w:cs="Arial"/>
                <w:color w:val="000000" w:themeColor="text1"/>
                <w:sz w:val="18"/>
              </w:rPr>
            </w:pPr>
          </w:p>
        </w:tc>
        <w:tc>
          <w:tcPr>
            <w:tcW w:w="761"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Arial" w:cs="Arial"/>
                <w:color w:val="000000" w:themeColor="text1"/>
                <w:sz w:val="18"/>
              </w:rPr>
            </w:pPr>
          </w:p>
        </w:tc>
        <w:tc>
          <w:tcPr>
            <w:tcW w:w="628"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Arial" w:cs="Arial"/>
                <w:color w:val="000000" w:themeColor="text1"/>
                <w:sz w:val="18"/>
              </w:rPr>
            </w:pPr>
          </w:p>
        </w:tc>
        <w:tc>
          <w:tcPr>
            <w:tcW w:w="622"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Arial" w:cs="Arial"/>
                <w:color w:val="000000" w:themeColor="text1"/>
                <w:sz w:val="18"/>
              </w:rPr>
            </w:pPr>
          </w:p>
        </w:tc>
      </w:tr>
      <w:tr w:rsidR="00481EDB" w:rsidRPr="00687B52" w:rsidTr="00856B6C">
        <w:trPr>
          <w:cantSplit/>
          <w:trHeight w:val="310"/>
        </w:trPr>
        <w:tc>
          <w:tcPr>
            <w:tcW w:w="4653" w:type="dxa"/>
            <w:gridSpan w:val="5"/>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701"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567"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甲</w:t>
            </w:r>
          </w:p>
        </w:tc>
        <w:tc>
          <w:tcPr>
            <w:tcW w:w="52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乙</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甲</w:t>
            </w:r>
          </w:p>
        </w:tc>
        <w:tc>
          <w:tcPr>
            <w:tcW w:w="65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乙</w:t>
            </w:r>
          </w:p>
        </w:tc>
        <w:tc>
          <w:tcPr>
            <w:tcW w:w="734"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甲</w:t>
            </w:r>
            <w:r w:rsidRPr="00687B52">
              <w:rPr>
                <w:rFonts w:ascii="Arial" w:cs="Arial" w:hint="eastAsia"/>
                <w:color w:val="000000" w:themeColor="text1"/>
                <w:sz w:val="18"/>
                <w:vertAlign w:val="subscript"/>
              </w:rPr>
              <w:t>A</w:t>
            </w:r>
          </w:p>
        </w:tc>
        <w:tc>
          <w:tcPr>
            <w:tcW w:w="620"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hint="eastAsia"/>
                <w:color w:val="000000" w:themeColor="text1"/>
                <w:sz w:val="18"/>
              </w:rPr>
              <w:t>甲</w:t>
            </w:r>
            <w:r w:rsidRPr="00687B52">
              <w:rPr>
                <w:rFonts w:ascii="Arial" w:hAnsi="Arial" w:cs="Arial" w:hint="eastAsia"/>
                <w:color w:val="000000" w:themeColor="text1"/>
                <w:sz w:val="18"/>
                <w:vertAlign w:val="subscript"/>
              </w:rPr>
              <w:t>B</w:t>
            </w:r>
            <w:r w:rsidRPr="00687B52">
              <w:rPr>
                <w:rFonts w:ascii="Arial" w:hAnsi="Arial" w:cs="Arial" w:hint="eastAsia"/>
                <w:color w:val="000000" w:themeColor="text1"/>
                <w:sz w:val="18"/>
              </w:rPr>
              <w:t>、乙</w:t>
            </w:r>
            <w:r w:rsidRPr="00687B52">
              <w:rPr>
                <w:rFonts w:ascii="Arial" w:hAnsi="Arial" w:cs="Arial" w:hint="eastAsia"/>
                <w:color w:val="000000" w:themeColor="text1"/>
                <w:sz w:val="18"/>
                <w:vertAlign w:val="subscript"/>
              </w:rPr>
              <w:t>A</w:t>
            </w:r>
          </w:p>
        </w:tc>
        <w:tc>
          <w:tcPr>
            <w:tcW w:w="62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hint="eastAsia"/>
                <w:color w:val="000000" w:themeColor="text1"/>
                <w:sz w:val="18"/>
              </w:rPr>
              <w:t>乙</w:t>
            </w:r>
            <w:r w:rsidRPr="00687B52">
              <w:rPr>
                <w:rFonts w:ascii="Arial" w:hAnsi="Arial" w:cs="Arial" w:hint="eastAsia"/>
                <w:color w:val="000000" w:themeColor="text1"/>
                <w:sz w:val="18"/>
                <w:vertAlign w:val="subscript"/>
              </w:rPr>
              <w:t>B</w:t>
            </w:r>
            <w:r w:rsidRPr="00687B52">
              <w:rPr>
                <w:rFonts w:ascii="Arial" w:hAnsi="Arial" w:cs="Arial" w:hint="eastAsia"/>
                <w:color w:val="000000" w:themeColor="text1"/>
                <w:sz w:val="18"/>
              </w:rPr>
              <w:t>、丙</w:t>
            </w:r>
            <w:r w:rsidRPr="00687B52">
              <w:rPr>
                <w:rFonts w:ascii="Arial" w:hAnsi="Arial" w:cs="Arial" w:hint="eastAsia"/>
                <w:color w:val="000000" w:themeColor="text1"/>
                <w:sz w:val="18"/>
                <w:vertAlign w:val="subscript"/>
              </w:rPr>
              <w:t>A</w:t>
            </w:r>
          </w:p>
        </w:tc>
        <w:tc>
          <w:tcPr>
            <w:tcW w:w="48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甲</w:t>
            </w:r>
          </w:p>
        </w:tc>
        <w:tc>
          <w:tcPr>
            <w:tcW w:w="51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乙</w:t>
            </w:r>
          </w:p>
        </w:tc>
        <w:tc>
          <w:tcPr>
            <w:tcW w:w="51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color w:val="000000" w:themeColor="text1"/>
                <w:sz w:val="18"/>
              </w:rPr>
              <w:t>甲</w:t>
            </w:r>
            <w:r w:rsidRPr="00687B52">
              <w:rPr>
                <w:rFonts w:ascii="Arial" w:cs="Arial" w:hint="eastAsia"/>
                <w:color w:val="000000" w:themeColor="text1"/>
                <w:sz w:val="18"/>
                <w:vertAlign w:val="subscript"/>
              </w:rPr>
              <w:t>A</w:t>
            </w: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ind w:leftChars="-52" w:left="-107" w:hangingChars="1" w:hanging="2"/>
              <w:rPr>
                <w:rFonts w:ascii="Arial" w:hAnsi="Arial" w:cs="Arial"/>
                <w:color w:val="000000" w:themeColor="text1"/>
                <w:sz w:val="18"/>
              </w:rPr>
            </w:pPr>
            <w:r w:rsidRPr="00687B52">
              <w:rPr>
                <w:rFonts w:ascii="Arial" w:hAnsi="Arial" w:cs="Arial" w:hint="eastAsia"/>
                <w:color w:val="000000" w:themeColor="text1"/>
                <w:sz w:val="18"/>
              </w:rPr>
              <w:t>甲</w:t>
            </w:r>
            <w:r w:rsidRPr="00687B52">
              <w:rPr>
                <w:rFonts w:ascii="Arial" w:hAnsi="Arial" w:cs="Arial" w:hint="eastAsia"/>
                <w:color w:val="000000" w:themeColor="text1"/>
                <w:sz w:val="18"/>
                <w:vertAlign w:val="subscript"/>
              </w:rPr>
              <w:t>B</w:t>
            </w:r>
            <w:r w:rsidRPr="00687B52">
              <w:rPr>
                <w:rFonts w:ascii="Arial" w:hAnsi="Arial" w:cs="Arial" w:hint="eastAsia"/>
                <w:color w:val="000000" w:themeColor="text1"/>
                <w:sz w:val="18"/>
              </w:rPr>
              <w:t>、乙</w:t>
            </w:r>
            <w:r w:rsidRPr="00687B52">
              <w:rPr>
                <w:rFonts w:ascii="Arial" w:hAnsi="Arial" w:cs="Arial" w:hint="eastAsia"/>
                <w:color w:val="000000" w:themeColor="text1"/>
                <w:sz w:val="18"/>
                <w:vertAlign w:val="subscript"/>
              </w:rPr>
              <w:t>A</w:t>
            </w: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ind w:leftChars="-51" w:left="-107"/>
              <w:rPr>
                <w:rFonts w:ascii="Arial" w:hAnsi="Arial" w:cs="Arial"/>
                <w:color w:val="000000" w:themeColor="text1"/>
                <w:sz w:val="18"/>
              </w:rPr>
            </w:pPr>
            <w:r w:rsidRPr="00687B52">
              <w:rPr>
                <w:rFonts w:ascii="Arial" w:hAnsi="Arial" w:cs="Arial" w:hint="eastAsia"/>
                <w:color w:val="000000" w:themeColor="text1"/>
                <w:sz w:val="18"/>
              </w:rPr>
              <w:t>乙</w:t>
            </w:r>
            <w:r w:rsidRPr="00687B52">
              <w:rPr>
                <w:rFonts w:ascii="Arial" w:hAnsi="Arial" w:cs="Arial" w:hint="eastAsia"/>
                <w:color w:val="000000" w:themeColor="text1"/>
                <w:sz w:val="18"/>
                <w:vertAlign w:val="subscript"/>
              </w:rPr>
              <w:t>B</w:t>
            </w:r>
            <w:r w:rsidRPr="00687B52">
              <w:rPr>
                <w:rFonts w:ascii="Arial" w:hAnsi="Arial" w:cs="Arial" w:hint="eastAsia"/>
                <w:color w:val="000000" w:themeColor="text1"/>
                <w:sz w:val="18"/>
              </w:rPr>
              <w:t>、丙</w:t>
            </w:r>
            <w:r w:rsidRPr="00687B52">
              <w:rPr>
                <w:rFonts w:ascii="Arial" w:hAnsi="Arial" w:cs="Arial" w:hint="eastAsia"/>
                <w:color w:val="000000" w:themeColor="text1"/>
                <w:sz w:val="18"/>
                <w:vertAlign w:val="subscript"/>
              </w:rPr>
              <w:t>A</w:t>
            </w:r>
          </w:p>
        </w:tc>
        <w:tc>
          <w:tcPr>
            <w:tcW w:w="668"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761"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628"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622"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r>
      <w:tr w:rsidR="00481EDB" w:rsidRPr="00687B52" w:rsidTr="00856B6C">
        <w:trPr>
          <w:cantSplit/>
          <w:trHeight w:val="284"/>
        </w:trPr>
        <w:tc>
          <w:tcPr>
            <w:tcW w:w="4653" w:type="dxa"/>
            <w:gridSpan w:val="5"/>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cs="Arial"/>
                <w:color w:val="000000" w:themeColor="text1"/>
                <w:sz w:val="18"/>
              </w:rPr>
              <w:t>控制室、机柜间、变配电所、化验室、办公室</w:t>
            </w:r>
          </w:p>
        </w:tc>
        <w:tc>
          <w:tcPr>
            <w:tcW w:w="701" w:type="dxa"/>
            <w:tcBorders>
              <w:top w:val="single" w:sz="4" w:space="0" w:color="auto"/>
              <w:left w:val="single" w:sz="4" w:space="0" w:color="auto"/>
              <w:bottom w:val="single" w:sz="4" w:space="0" w:color="auto"/>
              <w:right w:val="single" w:sz="12"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67" w:type="dxa"/>
            <w:tcBorders>
              <w:top w:val="single" w:sz="4" w:space="0" w:color="auto"/>
              <w:left w:val="single" w:sz="12" w:space="0" w:color="auto"/>
              <w:bottom w:val="single" w:sz="12"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2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5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734"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0"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48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1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1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6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76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r>
      <w:tr w:rsidR="00481EDB" w:rsidRPr="00687B52" w:rsidTr="00856B6C">
        <w:trPr>
          <w:cantSplit/>
          <w:trHeight w:val="284"/>
        </w:trPr>
        <w:tc>
          <w:tcPr>
            <w:tcW w:w="4653" w:type="dxa"/>
            <w:gridSpan w:val="5"/>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cs="Arial"/>
                <w:color w:val="000000" w:themeColor="text1"/>
                <w:sz w:val="18"/>
              </w:rPr>
              <w:t>明火设备</w:t>
            </w:r>
          </w:p>
        </w:tc>
        <w:tc>
          <w:tcPr>
            <w:tcW w:w="70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color w:val="000000" w:themeColor="text1"/>
                <w:sz w:val="18"/>
              </w:rPr>
              <w:t>15</w:t>
            </w:r>
          </w:p>
        </w:tc>
        <w:tc>
          <w:tcPr>
            <w:tcW w:w="567" w:type="dxa"/>
            <w:tcBorders>
              <w:top w:val="single" w:sz="12" w:space="0" w:color="auto"/>
              <w:left w:val="single" w:sz="4" w:space="0" w:color="auto"/>
              <w:bottom w:val="single" w:sz="4" w:space="0" w:color="auto"/>
              <w:right w:val="single" w:sz="12"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67" w:type="dxa"/>
            <w:tcBorders>
              <w:top w:val="single" w:sz="4" w:space="0" w:color="auto"/>
              <w:left w:val="single" w:sz="12" w:space="0" w:color="auto"/>
              <w:bottom w:val="single" w:sz="12"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2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5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734"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0"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48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1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1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6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76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r>
      <w:tr w:rsidR="00481EDB" w:rsidRPr="00687B52" w:rsidTr="00856B6C">
        <w:trPr>
          <w:cantSplit/>
          <w:trHeight w:val="284"/>
        </w:trPr>
        <w:tc>
          <w:tcPr>
            <w:tcW w:w="777" w:type="dxa"/>
            <w:vMerge w:val="restart"/>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cs="Arial"/>
                <w:color w:val="000000" w:themeColor="text1"/>
                <w:sz w:val="18"/>
              </w:rPr>
              <w:t>操作温度低于自燃点的工艺设备</w:t>
            </w:r>
          </w:p>
        </w:tc>
        <w:tc>
          <w:tcPr>
            <w:tcW w:w="2941" w:type="dxa"/>
            <w:gridSpan w:val="3"/>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cs="Arial"/>
                <w:color w:val="000000" w:themeColor="text1"/>
                <w:sz w:val="18"/>
              </w:rPr>
              <w:t>可燃气体压缩机或压缩机房</w:t>
            </w:r>
          </w:p>
        </w:tc>
        <w:tc>
          <w:tcPr>
            <w:tcW w:w="93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cs="Arial"/>
                <w:color w:val="000000" w:themeColor="text1"/>
                <w:sz w:val="18"/>
              </w:rPr>
              <w:t>甲</w:t>
            </w:r>
          </w:p>
        </w:tc>
        <w:tc>
          <w:tcPr>
            <w:tcW w:w="70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color w:val="000000" w:themeColor="text1"/>
                <w:sz w:val="18"/>
              </w:rPr>
              <w:t>15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color w:val="000000" w:themeColor="text1"/>
                <w:sz w:val="18"/>
              </w:rPr>
              <w:t>22.5</w:t>
            </w:r>
          </w:p>
        </w:tc>
        <w:tc>
          <w:tcPr>
            <w:tcW w:w="567" w:type="dxa"/>
            <w:tcBorders>
              <w:top w:val="single" w:sz="12" w:space="0" w:color="auto"/>
              <w:left w:val="single" w:sz="4" w:space="0" w:color="auto"/>
              <w:bottom w:val="single" w:sz="4" w:space="0" w:color="auto"/>
              <w:right w:val="single" w:sz="12"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27" w:type="dxa"/>
            <w:tcBorders>
              <w:top w:val="single" w:sz="4" w:space="0" w:color="auto"/>
              <w:left w:val="single" w:sz="12" w:space="0" w:color="auto"/>
              <w:bottom w:val="single" w:sz="12"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5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734"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0"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48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1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1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6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76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2"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注</w:t>
            </w:r>
            <w:r w:rsidRPr="00687B52">
              <w:rPr>
                <w:rFonts w:ascii="Arial" w:hAnsi="Arial" w:cs="Arial" w:hint="eastAsia"/>
                <w:color w:val="000000" w:themeColor="text1"/>
                <w:sz w:val="18"/>
              </w:rPr>
              <w:t>1</w:t>
            </w:r>
          </w:p>
        </w:tc>
      </w:tr>
      <w:tr w:rsidR="00481EDB" w:rsidRPr="00687B52" w:rsidTr="00856B6C">
        <w:trPr>
          <w:cantSplit/>
          <w:trHeight w:val="284"/>
        </w:trPr>
        <w:tc>
          <w:tcPr>
            <w:tcW w:w="777" w:type="dxa"/>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2941" w:type="dxa"/>
            <w:gridSpan w:val="3"/>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93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cs="Arial"/>
                <w:color w:val="000000" w:themeColor="text1"/>
                <w:sz w:val="18"/>
              </w:rPr>
              <w:t>乙</w:t>
            </w:r>
          </w:p>
        </w:tc>
        <w:tc>
          <w:tcPr>
            <w:tcW w:w="70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color w:val="000000" w:themeColor="text1"/>
                <w:sz w:val="18"/>
              </w:rPr>
              <w:t>9</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color w:val="000000" w:themeColor="text1"/>
                <w:sz w:val="18"/>
              </w:rPr>
              <w:t>9</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27" w:type="dxa"/>
            <w:tcBorders>
              <w:top w:val="single" w:sz="12" w:space="0" w:color="auto"/>
              <w:left w:val="single" w:sz="4" w:space="0" w:color="auto"/>
              <w:bottom w:val="single" w:sz="4" w:space="0" w:color="auto"/>
              <w:right w:val="single" w:sz="12"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67" w:type="dxa"/>
            <w:tcBorders>
              <w:top w:val="single" w:sz="4" w:space="0" w:color="auto"/>
              <w:left w:val="single" w:sz="12"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5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734"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0"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48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1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1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6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76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2"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r>
      <w:tr w:rsidR="00481EDB" w:rsidRPr="00687B52" w:rsidTr="00856B6C">
        <w:trPr>
          <w:cantSplit/>
          <w:trHeight w:val="284"/>
        </w:trPr>
        <w:tc>
          <w:tcPr>
            <w:tcW w:w="777" w:type="dxa"/>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998"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装置储罐</w:t>
            </w:r>
          </w:p>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（总容积）</w:t>
            </w:r>
          </w:p>
        </w:tc>
        <w:tc>
          <w:tcPr>
            <w:tcW w:w="704"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可燃</w:t>
            </w:r>
          </w:p>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气体</w:t>
            </w:r>
          </w:p>
        </w:tc>
        <w:tc>
          <w:tcPr>
            <w:tcW w:w="1239"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color w:val="000000" w:themeColor="text1"/>
                <w:sz w:val="18"/>
              </w:rPr>
              <w:t>200~1000m</w:t>
            </w:r>
            <w:r w:rsidRPr="00687B52">
              <w:rPr>
                <w:rFonts w:ascii="Arial" w:hAnsi="Arial" w:cs="Arial"/>
                <w:color w:val="000000" w:themeColor="text1"/>
                <w:sz w:val="18"/>
                <w:vertAlign w:val="superscript"/>
              </w:rPr>
              <w:t>3</w:t>
            </w:r>
          </w:p>
        </w:tc>
        <w:tc>
          <w:tcPr>
            <w:tcW w:w="93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cs="Arial"/>
                <w:color w:val="000000" w:themeColor="text1"/>
                <w:sz w:val="18"/>
              </w:rPr>
              <w:t>甲</w:t>
            </w:r>
          </w:p>
        </w:tc>
        <w:tc>
          <w:tcPr>
            <w:tcW w:w="70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w:t>
            </w:r>
            <w:r w:rsidRPr="00687B52">
              <w:rPr>
                <w:rFonts w:ascii="Arial" w:hAnsi="Arial" w:cs="Arial"/>
                <w:color w:val="000000" w:themeColor="text1"/>
                <w:sz w:val="18"/>
              </w:rPr>
              <w:t>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52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7.5</w:t>
            </w:r>
          </w:p>
        </w:tc>
        <w:tc>
          <w:tcPr>
            <w:tcW w:w="567" w:type="dxa"/>
            <w:tcBorders>
              <w:top w:val="single" w:sz="12" w:space="0" w:color="auto"/>
              <w:left w:val="single" w:sz="4" w:space="0" w:color="auto"/>
              <w:bottom w:val="single" w:sz="4" w:space="0" w:color="auto"/>
              <w:right w:val="single" w:sz="12"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657" w:type="dxa"/>
            <w:tcBorders>
              <w:top w:val="single" w:sz="4" w:space="0" w:color="auto"/>
              <w:left w:val="single" w:sz="12" w:space="0" w:color="auto"/>
              <w:bottom w:val="single" w:sz="12"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734"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620"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62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48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1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1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6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76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2"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注</w:t>
            </w:r>
            <w:r w:rsidRPr="00687B52">
              <w:rPr>
                <w:rFonts w:ascii="Arial" w:hAnsi="Arial" w:cs="Arial" w:hint="eastAsia"/>
                <w:color w:val="000000" w:themeColor="text1"/>
                <w:sz w:val="18"/>
              </w:rPr>
              <w:t>2</w:t>
            </w:r>
          </w:p>
        </w:tc>
      </w:tr>
      <w:tr w:rsidR="00481EDB" w:rsidRPr="00687B52" w:rsidTr="00856B6C">
        <w:trPr>
          <w:cantSplit/>
          <w:trHeight w:val="284"/>
        </w:trPr>
        <w:tc>
          <w:tcPr>
            <w:tcW w:w="777" w:type="dxa"/>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998"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704"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1239"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93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cs="Arial"/>
                <w:color w:val="000000" w:themeColor="text1"/>
                <w:sz w:val="18"/>
              </w:rPr>
              <w:t>乙</w:t>
            </w:r>
          </w:p>
        </w:tc>
        <w:tc>
          <w:tcPr>
            <w:tcW w:w="70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7.5</w:t>
            </w:r>
          </w:p>
        </w:tc>
        <w:tc>
          <w:tcPr>
            <w:tcW w:w="52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7.5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657" w:type="dxa"/>
            <w:tcBorders>
              <w:top w:val="single" w:sz="12" w:space="0" w:color="auto"/>
              <w:left w:val="single" w:sz="4" w:space="0" w:color="auto"/>
              <w:bottom w:val="single" w:sz="4" w:space="0" w:color="auto"/>
              <w:right w:val="single" w:sz="12"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734" w:type="dxa"/>
            <w:tcBorders>
              <w:top w:val="single" w:sz="4" w:space="0" w:color="auto"/>
              <w:left w:val="single" w:sz="12" w:space="0" w:color="auto"/>
              <w:bottom w:val="single" w:sz="12"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620"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62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48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1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1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6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76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2" w:type="dxa"/>
            <w:vMerge/>
            <w:tcBorders>
              <w:left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r>
      <w:tr w:rsidR="00481EDB" w:rsidRPr="00687B52" w:rsidTr="00856B6C">
        <w:trPr>
          <w:cantSplit/>
          <w:trHeight w:val="284"/>
        </w:trPr>
        <w:tc>
          <w:tcPr>
            <w:tcW w:w="777" w:type="dxa"/>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998"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704"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ind w:leftChars="-51" w:left="1" w:hangingChars="60" w:hanging="108"/>
              <w:jc w:val="center"/>
              <w:rPr>
                <w:rFonts w:ascii="Arial" w:hAnsi="Arial" w:cs="Arial"/>
                <w:color w:val="000000" w:themeColor="text1"/>
                <w:sz w:val="18"/>
              </w:rPr>
            </w:pPr>
            <w:r w:rsidRPr="00687B52">
              <w:rPr>
                <w:rFonts w:ascii="Arial" w:cs="Arial"/>
                <w:color w:val="000000" w:themeColor="text1"/>
                <w:sz w:val="18"/>
              </w:rPr>
              <w:t>液化烃</w:t>
            </w:r>
          </w:p>
        </w:tc>
        <w:tc>
          <w:tcPr>
            <w:tcW w:w="1239"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color w:val="000000" w:themeColor="text1"/>
                <w:sz w:val="18"/>
              </w:rPr>
              <w:t>50~100m</w:t>
            </w:r>
            <w:r w:rsidRPr="00687B52">
              <w:rPr>
                <w:rFonts w:ascii="Arial" w:hAnsi="Arial" w:cs="Arial"/>
                <w:color w:val="000000" w:themeColor="text1"/>
                <w:sz w:val="18"/>
                <w:vertAlign w:val="superscript"/>
              </w:rPr>
              <w:t>3</w:t>
            </w:r>
          </w:p>
        </w:tc>
        <w:tc>
          <w:tcPr>
            <w:tcW w:w="93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cs="Arial"/>
                <w:color w:val="000000" w:themeColor="text1"/>
                <w:sz w:val="18"/>
              </w:rPr>
              <w:t>甲</w:t>
            </w:r>
            <w:r w:rsidRPr="00687B52">
              <w:rPr>
                <w:rFonts w:ascii="Arial" w:hAnsi="Arial" w:cs="Arial"/>
                <w:color w:val="000000" w:themeColor="text1"/>
                <w:sz w:val="18"/>
                <w:vertAlign w:val="subscript"/>
              </w:rPr>
              <w:t>A</w:t>
            </w:r>
          </w:p>
        </w:tc>
        <w:tc>
          <w:tcPr>
            <w:tcW w:w="70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22.5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22.</w:t>
            </w:r>
            <w:r w:rsidRPr="00687B52">
              <w:rPr>
                <w:rFonts w:ascii="Arial" w:hAnsi="Arial" w:cs="Arial"/>
                <w:color w:val="000000" w:themeColor="text1"/>
                <w:sz w:val="18"/>
              </w:rPr>
              <w:t>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52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65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734" w:type="dxa"/>
            <w:tcBorders>
              <w:top w:val="single" w:sz="12" w:space="0" w:color="auto"/>
              <w:left w:val="single" w:sz="4" w:space="0" w:color="auto"/>
              <w:bottom w:val="single" w:sz="4" w:space="0" w:color="auto"/>
              <w:right w:val="single" w:sz="12"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620" w:type="dxa"/>
            <w:tcBorders>
              <w:top w:val="single" w:sz="4" w:space="0" w:color="auto"/>
              <w:left w:val="single" w:sz="12" w:space="0" w:color="auto"/>
              <w:bottom w:val="single" w:sz="12"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62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48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1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1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6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76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2" w:type="dxa"/>
            <w:vMerge/>
            <w:tcBorders>
              <w:left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r>
      <w:tr w:rsidR="00481EDB" w:rsidRPr="00687B52" w:rsidTr="00856B6C">
        <w:trPr>
          <w:cantSplit/>
          <w:trHeight w:val="284"/>
        </w:trPr>
        <w:tc>
          <w:tcPr>
            <w:tcW w:w="777" w:type="dxa"/>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998"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704"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可燃</w:t>
            </w:r>
          </w:p>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液体</w:t>
            </w:r>
          </w:p>
        </w:tc>
        <w:tc>
          <w:tcPr>
            <w:tcW w:w="1239"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color w:val="000000" w:themeColor="text1"/>
                <w:sz w:val="18"/>
              </w:rPr>
              <w:t>100~1000m</w:t>
            </w:r>
            <w:r w:rsidRPr="00687B52">
              <w:rPr>
                <w:rFonts w:ascii="Arial" w:hAnsi="Arial" w:cs="Arial"/>
                <w:color w:val="000000" w:themeColor="text1"/>
                <w:sz w:val="18"/>
                <w:vertAlign w:val="superscript"/>
              </w:rPr>
              <w:t>3</w:t>
            </w:r>
          </w:p>
        </w:tc>
        <w:tc>
          <w:tcPr>
            <w:tcW w:w="93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cs="Arial"/>
                <w:color w:val="000000" w:themeColor="text1"/>
                <w:sz w:val="18"/>
              </w:rPr>
              <w:t>甲</w:t>
            </w:r>
            <w:r w:rsidRPr="00687B52">
              <w:rPr>
                <w:rFonts w:ascii="Arial" w:hAnsi="Arial" w:cs="Arial"/>
                <w:color w:val="000000" w:themeColor="text1"/>
                <w:sz w:val="18"/>
                <w:vertAlign w:val="subscript"/>
              </w:rPr>
              <w:t>B</w:t>
            </w:r>
            <w:r w:rsidRPr="00687B52">
              <w:rPr>
                <w:rFonts w:ascii="Arial" w:cs="Arial"/>
                <w:color w:val="000000" w:themeColor="text1"/>
                <w:sz w:val="18"/>
              </w:rPr>
              <w:t>、乙</w:t>
            </w:r>
            <w:r w:rsidRPr="00687B52">
              <w:rPr>
                <w:rFonts w:ascii="Arial" w:hAnsi="Arial" w:cs="Arial"/>
                <w:color w:val="000000" w:themeColor="text1"/>
                <w:sz w:val="18"/>
                <w:vertAlign w:val="subscript"/>
              </w:rPr>
              <w:t>A</w:t>
            </w:r>
          </w:p>
        </w:tc>
        <w:tc>
          <w:tcPr>
            <w:tcW w:w="70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52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7.5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65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734"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620" w:type="dxa"/>
            <w:tcBorders>
              <w:top w:val="single" w:sz="12" w:space="0" w:color="auto"/>
              <w:left w:val="single" w:sz="4" w:space="0" w:color="auto"/>
              <w:bottom w:val="single" w:sz="4" w:space="0" w:color="auto"/>
              <w:right w:val="single" w:sz="12"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621" w:type="dxa"/>
            <w:tcBorders>
              <w:top w:val="single" w:sz="4" w:space="0" w:color="auto"/>
              <w:left w:val="single" w:sz="12" w:space="0" w:color="auto"/>
              <w:bottom w:val="single" w:sz="12"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48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1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1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6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76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2" w:type="dxa"/>
            <w:vMerge/>
            <w:tcBorders>
              <w:left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r>
      <w:tr w:rsidR="00481EDB" w:rsidRPr="00687B52" w:rsidTr="00856B6C">
        <w:trPr>
          <w:cantSplit/>
          <w:trHeight w:val="284"/>
        </w:trPr>
        <w:tc>
          <w:tcPr>
            <w:tcW w:w="777" w:type="dxa"/>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998"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704"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1239"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93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cs="Arial"/>
                <w:color w:val="000000" w:themeColor="text1"/>
                <w:sz w:val="18"/>
              </w:rPr>
              <w:t>乙</w:t>
            </w:r>
            <w:r w:rsidRPr="00687B52">
              <w:rPr>
                <w:rFonts w:ascii="Arial" w:hAnsi="Arial" w:cs="Arial"/>
                <w:color w:val="000000" w:themeColor="text1"/>
                <w:sz w:val="18"/>
                <w:vertAlign w:val="subscript"/>
              </w:rPr>
              <w:t>B</w:t>
            </w:r>
            <w:r w:rsidRPr="00687B52">
              <w:rPr>
                <w:rFonts w:ascii="Arial" w:cs="Arial"/>
                <w:color w:val="000000" w:themeColor="text1"/>
                <w:sz w:val="18"/>
              </w:rPr>
              <w:t>、丙</w:t>
            </w:r>
            <w:r w:rsidRPr="00687B52">
              <w:rPr>
                <w:rFonts w:ascii="Arial" w:hAnsi="Arial" w:cs="Arial"/>
                <w:color w:val="000000" w:themeColor="text1"/>
                <w:sz w:val="18"/>
                <w:vertAlign w:val="subscript"/>
              </w:rPr>
              <w:t>A</w:t>
            </w:r>
          </w:p>
        </w:tc>
        <w:tc>
          <w:tcPr>
            <w:tcW w:w="70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7.5</w:t>
            </w:r>
          </w:p>
        </w:tc>
        <w:tc>
          <w:tcPr>
            <w:tcW w:w="52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7.5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65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734"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620"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621" w:type="dxa"/>
            <w:tcBorders>
              <w:top w:val="single" w:sz="12" w:space="0" w:color="auto"/>
              <w:left w:val="single" w:sz="4" w:space="0" w:color="auto"/>
              <w:bottom w:val="single" w:sz="4" w:space="0" w:color="auto"/>
              <w:right w:val="single" w:sz="12"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483" w:type="dxa"/>
            <w:tcBorders>
              <w:top w:val="single" w:sz="4" w:space="0" w:color="auto"/>
              <w:left w:val="single" w:sz="12" w:space="0" w:color="auto"/>
              <w:bottom w:val="single" w:sz="12"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1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1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6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76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2"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r>
      <w:tr w:rsidR="00481EDB" w:rsidRPr="00687B52" w:rsidTr="00856B6C">
        <w:trPr>
          <w:cantSplit/>
          <w:trHeight w:val="284"/>
        </w:trPr>
        <w:tc>
          <w:tcPr>
            <w:tcW w:w="777" w:type="dxa"/>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其他工艺设备或房间</w:t>
            </w:r>
          </w:p>
        </w:tc>
        <w:tc>
          <w:tcPr>
            <w:tcW w:w="1943" w:type="dxa"/>
            <w:gridSpan w:val="2"/>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cs="Arial"/>
                <w:color w:val="000000" w:themeColor="text1"/>
                <w:sz w:val="18"/>
              </w:rPr>
              <w:t>可燃气体</w:t>
            </w:r>
          </w:p>
        </w:tc>
        <w:tc>
          <w:tcPr>
            <w:tcW w:w="93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cs="Arial"/>
                <w:color w:val="000000" w:themeColor="text1"/>
                <w:sz w:val="18"/>
              </w:rPr>
              <w:t>甲</w:t>
            </w:r>
          </w:p>
        </w:tc>
        <w:tc>
          <w:tcPr>
            <w:tcW w:w="70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color w:val="000000" w:themeColor="text1"/>
                <w:sz w:val="18"/>
              </w:rPr>
              <w:t>15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w:t>
            </w:r>
            <w:r w:rsidRPr="00687B52">
              <w:rPr>
                <w:rFonts w:ascii="Arial" w:hAnsi="Arial" w:cs="Arial"/>
                <w:color w:val="000000" w:themeColor="text1"/>
                <w:sz w:val="18"/>
              </w:rPr>
              <w:t>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52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65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7.5</w:t>
            </w:r>
          </w:p>
        </w:tc>
        <w:tc>
          <w:tcPr>
            <w:tcW w:w="734"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620"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62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7.5</w:t>
            </w:r>
          </w:p>
        </w:tc>
        <w:tc>
          <w:tcPr>
            <w:tcW w:w="483" w:type="dxa"/>
            <w:tcBorders>
              <w:top w:val="single" w:sz="12" w:space="0" w:color="auto"/>
              <w:left w:val="single" w:sz="4" w:space="0" w:color="auto"/>
              <w:bottom w:val="single" w:sz="4" w:space="0" w:color="auto"/>
              <w:right w:val="single" w:sz="12"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13" w:type="dxa"/>
            <w:tcBorders>
              <w:top w:val="single" w:sz="4" w:space="0" w:color="auto"/>
              <w:left w:val="single" w:sz="12" w:space="0" w:color="auto"/>
              <w:bottom w:val="single" w:sz="12"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1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66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76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2"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r>
      <w:tr w:rsidR="00481EDB" w:rsidRPr="00687B52" w:rsidTr="00856B6C">
        <w:trPr>
          <w:cantSplit/>
          <w:trHeight w:val="284"/>
        </w:trPr>
        <w:tc>
          <w:tcPr>
            <w:tcW w:w="777" w:type="dxa"/>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998" w:type="dxa"/>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1943" w:type="dxa"/>
            <w:gridSpan w:val="2"/>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93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cs="Arial"/>
                <w:color w:val="000000" w:themeColor="text1"/>
                <w:sz w:val="18"/>
              </w:rPr>
              <w:t>乙</w:t>
            </w:r>
          </w:p>
        </w:tc>
        <w:tc>
          <w:tcPr>
            <w:tcW w:w="70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7.5</w:t>
            </w:r>
          </w:p>
        </w:tc>
        <w:tc>
          <w:tcPr>
            <w:tcW w:w="52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7.5</w:t>
            </w:r>
          </w:p>
        </w:tc>
        <w:tc>
          <w:tcPr>
            <w:tcW w:w="65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734"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7.5</w:t>
            </w:r>
          </w:p>
        </w:tc>
        <w:tc>
          <w:tcPr>
            <w:tcW w:w="620"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7.5</w:t>
            </w:r>
          </w:p>
        </w:tc>
        <w:tc>
          <w:tcPr>
            <w:tcW w:w="62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48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13" w:type="dxa"/>
            <w:tcBorders>
              <w:top w:val="single" w:sz="12" w:space="0" w:color="auto"/>
              <w:left w:val="single" w:sz="4" w:space="0" w:color="auto"/>
              <w:bottom w:val="single" w:sz="4" w:space="0" w:color="auto"/>
              <w:right w:val="single" w:sz="12"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17" w:type="dxa"/>
            <w:tcBorders>
              <w:top w:val="single" w:sz="4" w:space="0" w:color="auto"/>
              <w:left w:val="single" w:sz="12" w:space="0" w:color="auto"/>
              <w:bottom w:val="single" w:sz="12"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66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76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2" w:type="dxa"/>
            <w:vMerge/>
            <w:tcBorders>
              <w:left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r>
      <w:tr w:rsidR="00481EDB" w:rsidRPr="00687B52" w:rsidTr="00856B6C">
        <w:trPr>
          <w:cantSplit/>
          <w:trHeight w:val="284"/>
        </w:trPr>
        <w:tc>
          <w:tcPr>
            <w:tcW w:w="777" w:type="dxa"/>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998" w:type="dxa"/>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1943" w:type="dxa"/>
            <w:gridSpan w:val="2"/>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cs="Arial"/>
                <w:color w:val="000000" w:themeColor="text1"/>
                <w:sz w:val="18"/>
              </w:rPr>
              <w:t>液化烃</w:t>
            </w:r>
          </w:p>
        </w:tc>
        <w:tc>
          <w:tcPr>
            <w:tcW w:w="93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cs="Arial"/>
                <w:color w:val="000000" w:themeColor="text1"/>
                <w:sz w:val="18"/>
              </w:rPr>
              <w:t>甲</w:t>
            </w:r>
            <w:r w:rsidRPr="00687B52">
              <w:rPr>
                <w:rFonts w:ascii="Arial" w:hAnsi="Arial" w:cs="Arial"/>
                <w:color w:val="000000" w:themeColor="text1"/>
                <w:sz w:val="18"/>
                <w:vertAlign w:val="subscript"/>
              </w:rPr>
              <w:t>A</w:t>
            </w:r>
          </w:p>
        </w:tc>
        <w:tc>
          <w:tcPr>
            <w:tcW w:w="70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color w:val="000000" w:themeColor="text1"/>
                <w:sz w:val="18"/>
              </w:rPr>
              <w:t>15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22.</w:t>
            </w:r>
            <w:r w:rsidRPr="00687B52">
              <w:rPr>
                <w:rFonts w:ascii="Arial" w:hAnsi="Arial" w:cs="Arial"/>
                <w:color w:val="000000" w:themeColor="text1"/>
                <w:sz w:val="18"/>
              </w:rPr>
              <w:t>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52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7.5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65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7.5</w:t>
            </w:r>
          </w:p>
        </w:tc>
        <w:tc>
          <w:tcPr>
            <w:tcW w:w="734"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620"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62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7.5</w:t>
            </w:r>
          </w:p>
        </w:tc>
        <w:tc>
          <w:tcPr>
            <w:tcW w:w="48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1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17" w:type="dxa"/>
            <w:tcBorders>
              <w:top w:val="single" w:sz="12" w:space="0" w:color="auto"/>
              <w:left w:val="single" w:sz="4" w:space="0" w:color="auto"/>
              <w:bottom w:val="single" w:sz="4" w:space="0" w:color="auto"/>
              <w:right w:val="single" w:sz="12"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25" w:type="dxa"/>
            <w:tcBorders>
              <w:top w:val="single" w:sz="4" w:space="0" w:color="auto"/>
              <w:left w:val="single" w:sz="12" w:space="0" w:color="auto"/>
              <w:bottom w:val="single" w:sz="12"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66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76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2" w:type="dxa"/>
            <w:vMerge/>
            <w:tcBorders>
              <w:left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r>
      <w:tr w:rsidR="00481EDB" w:rsidRPr="00687B52" w:rsidTr="00856B6C">
        <w:trPr>
          <w:cantSplit/>
          <w:trHeight w:val="284"/>
        </w:trPr>
        <w:tc>
          <w:tcPr>
            <w:tcW w:w="777" w:type="dxa"/>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998" w:type="dxa"/>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1943" w:type="dxa"/>
            <w:gridSpan w:val="2"/>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color w:val="000000" w:themeColor="text1"/>
                <w:sz w:val="18"/>
              </w:rPr>
              <w:t>可燃液体</w:t>
            </w:r>
          </w:p>
        </w:tc>
        <w:tc>
          <w:tcPr>
            <w:tcW w:w="93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color w:val="000000" w:themeColor="text1"/>
                <w:sz w:val="18"/>
              </w:rPr>
              <w:t>甲</w:t>
            </w:r>
            <w:r w:rsidRPr="00687B52">
              <w:rPr>
                <w:rFonts w:ascii="Arial" w:hAnsi="Arial" w:cs="Arial"/>
                <w:color w:val="000000" w:themeColor="text1"/>
                <w:sz w:val="18"/>
                <w:vertAlign w:val="subscript"/>
              </w:rPr>
              <w:t>B</w:t>
            </w:r>
            <w:r w:rsidRPr="00687B52">
              <w:rPr>
                <w:rFonts w:ascii="Arial" w:hAnsi="Arial" w:cs="Arial"/>
                <w:color w:val="000000" w:themeColor="text1"/>
                <w:sz w:val="18"/>
              </w:rPr>
              <w:t>、乙</w:t>
            </w:r>
            <w:r w:rsidRPr="00687B52">
              <w:rPr>
                <w:rFonts w:ascii="Arial" w:hAnsi="Arial" w:cs="Arial"/>
                <w:color w:val="000000" w:themeColor="text1"/>
                <w:sz w:val="18"/>
                <w:vertAlign w:val="subscript"/>
              </w:rPr>
              <w:t>A</w:t>
            </w:r>
          </w:p>
        </w:tc>
        <w:tc>
          <w:tcPr>
            <w:tcW w:w="70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52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65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7.5</w:t>
            </w:r>
          </w:p>
        </w:tc>
        <w:tc>
          <w:tcPr>
            <w:tcW w:w="734"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620"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62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7.5</w:t>
            </w:r>
          </w:p>
        </w:tc>
        <w:tc>
          <w:tcPr>
            <w:tcW w:w="48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1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1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25" w:type="dxa"/>
            <w:tcBorders>
              <w:top w:val="single" w:sz="12" w:space="0" w:color="auto"/>
              <w:left w:val="single" w:sz="4" w:space="0" w:color="auto"/>
              <w:bottom w:val="single" w:sz="4" w:space="0" w:color="auto"/>
              <w:right w:val="single" w:sz="12"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25" w:type="dxa"/>
            <w:tcBorders>
              <w:top w:val="single" w:sz="4" w:space="0" w:color="auto"/>
              <w:left w:val="single" w:sz="12" w:space="0" w:color="auto"/>
              <w:bottom w:val="single" w:sz="12"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66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76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2" w:type="dxa"/>
            <w:vMerge/>
            <w:tcBorders>
              <w:left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r>
      <w:tr w:rsidR="00481EDB" w:rsidRPr="00687B52" w:rsidTr="00856B6C">
        <w:trPr>
          <w:cantSplit/>
          <w:trHeight w:val="284"/>
        </w:trPr>
        <w:tc>
          <w:tcPr>
            <w:tcW w:w="777" w:type="dxa"/>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998" w:type="dxa"/>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1943" w:type="dxa"/>
            <w:gridSpan w:val="2"/>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93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color w:val="000000" w:themeColor="text1"/>
                <w:sz w:val="18"/>
              </w:rPr>
              <w:t>乙</w:t>
            </w:r>
            <w:r w:rsidRPr="00687B52">
              <w:rPr>
                <w:rFonts w:ascii="Arial" w:hAnsi="Arial" w:cs="Arial"/>
                <w:color w:val="000000" w:themeColor="text1"/>
                <w:sz w:val="18"/>
                <w:vertAlign w:val="subscript"/>
              </w:rPr>
              <w:t>B</w:t>
            </w:r>
            <w:r w:rsidRPr="00687B52">
              <w:rPr>
                <w:rFonts w:ascii="Arial" w:hAnsi="Arial" w:cs="Arial"/>
                <w:color w:val="000000" w:themeColor="text1"/>
                <w:sz w:val="18"/>
              </w:rPr>
              <w:t>、丙</w:t>
            </w:r>
            <w:r w:rsidRPr="00687B52">
              <w:rPr>
                <w:rFonts w:ascii="Arial" w:hAnsi="Arial" w:cs="Arial"/>
                <w:color w:val="000000" w:themeColor="text1"/>
                <w:sz w:val="18"/>
                <w:vertAlign w:val="subscript"/>
              </w:rPr>
              <w:t>A</w:t>
            </w:r>
          </w:p>
        </w:tc>
        <w:tc>
          <w:tcPr>
            <w:tcW w:w="70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color w:val="000000" w:themeColor="text1"/>
                <w:sz w:val="18"/>
              </w:rPr>
              <w:t>9</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color w:val="000000" w:themeColor="text1"/>
                <w:sz w:val="18"/>
              </w:rPr>
              <w:t>9</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7.5</w:t>
            </w:r>
          </w:p>
        </w:tc>
        <w:tc>
          <w:tcPr>
            <w:tcW w:w="52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7.5</w:t>
            </w:r>
          </w:p>
        </w:tc>
        <w:tc>
          <w:tcPr>
            <w:tcW w:w="65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734"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7.5</w:t>
            </w:r>
          </w:p>
        </w:tc>
        <w:tc>
          <w:tcPr>
            <w:tcW w:w="620"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7.5</w:t>
            </w:r>
          </w:p>
        </w:tc>
        <w:tc>
          <w:tcPr>
            <w:tcW w:w="62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48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1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1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25" w:type="dxa"/>
            <w:tcBorders>
              <w:top w:val="single" w:sz="12" w:space="0" w:color="auto"/>
              <w:left w:val="single" w:sz="4" w:space="0" w:color="auto"/>
              <w:bottom w:val="single" w:sz="4" w:space="0" w:color="auto"/>
              <w:right w:val="single" w:sz="12"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668" w:type="dxa"/>
            <w:tcBorders>
              <w:top w:val="single" w:sz="4" w:space="0" w:color="auto"/>
              <w:left w:val="single" w:sz="12" w:space="0" w:color="auto"/>
              <w:bottom w:val="single" w:sz="12"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76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2"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r>
      <w:tr w:rsidR="00481EDB" w:rsidRPr="00687B52" w:rsidTr="00856B6C">
        <w:trPr>
          <w:cantSplit/>
          <w:trHeight w:val="284"/>
        </w:trPr>
        <w:tc>
          <w:tcPr>
            <w:tcW w:w="4653" w:type="dxa"/>
            <w:gridSpan w:val="5"/>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color w:val="000000" w:themeColor="text1"/>
                <w:sz w:val="18"/>
              </w:rPr>
              <w:t>操作温度等于或高于自燃点的工艺设备</w:t>
            </w:r>
          </w:p>
        </w:tc>
        <w:tc>
          <w:tcPr>
            <w:tcW w:w="70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4.5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52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hint="eastAsia"/>
                <w:color w:val="000000" w:themeColor="text1"/>
                <w:sz w:val="18"/>
              </w:rPr>
              <w:t>4.5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65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734"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620"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62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48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4.5</w:t>
            </w:r>
          </w:p>
        </w:tc>
        <w:tc>
          <w:tcPr>
            <w:tcW w:w="51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1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7.5</w:t>
            </w: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hint="eastAsia"/>
                <w:color w:val="000000" w:themeColor="text1"/>
                <w:sz w:val="18"/>
              </w:rPr>
              <w:t>4.5</w:t>
            </w: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668" w:type="dxa"/>
            <w:tcBorders>
              <w:top w:val="single" w:sz="12" w:space="0" w:color="auto"/>
              <w:left w:val="single" w:sz="4" w:space="0" w:color="auto"/>
              <w:bottom w:val="single" w:sz="4" w:space="0" w:color="auto"/>
              <w:right w:val="single" w:sz="12"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761" w:type="dxa"/>
            <w:tcBorders>
              <w:top w:val="single" w:sz="4" w:space="0" w:color="auto"/>
              <w:left w:val="single" w:sz="12" w:space="0" w:color="auto"/>
              <w:bottom w:val="single" w:sz="12"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注</w:t>
            </w:r>
            <w:r w:rsidRPr="00687B52">
              <w:rPr>
                <w:rFonts w:ascii="Arial" w:hAnsi="Arial" w:cs="Arial" w:hint="eastAsia"/>
                <w:color w:val="000000" w:themeColor="text1"/>
                <w:sz w:val="18"/>
              </w:rPr>
              <w:t>3</w:t>
            </w:r>
          </w:p>
        </w:tc>
      </w:tr>
      <w:tr w:rsidR="00481EDB" w:rsidRPr="00687B52" w:rsidTr="00856B6C">
        <w:trPr>
          <w:cantSplit/>
          <w:trHeight w:val="284"/>
        </w:trPr>
        <w:tc>
          <w:tcPr>
            <w:tcW w:w="4653" w:type="dxa"/>
            <w:gridSpan w:val="5"/>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color w:val="000000" w:themeColor="text1"/>
                <w:sz w:val="18"/>
              </w:rPr>
              <w:t>含可燃液体的污水池、隔油池、酸性污水罐、含油污水罐</w:t>
            </w:r>
          </w:p>
        </w:tc>
        <w:tc>
          <w:tcPr>
            <w:tcW w:w="70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52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65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7.5</w:t>
            </w:r>
          </w:p>
        </w:tc>
        <w:tc>
          <w:tcPr>
            <w:tcW w:w="734"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620"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62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7.5</w:t>
            </w:r>
          </w:p>
        </w:tc>
        <w:tc>
          <w:tcPr>
            <w:tcW w:w="48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1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1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66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4.5</w:t>
            </w:r>
          </w:p>
        </w:tc>
        <w:tc>
          <w:tcPr>
            <w:tcW w:w="761" w:type="dxa"/>
            <w:tcBorders>
              <w:top w:val="single" w:sz="12" w:space="0" w:color="auto"/>
              <w:left w:val="single" w:sz="4" w:space="0" w:color="auto"/>
              <w:bottom w:val="single" w:sz="4" w:space="0" w:color="auto"/>
              <w:right w:val="single" w:sz="12"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628" w:type="dxa"/>
            <w:tcBorders>
              <w:top w:val="single" w:sz="4" w:space="0" w:color="auto"/>
              <w:left w:val="single" w:sz="12" w:space="0" w:color="auto"/>
              <w:bottom w:val="single" w:sz="12"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c>
          <w:tcPr>
            <w:tcW w:w="62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r>
      <w:tr w:rsidR="00481EDB" w:rsidRPr="00687B52" w:rsidTr="00856B6C">
        <w:trPr>
          <w:cantSplit/>
          <w:trHeight w:val="284"/>
        </w:trPr>
        <w:tc>
          <w:tcPr>
            <w:tcW w:w="4653" w:type="dxa"/>
            <w:gridSpan w:val="5"/>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color w:val="000000" w:themeColor="text1"/>
                <w:sz w:val="18"/>
              </w:rPr>
              <w:t>丙类物品仓库、乙类物品储存间</w:t>
            </w:r>
          </w:p>
        </w:tc>
        <w:tc>
          <w:tcPr>
            <w:tcW w:w="70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52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65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734"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620"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62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48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51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51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66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76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9</w:t>
            </w:r>
          </w:p>
        </w:tc>
        <w:tc>
          <w:tcPr>
            <w:tcW w:w="628" w:type="dxa"/>
            <w:tcBorders>
              <w:top w:val="single" w:sz="12"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c>
          <w:tcPr>
            <w:tcW w:w="62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color w:val="000000" w:themeColor="text1"/>
                <w:sz w:val="18"/>
              </w:rPr>
              <w:t>－</w:t>
            </w:r>
          </w:p>
        </w:tc>
      </w:tr>
      <w:tr w:rsidR="00481EDB" w:rsidRPr="00687B52" w:rsidTr="00856B6C">
        <w:trPr>
          <w:cantSplit/>
          <w:trHeight w:val="284"/>
        </w:trPr>
        <w:tc>
          <w:tcPr>
            <w:tcW w:w="777" w:type="dxa"/>
            <w:vMerge w:val="restart"/>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color w:val="000000" w:themeColor="text1"/>
                <w:sz w:val="18"/>
              </w:rPr>
              <w:t>装置储罐组（总容积）</w:t>
            </w:r>
          </w:p>
        </w:tc>
        <w:tc>
          <w:tcPr>
            <w:tcW w:w="99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color w:val="000000" w:themeColor="text1"/>
                <w:sz w:val="18"/>
              </w:rPr>
              <w:t>可燃气体</w:t>
            </w:r>
          </w:p>
        </w:tc>
        <w:tc>
          <w:tcPr>
            <w:tcW w:w="1943" w:type="dxa"/>
            <w:gridSpan w:val="2"/>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color w:val="000000" w:themeColor="text1"/>
                <w:sz w:val="18"/>
              </w:rPr>
              <w:t>&gt;1000 m</w:t>
            </w:r>
            <w:r w:rsidRPr="00687B52">
              <w:rPr>
                <w:rFonts w:ascii="Arial" w:hAnsi="Arial" w:cs="Arial"/>
                <w:color w:val="000000" w:themeColor="text1"/>
                <w:sz w:val="18"/>
                <w:vertAlign w:val="superscript"/>
              </w:rPr>
              <w:t>3</w:t>
            </w:r>
            <w:r w:rsidRPr="00687B52">
              <w:rPr>
                <w:rFonts w:ascii="Arial" w:hAnsi="Arial" w:cs="Arial"/>
                <w:color w:val="000000" w:themeColor="text1"/>
                <w:sz w:val="18"/>
              </w:rPr>
              <w:t>~5000m</w:t>
            </w:r>
            <w:r w:rsidRPr="00687B52">
              <w:rPr>
                <w:rFonts w:ascii="Arial" w:hAnsi="Arial" w:cs="Arial"/>
                <w:color w:val="000000" w:themeColor="text1"/>
                <w:sz w:val="18"/>
                <w:vertAlign w:val="superscript"/>
              </w:rPr>
              <w:t>3</w:t>
            </w:r>
          </w:p>
        </w:tc>
        <w:tc>
          <w:tcPr>
            <w:tcW w:w="93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color w:val="000000" w:themeColor="text1"/>
                <w:sz w:val="18"/>
              </w:rPr>
              <w:t>甲、乙</w:t>
            </w:r>
          </w:p>
        </w:tc>
        <w:tc>
          <w:tcPr>
            <w:tcW w:w="70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20</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20</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52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w:t>
            </w:r>
          </w:p>
        </w:tc>
        <w:tc>
          <w:tcPr>
            <w:tcW w:w="65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cs="Arial" w:hint="eastAsia"/>
                <w:color w:val="000000" w:themeColor="text1"/>
                <w:sz w:val="18"/>
              </w:rPr>
              <w:t>*</w:t>
            </w:r>
          </w:p>
        </w:tc>
        <w:tc>
          <w:tcPr>
            <w:tcW w:w="734"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20</w:t>
            </w:r>
          </w:p>
        </w:tc>
        <w:tc>
          <w:tcPr>
            <w:tcW w:w="620"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62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48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51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51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20</w:t>
            </w: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66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76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62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622"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注</w:t>
            </w:r>
            <w:r w:rsidRPr="00687B52">
              <w:rPr>
                <w:rFonts w:ascii="Arial" w:hAnsi="Arial" w:cs="Arial" w:hint="eastAsia"/>
                <w:color w:val="000000" w:themeColor="text1"/>
                <w:sz w:val="18"/>
              </w:rPr>
              <w:t>4</w:t>
            </w:r>
          </w:p>
        </w:tc>
      </w:tr>
      <w:tr w:rsidR="00481EDB" w:rsidRPr="00687B52" w:rsidTr="00856B6C">
        <w:trPr>
          <w:cantSplit/>
          <w:trHeight w:val="284"/>
        </w:trPr>
        <w:tc>
          <w:tcPr>
            <w:tcW w:w="777" w:type="dxa"/>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99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color w:val="000000" w:themeColor="text1"/>
                <w:sz w:val="18"/>
              </w:rPr>
              <w:t>液化烃</w:t>
            </w:r>
          </w:p>
        </w:tc>
        <w:tc>
          <w:tcPr>
            <w:tcW w:w="1943" w:type="dxa"/>
            <w:gridSpan w:val="2"/>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color w:val="000000" w:themeColor="text1"/>
                <w:sz w:val="18"/>
              </w:rPr>
              <w:t>&gt;100 m</w:t>
            </w:r>
            <w:r w:rsidRPr="00687B52">
              <w:rPr>
                <w:rFonts w:ascii="Arial" w:hAnsi="Arial" w:cs="Arial"/>
                <w:color w:val="000000" w:themeColor="text1"/>
                <w:sz w:val="18"/>
                <w:vertAlign w:val="superscript"/>
              </w:rPr>
              <w:t>3</w:t>
            </w:r>
            <w:r w:rsidRPr="00687B52">
              <w:rPr>
                <w:rFonts w:ascii="Arial" w:hAnsi="Arial" w:cs="Arial"/>
                <w:color w:val="000000" w:themeColor="text1"/>
                <w:sz w:val="18"/>
              </w:rPr>
              <w:t>~500m</w:t>
            </w:r>
            <w:r w:rsidRPr="00687B52">
              <w:rPr>
                <w:rFonts w:ascii="Arial" w:hAnsi="Arial" w:cs="Arial"/>
                <w:color w:val="000000" w:themeColor="text1"/>
                <w:sz w:val="18"/>
                <w:vertAlign w:val="superscript"/>
              </w:rPr>
              <w:t>3</w:t>
            </w:r>
          </w:p>
        </w:tc>
        <w:tc>
          <w:tcPr>
            <w:tcW w:w="93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color w:val="000000" w:themeColor="text1"/>
                <w:sz w:val="18"/>
              </w:rPr>
              <w:t>甲</w:t>
            </w:r>
            <w:r w:rsidRPr="00687B52">
              <w:rPr>
                <w:rFonts w:ascii="Arial" w:hAnsi="Arial" w:cs="Arial"/>
                <w:color w:val="000000" w:themeColor="text1"/>
                <w:sz w:val="18"/>
                <w:vertAlign w:val="subscript"/>
              </w:rPr>
              <w:t>A</w:t>
            </w:r>
          </w:p>
        </w:tc>
        <w:tc>
          <w:tcPr>
            <w:tcW w:w="70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30</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30</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30</w:t>
            </w:r>
          </w:p>
        </w:tc>
        <w:tc>
          <w:tcPr>
            <w:tcW w:w="52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25</w:t>
            </w:r>
          </w:p>
        </w:tc>
        <w:tc>
          <w:tcPr>
            <w:tcW w:w="65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20</w:t>
            </w:r>
          </w:p>
        </w:tc>
        <w:tc>
          <w:tcPr>
            <w:tcW w:w="734"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w:t>
            </w:r>
          </w:p>
        </w:tc>
        <w:tc>
          <w:tcPr>
            <w:tcW w:w="620"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25</w:t>
            </w:r>
          </w:p>
        </w:tc>
        <w:tc>
          <w:tcPr>
            <w:tcW w:w="62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20</w:t>
            </w:r>
          </w:p>
        </w:tc>
        <w:tc>
          <w:tcPr>
            <w:tcW w:w="48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25</w:t>
            </w:r>
          </w:p>
        </w:tc>
        <w:tc>
          <w:tcPr>
            <w:tcW w:w="51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20</w:t>
            </w:r>
          </w:p>
        </w:tc>
        <w:tc>
          <w:tcPr>
            <w:tcW w:w="51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30</w:t>
            </w: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26</w:t>
            </w: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20</w:t>
            </w:r>
          </w:p>
        </w:tc>
        <w:tc>
          <w:tcPr>
            <w:tcW w:w="66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30</w:t>
            </w:r>
          </w:p>
        </w:tc>
        <w:tc>
          <w:tcPr>
            <w:tcW w:w="76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25</w:t>
            </w:r>
          </w:p>
        </w:tc>
        <w:tc>
          <w:tcPr>
            <w:tcW w:w="62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25</w:t>
            </w:r>
          </w:p>
        </w:tc>
        <w:tc>
          <w:tcPr>
            <w:tcW w:w="622" w:type="dxa"/>
            <w:vMerge/>
            <w:tcBorders>
              <w:left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r>
      <w:tr w:rsidR="00481EDB" w:rsidRPr="00687B52" w:rsidTr="00856B6C">
        <w:trPr>
          <w:cantSplit/>
          <w:trHeight w:val="284"/>
        </w:trPr>
        <w:tc>
          <w:tcPr>
            <w:tcW w:w="777" w:type="dxa"/>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998"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color w:val="000000" w:themeColor="text1"/>
                <w:sz w:val="18"/>
              </w:rPr>
              <w:t>可燃液体</w:t>
            </w:r>
          </w:p>
        </w:tc>
        <w:tc>
          <w:tcPr>
            <w:tcW w:w="1943" w:type="dxa"/>
            <w:gridSpan w:val="2"/>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color w:val="000000" w:themeColor="text1"/>
                <w:sz w:val="18"/>
              </w:rPr>
              <w:t>&gt;1000 m</w:t>
            </w:r>
            <w:r w:rsidRPr="00687B52">
              <w:rPr>
                <w:rFonts w:ascii="Arial" w:hAnsi="Arial" w:cs="Arial"/>
                <w:color w:val="000000" w:themeColor="text1"/>
                <w:sz w:val="18"/>
                <w:vertAlign w:val="superscript"/>
              </w:rPr>
              <w:t>3</w:t>
            </w:r>
            <w:r w:rsidRPr="00687B52">
              <w:rPr>
                <w:rFonts w:ascii="Arial" w:hAnsi="Arial" w:cs="Arial"/>
                <w:color w:val="000000" w:themeColor="text1"/>
                <w:sz w:val="18"/>
              </w:rPr>
              <w:t>~5000m</w:t>
            </w:r>
            <w:r w:rsidRPr="00687B52">
              <w:rPr>
                <w:rFonts w:ascii="Arial" w:hAnsi="Arial" w:cs="Arial"/>
                <w:color w:val="000000" w:themeColor="text1"/>
                <w:sz w:val="18"/>
                <w:vertAlign w:val="superscript"/>
              </w:rPr>
              <w:t>3</w:t>
            </w:r>
          </w:p>
        </w:tc>
        <w:tc>
          <w:tcPr>
            <w:tcW w:w="93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color w:val="000000" w:themeColor="text1"/>
                <w:sz w:val="18"/>
              </w:rPr>
              <w:t>甲</w:t>
            </w:r>
            <w:r w:rsidRPr="00687B52">
              <w:rPr>
                <w:rFonts w:ascii="Arial" w:hAnsi="Arial" w:cs="Arial"/>
                <w:color w:val="000000" w:themeColor="text1"/>
                <w:sz w:val="18"/>
                <w:vertAlign w:val="subscript"/>
              </w:rPr>
              <w:t>B</w:t>
            </w:r>
            <w:r w:rsidRPr="00687B52">
              <w:rPr>
                <w:rFonts w:ascii="Arial" w:hAnsi="Arial" w:cs="Arial"/>
                <w:color w:val="000000" w:themeColor="text1"/>
                <w:sz w:val="18"/>
              </w:rPr>
              <w:t>、乙</w:t>
            </w:r>
            <w:r w:rsidRPr="00687B52">
              <w:rPr>
                <w:rFonts w:ascii="Arial" w:hAnsi="Arial" w:cs="Arial"/>
                <w:color w:val="000000" w:themeColor="text1"/>
                <w:sz w:val="18"/>
                <w:vertAlign w:val="subscript"/>
              </w:rPr>
              <w:t>A</w:t>
            </w:r>
          </w:p>
        </w:tc>
        <w:tc>
          <w:tcPr>
            <w:tcW w:w="70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25</w:t>
            </w:r>
          </w:p>
        </w:tc>
        <w:tc>
          <w:tcPr>
            <w:tcW w:w="52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20</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20</w:t>
            </w:r>
          </w:p>
        </w:tc>
        <w:tc>
          <w:tcPr>
            <w:tcW w:w="65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734"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25</w:t>
            </w:r>
          </w:p>
        </w:tc>
        <w:tc>
          <w:tcPr>
            <w:tcW w:w="620"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w:t>
            </w:r>
          </w:p>
        </w:tc>
        <w:tc>
          <w:tcPr>
            <w:tcW w:w="62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w:t>
            </w:r>
          </w:p>
        </w:tc>
        <w:tc>
          <w:tcPr>
            <w:tcW w:w="48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20</w:t>
            </w:r>
          </w:p>
        </w:tc>
        <w:tc>
          <w:tcPr>
            <w:tcW w:w="51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51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25</w:t>
            </w: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20</w:t>
            </w: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66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25</w:t>
            </w:r>
          </w:p>
        </w:tc>
        <w:tc>
          <w:tcPr>
            <w:tcW w:w="76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20</w:t>
            </w:r>
          </w:p>
        </w:tc>
        <w:tc>
          <w:tcPr>
            <w:tcW w:w="62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20</w:t>
            </w:r>
          </w:p>
        </w:tc>
        <w:tc>
          <w:tcPr>
            <w:tcW w:w="622" w:type="dxa"/>
            <w:vMerge/>
            <w:tcBorders>
              <w:left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r>
      <w:tr w:rsidR="00481EDB" w:rsidRPr="00687B52" w:rsidTr="00856B6C">
        <w:trPr>
          <w:cantSplit/>
          <w:trHeight w:val="284"/>
        </w:trPr>
        <w:tc>
          <w:tcPr>
            <w:tcW w:w="777" w:type="dxa"/>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998"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1943" w:type="dxa"/>
            <w:gridSpan w:val="2"/>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p>
        </w:tc>
        <w:tc>
          <w:tcPr>
            <w:tcW w:w="93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 w:val="18"/>
              </w:rPr>
            </w:pPr>
            <w:r w:rsidRPr="00687B52">
              <w:rPr>
                <w:rFonts w:ascii="Arial" w:hAnsi="Arial" w:cs="Arial"/>
                <w:color w:val="000000" w:themeColor="text1"/>
                <w:sz w:val="18"/>
              </w:rPr>
              <w:t>乙</w:t>
            </w:r>
            <w:r w:rsidRPr="00687B52">
              <w:rPr>
                <w:rFonts w:ascii="Arial" w:hAnsi="Arial" w:cs="Arial"/>
                <w:color w:val="000000" w:themeColor="text1"/>
                <w:sz w:val="18"/>
                <w:vertAlign w:val="subscript"/>
              </w:rPr>
              <w:t>B</w:t>
            </w:r>
            <w:r w:rsidRPr="00687B52">
              <w:rPr>
                <w:rFonts w:ascii="Arial" w:hAnsi="Arial" w:cs="Arial"/>
                <w:color w:val="000000" w:themeColor="text1"/>
                <w:sz w:val="18"/>
              </w:rPr>
              <w:t>、丙</w:t>
            </w:r>
            <w:r w:rsidRPr="00687B52">
              <w:rPr>
                <w:rFonts w:ascii="Arial" w:hAnsi="Arial" w:cs="Arial"/>
                <w:color w:val="000000" w:themeColor="text1"/>
                <w:sz w:val="18"/>
                <w:vertAlign w:val="subscript"/>
              </w:rPr>
              <w:t>A</w:t>
            </w:r>
          </w:p>
        </w:tc>
        <w:tc>
          <w:tcPr>
            <w:tcW w:w="70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20</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20</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20</w:t>
            </w:r>
          </w:p>
        </w:tc>
        <w:tc>
          <w:tcPr>
            <w:tcW w:w="52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56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65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734"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20</w:t>
            </w:r>
          </w:p>
        </w:tc>
        <w:tc>
          <w:tcPr>
            <w:tcW w:w="620"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w:t>
            </w:r>
          </w:p>
        </w:tc>
        <w:tc>
          <w:tcPr>
            <w:tcW w:w="62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w:t>
            </w:r>
          </w:p>
        </w:tc>
        <w:tc>
          <w:tcPr>
            <w:tcW w:w="48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51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51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20</w:t>
            </w: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52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66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20</w:t>
            </w:r>
          </w:p>
        </w:tc>
        <w:tc>
          <w:tcPr>
            <w:tcW w:w="76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628"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r w:rsidRPr="00687B52">
              <w:rPr>
                <w:rFonts w:ascii="Arial" w:hAnsi="Arial" w:cs="Arial" w:hint="eastAsia"/>
                <w:color w:val="000000" w:themeColor="text1"/>
                <w:sz w:val="18"/>
              </w:rPr>
              <w:t>15</w:t>
            </w:r>
          </w:p>
        </w:tc>
        <w:tc>
          <w:tcPr>
            <w:tcW w:w="622"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 w:val="18"/>
              </w:rPr>
            </w:pPr>
          </w:p>
        </w:tc>
      </w:tr>
    </w:tbl>
    <w:p w:rsidR="00481EDB" w:rsidRPr="00687B52" w:rsidRDefault="00481EDB" w:rsidP="00481EDB">
      <w:pPr>
        <w:pStyle w:val="Default"/>
        <w:snapToGrid w:val="0"/>
        <w:spacing w:line="300" w:lineRule="auto"/>
        <w:rPr>
          <w:rFonts w:ascii="Times New Roman" w:eastAsia="宋体" w:cs="Times New Roman"/>
          <w:color w:val="000000" w:themeColor="text1"/>
          <w:sz w:val="21"/>
          <w:szCs w:val="21"/>
        </w:rPr>
        <w:sectPr w:rsidR="00481EDB" w:rsidRPr="00687B52" w:rsidSect="00856B6C">
          <w:pgSz w:w="16838" w:h="11906" w:orient="landscape"/>
          <w:pgMar w:top="1457" w:right="1780" w:bottom="1457" w:left="1780" w:header="851" w:footer="992" w:gutter="0"/>
          <w:cols w:space="425"/>
          <w:docGrid w:type="lines" w:linePitch="312"/>
        </w:sectPr>
      </w:pPr>
    </w:p>
    <w:p w:rsidR="00481EDB" w:rsidRPr="00687B52" w:rsidRDefault="00481EDB" w:rsidP="00481EDB">
      <w:pPr>
        <w:adjustRightInd w:val="0"/>
        <w:snapToGrid w:val="0"/>
        <w:spacing w:line="300" w:lineRule="auto"/>
        <w:rPr>
          <w:rFonts w:ascii="Times New Roman" w:hAnsi="Times New Roman"/>
          <w:color w:val="000000" w:themeColor="text1"/>
          <w:szCs w:val="21"/>
        </w:rPr>
      </w:pPr>
      <w:r w:rsidRPr="00687B52">
        <w:rPr>
          <w:rFonts w:ascii="Times New Roman" w:hAnsi="宋体"/>
          <w:color w:val="000000" w:themeColor="text1"/>
          <w:szCs w:val="21"/>
        </w:rPr>
        <w:t>注：</w:t>
      </w:r>
      <w:r w:rsidRPr="00687B52">
        <w:rPr>
          <w:rFonts w:ascii="Times New Roman" w:hAnsi="Times New Roman"/>
          <w:color w:val="000000" w:themeColor="text1"/>
          <w:szCs w:val="21"/>
        </w:rPr>
        <w:t xml:space="preserve">1. </w:t>
      </w:r>
      <w:r w:rsidRPr="00687B52">
        <w:rPr>
          <w:rFonts w:ascii="Times New Roman" w:hAnsi="宋体"/>
          <w:color w:val="000000" w:themeColor="text1"/>
          <w:szCs w:val="21"/>
        </w:rPr>
        <w:t>单机驱动功率小于</w:t>
      </w:r>
      <w:r w:rsidRPr="00687B52">
        <w:rPr>
          <w:rFonts w:ascii="Times New Roman" w:hAnsi="Times New Roman"/>
          <w:color w:val="000000" w:themeColor="text1"/>
          <w:szCs w:val="21"/>
        </w:rPr>
        <w:t>150kW</w:t>
      </w:r>
      <w:r w:rsidRPr="00687B52">
        <w:rPr>
          <w:rFonts w:ascii="Times New Roman" w:hAnsi="宋体"/>
          <w:color w:val="000000" w:themeColor="text1"/>
          <w:szCs w:val="21"/>
        </w:rPr>
        <w:t>的可燃气体压缩机，可按操作温度低于自燃点的</w:t>
      </w:r>
      <w:r w:rsidRPr="00687B52">
        <w:rPr>
          <w:rFonts w:ascii="Times New Roman" w:hAnsi="Times New Roman"/>
          <w:color w:val="000000" w:themeColor="text1"/>
          <w:szCs w:val="21"/>
        </w:rPr>
        <w:t>“</w:t>
      </w:r>
      <w:r w:rsidRPr="00687B52">
        <w:rPr>
          <w:rFonts w:ascii="Times New Roman" w:hAnsi="宋体"/>
          <w:color w:val="000000" w:themeColor="text1"/>
          <w:szCs w:val="21"/>
        </w:rPr>
        <w:t>其他工艺设备</w:t>
      </w:r>
      <w:r w:rsidRPr="00687B52">
        <w:rPr>
          <w:rFonts w:ascii="Times New Roman" w:hAnsi="Times New Roman"/>
          <w:color w:val="000000" w:themeColor="text1"/>
          <w:szCs w:val="21"/>
        </w:rPr>
        <w:t>”</w:t>
      </w:r>
      <w:r w:rsidRPr="00687B52">
        <w:rPr>
          <w:rFonts w:ascii="Times New Roman" w:hAnsi="宋体"/>
          <w:color w:val="000000" w:themeColor="text1"/>
          <w:szCs w:val="21"/>
        </w:rPr>
        <w:t>确定其防火间距；</w:t>
      </w:r>
    </w:p>
    <w:p w:rsidR="00481EDB" w:rsidRPr="00687B52" w:rsidRDefault="00481EDB" w:rsidP="00481EDB">
      <w:pPr>
        <w:adjustRightInd w:val="0"/>
        <w:snapToGrid w:val="0"/>
        <w:spacing w:line="300" w:lineRule="auto"/>
        <w:ind w:firstLine="420"/>
        <w:rPr>
          <w:rFonts w:ascii="Times New Roman" w:hAnsi="Times New Roman"/>
          <w:color w:val="000000" w:themeColor="text1"/>
          <w:szCs w:val="21"/>
        </w:rPr>
      </w:pPr>
      <w:r w:rsidRPr="00687B52">
        <w:rPr>
          <w:rFonts w:ascii="Times New Roman" w:hAnsi="Times New Roman"/>
          <w:color w:val="000000" w:themeColor="text1"/>
          <w:szCs w:val="21"/>
        </w:rPr>
        <w:t xml:space="preserve">2. </w:t>
      </w:r>
      <w:r w:rsidRPr="00687B52">
        <w:rPr>
          <w:rFonts w:ascii="Times New Roman" w:hAnsi="宋体"/>
          <w:color w:val="000000" w:themeColor="text1"/>
          <w:szCs w:val="21"/>
        </w:rPr>
        <w:t>装置储罐（组）的总容积应符合本规范第</w:t>
      </w:r>
      <w:r w:rsidRPr="00687B52">
        <w:rPr>
          <w:rFonts w:ascii="Times New Roman" w:hAnsi="Times New Roman"/>
          <w:color w:val="000000" w:themeColor="text1"/>
          <w:szCs w:val="21"/>
        </w:rPr>
        <w:t>5.2.23</w:t>
      </w:r>
      <w:r w:rsidRPr="00687B52">
        <w:rPr>
          <w:rFonts w:ascii="Times New Roman" w:hAnsi="宋体"/>
          <w:color w:val="000000" w:themeColor="text1"/>
          <w:szCs w:val="21"/>
        </w:rPr>
        <w:t>条的规定。当装置储罐的总容积：液化烃储罐小于</w:t>
      </w:r>
      <w:r w:rsidRPr="00687B52">
        <w:rPr>
          <w:rFonts w:ascii="Times New Roman" w:hAnsi="Times New Roman"/>
          <w:color w:val="000000" w:themeColor="text1"/>
          <w:szCs w:val="21"/>
        </w:rPr>
        <w:t>50m</w:t>
      </w:r>
      <w:r w:rsidRPr="00687B52">
        <w:rPr>
          <w:rFonts w:ascii="Times New Roman" w:hAnsi="Times New Roman"/>
          <w:color w:val="000000" w:themeColor="text1"/>
          <w:szCs w:val="21"/>
          <w:vertAlign w:val="superscript"/>
        </w:rPr>
        <w:t>3</w:t>
      </w:r>
      <w:r w:rsidRPr="00687B52">
        <w:rPr>
          <w:rFonts w:ascii="Times New Roman" w:hAnsi="宋体"/>
          <w:color w:val="000000" w:themeColor="text1"/>
          <w:szCs w:val="21"/>
        </w:rPr>
        <w:t>、可燃液体储罐小于</w:t>
      </w:r>
      <w:r w:rsidRPr="00687B52">
        <w:rPr>
          <w:rFonts w:ascii="Times New Roman" w:hAnsi="Times New Roman"/>
          <w:color w:val="000000" w:themeColor="text1"/>
          <w:szCs w:val="21"/>
        </w:rPr>
        <w:t>100 m</w:t>
      </w:r>
      <w:r w:rsidRPr="00687B52">
        <w:rPr>
          <w:rFonts w:ascii="Times New Roman" w:hAnsi="Times New Roman"/>
          <w:color w:val="000000" w:themeColor="text1"/>
          <w:szCs w:val="21"/>
          <w:vertAlign w:val="superscript"/>
        </w:rPr>
        <w:t>3</w:t>
      </w:r>
      <w:r w:rsidRPr="00687B52">
        <w:rPr>
          <w:rFonts w:ascii="Times New Roman" w:hAnsi="宋体"/>
          <w:color w:val="000000" w:themeColor="text1"/>
          <w:szCs w:val="21"/>
        </w:rPr>
        <w:t>、可燃气体储罐小于</w:t>
      </w:r>
      <w:r w:rsidRPr="00687B52">
        <w:rPr>
          <w:rFonts w:ascii="Times New Roman" w:hAnsi="Times New Roman"/>
          <w:color w:val="000000" w:themeColor="text1"/>
          <w:szCs w:val="21"/>
        </w:rPr>
        <w:t>200m</w:t>
      </w:r>
      <w:r w:rsidRPr="00687B52">
        <w:rPr>
          <w:rFonts w:ascii="Times New Roman" w:hAnsi="Times New Roman"/>
          <w:color w:val="000000" w:themeColor="text1"/>
          <w:szCs w:val="21"/>
          <w:vertAlign w:val="superscript"/>
        </w:rPr>
        <w:t>3</w:t>
      </w:r>
      <w:r w:rsidRPr="00687B52">
        <w:rPr>
          <w:rFonts w:ascii="Times New Roman" w:hAnsi="宋体"/>
          <w:color w:val="000000" w:themeColor="text1"/>
          <w:szCs w:val="21"/>
        </w:rPr>
        <w:t>时，可按操作温度低于自燃点的</w:t>
      </w:r>
      <w:r w:rsidRPr="00687B52">
        <w:rPr>
          <w:rFonts w:ascii="Times New Roman" w:hAnsi="Times New Roman"/>
          <w:color w:val="000000" w:themeColor="text1"/>
          <w:szCs w:val="21"/>
        </w:rPr>
        <w:t>“</w:t>
      </w:r>
      <w:r w:rsidRPr="00687B52">
        <w:rPr>
          <w:rFonts w:ascii="Times New Roman" w:hAnsi="宋体"/>
          <w:color w:val="000000" w:themeColor="text1"/>
          <w:szCs w:val="21"/>
        </w:rPr>
        <w:t>其他工艺设备</w:t>
      </w:r>
      <w:r w:rsidRPr="00687B52">
        <w:rPr>
          <w:rFonts w:ascii="Times New Roman" w:hAnsi="Times New Roman"/>
          <w:color w:val="000000" w:themeColor="text1"/>
          <w:szCs w:val="21"/>
        </w:rPr>
        <w:t>”</w:t>
      </w:r>
      <w:r w:rsidRPr="00687B52">
        <w:rPr>
          <w:rFonts w:ascii="Times New Roman" w:hAnsi="宋体"/>
          <w:color w:val="000000" w:themeColor="text1"/>
          <w:szCs w:val="21"/>
        </w:rPr>
        <w:t>确定其防火间距；</w:t>
      </w:r>
    </w:p>
    <w:p w:rsidR="00481EDB" w:rsidRPr="00687B52" w:rsidRDefault="00481EDB" w:rsidP="00481EDB">
      <w:pPr>
        <w:adjustRightInd w:val="0"/>
        <w:snapToGrid w:val="0"/>
        <w:spacing w:line="300" w:lineRule="auto"/>
        <w:ind w:firstLine="420"/>
        <w:rPr>
          <w:rFonts w:ascii="Times New Roman" w:hAnsi="Times New Roman"/>
          <w:color w:val="000000" w:themeColor="text1"/>
          <w:szCs w:val="21"/>
        </w:rPr>
      </w:pPr>
      <w:r w:rsidRPr="00687B52">
        <w:rPr>
          <w:rFonts w:ascii="Times New Roman" w:hAnsi="Times New Roman"/>
          <w:color w:val="000000" w:themeColor="text1"/>
          <w:szCs w:val="21"/>
        </w:rPr>
        <w:t xml:space="preserve">3. </w:t>
      </w:r>
      <w:r w:rsidRPr="00687B52">
        <w:rPr>
          <w:rFonts w:ascii="Times New Roman" w:hAnsi="宋体"/>
          <w:color w:val="000000" w:themeColor="text1"/>
          <w:szCs w:val="21"/>
        </w:rPr>
        <w:t>查不到自燃点时，可取</w:t>
      </w:r>
      <w:r w:rsidRPr="00687B52">
        <w:rPr>
          <w:rFonts w:ascii="Times New Roman" w:hAnsi="Times New Roman"/>
          <w:color w:val="000000" w:themeColor="text1"/>
          <w:szCs w:val="21"/>
        </w:rPr>
        <w:t>250</w:t>
      </w:r>
      <w:r w:rsidRPr="00687B52">
        <w:rPr>
          <w:rFonts w:ascii="宋体" w:hAnsi="宋体"/>
          <w:color w:val="000000" w:themeColor="text1"/>
          <w:szCs w:val="21"/>
        </w:rPr>
        <w:t>℃</w:t>
      </w:r>
      <w:r w:rsidRPr="00687B52">
        <w:rPr>
          <w:rFonts w:ascii="Times New Roman" w:hAnsi="宋体"/>
          <w:color w:val="000000" w:themeColor="text1"/>
          <w:szCs w:val="21"/>
        </w:rPr>
        <w:t>；</w:t>
      </w:r>
    </w:p>
    <w:p w:rsidR="00481EDB" w:rsidRPr="00687B52" w:rsidRDefault="00481EDB" w:rsidP="00481EDB">
      <w:pPr>
        <w:adjustRightInd w:val="0"/>
        <w:snapToGrid w:val="0"/>
        <w:spacing w:line="300" w:lineRule="auto"/>
        <w:ind w:firstLine="420"/>
        <w:rPr>
          <w:rFonts w:ascii="Times New Roman" w:hAnsi="Times New Roman"/>
          <w:color w:val="000000" w:themeColor="text1"/>
          <w:szCs w:val="21"/>
        </w:rPr>
      </w:pPr>
      <w:r w:rsidRPr="00687B52">
        <w:rPr>
          <w:rFonts w:ascii="Times New Roman" w:hAnsi="Times New Roman"/>
          <w:color w:val="000000" w:themeColor="text1"/>
          <w:szCs w:val="21"/>
        </w:rPr>
        <w:t xml:space="preserve">4. </w:t>
      </w:r>
      <w:r w:rsidRPr="00687B52">
        <w:rPr>
          <w:rFonts w:ascii="Times New Roman" w:hAnsi="宋体"/>
          <w:color w:val="000000" w:themeColor="text1"/>
          <w:szCs w:val="21"/>
        </w:rPr>
        <w:t>装置储罐组的防火设计应符合本规范第</w:t>
      </w:r>
      <w:r w:rsidRPr="00687B52">
        <w:rPr>
          <w:rFonts w:ascii="Times New Roman" w:hAnsi="Times New Roman"/>
          <w:color w:val="000000" w:themeColor="text1"/>
          <w:szCs w:val="21"/>
        </w:rPr>
        <w:t>6</w:t>
      </w:r>
      <w:r w:rsidRPr="00687B52">
        <w:rPr>
          <w:rFonts w:ascii="Times New Roman" w:hAnsi="宋体"/>
          <w:color w:val="000000" w:themeColor="text1"/>
          <w:szCs w:val="21"/>
        </w:rPr>
        <w:t>章的有关规定；</w:t>
      </w:r>
    </w:p>
    <w:p w:rsidR="00481EDB" w:rsidRPr="00687B52" w:rsidRDefault="00481EDB" w:rsidP="00481EDB">
      <w:pPr>
        <w:adjustRightInd w:val="0"/>
        <w:snapToGrid w:val="0"/>
        <w:spacing w:line="300" w:lineRule="auto"/>
        <w:ind w:firstLine="420"/>
        <w:rPr>
          <w:rFonts w:ascii="Times New Roman" w:hAnsi="Times New Roman"/>
          <w:color w:val="000000" w:themeColor="text1"/>
          <w:szCs w:val="21"/>
        </w:rPr>
      </w:pPr>
      <w:r w:rsidRPr="00687B52">
        <w:rPr>
          <w:rFonts w:ascii="Times New Roman" w:hAnsi="Times New Roman"/>
          <w:color w:val="000000" w:themeColor="text1"/>
          <w:szCs w:val="21"/>
        </w:rPr>
        <w:t xml:space="preserve">5. </w:t>
      </w:r>
      <w:r w:rsidRPr="00687B52">
        <w:rPr>
          <w:rFonts w:ascii="Times New Roman" w:hAnsi="宋体"/>
          <w:color w:val="000000" w:themeColor="text1"/>
          <w:szCs w:val="21"/>
        </w:rPr>
        <w:t>丙</w:t>
      </w:r>
      <w:r w:rsidRPr="00687B52">
        <w:rPr>
          <w:rFonts w:ascii="Times New Roman" w:hAnsi="Times New Roman"/>
          <w:color w:val="000000" w:themeColor="text1"/>
          <w:szCs w:val="21"/>
        </w:rPr>
        <w:t>B</w:t>
      </w:r>
      <w:r w:rsidRPr="00687B52">
        <w:rPr>
          <w:rFonts w:ascii="Times New Roman" w:hAnsi="宋体"/>
          <w:color w:val="000000" w:themeColor="text1"/>
          <w:szCs w:val="21"/>
        </w:rPr>
        <w:t>类液体设备的防火间距不限；</w:t>
      </w:r>
    </w:p>
    <w:p w:rsidR="00481EDB" w:rsidRPr="00687B52" w:rsidRDefault="00481EDB" w:rsidP="00481EDB">
      <w:pPr>
        <w:adjustRightInd w:val="0"/>
        <w:snapToGrid w:val="0"/>
        <w:spacing w:line="300" w:lineRule="auto"/>
        <w:ind w:firstLine="420"/>
        <w:rPr>
          <w:rFonts w:ascii="Times New Roman" w:hAnsi="Times New Roman"/>
          <w:color w:val="000000" w:themeColor="text1"/>
          <w:szCs w:val="21"/>
        </w:rPr>
      </w:pPr>
      <w:r w:rsidRPr="00687B52">
        <w:rPr>
          <w:rFonts w:ascii="Times New Roman" w:hAnsi="Times New Roman"/>
          <w:color w:val="000000" w:themeColor="text1"/>
          <w:szCs w:val="21"/>
        </w:rPr>
        <w:t xml:space="preserve">6. </w:t>
      </w:r>
      <w:r w:rsidRPr="00687B52">
        <w:rPr>
          <w:rFonts w:ascii="Times New Roman" w:hAnsi="宋体"/>
          <w:color w:val="000000" w:themeColor="text1"/>
          <w:szCs w:val="21"/>
        </w:rPr>
        <w:t>散发火花地点与其他设备防火间距同明火设备；</w:t>
      </w:r>
    </w:p>
    <w:p w:rsidR="00481EDB" w:rsidRPr="00687B52" w:rsidRDefault="00481EDB" w:rsidP="00481EDB">
      <w:pPr>
        <w:adjustRightInd w:val="0"/>
        <w:snapToGrid w:val="0"/>
        <w:spacing w:line="300" w:lineRule="auto"/>
        <w:ind w:firstLine="420"/>
        <w:rPr>
          <w:rFonts w:ascii="Times New Roman" w:hAnsi="宋体"/>
          <w:color w:val="000000" w:themeColor="text1"/>
          <w:szCs w:val="21"/>
        </w:rPr>
      </w:pPr>
      <w:r w:rsidRPr="00687B52">
        <w:rPr>
          <w:rFonts w:ascii="Times New Roman" w:hAnsi="Times New Roman"/>
          <w:color w:val="000000" w:themeColor="text1"/>
          <w:szCs w:val="21"/>
        </w:rPr>
        <w:t xml:space="preserve">7. </w:t>
      </w:r>
      <w:r w:rsidRPr="00687B52">
        <w:rPr>
          <w:rFonts w:ascii="Times New Roman" w:hAnsi="宋体"/>
          <w:color w:val="000000" w:themeColor="text1"/>
          <w:szCs w:val="21"/>
        </w:rPr>
        <w:t>表中</w:t>
      </w:r>
      <w:r w:rsidRPr="00687B52">
        <w:rPr>
          <w:rFonts w:ascii="Times New Roman" w:hAnsi="Times New Roman"/>
          <w:color w:val="000000" w:themeColor="text1"/>
          <w:szCs w:val="21"/>
        </w:rPr>
        <w:t>“—”</w:t>
      </w:r>
      <w:r w:rsidRPr="00687B52">
        <w:rPr>
          <w:rFonts w:ascii="Times New Roman" w:hAnsi="宋体"/>
          <w:color w:val="000000" w:themeColor="text1"/>
          <w:szCs w:val="21"/>
        </w:rPr>
        <w:t>表示无防火间距要求或执行相关规范，</w:t>
      </w:r>
      <w:r w:rsidRPr="00687B52">
        <w:rPr>
          <w:rFonts w:ascii="Times New Roman" w:hAnsi="Times New Roman"/>
          <w:color w:val="000000" w:themeColor="text1"/>
          <w:szCs w:val="21"/>
        </w:rPr>
        <w:t>“*”</w:t>
      </w:r>
      <w:r w:rsidRPr="00687B52">
        <w:rPr>
          <w:rFonts w:ascii="Times New Roman" w:hAnsi="宋体"/>
          <w:color w:val="000000" w:themeColor="text1"/>
          <w:szCs w:val="21"/>
        </w:rPr>
        <w:t>装置储罐集中成组布置。</w:t>
      </w:r>
    </w:p>
    <w:p w:rsidR="00481EDB" w:rsidRPr="00687B52" w:rsidRDefault="00481EDB" w:rsidP="00481EDB">
      <w:pPr>
        <w:adjustRightInd w:val="0"/>
        <w:snapToGrid w:val="0"/>
        <w:spacing w:line="300" w:lineRule="auto"/>
        <w:ind w:firstLine="420"/>
        <w:rPr>
          <w:rFonts w:ascii="Times New Roman" w:hAnsi="宋体"/>
          <w:color w:val="000000" w:themeColor="text1"/>
          <w:szCs w:val="21"/>
        </w:rPr>
      </w:pPr>
    </w:p>
    <w:p w:rsidR="00481EDB" w:rsidRPr="00687B52" w:rsidRDefault="00481EDB" w:rsidP="00856B6C">
      <w:pPr>
        <w:pStyle w:val="afd"/>
        <w:rPr>
          <w:color w:val="000000" w:themeColor="text1"/>
        </w:rPr>
      </w:pPr>
      <w:bookmarkStart w:id="183" w:name="_Toc491870820"/>
      <w:bookmarkStart w:id="184" w:name="_Toc492563474"/>
      <w:bookmarkStart w:id="185" w:name="_Toc493857075"/>
      <w:r w:rsidRPr="00687B52">
        <w:rPr>
          <w:rFonts w:hint="eastAsia"/>
          <w:color w:val="000000" w:themeColor="text1"/>
        </w:rPr>
        <w:t>表</w:t>
      </w:r>
      <w:r w:rsidRPr="00687B52">
        <w:rPr>
          <w:rFonts w:hint="eastAsia"/>
          <w:color w:val="000000" w:themeColor="text1"/>
        </w:rPr>
        <w:t xml:space="preserve">5.4.3 </w:t>
      </w:r>
      <w:r w:rsidRPr="00687B52">
        <w:rPr>
          <w:color w:val="000000" w:themeColor="text1"/>
        </w:rPr>
        <w:t>污水处理场内的设备、建（构）筑物平面布置的防火间距（</w:t>
      </w:r>
      <w:r w:rsidRPr="00687B52">
        <w:rPr>
          <w:color w:val="000000" w:themeColor="text1"/>
        </w:rPr>
        <w:t>m</w:t>
      </w:r>
      <w:r w:rsidRPr="00687B52">
        <w:rPr>
          <w:color w:val="000000" w:themeColor="text1"/>
        </w:rPr>
        <w:t>）</w:t>
      </w:r>
      <w:bookmarkEnd w:id="183"/>
      <w:bookmarkEnd w:id="184"/>
      <w:bookmarkEnd w:id="185"/>
    </w:p>
    <w:tbl>
      <w:tblPr>
        <w:tblW w:w="9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9"/>
        <w:gridCol w:w="1575"/>
        <w:gridCol w:w="1680"/>
        <w:gridCol w:w="1050"/>
        <w:gridCol w:w="1365"/>
        <w:gridCol w:w="630"/>
        <w:gridCol w:w="630"/>
      </w:tblGrid>
      <w:tr w:rsidR="00481EDB" w:rsidRPr="00687B52" w:rsidTr="00B527D4">
        <w:trPr>
          <w:cantSplit/>
          <w:trHeight w:val="340"/>
          <w:jc w:val="center"/>
        </w:trPr>
        <w:tc>
          <w:tcPr>
            <w:tcW w:w="3069"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类别</w:t>
            </w:r>
          </w:p>
        </w:tc>
        <w:tc>
          <w:tcPr>
            <w:tcW w:w="1575" w:type="dxa"/>
            <w:vAlign w:val="center"/>
          </w:tcPr>
          <w:p w:rsidR="00481EDB" w:rsidRPr="00687B52" w:rsidRDefault="00481EDB" w:rsidP="00B527D4">
            <w:pPr>
              <w:pStyle w:val="Default"/>
              <w:snapToGrid w:val="0"/>
              <w:ind w:leftChars="-52" w:left="-109" w:firstLine="1"/>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变配电所、化验室、办公室等</w:t>
            </w:r>
          </w:p>
        </w:tc>
        <w:tc>
          <w:tcPr>
            <w:tcW w:w="1680" w:type="dxa"/>
            <w:vAlign w:val="center"/>
          </w:tcPr>
          <w:p w:rsidR="00481EDB" w:rsidRPr="00687B52" w:rsidRDefault="00481EDB" w:rsidP="00B527D4">
            <w:pPr>
              <w:pStyle w:val="Default"/>
              <w:snapToGrid w:val="0"/>
              <w:ind w:leftChars="-52" w:left="-109" w:firstLine="1"/>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含可燃液体的隔油池、污水池等</w:t>
            </w:r>
          </w:p>
        </w:tc>
        <w:tc>
          <w:tcPr>
            <w:tcW w:w="1050" w:type="dxa"/>
            <w:vAlign w:val="center"/>
          </w:tcPr>
          <w:p w:rsidR="00481EDB" w:rsidRPr="00687B52" w:rsidRDefault="00481EDB" w:rsidP="00B527D4">
            <w:pPr>
              <w:pStyle w:val="Default"/>
              <w:snapToGrid w:val="0"/>
              <w:ind w:leftChars="-52" w:left="-109" w:firstLine="1"/>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集中布置的水泵房</w:t>
            </w:r>
          </w:p>
        </w:tc>
        <w:tc>
          <w:tcPr>
            <w:tcW w:w="1365" w:type="dxa"/>
            <w:vAlign w:val="center"/>
          </w:tcPr>
          <w:p w:rsidR="00481EDB" w:rsidRPr="00687B52" w:rsidRDefault="00481EDB" w:rsidP="00B527D4">
            <w:pPr>
              <w:pStyle w:val="Default"/>
              <w:snapToGrid w:val="0"/>
              <w:ind w:leftChars="-40" w:left="-84" w:firstLine="1"/>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污油罐、含油污水调节罐</w:t>
            </w:r>
          </w:p>
        </w:tc>
        <w:tc>
          <w:tcPr>
            <w:tcW w:w="630" w:type="dxa"/>
            <w:vAlign w:val="center"/>
          </w:tcPr>
          <w:p w:rsidR="00481EDB" w:rsidRPr="00687B52" w:rsidRDefault="00481EDB" w:rsidP="00B527D4">
            <w:pPr>
              <w:pStyle w:val="Default"/>
              <w:snapToGrid w:val="0"/>
              <w:ind w:leftChars="-52" w:left="-109" w:firstLine="1"/>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焚烧炉</w:t>
            </w:r>
          </w:p>
        </w:tc>
        <w:tc>
          <w:tcPr>
            <w:tcW w:w="630" w:type="dxa"/>
            <w:vAlign w:val="center"/>
          </w:tcPr>
          <w:p w:rsidR="00481EDB" w:rsidRPr="00687B52" w:rsidRDefault="00481EDB" w:rsidP="00B527D4">
            <w:pPr>
              <w:pStyle w:val="Default"/>
              <w:snapToGrid w:val="0"/>
              <w:ind w:leftChars="-52" w:left="-109"/>
              <w:jc w:val="center"/>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污油泵房</w:t>
            </w:r>
          </w:p>
        </w:tc>
      </w:tr>
      <w:tr w:rsidR="00481EDB" w:rsidRPr="00687B52" w:rsidTr="00B527D4">
        <w:trPr>
          <w:cantSplit/>
          <w:trHeight w:val="284"/>
          <w:jc w:val="center"/>
        </w:trPr>
        <w:tc>
          <w:tcPr>
            <w:tcW w:w="3069" w:type="dxa"/>
            <w:vAlign w:val="center"/>
          </w:tcPr>
          <w:p w:rsidR="00481EDB" w:rsidRPr="00687B52" w:rsidRDefault="00481EDB" w:rsidP="00B527D4">
            <w:pPr>
              <w:pStyle w:val="Default"/>
              <w:snapToGrid w:val="0"/>
              <w:ind w:leftChars="-15" w:hangingChars="15" w:hanging="31"/>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变配电所、化验室、办公室等</w:t>
            </w:r>
          </w:p>
        </w:tc>
        <w:tc>
          <w:tcPr>
            <w:tcW w:w="1575" w:type="dxa"/>
            <w:tcBorders>
              <w:right w:val="single" w:sz="12" w:space="0" w:color="auto"/>
            </w:tcBorders>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w:t>
            </w:r>
          </w:p>
        </w:tc>
        <w:tc>
          <w:tcPr>
            <w:tcW w:w="1680" w:type="dxa"/>
            <w:tcBorders>
              <w:left w:val="single" w:sz="12" w:space="0" w:color="auto"/>
              <w:bottom w:val="single" w:sz="12" w:space="0" w:color="auto"/>
            </w:tcBorders>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15</w:t>
            </w:r>
          </w:p>
        </w:tc>
        <w:tc>
          <w:tcPr>
            <w:tcW w:w="1050"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w:t>
            </w:r>
          </w:p>
        </w:tc>
        <w:tc>
          <w:tcPr>
            <w:tcW w:w="136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15</w:t>
            </w:r>
          </w:p>
        </w:tc>
        <w:tc>
          <w:tcPr>
            <w:tcW w:w="630"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15</w:t>
            </w:r>
          </w:p>
        </w:tc>
        <w:tc>
          <w:tcPr>
            <w:tcW w:w="630"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15</w:t>
            </w:r>
          </w:p>
        </w:tc>
      </w:tr>
      <w:tr w:rsidR="00481EDB" w:rsidRPr="00687B52" w:rsidTr="00B527D4">
        <w:trPr>
          <w:cantSplit/>
          <w:trHeight w:val="284"/>
          <w:jc w:val="center"/>
        </w:trPr>
        <w:tc>
          <w:tcPr>
            <w:tcW w:w="3069" w:type="dxa"/>
            <w:vAlign w:val="center"/>
          </w:tcPr>
          <w:p w:rsidR="00481EDB" w:rsidRPr="00687B52" w:rsidRDefault="00481EDB" w:rsidP="00B527D4">
            <w:pPr>
              <w:pStyle w:val="Default"/>
              <w:snapToGrid w:val="0"/>
              <w:ind w:leftChars="-16" w:left="-34" w:firstLine="2"/>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含可燃液体的隔油池、污水池等</w:t>
            </w:r>
          </w:p>
        </w:tc>
        <w:tc>
          <w:tcPr>
            <w:tcW w:w="157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15</w:t>
            </w:r>
          </w:p>
        </w:tc>
        <w:tc>
          <w:tcPr>
            <w:tcW w:w="1680" w:type="dxa"/>
            <w:tcBorders>
              <w:top w:val="single" w:sz="12" w:space="0" w:color="auto"/>
              <w:right w:val="single" w:sz="12" w:space="0" w:color="auto"/>
            </w:tcBorders>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w:t>
            </w:r>
          </w:p>
        </w:tc>
        <w:tc>
          <w:tcPr>
            <w:tcW w:w="1050" w:type="dxa"/>
            <w:tcBorders>
              <w:left w:val="single" w:sz="12" w:space="0" w:color="auto"/>
              <w:bottom w:val="single" w:sz="12" w:space="0" w:color="auto"/>
            </w:tcBorders>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15</w:t>
            </w:r>
          </w:p>
        </w:tc>
        <w:tc>
          <w:tcPr>
            <w:tcW w:w="136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15</w:t>
            </w:r>
          </w:p>
        </w:tc>
        <w:tc>
          <w:tcPr>
            <w:tcW w:w="630"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15</w:t>
            </w:r>
          </w:p>
        </w:tc>
        <w:tc>
          <w:tcPr>
            <w:tcW w:w="630"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w:t>
            </w:r>
          </w:p>
        </w:tc>
      </w:tr>
      <w:tr w:rsidR="00481EDB" w:rsidRPr="00687B52" w:rsidTr="00B527D4">
        <w:trPr>
          <w:cantSplit/>
          <w:trHeight w:val="284"/>
          <w:jc w:val="center"/>
        </w:trPr>
        <w:tc>
          <w:tcPr>
            <w:tcW w:w="3069" w:type="dxa"/>
            <w:vAlign w:val="center"/>
          </w:tcPr>
          <w:p w:rsidR="00481EDB" w:rsidRPr="00687B52" w:rsidRDefault="00481EDB" w:rsidP="00B527D4">
            <w:pPr>
              <w:pStyle w:val="Default"/>
              <w:snapToGrid w:val="0"/>
              <w:ind w:leftChars="-15" w:hangingChars="15" w:hanging="31"/>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集中布置的水泵房</w:t>
            </w:r>
          </w:p>
        </w:tc>
        <w:tc>
          <w:tcPr>
            <w:tcW w:w="157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w:t>
            </w:r>
          </w:p>
        </w:tc>
        <w:tc>
          <w:tcPr>
            <w:tcW w:w="1680"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15</w:t>
            </w:r>
          </w:p>
        </w:tc>
        <w:tc>
          <w:tcPr>
            <w:tcW w:w="1050" w:type="dxa"/>
            <w:tcBorders>
              <w:top w:val="single" w:sz="12" w:space="0" w:color="auto"/>
              <w:right w:val="single" w:sz="12" w:space="0" w:color="auto"/>
            </w:tcBorders>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w:t>
            </w:r>
          </w:p>
        </w:tc>
        <w:tc>
          <w:tcPr>
            <w:tcW w:w="1365" w:type="dxa"/>
            <w:tcBorders>
              <w:left w:val="single" w:sz="12" w:space="0" w:color="auto"/>
              <w:bottom w:val="single" w:sz="12" w:space="0" w:color="auto"/>
            </w:tcBorders>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15</w:t>
            </w:r>
          </w:p>
        </w:tc>
        <w:tc>
          <w:tcPr>
            <w:tcW w:w="630"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w:t>
            </w:r>
          </w:p>
        </w:tc>
        <w:tc>
          <w:tcPr>
            <w:tcW w:w="630"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w:t>
            </w:r>
          </w:p>
        </w:tc>
      </w:tr>
      <w:tr w:rsidR="00481EDB" w:rsidRPr="00687B52" w:rsidTr="00B527D4">
        <w:trPr>
          <w:cantSplit/>
          <w:trHeight w:val="284"/>
          <w:jc w:val="center"/>
        </w:trPr>
        <w:tc>
          <w:tcPr>
            <w:tcW w:w="3069" w:type="dxa"/>
            <w:vAlign w:val="center"/>
          </w:tcPr>
          <w:p w:rsidR="00481EDB" w:rsidRPr="00687B52" w:rsidRDefault="00481EDB" w:rsidP="00B527D4">
            <w:pPr>
              <w:pStyle w:val="Default"/>
              <w:snapToGrid w:val="0"/>
              <w:ind w:leftChars="-15" w:hangingChars="15" w:hanging="31"/>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污油罐、含油污水调节罐</w:t>
            </w:r>
          </w:p>
        </w:tc>
        <w:tc>
          <w:tcPr>
            <w:tcW w:w="157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15</w:t>
            </w:r>
          </w:p>
        </w:tc>
        <w:tc>
          <w:tcPr>
            <w:tcW w:w="1680"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15</w:t>
            </w:r>
          </w:p>
        </w:tc>
        <w:tc>
          <w:tcPr>
            <w:tcW w:w="1050"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15</w:t>
            </w:r>
          </w:p>
        </w:tc>
        <w:tc>
          <w:tcPr>
            <w:tcW w:w="1365" w:type="dxa"/>
            <w:tcBorders>
              <w:top w:val="single" w:sz="12" w:space="0" w:color="auto"/>
              <w:right w:val="single" w:sz="12" w:space="0" w:color="auto"/>
            </w:tcBorders>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w:t>
            </w:r>
          </w:p>
        </w:tc>
        <w:tc>
          <w:tcPr>
            <w:tcW w:w="630" w:type="dxa"/>
            <w:tcBorders>
              <w:left w:val="single" w:sz="12" w:space="0" w:color="auto"/>
              <w:bottom w:val="single" w:sz="12" w:space="0" w:color="auto"/>
            </w:tcBorders>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15</w:t>
            </w:r>
          </w:p>
        </w:tc>
        <w:tc>
          <w:tcPr>
            <w:tcW w:w="630"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w:t>
            </w:r>
          </w:p>
        </w:tc>
      </w:tr>
      <w:tr w:rsidR="00481EDB" w:rsidRPr="00687B52" w:rsidTr="00B527D4">
        <w:trPr>
          <w:cantSplit/>
          <w:trHeight w:val="284"/>
          <w:jc w:val="center"/>
        </w:trPr>
        <w:tc>
          <w:tcPr>
            <w:tcW w:w="3069" w:type="dxa"/>
            <w:vAlign w:val="center"/>
          </w:tcPr>
          <w:p w:rsidR="00481EDB" w:rsidRPr="00687B52" w:rsidRDefault="00481EDB" w:rsidP="00B527D4">
            <w:pPr>
              <w:pStyle w:val="Default"/>
              <w:snapToGrid w:val="0"/>
              <w:ind w:leftChars="-15" w:hangingChars="15" w:hanging="31"/>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焚烧炉</w:t>
            </w:r>
          </w:p>
        </w:tc>
        <w:tc>
          <w:tcPr>
            <w:tcW w:w="157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15</w:t>
            </w:r>
          </w:p>
        </w:tc>
        <w:tc>
          <w:tcPr>
            <w:tcW w:w="1680"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15</w:t>
            </w:r>
          </w:p>
        </w:tc>
        <w:tc>
          <w:tcPr>
            <w:tcW w:w="1050"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w:t>
            </w:r>
          </w:p>
        </w:tc>
        <w:tc>
          <w:tcPr>
            <w:tcW w:w="136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p>
        </w:tc>
        <w:tc>
          <w:tcPr>
            <w:tcW w:w="630" w:type="dxa"/>
            <w:tcBorders>
              <w:top w:val="single" w:sz="12" w:space="0" w:color="auto"/>
              <w:right w:val="single" w:sz="12" w:space="0" w:color="auto"/>
            </w:tcBorders>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w:t>
            </w:r>
          </w:p>
        </w:tc>
        <w:tc>
          <w:tcPr>
            <w:tcW w:w="630" w:type="dxa"/>
            <w:tcBorders>
              <w:left w:val="single" w:sz="12" w:space="0" w:color="auto"/>
              <w:bottom w:val="single" w:sz="12" w:space="0" w:color="auto"/>
            </w:tcBorders>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15</w:t>
            </w:r>
          </w:p>
        </w:tc>
      </w:tr>
      <w:tr w:rsidR="00481EDB" w:rsidRPr="00687B52" w:rsidTr="00B527D4">
        <w:trPr>
          <w:cantSplit/>
          <w:trHeight w:val="284"/>
          <w:jc w:val="center"/>
        </w:trPr>
        <w:tc>
          <w:tcPr>
            <w:tcW w:w="3069" w:type="dxa"/>
            <w:vAlign w:val="center"/>
          </w:tcPr>
          <w:p w:rsidR="00481EDB" w:rsidRPr="00687B52" w:rsidRDefault="00481EDB" w:rsidP="00B527D4">
            <w:pPr>
              <w:pStyle w:val="Default"/>
              <w:snapToGrid w:val="0"/>
              <w:ind w:leftChars="-15" w:hangingChars="15" w:hanging="31"/>
              <w:jc w:val="both"/>
              <w:rPr>
                <w:rFonts w:ascii="Times New Roman" w:eastAsia="宋体" w:cs="Times New Roman"/>
                <w:color w:val="000000" w:themeColor="text1"/>
                <w:sz w:val="21"/>
                <w:szCs w:val="21"/>
              </w:rPr>
            </w:pPr>
            <w:r w:rsidRPr="00687B52">
              <w:rPr>
                <w:rFonts w:ascii="Times New Roman" w:eastAsia="宋体" w:hAnsi="Arial" w:cs="Times New Roman"/>
                <w:color w:val="000000" w:themeColor="text1"/>
                <w:sz w:val="21"/>
                <w:szCs w:val="21"/>
              </w:rPr>
              <w:t>污油泵房</w:t>
            </w:r>
          </w:p>
        </w:tc>
        <w:tc>
          <w:tcPr>
            <w:tcW w:w="157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15</w:t>
            </w:r>
          </w:p>
        </w:tc>
        <w:tc>
          <w:tcPr>
            <w:tcW w:w="1680"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w:t>
            </w:r>
          </w:p>
        </w:tc>
        <w:tc>
          <w:tcPr>
            <w:tcW w:w="1050"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w:t>
            </w:r>
          </w:p>
        </w:tc>
        <w:tc>
          <w:tcPr>
            <w:tcW w:w="1365"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w:t>
            </w:r>
          </w:p>
        </w:tc>
        <w:tc>
          <w:tcPr>
            <w:tcW w:w="630" w:type="dxa"/>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15</w:t>
            </w:r>
          </w:p>
        </w:tc>
        <w:tc>
          <w:tcPr>
            <w:tcW w:w="630" w:type="dxa"/>
            <w:tcBorders>
              <w:top w:val="single" w:sz="12" w:space="0" w:color="auto"/>
            </w:tcBorders>
            <w:vAlign w:val="center"/>
          </w:tcPr>
          <w:p w:rsidR="00481EDB" w:rsidRPr="00687B52" w:rsidRDefault="00481EDB" w:rsidP="00B527D4">
            <w:pPr>
              <w:pStyle w:val="Default"/>
              <w:snapToGrid w:val="0"/>
              <w:jc w:val="center"/>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w:t>
            </w:r>
          </w:p>
        </w:tc>
      </w:tr>
    </w:tbl>
    <w:p w:rsidR="00481EDB" w:rsidRPr="00687B52" w:rsidRDefault="00481EDB" w:rsidP="00481EDB">
      <w:pPr>
        <w:adjustRightInd w:val="0"/>
        <w:snapToGrid w:val="0"/>
        <w:spacing w:line="300" w:lineRule="auto"/>
        <w:jc w:val="center"/>
        <w:rPr>
          <w:rFonts w:ascii="Times New Roman" w:hAnsi="Times New Roman"/>
          <w:b/>
          <w:color w:val="000000" w:themeColor="text1"/>
          <w:sz w:val="24"/>
          <w:szCs w:val="24"/>
        </w:rPr>
      </w:pPr>
    </w:p>
    <w:p w:rsidR="00481EDB" w:rsidRPr="00687B52" w:rsidRDefault="00481EDB" w:rsidP="00856B6C">
      <w:pPr>
        <w:pStyle w:val="afd"/>
        <w:rPr>
          <w:color w:val="000000" w:themeColor="text1"/>
        </w:rPr>
      </w:pPr>
      <w:bookmarkStart w:id="186" w:name="_Toc491870821"/>
      <w:bookmarkStart w:id="187" w:name="_Toc492563475"/>
      <w:bookmarkStart w:id="188" w:name="_Toc493857076"/>
      <w:r w:rsidRPr="00687B52">
        <w:rPr>
          <w:rFonts w:hint="eastAsia"/>
          <w:color w:val="000000" w:themeColor="text1"/>
        </w:rPr>
        <w:t>表</w:t>
      </w:r>
      <w:r w:rsidRPr="00687B52">
        <w:rPr>
          <w:rFonts w:hint="eastAsia"/>
          <w:color w:val="000000" w:themeColor="text1"/>
        </w:rPr>
        <w:t xml:space="preserve">6.2.8 </w:t>
      </w:r>
      <w:r w:rsidRPr="00687B52">
        <w:rPr>
          <w:color w:val="000000" w:themeColor="text1"/>
        </w:rPr>
        <w:t>罐组内相邻可燃液体地上储罐的防火间距</w:t>
      </w:r>
      <w:bookmarkEnd w:id="186"/>
      <w:bookmarkEnd w:id="187"/>
      <w:bookmarkEnd w:id="188"/>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1978"/>
        <w:gridCol w:w="1980"/>
        <w:gridCol w:w="1978"/>
        <w:gridCol w:w="1487"/>
      </w:tblGrid>
      <w:tr w:rsidR="00481EDB" w:rsidRPr="00687B52" w:rsidTr="00B527D4">
        <w:trPr>
          <w:cantSplit/>
          <w:trHeight w:val="284"/>
          <w:jc w:val="center"/>
        </w:trPr>
        <w:tc>
          <w:tcPr>
            <w:tcW w:w="1977" w:type="dxa"/>
            <w:vMerge w:val="restart"/>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类别</w:t>
            </w:r>
          </w:p>
        </w:tc>
        <w:tc>
          <w:tcPr>
            <w:tcW w:w="7423" w:type="dxa"/>
            <w:gridSpan w:val="4"/>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储罐型式</w:t>
            </w:r>
          </w:p>
        </w:tc>
      </w:tr>
      <w:tr w:rsidR="00481EDB" w:rsidRPr="00687B52" w:rsidTr="00B527D4">
        <w:trPr>
          <w:cantSplit/>
          <w:trHeight w:val="284"/>
          <w:jc w:val="center"/>
        </w:trPr>
        <w:tc>
          <w:tcPr>
            <w:tcW w:w="1977" w:type="dxa"/>
            <w:vMerge/>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p>
        </w:tc>
        <w:tc>
          <w:tcPr>
            <w:tcW w:w="3958" w:type="dxa"/>
            <w:gridSpan w:val="2"/>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固定顶罐</w:t>
            </w:r>
          </w:p>
        </w:tc>
        <w:tc>
          <w:tcPr>
            <w:tcW w:w="1978" w:type="dxa"/>
            <w:vMerge w:val="restart"/>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浮顶、内浮顶罐</w:t>
            </w:r>
          </w:p>
        </w:tc>
        <w:tc>
          <w:tcPr>
            <w:tcW w:w="1487" w:type="dxa"/>
            <w:vMerge w:val="restart"/>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卧罐</w:t>
            </w:r>
          </w:p>
        </w:tc>
      </w:tr>
      <w:tr w:rsidR="00481EDB" w:rsidRPr="00687B52" w:rsidTr="00B527D4">
        <w:trPr>
          <w:cantSplit/>
          <w:trHeight w:val="284"/>
          <w:jc w:val="center"/>
        </w:trPr>
        <w:tc>
          <w:tcPr>
            <w:tcW w:w="1977" w:type="dxa"/>
            <w:vMerge/>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p>
        </w:tc>
        <w:tc>
          <w:tcPr>
            <w:tcW w:w="1978"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w:t>
            </w:r>
            <w:r w:rsidRPr="00687B52">
              <w:rPr>
                <w:rFonts w:ascii="Arial" w:eastAsia="宋体" w:hAnsi="Arial" w:cs="Arial" w:hint="eastAsia"/>
                <w:color w:val="000000" w:themeColor="text1"/>
                <w:sz w:val="21"/>
                <w:szCs w:val="21"/>
              </w:rPr>
              <w:t>1000m</w:t>
            </w:r>
            <w:r w:rsidRPr="00687B52">
              <w:rPr>
                <w:rFonts w:ascii="Arial" w:eastAsia="宋体" w:hAnsi="Arial" w:cs="Arial" w:hint="eastAsia"/>
                <w:color w:val="000000" w:themeColor="text1"/>
                <w:sz w:val="21"/>
                <w:szCs w:val="21"/>
                <w:vertAlign w:val="superscript"/>
              </w:rPr>
              <w:t>3</w:t>
            </w:r>
          </w:p>
        </w:tc>
        <w:tc>
          <w:tcPr>
            <w:tcW w:w="1980"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&gt;1000m</w:t>
            </w:r>
            <w:r w:rsidRPr="00687B52">
              <w:rPr>
                <w:rFonts w:ascii="Arial" w:eastAsia="宋体" w:hAnsi="Arial" w:cs="Arial" w:hint="eastAsia"/>
                <w:color w:val="000000" w:themeColor="text1"/>
                <w:sz w:val="21"/>
                <w:szCs w:val="21"/>
                <w:vertAlign w:val="superscript"/>
              </w:rPr>
              <w:t>3</w:t>
            </w:r>
          </w:p>
        </w:tc>
        <w:tc>
          <w:tcPr>
            <w:tcW w:w="1978" w:type="dxa"/>
            <w:vMerge/>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p>
        </w:tc>
        <w:tc>
          <w:tcPr>
            <w:tcW w:w="1487" w:type="dxa"/>
            <w:vMerge/>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p>
        </w:tc>
      </w:tr>
      <w:tr w:rsidR="00481EDB" w:rsidRPr="00687B52" w:rsidTr="00B527D4">
        <w:trPr>
          <w:cantSplit/>
          <w:trHeight w:val="284"/>
          <w:jc w:val="center"/>
        </w:trPr>
        <w:tc>
          <w:tcPr>
            <w:tcW w:w="1977"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甲</w:t>
            </w:r>
            <w:r w:rsidRPr="00687B52">
              <w:rPr>
                <w:rFonts w:ascii="Arial" w:eastAsia="宋体" w:hAnsi="Arial" w:cs="Arial" w:hint="eastAsia"/>
                <w:color w:val="000000" w:themeColor="text1"/>
                <w:sz w:val="21"/>
                <w:szCs w:val="21"/>
                <w:vertAlign w:val="subscript"/>
              </w:rPr>
              <w:t>B</w:t>
            </w:r>
            <w:r w:rsidRPr="00687B52">
              <w:rPr>
                <w:rFonts w:ascii="Arial" w:eastAsia="宋体" w:hAnsi="Arial" w:cs="Arial" w:hint="eastAsia"/>
                <w:color w:val="000000" w:themeColor="text1"/>
                <w:sz w:val="21"/>
                <w:szCs w:val="21"/>
              </w:rPr>
              <w:t>、乙类</w:t>
            </w:r>
          </w:p>
        </w:tc>
        <w:tc>
          <w:tcPr>
            <w:tcW w:w="1978"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0.75D</w:t>
            </w:r>
          </w:p>
        </w:tc>
        <w:tc>
          <w:tcPr>
            <w:tcW w:w="1980"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0.6D</w:t>
            </w:r>
          </w:p>
        </w:tc>
        <w:tc>
          <w:tcPr>
            <w:tcW w:w="1978" w:type="dxa"/>
            <w:vMerge w:val="restart"/>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0.4D</w:t>
            </w:r>
          </w:p>
        </w:tc>
        <w:tc>
          <w:tcPr>
            <w:tcW w:w="1487" w:type="dxa"/>
            <w:vMerge w:val="restart"/>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0.8m</w:t>
            </w:r>
          </w:p>
        </w:tc>
      </w:tr>
      <w:tr w:rsidR="00481EDB" w:rsidRPr="00687B52" w:rsidTr="00B527D4">
        <w:trPr>
          <w:cantSplit/>
          <w:trHeight w:val="284"/>
          <w:jc w:val="center"/>
        </w:trPr>
        <w:tc>
          <w:tcPr>
            <w:tcW w:w="1977"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丙</w:t>
            </w:r>
            <w:r w:rsidRPr="00687B52">
              <w:rPr>
                <w:rFonts w:ascii="Arial" w:eastAsia="宋体" w:hAnsi="Arial" w:cs="Arial" w:hint="eastAsia"/>
                <w:color w:val="000000" w:themeColor="text1"/>
                <w:sz w:val="21"/>
                <w:szCs w:val="21"/>
                <w:vertAlign w:val="subscript"/>
              </w:rPr>
              <w:t>A</w:t>
            </w:r>
            <w:r w:rsidRPr="00687B52">
              <w:rPr>
                <w:rFonts w:ascii="Arial" w:eastAsia="宋体" w:hAnsi="Arial" w:cs="Arial" w:hint="eastAsia"/>
                <w:color w:val="000000" w:themeColor="text1"/>
                <w:sz w:val="21"/>
                <w:szCs w:val="21"/>
              </w:rPr>
              <w:t>类</w:t>
            </w:r>
          </w:p>
        </w:tc>
        <w:tc>
          <w:tcPr>
            <w:tcW w:w="3958" w:type="dxa"/>
            <w:gridSpan w:val="2"/>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0.4D</w:t>
            </w:r>
          </w:p>
        </w:tc>
        <w:tc>
          <w:tcPr>
            <w:tcW w:w="1978" w:type="dxa"/>
            <w:vMerge/>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p>
        </w:tc>
        <w:tc>
          <w:tcPr>
            <w:tcW w:w="1487" w:type="dxa"/>
            <w:vMerge/>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p>
        </w:tc>
      </w:tr>
      <w:tr w:rsidR="00481EDB" w:rsidRPr="00687B52" w:rsidTr="00B527D4">
        <w:trPr>
          <w:cantSplit/>
          <w:trHeight w:val="284"/>
          <w:jc w:val="center"/>
        </w:trPr>
        <w:tc>
          <w:tcPr>
            <w:tcW w:w="1977"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丙</w:t>
            </w:r>
            <w:r w:rsidRPr="00687B52">
              <w:rPr>
                <w:rFonts w:ascii="Arial" w:eastAsia="宋体" w:hAnsi="Arial" w:cs="Arial" w:hint="eastAsia"/>
                <w:color w:val="000000" w:themeColor="text1"/>
                <w:sz w:val="21"/>
                <w:szCs w:val="21"/>
                <w:vertAlign w:val="subscript"/>
              </w:rPr>
              <w:t>B</w:t>
            </w:r>
            <w:r w:rsidRPr="00687B52">
              <w:rPr>
                <w:rFonts w:ascii="Arial" w:eastAsia="宋体" w:hAnsi="Arial" w:cs="Arial" w:hint="eastAsia"/>
                <w:color w:val="000000" w:themeColor="text1"/>
                <w:sz w:val="21"/>
                <w:szCs w:val="21"/>
              </w:rPr>
              <w:t>类</w:t>
            </w:r>
          </w:p>
        </w:tc>
        <w:tc>
          <w:tcPr>
            <w:tcW w:w="1978"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2m</w:t>
            </w:r>
          </w:p>
        </w:tc>
        <w:tc>
          <w:tcPr>
            <w:tcW w:w="1980"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5m</w:t>
            </w:r>
          </w:p>
        </w:tc>
        <w:tc>
          <w:tcPr>
            <w:tcW w:w="1978" w:type="dxa"/>
            <w:vMerge/>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p>
        </w:tc>
        <w:tc>
          <w:tcPr>
            <w:tcW w:w="1487" w:type="dxa"/>
            <w:vMerge/>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p>
        </w:tc>
      </w:tr>
    </w:tbl>
    <w:p w:rsidR="00481EDB" w:rsidRPr="00687B52" w:rsidRDefault="00481EDB" w:rsidP="00481EDB">
      <w:pPr>
        <w:adjustRightInd w:val="0"/>
        <w:snapToGrid w:val="0"/>
        <w:spacing w:line="300" w:lineRule="auto"/>
        <w:rPr>
          <w:rFonts w:ascii="Times New Roman" w:hAnsi="Times New Roman"/>
          <w:color w:val="000000" w:themeColor="text1"/>
          <w:szCs w:val="21"/>
        </w:rPr>
      </w:pPr>
      <w:r w:rsidRPr="00687B52">
        <w:rPr>
          <w:rFonts w:ascii="Times New Roman" w:hAnsi="Times New Roman"/>
          <w:color w:val="000000" w:themeColor="text1"/>
          <w:szCs w:val="21"/>
        </w:rPr>
        <w:t>注：</w:t>
      </w:r>
      <w:r w:rsidRPr="00687B52">
        <w:rPr>
          <w:rFonts w:ascii="Times New Roman" w:hAnsi="Times New Roman"/>
          <w:color w:val="000000" w:themeColor="text1"/>
          <w:szCs w:val="21"/>
        </w:rPr>
        <w:t xml:space="preserve">1. </w:t>
      </w:r>
      <w:r w:rsidRPr="00687B52">
        <w:rPr>
          <w:rFonts w:ascii="Times New Roman" w:hAnsi="Times New Roman"/>
          <w:color w:val="000000" w:themeColor="text1"/>
          <w:szCs w:val="21"/>
        </w:rPr>
        <w:t>表中</w:t>
      </w:r>
      <w:r w:rsidRPr="00687B52">
        <w:rPr>
          <w:rFonts w:ascii="Times New Roman" w:hAnsi="Times New Roman"/>
          <w:color w:val="000000" w:themeColor="text1"/>
          <w:szCs w:val="21"/>
        </w:rPr>
        <w:t>D</w:t>
      </w:r>
      <w:r w:rsidRPr="00687B52">
        <w:rPr>
          <w:rFonts w:ascii="Times New Roman" w:hAnsi="Times New Roman"/>
          <w:color w:val="000000" w:themeColor="text1"/>
          <w:szCs w:val="21"/>
        </w:rPr>
        <w:t>为相邻较大罐的直径，单罐容积大于</w:t>
      </w:r>
      <w:r w:rsidRPr="00687B52">
        <w:rPr>
          <w:rFonts w:ascii="Times New Roman" w:hAnsi="Times New Roman"/>
          <w:color w:val="000000" w:themeColor="text1"/>
          <w:szCs w:val="21"/>
        </w:rPr>
        <w:t>1000m3</w:t>
      </w:r>
      <w:r w:rsidRPr="00687B52">
        <w:rPr>
          <w:rFonts w:ascii="Times New Roman" w:hAnsi="Times New Roman"/>
          <w:color w:val="000000" w:themeColor="text1"/>
          <w:szCs w:val="21"/>
        </w:rPr>
        <w:t>的储罐取直径或高度的较大值；</w:t>
      </w:r>
    </w:p>
    <w:p w:rsidR="00481EDB" w:rsidRPr="00687B52" w:rsidRDefault="00481EDB" w:rsidP="00481EDB">
      <w:pPr>
        <w:adjustRightInd w:val="0"/>
        <w:snapToGrid w:val="0"/>
        <w:spacing w:line="300" w:lineRule="auto"/>
        <w:ind w:firstLine="420"/>
        <w:rPr>
          <w:rFonts w:ascii="Times New Roman" w:hAnsi="Times New Roman"/>
          <w:color w:val="000000" w:themeColor="text1"/>
          <w:szCs w:val="21"/>
        </w:rPr>
      </w:pPr>
      <w:r w:rsidRPr="00687B52">
        <w:rPr>
          <w:rFonts w:ascii="Times New Roman" w:hAnsi="Times New Roman"/>
          <w:color w:val="000000" w:themeColor="text1"/>
          <w:szCs w:val="21"/>
        </w:rPr>
        <w:t xml:space="preserve">2. </w:t>
      </w:r>
      <w:r w:rsidRPr="00687B52">
        <w:rPr>
          <w:rFonts w:ascii="Times New Roman" w:hAnsi="Times New Roman"/>
          <w:color w:val="000000" w:themeColor="text1"/>
          <w:szCs w:val="21"/>
        </w:rPr>
        <w:t>储存不同类别液体的或不同型式的相邻储罐的防火间距应采用本表规定的较大值；</w:t>
      </w:r>
    </w:p>
    <w:p w:rsidR="00481EDB" w:rsidRPr="00687B52" w:rsidRDefault="00481EDB" w:rsidP="00481EDB">
      <w:pPr>
        <w:adjustRightInd w:val="0"/>
        <w:snapToGrid w:val="0"/>
        <w:spacing w:line="300" w:lineRule="auto"/>
        <w:ind w:firstLine="420"/>
        <w:rPr>
          <w:rFonts w:ascii="Times New Roman" w:hAnsi="Times New Roman"/>
          <w:color w:val="000000" w:themeColor="text1"/>
          <w:szCs w:val="21"/>
        </w:rPr>
      </w:pPr>
      <w:r w:rsidRPr="00687B52">
        <w:rPr>
          <w:rFonts w:ascii="Times New Roman" w:hAnsi="Times New Roman"/>
          <w:color w:val="000000" w:themeColor="text1"/>
          <w:szCs w:val="21"/>
        </w:rPr>
        <w:t xml:space="preserve">3. </w:t>
      </w:r>
      <w:r w:rsidRPr="00687B52">
        <w:rPr>
          <w:rFonts w:ascii="Times New Roman" w:hAnsi="Times New Roman"/>
          <w:color w:val="000000" w:themeColor="text1"/>
          <w:szCs w:val="21"/>
        </w:rPr>
        <w:t>现有浅盘式内浮顶罐的防火间距同固定顶罐；</w:t>
      </w:r>
    </w:p>
    <w:p w:rsidR="00481EDB" w:rsidRPr="00687B52" w:rsidRDefault="00481EDB" w:rsidP="00481EDB">
      <w:pPr>
        <w:adjustRightInd w:val="0"/>
        <w:snapToGrid w:val="0"/>
        <w:spacing w:line="300" w:lineRule="auto"/>
        <w:ind w:firstLine="420"/>
        <w:rPr>
          <w:rFonts w:ascii="Times New Roman" w:hAnsi="Times New Roman"/>
          <w:color w:val="000000" w:themeColor="text1"/>
          <w:szCs w:val="21"/>
        </w:rPr>
      </w:pPr>
      <w:r w:rsidRPr="00687B52">
        <w:rPr>
          <w:rFonts w:ascii="Times New Roman" w:hAnsi="Times New Roman"/>
          <w:color w:val="000000" w:themeColor="text1"/>
          <w:szCs w:val="21"/>
        </w:rPr>
        <w:t xml:space="preserve">4. </w:t>
      </w:r>
      <w:r w:rsidRPr="00687B52">
        <w:rPr>
          <w:rFonts w:ascii="Times New Roman" w:hAnsi="Times New Roman"/>
          <w:color w:val="000000" w:themeColor="text1"/>
          <w:szCs w:val="21"/>
        </w:rPr>
        <w:t>可燃液体的低压储罐，其防火间距按固定顶罐考虑；</w:t>
      </w:r>
    </w:p>
    <w:p w:rsidR="00481EDB" w:rsidRPr="00687B52" w:rsidRDefault="00481EDB" w:rsidP="00481EDB">
      <w:pPr>
        <w:adjustRightInd w:val="0"/>
        <w:snapToGrid w:val="0"/>
        <w:spacing w:line="300" w:lineRule="auto"/>
        <w:ind w:firstLine="420"/>
        <w:rPr>
          <w:rFonts w:ascii="Times New Roman" w:hAnsi="Times New Roman"/>
          <w:color w:val="000000" w:themeColor="text1"/>
          <w:szCs w:val="21"/>
        </w:rPr>
      </w:pPr>
      <w:r w:rsidRPr="00687B52">
        <w:rPr>
          <w:rFonts w:ascii="Times New Roman" w:hAnsi="Times New Roman"/>
          <w:color w:val="000000" w:themeColor="text1"/>
          <w:szCs w:val="21"/>
        </w:rPr>
        <w:t xml:space="preserve">5. </w:t>
      </w:r>
      <w:r w:rsidRPr="00687B52">
        <w:rPr>
          <w:rFonts w:ascii="Times New Roman" w:hAnsi="Times New Roman"/>
          <w:color w:val="000000" w:themeColor="text1"/>
          <w:szCs w:val="21"/>
        </w:rPr>
        <w:t>储存丙</w:t>
      </w:r>
      <w:r w:rsidRPr="00687B52">
        <w:rPr>
          <w:rFonts w:ascii="Times New Roman" w:hAnsi="Times New Roman"/>
          <w:color w:val="000000" w:themeColor="text1"/>
          <w:szCs w:val="21"/>
        </w:rPr>
        <w:t>B</w:t>
      </w:r>
      <w:r w:rsidRPr="00687B52">
        <w:rPr>
          <w:rFonts w:ascii="Times New Roman" w:hAnsi="Times New Roman"/>
          <w:color w:val="000000" w:themeColor="text1"/>
          <w:szCs w:val="21"/>
        </w:rPr>
        <w:t>类可燃液体的浮顶、内浮顶罐，其防火间距大于</w:t>
      </w:r>
      <w:r w:rsidRPr="00687B52">
        <w:rPr>
          <w:rFonts w:ascii="Times New Roman" w:hAnsi="Times New Roman"/>
          <w:color w:val="000000" w:themeColor="text1"/>
          <w:szCs w:val="21"/>
        </w:rPr>
        <w:t>15m</w:t>
      </w:r>
      <w:r w:rsidRPr="00687B52">
        <w:rPr>
          <w:rFonts w:ascii="Times New Roman" w:hAnsi="Times New Roman"/>
          <w:color w:val="000000" w:themeColor="text1"/>
          <w:szCs w:val="21"/>
        </w:rPr>
        <w:t>时，可取</w:t>
      </w:r>
      <w:r w:rsidRPr="00687B52">
        <w:rPr>
          <w:rFonts w:ascii="Times New Roman" w:hAnsi="Times New Roman"/>
          <w:color w:val="000000" w:themeColor="text1"/>
          <w:szCs w:val="21"/>
        </w:rPr>
        <w:t>15m</w:t>
      </w:r>
      <w:r w:rsidRPr="00687B52">
        <w:rPr>
          <w:rFonts w:ascii="Times New Roman" w:hAnsi="Times New Roman"/>
          <w:color w:val="000000" w:themeColor="text1"/>
          <w:szCs w:val="21"/>
        </w:rPr>
        <w:t>。</w:t>
      </w:r>
    </w:p>
    <w:p w:rsidR="00481EDB" w:rsidRPr="00687B52" w:rsidRDefault="00481EDB" w:rsidP="00481EDB">
      <w:pPr>
        <w:pStyle w:val="Default"/>
        <w:snapToGrid w:val="0"/>
        <w:spacing w:line="300" w:lineRule="auto"/>
        <w:jc w:val="center"/>
        <w:rPr>
          <w:rFonts w:ascii="Times New Roman" w:eastAsia="宋体" w:cs="Times New Roman"/>
          <w:b/>
          <w:color w:val="000000" w:themeColor="text1"/>
          <w:kern w:val="2"/>
        </w:rPr>
      </w:pPr>
    </w:p>
    <w:p w:rsidR="00481EDB" w:rsidRPr="00687B52" w:rsidRDefault="00481EDB" w:rsidP="00481EDB">
      <w:pPr>
        <w:pStyle w:val="Default"/>
        <w:snapToGrid w:val="0"/>
        <w:spacing w:line="300" w:lineRule="auto"/>
        <w:jc w:val="center"/>
        <w:rPr>
          <w:rFonts w:ascii="Times New Roman" w:eastAsia="宋体" w:cs="Times New Roman"/>
          <w:b/>
          <w:color w:val="000000" w:themeColor="text1"/>
          <w:kern w:val="2"/>
        </w:rPr>
        <w:sectPr w:rsidR="00481EDB" w:rsidRPr="00687B52">
          <w:pgSz w:w="11906" w:h="16838"/>
          <w:pgMar w:top="1418" w:right="1134" w:bottom="1134" w:left="1588" w:header="851" w:footer="992" w:gutter="0"/>
          <w:cols w:space="425"/>
          <w:docGrid w:type="lines" w:linePitch="312"/>
        </w:sectPr>
      </w:pPr>
    </w:p>
    <w:p w:rsidR="00481EDB" w:rsidRPr="00687B52" w:rsidRDefault="00481EDB" w:rsidP="00856B6C">
      <w:pPr>
        <w:pStyle w:val="afd"/>
        <w:rPr>
          <w:color w:val="000000" w:themeColor="text1"/>
        </w:rPr>
      </w:pPr>
      <w:bookmarkStart w:id="189" w:name="_Toc491870822"/>
      <w:bookmarkStart w:id="190" w:name="_Toc492563476"/>
      <w:bookmarkStart w:id="191" w:name="_Toc493857077"/>
      <w:r w:rsidRPr="00687B52">
        <w:rPr>
          <w:rFonts w:hint="eastAsia"/>
          <w:color w:val="000000" w:themeColor="text1"/>
        </w:rPr>
        <w:t>表</w:t>
      </w:r>
      <w:r w:rsidRPr="00687B52">
        <w:rPr>
          <w:rFonts w:hint="eastAsia"/>
          <w:color w:val="000000" w:themeColor="text1"/>
        </w:rPr>
        <w:t xml:space="preserve">6.3.3 </w:t>
      </w:r>
      <w:r w:rsidRPr="00687B52">
        <w:rPr>
          <w:color w:val="000000" w:themeColor="text1"/>
        </w:rPr>
        <w:t>液化烃、可燃气体、助燃气体的罐组内储罐的防火间距</w:t>
      </w:r>
      <w:bookmarkEnd w:id="189"/>
      <w:bookmarkEnd w:id="190"/>
      <w:bookmarkEnd w:id="191"/>
    </w:p>
    <w:tbl>
      <w:tblPr>
        <w:tblW w:w="928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42"/>
        <w:gridCol w:w="1513"/>
        <w:gridCol w:w="7"/>
        <w:gridCol w:w="1485"/>
        <w:gridCol w:w="941"/>
        <w:gridCol w:w="943"/>
        <w:gridCol w:w="1152"/>
        <w:gridCol w:w="1045"/>
        <w:gridCol w:w="881"/>
        <w:gridCol w:w="777"/>
      </w:tblGrid>
      <w:tr w:rsidR="00481EDB" w:rsidRPr="00687B52" w:rsidTr="00B527D4">
        <w:trPr>
          <w:cantSplit/>
          <w:trHeight w:val="340"/>
          <w:jc w:val="center"/>
        </w:trPr>
        <w:tc>
          <w:tcPr>
            <w:tcW w:w="3547" w:type="dxa"/>
            <w:gridSpan w:val="4"/>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ind w:left="-34"/>
              <w:jc w:val="center"/>
              <w:rPr>
                <w:rFonts w:ascii="Arial" w:hAnsi="Arial" w:cs="Arial"/>
                <w:color w:val="000000" w:themeColor="text1"/>
                <w:szCs w:val="21"/>
              </w:rPr>
            </w:pPr>
            <w:r w:rsidRPr="00687B52">
              <w:rPr>
                <w:rFonts w:ascii="Arial" w:cs="Arial"/>
                <w:color w:val="000000" w:themeColor="text1"/>
                <w:szCs w:val="21"/>
              </w:rPr>
              <w:t>介质</w:t>
            </w:r>
          </w:p>
        </w:tc>
        <w:tc>
          <w:tcPr>
            <w:tcW w:w="941"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cs="Arial"/>
                <w:color w:val="000000" w:themeColor="text1"/>
                <w:szCs w:val="21"/>
              </w:rPr>
              <w:t>球罐</w:t>
            </w:r>
          </w:p>
        </w:tc>
        <w:tc>
          <w:tcPr>
            <w:tcW w:w="943"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cs="Arial"/>
                <w:color w:val="000000" w:themeColor="text1"/>
                <w:szCs w:val="21"/>
              </w:rPr>
              <w:t>卧（立）罐</w:t>
            </w:r>
          </w:p>
        </w:tc>
        <w:tc>
          <w:tcPr>
            <w:tcW w:w="2197" w:type="dxa"/>
            <w:gridSpan w:val="2"/>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cs="Arial" w:hint="eastAsia"/>
                <w:color w:val="000000" w:themeColor="text1"/>
                <w:szCs w:val="21"/>
              </w:rPr>
              <w:t>全冷冻式储罐（容积）</w:t>
            </w:r>
          </w:p>
        </w:tc>
        <w:tc>
          <w:tcPr>
            <w:tcW w:w="881"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cs="Arial"/>
                <w:color w:val="000000" w:themeColor="text1"/>
                <w:szCs w:val="21"/>
              </w:rPr>
              <w:t>水槽式气柜</w:t>
            </w:r>
          </w:p>
        </w:tc>
        <w:tc>
          <w:tcPr>
            <w:tcW w:w="777"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cs="Arial"/>
                <w:color w:val="000000" w:themeColor="text1"/>
                <w:szCs w:val="21"/>
              </w:rPr>
              <w:t>干式气柜</w:t>
            </w:r>
          </w:p>
        </w:tc>
      </w:tr>
      <w:tr w:rsidR="00481EDB" w:rsidRPr="00687B52" w:rsidTr="00B527D4">
        <w:trPr>
          <w:cantSplit/>
          <w:trHeight w:val="340"/>
          <w:jc w:val="center"/>
        </w:trPr>
        <w:tc>
          <w:tcPr>
            <w:tcW w:w="3547" w:type="dxa"/>
            <w:gridSpan w:val="4"/>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ind w:firstLineChars="500" w:firstLine="1050"/>
              <w:rPr>
                <w:rFonts w:ascii="Arial" w:hAnsi="Arial" w:cs="Arial"/>
                <w:color w:val="000000" w:themeColor="text1"/>
                <w:szCs w:val="21"/>
              </w:rPr>
            </w:pPr>
          </w:p>
        </w:tc>
        <w:tc>
          <w:tcPr>
            <w:tcW w:w="941"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p>
        </w:tc>
        <w:tc>
          <w:tcPr>
            <w:tcW w:w="943"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p>
        </w:tc>
        <w:tc>
          <w:tcPr>
            <w:tcW w:w="115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hAnsi="Arial" w:cs="Arial"/>
                <w:color w:val="000000" w:themeColor="text1"/>
                <w:szCs w:val="21"/>
              </w:rPr>
              <w:t>≤100m</w:t>
            </w:r>
            <w:r w:rsidRPr="00687B52">
              <w:rPr>
                <w:rFonts w:ascii="Arial" w:hAnsi="Arial" w:cs="Arial"/>
                <w:color w:val="000000" w:themeColor="text1"/>
                <w:szCs w:val="21"/>
                <w:vertAlign w:val="superscript"/>
              </w:rPr>
              <w:t>3</w:t>
            </w:r>
          </w:p>
        </w:tc>
        <w:tc>
          <w:tcPr>
            <w:tcW w:w="104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hAnsi="Arial" w:cs="Arial" w:hint="eastAsia"/>
                <w:color w:val="000000" w:themeColor="text1"/>
                <w:szCs w:val="21"/>
              </w:rPr>
              <w:t>&gt;</w:t>
            </w:r>
            <w:r w:rsidRPr="00687B52">
              <w:rPr>
                <w:rFonts w:ascii="Arial" w:hAnsi="Arial" w:cs="Arial"/>
                <w:color w:val="000000" w:themeColor="text1"/>
                <w:szCs w:val="21"/>
              </w:rPr>
              <w:t>100m</w:t>
            </w:r>
            <w:r w:rsidRPr="00687B52">
              <w:rPr>
                <w:rFonts w:ascii="Arial" w:hAnsi="Arial" w:cs="Arial"/>
                <w:color w:val="000000" w:themeColor="text1"/>
                <w:szCs w:val="21"/>
                <w:vertAlign w:val="superscript"/>
              </w:rPr>
              <w:t>3</w:t>
            </w:r>
          </w:p>
        </w:tc>
        <w:tc>
          <w:tcPr>
            <w:tcW w:w="881"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p>
        </w:tc>
        <w:tc>
          <w:tcPr>
            <w:tcW w:w="777"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p>
        </w:tc>
      </w:tr>
      <w:tr w:rsidR="00481EDB" w:rsidRPr="00687B52" w:rsidTr="00B527D4">
        <w:trPr>
          <w:cantSplit/>
          <w:trHeight w:val="340"/>
          <w:jc w:val="center"/>
        </w:trPr>
        <w:tc>
          <w:tcPr>
            <w:tcW w:w="542" w:type="dxa"/>
            <w:vMerge w:val="restart"/>
            <w:tcBorders>
              <w:top w:val="single" w:sz="4" w:space="0" w:color="auto"/>
              <w:left w:val="single" w:sz="4" w:space="0" w:color="auto"/>
              <w:right w:val="single" w:sz="4" w:space="0" w:color="auto"/>
            </w:tcBorders>
            <w:textDirection w:val="tbRlV"/>
            <w:vAlign w:val="center"/>
          </w:tcPr>
          <w:p w:rsidR="00481EDB" w:rsidRPr="00687B52" w:rsidRDefault="00481EDB" w:rsidP="00B527D4">
            <w:pPr>
              <w:adjustRightInd w:val="0"/>
              <w:snapToGrid w:val="0"/>
              <w:ind w:left="113" w:right="113"/>
              <w:jc w:val="center"/>
              <w:rPr>
                <w:rFonts w:ascii="Arial" w:hAnsi="Arial" w:cs="Arial"/>
                <w:color w:val="000000" w:themeColor="text1"/>
                <w:szCs w:val="21"/>
              </w:rPr>
            </w:pPr>
            <w:r w:rsidRPr="00687B52">
              <w:rPr>
                <w:rFonts w:ascii="Arial" w:cs="Arial"/>
                <w:color w:val="000000" w:themeColor="text1"/>
                <w:szCs w:val="21"/>
              </w:rPr>
              <w:t>液化烃</w:t>
            </w:r>
          </w:p>
        </w:tc>
        <w:tc>
          <w:tcPr>
            <w:tcW w:w="1520" w:type="dxa"/>
            <w:gridSpan w:val="2"/>
            <w:vMerge w:val="restart"/>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cs="Arial"/>
                <w:color w:val="000000" w:themeColor="text1"/>
                <w:szCs w:val="21"/>
              </w:rPr>
              <w:t>全压力式或半冷冻式储罐</w:t>
            </w:r>
          </w:p>
        </w:tc>
        <w:tc>
          <w:tcPr>
            <w:tcW w:w="148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cs="Arial"/>
                <w:color w:val="000000" w:themeColor="text1"/>
                <w:szCs w:val="21"/>
              </w:rPr>
              <w:t>有事故排放至火炬的措施</w:t>
            </w:r>
          </w:p>
        </w:tc>
        <w:tc>
          <w:tcPr>
            <w:tcW w:w="94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hAnsi="Arial" w:cs="Arial"/>
                <w:color w:val="000000" w:themeColor="text1"/>
                <w:szCs w:val="21"/>
              </w:rPr>
              <w:t>0.5D</w:t>
            </w:r>
          </w:p>
        </w:tc>
        <w:tc>
          <w:tcPr>
            <w:tcW w:w="94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hAnsi="Arial" w:cs="Arial" w:hint="eastAsia"/>
                <w:color w:val="000000" w:themeColor="text1"/>
                <w:szCs w:val="21"/>
              </w:rPr>
              <w:t>1.0D</w:t>
            </w:r>
          </w:p>
        </w:tc>
        <w:tc>
          <w:tcPr>
            <w:tcW w:w="115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104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88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77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r>
      <w:tr w:rsidR="00481EDB" w:rsidRPr="00687B52" w:rsidTr="00B527D4">
        <w:trPr>
          <w:cantSplit/>
          <w:trHeight w:val="340"/>
          <w:jc w:val="center"/>
        </w:trPr>
        <w:tc>
          <w:tcPr>
            <w:tcW w:w="542"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Cs w:val="21"/>
              </w:rPr>
            </w:pPr>
          </w:p>
        </w:tc>
        <w:tc>
          <w:tcPr>
            <w:tcW w:w="1520" w:type="dxa"/>
            <w:gridSpan w:val="2"/>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Cs w:val="21"/>
              </w:rPr>
            </w:pPr>
          </w:p>
        </w:tc>
        <w:tc>
          <w:tcPr>
            <w:tcW w:w="148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cs="Arial"/>
                <w:color w:val="000000" w:themeColor="text1"/>
                <w:szCs w:val="21"/>
              </w:rPr>
              <w:t>无事故排放至火炬的措施</w:t>
            </w:r>
          </w:p>
        </w:tc>
        <w:tc>
          <w:tcPr>
            <w:tcW w:w="94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hAnsi="Arial" w:cs="Arial"/>
                <w:color w:val="000000" w:themeColor="text1"/>
                <w:szCs w:val="21"/>
              </w:rPr>
              <w:t>1.0D</w:t>
            </w:r>
          </w:p>
        </w:tc>
        <w:tc>
          <w:tcPr>
            <w:tcW w:w="94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p>
        </w:tc>
        <w:tc>
          <w:tcPr>
            <w:tcW w:w="115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104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88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77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r>
      <w:tr w:rsidR="00481EDB" w:rsidRPr="00687B52" w:rsidTr="00B527D4">
        <w:trPr>
          <w:cantSplit/>
          <w:trHeight w:val="340"/>
          <w:jc w:val="center"/>
        </w:trPr>
        <w:tc>
          <w:tcPr>
            <w:tcW w:w="542"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Cs w:val="21"/>
              </w:rPr>
            </w:pPr>
          </w:p>
        </w:tc>
        <w:tc>
          <w:tcPr>
            <w:tcW w:w="1520" w:type="dxa"/>
            <w:gridSpan w:val="2"/>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cs="Arial"/>
                <w:color w:val="000000" w:themeColor="text1"/>
                <w:szCs w:val="21"/>
              </w:rPr>
              <w:t>全冷冻式储罐</w:t>
            </w:r>
          </w:p>
        </w:tc>
        <w:tc>
          <w:tcPr>
            <w:tcW w:w="148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hAnsi="Arial" w:cs="Arial"/>
                <w:color w:val="000000" w:themeColor="text1"/>
                <w:szCs w:val="21"/>
              </w:rPr>
              <w:t>≤100m</w:t>
            </w:r>
            <w:r w:rsidRPr="00687B52">
              <w:rPr>
                <w:rFonts w:ascii="Arial" w:hAnsi="Arial" w:cs="Arial"/>
                <w:color w:val="000000" w:themeColor="text1"/>
                <w:szCs w:val="21"/>
                <w:vertAlign w:val="superscript"/>
              </w:rPr>
              <w:t>3</w:t>
            </w:r>
          </w:p>
        </w:tc>
        <w:tc>
          <w:tcPr>
            <w:tcW w:w="94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94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115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hAnsi="Arial" w:cs="Arial" w:hint="eastAsia"/>
                <w:color w:val="000000" w:themeColor="text1"/>
                <w:szCs w:val="21"/>
              </w:rPr>
              <w:t>1.5m</w:t>
            </w:r>
          </w:p>
        </w:tc>
        <w:tc>
          <w:tcPr>
            <w:tcW w:w="104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hAnsi="Arial" w:cs="Arial" w:hint="eastAsia"/>
                <w:color w:val="000000" w:themeColor="text1"/>
                <w:szCs w:val="21"/>
              </w:rPr>
              <w:t>0.5D</w:t>
            </w:r>
          </w:p>
        </w:tc>
        <w:tc>
          <w:tcPr>
            <w:tcW w:w="88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77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r>
      <w:tr w:rsidR="00481EDB" w:rsidRPr="00687B52" w:rsidTr="00B527D4">
        <w:trPr>
          <w:cantSplit/>
          <w:trHeight w:val="340"/>
          <w:jc w:val="center"/>
        </w:trPr>
        <w:tc>
          <w:tcPr>
            <w:tcW w:w="542"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Cs w:val="21"/>
              </w:rPr>
            </w:pPr>
          </w:p>
        </w:tc>
        <w:tc>
          <w:tcPr>
            <w:tcW w:w="1520" w:type="dxa"/>
            <w:gridSpan w:val="2"/>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p>
        </w:tc>
        <w:tc>
          <w:tcPr>
            <w:tcW w:w="148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hAnsi="Arial" w:cs="Arial" w:hint="eastAsia"/>
                <w:color w:val="000000" w:themeColor="text1"/>
                <w:szCs w:val="21"/>
              </w:rPr>
              <w:t>&gt;</w:t>
            </w:r>
            <w:r w:rsidRPr="00687B52">
              <w:rPr>
                <w:rFonts w:ascii="Arial" w:hAnsi="Arial" w:cs="Arial"/>
                <w:color w:val="000000" w:themeColor="text1"/>
                <w:szCs w:val="21"/>
              </w:rPr>
              <w:t>100m</w:t>
            </w:r>
            <w:r w:rsidRPr="00687B52">
              <w:rPr>
                <w:rFonts w:ascii="Arial" w:hAnsi="Arial" w:cs="Arial"/>
                <w:color w:val="000000" w:themeColor="text1"/>
                <w:szCs w:val="21"/>
                <w:vertAlign w:val="superscript"/>
              </w:rPr>
              <w:t>3</w:t>
            </w:r>
          </w:p>
        </w:tc>
        <w:tc>
          <w:tcPr>
            <w:tcW w:w="94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94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115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hAnsi="Arial" w:cs="Arial" w:hint="eastAsia"/>
                <w:color w:val="000000" w:themeColor="text1"/>
                <w:szCs w:val="21"/>
              </w:rPr>
              <w:t>0.5D</w:t>
            </w:r>
          </w:p>
        </w:tc>
        <w:tc>
          <w:tcPr>
            <w:tcW w:w="104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hAnsi="Arial" w:cs="Arial" w:hint="eastAsia"/>
                <w:color w:val="000000" w:themeColor="text1"/>
                <w:szCs w:val="21"/>
              </w:rPr>
              <w:t>0.5D</w:t>
            </w:r>
          </w:p>
        </w:tc>
        <w:tc>
          <w:tcPr>
            <w:tcW w:w="88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p>
        </w:tc>
        <w:tc>
          <w:tcPr>
            <w:tcW w:w="77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p>
        </w:tc>
      </w:tr>
      <w:tr w:rsidR="00481EDB" w:rsidRPr="00687B52" w:rsidTr="00B527D4">
        <w:trPr>
          <w:trHeight w:val="340"/>
          <w:jc w:val="center"/>
        </w:trPr>
        <w:tc>
          <w:tcPr>
            <w:tcW w:w="2055" w:type="dxa"/>
            <w:gridSpan w:val="2"/>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cs="Arial"/>
                <w:color w:val="000000" w:themeColor="text1"/>
                <w:szCs w:val="21"/>
              </w:rPr>
              <w:t>助燃气体</w:t>
            </w:r>
          </w:p>
        </w:tc>
        <w:tc>
          <w:tcPr>
            <w:tcW w:w="1492" w:type="dxa"/>
            <w:gridSpan w:val="2"/>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hAnsi="Arial" w:cs="Arial" w:hint="eastAsia"/>
                <w:color w:val="000000" w:themeColor="text1"/>
                <w:szCs w:val="21"/>
              </w:rPr>
              <w:t>球罐</w:t>
            </w:r>
          </w:p>
        </w:tc>
        <w:tc>
          <w:tcPr>
            <w:tcW w:w="94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hAnsi="Arial" w:cs="Arial"/>
                <w:color w:val="000000" w:themeColor="text1"/>
                <w:szCs w:val="21"/>
              </w:rPr>
              <w:t>0.5D</w:t>
            </w:r>
          </w:p>
        </w:tc>
        <w:tc>
          <w:tcPr>
            <w:tcW w:w="94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hAnsi="Arial" w:cs="Arial" w:hint="eastAsia"/>
                <w:color w:val="000000" w:themeColor="text1"/>
                <w:szCs w:val="21"/>
              </w:rPr>
              <w:t>0.65D</w:t>
            </w:r>
          </w:p>
        </w:tc>
        <w:tc>
          <w:tcPr>
            <w:tcW w:w="115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104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88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77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r>
      <w:tr w:rsidR="00481EDB" w:rsidRPr="00687B52" w:rsidTr="00B527D4">
        <w:trPr>
          <w:trHeight w:val="340"/>
          <w:jc w:val="center"/>
        </w:trPr>
        <w:tc>
          <w:tcPr>
            <w:tcW w:w="2055" w:type="dxa"/>
            <w:gridSpan w:val="2"/>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cs="Arial"/>
                <w:color w:val="000000" w:themeColor="text1"/>
                <w:szCs w:val="21"/>
              </w:rPr>
            </w:pPr>
          </w:p>
        </w:tc>
        <w:tc>
          <w:tcPr>
            <w:tcW w:w="1492" w:type="dxa"/>
            <w:gridSpan w:val="2"/>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cs="Arial"/>
                <w:color w:val="000000" w:themeColor="text1"/>
                <w:szCs w:val="21"/>
              </w:rPr>
            </w:pPr>
            <w:r w:rsidRPr="00687B52">
              <w:rPr>
                <w:rFonts w:ascii="Arial" w:cs="Arial" w:hint="eastAsia"/>
                <w:color w:val="000000" w:themeColor="text1"/>
                <w:szCs w:val="21"/>
              </w:rPr>
              <w:t>卧（立）罐</w:t>
            </w:r>
          </w:p>
        </w:tc>
        <w:tc>
          <w:tcPr>
            <w:tcW w:w="94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hAnsi="Arial" w:cs="Arial" w:hint="eastAsia"/>
                <w:color w:val="000000" w:themeColor="text1"/>
                <w:szCs w:val="21"/>
              </w:rPr>
              <w:t>0.65D</w:t>
            </w:r>
          </w:p>
        </w:tc>
        <w:tc>
          <w:tcPr>
            <w:tcW w:w="94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hAnsi="Arial" w:cs="Arial" w:hint="eastAsia"/>
                <w:color w:val="000000" w:themeColor="text1"/>
                <w:szCs w:val="21"/>
              </w:rPr>
              <w:t>0.65D</w:t>
            </w:r>
          </w:p>
        </w:tc>
        <w:tc>
          <w:tcPr>
            <w:tcW w:w="115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104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88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77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r>
      <w:tr w:rsidR="00481EDB" w:rsidRPr="00687B52" w:rsidTr="00B527D4">
        <w:trPr>
          <w:cantSplit/>
          <w:trHeight w:val="340"/>
          <w:jc w:val="center"/>
        </w:trPr>
        <w:tc>
          <w:tcPr>
            <w:tcW w:w="2062" w:type="dxa"/>
            <w:gridSpan w:val="3"/>
            <w:vMerge w:val="restart"/>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cs="Arial"/>
                <w:color w:val="000000" w:themeColor="text1"/>
                <w:szCs w:val="21"/>
              </w:rPr>
              <w:t>可燃气体</w:t>
            </w:r>
          </w:p>
        </w:tc>
        <w:tc>
          <w:tcPr>
            <w:tcW w:w="148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cs="Arial"/>
                <w:color w:val="000000" w:themeColor="text1"/>
                <w:szCs w:val="21"/>
              </w:rPr>
              <w:t>水槽式气柜</w:t>
            </w:r>
          </w:p>
        </w:tc>
        <w:tc>
          <w:tcPr>
            <w:tcW w:w="94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94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115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104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88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hAnsi="Arial" w:cs="Arial"/>
                <w:color w:val="000000" w:themeColor="text1"/>
                <w:szCs w:val="21"/>
              </w:rPr>
              <w:t>0.5D</w:t>
            </w:r>
          </w:p>
        </w:tc>
        <w:tc>
          <w:tcPr>
            <w:tcW w:w="77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hAnsi="Arial" w:cs="Arial"/>
                <w:color w:val="000000" w:themeColor="text1"/>
                <w:szCs w:val="21"/>
              </w:rPr>
              <w:t>0.65D</w:t>
            </w:r>
          </w:p>
        </w:tc>
      </w:tr>
      <w:tr w:rsidR="00481EDB" w:rsidRPr="00687B52" w:rsidTr="00B527D4">
        <w:trPr>
          <w:cantSplit/>
          <w:trHeight w:val="340"/>
          <w:jc w:val="center"/>
        </w:trPr>
        <w:tc>
          <w:tcPr>
            <w:tcW w:w="2062" w:type="dxa"/>
            <w:gridSpan w:val="3"/>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Cs w:val="21"/>
              </w:rPr>
            </w:pPr>
          </w:p>
        </w:tc>
        <w:tc>
          <w:tcPr>
            <w:tcW w:w="148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cs="Arial"/>
                <w:color w:val="000000" w:themeColor="text1"/>
                <w:szCs w:val="21"/>
              </w:rPr>
              <w:t>干式气</w:t>
            </w:r>
            <w:r w:rsidRPr="00687B52">
              <w:rPr>
                <w:rFonts w:ascii="Arial" w:cs="Arial" w:hint="eastAsia"/>
                <w:color w:val="000000" w:themeColor="text1"/>
                <w:szCs w:val="21"/>
              </w:rPr>
              <w:t>柜</w:t>
            </w:r>
          </w:p>
        </w:tc>
        <w:tc>
          <w:tcPr>
            <w:tcW w:w="94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94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115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104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88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hAnsi="Arial" w:cs="Arial" w:hint="eastAsia"/>
                <w:color w:val="000000" w:themeColor="text1"/>
                <w:szCs w:val="21"/>
              </w:rPr>
              <w:t>0.65D</w:t>
            </w:r>
          </w:p>
        </w:tc>
        <w:tc>
          <w:tcPr>
            <w:tcW w:w="77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hAnsi="Arial" w:cs="Arial"/>
                <w:color w:val="000000" w:themeColor="text1"/>
                <w:szCs w:val="21"/>
              </w:rPr>
              <w:t>0.65D</w:t>
            </w:r>
          </w:p>
        </w:tc>
      </w:tr>
      <w:tr w:rsidR="00481EDB" w:rsidRPr="00687B52" w:rsidTr="00B527D4">
        <w:trPr>
          <w:cantSplit/>
          <w:trHeight w:val="340"/>
          <w:jc w:val="center"/>
        </w:trPr>
        <w:tc>
          <w:tcPr>
            <w:tcW w:w="2062" w:type="dxa"/>
            <w:gridSpan w:val="3"/>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Arial" w:hAnsi="Arial" w:cs="Arial"/>
                <w:color w:val="000000" w:themeColor="text1"/>
                <w:szCs w:val="21"/>
              </w:rPr>
            </w:pPr>
          </w:p>
        </w:tc>
        <w:tc>
          <w:tcPr>
            <w:tcW w:w="148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cs="Arial"/>
                <w:color w:val="000000" w:themeColor="text1"/>
                <w:szCs w:val="21"/>
              </w:rPr>
              <w:t>球罐</w:t>
            </w:r>
          </w:p>
        </w:tc>
        <w:tc>
          <w:tcPr>
            <w:tcW w:w="94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hAnsi="Arial" w:cs="Arial"/>
                <w:color w:val="000000" w:themeColor="text1"/>
                <w:szCs w:val="21"/>
              </w:rPr>
              <w:t>0.5D</w:t>
            </w:r>
          </w:p>
        </w:tc>
        <w:tc>
          <w:tcPr>
            <w:tcW w:w="94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115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104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宋体" w:hAnsi="宋体" w:cs="Arial"/>
                <w:color w:val="000000" w:themeColor="text1"/>
                <w:szCs w:val="21"/>
              </w:rPr>
            </w:pPr>
            <w:r w:rsidRPr="00687B52">
              <w:rPr>
                <w:rFonts w:ascii="宋体" w:hAnsi="宋体" w:cs="Arial" w:hint="eastAsia"/>
                <w:color w:val="000000" w:themeColor="text1"/>
                <w:szCs w:val="21"/>
              </w:rPr>
              <w:t>*</w:t>
            </w:r>
          </w:p>
        </w:tc>
        <w:tc>
          <w:tcPr>
            <w:tcW w:w="88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hAnsi="Arial" w:cs="Arial" w:hint="eastAsia"/>
                <w:color w:val="000000" w:themeColor="text1"/>
                <w:szCs w:val="21"/>
              </w:rPr>
              <w:t>0.65D</w:t>
            </w:r>
          </w:p>
        </w:tc>
        <w:tc>
          <w:tcPr>
            <w:tcW w:w="77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Arial" w:hAnsi="Arial" w:cs="Arial"/>
                <w:color w:val="000000" w:themeColor="text1"/>
                <w:szCs w:val="21"/>
              </w:rPr>
            </w:pPr>
            <w:r w:rsidRPr="00687B52">
              <w:rPr>
                <w:rFonts w:ascii="Arial" w:hAnsi="Arial" w:cs="Arial"/>
                <w:color w:val="000000" w:themeColor="text1"/>
                <w:szCs w:val="21"/>
              </w:rPr>
              <w:t>0.65D</w:t>
            </w:r>
          </w:p>
        </w:tc>
      </w:tr>
    </w:tbl>
    <w:p w:rsidR="00481EDB" w:rsidRPr="00687B52" w:rsidRDefault="00481EDB" w:rsidP="00481EDB">
      <w:pPr>
        <w:pStyle w:val="Default"/>
        <w:snapToGrid w:val="0"/>
        <w:spacing w:line="300" w:lineRule="auto"/>
        <w:rPr>
          <w:rFonts w:ascii="Arial" w:eastAsia="黑体" w:hAnsi="Arial" w:cs="Arial"/>
          <w:color w:val="000000" w:themeColor="text1"/>
          <w:sz w:val="21"/>
          <w:szCs w:val="21"/>
        </w:rPr>
      </w:pPr>
      <w:r w:rsidRPr="00687B52">
        <w:rPr>
          <w:rFonts w:ascii="Arial" w:eastAsia="黑体" w:hAnsi="Arial" w:cs="Arial"/>
          <w:color w:val="000000" w:themeColor="text1"/>
          <w:sz w:val="21"/>
          <w:szCs w:val="21"/>
        </w:rPr>
        <w:t>注：</w:t>
      </w:r>
      <w:r w:rsidRPr="00687B52">
        <w:rPr>
          <w:rFonts w:ascii="Arial" w:eastAsia="黑体" w:hAnsi="Arial" w:cs="Arial"/>
          <w:color w:val="000000" w:themeColor="text1"/>
          <w:sz w:val="21"/>
          <w:szCs w:val="21"/>
        </w:rPr>
        <w:t>1. D</w:t>
      </w:r>
      <w:r w:rsidRPr="00687B52">
        <w:rPr>
          <w:rFonts w:ascii="Arial" w:eastAsia="黑体" w:hAnsi="Arial" w:cs="Arial"/>
          <w:color w:val="000000" w:themeColor="text1"/>
          <w:sz w:val="21"/>
          <w:szCs w:val="21"/>
        </w:rPr>
        <w:t>为相邻较大储罐的直径；</w:t>
      </w:r>
    </w:p>
    <w:p w:rsidR="00481EDB" w:rsidRPr="00687B52" w:rsidRDefault="00481EDB" w:rsidP="00481EDB">
      <w:pPr>
        <w:pStyle w:val="Default"/>
        <w:snapToGrid w:val="0"/>
        <w:spacing w:line="300" w:lineRule="auto"/>
        <w:ind w:firstLineChars="200" w:firstLine="420"/>
        <w:rPr>
          <w:rFonts w:ascii="Arial" w:eastAsia="黑体" w:hAnsi="Arial" w:cs="Arial"/>
          <w:color w:val="000000" w:themeColor="text1"/>
          <w:sz w:val="21"/>
          <w:szCs w:val="21"/>
        </w:rPr>
      </w:pPr>
      <w:r w:rsidRPr="00687B52">
        <w:rPr>
          <w:rFonts w:ascii="Arial" w:eastAsia="黑体" w:hAnsi="Arial" w:cs="Arial"/>
          <w:color w:val="000000" w:themeColor="text1"/>
          <w:sz w:val="21"/>
          <w:szCs w:val="21"/>
        </w:rPr>
        <w:t xml:space="preserve">2. </w:t>
      </w:r>
      <w:r w:rsidRPr="00687B52">
        <w:rPr>
          <w:rFonts w:ascii="Arial" w:eastAsia="黑体" w:hAnsi="Arial" w:cs="Arial"/>
          <w:color w:val="000000" w:themeColor="text1"/>
          <w:sz w:val="21"/>
          <w:szCs w:val="21"/>
        </w:rPr>
        <w:t>液氨储罐间的防火间距要求应与液化烃储罐相同；液氧储罐间的防火间距应按《建筑设计防火规范》（</w:t>
      </w:r>
      <w:r w:rsidRPr="00687B52">
        <w:rPr>
          <w:rFonts w:ascii="Arial" w:eastAsia="黑体" w:hAnsi="Arial" w:cs="Arial"/>
          <w:color w:val="000000" w:themeColor="text1"/>
          <w:sz w:val="21"/>
          <w:szCs w:val="21"/>
        </w:rPr>
        <w:t>GB50016</w:t>
      </w:r>
      <w:r w:rsidRPr="00687B52">
        <w:rPr>
          <w:rFonts w:ascii="Arial" w:eastAsia="黑体" w:hAnsi="Arial" w:cs="Arial"/>
          <w:color w:val="000000" w:themeColor="text1"/>
          <w:sz w:val="21"/>
          <w:szCs w:val="21"/>
        </w:rPr>
        <w:t>）的要求执行；</w:t>
      </w:r>
    </w:p>
    <w:p w:rsidR="00481EDB" w:rsidRPr="00687B52" w:rsidRDefault="00481EDB" w:rsidP="00481EDB">
      <w:pPr>
        <w:pStyle w:val="Default"/>
        <w:snapToGrid w:val="0"/>
        <w:spacing w:line="300" w:lineRule="auto"/>
        <w:ind w:firstLineChars="200" w:firstLine="420"/>
        <w:rPr>
          <w:rFonts w:ascii="Arial" w:eastAsia="黑体" w:hAnsi="Arial" w:cs="Arial"/>
          <w:color w:val="000000" w:themeColor="text1"/>
          <w:sz w:val="21"/>
          <w:szCs w:val="21"/>
        </w:rPr>
      </w:pPr>
      <w:r w:rsidRPr="00687B52">
        <w:rPr>
          <w:rFonts w:ascii="Arial" w:eastAsia="黑体" w:hAnsi="Arial" w:cs="Arial"/>
          <w:color w:val="000000" w:themeColor="text1"/>
          <w:sz w:val="21"/>
          <w:szCs w:val="21"/>
        </w:rPr>
        <w:t xml:space="preserve">3. </w:t>
      </w:r>
      <w:r w:rsidRPr="00687B52">
        <w:rPr>
          <w:rFonts w:ascii="Arial" w:eastAsia="黑体" w:hAnsi="Arial" w:cs="Arial"/>
          <w:color w:val="000000" w:themeColor="text1"/>
          <w:sz w:val="21"/>
          <w:szCs w:val="21"/>
        </w:rPr>
        <w:t>沸点低于</w:t>
      </w:r>
      <w:r w:rsidRPr="00687B52">
        <w:rPr>
          <w:rFonts w:ascii="Arial" w:eastAsia="黑体" w:hAnsi="Arial" w:cs="Arial"/>
          <w:color w:val="000000" w:themeColor="text1"/>
          <w:sz w:val="21"/>
          <w:szCs w:val="21"/>
        </w:rPr>
        <w:t>45℃</w:t>
      </w:r>
      <w:r w:rsidRPr="00687B52">
        <w:rPr>
          <w:rFonts w:ascii="Arial" w:eastAsia="黑体" w:hAnsi="Arial" w:cs="Arial"/>
          <w:color w:val="000000" w:themeColor="text1"/>
          <w:sz w:val="21"/>
          <w:szCs w:val="21"/>
        </w:rPr>
        <w:t>的甲</w:t>
      </w:r>
      <w:r w:rsidRPr="00687B52">
        <w:rPr>
          <w:rFonts w:ascii="Arial" w:eastAsia="黑体" w:hAnsi="Arial" w:cs="Arial"/>
          <w:color w:val="000000" w:themeColor="text1"/>
          <w:sz w:val="21"/>
          <w:szCs w:val="21"/>
          <w:vertAlign w:val="subscript"/>
        </w:rPr>
        <w:t>B</w:t>
      </w:r>
      <w:r w:rsidRPr="00687B52">
        <w:rPr>
          <w:rFonts w:ascii="Arial" w:eastAsia="黑体" w:hAnsi="Arial" w:cs="Arial"/>
          <w:color w:val="000000" w:themeColor="text1"/>
          <w:sz w:val="21"/>
          <w:szCs w:val="21"/>
        </w:rPr>
        <w:t>类液体压力储罐，按全压力式液化烃储罐的防火间距执行；</w:t>
      </w:r>
    </w:p>
    <w:p w:rsidR="00481EDB" w:rsidRPr="00687B52" w:rsidRDefault="00481EDB" w:rsidP="00481EDB">
      <w:pPr>
        <w:pStyle w:val="Default"/>
        <w:snapToGrid w:val="0"/>
        <w:spacing w:line="300" w:lineRule="auto"/>
        <w:ind w:firstLineChars="200" w:firstLine="420"/>
        <w:rPr>
          <w:rFonts w:ascii="Arial" w:eastAsia="黑体" w:hAnsi="Arial" w:cs="Arial"/>
          <w:color w:val="000000" w:themeColor="text1"/>
          <w:sz w:val="21"/>
          <w:szCs w:val="21"/>
        </w:rPr>
      </w:pPr>
      <w:r w:rsidRPr="00687B52">
        <w:rPr>
          <w:rFonts w:ascii="Arial" w:eastAsia="黑体" w:hAnsi="Arial" w:cs="Arial"/>
          <w:color w:val="000000" w:themeColor="text1"/>
          <w:sz w:val="21"/>
          <w:szCs w:val="21"/>
        </w:rPr>
        <w:t xml:space="preserve">4. </w:t>
      </w:r>
      <w:r w:rsidRPr="00687B52">
        <w:rPr>
          <w:rFonts w:ascii="Arial" w:eastAsia="黑体" w:hAnsi="Arial" w:cs="Arial"/>
          <w:color w:val="000000" w:themeColor="text1"/>
          <w:sz w:val="21"/>
          <w:szCs w:val="21"/>
        </w:rPr>
        <w:t>液化烃单罐容积</w:t>
      </w:r>
      <w:r w:rsidRPr="00687B52">
        <w:rPr>
          <w:rFonts w:ascii="Arial" w:eastAsia="黑体" w:hAnsi="Arial" w:cs="Arial"/>
          <w:color w:val="000000" w:themeColor="text1"/>
          <w:sz w:val="21"/>
          <w:szCs w:val="21"/>
        </w:rPr>
        <w:t>≤200 m3</w:t>
      </w:r>
      <w:r w:rsidRPr="00687B52">
        <w:rPr>
          <w:rFonts w:ascii="Arial" w:eastAsia="黑体" w:hAnsi="Arial" w:cs="Arial"/>
          <w:color w:val="000000" w:themeColor="text1"/>
          <w:sz w:val="21"/>
          <w:szCs w:val="21"/>
        </w:rPr>
        <w:t>的卧（立）罐之间的防火间距超过</w:t>
      </w:r>
      <w:r w:rsidRPr="00687B52">
        <w:rPr>
          <w:rFonts w:ascii="Arial" w:eastAsia="黑体" w:hAnsi="Arial" w:cs="Arial"/>
          <w:color w:val="000000" w:themeColor="text1"/>
          <w:sz w:val="21"/>
          <w:szCs w:val="21"/>
        </w:rPr>
        <w:t>1.5m</w:t>
      </w:r>
      <w:r w:rsidRPr="00687B52">
        <w:rPr>
          <w:rFonts w:ascii="Arial" w:eastAsia="黑体" w:hAnsi="Arial" w:cs="Arial"/>
          <w:color w:val="000000" w:themeColor="text1"/>
          <w:sz w:val="21"/>
          <w:szCs w:val="21"/>
        </w:rPr>
        <w:t>时，可取</w:t>
      </w:r>
      <w:r w:rsidRPr="00687B52">
        <w:rPr>
          <w:rFonts w:ascii="Arial" w:eastAsia="黑体" w:hAnsi="Arial" w:cs="Arial"/>
          <w:color w:val="000000" w:themeColor="text1"/>
          <w:sz w:val="21"/>
          <w:szCs w:val="21"/>
        </w:rPr>
        <w:t>1.5m</w:t>
      </w:r>
      <w:r w:rsidRPr="00687B52">
        <w:rPr>
          <w:rFonts w:ascii="Arial" w:eastAsia="黑体" w:hAnsi="Arial" w:cs="Arial"/>
          <w:color w:val="000000" w:themeColor="text1"/>
          <w:sz w:val="21"/>
          <w:szCs w:val="21"/>
        </w:rPr>
        <w:t>；</w:t>
      </w:r>
    </w:p>
    <w:p w:rsidR="00481EDB" w:rsidRPr="00687B52" w:rsidRDefault="00481EDB" w:rsidP="00481EDB">
      <w:pPr>
        <w:pStyle w:val="Default"/>
        <w:snapToGrid w:val="0"/>
        <w:spacing w:line="300" w:lineRule="auto"/>
        <w:ind w:firstLineChars="200" w:firstLine="420"/>
        <w:rPr>
          <w:rFonts w:ascii="Arial" w:eastAsia="黑体" w:hAnsi="Arial" w:cs="Arial"/>
          <w:color w:val="000000" w:themeColor="text1"/>
          <w:sz w:val="21"/>
          <w:szCs w:val="21"/>
        </w:rPr>
      </w:pPr>
      <w:r w:rsidRPr="00687B52">
        <w:rPr>
          <w:rFonts w:ascii="Arial" w:eastAsia="黑体" w:hAnsi="Arial" w:cs="Arial"/>
          <w:color w:val="000000" w:themeColor="text1"/>
          <w:sz w:val="21"/>
          <w:szCs w:val="21"/>
        </w:rPr>
        <w:t xml:space="preserve">5. </w:t>
      </w:r>
      <w:r w:rsidRPr="00687B52">
        <w:rPr>
          <w:rFonts w:ascii="Arial" w:eastAsia="黑体" w:hAnsi="Arial" w:cs="Arial"/>
          <w:color w:val="000000" w:themeColor="text1"/>
          <w:sz w:val="21"/>
          <w:szCs w:val="21"/>
        </w:rPr>
        <w:t>助燃气体卧（立）罐之间的防火间距超过</w:t>
      </w:r>
      <w:r w:rsidRPr="00687B52">
        <w:rPr>
          <w:rFonts w:ascii="Arial" w:eastAsia="黑体" w:hAnsi="Arial" w:cs="Arial"/>
          <w:color w:val="000000" w:themeColor="text1"/>
          <w:sz w:val="21"/>
          <w:szCs w:val="21"/>
        </w:rPr>
        <w:t>1.5m</w:t>
      </w:r>
      <w:r w:rsidRPr="00687B52">
        <w:rPr>
          <w:rFonts w:ascii="Arial" w:eastAsia="黑体" w:hAnsi="Arial" w:cs="Arial"/>
          <w:color w:val="000000" w:themeColor="text1"/>
          <w:sz w:val="21"/>
          <w:szCs w:val="21"/>
        </w:rPr>
        <w:t>时，可取</w:t>
      </w:r>
      <w:r w:rsidRPr="00687B52">
        <w:rPr>
          <w:rFonts w:ascii="Arial" w:eastAsia="黑体" w:hAnsi="Arial" w:cs="Arial"/>
          <w:color w:val="000000" w:themeColor="text1"/>
          <w:sz w:val="21"/>
          <w:szCs w:val="21"/>
        </w:rPr>
        <w:t>1.5m</w:t>
      </w:r>
      <w:r w:rsidRPr="00687B52">
        <w:rPr>
          <w:rFonts w:ascii="Arial" w:eastAsia="黑体" w:hAnsi="Arial" w:cs="Arial"/>
          <w:color w:val="000000" w:themeColor="text1"/>
          <w:sz w:val="21"/>
          <w:szCs w:val="21"/>
        </w:rPr>
        <w:t>；</w:t>
      </w:r>
    </w:p>
    <w:p w:rsidR="00481EDB" w:rsidRPr="00687B52" w:rsidRDefault="00481EDB" w:rsidP="00980275">
      <w:pPr>
        <w:pStyle w:val="Default"/>
        <w:snapToGrid w:val="0"/>
        <w:spacing w:line="300" w:lineRule="auto"/>
        <w:ind w:firstLineChars="200" w:firstLine="420"/>
        <w:rPr>
          <w:rFonts w:ascii="Arial" w:eastAsia="黑体" w:hAnsi="Arial" w:cs="Arial"/>
          <w:color w:val="000000" w:themeColor="text1"/>
          <w:sz w:val="21"/>
          <w:szCs w:val="21"/>
        </w:rPr>
      </w:pPr>
      <w:r w:rsidRPr="00687B52">
        <w:rPr>
          <w:rFonts w:ascii="Arial" w:eastAsia="黑体" w:hAnsi="Arial" w:cs="Arial"/>
          <w:color w:val="000000" w:themeColor="text1"/>
          <w:sz w:val="21"/>
          <w:szCs w:val="21"/>
        </w:rPr>
        <w:t>6. “</w:t>
      </w:r>
      <w:r w:rsidRPr="00687B52">
        <w:rPr>
          <w:rFonts w:ascii="Arial" w:eastAsia="黑体" w:hAnsi="Arial" w:cs="Arial"/>
          <w:color w:val="000000" w:themeColor="text1"/>
          <w:sz w:val="21"/>
          <w:szCs w:val="21"/>
        </w:rPr>
        <w:t>﹡</w:t>
      </w:r>
      <w:r w:rsidRPr="00687B52">
        <w:rPr>
          <w:rFonts w:ascii="Arial" w:eastAsia="黑体" w:hAnsi="Arial" w:cs="Arial"/>
          <w:color w:val="000000" w:themeColor="text1"/>
          <w:sz w:val="21"/>
          <w:szCs w:val="21"/>
        </w:rPr>
        <w:t>”</w:t>
      </w:r>
      <w:r w:rsidRPr="00687B52">
        <w:rPr>
          <w:rFonts w:ascii="Arial" w:eastAsia="黑体" w:hAnsi="Arial" w:cs="Arial"/>
          <w:color w:val="000000" w:themeColor="text1"/>
          <w:sz w:val="21"/>
          <w:szCs w:val="21"/>
        </w:rPr>
        <w:t>表示不应同组布置。</w:t>
      </w:r>
    </w:p>
    <w:p w:rsidR="00481EDB" w:rsidRPr="00687B52" w:rsidRDefault="00481EDB" w:rsidP="00856B6C">
      <w:pPr>
        <w:pStyle w:val="afd"/>
        <w:rPr>
          <w:color w:val="000000" w:themeColor="text1"/>
          <w:szCs w:val="21"/>
        </w:rPr>
      </w:pPr>
      <w:bookmarkStart w:id="192" w:name="_Toc491870823"/>
      <w:bookmarkStart w:id="193" w:name="_Toc492563477"/>
      <w:bookmarkStart w:id="194" w:name="_Toc493857078"/>
      <w:r w:rsidRPr="00687B52">
        <w:rPr>
          <w:rFonts w:hint="eastAsia"/>
          <w:color w:val="000000" w:themeColor="text1"/>
        </w:rPr>
        <w:t>表</w:t>
      </w:r>
      <w:r w:rsidRPr="00687B52">
        <w:rPr>
          <w:rFonts w:hint="eastAsia"/>
          <w:color w:val="000000" w:themeColor="text1"/>
        </w:rPr>
        <w:t>6.3.5</w:t>
      </w:r>
      <w:r w:rsidRPr="00687B52">
        <w:rPr>
          <w:rFonts w:hint="eastAsia"/>
          <w:color w:val="000000" w:themeColor="text1"/>
        </w:rPr>
        <w:t>液化烃、可燃气体、助燃气体的罐组内储罐的防火间距</w:t>
      </w:r>
      <w:bookmarkEnd w:id="192"/>
      <w:bookmarkEnd w:id="193"/>
      <w:bookmarkEnd w:id="194"/>
    </w:p>
    <w:tbl>
      <w:tblPr>
        <w:tblW w:w="928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42"/>
        <w:gridCol w:w="1513"/>
        <w:gridCol w:w="7"/>
        <w:gridCol w:w="1485"/>
        <w:gridCol w:w="941"/>
        <w:gridCol w:w="943"/>
        <w:gridCol w:w="1152"/>
        <w:gridCol w:w="1045"/>
        <w:gridCol w:w="881"/>
        <w:gridCol w:w="777"/>
      </w:tblGrid>
      <w:tr w:rsidR="00481EDB" w:rsidRPr="00687B52" w:rsidTr="00B527D4">
        <w:trPr>
          <w:cantSplit/>
          <w:trHeight w:val="340"/>
          <w:jc w:val="center"/>
        </w:trPr>
        <w:tc>
          <w:tcPr>
            <w:tcW w:w="3547" w:type="dxa"/>
            <w:gridSpan w:val="4"/>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ind w:left="-34"/>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介质</w:t>
            </w:r>
          </w:p>
        </w:tc>
        <w:tc>
          <w:tcPr>
            <w:tcW w:w="941"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球罐</w:t>
            </w:r>
          </w:p>
        </w:tc>
        <w:tc>
          <w:tcPr>
            <w:tcW w:w="943"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卧（立）罐</w:t>
            </w:r>
          </w:p>
        </w:tc>
        <w:tc>
          <w:tcPr>
            <w:tcW w:w="2197" w:type="dxa"/>
            <w:gridSpan w:val="2"/>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全冷冻式储罐（容积）</w:t>
            </w:r>
          </w:p>
        </w:tc>
        <w:tc>
          <w:tcPr>
            <w:tcW w:w="881"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水槽式气柜</w:t>
            </w:r>
          </w:p>
        </w:tc>
        <w:tc>
          <w:tcPr>
            <w:tcW w:w="777" w:type="dxa"/>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干式气柜</w:t>
            </w:r>
          </w:p>
        </w:tc>
      </w:tr>
      <w:tr w:rsidR="00481EDB" w:rsidRPr="00687B52" w:rsidTr="00B527D4">
        <w:trPr>
          <w:cantSplit/>
          <w:trHeight w:val="340"/>
          <w:jc w:val="center"/>
        </w:trPr>
        <w:tc>
          <w:tcPr>
            <w:tcW w:w="3547" w:type="dxa"/>
            <w:gridSpan w:val="4"/>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ind w:firstLineChars="500" w:firstLine="1050"/>
              <w:rPr>
                <w:rFonts w:asciiTheme="minorEastAsia" w:hAnsiTheme="minorEastAsia" w:cs="Arial"/>
                <w:color w:val="000000" w:themeColor="text1"/>
                <w:szCs w:val="21"/>
              </w:rPr>
            </w:pPr>
          </w:p>
        </w:tc>
        <w:tc>
          <w:tcPr>
            <w:tcW w:w="941"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p>
        </w:tc>
        <w:tc>
          <w:tcPr>
            <w:tcW w:w="943"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p>
        </w:tc>
        <w:tc>
          <w:tcPr>
            <w:tcW w:w="115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≤100m</w:t>
            </w:r>
            <w:r w:rsidRPr="00687B52">
              <w:rPr>
                <w:rFonts w:asciiTheme="minorEastAsia" w:hAnsiTheme="minorEastAsia" w:cs="Arial"/>
                <w:color w:val="000000" w:themeColor="text1"/>
                <w:szCs w:val="21"/>
                <w:vertAlign w:val="superscript"/>
              </w:rPr>
              <w:t>3</w:t>
            </w:r>
          </w:p>
        </w:tc>
        <w:tc>
          <w:tcPr>
            <w:tcW w:w="104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&gt;</w:t>
            </w:r>
            <w:r w:rsidRPr="00687B52">
              <w:rPr>
                <w:rFonts w:asciiTheme="minorEastAsia" w:hAnsiTheme="minorEastAsia" w:cs="Arial"/>
                <w:color w:val="000000" w:themeColor="text1"/>
                <w:szCs w:val="21"/>
              </w:rPr>
              <w:t>100m</w:t>
            </w:r>
            <w:r w:rsidRPr="00687B52">
              <w:rPr>
                <w:rFonts w:asciiTheme="minorEastAsia" w:hAnsiTheme="minorEastAsia" w:cs="Arial"/>
                <w:color w:val="000000" w:themeColor="text1"/>
                <w:szCs w:val="21"/>
                <w:vertAlign w:val="superscript"/>
              </w:rPr>
              <w:t>3</w:t>
            </w:r>
          </w:p>
        </w:tc>
        <w:tc>
          <w:tcPr>
            <w:tcW w:w="881"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p>
        </w:tc>
        <w:tc>
          <w:tcPr>
            <w:tcW w:w="777"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p>
        </w:tc>
      </w:tr>
      <w:tr w:rsidR="00481EDB" w:rsidRPr="00687B52" w:rsidTr="00B527D4">
        <w:trPr>
          <w:cantSplit/>
          <w:trHeight w:val="340"/>
          <w:jc w:val="center"/>
        </w:trPr>
        <w:tc>
          <w:tcPr>
            <w:tcW w:w="542" w:type="dxa"/>
            <w:vMerge w:val="restart"/>
            <w:tcBorders>
              <w:top w:val="single" w:sz="4" w:space="0" w:color="auto"/>
              <w:left w:val="single" w:sz="4" w:space="0" w:color="auto"/>
              <w:right w:val="single" w:sz="4" w:space="0" w:color="auto"/>
            </w:tcBorders>
            <w:textDirection w:val="tbRlV"/>
            <w:vAlign w:val="center"/>
          </w:tcPr>
          <w:p w:rsidR="00481EDB" w:rsidRPr="00687B52" w:rsidRDefault="00481EDB" w:rsidP="00B527D4">
            <w:pPr>
              <w:adjustRightInd w:val="0"/>
              <w:snapToGrid w:val="0"/>
              <w:ind w:left="113" w:right="113"/>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液化烃</w:t>
            </w:r>
          </w:p>
        </w:tc>
        <w:tc>
          <w:tcPr>
            <w:tcW w:w="1520" w:type="dxa"/>
            <w:gridSpan w:val="2"/>
            <w:vMerge w:val="restart"/>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全压力式或半冷冻式储罐</w:t>
            </w:r>
          </w:p>
        </w:tc>
        <w:tc>
          <w:tcPr>
            <w:tcW w:w="148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有事故排放至火炬的措施</w:t>
            </w:r>
          </w:p>
        </w:tc>
        <w:tc>
          <w:tcPr>
            <w:tcW w:w="94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0.5D</w:t>
            </w:r>
          </w:p>
        </w:tc>
        <w:tc>
          <w:tcPr>
            <w:tcW w:w="94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1.0D</w:t>
            </w:r>
          </w:p>
        </w:tc>
        <w:tc>
          <w:tcPr>
            <w:tcW w:w="115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104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88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77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r>
      <w:tr w:rsidR="00481EDB" w:rsidRPr="00687B52" w:rsidTr="00B527D4">
        <w:trPr>
          <w:cantSplit/>
          <w:trHeight w:val="340"/>
          <w:jc w:val="center"/>
        </w:trPr>
        <w:tc>
          <w:tcPr>
            <w:tcW w:w="542"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Theme="minorEastAsia" w:hAnsiTheme="minorEastAsia" w:cs="Arial"/>
                <w:color w:val="000000" w:themeColor="text1"/>
                <w:szCs w:val="21"/>
              </w:rPr>
            </w:pPr>
          </w:p>
        </w:tc>
        <w:tc>
          <w:tcPr>
            <w:tcW w:w="1520" w:type="dxa"/>
            <w:gridSpan w:val="2"/>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Theme="minorEastAsia" w:hAnsiTheme="minorEastAsia" w:cs="Arial"/>
                <w:color w:val="000000" w:themeColor="text1"/>
                <w:szCs w:val="21"/>
              </w:rPr>
            </w:pPr>
          </w:p>
        </w:tc>
        <w:tc>
          <w:tcPr>
            <w:tcW w:w="148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无事故排放至火炬的措施</w:t>
            </w:r>
          </w:p>
        </w:tc>
        <w:tc>
          <w:tcPr>
            <w:tcW w:w="94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1.0D</w:t>
            </w:r>
          </w:p>
        </w:tc>
        <w:tc>
          <w:tcPr>
            <w:tcW w:w="94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p>
        </w:tc>
        <w:tc>
          <w:tcPr>
            <w:tcW w:w="115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104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88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77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r>
      <w:tr w:rsidR="00481EDB" w:rsidRPr="00687B52" w:rsidTr="00B527D4">
        <w:trPr>
          <w:cantSplit/>
          <w:trHeight w:val="340"/>
          <w:jc w:val="center"/>
        </w:trPr>
        <w:tc>
          <w:tcPr>
            <w:tcW w:w="542" w:type="dxa"/>
            <w:vMerge/>
            <w:tcBorders>
              <w:left w:val="single" w:sz="4" w:space="0" w:color="auto"/>
              <w:right w:val="single" w:sz="4" w:space="0" w:color="auto"/>
            </w:tcBorders>
            <w:vAlign w:val="center"/>
          </w:tcPr>
          <w:p w:rsidR="00481EDB" w:rsidRPr="00687B52" w:rsidRDefault="00481EDB" w:rsidP="00B527D4">
            <w:pPr>
              <w:adjustRightInd w:val="0"/>
              <w:snapToGrid w:val="0"/>
              <w:rPr>
                <w:rFonts w:asciiTheme="minorEastAsia" w:hAnsiTheme="minorEastAsia" w:cs="Arial"/>
                <w:color w:val="000000" w:themeColor="text1"/>
                <w:szCs w:val="21"/>
              </w:rPr>
            </w:pPr>
          </w:p>
        </w:tc>
        <w:tc>
          <w:tcPr>
            <w:tcW w:w="1520" w:type="dxa"/>
            <w:gridSpan w:val="2"/>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全冷冻式储罐</w:t>
            </w:r>
          </w:p>
        </w:tc>
        <w:tc>
          <w:tcPr>
            <w:tcW w:w="148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≤100m</w:t>
            </w:r>
            <w:r w:rsidRPr="00687B52">
              <w:rPr>
                <w:rFonts w:asciiTheme="minorEastAsia" w:hAnsiTheme="minorEastAsia" w:cs="Arial"/>
                <w:color w:val="000000" w:themeColor="text1"/>
                <w:szCs w:val="21"/>
                <w:vertAlign w:val="superscript"/>
              </w:rPr>
              <w:t>3</w:t>
            </w:r>
          </w:p>
        </w:tc>
        <w:tc>
          <w:tcPr>
            <w:tcW w:w="94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94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115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1.5m</w:t>
            </w:r>
          </w:p>
        </w:tc>
        <w:tc>
          <w:tcPr>
            <w:tcW w:w="104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0.5D</w:t>
            </w:r>
          </w:p>
        </w:tc>
        <w:tc>
          <w:tcPr>
            <w:tcW w:w="88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77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r>
      <w:tr w:rsidR="00481EDB" w:rsidRPr="00687B52" w:rsidTr="00B527D4">
        <w:trPr>
          <w:cantSplit/>
          <w:trHeight w:val="340"/>
          <w:jc w:val="center"/>
        </w:trPr>
        <w:tc>
          <w:tcPr>
            <w:tcW w:w="542" w:type="dxa"/>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Theme="minorEastAsia" w:hAnsiTheme="minorEastAsia" w:cs="Arial"/>
                <w:color w:val="000000" w:themeColor="text1"/>
                <w:szCs w:val="21"/>
              </w:rPr>
            </w:pPr>
          </w:p>
        </w:tc>
        <w:tc>
          <w:tcPr>
            <w:tcW w:w="1520" w:type="dxa"/>
            <w:gridSpan w:val="2"/>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p>
        </w:tc>
        <w:tc>
          <w:tcPr>
            <w:tcW w:w="148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&gt;</w:t>
            </w:r>
            <w:r w:rsidRPr="00687B52">
              <w:rPr>
                <w:rFonts w:asciiTheme="minorEastAsia" w:hAnsiTheme="minorEastAsia" w:cs="Arial"/>
                <w:color w:val="000000" w:themeColor="text1"/>
                <w:szCs w:val="21"/>
              </w:rPr>
              <w:t>100m</w:t>
            </w:r>
            <w:r w:rsidRPr="00687B52">
              <w:rPr>
                <w:rFonts w:asciiTheme="minorEastAsia" w:hAnsiTheme="minorEastAsia" w:cs="Arial"/>
                <w:color w:val="000000" w:themeColor="text1"/>
                <w:szCs w:val="21"/>
                <w:vertAlign w:val="superscript"/>
              </w:rPr>
              <w:t>3</w:t>
            </w:r>
          </w:p>
        </w:tc>
        <w:tc>
          <w:tcPr>
            <w:tcW w:w="94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94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115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0.5D</w:t>
            </w:r>
          </w:p>
        </w:tc>
        <w:tc>
          <w:tcPr>
            <w:tcW w:w="104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0.5D</w:t>
            </w:r>
          </w:p>
        </w:tc>
        <w:tc>
          <w:tcPr>
            <w:tcW w:w="88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p>
        </w:tc>
        <w:tc>
          <w:tcPr>
            <w:tcW w:w="77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p>
        </w:tc>
      </w:tr>
      <w:tr w:rsidR="00481EDB" w:rsidRPr="00687B52" w:rsidTr="00B527D4">
        <w:trPr>
          <w:trHeight w:val="340"/>
          <w:jc w:val="center"/>
        </w:trPr>
        <w:tc>
          <w:tcPr>
            <w:tcW w:w="2055" w:type="dxa"/>
            <w:gridSpan w:val="2"/>
            <w:vMerge w:val="restart"/>
            <w:tcBorders>
              <w:top w:val="single" w:sz="4" w:space="0" w:color="auto"/>
              <w:left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助燃气体</w:t>
            </w:r>
          </w:p>
        </w:tc>
        <w:tc>
          <w:tcPr>
            <w:tcW w:w="1492" w:type="dxa"/>
            <w:gridSpan w:val="2"/>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球罐</w:t>
            </w:r>
          </w:p>
        </w:tc>
        <w:tc>
          <w:tcPr>
            <w:tcW w:w="94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0.5D</w:t>
            </w:r>
          </w:p>
        </w:tc>
        <w:tc>
          <w:tcPr>
            <w:tcW w:w="94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0.65D</w:t>
            </w:r>
          </w:p>
        </w:tc>
        <w:tc>
          <w:tcPr>
            <w:tcW w:w="115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104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88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77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r>
      <w:tr w:rsidR="00481EDB" w:rsidRPr="00687B52" w:rsidTr="00B527D4">
        <w:trPr>
          <w:trHeight w:val="340"/>
          <w:jc w:val="center"/>
        </w:trPr>
        <w:tc>
          <w:tcPr>
            <w:tcW w:w="2055" w:type="dxa"/>
            <w:gridSpan w:val="2"/>
            <w:vMerge/>
            <w:tcBorders>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p>
        </w:tc>
        <w:tc>
          <w:tcPr>
            <w:tcW w:w="1492" w:type="dxa"/>
            <w:gridSpan w:val="2"/>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卧（立）罐</w:t>
            </w:r>
          </w:p>
        </w:tc>
        <w:tc>
          <w:tcPr>
            <w:tcW w:w="94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0.65D</w:t>
            </w:r>
          </w:p>
        </w:tc>
        <w:tc>
          <w:tcPr>
            <w:tcW w:w="94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0.65D</w:t>
            </w:r>
          </w:p>
        </w:tc>
        <w:tc>
          <w:tcPr>
            <w:tcW w:w="115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104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88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77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r>
      <w:tr w:rsidR="00481EDB" w:rsidRPr="00687B52" w:rsidTr="00B527D4">
        <w:trPr>
          <w:cantSplit/>
          <w:trHeight w:val="340"/>
          <w:jc w:val="center"/>
        </w:trPr>
        <w:tc>
          <w:tcPr>
            <w:tcW w:w="2062" w:type="dxa"/>
            <w:gridSpan w:val="3"/>
            <w:vMerge w:val="restart"/>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可燃气体</w:t>
            </w:r>
          </w:p>
        </w:tc>
        <w:tc>
          <w:tcPr>
            <w:tcW w:w="148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水槽式气柜</w:t>
            </w:r>
          </w:p>
        </w:tc>
        <w:tc>
          <w:tcPr>
            <w:tcW w:w="94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94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115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104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88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0.5D</w:t>
            </w:r>
          </w:p>
        </w:tc>
        <w:tc>
          <w:tcPr>
            <w:tcW w:w="77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0.65D</w:t>
            </w:r>
          </w:p>
        </w:tc>
      </w:tr>
      <w:tr w:rsidR="00481EDB" w:rsidRPr="00687B52" w:rsidTr="00B527D4">
        <w:trPr>
          <w:cantSplit/>
          <w:trHeight w:val="340"/>
          <w:jc w:val="center"/>
        </w:trPr>
        <w:tc>
          <w:tcPr>
            <w:tcW w:w="2062" w:type="dxa"/>
            <w:gridSpan w:val="3"/>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Theme="minorEastAsia" w:hAnsiTheme="minorEastAsia" w:cs="Arial"/>
                <w:color w:val="000000" w:themeColor="text1"/>
                <w:szCs w:val="21"/>
              </w:rPr>
            </w:pPr>
          </w:p>
        </w:tc>
        <w:tc>
          <w:tcPr>
            <w:tcW w:w="148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干式气</w:t>
            </w:r>
            <w:r w:rsidRPr="00687B52">
              <w:rPr>
                <w:rFonts w:asciiTheme="minorEastAsia" w:hAnsiTheme="minorEastAsia" w:cs="Arial" w:hint="eastAsia"/>
                <w:color w:val="000000" w:themeColor="text1"/>
                <w:szCs w:val="21"/>
              </w:rPr>
              <w:t>柜</w:t>
            </w:r>
          </w:p>
        </w:tc>
        <w:tc>
          <w:tcPr>
            <w:tcW w:w="94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94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115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104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88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0.65D</w:t>
            </w:r>
          </w:p>
        </w:tc>
        <w:tc>
          <w:tcPr>
            <w:tcW w:w="77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0.65D</w:t>
            </w:r>
          </w:p>
        </w:tc>
      </w:tr>
      <w:tr w:rsidR="00481EDB" w:rsidRPr="00687B52" w:rsidTr="00B527D4">
        <w:trPr>
          <w:cantSplit/>
          <w:trHeight w:val="340"/>
          <w:jc w:val="center"/>
        </w:trPr>
        <w:tc>
          <w:tcPr>
            <w:tcW w:w="2062" w:type="dxa"/>
            <w:gridSpan w:val="3"/>
            <w:vMerge/>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rPr>
                <w:rFonts w:asciiTheme="minorEastAsia" w:hAnsiTheme="minorEastAsia" w:cs="Arial"/>
                <w:color w:val="000000" w:themeColor="text1"/>
                <w:szCs w:val="21"/>
              </w:rPr>
            </w:pPr>
          </w:p>
        </w:tc>
        <w:tc>
          <w:tcPr>
            <w:tcW w:w="148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球罐</w:t>
            </w:r>
          </w:p>
        </w:tc>
        <w:tc>
          <w:tcPr>
            <w:tcW w:w="94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0.5D</w:t>
            </w:r>
          </w:p>
        </w:tc>
        <w:tc>
          <w:tcPr>
            <w:tcW w:w="943"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1152"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1045"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w:t>
            </w:r>
          </w:p>
        </w:tc>
        <w:tc>
          <w:tcPr>
            <w:tcW w:w="881"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hint="eastAsia"/>
                <w:color w:val="000000" w:themeColor="text1"/>
                <w:szCs w:val="21"/>
              </w:rPr>
              <w:t>0.65D</w:t>
            </w:r>
          </w:p>
        </w:tc>
        <w:tc>
          <w:tcPr>
            <w:tcW w:w="777" w:type="dxa"/>
            <w:tcBorders>
              <w:top w:val="single" w:sz="4" w:space="0" w:color="auto"/>
              <w:left w:val="single" w:sz="4" w:space="0" w:color="auto"/>
              <w:bottom w:val="single" w:sz="4" w:space="0" w:color="auto"/>
              <w:right w:val="single" w:sz="4" w:space="0" w:color="auto"/>
            </w:tcBorders>
            <w:vAlign w:val="center"/>
          </w:tcPr>
          <w:p w:rsidR="00481EDB" w:rsidRPr="00687B52" w:rsidRDefault="00481EDB" w:rsidP="00B527D4">
            <w:pPr>
              <w:adjustRightInd w:val="0"/>
              <w:snapToGrid w:val="0"/>
              <w:jc w:val="center"/>
              <w:rPr>
                <w:rFonts w:asciiTheme="minorEastAsia" w:hAnsiTheme="minorEastAsia" w:cs="Arial"/>
                <w:color w:val="000000" w:themeColor="text1"/>
                <w:szCs w:val="21"/>
              </w:rPr>
            </w:pPr>
            <w:r w:rsidRPr="00687B52">
              <w:rPr>
                <w:rFonts w:asciiTheme="minorEastAsia" w:hAnsiTheme="minorEastAsia" w:cs="Arial"/>
                <w:color w:val="000000" w:themeColor="text1"/>
                <w:szCs w:val="21"/>
              </w:rPr>
              <w:t>0.65D</w:t>
            </w:r>
          </w:p>
        </w:tc>
      </w:tr>
    </w:tbl>
    <w:p w:rsidR="00481EDB" w:rsidRPr="00687B52" w:rsidRDefault="00481EDB" w:rsidP="00481EDB">
      <w:pPr>
        <w:pStyle w:val="Default"/>
        <w:snapToGrid w:val="0"/>
        <w:spacing w:line="300" w:lineRule="auto"/>
        <w:rPr>
          <w:rFonts w:asciiTheme="minorEastAsia" w:eastAsiaTheme="minorEastAsia" w:hAnsiTheme="minorEastAsia" w:cs="Arial"/>
          <w:color w:val="000000" w:themeColor="text1"/>
          <w:sz w:val="21"/>
          <w:szCs w:val="21"/>
        </w:rPr>
      </w:pPr>
      <w:r w:rsidRPr="00687B52">
        <w:rPr>
          <w:rFonts w:asciiTheme="minorEastAsia" w:eastAsiaTheme="minorEastAsia" w:hAnsiTheme="minorEastAsia" w:cs="Arial"/>
          <w:color w:val="000000" w:themeColor="text1"/>
          <w:sz w:val="21"/>
          <w:szCs w:val="21"/>
        </w:rPr>
        <w:t>注：1. D为相邻较大储罐的直径；</w:t>
      </w:r>
    </w:p>
    <w:p w:rsidR="00481EDB" w:rsidRPr="00687B52" w:rsidRDefault="00481EDB" w:rsidP="00481EDB">
      <w:pPr>
        <w:pStyle w:val="Default"/>
        <w:snapToGrid w:val="0"/>
        <w:spacing w:line="300" w:lineRule="auto"/>
        <w:ind w:firstLineChars="200" w:firstLine="420"/>
        <w:rPr>
          <w:rFonts w:asciiTheme="minorEastAsia" w:eastAsiaTheme="minorEastAsia" w:hAnsiTheme="minorEastAsia" w:cs="Arial"/>
          <w:color w:val="000000" w:themeColor="text1"/>
          <w:sz w:val="21"/>
          <w:szCs w:val="21"/>
        </w:rPr>
      </w:pPr>
      <w:r w:rsidRPr="00687B52">
        <w:rPr>
          <w:rFonts w:asciiTheme="minorEastAsia" w:eastAsiaTheme="minorEastAsia" w:hAnsiTheme="minorEastAsia" w:cs="Arial"/>
          <w:color w:val="000000" w:themeColor="text1"/>
          <w:sz w:val="21"/>
          <w:szCs w:val="21"/>
        </w:rPr>
        <w:t>2. 液氨储罐间的防火间距要求应与液化烃储罐相同；液氧储罐间的防火间距应按《建筑设计防 火规范》（GB50016）的要求执行；</w:t>
      </w:r>
    </w:p>
    <w:p w:rsidR="00481EDB" w:rsidRPr="00687B52" w:rsidRDefault="00481EDB" w:rsidP="00481EDB">
      <w:pPr>
        <w:pStyle w:val="Default"/>
        <w:snapToGrid w:val="0"/>
        <w:spacing w:line="300" w:lineRule="auto"/>
        <w:ind w:firstLineChars="200" w:firstLine="420"/>
        <w:rPr>
          <w:rFonts w:asciiTheme="minorEastAsia" w:eastAsiaTheme="minorEastAsia" w:hAnsiTheme="minorEastAsia" w:cs="Arial"/>
          <w:color w:val="000000" w:themeColor="text1"/>
          <w:sz w:val="21"/>
          <w:szCs w:val="21"/>
        </w:rPr>
      </w:pPr>
      <w:r w:rsidRPr="00687B52">
        <w:rPr>
          <w:rFonts w:asciiTheme="minorEastAsia" w:eastAsiaTheme="minorEastAsia" w:hAnsiTheme="minorEastAsia" w:cs="Arial"/>
          <w:color w:val="000000" w:themeColor="text1"/>
          <w:sz w:val="21"/>
          <w:szCs w:val="21"/>
        </w:rPr>
        <w:t>3. 沸点低于45℃的甲B类液体压力储罐，按全压力式液化烃储罐的防火间距执行；</w:t>
      </w:r>
    </w:p>
    <w:p w:rsidR="00481EDB" w:rsidRPr="00687B52" w:rsidRDefault="00481EDB" w:rsidP="00481EDB">
      <w:pPr>
        <w:pStyle w:val="Default"/>
        <w:snapToGrid w:val="0"/>
        <w:spacing w:line="300" w:lineRule="auto"/>
        <w:ind w:firstLineChars="200" w:firstLine="420"/>
        <w:rPr>
          <w:rFonts w:asciiTheme="minorEastAsia" w:eastAsiaTheme="minorEastAsia" w:hAnsiTheme="minorEastAsia" w:cs="Arial"/>
          <w:color w:val="000000" w:themeColor="text1"/>
          <w:sz w:val="21"/>
          <w:szCs w:val="21"/>
        </w:rPr>
      </w:pPr>
      <w:r w:rsidRPr="00687B52">
        <w:rPr>
          <w:rFonts w:asciiTheme="minorEastAsia" w:eastAsiaTheme="minorEastAsia" w:hAnsiTheme="minorEastAsia" w:cs="Arial"/>
          <w:color w:val="000000" w:themeColor="text1"/>
          <w:sz w:val="21"/>
          <w:szCs w:val="21"/>
        </w:rPr>
        <w:t>4. 液化烃单罐容积≤200 m3的卧（立）罐之间的防火间距超过1.5m时，可取1.5m；</w:t>
      </w:r>
    </w:p>
    <w:p w:rsidR="00481EDB" w:rsidRPr="00687B52" w:rsidRDefault="00481EDB" w:rsidP="00481EDB">
      <w:pPr>
        <w:pStyle w:val="Default"/>
        <w:snapToGrid w:val="0"/>
        <w:spacing w:line="300" w:lineRule="auto"/>
        <w:ind w:firstLineChars="200" w:firstLine="420"/>
        <w:rPr>
          <w:rFonts w:asciiTheme="minorEastAsia" w:eastAsiaTheme="minorEastAsia" w:hAnsiTheme="minorEastAsia" w:cs="Arial"/>
          <w:color w:val="000000" w:themeColor="text1"/>
          <w:sz w:val="21"/>
          <w:szCs w:val="21"/>
        </w:rPr>
      </w:pPr>
      <w:r w:rsidRPr="00687B52">
        <w:rPr>
          <w:rFonts w:asciiTheme="minorEastAsia" w:eastAsiaTheme="minorEastAsia" w:hAnsiTheme="minorEastAsia" w:cs="Arial"/>
          <w:color w:val="000000" w:themeColor="text1"/>
          <w:sz w:val="21"/>
          <w:szCs w:val="21"/>
        </w:rPr>
        <w:t>5. 助燃气体卧（立）罐之间的防火间距超过1.5m时，可取1.5m；</w:t>
      </w:r>
    </w:p>
    <w:p w:rsidR="00481EDB" w:rsidRPr="00687B52" w:rsidRDefault="00481EDB" w:rsidP="00481EDB">
      <w:pPr>
        <w:pStyle w:val="Default"/>
        <w:snapToGrid w:val="0"/>
        <w:spacing w:line="300" w:lineRule="auto"/>
        <w:ind w:firstLineChars="200" w:firstLine="420"/>
        <w:rPr>
          <w:rFonts w:ascii="Arial" w:eastAsia="黑体" w:hAnsi="Arial" w:cs="Arial"/>
          <w:color w:val="000000" w:themeColor="text1"/>
          <w:sz w:val="21"/>
          <w:szCs w:val="21"/>
        </w:rPr>
      </w:pPr>
      <w:r w:rsidRPr="00687B52">
        <w:rPr>
          <w:rFonts w:asciiTheme="minorEastAsia" w:eastAsiaTheme="minorEastAsia" w:hAnsiTheme="minorEastAsia" w:cs="Arial"/>
          <w:color w:val="000000" w:themeColor="text1"/>
          <w:sz w:val="21"/>
          <w:szCs w:val="21"/>
        </w:rPr>
        <w:t>6. “﹡”表示不应同组布置</w:t>
      </w:r>
      <w:r w:rsidRPr="00687B52">
        <w:rPr>
          <w:rFonts w:ascii="Arial" w:eastAsia="黑体" w:hAnsi="Arial" w:cs="Arial"/>
          <w:color w:val="000000" w:themeColor="text1"/>
          <w:sz w:val="21"/>
          <w:szCs w:val="21"/>
        </w:rPr>
        <w:t>。</w:t>
      </w:r>
    </w:p>
    <w:p w:rsidR="00481EDB" w:rsidRPr="00687B52" w:rsidRDefault="00481EDB" w:rsidP="00856B6C">
      <w:pPr>
        <w:pStyle w:val="afd"/>
        <w:rPr>
          <w:color w:val="000000" w:themeColor="text1"/>
        </w:rPr>
      </w:pPr>
      <w:bookmarkStart w:id="195" w:name="_Toc491870824"/>
      <w:bookmarkStart w:id="196" w:name="_Toc492563478"/>
      <w:bookmarkStart w:id="197" w:name="_Toc493857079"/>
      <w:r w:rsidRPr="00687B52">
        <w:rPr>
          <w:rFonts w:hint="eastAsia"/>
          <w:color w:val="000000" w:themeColor="text1"/>
        </w:rPr>
        <w:t>表</w:t>
      </w:r>
      <w:r w:rsidRPr="00687B52">
        <w:rPr>
          <w:rFonts w:hint="eastAsia"/>
          <w:color w:val="000000" w:themeColor="text1"/>
        </w:rPr>
        <w:t xml:space="preserve">6.4.4 </w:t>
      </w:r>
      <w:r w:rsidRPr="00687B52">
        <w:rPr>
          <w:color w:val="000000" w:themeColor="text1"/>
        </w:rPr>
        <w:t>码头相邻泊位的船舶间的防火间距（</w:t>
      </w:r>
      <w:r w:rsidRPr="00687B52">
        <w:rPr>
          <w:color w:val="000000" w:themeColor="text1"/>
        </w:rPr>
        <w:t>m</w:t>
      </w:r>
      <w:r w:rsidRPr="00687B52">
        <w:rPr>
          <w:color w:val="000000" w:themeColor="text1"/>
        </w:rPr>
        <w:t>）</w:t>
      </w:r>
      <w:bookmarkEnd w:id="195"/>
      <w:bookmarkEnd w:id="196"/>
      <w:bookmarkEnd w:id="197"/>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1547"/>
        <w:gridCol w:w="1548"/>
        <w:gridCol w:w="1548"/>
        <w:gridCol w:w="1548"/>
        <w:gridCol w:w="1548"/>
      </w:tblGrid>
      <w:tr w:rsidR="00481EDB" w:rsidRPr="00687B52" w:rsidTr="00B527D4">
        <w:trPr>
          <w:cantSplit/>
          <w:trHeight w:val="340"/>
          <w:jc w:val="center"/>
        </w:trPr>
        <w:tc>
          <w:tcPr>
            <w:tcW w:w="1547" w:type="dxa"/>
            <w:vAlign w:val="center"/>
          </w:tcPr>
          <w:p w:rsidR="00481EDB" w:rsidRPr="00687B52" w:rsidRDefault="00481EDB" w:rsidP="00B527D4">
            <w:pPr>
              <w:pStyle w:val="Default"/>
              <w:snapToGrid w:val="0"/>
              <w:jc w:val="center"/>
              <w:rPr>
                <w:rFonts w:ascii="Times New Roman" w:eastAsia="宋体" w:cs="Times New Roman"/>
                <w:color w:val="000000" w:themeColor="text1"/>
              </w:rPr>
            </w:pPr>
            <w:r w:rsidRPr="00687B52">
              <w:rPr>
                <w:rFonts w:ascii="Times New Roman" w:eastAsia="宋体" w:hAnsi="Arial" w:cs="Times New Roman"/>
                <w:color w:val="000000" w:themeColor="text1"/>
              </w:rPr>
              <w:t>船长</w:t>
            </w:r>
          </w:p>
        </w:tc>
        <w:tc>
          <w:tcPr>
            <w:tcW w:w="1547" w:type="dxa"/>
            <w:vAlign w:val="center"/>
          </w:tcPr>
          <w:p w:rsidR="00481EDB" w:rsidRPr="00687B52" w:rsidRDefault="00481EDB" w:rsidP="00B527D4">
            <w:pPr>
              <w:pStyle w:val="Default"/>
              <w:snapToGrid w:val="0"/>
              <w:jc w:val="center"/>
              <w:rPr>
                <w:rFonts w:ascii="Times New Roman" w:eastAsia="宋体" w:cs="Times New Roman"/>
                <w:color w:val="000000" w:themeColor="text1"/>
              </w:rPr>
            </w:pPr>
            <w:r w:rsidRPr="00687B52">
              <w:rPr>
                <w:rFonts w:ascii="Times New Roman" w:eastAsia="宋体" w:cs="Times New Roman"/>
                <w:color w:val="000000" w:themeColor="text1"/>
              </w:rPr>
              <w:t>279~236</w:t>
            </w:r>
          </w:p>
        </w:tc>
        <w:tc>
          <w:tcPr>
            <w:tcW w:w="1548" w:type="dxa"/>
            <w:vAlign w:val="center"/>
          </w:tcPr>
          <w:p w:rsidR="00481EDB" w:rsidRPr="00687B52" w:rsidRDefault="00481EDB" w:rsidP="00B527D4">
            <w:pPr>
              <w:pStyle w:val="Default"/>
              <w:snapToGrid w:val="0"/>
              <w:jc w:val="center"/>
              <w:rPr>
                <w:rFonts w:ascii="Times New Roman" w:eastAsia="宋体" w:cs="Times New Roman"/>
                <w:color w:val="000000" w:themeColor="text1"/>
              </w:rPr>
            </w:pPr>
            <w:r w:rsidRPr="00687B52">
              <w:rPr>
                <w:rFonts w:ascii="Times New Roman" w:eastAsia="宋体" w:cs="Times New Roman"/>
                <w:color w:val="000000" w:themeColor="text1"/>
              </w:rPr>
              <w:t>235~183</w:t>
            </w:r>
          </w:p>
        </w:tc>
        <w:tc>
          <w:tcPr>
            <w:tcW w:w="1548" w:type="dxa"/>
            <w:vAlign w:val="center"/>
          </w:tcPr>
          <w:p w:rsidR="00481EDB" w:rsidRPr="00687B52" w:rsidRDefault="00481EDB" w:rsidP="00B527D4">
            <w:pPr>
              <w:pStyle w:val="Default"/>
              <w:snapToGrid w:val="0"/>
              <w:jc w:val="center"/>
              <w:rPr>
                <w:rFonts w:ascii="Times New Roman" w:eastAsia="宋体" w:cs="Times New Roman"/>
                <w:color w:val="000000" w:themeColor="text1"/>
              </w:rPr>
            </w:pPr>
            <w:r w:rsidRPr="00687B52">
              <w:rPr>
                <w:rFonts w:ascii="Times New Roman" w:eastAsia="宋体" w:cs="Times New Roman"/>
                <w:color w:val="000000" w:themeColor="text1"/>
              </w:rPr>
              <w:t>182~151</w:t>
            </w:r>
          </w:p>
        </w:tc>
        <w:tc>
          <w:tcPr>
            <w:tcW w:w="1548" w:type="dxa"/>
            <w:vAlign w:val="center"/>
          </w:tcPr>
          <w:p w:rsidR="00481EDB" w:rsidRPr="00687B52" w:rsidRDefault="00481EDB" w:rsidP="00B527D4">
            <w:pPr>
              <w:pStyle w:val="Default"/>
              <w:snapToGrid w:val="0"/>
              <w:jc w:val="center"/>
              <w:rPr>
                <w:rFonts w:ascii="Times New Roman" w:eastAsia="宋体" w:cs="Times New Roman"/>
                <w:color w:val="000000" w:themeColor="text1"/>
              </w:rPr>
            </w:pPr>
            <w:r w:rsidRPr="00687B52">
              <w:rPr>
                <w:rFonts w:ascii="Times New Roman" w:eastAsia="宋体" w:cs="Times New Roman"/>
                <w:color w:val="000000" w:themeColor="text1"/>
              </w:rPr>
              <w:t>150~110</w:t>
            </w:r>
          </w:p>
        </w:tc>
        <w:tc>
          <w:tcPr>
            <w:tcW w:w="1548" w:type="dxa"/>
            <w:vAlign w:val="center"/>
          </w:tcPr>
          <w:p w:rsidR="00481EDB" w:rsidRPr="00687B52" w:rsidRDefault="00481EDB" w:rsidP="00B527D4">
            <w:pPr>
              <w:pStyle w:val="Default"/>
              <w:snapToGrid w:val="0"/>
              <w:jc w:val="center"/>
              <w:rPr>
                <w:rFonts w:ascii="Times New Roman" w:eastAsia="宋体" w:cs="Times New Roman"/>
                <w:color w:val="000000" w:themeColor="text1"/>
              </w:rPr>
            </w:pPr>
            <w:r w:rsidRPr="00687B52">
              <w:rPr>
                <w:rFonts w:ascii="Times New Roman" w:eastAsia="宋体" w:cs="Times New Roman"/>
                <w:color w:val="000000" w:themeColor="text1"/>
              </w:rPr>
              <w:t>&lt;110</w:t>
            </w:r>
          </w:p>
        </w:tc>
      </w:tr>
      <w:tr w:rsidR="00481EDB" w:rsidRPr="00687B52" w:rsidTr="00B527D4">
        <w:trPr>
          <w:cantSplit/>
          <w:trHeight w:val="340"/>
          <w:jc w:val="center"/>
        </w:trPr>
        <w:tc>
          <w:tcPr>
            <w:tcW w:w="1547" w:type="dxa"/>
            <w:vAlign w:val="center"/>
          </w:tcPr>
          <w:p w:rsidR="00481EDB" w:rsidRPr="00687B52" w:rsidRDefault="00481EDB" w:rsidP="00B527D4">
            <w:pPr>
              <w:pStyle w:val="Default"/>
              <w:snapToGrid w:val="0"/>
              <w:jc w:val="center"/>
              <w:rPr>
                <w:rFonts w:ascii="Times New Roman" w:eastAsia="宋体" w:cs="Times New Roman"/>
                <w:color w:val="000000" w:themeColor="text1"/>
              </w:rPr>
            </w:pPr>
            <w:r w:rsidRPr="00687B52">
              <w:rPr>
                <w:rFonts w:ascii="Times New Roman" w:eastAsia="宋体" w:hAnsi="Arial" w:cs="Times New Roman"/>
                <w:color w:val="000000" w:themeColor="text1"/>
              </w:rPr>
              <w:t>防火间距</w:t>
            </w:r>
          </w:p>
        </w:tc>
        <w:tc>
          <w:tcPr>
            <w:tcW w:w="1547" w:type="dxa"/>
            <w:vAlign w:val="center"/>
          </w:tcPr>
          <w:p w:rsidR="00481EDB" w:rsidRPr="00687B52" w:rsidRDefault="00481EDB" w:rsidP="00B527D4">
            <w:pPr>
              <w:pStyle w:val="Default"/>
              <w:snapToGrid w:val="0"/>
              <w:jc w:val="center"/>
              <w:rPr>
                <w:rFonts w:ascii="Times New Roman" w:eastAsia="宋体" w:cs="Times New Roman"/>
                <w:color w:val="000000" w:themeColor="text1"/>
              </w:rPr>
            </w:pPr>
            <w:r w:rsidRPr="00687B52">
              <w:rPr>
                <w:rFonts w:ascii="Times New Roman" w:eastAsia="宋体" w:cs="Times New Roman"/>
                <w:color w:val="000000" w:themeColor="text1"/>
              </w:rPr>
              <w:t>55</w:t>
            </w:r>
          </w:p>
        </w:tc>
        <w:tc>
          <w:tcPr>
            <w:tcW w:w="1548" w:type="dxa"/>
            <w:vAlign w:val="center"/>
          </w:tcPr>
          <w:p w:rsidR="00481EDB" w:rsidRPr="00687B52" w:rsidRDefault="00481EDB" w:rsidP="00B527D4">
            <w:pPr>
              <w:pStyle w:val="Default"/>
              <w:snapToGrid w:val="0"/>
              <w:jc w:val="center"/>
              <w:rPr>
                <w:rFonts w:ascii="Times New Roman" w:eastAsia="宋体" w:cs="Times New Roman"/>
                <w:color w:val="000000" w:themeColor="text1"/>
              </w:rPr>
            </w:pPr>
            <w:r w:rsidRPr="00687B52">
              <w:rPr>
                <w:rFonts w:ascii="Times New Roman" w:eastAsia="宋体" w:cs="Times New Roman"/>
                <w:color w:val="000000" w:themeColor="text1"/>
              </w:rPr>
              <w:t>50</w:t>
            </w:r>
          </w:p>
        </w:tc>
        <w:tc>
          <w:tcPr>
            <w:tcW w:w="1548" w:type="dxa"/>
            <w:vAlign w:val="center"/>
          </w:tcPr>
          <w:p w:rsidR="00481EDB" w:rsidRPr="00687B52" w:rsidRDefault="00481EDB" w:rsidP="00B527D4">
            <w:pPr>
              <w:pStyle w:val="Default"/>
              <w:snapToGrid w:val="0"/>
              <w:jc w:val="center"/>
              <w:rPr>
                <w:rFonts w:ascii="Times New Roman" w:eastAsia="宋体" w:cs="Times New Roman"/>
                <w:color w:val="000000" w:themeColor="text1"/>
              </w:rPr>
            </w:pPr>
            <w:r w:rsidRPr="00687B52">
              <w:rPr>
                <w:rFonts w:ascii="Times New Roman" w:eastAsia="宋体" w:cs="Times New Roman"/>
                <w:color w:val="000000" w:themeColor="text1"/>
              </w:rPr>
              <w:t>40</w:t>
            </w:r>
          </w:p>
        </w:tc>
        <w:tc>
          <w:tcPr>
            <w:tcW w:w="1548" w:type="dxa"/>
            <w:vAlign w:val="center"/>
          </w:tcPr>
          <w:p w:rsidR="00481EDB" w:rsidRPr="00687B52" w:rsidRDefault="00481EDB" w:rsidP="00B527D4">
            <w:pPr>
              <w:pStyle w:val="Default"/>
              <w:snapToGrid w:val="0"/>
              <w:jc w:val="center"/>
              <w:rPr>
                <w:rFonts w:ascii="Times New Roman" w:eastAsia="宋体" w:cs="Times New Roman"/>
                <w:color w:val="000000" w:themeColor="text1"/>
              </w:rPr>
            </w:pPr>
            <w:r w:rsidRPr="00687B52">
              <w:rPr>
                <w:rFonts w:ascii="Times New Roman" w:eastAsia="宋体" w:cs="Times New Roman"/>
                <w:color w:val="000000" w:themeColor="text1"/>
              </w:rPr>
              <w:t>35</w:t>
            </w:r>
          </w:p>
        </w:tc>
        <w:tc>
          <w:tcPr>
            <w:tcW w:w="1548" w:type="dxa"/>
            <w:vAlign w:val="center"/>
          </w:tcPr>
          <w:p w:rsidR="00481EDB" w:rsidRPr="00687B52" w:rsidRDefault="00481EDB" w:rsidP="00B527D4">
            <w:pPr>
              <w:pStyle w:val="Default"/>
              <w:snapToGrid w:val="0"/>
              <w:jc w:val="center"/>
              <w:rPr>
                <w:rFonts w:ascii="Times New Roman" w:eastAsia="宋体" w:cs="Times New Roman"/>
                <w:color w:val="000000" w:themeColor="text1"/>
              </w:rPr>
            </w:pPr>
            <w:r w:rsidRPr="00687B52">
              <w:rPr>
                <w:rFonts w:ascii="Times New Roman" w:eastAsia="宋体" w:cs="Times New Roman"/>
                <w:color w:val="000000" w:themeColor="text1"/>
              </w:rPr>
              <w:t>25</w:t>
            </w:r>
          </w:p>
        </w:tc>
      </w:tr>
    </w:tbl>
    <w:p w:rsidR="00481EDB" w:rsidRPr="00687B52" w:rsidRDefault="00481EDB" w:rsidP="00481EDB">
      <w:pPr>
        <w:pStyle w:val="Default"/>
        <w:snapToGrid w:val="0"/>
        <w:spacing w:line="300" w:lineRule="auto"/>
        <w:rPr>
          <w:rFonts w:ascii="Arial" w:eastAsia="黑体" w:hAnsi="Arial" w:cs="Arial"/>
          <w:color w:val="000000" w:themeColor="text1"/>
          <w:sz w:val="21"/>
          <w:szCs w:val="21"/>
        </w:rPr>
      </w:pPr>
    </w:p>
    <w:p w:rsidR="00481EDB" w:rsidRPr="00687B52" w:rsidRDefault="00481EDB" w:rsidP="00856B6C">
      <w:pPr>
        <w:pStyle w:val="afd"/>
        <w:rPr>
          <w:color w:val="000000" w:themeColor="text1"/>
        </w:rPr>
      </w:pPr>
      <w:bookmarkStart w:id="198" w:name="_Toc492563479"/>
      <w:bookmarkStart w:id="199" w:name="_Toc493857080"/>
      <w:r w:rsidRPr="00687B52">
        <w:rPr>
          <w:rFonts w:hint="eastAsia"/>
          <w:color w:val="000000" w:themeColor="text1"/>
        </w:rPr>
        <w:t>表</w:t>
      </w:r>
      <w:r w:rsidRPr="00687B52">
        <w:rPr>
          <w:rFonts w:hint="eastAsia"/>
          <w:color w:val="000000" w:themeColor="text1"/>
        </w:rPr>
        <w:t xml:space="preserve">8.4.2 </w:t>
      </w:r>
      <w:r w:rsidRPr="00687B52">
        <w:rPr>
          <w:color w:val="000000" w:themeColor="text1"/>
        </w:rPr>
        <w:t>厂区同一时间内的火灾处数</w:t>
      </w:r>
      <w:bookmarkEnd w:id="198"/>
      <w:bookmarkEnd w:id="199"/>
    </w:p>
    <w:tbl>
      <w:tblPr>
        <w:tblW w:w="9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8"/>
        <w:gridCol w:w="7140"/>
      </w:tblGrid>
      <w:tr w:rsidR="00481EDB" w:rsidRPr="00687B52" w:rsidTr="00B527D4">
        <w:trPr>
          <w:cantSplit/>
          <w:trHeight w:val="340"/>
          <w:jc w:val="center"/>
        </w:trPr>
        <w:tc>
          <w:tcPr>
            <w:tcW w:w="2228"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厂区占地面积（</w:t>
            </w:r>
            <w:r w:rsidRPr="00687B52">
              <w:rPr>
                <w:rFonts w:ascii="Arial" w:eastAsia="宋体" w:hAnsi="Arial" w:cs="Arial" w:hint="eastAsia"/>
                <w:color w:val="000000" w:themeColor="text1"/>
                <w:sz w:val="21"/>
                <w:szCs w:val="21"/>
              </w:rPr>
              <w:t>m</w:t>
            </w:r>
            <w:r w:rsidRPr="00687B52">
              <w:rPr>
                <w:rFonts w:ascii="Arial" w:eastAsia="宋体" w:hAnsi="Arial" w:cs="Arial" w:hint="eastAsia"/>
                <w:color w:val="000000" w:themeColor="text1"/>
                <w:sz w:val="21"/>
                <w:szCs w:val="21"/>
                <w:vertAlign w:val="superscript"/>
              </w:rPr>
              <w:t>2</w:t>
            </w:r>
            <w:r w:rsidRPr="00687B52">
              <w:rPr>
                <w:rFonts w:ascii="Arial" w:eastAsia="宋体" w:hAnsi="Arial" w:cs="Arial" w:hint="eastAsia"/>
                <w:color w:val="000000" w:themeColor="text1"/>
                <w:sz w:val="21"/>
                <w:szCs w:val="21"/>
              </w:rPr>
              <w:t>）</w:t>
            </w:r>
          </w:p>
        </w:tc>
        <w:tc>
          <w:tcPr>
            <w:tcW w:w="7140"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同一时间内火灾处数</w:t>
            </w:r>
          </w:p>
        </w:tc>
      </w:tr>
      <w:tr w:rsidR="00481EDB" w:rsidRPr="00687B52" w:rsidTr="00B527D4">
        <w:trPr>
          <w:cantSplit/>
          <w:trHeight w:val="340"/>
          <w:jc w:val="center"/>
        </w:trPr>
        <w:tc>
          <w:tcPr>
            <w:tcW w:w="2228" w:type="dxa"/>
            <w:vAlign w:val="center"/>
          </w:tcPr>
          <w:p w:rsidR="00481EDB" w:rsidRPr="00687B52" w:rsidRDefault="00481EDB" w:rsidP="00B527D4">
            <w:pPr>
              <w:pStyle w:val="Default"/>
              <w:snapToGrid w:val="0"/>
              <w:jc w:val="both"/>
              <w:rPr>
                <w:rFonts w:ascii="Arial" w:eastAsia="宋体" w:hAnsi="Arial" w:cs="Arial"/>
                <w:color w:val="000000" w:themeColor="text1"/>
                <w:sz w:val="21"/>
                <w:szCs w:val="21"/>
              </w:rPr>
            </w:pPr>
            <w:r w:rsidRPr="00687B52">
              <w:rPr>
                <w:rFonts w:ascii="Arial" w:eastAsia="宋体" w:hAnsi="Arial" w:cs="Arial"/>
                <w:color w:val="000000" w:themeColor="text1"/>
                <w:sz w:val="21"/>
                <w:szCs w:val="21"/>
              </w:rPr>
              <w:t>≤</w:t>
            </w:r>
            <w:r w:rsidRPr="00687B52">
              <w:rPr>
                <w:rFonts w:ascii="Arial" w:eastAsia="宋体" w:hAnsi="Arial" w:cs="Arial" w:hint="eastAsia"/>
                <w:color w:val="000000" w:themeColor="text1"/>
                <w:sz w:val="21"/>
                <w:szCs w:val="21"/>
              </w:rPr>
              <w:t>1000,000</w:t>
            </w:r>
          </w:p>
        </w:tc>
        <w:tc>
          <w:tcPr>
            <w:tcW w:w="7140" w:type="dxa"/>
            <w:vAlign w:val="center"/>
          </w:tcPr>
          <w:p w:rsidR="00481EDB" w:rsidRPr="00687B52" w:rsidRDefault="00481EDB" w:rsidP="00B527D4">
            <w:pPr>
              <w:pStyle w:val="Default"/>
              <w:snapToGrid w:val="0"/>
              <w:jc w:val="both"/>
              <w:rPr>
                <w:rFonts w:ascii="Arial" w:eastAsia="宋体" w:hAnsi="Arial" w:cs="Arial"/>
                <w:color w:val="000000" w:themeColor="text1"/>
                <w:sz w:val="21"/>
                <w:szCs w:val="21"/>
              </w:rPr>
            </w:pPr>
            <w:r w:rsidRPr="00687B52">
              <w:rPr>
                <w:rFonts w:ascii="Arial" w:eastAsia="宋体" w:hAnsi="Arial" w:cs="Arial"/>
                <w:color w:val="000000" w:themeColor="text1"/>
                <w:sz w:val="21"/>
                <w:szCs w:val="21"/>
              </w:rPr>
              <w:t>1</w:t>
            </w:r>
            <w:r w:rsidRPr="00687B52">
              <w:rPr>
                <w:rFonts w:ascii="Arial" w:eastAsia="宋体" w:hAnsi="Arial" w:cs="Arial" w:hint="eastAsia"/>
                <w:color w:val="000000" w:themeColor="text1"/>
                <w:sz w:val="21"/>
                <w:szCs w:val="21"/>
              </w:rPr>
              <w:t>处：厂区消防用水量最大处</w:t>
            </w:r>
          </w:p>
        </w:tc>
      </w:tr>
      <w:tr w:rsidR="00481EDB" w:rsidRPr="00687B52" w:rsidTr="00B527D4">
        <w:trPr>
          <w:cantSplit/>
          <w:trHeight w:val="340"/>
          <w:jc w:val="center"/>
        </w:trPr>
        <w:tc>
          <w:tcPr>
            <w:tcW w:w="2228" w:type="dxa"/>
            <w:vAlign w:val="center"/>
          </w:tcPr>
          <w:p w:rsidR="00481EDB" w:rsidRPr="00687B52" w:rsidRDefault="00481EDB" w:rsidP="00B527D4">
            <w:pPr>
              <w:pStyle w:val="Default"/>
              <w:snapToGrid w:val="0"/>
              <w:jc w:val="both"/>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&gt;1000,000</w:t>
            </w:r>
          </w:p>
        </w:tc>
        <w:tc>
          <w:tcPr>
            <w:tcW w:w="7140" w:type="dxa"/>
            <w:vAlign w:val="center"/>
          </w:tcPr>
          <w:p w:rsidR="00481EDB" w:rsidRPr="00687B52" w:rsidRDefault="00481EDB" w:rsidP="00B527D4">
            <w:pPr>
              <w:pStyle w:val="Default"/>
              <w:snapToGrid w:val="0"/>
              <w:jc w:val="both"/>
              <w:rPr>
                <w:rFonts w:ascii="Arial" w:eastAsia="宋体" w:hAnsi="Arial" w:cs="Arial"/>
                <w:color w:val="000000" w:themeColor="text1"/>
                <w:sz w:val="21"/>
                <w:szCs w:val="21"/>
              </w:rPr>
            </w:pPr>
            <w:r w:rsidRPr="00687B52">
              <w:rPr>
                <w:rFonts w:ascii="Arial" w:eastAsia="宋体" w:hAnsi="Arial" w:cs="Arial"/>
                <w:color w:val="000000" w:themeColor="text1"/>
                <w:sz w:val="21"/>
                <w:szCs w:val="21"/>
              </w:rPr>
              <w:t>2</w:t>
            </w:r>
            <w:r w:rsidRPr="00687B52">
              <w:rPr>
                <w:rFonts w:ascii="Arial" w:eastAsia="宋体" w:hAnsi="Arial" w:cs="Arial" w:hint="eastAsia"/>
                <w:color w:val="000000" w:themeColor="text1"/>
                <w:sz w:val="21"/>
                <w:szCs w:val="21"/>
              </w:rPr>
              <w:t>处：一处为厂区消防用水量最大处，另一处为厂区辅助生产设施</w:t>
            </w:r>
          </w:p>
        </w:tc>
      </w:tr>
    </w:tbl>
    <w:p w:rsidR="00481EDB" w:rsidRPr="00687B52" w:rsidRDefault="00481EDB" w:rsidP="00481EDB">
      <w:pPr>
        <w:pStyle w:val="Default"/>
        <w:snapToGrid w:val="0"/>
        <w:spacing w:line="300" w:lineRule="auto"/>
        <w:jc w:val="center"/>
        <w:rPr>
          <w:rFonts w:ascii="Times New Roman" w:eastAsia="宋体" w:cs="Times New Roman"/>
          <w:b/>
          <w:color w:val="000000" w:themeColor="text1"/>
          <w:kern w:val="2"/>
        </w:rPr>
      </w:pPr>
    </w:p>
    <w:p w:rsidR="00481EDB" w:rsidRPr="00687B52" w:rsidRDefault="00481EDB" w:rsidP="00856B6C">
      <w:pPr>
        <w:pStyle w:val="afd"/>
        <w:rPr>
          <w:color w:val="000000" w:themeColor="text1"/>
        </w:rPr>
      </w:pPr>
      <w:bookmarkStart w:id="200" w:name="_Toc491870825"/>
      <w:bookmarkStart w:id="201" w:name="_Toc492563480"/>
      <w:bookmarkStart w:id="202" w:name="_Toc493857081"/>
      <w:r w:rsidRPr="00687B52">
        <w:rPr>
          <w:rFonts w:hint="eastAsia"/>
          <w:color w:val="000000" w:themeColor="text1"/>
        </w:rPr>
        <w:t>表</w:t>
      </w:r>
      <w:r w:rsidRPr="00687B52">
        <w:rPr>
          <w:rFonts w:hint="eastAsia"/>
          <w:color w:val="000000" w:themeColor="text1"/>
        </w:rPr>
        <w:t xml:space="preserve">8.4.3 </w:t>
      </w:r>
      <w:r w:rsidRPr="00687B52">
        <w:rPr>
          <w:rFonts w:hint="eastAsia"/>
          <w:color w:val="000000" w:themeColor="text1"/>
        </w:rPr>
        <w:t>工艺装置消防用水量表（</w:t>
      </w:r>
      <w:r w:rsidRPr="00687B52">
        <w:rPr>
          <w:color w:val="000000" w:themeColor="text1"/>
        </w:rPr>
        <w:t>L/s</w:t>
      </w:r>
      <w:r w:rsidRPr="00687B52">
        <w:rPr>
          <w:rFonts w:hint="eastAsia"/>
          <w:color w:val="000000" w:themeColor="text1"/>
        </w:rPr>
        <w:t>）</w:t>
      </w:r>
      <w:bookmarkEnd w:id="200"/>
      <w:bookmarkEnd w:id="201"/>
      <w:bookmarkEnd w:id="202"/>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7"/>
        <w:gridCol w:w="3095"/>
        <w:gridCol w:w="3096"/>
      </w:tblGrid>
      <w:tr w:rsidR="00481EDB" w:rsidRPr="00687B52" w:rsidTr="00B527D4">
        <w:trPr>
          <w:cantSplit/>
          <w:trHeight w:val="284"/>
          <w:jc w:val="center"/>
        </w:trPr>
        <w:tc>
          <w:tcPr>
            <w:tcW w:w="2987" w:type="dxa"/>
            <w:vMerge w:val="restart"/>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宋体" w:cs="Arial"/>
                <w:color w:val="000000" w:themeColor="text1"/>
              </w:rPr>
              <w:t>装置类型</w:t>
            </w:r>
          </w:p>
        </w:tc>
        <w:tc>
          <w:tcPr>
            <w:tcW w:w="6191" w:type="dxa"/>
            <w:gridSpan w:val="2"/>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宋体" w:cs="Arial"/>
                <w:color w:val="000000" w:themeColor="text1"/>
                <w:sz w:val="21"/>
                <w:szCs w:val="21"/>
              </w:rPr>
              <w:t>装置规模</w:t>
            </w:r>
          </w:p>
        </w:tc>
      </w:tr>
      <w:tr w:rsidR="00481EDB" w:rsidRPr="00687B52" w:rsidTr="00B527D4">
        <w:trPr>
          <w:cantSplit/>
          <w:trHeight w:val="284"/>
          <w:jc w:val="center"/>
        </w:trPr>
        <w:tc>
          <w:tcPr>
            <w:tcW w:w="2987" w:type="dxa"/>
            <w:vMerge/>
            <w:vAlign w:val="center"/>
          </w:tcPr>
          <w:p w:rsidR="00481EDB" w:rsidRPr="00687B52" w:rsidRDefault="00481EDB" w:rsidP="00B527D4">
            <w:pPr>
              <w:pStyle w:val="Default"/>
              <w:snapToGrid w:val="0"/>
              <w:jc w:val="center"/>
              <w:rPr>
                <w:rFonts w:ascii="Arial" w:eastAsia="宋体" w:hAnsi="Arial" w:cs="Arial"/>
                <w:color w:val="000000" w:themeColor="text1"/>
              </w:rPr>
            </w:pPr>
          </w:p>
        </w:tc>
        <w:tc>
          <w:tcPr>
            <w:tcW w:w="3095"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宋体" w:cs="Arial"/>
                <w:color w:val="000000" w:themeColor="text1"/>
                <w:sz w:val="21"/>
                <w:szCs w:val="21"/>
              </w:rPr>
              <w:t>中型</w:t>
            </w:r>
          </w:p>
        </w:tc>
        <w:tc>
          <w:tcPr>
            <w:tcW w:w="3096"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宋体" w:cs="Arial"/>
                <w:color w:val="000000" w:themeColor="text1"/>
                <w:sz w:val="21"/>
                <w:szCs w:val="21"/>
              </w:rPr>
              <w:t>大型</w:t>
            </w:r>
          </w:p>
        </w:tc>
      </w:tr>
      <w:tr w:rsidR="00481EDB" w:rsidRPr="00687B52" w:rsidTr="00B527D4">
        <w:trPr>
          <w:cantSplit/>
          <w:trHeight w:val="284"/>
          <w:jc w:val="center"/>
        </w:trPr>
        <w:tc>
          <w:tcPr>
            <w:tcW w:w="2987" w:type="dxa"/>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宋体" w:cs="Arial"/>
                <w:color w:val="000000" w:themeColor="text1"/>
              </w:rPr>
              <w:t>石油化工</w:t>
            </w:r>
          </w:p>
        </w:tc>
        <w:tc>
          <w:tcPr>
            <w:tcW w:w="3095"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color w:val="000000" w:themeColor="text1"/>
                <w:sz w:val="21"/>
                <w:szCs w:val="21"/>
              </w:rPr>
              <w:t>150~300</w:t>
            </w:r>
          </w:p>
        </w:tc>
        <w:tc>
          <w:tcPr>
            <w:tcW w:w="3096"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300~600</w:t>
            </w:r>
          </w:p>
        </w:tc>
      </w:tr>
      <w:tr w:rsidR="00481EDB" w:rsidRPr="00687B52" w:rsidTr="00B527D4">
        <w:trPr>
          <w:cantSplit/>
          <w:trHeight w:val="284"/>
          <w:jc w:val="center"/>
        </w:trPr>
        <w:tc>
          <w:tcPr>
            <w:tcW w:w="2987" w:type="dxa"/>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宋体" w:cs="Arial"/>
                <w:color w:val="000000" w:themeColor="text1"/>
              </w:rPr>
              <w:t>炼油</w:t>
            </w:r>
          </w:p>
        </w:tc>
        <w:tc>
          <w:tcPr>
            <w:tcW w:w="3095"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color w:val="000000" w:themeColor="text1"/>
                <w:sz w:val="21"/>
                <w:szCs w:val="21"/>
              </w:rPr>
              <w:t>150~</w:t>
            </w:r>
            <w:r w:rsidRPr="00687B52">
              <w:rPr>
                <w:rFonts w:ascii="Arial" w:eastAsia="宋体" w:hAnsi="Arial" w:cs="Arial" w:hint="eastAsia"/>
                <w:color w:val="000000" w:themeColor="text1"/>
                <w:sz w:val="21"/>
                <w:szCs w:val="21"/>
              </w:rPr>
              <w:t>2</w:t>
            </w:r>
            <w:r w:rsidRPr="00687B52">
              <w:rPr>
                <w:rFonts w:ascii="Arial" w:eastAsia="宋体" w:hAnsi="Arial" w:cs="Arial"/>
                <w:color w:val="000000" w:themeColor="text1"/>
                <w:sz w:val="21"/>
                <w:szCs w:val="21"/>
              </w:rPr>
              <w:t>30</w:t>
            </w:r>
          </w:p>
        </w:tc>
        <w:tc>
          <w:tcPr>
            <w:tcW w:w="3096"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23</w:t>
            </w:r>
            <w:r w:rsidRPr="00687B52">
              <w:rPr>
                <w:rFonts w:ascii="Arial" w:eastAsia="宋体" w:hAnsi="Arial" w:cs="Arial"/>
                <w:color w:val="000000" w:themeColor="text1"/>
                <w:sz w:val="21"/>
                <w:szCs w:val="21"/>
              </w:rPr>
              <w:t>0~</w:t>
            </w:r>
            <w:r w:rsidRPr="00687B52">
              <w:rPr>
                <w:rFonts w:ascii="Arial" w:eastAsia="宋体" w:hAnsi="Arial" w:cs="Arial" w:hint="eastAsia"/>
                <w:color w:val="000000" w:themeColor="text1"/>
                <w:sz w:val="21"/>
                <w:szCs w:val="21"/>
              </w:rPr>
              <w:t>45</w:t>
            </w:r>
            <w:r w:rsidRPr="00687B52">
              <w:rPr>
                <w:rFonts w:ascii="Arial" w:eastAsia="宋体" w:hAnsi="Arial" w:cs="Arial"/>
                <w:color w:val="000000" w:themeColor="text1"/>
                <w:sz w:val="21"/>
                <w:szCs w:val="21"/>
              </w:rPr>
              <w:t>0</w:t>
            </w:r>
          </w:p>
        </w:tc>
      </w:tr>
      <w:tr w:rsidR="00481EDB" w:rsidRPr="00687B52" w:rsidTr="00B527D4">
        <w:trPr>
          <w:cantSplit/>
          <w:trHeight w:val="284"/>
          <w:jc w:val="center"/>
        </w:trPr>
        <w:tc>
          <w:tcPr>
            <w:tcW w:w="2987" w:type="dxa"/>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宋体" w:cs="Arial"/>
                <w:color w:val="000000" w:themeColor="text1"/>
              </w:rPr>
              <w:t>合成氨及氨加工</w:t>
            </w:r>
          </w:p>
        </w:tc>
        <w:tc>
          <w:tcPr>
            <w:tcW w:w="3095"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9</w:t>
            </w:r>
            <w:r w:rsidRPr="00687B52">
              <w:rPr>
                <w:rFonts w:ascii="Arial" w:eastAsia="宋体" w:hAnsi="Arial" w:cs="Arial"/>
                <w:color w:val="000000" w:themeColor="text1"/>
                <w:sz w:val="21"/>
                <w:szCs w:val="21"/>
              </w:rPr>
              <w:t>0~</w:t>
            </w:r>
            <w:r w:rsidRPr="00687B52">
              <w:rPr>
                <w:rFonts w:ascii="Arial" w:eastAsia="宋体" w:hAnsi="Arial" w:cs="Arial" w:hint="eastAsia"/>
                <w:color w:val="000000" w:themeColor="text1"/>
                <w:sz w:val="21"/>
                <w:szCs w:val="21"/>
              </w:rPr>
              <w:t>12</w:t>
            </w:r>
            <w:r w:rsidRPr="00687B52">
              <w:rPr>
                <w:rFonts w:ascii="Arial" w:eastAsia="宋体" w:hAnsi="Arial" w:cs="Arial"/>
                <w:color w:val="000000" w:themeColor="text1"/>
                <w:sz w:val="21"/>
                <w:szCs w:val="21"/>
              </w:rPr>
              <w:t>0</w:t>
            </w:r>
          </w:p>
        </w:tc>
        <w:tc>
          <w:tcPr>
            <w:tcW w:w="3096"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12</w:t>
            </w:r>
            <w:r w:rsidRPr="00687B52">
              <w:rPr>
                <w:rFonts w:ascii="Arial" w:eastAsia="宋体" w:hAnsi="Arial" w:cs="Arial"/>
                <w:color w:val="000000" w:themeColor="text1"/>
                <w:sz w:val="21"/>
                <w:szCs w:val="21"/>
              </w:rPr>
              <w:t>0~</w:t>
            </w:r>
            <w:r w:rsidRPr="00687B52">
              <w:rPr>
                <w:rFonts w:ascii="Arial" w:eastAsia="宋体" w:hAnsi="Arial" w:cs="Arial" w:hint="eastAsia"/>
                <w:color w:val="000000" w:themeColor="text1"/>
                <w:sz w:val="21"/>
                <w:szCs w:val="21"/>
              </w:rPr>
              <w:t>20</w:t>
            </w:r>
            <w:r w:rsidRPr="00687B52">
              <w:rPr>
                <w:rFonts w:ascii="Arial" w:eastAsia="宋体" w:hAnsi="Arial" w:cs="Arial"/>
                <w:color w:val="000000" w:themeColor="text1"/>
                <w:sz w:val="21"/>
                <w:szCs w:val="21"/>
              </w:rPr>
              <w:t>0</w:t>
            </w:r>
          </w:p>
        </w:tc>
      </w:tr>
    </w:tbl>
    <w:p w:rsidR="00481EDB" w:rsidRPr="00687B52" w:rsidRDefault="00481EDB" w:rsidP="00481EDB">
      <w:pPr>
        <w:adjustRightInd w:val="0"/>
        <w:snapToGrid w:val="0"/>
        <w:spacing w:line="300" w:lineRule="auto"/>
        <w:jc w:val="center"/>
        <w:rPr>
          <w:rFonts w:ascii="Times New Roman" w:hAnsi="Times New Roman"/>
          <w:b/>
          <w:color w:val="000000" w:themeColor="text1"/>
          <w:sz w:val="24"/>
          <w:szCs w:val="24"/>
        </w:rPr>
      </w:pPr>
    </w:p>
    <w:p w:rsidR="00481EDB" w:rsidRPr="00687B52" w:rsidRDefault="00481EDB" w:rsidP="00856B6C">
      <w:pPr>
        <w:pStyle w:val="afd"/>
        <w:rPr>
          <w:color w:val="000000" w:themeColor="text1"/>
        </w:rPr>
      </w:pPr>
      <w:bookmarkStart w:id="203" w:name="_Toc491870826"/>
      <w:bookmarkStart w:id="204" w:name="_Toc492563481"/>
      <w:bookmarkStart w:id="205" w:name="_Toc493857082"/>
      <w:r w:rsidRPr="00687B52">
        <w:rPr>
          <w:rFonts w:hint="eastAsia"/>
          <w:color w:val="000000" w:themeColor="text1"/>
        </w:rPr>
        <w:t>表</w:t>
      </w:r>
      <w:r w:rsidRPr="00687B52">
        <w:rPr>
          <w:rFonts w:hint="eastAsia"/>
          <w:color w:val="000000" w:themeColor="text1"/>
        </w:rPr>
        <w:t xml:space="preserve">8.4.5 </w:t>
      </w:r>
      <w:r w:rsidRPr="00687B52">
        <w:rPr>
          <w:color w:val="000000" w:themeColor="text1"/>
        </w:rPr>
        <w:t>消防冷却水的供水范围和供水强度</w:t>
      </w:r>
      <w:bookmarkEnd w:id="203"/>
      <w:bookmarkEnd w:id="204"/>
      <w:bookmarkEnd w:id="205"/>
    </w:p>
    <w:tbl>
      <w:tblPr>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1027"/>
        <w:gridCol w:w="2076"/>
        <w:gridCol w:w="2042"/>
        <w:gridCol w:w="1785"/>
        <w:gridCol w:w="945"/>
      </w:tblGrid>
      <w:tr w:rsidR="00481EDB" w:rsidRPr="00687B52" w:rsidTr="00B527D4">
        <w:trPr>
          <w:cantSplit/>
          <w:trHeight w:val="340"/>
          <w:tblHeader/>
          <w:jc w:val="center"/>
        </w:trPr>
        <w:tc>
          <w:tcPr>
            <w:tcW w:w="1263"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项目</w:t>
            </w:r>
          </w:p>
        </w:tc>
        <w:tc>
          <w:tcPr>
            <w:tcW w:w="3103" w:type="dxa"/>
            <w:gridSpan w:val="2"/>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p>
        </w:tc>
        <w:tc>
          <w:tcPr>
            <w:tcW w:w="2042"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供水范围</w:t>
            </w:r>
          </w:p>
        </w:tc>
        <w:tc>
          <w:tcPr>
            <w:tcW w:w="1785"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供水强度</w:t>
            </w:r>
          </w:p>
        </w:tc>
        <w:tc>
          <w:tcPr>
            <w:tcW w:w="945"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附注</w:t>
            </w:r>
          </w:p>
        </w:tc>
      </w:tr>
      <w:tr w:rsidR="00481EDB" w:rsidRPr="00687B52" w:rsidTr="00B527D4">
        <w:trPr>
          <w:cantSplit/>
          <w:trHeight w:val="340"/>
          <w:jc w:val="center"/>
        </w:trPr>
        <w:tc>
          <w:tcPr>
            <w:tcW w:w="1263" w:type="dxa"/>
            <w:vMerge w:val="restart"/>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移动式水枪冷却</w:t>
            </w:r>
          </w:p>
        </w:tc>
        <w:tc>
          <w:tcPr>
            <w:tcW w:w="1027" w:type="dxa"/>
            <w:vMerge w:val="restart"/>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着火罐</w:t>
            </w:r>
          </w:p>
        </w:tc>
        <w:tc>
          <w:tcPr>
            <w:tcW w:w="2076"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固定顶罐</w:t>
            </w:r>
          </w:p>
        </w:tc>
        <w:tc>
          <w:tcPr>
            <w:tcW w:w="2042"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罐周全长</w:t>
            </w:r>
          </w:p>
        </w:tc>
        <w:tc>
          <w:tcPr>
            <w:tcW w:w="1785"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0.8L/s</w:t>
            </w:r>
            <w:r w:rsidRPr="00687B52">
              <w:rPr>
                <w:rFonts w:ascii="Arial" w:eastAsia="宋体" w:hAnsi="Arial" w:cs="Arial"/>
                <w:color w:val="000000" w:themeColor="text1"/>
                <w:sz w:val="21"/>
                <w:szCs w:val="21"/>
              </w:rPr>
              <w:t>·</w:t>
            </w:r>
            <w:r w:rsidRPr="00687B52">
              <w:rPr>
                <w:rFonts w:ascii="Arial" w:eastAsia="宋体" w:hAnsi="Arial" w:cs="Arial" w:hint="eastAsia"/>
                <w:color w:val="000000" w:themeColor="text1"/>
                <w:sz w:val="21"/>
                <w:szCs w:val="21"/>
              </w:rPr>
              <w:t>m</w:t>
            </w:r>
          </w:p>
        </w:tc>
        <w:tc>
          <w:tcPr>
            <w:tcW w:w="945"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w:t>
            </w:r>
          </w:p>
        </w:tc>
      </w:tr>
      <w:tr w:rsidR="00481EDB" w:rsidRPr="00687B52" w:rsidTr="00B527D4">
        <w:trPr>
          <w:cantSplit/>
          <w:trHeight w:val="340"/>
          <w:jc w:val="center"/>
        </w:trPr>
        <w:tc>
          <w:tcPr>
            <w:tcW w:w="1263" w:type="dxa"/>
            <w:vMerge/>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p>
        </w:tc>
        <w:tc>
          <w:tcPr>
            <w:tcW w:w="1027" w:type="dxa"/>
            <w:vMerge/>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p>
        </w:tc>
        <w:tc>
          <w:tcPr>
            <w:tcW w:w="2076"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浮顶罐、内浮顶罐</w:t>
            </w:r>
          </w:p>
        </w:tc>
        <w:tc>
          <w:tcPr>
            <w:tcW w:w="2042"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罐周全长</w:t>
            </w:r>
          </w:p>
        </w:tc>
        <w:tc>
          <w:tcPr>
            <w:tcW w:w="1785"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0.6L/s</w:t>
            </w:r>
            <w:r w:rsidRPr="00687B52">
              <w:rPr>
                <w:rFonts w:ascii="Arial" w:eastAsia="宋体" w:hAnsi="Arial" w:cs="Arial"/>
                <w:color w:val="000000" w:themeColor="text1"/>
                <w:sz w:val="21"/>
                <w:szCs w:val="21"/>
              </w:rPr>
              <w:t>·</w:t>
            </w:r>
            <w:r w:rsidRPr="00687B52">
              <w:rPr>
                <w:rFonts w:ascii="Arial" w:eastAsia="宋体" w:hAnsi="Arial" w:cs="Arial" w:hint="eastAsia"/>
                <w:color w:val="000000" w:themeColor="text1"/>
                <w:sz w:val="21"/>
                <w:szCs w:val="21"/>
              </w:rPr>
              <w:t>m</w:t>
            </w:r>
          </w:p>
        </w:tc>
        <w:tc>
          <w:tcPr>
            <w:tcW w:w="945"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注</w:t>
            </w:r>
            <w:r w:rsidRPr="00687B52">
              <w:rPr>
                <w:rFonts w:ascii="Arial" w:eastAsia="宋体" w:hAnsi="Arial" w:cs="Arial" w:hint="eastAsia"/>
                <w:color w:val="000000" w:themeColor="text1"/>
                <w:sz w:val="21"/>
                <w:szCs w:val="21"/>
              </w:rPr>
              <w:t>1</w:t>
            </w:r>
            <w:r w:rsidRPr="00687B52">
              <w:rPr>
                <w:rFonts w:ascii="Arial" w:eastAsia="宋体" w:hAnsi="Arial" w:cs="Arial" w:hint="eastAsia"/>
                <w:color w:val="000000" w:themeColor="text1"/>
                <w:sz w:val="21"/>
                <w:szCs w:val="21"/>
              </w:rPr>
              <w:t>、</w:t>
            </w:r>
            <w:r w:rsidRPr="00687B52">
              <w:rPr>
                <w:rFonts w:ascii="Arial" w:eastAsia="宋体" w:hAnsi="Arial" w:cs="Arial" w:hint="eastAsia"/>
                <w:color w:val="000000" w:themeColor="text1"/>
                <w:sz w:val="21"/>
                <w:szCs w:val="21"/>
              </w:rPr>
              <w:t>2</w:t>
            </w:r>
          </w:p>
        </w:tc>
      </w:tr>
      <w:tr w:rsidR="00481EDB" w:rsidRPr="00687B52" w:rsidTr="00B527D4">
        <w:trPr>
          <w:cantSplit/>
          <w:trHeight w:val="340"/>
          <w:jc w:val="center"/>
        </w:trPr>
        <w:tc>
          <w:tcPr>
            <w:tcW w:w="1263" w:type="dxa"/>
            <w:vMerge/>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p>
        </w:tc>
        <w:tc>
          <w:tcPr>
            <w:tcW w:w="3103" w:type="dxa"/>
            <w:gridSpan w:val="2"/>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邻近罐</w:t>
            </w:r>
          </w:p>
        </w:tc>
        <w:tc>
          <w:tcPr>
            <w:tcW w:w="2042"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罐周全长</w:t>
            </w:r>
          </w:p>
        </w:tc>
        <w:tc>
          <w:tcPr>
            <w:tcW w:w="1785"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0.7L/s</w:t>
            </w:r>
            <w:r w:rsidRPr="00687B52">
              <w:rPr>
                <w:rFonts w:ascii="Arial" w:eastAsia="宋体" w:hAnsi="Arial" w:cs="Arial"/>
                <w:color w:val="000000" w:themeColor="text1"/>
                <w:sz w:val="21"/>
                <w:szCs w:val="21"/>
              </w:rPr>
              <w:t>·</w:t>
            </w:r>
            <w:r w:rsidRPr="00687B52">
              <w:rPr>
                <w:rFonts w:ascii="Arial" w:eastAsia="宋体" w:hAnsi="Arial" w:cs="Arial" w:hint="eastAsia"/>
                <w:color w:val="000000" w:themeColor="text1"/>
                <w:sz w:val="21"/>
                <w:szCs w:val="21"/>
              </w:rPr>
              <w:t>m</w:t>
            </w:r>
          </w:p>
        </w:tc>
        <w:tc>
          <w:tcPr>
            <w:tcW w:w="945"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w:t>
            </w:r>
          </w:p>
        </w:tc>
      </w:tr>
      <w:tr w:rsidR="00481EDB" w:rsidRPr="00687B52" w:rsidTr="00B527D4">
        <w:trPr>
          <w:cantSplit/>
          <w:trHeight w:val="340"/>
          <w:jc w:val="center"/>
        </w:trPr>
        <w:tc>
          <w:tcPr>
            <w:tcW w:w="1263" w:type="dxa"/>
            <w:vMerge w:val="restart"/>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固定式冷却</w:t>
            </w:r>
          </w:p>
        </w:tc>
        <w:tc>
          <w:tcPr>
            <w:tcW w:w="1027" w:type="dxa"/>
            <w:vMerge w:val="restart"/>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着火罐</w:t>
            </w:r>
          </w:p>
        </w:tc>
        <w:tc>
          <w:tcPr>
            <w:tcW w:w="2076"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固定顶罐</w:t>
            </w:r>
          </w:p>
        </w:tc>
        <w:tc>
          <w:tcPr>
            <w:tcW w:w="2042"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罐壁表面积</w:t>
            </w:r>
          </w:p>
        </w:tc>
        <w:tc>
          <w:tcPr>
            <w:tcW w:w="1785"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vertAlign w:val="superscript"/>
              </w:rPr>
            </w:pPr>
            <w:r w:rsidRPr="00687B52">
              <w:rPr>
                <w:rFonts w:ascii="Arial" w:eastAsia="宋体" w:hAnsi="Arial" w:cs="Arial" w:hint="eastAsia"/>
                <w:color w:val="000000" w:themeColor="text1"/>
                <w:sz w:val="21"/>
                <w:szCs w:val="21"/>
              </w:rPr>
              <w:t>2.5L/min</w:t>
            </w:r>
            <w:r w:rsidRPr="00687B52">
              <w:rPr>
                <w:rFonts w:ascii="Arial" w:eastAsia="宋体" w:hAnsi="Arial" w:cs="Arial"/>
                <w:color w:val="000000" w:themeColor="text1"/>
                <w:sz w:val="21"/>
                <w:szCs w:val="21"/>
              </w:rPr>
              <w:t>·</w:t>
            </w:r>
            <w:r w:rsidRPr="00687B52">
              <w:rPr>
                <w:rFonts w:ascii="Arial" w:eastAsia="宋体" w:hAnsi="Arial" w:cs="Arial" w:hint="eastAsia"/>
                <w:color w:val="000000" w:themeColor="text1"/>
                <w:sz w:val="21"/>
                <w:szCs w:val="21"/>
              </w:rPr>
              <w:t>m</w:t>
            </w:r>
            <w:r w:rsidRPr="00687B52">
              <w:rPr>
                <w:rFonts w:ascii="Arial" w:eastAsia="宋体" w:hAnsi="Arial" w:cs="Arial" w:hint="eastAsia"/>
                <w:color w:val="000000" w:themeColor="text1"/>
                <w:sz w:val="21"/>
                <w:szCs w:val="21"/>
                <w:vertAlign w:val="superscript"/>
              </w:rPr>
              <w:t>2</w:t>
            </w:r>
          </w:p>
        </w:tc>
        <w:tc>
          <w:tcPr>
            <w:tcW w:w="945"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w:t>
            </w:r>
          </w:p>
        </w:tc>
      </w:tr>
      <w:tr w:rsidR="00481EDB" w:rsidRPr="00687B52" w:rsidTr="00B527D4">
        <w:trPr>
          <w:cantSplit/>
          <w:trHeight w:val="340"/>
          <w:jc w:val="center"/>
        </w:trPr>
        <w:tc>
          <w:tcPr>
            <w:tcW w:w="1263" w:type="dxa"/>
            <w:vMerge/>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p>
        </w:tc>
        <w:tc>
          <w:tcPr>
            <w:tcW w:w="1027" w:type="dxa"/>
            <w:vMerge/>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p>
        </w:tc>
        <w:tc>
          <w:tcPr>
            <w:tcW w:w="2076"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浮顶罐、内浮顶罐</w:t>
            </w:r>
          </w:p>
        </w:tc>
        <w:tc>
          <w:tcPr>
            <w:tcW w:w="2042"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罐壁表面积</w:t>
            </w:r>
          </w:p>
        </w:tc>
        <w:tc>
          <w:tcPr>
            <w:tcW w:w="1785"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2.0L/min</w:t>
            </w:r>
            <w:r w:rsidRPr="00687B52">
              <w:rPr>
                <w:rFonts w:ascii="Arial" w:eastAsia="宋体" w:hAnsi="Arial" w:cs="Arial"/>
                <w:color w:val="000000" w:themeColor="text1"/>
                <w:sz w:val="21"/>
                <w:szCs w:val="21"/>
              </w:rPr>
              <w:t>·</w:t>
            </w:r>
            <w:r w:rsidRPr="00687B52">
              <w:rPr>
                <w:rFonts w:ascii="Arial" w:eastAsia="宋体" w:hAnsi="Arial" w:cs="Arial" w:hint="eastAsia"/>
                <w:color w:val="000000" w:themeColor="text1"/>
                <w:sz w:val="21"/>
                <w:szCs w:val="21"/>
              </w:rPr>
              <w:t>m</w:t>
            </w:r>
            <w:r w:rsidRPr="00687B52">
              <w:rPr>
                <w:rFonts w:ascii="Arial" w:eastAsia="宋体" w:hAnsi="Arial" w:cs="Arial" w:hint="eastAsia"/>
                <w:color w:val="000000" w:themeColor="text1"/>
                <w:sz w:val="21"/>
                <w:szCs w:val="21"/>
                <w:vertAlign w:val="superscript"/>
              </w:rPr>
              <w:t>2</w:t>
            </w:r>
          </w:p>
        </w:tc>
        <w:tc>
          <w:tcPr>
            <w:tcW w:w="945"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注</w:t>
            </w:r>
            <w:r w:rsidRPr="00687B52">
              <w:rPr>
                <w:rFonts w:ascii="Arial" w:eastAsia="宋体" w:hAnsi="Arial" w:cs="Arial" w:hint="eastAsia"/>
                <w:color w:val="000000" w:themeColor="text1"/>
                <w:sz w:val="21"/>
                <w:szCs w:val="21"/>
              </w:rPr>
              <w:t>1</w:t>
            </w:r>
            <w:r w:rsidRPr="00687B52">
              <w:rPr>
                <w:rFonts w:ascii="Arial" w:eastAsia="宋体" w:hAnsi="Arial" w:cs="Arial" w:hint="eastAsia"/>
                <w:color w:val="000000" w:themeColor="text1"/>
                <w:sz w:val="21"/>
                <w:szCs w:val="21"/>
              </w:rPr>
              <w:t>、</w:t>
            </w:r>
            <w:r w:rsidRPr="00687B52">
              <w:rPr>
                <w:rFonts w:ascii="Arial" w:eastAsia="宋体" w:hAnsi="Arial" w:cs="Arial" w:hint="eastAsia"/>
                <w:color w:val="000000" w:themeColor="text1"/>
                <w:sz w:val="21"/>
                <w:szCs w:val="21"/>
              </w:rPr>
              <w:t>2</w:t>
            </w:r>
          </w:p>
        </w:tc>
      </w:tr>
      <w:tr w:rsidR="00481EDB" w:rsidRPr="00687B52" w:rsidTr="00B527D4">
        <w:trPr>
          <w:cantSplit/>
          <w:trHeight w:val="340"/>
          <w:jc w:val="center"/>
        </w:trPr>
        <w:tc>
          <w:tcPr>
            <w:tcW w:w="1263" w:type="dxa"/>
            <w:vMerge/>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p>
        </w:tc>
        <w:tc>
          <w:tcPr>
            <w:tcW w:w="3103" w:type="dxa"/>
            <w:gridSpan w:val="2"/>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邻近罐</w:t>
            </w:r>
          </w:p>
        </w:tc>
        <w:tc>
          <w:tcPr>
            <w:tcW w:w="2042"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罐壁表面积的</w:t>
            </w:r>
            <w:r w:rsidRPr="00687B52">
              <w:rPr>
                <w:rFonts w:ascii="Arial" w:eastAsia="宋体" w:hAnsi="Arial" w:cs="Arial" w:hint="eastAsia"/>
                <w:color w:val="000000" w:themeColor="text1"/>
                <w:sz w:val="21"/>
                <w:szCs w:val="21"/>
              </w:rPr>
              <w:t>1/2</w:t>
            </w:r>
          </w:p>
        </w:tc>
        <w:tc>
          <w:tcPr>
            <w:tcW w:w="1785"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与着火罐相同</w:t>
            </w:r>
          </w:p>
        </w:tc>
        <w:tc>
          <w:tcPr>
            <w:tcW w:w="945" w:type="dxa"/>
            <w:vAlign w:val="center"/>
          </w:tcPr>
          <w:p w:rsidR="00481EDB" w:rsidRPr="00687B52" w:rsidRDefault="00481EDB" w:rsidP="00B527D4">
            <w:pPr>
              <w:pStyle w:val="Default"/>
              <w:snapToGrid w:val="0"/>
              <w:jc w:val="center"/>
              <w:rPr>
                <w:rFonts w:ascii="Arial" w:eastAsia="宋体" w:hAnsi="Arial" w:cs="Arial"/>
                <w:color w:val="000000" w:themeColor="text1"/>
                <w:sz w:val="21"/>
                <w:szCs w:val="21"/>
              </w:rPr>
            </w:pPr>
            <w:r w:rsidRPr="00687B52">
              <w:rPr>
                <w:rFonts w:ascii="Arial" w:eastAsia="宋体" w:hAnsi="Arial" w:cs="Arial" w:hint="eastAsia"/>
                <w:color w:val="000000" w:themeColor="text1"/>
                <w:sz w:val="21"/>
                <w:szCs w:val="21"/>
              </w:rPr>
              <w:t>注</w:t>
            </w:r>
            <w:r w:rsidRPr="00687B52">
              <w:rPr>
                <w:rFonts w:ascii="Arial" w:eastAsia="宋体" w:hAnsi="Arial" w:cs="Arial" w:hint="eastAsia"/>
                <w:color w:val="000000" w:themeColor="text1"/>
                <w:sz w:val="21"/>
                <w:szCs w:val="21"/>
              </w:rPr>
              <w:t>3</w:t>
            </w:r>
          </w:p>
        </w:tc>
      </w:tr>
    </w:tbl>
    <w:p w:rsidR="00481EDB" w:rsidRPr="00687B52" w:rsidRDefault="00481EDB" w:rsidP="00481EDB">
      <w:pPr>
        <w:pStyle w:val="Default"/>
        <w:snapToGrid w:val="0"/>
        <w:spacing w:line="300" w:lineRule="auto"/>
        <w:rPr>
          <w:rFonts w:ascii="Times New Roman" w:eastAsia="宋体" w:cs="Times New Roman"/>
          <w:color w:val="000000" w:themeColor="text1"/>
          <w:sz w:val="21"/>
          <w:szCs w:val="21"/>
        </w:rPr>
      </w:pPr>
      <w:r w:rsidRPr="00687B52">
        <w:rPr>
          <w:rFonts w:ascii="Times New Roman" w:eastAsia="宋体" w:hAnsi="宋体" w:cs="Times New Roman"/>
          <w:color w:val="000000" w:themeColor="text1"/>
          <w:sz w:val="21"/>
          <w:szCs w:val="21"/>
        </w:rPr>
        <w:t>注：</w:t>
      </w:r>
      <w:r w:rsidRPr="00687B52">
        <w:rPr>
          <w:rFonts w:ascii="Times New Roman" w:eastAsia="宋体" w:cs="Times New Roman"/>
          <w:color w:val="000000" w:themeColor="text1"/>
          <w:sz w:val="21"/>
          <w:szCs w:val="21"/>
        </w:rPr>
        <w:t xml:space="preserve">1. </w:t>
      </w:r>
      <w:r w:rsidRPr="00687B52">
        <w:rPr>
          <w:rFonts w:ascii="Times New Roman" w:eastAsia="宋体" w:hAnsi="宋体" w:cs="Times New Roman"/>
          <w:color w:val="000000" w:themeColor="text1"/>
          <w:sz w:val="21"/>
          <w:szCs w:val="21"/>
        </w:rPr>
        <w:t>浮盘用易熔材料制作的内浮顶罐按固定顶罐计算；</w:t>
      </w:r>
    </w:p>
    <w:p w:rsidR="00481EDB" w:rsidRPr="00687B52" w:rsidRDefault="00481EDB" w:rsidP="00481EDB">
      <w:pPr>
        <w:pStyle w:val="Default"/>
        <w:snapToGrid w:val="0"/>
        <w:spacing w:line="300" w:lineRule="auto"/>
        <w:ind w:firstLineChars="150" w:firstLine="315"/>
        <w:rPr>
          <w:rFonts w:ascii="Times New Roman" w:eastAsia="宋体" w:cs="Times New Roman"/>
          <w:color w:val="000000" w:themeColor="text1"/>
          <w:sz w:val="21"/>
          <w:szCs w:val="21"/>
        </w:rPr>
      </w:pPr>
      <w:r w:rsidRPr="00687B52">
        <w:rPr>
          <w:rFonts w:ascii="Times New Roman" w:eastAsia="宋体" w:cs="Times New Roman"/>
          <w:color w:val="000000" w:themeColor="text1"/>
          <w:sz w:val="21"/>
          <w:szCs w:val="21"/>
        </w:rPr>
        <w:t xml:space="preserve"> 2. </w:t>
      </w:r>
      <w:r w:rsidRPr="00687B52">
        <w:rPr>
          <w:rFonts w:ascii="Times New Roman" w:eastAsia="宋体" w:hAnsi="宋体" w:cs="Times New Roman"/>
          <w:color w:val="000000" w:themeColor="text1"/>
          <w:sz w:val="21"/>
          <w:szCs w:val="21"/>
        </w:rPr>
        <w:t>浅盘式内浮顶罐按固定顶罐计算；</w:t>
      </w:r>
    </w:p>
    <w:p w:rsidR="00481EDB" w:rsidRPr="00687B52" w:rsidRDefault="00481EDB" w:rsidP="00856B6C">
      <w:pPr>
        <w:pStyle w:val="Default"/>
        <w:snapToGrid w:val="0"/>
        <w:spacing w:line="300" w:lineRule="auto"/>
        <w:ind w:firstLineChars="200" w:firstLine="420"/>
        <w:rPr>
          <w:rFonts w:ascii="Times New Roman" w:eastAsia="宋体" w:hAnsi="宋体" w:cs="Times New Roman"/>
          <w:color w:val="000000" w:themeColor="text1"/>
          <w:sz w:val="21"/>
          <w:szCs w:val="21"/>
        </w:rPr>
      </w:pPr>
      <w:r w:rsidRPr="00687B52">
        <w:rPr>
          <w:rFonts w:ascii="Times New Roman" w:eastAsia="宋体" w:cs="Times New Roman"/>
          <w:color w:val="000000" w:themeColor="text1"/>
          <w:sz w:val="21"/>
          <w:szCs w:val="21"/>
        </w:rPr>
        <w:t xml:space="preserve">3. </w:t>
      </w:r>
      <w:r w:rsidRPr="00687B52">
        <w:rPr>
          <w:rFonts w:ascii="Times New Roman" w:eastAsia="宋体" w:hAnsi="宋体" w:cs="Times New Roman"/>
          <w:color w:val="000000" w:themeColor="text1"/>
          <w:sz w:val="21"/>
          <w:szCs w:val="21"/>
        </w:rPr>
        <w:t>按实际冷却面积计算，但不得小于罐壁表面积的</w:t>
      </w:r>
      <w:r w:rsidRPr="00687B52">
        <w:rPr>
          <w:rFonts w:ascii="Times New Roman" w:eastAsia="宋体" w:cs="Times New Roman"/>
          <w:color w:val="000000" w:themeColor="text1"/>
          <w:sz w:val="21"/>
          <w:szCs w:val="21"/>
        </w:rPr>
        <w:t>1/2</w:t>
      </w:r>
      <w:r w:rsidRPr="00687B52">
        <w:rPr>
          <w:rFonts w:ascii="Times New Roman" w:eastAsia="宋体" w:hAnsi="宋体" w:cs="Times New Roman"/>
          <w:color w:val="000000" w:themeColor="text1"/>
          <w:sz w:val="21"/>
          <w:szCs w:val="21"/>
        </w:rPr>
        <w:t>。</w:t>
      </w:r>
    </w:p>
    <w:p w:rsidR="00481EDB" w:rsidRPr="00687B52" w:rsidRDefault="00481EDB" w:rsidP="00856B6C">
      <w:pPr>
        <w:pStyle w:val="afd"/>
        <w:rPr>
          <w:color w:val="000000" w:themeColor="text1"/>
        </w:rPr>
      </w:pPr>
      <w:bookmarkStart w:id="206" w:name="_Toc491870827"/>
      <w:bookmarkStart w:id="207" w:name="_Toc492563482"/>
      <w:bookmarkStart w:id="208" w:name="_Toc493857083"/>
      <w:r w:rsidRPr="00687B52">
        <w:rPr>
          <w:rFonts w:hint="eastAsia"/>
          <w:color w:val="000000" w:themeColor="text1"/>
        </w:rPr>
        <w:t>表</w:t>
      </w:r>
      <w:r w:rsidRPr="00687B52">
        <w:rPr>
          <w:rFonts w:hint="eastAsia"/>
          <w:color w:val="000000" w:themeColor="text1"/>
        </w:rPr>
        <w:t xml:space="preserve">8.9.2 </w:t>
      </w:r>
      <w:r w:rsidRPr="00687B52">
        <w:rPr>
          <w:rFonts w:hint="eastAsia"/>
          <w:color w:val="000000" w:themeColor="text1"/>
        </w:rPr>
        <w:t>灭火器的规格</w:t>
      </w:r>
      <w:bookmarkEnd w:id="206"/>
      <w:bookmarkEnd w:id="207"/>
      <w:bookmarkEnd w:id="208"/>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3"/>
        <w:gridCol w:w="1267"/>
        <w:gridCol w:w="1161"/>
        <w:gridCol w:w="1161"/>
        <w:gridCol w:w="1161"/>
        <w:gridCol w:w="1161"/>
        <w:gridCol w:w="1161"/>
        <w:gridCol w:w="1161"/>
      </w:tblGrid>
      <w:tr w:rsidR="00481EDB" w:rsidRPr="00687B52" w:rsidTr="00B527D4">
        <w:trPr>
          <w:cantSplit/>
          <w:trHeight w:val="340"/>
          <w:jc w:val="center"/>
        </w:trPr>
        <w:tc>
          <w:tcPr>
            <w:tcW w:w="2320" w:type="dxa"/>
            <w:gridSpan w:val="2"/>
            <w:vMerge w:val="restart"/>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灭火器类型</w:t>
            </w:r>
          </w:p>
        </w:tc>
        <w:tc>
          <w:tcPr>
            <w:tcW w:w="2322" w:type="dxa"/>
            <w:gridSpan w:val="2"/>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干粉型</w:t>
            </w:r>
          </w:p>
        </w:tc>
        <w:tc>
          <w:tcPr>
            <w:tcW w:w="2322" w:type="dxa"/>
            <w:gridSpan w:val="2"/>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泡沫型</w:t>
            </w:r>
          </w:p>
        </w:tc>
        <w:tc>
          <w:tcPr>
            <w:tcW w:w="2322" w:type="dxa"/>
            <w:gridSpan w:val="2"/>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二氧化碳</w:t>
            </w:r>
          </w:p>
        </w:tc>
      </w:tr>
      <w:tr w:rsidR="00481EDB" w:rsidRPr="00687B52" w:rsidTr="00B527D4">
        <w:trPr>
          <w:cantSplit/>
          <w:trHeight w:val="340"/>
          <w:jc w:val="center"/>
        </w:trPr>
        <w:tc>
          <w:tcPr>
            <w:tcW w:w="2320" w:type="dxa"/>
            <w:gridSpan w:val="2"/>
            <w:vMerge/>
            <w:vAlign w:val="center"/>
          </w:tcPr>
          <w:p w:rsidR="00481EDB" w:rsidRPr="00687B52" w:rsidRDefault="00481EDB" w:rsidP="00B527D4">
            <w:pPr>
              <w:pStyle w:val="Default"/>
              <w:snapToGrid w:val="0"/>
              <w:jc w:val="center"/>
              <w:rPr>
                <w:rFonts w:ascii="Arial" w:eastAsia="宋体" w:hAnsi="Arial" w:cs="Arial"/>
                <w:color w:val="000000" w:themeColor="text1"/>
              </w:rPr>
            </w:pPr>
          </w:p>
        </w:tc>
        <w:tc>
          <w:tcPr>
            <w:tcW w:w="1161" w:type="dxa"/>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手提式</w:t>
            </w:r>
          </w:p>
        </w:tc>
        <w:tc>
          <w:tcPr>
            <w:tcW w:w="1161" w:type="dxa"/>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推车式</w:t>
            </w:r>
          </w:p>
        </w:tc>
        <w:tc>
          <w:tcPr>
            <w:tcW w:w="1161" w:type="dxa"/>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手提式</w:t>
            </w:r>
          </w:p>
        </w:tc>
        <w:tc>
          <w:tcPr>
            <w:tcW w:w="1161" w:type="dxa"/>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推车式</w:t>
            </w:r>
          </w:p>
        </w:tc>
        <w:tc>
          <w:tcPr>
            <w:tcW w:w="1161" w:type="dxa"/>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手提式</w:t>
            </w:r>
          </w:p>
        </w:tc>
        <w:tc>
          <w:tcPr>
            <w:tcW w:w="1161" w:type="dxa"/>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推车式</w:t>
            </w:r>
          </w:p>
        </w:tc>
      </w:tr>
      <w:tr w:rsidR="00481EDB" w:rsidRPr="00687B52" w:rsidTr="00B527D4">
        <w:trPr>
          <w:cantSplit/>
          <w:trHeight w:val="340"/>
          <w:jc w:val="center"/>
        </w:trPr>
        <w:tc>
          <w:tcPr>
            <w:tcW w:w="1053" w:type="dxa"/>
            <w:vMerge w:val="restart"/>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灭火器充装量</w:t>
            </w:r>
          </w:p>
        </w:tc>
        <w:tc>
          <w:tcPr>
            <w:tcW w:w="1267" w:type="dxa"/>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容量（</w:t>
            </w:r>
            <w:r w:rsidRPr="00687B52">
              <w:rPr>
                <w:rFonts w:ascii="Arial" w:eastAsia="宋体" w:hAnsi="Arial" w:cs="Arial" w:hint="eastAsia"/>
                <w:color w:val="000000" w:themeColor="text1"/>
              </w:rPr>
              <w:t>L</w:t>
            </w:r>
            <w:r w:rsidRPr="00687B52">
              <w:rPr>
                <w:rFonts w:ascii="Arial" w:eastAsia="宋体" w:hAnsi="Arial" w:cs="Arial" w:hint="eastAsia"/>
                <w:color w:val="000000" w:themeColor="text1"/>
              </w:rPr>
              <w:t>）</w:t>
            </w:r>
          </w:p>
        </w:tc>
        <w:tc>
          <w:tcPr>
            <w:tcW w:w="1161" w:type="dxa"/>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w:t>
            </w:r>
          </w:p>
        </w:tc>
        <w:tc>
          <w:tcPr>
            <w:tcW w:w="1161" w:type="dxa"/>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w:t>
            </w:r>
          </w:p>
        </w:tc>
        <w:tc>
          <w:tcPr>
            <w:tcW w:w="1161" w:type="dxa"/>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9</w:t>
            </w:r>
          </w:p>
        </w:tc>
        <w:tc>
          <w:tcPr>
            <w:tcW w:w="1161" w:type="dxa"/>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60</w:t>
            </w:r>
          </w:p>
        </w:tc>
        <w:tc>
          <w:tcPr>
            <w:tcW w:w="1161" w:type="dxa"/>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w:t>
            </w:r>
          </w:p>
        </w:tc>
        <w:tc>
          <w:tcPr>
            <w:tcW w:w="1161" w:type="dxa"/>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w:t>
            </w:r>
          </w:p>
        </w:tc>
      </w:tr>
      <w:tr w:rsidR="00481EDB" w:rsidRPr="00687B52" w:rsidTr="00B527D4">
        <w:trPr>
          <w:cantSplit/>
          <w:trHeight w:val="340"/>
          <w:jc w:val="center"/>
        </w:trPr>
        <w:tc>
          <w:tcPr>
            <w:tcW w:w="1053" w:type="dxa"/>
            <w:vMerge/>
            <w:vAlign w:val="center"/>
          </w:tcPr>
          <w:p w:rsidR="00481EDB" w:rsidRPr="00687B52" w:rsidRDefault="00481EDB" w:rsidP="00B527D4">
            <w:pPr>
              <w:pStyle w:val="Default"/>
              <w:snapToGrid w:val="0"/>
              <w:jc w:val="center"/>
              <w:rPr>
                <w:rFonts w:ascii="Arial" w:eastAsia="宋体" w:hAnsi="Arial" w:cs="Arial"/>
                <w:color w:val="000000" w:themeColor="text1"/>
              </w:rPr>
            </w:pPr>
          </w:p>
        </w:tc>
        <w:tc>
          <w:tcPr>
            <w:tcW w:w="1267" w:type="dxa"/>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重量（</w:t>
            </w:r>
            <w:r w:rsidRPr="00687B52">
              <w:rPr>
                <w:rFonts w:ascii="Arial" w:eastAsia="宋体" w:hAnsi="Arial" w:cs="Arial" w:hint="eastAsia"/>
                <w:color w:val="000000" w:themeColor="text1"/>
              </w:rPr>
              <w:t>kg</w:t>
            </w:r>
            <w:r w:rsidRPr="00687B52">
              <w:rPr>
                <w:rFonts w:ascii="Arial" w:eastAsia="宋体" w:hAnsi="Arial" w:cs="Arial" w:hint="eastAsia"/>
                <w:color w:val="000000" w:themeColor="text1"/>
              </w:rPr>
              <w:t>）</w:t>
            </w:r>
          </w:p>
        </w:tc>
        <w:tc>
          <w:tcPr>
            <w:tcW w:w="1161" w:type="dxa"/>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6</w:t>
            </w:r>
            <w:r w:rsidRPr="00687B52">
              <w:rPr>
                <w:rFonts w:ascii="Arial" w:eastAsia="宋体" w:hAnsi="Arial" w:cs="Arial" w:hint="eastAsia"/>
                <w:color w:val="000000" w:themeColor="text1"/>
              </w:rPr>
              <w:t>或</w:t>
            </w:r>
            <w:r w:rsidRPr="00687B52">
              <w:rPr>
                <w:rFonts w:ascii="Arial" w:eastAsia="宋体" w:hAnsi="Arial" w:cs="Arial" w:hint="eastAsia"/>
                <w:color w:val="000000" w:themeColor="text1"/>
              </w:rPr>
              <w:t>8</w:t>
            </w:r>
          </w:p>
        </w:tc>
        <w:tc>
          <w:tcPr>
            <w:tcW w:w="1161" w:type="dxa"/>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20</w:t>
            </w:r>
            <w:r w:rsidRPr="00687B52">
              <w:rPr>
                <w:rFonts w:ascii="Arial" w:eastAsia="宋体" w:hAnsi="Arial" w:cs="Arial" w:hint="eastAsia"/>
                <w:color w:val="000000" w:themeColor="text1"/>
              </w:rPr>
              <w:t>或</w:t>
            </w:r>
            <w:r w:rsidRPr="00687B52">
              <w:rPr>
                <w:rFonts w:ascii="Arial" w:eastAsia="宋体" w:hAnsi="Arial" w:cs="Arial" w:hint="eastAsia"/>
                <w:color w:val="000000" w:themeColor="text1"/>
              </w:rPr>
              <w:t>50</w:t>
            </w:r>
          </w:p>
        </w:tc>
        <w:tc>
          <w:tcPr>
            <w:tcW w:w="1161" w:type="dxa"/>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w:t>
            </w:r>
          </w:p>
        </w:tc>
        <w:tc>
          <w:tcPr>
            <w:tcW w:w="1161" w:type="dxa"/>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w:t>
            </w:r>
          </w:p>
        </w:tc>
        <w:tc>
          <w:tcPr>
            <w:tcW w:w="1161" w:type="dxa"/>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5</w:t>
            </w:r>
            <w:r w:rsidRPr="00687B52">
              <w:rPr>
                <w:rFonts w:ascii="Arial" w:eastAsia="宋体" w:hAnsi="Arial" w:cs="Arial" w:hint="eastAsia"/>
                <w:color w:val="000000" w:themeColor="text1"/>
              </w:rPr>
              <w:t>或</w:t>
            </w:r>
            <w:r w:rsidRPr="00687B52">
              <w:rPr>
                <w:rFonts w:ascii="Arial" w:eastAsia="宋体" w:hAnsi="Arial" w:cs="Arial" w:hint="eastAsia"/>
                <w:color w:val="000000" w:themeColor="text1"/>
              </w:rPr>
              <w:t>7</w:t>
            </w:r>
          </w:p>
        </w:tc>
        <w:tc>
          <w:tcPr>
            <w:tcW w:w="1161" w:type="dxa"/>
            <w:vAlign w:val="center"/>
          </w:tcPr>
          <w:p w:rsidR="00481EDB" w:rsidRPr="00687B52" w:rsidRDefault="00481EDB" w:rsidP="00B527D4">
            <w:pPr>
              <w:pStyle w:val="Default"/>
              <w:snapToGrid w:val="0"/>
              <w:jc w:val="center"/>
              <w:rPr>
                <w:rFonts w:ascii="Arial" w:eastAsia="宋体" w:hAnsi="Arial" w:cs="Arial"/>
                <w:color w:val="000000" w:themeColor="text1"/>
              </w:rPr>
            </w:pPr>
            <w:r w:rsidRPr="00687B52">
              <w:rPr>
                <w:rFonts w:ascii="Arial" w:eastAsia="宋体" w:hAnsi="Arial" w:cs="Arial" w:hint="eastAsia"/>
                <w:color w:val="000000" w:themeColor="text1"/>
              </w:rPr>
              <w:t>30</w:t>
            </w:r>
          </w:p>
        </w:tc>
      </w:tr>
    </w:tbl>
    <w:p w:rsidR="00481EDB" w:rsidRPr="00687B52" w:rsidRDefault="00481EDB" w:rsidP="00481EDB">
      <w:pPr>
        <w:adjustRightInd w:val="0"/>
        <w:snapToGrid w:val="0"/>
        <w:spacing w:line="300" w:lineRule="auto"/>
        <w:jc w:val="center"/>
        <w:rPr>
          <w:rFonts w:ascii="Times New Roman" w:eastAsia="宋体" w:hAnsi="宋体" w:cs="Times New Roman"/>
          <w:color w:val="000000" w:themeColor="text1"/>
          <w:kern w:val="0"/>
          <w:szCs w:val="21"/>
        </w:rPr>
      </w:pPr>
    </w:p>
    <w:p w:rsidR="00481EDB" w:rsidRPr="00687B52" w:rsidRDefault="00481EDB" w:rsidP="00481EDB">
      <w:pPr>
        <w:rPr>
          <w:color w:val="000000" w:themeColor="text1"/>
        </w:rPr>
      </w:pPr>
    </w:p>
    <w:p w:rsidR="00481EDB" w:rsidRPr="00687B52" w:rsidRDefault="00481EDB" w:rsidP="00481EDB">
      <w:pPr>
        <w:rPr>
          <w:color w:val="000000" w:themeColor="text1"/>
        </w:rPr>
      </w:pPr>
    </w:p>
    <w:p w:rsidR="00481EDB" w:rsidRPr="00687B52" w:rsidRDefault="00481EDB" w:rsidP="00481EDB">
      <w:pPr>
        <w:rPr>
          <w:color w:val="000000" w:themeColor="text1"/>
        </w:rPr>
        <w:sectPr w:rsidR="00481EDB" w:rsidRPr="00687B52">
          <w:pgSz w:w="11906" w:h="16838"/>
          <w:pgMar w:top="1134" w:right="1021" w:bottom="1134" w:left="1134" w:header="851" w:footer="771" w:gutter="0"/>
          <w:cols w:space="425"/>
          <w:docGrid w:type="lines" w:linePitch="312"/>
        </w:sectPr>
      </w:pPr>
    </w:p>
    <w:p w:rsidR="00481EDB" w:rsidRPr="00687B52" w:rsidRDefault="00481EDB" w:rsidP="00763863">
      <w:pPr>
        <w:pStyle w:val="aff2"/>
        <w:ind w:firstLine="562"/>
        <w:rPr>
          <w:color w:val="000000" w:themeColor="text1"/>
        </w:rPr>
      </w:pPr>
      <w:bookmarkStart w:id="209" w:name="_Toc491870828"/>
      <w:bookmarkStart w:id="210" w:name="_Toc492555581"/>
      <w:bookmarkStart w:id="211" w:name="_Toc492557264"/>
      <w:bookmarkStart w:id="212" w:name="_Toc492557334"/>
      <w:bookmarkStart w:id="213" w:name="_Toc492557596"/>
      <w:bookmarkStart w:id="214" w:name="_Toc492557965"/>
      <w:bookmarkStart w:id="215" w:name="_Toc492559538"/>
      <w:bookmarkStart w:id="216" w:name="_Toc492563483"/>
      <w:bookmarkStart w:id="217" w:name="_Toc492564085"/>
      <w:bookmarkStart w:id="218" w:name="_Toc492634918"/>
      <w:bookmarkStart w:id="219" w:name="_Toc493857084"/>
      <w:r w:rsidRPr="00687B52">
        <w:rPr>
          <w:rFonts w:hint="eastAsia"/>
          <w:color w:val="000000" w:themeColor="text1"/>
        </w:rPr>
        <w:t>附</w:t>
      </w:r>
      <w:r w:rsidR="00980275" w:rsidRPr="00687B52">
        <w:rPr>
          <w:rFonts w:hint="eastAsia"/>
          <w:color w:val="000000" w:themeColor="text1"/>
        </w:rPr>
        <w:t>2</w:t>
      </w:r>
      <w:r w:rsidRPr="00687B52">
        <w:rPr>
          <w:rFonts w:hint="eastAsia"/>
          <w:color w:val="000000" w:themeColor="text1"/>
        </w:rPr>
        <w:t>.6</w:t>
      </w:r>
      <w:r w:rsidRPr="00687B52">
        <w:rPr>
          <w:rFonts w:hint="eastAsia"/>
          <w:color w:val="000000" w:themeColor="text1"/>
        </w:rPr>
        <w:t>《汽车加油加气站设计与施工规范》</w:t>
      </w:r>
      <w:r w:rsidRPr="00687B52">
        <w:rPr>
          <w:rFonts w:hint="eastAsia"/>
          <w:color w:val="000000" w:themeColor="text1"/>
        </w:rPr>
        <w:t>GB50156-2012(2014</w:t>
      </w:r>
      <w:r w:rsidRPr="00687B52">
        <w:rPr>
          <w:rFonts w:hint="eastAsia"/>
          <w:color w:val="000000" w:themeColor="text1"/>
        </w:rPr>
        <w:t>年修改版</w:t>
      </w:r>
      <w:r w:rsidRPr="00687B52">
        <w:rPr>
          <w:rFonts w:hint="eastAsia"/>
          <w:color w:val="000000" w:themeColor="text1"/>
        </w:rPr>
        <w:t>)</w:t>
      </w:r>
      <w:r w:rsidRPr="00687B52">
        <w:rPr>
          <w:rFonts w:hint="eastAsia"/>
          <w:color w:val="000000" w:themeColor="text1"/>
        </w:rPr>
        <w:t>有关要求</w:t>
      </w:r>
      <w:bookmarkEnd w:id="209"/>
      <w:bookmarkEnd w:id="210"/>
      <w:bookmarkEnd w:id="211"/>
      <w:bookmarkEnd w:id="212"/>
      <w:bookmarkEnd w:id="213"/>
      <w:bookmarkEnd w:id="214"/>
      <w:bookmarkEnd w:id="215"/>
      <w:bookmarkEnd w:id="216"/>
      <w:bookmarkEnd w:id="217"/>
      <w:bookmarkEnd w:id="218"/>
      <w:bookmarkEnd w:id="219"/>
    </w:p>
    <w:p w:rsidR="00481EDB" w:rsidRPr="00687B52" w:rsidRDefault="00481EDB" w:rsidP="00856B6C">
      <w:pPr>
        <w:pStyle w:val="afd"/>
        <w:rPr>
          <w:color w:val="000000" w:themeColor="text1"/>
          <w:szCs w:val="21"/>
        </w:rPr>
      </w:pPr>
      <w:bookmarkStart w:id="220" w:name="_Toc491870829"/>
      <w:bookmarkStart w:id="221" w:name="_Toc492563484"/>
      <w:bookmarkStart w:id="222" w:name="_Toc493857085"/>
      <w:r w:rsidRPr="00687B52">
        <w:rPr>
          <w:rFonts w:hint="eastAsia"/>
          <w:color w:val="000000" w:themeColor="text1"/>
        </w:rPr>
        <w:t>表</w:t>
      </w:r>
      <w:r w:rsidRPr="00687B52">
        <w:rPr>
          <w:rFonts w:hint="eastAsia"/>
          <w:color w:val="000000" w:themeColor="text1"/>
        </w:rPr>
        <w:t>4.0.4</w:t>
      </w:r>
      <w:r w:rsidRPr="00687B52">
        <w:rPr>
          <w:rFonts w:hint="eastAsia"/>
          <w:color w:val="000000" w:themeColor="text1"/>
        </w:rPr>
        <w:t>汽油设备与站外建（构）筑物的安全间距（</w:t>
      </w:r>
      <w:r w:rsidRPr="00687B52">
        <w:rPr>
          <w:rFonts w:hint="eastAsia"/>
          <w:color w:val="000000" w:themeColor="text1"/>
        </w:rPr>
        <w:t>m</w:t>
      </w:r>
      <w:r w:rsidRPr="00687B52">
        <w:rPr>
          <w:rFonts w:hint="eastAsia"/>
          <w:color w:val="000000" w:themeColor="text1"/>
        </w:rPr>
        <w:t>）</w:t>
      </w:r>
      <w:bookmarkEnd w:id="220"/>
      <w:bookmarkEnd w:id="221"/>
      <w:bookmarkEnd w:id="222"/>
    </w:p>
    <w:tbl>
      <w:tblPr>
        <w:tblW w:w="14740" w:type="dxa"/>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44"/>
        <w:gridCol w:w="1755"/>
        <w:gridCol w:w="853"/>
        <w:gridCol w:w="854"/>
        <w:gridCol w:w="1174"/>
        <w:gridCol w:w="961"/>
        <w:gridCol w:w="907"/>
        <w:gridCol w:w="1155"/>
        <w:gridCol w:w="924"/>
        <w:gridCol w:w="1017"/>
        <w:gridCol w:w="1118"/>
        <w:gridCol w:w="997"/>
        <w:gridCol w:w="930"/>
        <w:gridCol w:w="1062"/>
      </w:tblGrid>
      <w:tr w:rsidR="00481EDB" w:rsidRPr="00687B52" w:rsidTr="00B527D4">
        <w:trPr>
          <w:trHeight w:hRule="exact" w:val="380"/>
        </w:trPr>
        <w:tc>
          <w:tcPr>
            <w:tcW w:w="2788" w:type="dxa"/>
            <w:gridSpan w:val="3"/>
            <w:vMerge w:val="restart"/>
            <w:vAlign w:val="center"/>
          </w:tcPr>
          <w:p w:rsidR="00481EDB" w:rsidRPr="00687B52" w:rsidRDefault="00481EDB" w:rsidP="00B527D4">
            <w:pPr>
              <w:spacing w:before="120" w:line="360" w:lineRule="auto"/>
              <w:jc w:val="center"/>
              <w:rPr>
                <w:rFonts w:ascii="宋体" w:eastAsia="黑体"/>
                <w:color w:val="000000" w:themeColor="text1"/>
                <w:szCs w:val="21"/>
              </w:rPr>
            </w:pPr>
            <w:r w:rsidRPr="00687B52">
              <w:rPr>
                <w:rFonts w:ascii="宋体" w:eastAsia="黑体" w:hint="eastAsia"/>
                <w:color w:val="000000" w:themeColor="text1"/>
                <w:spacing w:val="10"/>
                <w:szCs w:val="21"/>
              </w:rPr>
              <w:t>站外建（构）筑物</w:t>
            </w:r>
          </w:p>
        </w:tc>
        <w:tc>
          <w:tcPr>
            <w:tcW w:w="11952" w:type="dxa"/>
            <w:gridSpan w:val="12"/>
            <w:vAlign w:val="center"/>
          </w:tcPr>
          <w:p w:rsidR="00481EDB" w:rsidRPr="00687B52" w:rsidRDefault="00481EDB" w:rsidP="00B527D4">
            <w:pPr>
              <w:spacing w:line="400" w:lineRule="exact"/>
              <w:jc w:val="center"/>
              <w:rPr>
                <w:rFonts w:ascii="宋体" w:eastAsia="黑体"/>
                <w:color w:val="000000" w:themeColor="text1"/>
                <w:szCs w:val="21"/>
              </w:rPr>
            </w:pPr>
            <w:r w:rsidRPr="00687B52">
              <w:rPr>
                <w:rFonts w:ascii="宋体" w:eastAsia="黑体" w:hint="eastAsia"/>
                <w:color w:val="000000" w:themeColor="text1"/>
                <w:spacing w:val="20"/>
                <w:szCs w:val="21"/>
              </w:rPr>
              <w:t>站内</w:t>
            </w:r>
            <w:r w:rsidRPr="00687B52">
              <w:rPr>
                <w:rFonts w:ascii="宋体" w:eastAsia="黑体" w:hint="eastAsia"/>
                <w:color w:val="000000" w:themeColor="text1"/>
                <w:spacing w:val="10"/>
                <w:szCs w:val="21"/>
              </w:rPr>
              <w:t>汽油设备</w:t>
            </w:r>
          </w:p>
        </w:tc>
      </w:tr>
      <w:tr w:rsidR="00481EDB" w:rsidRPr="00687B52" w:rsidTr="00B527D4">
        <w:trPr>
          <w:trHeight w:hRule="exact" w:val="472"/>
        </w:trPr>
        <w:tc>
          <w:tcPr>
            <w:tcW w:w="2788" w:type="dxa"/>
            <w:gridSpan w:val="3"/>
            <w:vMerge/>
          </w:tcPr>
          <w:p w:rsidR="00481EDB" w:rsidRPr="00687B52" w:rsidRDefault="00481EDB" w:rsidP="00B527D4">
            <w:pPr>
              <w:spacing w:before="120" w:line="360" w:lineRule="auto"/>
              <w:jc w:val="center"/>
              <w:rPr>
                <w:rFonts w:ascii="宋体" w:eastAsia="黑体"/>
                <w:color w:val="000000" w:themeColor="text1"/>
                <w:spacing w:val="10"/>
                <w:szCs w:val="21"/>
              </w:rPr>
            </w:pPr>
          </w:p>
        </w:tc>
        <w:tc>
          <w:tcPr>
            <w:tcW w:w="8963" w:type="dxa"/>
            <w:gridSpan w:val="9"/>
            <w:vAlign w:val="center"/>
          </w:tcPr>
          <w:p w:rsidR="00481EDB" w:rsidRPr="00687B52" w:rsidRDefault="00481EDB" w:rsidP="00B527D4">
            <w:pPr>
              <w:spacing w:line="400" w:lineRule="exact"/>
              <w:jc w:val="center"/>
              <w:rPr>
                <w:rFonts w:ascii="宋体" w:eastAsia="黑体"/>
                <w:color w:val="000000" w:themeColor="text1"/>
                <w:spacing w:val="20"/>
                <w:szCs w:val="21"/>
              </w:rPr>
            </w:pPr>
            <w:r w:rsidRPr="00687B52">
              <w:rPr>
                <w:rFonts w:ascii="宋体" w:eastAsia="黑体" w:hint="eastAsia"/>
                <w:color w:val="000000" w:themeColor="text1"/>
                <w:spacing w:val="20"/>
                <w:szCs w:val="21"/>
              </w:rPr>
              <w:t>埋地油罐</w:t>
            </w:r>
          </w:p>
        </w:tc>
        <w:tc>
          <w:tcPr>
            <w:tcW w:w="2989" w:type="dxa"/>
            <w:gridSpan w:val="3"/>
            <w:vMerge w:val="restart"/>
            <w:vAlign w:val="center"/>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加油机、通气管管口</w:t>
            </w:r>
          </w:p>
        </w:tc>
      </w:tr>
      <w:tr w:rsidR="00481EDB" w:rsidRPr="00687B52" w:rsidTr="00B527D4">
        <w:trPr>
          <w:trHeight w:hRule="exact" w:val="383"/>
        </w:trPr>
        <w:tc>
          <w:tcPr>
            <w:tcW w:w="2788" w:type="dxa"/>
            <w:gridSpan w:val="3"/>
            <w:vMerge/>
          </w:tcPr>
          <w:p w:rsidR="00481EDB" w:rsidRPr="00687B52" w:rsidRDefault="00481EDB" w:rsidP="00B527D4">
            <w:pPr>
              <w:spacing w:line="360" w:lineRule="auto"/>
              <w:rPr>
                <w:rFonts w:ascii="宋体" w:eastAsia="黑体"/>
                <w:color w:val="000000" w:themeColor="text1"/>
                <w:szCs w:val="21"/>
              </w:rPr>
            </w:pPr>
          </w:p>
        </w:tc>
        <w:tc>
          <w:tcPr>
            <w:tcW w:w="2881" w:type="dxa"/>
            <w:gridSpan w:val="3"/>
          </w:tcPr>
          <w:p w:rsidR="00481EDB" w:rsidRPr="00687B52" w:rsidRDefault="00481EDB" w:rsidP="00B527D4">
            <w:pPr>
              <w:spacing w:line="400" w:lineRule="atLeast"/>
              <w:jc w:val="center"/>
              <w:rPr>
                <w:rFonts w:ascii="宋体" w:eastAsia="黑体"/>
                <w:color w:val="000000" w:themeColor="text1"/>
                <w:szCs w:val="21"/>
              </w:rPr>
            </w:pPr>
            <w:r w:rsidRPr="00687B52">
              <w:rPr>
                <w:rFonts w:ascii="宋体" w:eastAsia="黑体" w:hint="eastAsia"/>
                <w:color w:val="000000" w:themeColor="text1"/>
                <w:szCs w:val="21"/>
              </w:rPr>
              <w:t>一级站</w:t>
            </w:r>
          </w:p>
        </w:tc>
        <w:tc>
          <w:tcPr>
            <w:tcW w:w="3023" w:type="dxa"/>
            <w:gridSpan w:val="3"/>
          </w:tcPr>
          <w:p w:rsidR="00481EDB" w:rsidRPr="00687B52" w:rsidRDefault="00481EDB" w:rsidP="00B527D4">
            <w:pPr>
              <w:spacing w:line="400" w:lineRule="atLeast"/>
              <w:jc w:val="center"/>
              <w:rPr>
                <w:rFonts w:ascii="宋体" w:eastAsia="黑体"/>
                <w:color w:val="000000" w:themeColor="text1"/>
                <w:szCs w:val="21"/>
              </w:rPr>
            </w:pPr>
            <w:r w:rsidRPr="00687B52">
              <w:rPr>
                <w:rFonts w:ascii="宋体" w:eastAsia="黑体" w:hint="eastAsia"/>
                <w:color w:val="000000" w:themeColor="text1"/>
                <w:szCs w:val="21"/>
              </w:rPr>
              <w:t>二级站</w:t>
            </w:r>
          </w:p>
        </w:tc>
        <w:tc>
          <w:tcPr>
            <w:tcW w:w="3059" w:type="dxa"/>
            <w:gridSpan w:val="3"/>
          </w:tcPr>
          <w:p w:rsidR="00481EDB" w:rsidRPr="00687B52" w:rsidRDefault="00481EDB" w:rsidP="00B527D4">
            <w:pPr>
              <w:spacing w:line="400" w:lineRule="atLeast"/>
              <w:jc w:val="center"/>
              <w:rPr>
                <w:rFonts w:ascii="宋体" w:eastAsia="黑体"/>
                <w:color w:val="000000" w:themeColor="text1"/>
                <w:szCs w:val="21"/>
              </w:rPr>
            </w:pPr>
            <w:r w:rsidRPr="00687B52">
              <w:rPr>
                <w:rFonts w:ascii="宋体" w:eastAsia="黑体" w:hint="eastAsia"/>
                <w:color w:val="000000" w:themeColor="text1"/>
                <w:szCs w:val="21"/>
              </w:rPr>
              <w:t>三级站</w:t>
            </w:r>
          </w:p>
        </w:tc>
        <w:tc>
          <w:tcPr>
            <w:tcW w:w="2989" w:type="dxa"/>
            <w:gridSpan w:val="3"/>
            <w:vMerge/>
          </w:tcPr>
          <w:p w:rsidR="00481EDB" w:rsidRPr="00687B52" w:rsidRDefault="00481EDB" w:rsidP="00B527D4">
            <w:pPr>
              <w:spacing w:line="360" w:lineRule="auto"/>
              <w:jc w:val="center"/>
              <w:rPr>
                <w:rFonts w:ascii="宋体" w:eastAsia="黑体"/>
                <w:color w:val="000000" w:themeColor="text1"/>
                <w:szCs w:val="21"/>
              </w:rPr>
            </w:pPr>
          </w:p>
        </w:tc>
      </w:tr>
      <w:tr w:rsidR="00481EDB" w:rsidRPr="00687B52" w:rsidTr="00B527D4">
        <w:trPr>
          <w:trHeight w:val="818"/>
        </w:trPr>
        <w:tc>
          <w:tcPr>
            <w:tcW w:w="2788" w:type="dxa"/>
            <w:gridSpan w:val="3"/>
            <w:vMerge/>
          </w:tcPr>
          <w:p w:rsidR="00481EDB" w:rsidRPr="00687B52" w:rsidRDefault="00481EDB" w:rsidP="00B527D4">
            <w:pPr>
              <w:spacing w:line="360" w:lineRule="auto"/>
              <w:rPr>
                <w:rFonts w:ascii="宋体" w:eastAsia="黑体"/>
                <w:color w:val="000000" w:themeColor="text1"/>
                <w:szCs w:val="21"/>
              </w:rPr>
            </w:pPr>
          </w:p>
        </w:tc>
        <w:tc>
          <w:tcPr>
            <w:tcW w:w="853" w:type="dxa"/>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无油气回收系统</w:t>
            </w:r>
          </w:p>
        </w:tc>
        <w:tc>
          <w:tcPr>
            <w:tcW w:w="854" w:type="dxa"/>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有卸油油气回收系统</w:t>
            </w:r>
          </w:p>
        </w:tc>
        <w:tc>
          <w:tcPr>
            <w:tcW w:w="1174" w:type="dxa"/>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有卸油和加油油气回收系统</w:t>
            </w:r>
          </w:p>
        </w:tc>
        <w:tc>
          <w:tcPr>
            <w:tcW w:w="961" w:type="dxa"/>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无油气回收系统</w:t>
            </w:r>
          </w:p>
        </w:tc>
        <w:tc>
          <w:tcPr>
            <w:tcW w:w="907" w:type="dxa"/>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有卸油油气回收系统</w:t>
            </w:r>
          </w:p>
        </w:tc>
        <w:tc>
          <w:tcPr>
            <w:tcW w:w="1155" w:type="dxa"/>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有卸油和加油油气回收系统</w:t>
            </w:r>
          </w:p>
        </w:tc>
        <w:tc>
          <w:tcPr>
            <w:tcW w:w="924" w:type="dxa"/>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无油气回收系统</w:t>
            </w:r>
          </w:p>
        </w:tc>
        <w:tc>
          <w:tcPr>
            <w:tcW w:w="1017" w:type="dxa"/>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有卸油油气回收系统</w:t>
            </w:r>
          </w:p>
        </w:tc>
        <w:tc>
          <w:tcPr>
            <w:tcW w:w="1118" w:type="dxa"/>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有卸油和加油油气回收系统</w:t>
            </w:r>
          </w:p>
        </w:tc>
        <w:tc>
          <w:tcPr>
            <w:tcW w:w="997" w:type="dxa"/>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无油气回收系统</w:t>
            </w:r>
          </w:p>
        </w:tc>
        <w:tc>
          <w:tcPr>
            <w:tcW w:w="930" w:type="dxa"/>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有卸油油气回收系统</w:t>
            </w:r>
          </w:p>
        </w:tc>
        <w:tc>
          <w:tcPr>
            <w:tcW w:w="1062" w:type="dxa"/>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有卸油和加油油气回收系统</w:t>
            </w:r>
          </w:p>
        </w:tc>
      </w:tr>
      <w:tr w:rsidR="00481EDB" w:rsidRPr="00687B52" w:rsidTr="00B527D4">
        <w:trPr>
          <w:trHeight w:val="279"/>
        </w:trPr>
        <w:tc>
          <w:tcPr>
            <w:tcW w:w="2788" w:type="dxa"/>
            <w:gridSpan w:val="3"/>
            <w:vAlign w:val="center"/>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重要公共建筑物</w:t>
            </w:r>
          </w:p>
        </w:tc>
        <w:tc>
          <w:tcPr>
            <w:tcW w:w="853"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50</w:t>
            </w:r>
          </w:p>
        </w:tc>
        <w:tc>
          <w:tcPr>
            <w:tcW w:w="85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40</w:t>
            </w:r>
          </w:p>
        </w:tc>
        <w:tc>
          <w:tcPr>
            <w:tcW w:w="117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35</w:t>
            </w:r>
          </w:p>
        </w:tc>
        <w:tc>
          <w:tcPr>
            <w:tcW w:w="961"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50</w:t>
            </w:r>
          </w:p>
        </w:tc>
        <w:tc>
          <w:tcPr>
            <w:tcW w:w="90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40</w:t>
            </w:r>
          </w:p>
        </w:tc>
        <w:tc>
          <w:tcPr>
            <w:tcW w:w="1155"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35</w:t>
            </w:r>
          </w:p>
        </w:tc>
        <w:tc>
          <w:tcPr>
            <w:tcW w:w="92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50</w:t>
            </w:r>
          </w:p>
        </w:tc>
        <w:tc>
          <w:tcPr>
            <w:tcW w:w="101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40</w:t>
            </w:r>
          </w:p>
        </w:tc>
        <w:tc>
          <w:tcPr>
            <w:tcW w:w="1118"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35</w:t>
            </w:r>
          </w:p>
        </w:tc>
        <w:tc>
          <w:tcPr>
            <w:tcW w:w="99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50</w:t>
            </w:r>
          </w:p>
        </w:tc>
        <w:tc>
          <w:tcPr>
            <w:tcW w:w="930"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40</w:t>
            </w:r>
          </w:p>
        </w:tc>
        <w:tc>
          <w:tcPr>
            <w:tcW w:w="1062"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35</w:t>
            </w:r>
          </w:p>
        </w:tc>
      </w:tr>
      <w:tr w:rsidR="00481EDB" w:rsidRPr="00687B52" w:rsidTr="00B527D4">
        <w:trPr>
          <w:trHeight w:val="279"/>
        </w:trPr>
        <w:tc>
          <w:tcPr>
            <w:tcW w:w="2788" w:type="dxa"/>
            <w:gridSpan w:val="3"/>
            <w:vAlign w:val="center"/>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明火</w:t>
            </w:r>
            <w:r w:rsidRPr="00687B52">
              <w:rPr>
                <w:rFonts w:ascii="黑体" w:eastAsia="黑体" w:hint="eastAsia"/>
                <w:color w:val="000000" w:themeColor="text1"/>
                <w:szCs w:val="21"/>
              </w:rPr>
              <w:t>地点</w:t>
            </w:r>
            <w:r w:rsidRPr="00687B52">
              <w:rPr>
                <w:rFonts w:ascii="宋体" w:eastAsia="黑体" w:hint="eastAsia"/>
                <w:color w:val="000000" w:themeColor="text1"/>
                <w:szCs w:val="21"/>
              </w:rPr>
              <w:t>或散发火花地点</w:t>
            </w:r>
          </w:p>
        </w:tc>
        <w:tc>
          <w:tcPr>
            <w:tcW w:w="853"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30</w:t>
            </w:r>
          </w:p>
        </w:tc>
        <w:tc>
          <w:tcPr>
            <w:tcW w:w="85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24</w:t>
            </w:r>
          </w:p>
        </w:tc>
        <w:tc>
          <w:tcPr>
            <w:tcW w:w="117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21</w:t>
            </w:r>
          </w:p>
        </w:tc>
        <w:tc>
          <w:tcPr>
            <w:tcW w:w="961"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25</w:t>
            </w:r>
          </w:p>
        </w:tc>
        <w:tc>
          <w:tcPr>
            <w:tcW w:w="90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20</w:t>
            </w:r>
          </w:p>
        </w:tc>
        <w:tc>
          <w:tcPr>
            <w:tcW w:w="1155"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17.5</w:t>
            </w:r>
          </w:p>
        </w:tc>
        <w:tc>
          <w:tcPr>
            <w:tcW w:w="92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18</w:t>
            </w:r>
          </w:p>
        </w:tc>
        <w:tc>
          <w:tcPr>
            <w:tcW w:w="101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14.5</w:t>
            </w:r>
          </w:p>
        </w:tc>
        <w:tc>
          <w:tcPr>
            <w:tcW w:w="1118"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12.5</w:t>
            </w:r>
          </w:p>
        </w:tc>
        <w:tc>
          <w:tcPr>
            <w:tcW w:w="99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18</w:t>
            </w:r>
          </w:p>
        </w:tc>
        <w:tc>
          <w:tcPr>
            <w:tcW w:w="930"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14.5</w:t>
            </w:r>
          </w:p>
        </w:tc>
        <w:tc>
          <w:tcPr>
            <w:tcW w:w="1062"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12.5</w:t>
            </w:r>
          </w:p>
        </w:tc>
      </w:tr>
      <w:tr w:rsidR="00481EDB" w:rsidRPr="00687B52" w:rsidTr="00B527D4">
        <w:trPr>
          <w:trHeight w:val="287"/>
        </w:trPr>
        <w:tc>
          <w:tcPr>
            <w:tcW w:w="989" w:type="dxa"/>
            <w:vMerge w:val="restart"/>
            <w:vAlign w:val="center"/>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kern w:val="0"/>
                <w:szCs w:val="21"/>
              </w:rPr>
              <w:t>民用建筑物保护类别</w:t>
            </w:r>
          </w:p>
        </w:tc>
        <w:tc>
          <w:tcPr>
            <w:tcW w:w="1799" w:type="dxa"/>
            <w:gridSpan w:val="2"/>
            <w:vAlign w:val="center"/>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一类保护物</w:t>
            </w:r>
          </w:p>
        </w:tc>
        <w:tc>
          <w:tcPr>
            <w:tcW w:w="853"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25</w:t>
            </w:r>
          </w:p>
        </w:tc>
        <w:tc>
          <w:tcPr>
            <w:tcW w:w="85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20</w:t>
            </w:r>
          </w:p>
        </w:tc>
        <w:tc>
          <w:tcPr>
            <w:tcW w:w="117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17.5</w:t>
            </w:r>
          </w:p>
        </w:tc>
        <w:tc>
          <w:tcPr>
            <w:tcW w:w="961"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20</w:t>
            </w:r>
          </w:p>
        </w:tc>
        <w:tc>
          <w:tcPr>
            <w:tcW w:w="90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16</w:t>
            </w:r>
          </w:p>
        </w:tc>
        <w:tc>
          <w:tcPr>
            <w:tcW w:w="1155"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14</w:t>
            </w:r>
          </w:p>
        </w:tc>
        <w:tc>
          <w:tcPr>
            <w:tcW w:w="92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16</w:t>
            </w:r>
          </w:p>
        </w:tc>
        <w:tc>
          <w:tcPr>
            <w:tcW w:w="101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13</w:t>
            </w:r>
          </w:p>
        </w:tc>
        <w:tc>
          <w:tcPr>
            <w:tcW w:w="1118"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11</w:t>
            </w:r>
          </w:p>
        </w:tc>
        <w:tc>
          <w:tcPr>
            <w:tcW w:w="99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16</w:t>
            </w:r>
          </w:p>
        </w:tc>
        <w:tc>
          <w:tcPr>
            <w:tcW w:w="930"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13</w:t>
            </w:r>
          </w:p>
        </w:tc>
        <w:tc>
          <w:tcPr>
            <w:tcW w:w="1062"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11</w:t>
            </w:r>
          </w:p>
        </w:tc>
      </w:tr>
      <w:tr w:rsidR="00481EDB" w:rsidRPr="00687B52" w:rsidTr="00B527D4">
        <w:trPr>
          <w:trHeight w:val="281"/>
        </w:trPr>
        <w:tc>
          <w:tcPr>
            <w:tcW w:w="989" w:type="dxa"/>
            <w:vMerge/>
            <w:vAlign w:val="center"/>
          </w:tcPr>
          <w:p w:rsidR="00481EDB" w:rsidRPr="00687B52" w:rsidRDefault="00481EDB" w:rsidP="00B527D4">
            <w:pPr>
              <w:jc w:val="center"/>
              <w:rPr>
                <w:rFonts w:ascii="宋体" w:eastAsia="黑体"/>
                <w:color w:val="000000" w:themeColor="text1"/>
                <w:szCs w:val="21"/>
              </w:rPr>
            </w:pPr>
          </w:p>
        </w:tc>
        <w:tc>
          <w:tcPr>
            <w:tcW w:w="1799" w:type="dxa"/>
            <w:gridSpan w:val="2"/>
            <w:vAlign w:val="center"/>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二类保护物</w:t>
            </w:r>
          </w:p>
        </w:tc>
        <w:tc>
          <w:tcPr>
            <w:tcW w:w="853"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20</w:t>
            </w:r>
          </w:p>
        </w:tc>
        <w:tc>
          <w:tcPr>
            <w:tcW w:w="85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16</w:t>
            </w:r>
          </w:p>
        </w:tc>
        <w:tc>
          <w:tcPr>
            <w:tcW w:w="117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14</w:t>
            </w:r>
          </w:p>
        </w:tc>
        <w:tc>
          <w:tcPr>
            <w:tcW w:w="961"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16</w:t>
            </w:r>
          </w:p>
        </w:tc>
        <w:tc>
          <w:tcPr>
            <w:tcW w:w="90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13</w:t>
            </w:r>
          </w:p>
        </w:tc>
        <w:tc>
          <w:tcPr>
            <w:tcW w:w="1155"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11</w:t>
            </w:r>
          </w:p>
        </w:tc>
        <w:tc>
          <w:tcPr>
            <w:tcW w:w="92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12</w:t>
            </w:r>
          </w:p>
        </w:tc>
        <w:tc>
          <w:tcPr>
            <w:tcW w:w="101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9.5</w:t>
            </w:r>
          </w:p>
        </w:tc>
        <w:tc>
          <w:tcPr>
            <w:tcW w:w="1118"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8.5</w:t>
            </w:r>
          </w:p>
        </w:tc>
        <w:tc>
          <w:tcPr>
            <w:tcW w:w="99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12</w:t>
            </w:r>
          </w:p>
        </w:tc>
        <w:tc>
          <w:tcPr>
            <w:tcW w:w="930"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9.5</w:t>
            </w:r>
          </w:p>
        </w:tc>
        <w:tc>
          <w:tcPr>
            <w:tcW w:w="1062"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8.5</w:t>
            </w:r>
          </w:p>
        </w:tc>
      </w:tr>
      <w:tr w:rsidR="00481EDB" w:rsidRPr="00687B52" w:rsidTr="00B527D4">
        <w:trPr>
          <w:trHeight w:val="291"/>
        </w:trPr>
        <w:tc>
          <w:tcPr>
            <w:tcW w:w="989" w:type="dxa"/>
            <w:vMerge/>
            <w:vAlign w:val="center"/>
          </w:tcPr>
          <w:p w:rsidR="00481EDB" w:rsidRPr="00687B52" w:rsidRDefault="00481EDB" w:rsidP="00B527D4">
            <w:pPr>
              <w:jc w:val="center"/>
              <w:rPr>
                <w:rFonts w:ascii="宋体" w:eastAsia="黑体"/>
                <w:color w:val="000000" w:themeColor="text1"/>
                <w:szCs w:val="21"/>
              </w:rPr>
            </w:pPr>
          </w:p>
        </w:tc>
        <w:tc>
          <w:tcPr>
            <w:tcW w:w="1799" w:type="dxa"/>
            <w:gridSpan w:val="2"/>
            <w:vAlign w:val="center"/>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三类保护物</w:t>
            </w:r>
          </w:p>
        </w:tc>
        <w:tc>
          <w:tcPr>
            <w:tcW w:w="853"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16</w:t>
            </w:r>
          </w:p>
        </w:tc>
        <w:tc>
          <w:tcPr>
            <w:tcW w:w="85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13</w:t>
            </w:r>
          </w:p>
        </w:tc>
        <w:tc>
          <w:tcPr>
            <w:tcW w:w="117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11</w:t>
            </w:r>
          </w:p>
        </w:tc>
        <w:tc>
          <w:tcPr>
            <w:tcW w:w="961"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12</w:t>
            </w:r>
          </w:p>
        </w:tc>
        <w:tc>
          <w:tcPr>
            <w:tcW w:w="90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9.5</w:t>
            </w:r>
          </w:p>
        </w:tc>
        <w:tc>
          <w:tcPr>
            <w:tcW w:w="1155"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8.5</w:t>
            </w:r>
          </w:p>
        </w:tc>
        <w:tc>
          <w:tcPr>
            <w:tcW w:w="92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10</w:t>
            </w:r>
          </w:p>
        </w:tc>
        <w:tc>
          <w:tcPr>
            <w:tcW w:w="101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8</w:t>
            </w:r>
          </w:p>
        </w:tc>
        <w:tc>
          <w:tcPr>
            <w:tcW w:w="1118"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7</w:t>
            </w:r>
          </w:p>
        </w:tc>
        <w:tc>
          <w:tcPr>
            <w:tcW w:w="99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10</w:t>
            </w:r>
          </w:p>
        </w:tc>
        <w:tc>
          <w:tcPr>
            <w:tcW w:w="930"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8</w:t>
            </w:r>
          </w:p>
        </w:tc>
        <w:tc>
          <w:tcPr>
            <w:tcW w:w="1062"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7</w:t>
            </w:r>
          </w:p>
        </w:tc>
      </w:tr>
      <w:tr w:rsidR="00481EDB" w:rsidRPr="00687B52" w:rsidTr="00B527D4">
        <w:trPr>
          <w:trHeight w:val="562"/>
        </w:trPr>
        <w:tc>
          <w:tcPr>
            <w:tcW w:w="2788" w:type="dxa"/>
            <w:gridSpan w:val="3"/>
            <w:vAlign w:val="center"/>
          </w:tcPr>
          <w:p w:rsidR="00481EDB" w:rsidRPr="00687B52" w:rsidRDefault="00481EDB" w:rsidP="00B527D4">
            <w:pPr>
              <w:spacing w:line="320" w:lineRule="exact"/>
              <w:jc w:val="left"/>
              <w:rPr>
                <w:rFonts w:ascii="宋体" w:eastAsia="黑体"/>
                <w:color w:val="000000" w:themeColor="text1"/>
                <w:spacing w:val="-6"/>
                <w:szCs w:val="21"/>
              </w:rPr>
            </w:pPr>
            <w:r w:rsidRPr="00687B52">
              <w:rPr>
                <w:rFonts w:ascii="宋体" w:eastAsia="黑体" w:hint="eastAsia"/>
                <w:color w:val="000000" w:themeColor="text1"/>
                <w:spacing w:val="-6"/>
                <w:szCs w:val="21"/>
              </w:rPr>
              <w:t>甲、乙类物品生产厂房、库房和甲、乙类液体储罐</w:t>
            </w:r>
          </w:p>
        </w:tc>
        <w:tc>
          <w:tcPr>
            <w:tcW w:w="853"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25</w:t>
            </w:r>
          </w:p>
        </w:tc>
        <w:tc>
          <w:tcPr>
            <w:tcW w:w="85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20</w:t>
            </w:r>
          </w:p>
        </w:tc>
        <w:tc>
          <w:tcPr>
            <w:tcW w:w="117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17.5</w:t>
            </w:r>
          </w:p>
        </w:tc>
        <w:tc>
          <w:tcPr>
            <w:tcW w:w="961"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22</w:t>
            </w:r>
          </w:p>
        </w:tc>
        <w:tc>
          <w:tcPr>
            <w:tcW w:w="90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17.5</w:t>
            </w:r>
          </w:p>
        </w:tc>
        <w:tc>
          <w:tcPr>
            <w:tcW w:w="1155"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15.5</w:t>
            </w:r>
          </w:p>
        </w:tc>
        <w:tc>
          <w:tcPr>
            <w:tcW w:w="92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18</w:t>
            </w:r>
          </w:p>
        </w:tc>
        <w:tc>
          <w:tcPr>
            <w:tcW w:w="101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14.5</w:t>
            </w:r>
          </w:p>
        </w:tc>
        <w:tc>
          <w:tcPr>
            <w:tcW w:w="1118"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12.5</w:t>
            </w:r>
          </w:p>
        </w:tc>
        <w:tc>
          <w:tcPr>
            <w:tcW w:w="99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18</w:t>
            </w:r>
          </w:p>
        </w:tc>
        <w:tc>
          <w:tcPr>
            <w:tcW w:w="930"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14.5</w:t>
            </w:r>
          </w:p>
        </w:tc>
        <w:tc>
          <w:tcPr>
            <w:tcW w:w="1062"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12.5</w:t>
            </w:r>
          </w:p>
        </w:tc>
      </w:tr>
      <w:tr w:rsidR="00481EDB" w:rsidRPr="00687B52" w:rsidTr="00B527D4">
        <w:trPr>
          <w:trHeight w:val="1116"/>
        </w:trPr>
        <w:tc>
          <w:tcPr>
            <w:tcW w:w="2788" w:type="dxa"/>
            <w:gridSpan w:val="3"/>
            <w:vAlign w:val="center"/>
          </w:tcPr>
          <w:p w:rsidR="00481EDB" w:rsidRPr="00687B52" w:rsidRDefault="00481EDB" w:rsidP="00B527D4">
            <w:pPr>
              <w:spacing w:line="320" w:lineRule="exact"/>
              <w:jc w:val="left"/>
              <w:rPr>
                <w:rFonts w:ascii="宋体" w:eastAsia="黑体"/>
                <w:color w:val="000000" w:themeColor="text1"/>
                <w:spacing w:val="-6"/>
                <w:szCs w:val="21"/>
              </w:rPr>
            </w:pPr>
            <w:r w:rsidRPr="00687B52">
              <w:rPr>
                <w:rFonts w:ascii="宋体" w:eastAsia="黑体" w:hint="eastAsia"/>
                <w:color w:val="000000" w:themeColor="text1"/>
                <w:spacing w:val="-6"/>
                <w:szCs w:val="21"/>
              </w:rPr>
              <w:t>丙、丁、戊类物品生产厂房、库房和丙类液体储罐以及</w:t>
            </w:r>
            <w:r w:rsidRPr="00687B52">
              <w:rPr>
                <w:rFonts w:ascii="宋体" w:eastAsia="黑体" w:hint="eastAsia"/>
                <w:color w:val="000000" w:themeColor="text1"/>
                <w:spacing w:val="-6"/>
                <w:szCs w:val="21"/>
                <w:u w:val="single"/>
              </w:rPr>
              <w:t>单罐</w:t>
            </w:r>
            <w:r w:rsidRPr="00687B52">
              <w:rPr>
                <w:rFonts w:ascii="宋体" w:eastAsia="黑体" w:hint="eastAsia"/>
                <w:color w:val="000000" w:themeColor="text1"/>
                <w:spacing w:val="-6"/>
                <w:szCs w:val="21"/>
              </w:rPr>
              <w:t>容积不大于</w:t>
            </w:r>
            <w:r w:rsidRPr="00687B52">
              <w:rPr>
                <w:rFonts w:ascii="宋体" w:eastAsia="黑体"/>
                <w:color w:val="000000" w:themeColor="text1"/>
                <w:spacing w:val="-6"/>
                <w:szCs w:val="21"/>
              </w:rPr>
              <w:t>5</w:t>
            </w:r>
            <w:r w:rsidRPr="00687B52">
              <w:rPr>
                <w:rFonts w:ascii="宋体" w:eastAsia="黑体" w:hint="eastAsia"/>
                <w:color w:val="000000" w:themeColor="text1"/>
                <w:spacing w:val="-6"/>
                <w:szCs w:val="21"/>
              </w:rPr>
              <w:t>0</w:t>
            </w:r>
            <w:r w:rsidRPr="00687B52">
              <w:rPr>
                <w:rFonts w:ascii="宋体" w:eastAsia="黑体"/>
                <w:color w:val="000000" w:themeColor="text1"/>
                <w:spacing w:val="-6"/>
                <w:szCs w:val="21"/>
              </w:rPr>
              <w:t>m</w:t>
            </w:r>
            <w:r w:rsidRPr="00687B52">
              <w:rPr>
                <w:rFonts w:ascii="宋体" w:eastAsia="黑体"/>
                <w:color w:val="000000" w:themeColor="text1"/>
                <w:spacing w:val="-6"/>
                <w:szCs w:val="21"/>
                <w:vertAlign w:val="superscript"/>
              </w:rPr>
              <w:t>3</w:t>
            </w:r>
            <w:r w:rsidRPr="00687B52">
              <w:rPr>
                <w:rFonts w:ascii="宋体" w:eastAsia="黑体" w:hint="eastAsia"/>
                <w:color w:val="000000" w:themeColor="text1"/>
                <w:spacing w:val="-6"/>
                <w:szCs w:val="21"/>
              </w:rPr>
              <w:t>的埋地甲、乙类液体储罐</w:t>
            </w:r>
          </w:p>
        </w:tc>
        <w:tc>
          <w:tcPr>
            <w:tcW w:w="853"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18</w:t>
            </w:r>
          </w:p>
        </w:tc>
        <w:tc>
          <w:tcPr>
            <w:tcW w:w="85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14.5</w:t>
            </w:r>
          </w:p>
        </w:tc>
        <w:tc>
          <w:tcPr>
            <w:tcW w:w="117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12.5</w:t>
            </w:r>
          </w:p>
        </w:tc>
        <w:tc>
          <w:tcPr>
            <w:tcW w:w="961"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16</w:t>
            </w:r>
          </w:p>
        </w:tc>
        <w:tc>
          <w:tcPr>
            <w:tcW w:w="90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13</w:t>
            </w:r>
          </w:p>
        </w:tc>
        <w:tc>
          <w:tcPr>
            <w:tcW w:w="1155"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11</w:t>
            </w:r>
          </w:p>
        </w:tc>
        <w:tc>
          <w:tcPr>
            <w:tcW w:w="92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15</w:t>
            </w:r>
          </w:p>
        </w:tc>
        <w:tc>
          <w:tcPr>
            <w:tcW w:w="101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12</w:t>
            </w:r>
          </w:p>
        </w:tc>
        <w:tc>
          <w:tcPr>
            <w:tcW w:w="1118"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10.5</w:t>
            </w:r>
          </w:p>
        </w:tc>
        <w:tc>
          <w:tcPr>
            <w:tcW w:w="99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15</w:t>
            </w:r>
          </w:p>
        </w:tc>
        <w:tc>
          <w:tcPr>
            <w:tcW w:w="930"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12</w:t>
            </w:r>
          </w:p>
        </w:tc>
        <w:tc>
          <w:tcPr>
            <w:tcW w:w="1062"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10.5</w:t>
            </w:r>
          </w:p>
        </w:tc>
      </w:tr>
      <w:tr w:rsidR="00481EDB" w:rsidRPr="00687B52" w:rsidTr="00B527D4">
        <w:trPr>
          <w:trHeight w:val="279"/>
        </w:trPr>
        <w:tc>
          <w:tcPr>
            <w:tcW w:w="2788" w:type="dxa"/>
            <w:gridSpan w:val="3"/>
            <w:vAlign w:val="center"/>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室外变配电站</w:t>
            </w:r>
          </w:p>
        </w:tc>
        <w:tc>
          <w:tcPr>
            <w:tcW w:w="853"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25</w:t>
            </w:r>
          </w:p>
        </w:tc>
        <w:tc>
          <w:tcPr>
            <w:tcW w:w="85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20</w:t>
            </w:r>
          </w:p>
        </w:tc>
        <w:tc>
          <w:tcPr>
            <w:tcW w:w="117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17.5</w:t>
            </w:r>
          </w:p>
        </w:tc>
        <w:tc>
          <w:tcPr>
            <w:tcW w:w="961"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22</w:t>
            </w:r>
          </w:p>
        </w:tc>
        <w:tc>
          <w:tcPr>
            <w:tcW w:w="90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18</w:t>
            </w:r>
          </w:p>
        </w:tc>
        <w:tc>
          <w:tcPr>
            <w:tcW w:w="1155"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15.5</w:t>
            </w:r>
          </w:p>
        </w:tc>
        <w:tc>
          <w:tcPr>
            <w:tcW w:w="92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18</w:t>
            </w:r>
          </w:p>
        </w:tc>
        <w:tc>
          <w:tcPr>
            <w:tcW w:w="101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14.5</w:t>
            </w:r>
          </w:p>
        </w:tc>
        <w:tc>
          <w:tcPr>
            <w:tcW w:w="1118"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12.5</w:t>
            </w:r>
          </w:p>
        </w:tc>
        <w:tc>
          <w:tcPr>
            <w:tcW w:w="997" w:type="dxa"/>
            <w:vAlign w:val="center"/>
          </w:tcPr>
          <w:p w:rsidR="00481EDB" w:rsidRPr="00687B52" w:rsidRDefault="00481EDB" w:rsidP="00B527D4">
            <w:pPr>
              <w:jc w:val="center"/>
              <w:rPr>
                <w:rFonts w:ascii="黑体" w:eastAsia="黑体"/>
                <w:color w:val="000000" w:themeColor="text1"/>
                <w:spacing w:val="-10"/>
                <w:szCs w:val="21"/>
              </w:rPr>
            </w:pPr>
            <w:r w:rsidRPr="00687B52">
              <w:rPr>
                <w:rFonts w:ascii="黑体" w:eastAsia="黑体" w:hint="eastAsia"/>
                <w:color w:val="000000" w:themeColor="text1"/>
                <w:szCs w:val="21"/>
              </w:rPr>
              <w:t>18</w:t>
            </w:r>
          </w:p>
        </w:tc>
        <w:tc>
          <w:tcPr>
            <w:tcW w:w="930" w:type="dxa"/>
            <w:vAlign w:val="center"/>
          </w:tcPr>
          <w:p w:rsidR="00481EDB" w:rsidRPr="00687B52" w:rsidRDefault="00481EDB" w:rsidP="00B527D4">
            <w:pPr>
              <w:jc w:val="center"/>
              <w:rPr>
                <w:rFonts w:ascii="黑体" w:eastAsia="黑体"/>
                <w:color w:val="000000" w:themeColor="text1"/>
                <w:spacing w:val="-10"/>
                <w:szCs w:val="21"/>
              </w:rPr>
            </w:pPr>
            <w:r w:rsidRPr="00687B52">
              <w:rPr>
                <w:rFonts w:ascii="黑体" w:eastAsia="黑体" w:hint="eastAsia"/>
                <w:color w:val="000000" w:themeColor="text1"/>
                <w:szCs w:val="21"/>
              </w:rPr>
              <w:t>14.5</w:t>
            </w:r>
          </w:p>
        </w:tc>
        <w:tc>
          <w:tcPr>
            <w:tcW w:w="1062" w:type="dxa"/>
            <w:vAlign w:val="center"/>
          </w:tcPr>
          <w:p w:rsidR="00481EDB" w:rsidRPr="00687B52" w:rsidRDefault="00481EDB" w:rsidP="00B527D4">
            <w:pPr>
              <w:jc w:val="center"/>
              <w:rPr>
                <w:rFonts w:ascii="黑体" w:eastAsia="黑体"/>
                <w:color w:val="000000" w:themeColor="text1"/>
                <w:spacing w:val="-10"/>
                <w:szCs w:val="21"/>
              </w:rPr>
            </w:pPr>
            <w:r w:rsidRPr="00687B52">
              <w:rPr>
                <w:rFonts w:ascii="黑体" w:eastAsia="黑体" w:hint="eastAsia"/>
                <w:color w:val="000000" w:themeColor="text1"/>
                <w:szCs w:val="21"/>
              </w:rPr>
              <w:t>12.5</w:t>
            </w:r>
          </w:p>
        </w:tc>
      </w:tr>
      <w:tr w:rsidR="00481EDB" w:rsidRPr="00687B52" w:rsidTr="00B527D4">
        <w:trPr>
          <w:trHeight w:val="279"/>
        </w:trPr>
        <w:tc>
          <w:tcPr>
            <w:tcW w:w="2788" w:type="dxa"/>
            <w:gridSpan w:val="3"/>
            <w:vAlign w:val="center"/>
          </w:tcPr>
          <w:p w:rsidR="00481EDB" w:rsidRPr="00687B52" w:rsidRDefault="00481EDB" w:rsidP="00B527D4">
            <w:pPr>
              <w:jc w:val="center"/>
              <w:rPr>
                <w:rFonts w:ascii="宋体" w:eastAsia="黑体"/>
                <w:color w:val="000000" w:themeColor="text1"/>
                <w:spacing w:val="20"/>
                <w:szCs w:val="21"/>
              </w:rPr>
            </w:pPr>
            <w:r w:rsidRPr="00687B52">
              <w:rPr>
                <w:rFonts w:ascii="宋体" w:eastAsia="黑体" w:hint="eastAsia"/>
                <w:color w:val="000000" w:themeColor="text1"/>
                <w:spacing w:val="20"/>
                <w:szCs w:val="21"/>
              </w:rPr>
              <w:t>铁路</w:t>
            </w:r>
          </w:p>
        </w:tc>
        <w:tc>
          <w:tcPr>
            <w:tcW w:w="853"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22</w:t>
            </w:r>
          </w:p>
        </w:tc>
        <w:tc>
          <w:tcPr>
            <w:tcW w:w="85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17.5</w:t>
            </w:r>
          </w:p>
        </w:tc>
        <w:tc>
          <w:tcPr>
            <w:tcW w:w="117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15.5</w:t>
            </w:r>
          </w:p>
        </w:tc>
        <w:tc>
          <w:tcPr>
            <w:tcW w:w="961"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22</w:t>
            </w:r>
          </w:p>
        </w:tc>
        <w:tc>
          <w:tcPr>
            <w:tcW w:w="90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17.5</w:t>
            </w:r>
          </w:p>
        </w:tc>
        <w:tc>
          <w:tcPr>
            <w:tcW w:w="1155"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15.5</w:t>
            </w:r>
          </w:p>
        </w:tc>
        <w:tc>
          <w:tcPr>
            <w:tcW w:w="92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22</w:t>
            </w:r>
          </w:p>
        </w:tc>
        <w:tc>
          <w:tcPr>
            <w:tcW w:w="101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17.5</w:t>
            </w:r>
          </w:p>
        </w:tc>
        <w:tc>
          <w:tcPr>
            <w:tcW w:w="1118"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15.5</w:t>
            </w:r>
          </w:p>
        </w:tc>
        <w:tc>
          <w:tcPr>
            <w:tcW w:w="99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22</w:t>
            </w:r>
          </w:p>
        </w:tc>
        <w:tc>
          <w:tcPr>
            <w:tcW w:w="930"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17.5</w:t>
            </w:r>
          </w:p>
        </w:tc>
        <w:tc>
          <w:tcPr>
            <w:tcW w:w="1062"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15.5</w:t>
            </w:r>
          </w:p>
        </w:tc>
      </w:tr>
      <w:tr w:rsidR="00481EDB" w:rsidRPr="00687B52" w:rsidTr="00B527D4">
        <w:trPr>
          <w:trHeight w:val="279"/>
        </w:trPr>
        <w:tc>
          <w:tcPr>
            <w:tcW w:w="1033" w:type="dxa"/>
            <w:gridSpan w:val="2"/>
            <w:vMerge w:val="restart"/>
            <w:vAlign w:val="center"/>
          </w:tcPr>
          <w:p w:rsidR="00481EDB" w:rsidRPr="00687B52" w:rsidRDefault="00481EDB" w:rsidP="00B527D4">
            <w:pPr>
              <w:jc w:val="center"/>
              <w:rPr>
                <w:rFonts w:ascii="宋体" w:eastAsia="黑体"/>
                <w:dstrike/>
                <w:color w:val="000000" w:themeColor="text1"/>
                <w:szCs w:val="21"/>
              </w:rPr>
            </w:pPr>
            <w:r w:rsidRPr="00687B52">
              <w:rPr>
                <w:rFonts w:ascii="宋体" w:eastAsia="黑体" w:hint="eastAsia"/>
                <w:color w:val="000000" w:themeColor="text1"/>
                <w:szCs w:val="21"/>
              </w:rPr>
              <w:t>城市</w:t>
            </w:r>
          </w:p>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道路</w:t>
            </w:r>
          </w:p>
        </w:tc>
        <w:tc>
          <w:tcPr>
            <w:tcW w:w="1755" w:type="dxa"/>
            <w:vAlign w:val="center"/>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快速路、主干路</w:t>
            </w:r>
          </w:p>
        </w:tc>
        <w:tc>
          <w:tcPr>
            <w:tcW w:w="853"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10</w:t>
            </w:r>
          </w:p>
        </w:tc>
        <w:tc>
          <w:tcPr>
            <w:tcW w:w="85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8</w:t>
            </w:r>
          </w:p>
        </w:tc>
        <w:tc>
          <w:tcPr>
            <w:tcW w:w="117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7</w:t>
            </w:r>
          </w:p>
        </w:tc>
        <w:tc>
          <w:tcPr>
            <w:tcW w:w="961"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8</w:t>
            </w:r>
          </w:p>
        </w:tc>
        <w:tc>
          <w:tcPr>
            <w:tcW w:w="90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6.5</w:t>
            </w:r>
          </w:p>
        </w:tc>
        <w:tc>
          <w:tcPr>
            <w:tcW w:w="1155"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5.5</w:t>
            </w:r>
          </w:p>
        </w:tc>
        <w:tc>
          <w:tcPr>
            <w:tcW w:w="92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8</w:t>
            </w:r>
          </w:p>
        </w:tc>
        <w:tc>
          <w:tcPr>
            <w:tcW w:w="101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6.5</w:t>
            </w:r>
          </w:p>
        </w:tc>
        <w:tc>
          <w:tcPr>
            <w:tcW w:w="1118"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5.5</w:t>
            </w:r>
          </w:p>
        </w:tc>
        <w:tc>
          <w:tcPr>
            <w:tcW w:w="99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6</w:t>
            </w:r>
          </w:p>
        </w:tc>
        <w:tc>
          <w:tcPr>
            <w:tcW w:w="930"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5</w:t>
            </w:r>
          </w:p>
        </w:tc>
        <w:tc>
          <w:tcPr>
            <w:tcW w:w="1062"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5</w:t>
            </w:r>
          </w:p>
        </w:tc>
      </w:tr>
      <w:tr w:rsidR="00481EDB" w:rsidRPr="00687B52" w:rsidTr="00B527D4">
        <w:trPr>
          <w:trHeight w:val="279"/>
        </w:trPr>
        <w:tc>
          <w:tcPr>
            <w:tcW w:w="1033" w:type="dxa"/>
            <w:gridSpan w:val="2"/>
            <w:vMerge/>
            <w:vAlign w:val="center"/>
          </w:tcPr>
          <w:p w:rsidR="00481EDB" w:rsidRPr="00687B52" w:rsidRDefault="00481EDB" w:rsidP="00B527D4">
            <w:pPr>
              <w:jc w:val="center"/>
              <w:rPr>
                <w:rFonts w:ascii="宋体" w:eastAsia="黑体"/>
                <w:color w:val="000000" w:themeColor="text1"/>
                <w:szCs w:val="21"/>
              </w:rPr>
            </w:pPr>
          </w:p>
        </w:tc>
        <w:tc>
          <w:tcPr>
            <w:tcW w:w="1755" w:type="dxa"/>
            <w:vAlign w:val="center"/>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次干路、支路</w:t>
            </w:r>
          </w:p>
        </w:tc>
        <w:tc>
          <w:tcPr>
            <w:tcW w:w="853"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8</w:t>
            </w:r>
          </w:p>
        </w:tc>
        <w:tc>
          <w:tcPr>
            <w:tcW w:w="85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6.5</w:t>
            </w:r>
          </w:p>
        </w:tc>
        <w:tc>
          <w:tcPr>
            <w:tcW w:w="117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5.5</w:t>
            </w:r>
          </w:p>
        </w:tc>
        <w:tc>
          <w:tcPr>
            <w:tcW w:w="961"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6</w:t>
            </w:r>
          </w:p>
        </w:tc>
        <w:tc>
          <w:tcPr>
            <w:tcW w:w="90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5</w:t>
            </w:r>
          </w:p>
        </w:tc>
        <w:tc>
          <w:tcPr>
            <w:tcW w:w="1155"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5</w:t>
            </w:r>
          </w:p>
        </w:tc>
        <w:tc>
          <w:tcPr>
            <w:tcW w:w="924"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6</w:t>
            </w:r>
          </w:p>
        </w:tc>
        <w:tc>
          <w:tcPr>
            <w:tcW w:w="101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5</w:t>
            </w:r>
          </w:p>
        </w:tc>
        <w:tc>
          <w:tcPr>
            <w:tcW w:w="1118"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5</w:t>
            </w:r>
          </w:p>
        </w:tc>
        <w:tc>
          <w:tcPr>
            <w:tcW w:w="997"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5</w:t>
            </w:r>
          </w:p>
        </w:tc>
        <w:tc>
          <w:tcPr>
            <w:tcW w:w="930"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5</w:t>
            </w:r>
          </w:p>
        </w:tc>
        <w:tc>
          <w:tcPr>
            <w:tcW w:w="1062" w:type="dxa"/>
            <w:vAlign w:val="center"/>
          </w:tcPr>
          <w:p w:rsidR="00481EDB" w:rsidRPr="00687B52" w:rsidRDefault="00481EDB" w:rsidP="00B527D4">
            <w:pPr>
              <w:jc w:val="center"/>
              <w:rPr>
                <w:rFonts w:ascii="黑体" w:eastAsia="黑体"/>
                <w:color w:val="000000" w:themeColor="text1"/>
                <w:szCs w:val="21"/>
              </w:rPr>
            </w:pPr>
            <w:r w:rsidRPr="00687B52">
              <w:rPr>
                <w:rFonts w:ascii="黑体" w:eastAsia="黑体" w:hint="eastAsia"/>
                <w:color w:val="000000" w:themeColor="text1"/>
                <w:szCs w:val="21"/>
              </w:rPr>
              <w:t>5</w:t>
            </w:r>
          </w:p>
        </w:tc>
      </w:tr>
      <w:tr w:rsidR="00481EDB" w:rsidRPr="00687B52" w:rsidTr="00B527D4">
        <w:trPr>
          <w:trHeight w:val="549"/>
        </w:trPr>
        <w:tc>
          <w:tcPr>
            <w:tcW w:w="2788" w:type="dxa"/>
            <w:gridSpan w:val="3"/>
            <w:vAlign w:val="center"/>
          </w:tcPr>
          <w:p w:rsidR="00481EDB" w:rsidRPr="00687B52" w:rsidRDefault="00481EDB" w:rsidP="00B527D4">
            <w:pPr>
              <w:jc w:val="center"/>
              <w:rPr>
                <w:rFonts w:ascii="宋体" w:eastAsia="黑体"/>
                <w:color w:val="000000" w:themeColor="text1"/>
                <w:spacing w:val="-6"/>
                <w:szCs w:val="21"/>
                <w:u w:val="single"/>
              </w:rPr>
            </w:pPr>
            <w:r w:rsidRPr="00687B52">
              <w:rPr>
                <w:rFonts w:ascii="宋体" w:eastAsia="黑体" w:hint="eastAsia"/>
                <w:color w:val="000000" w:themeColor="text1"/>
                <w:spacing w:val="-6"/>
                <w:szCs w:val="21"/>
                <w:u w:val="single"/>
              </w:rPr>
              <w:t>架空通信线</w:t>
            </w:r>
          </w:p>
        </w:tc>
        <w:tc>
          <w:tcPr>
            <w:tcW w:w="2881" w:type="dxa"/>
            <w:gridSpan w:val="3"/>
            <w:vAlign w:val="center"/>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1</w:t>
            </w:r>
            <w:r w:rsidRPr="00687B52">
              <w:rPr>
                <w:rFonts w:ascii="宋体" w:eastAsia="黑体" w:hint="eastAsia"/>
                <w:color w:val="000000" w:themeColor="text1"/>
                <w:szCs w:val="21"/>
              </w:rPr>
              <w:t>倍</w:t>
            </w:r>
            <w:r w:rsidRPr="00687B52">
              <w:rPr>
                <w:rFonts w:ascii="宋体" w:eastAsia="黑体" w:hint="eastAsia"/>
                <w:color w:val="000000" w:themeColor="text1"/>
                <w:szCs w:val="21"/>
                <w:u w:val="single"/>
              </w:rPr>
              <w:t>杆</w:t>
            </w:r>
            <w:r w:rsidRPr="00687B52">
              <w:rPr>
                <w:rFonts w:ascii="宋体" w:eastAsia="黑体" w:hint="eastAsia"/>
                <w:color w:val="000000" w:themeColor="text1"/>
                <w:szCs w:val="21"/>
              </w:rPr>
              <w:t>高，</w:t>
            </w:r>
          </w:p>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且不应小于</w:t>
            </w:r>
            <w:r w:rsidRPr="00687B52">
              <w:rPr>
                <w:rFonts w:ascii="宋体" w:eastAsia="黑体" w:hint="eastAsia"/>
                <w:color w:val="000000" w:themeColor="text1"/>
                <w:szCs w:val="21"/>
              </w:rPr>
              <w:t>5m</w:t>
            </w:r>
          </w:p>
        </w:tc>
        <w:tc>
          <w:tcPr>
            <w:tcW w:w="3023" w:type="dxa"/>
            <w:gridSpan w:val="3"/>
            <w:vAlign w:val="center"/>
          </w:tcPr>
          <w:p w:rsidR="00481EDB" w:rsidRPr="00687B52" w:rsidRDefault="00481EDB" w:rsidP="00B527D4">
            <w:pPr>
              <w:jc w:val="center"/>
              <w:rPr>
                <w:rFonts w:ascii="黑体" w:eastAsia="黑体"/>
                <w:color w:val="000000" w:themeColor="text1"/>
                <w:kern w:val="0"/>
                <w:szCs w:val="21"/>
              </w:rPr>
            </w:pPr>
            <w:r w:rsidRPr="00687B52">
              <w:rPr>
                <w:rFonts w:ascii="宋体" w:eastAsia="黑体" w:hint="eastAsia"/>
                <w:color w:val="000000" w:themeColor="text1"/>
                <w:szCs w:val="21"/>
              </w:rPr>
              <w:t>5</w:t>
            </w:r>
          </w:p>
        </w:tc>
        <w:tc>
          <w:tcPr>
            <w:tcW w:w="3059" w:type="dxa"/>
            <w:gridSpan w:val="3"/>
            <w:vAlign w:val="center"/>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5</w:t>
            </w:r>
          </w:p>
        </w:tc>
        <w:tc>
          <w:tcPr>
            <w:tcW w:w="2989" w:type="dxa"/>
            <w:gridSpan w:val="3"/>
            <w:vAlign w:val="center"/>
          </w:tcPr>
          <w:p w:rsidR="00481EDB" w:rsidRPr="00687B52" w:rsidRDefault="00481EDB" w:rsidP="00B527D4">
            <w:pPr>
              <w:jc w:val="center"/>
              <w:rPr>
                <w:rFonts w:ascii="宋体" w:eastAsia="黑体"/>
                <w:color w:val="000000" w:themeColor="text1"/>
                <w:spacing w:val="-20"/>
                <w:szCs w:val="21"/>
              </w:rPr>
            </w:pPr>
            <w:r w:rsidRPr="00687B52">
              <w:rPr>
                <w:rFonts w:ascii="宋体" w:eastAsia="黑体" w:hint="eastAsia"/>
                <w:color w:val="000000" w:themeColor="text1"/>
                <w:spacing w:val="10"/>
                <w:szCs w:val="21"/>
              </w:rPr>
              <w:t>5</w:t>
            </w:r>
          </w:p>
        </w:tc>
      </w:tr>
      <w:tr w:rsidR="00481EDB" w:rsidRPr="00687B52" w:rsidTr="00B527D4">
        <w:trPr>
          <w:trHeight w:val="549"/>
        </w:trPr>
        <w:tc>
          <w:tcPr>
            <w:tcW w:w="1033" w:type="dxa"/>
            <w:gridSpan w:val="2"/>
            <w:vMerge w:val="restart"/>
            <w:vAlign w:val="center"/>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架空电力线路</w:t>
            </w:r>
          </w:p>
        </w:tc>
        <w:tc>
          <w:tcPr>
            <w:tcW w:w="1755" w:type="dxa"/>
            <w:vAlign w:val="center"/>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无绝缘层</w:t>
            </w:r>
          </w:p>
        </w:tc>
        <w:tc>
          <w:tcPr>
            <w:tcW w:w="2881" w:type="dxa"/>
            <w:gridSpan w:val="3"/>
            <w:vAlign w:val="center"/>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1.5</w:t>
            </w:r>
            <w:r w:rsidRPr="00687B52">
              <w:rPr>
                <w:rFonts w:ascii="宋体" w:eastAsia="黑体" w:hint="eastAsia"/>
                <w:color w:val="000000" w:themeColor="text1"/>
                <w:szCs w:val="21"/>
              </w:rPr>
              <w:t>倍杆（塔）高，</w:t>
            </w:r>
          </w:p>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且不应小于</w:t>
            </w:r>
            <w:r w:rsidRPr="00687B52">
              <w:rPr>
                <w:rFonts w:ascii="宋体" w:eastAsia="黑体" w:hint="eastAsia"/>
                <w:color w:val="000000" w:themeColor="text1"/>
                <w:szCs w:val="21"/>
              </w:rPr>
              <w:t>6.5m</w:t>
            </w:r>
          </w:p>
        </w:tc>
        <w:tc>
          <w:tcPr>
            <w:tcW w:w="3023" w:type="dxa"/>
            <w:gridSpan w:val="3"/>
            <w:vAlign w:val="center"/>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1</w:t>
            </w:r>
            <w:r w:rsidRPr="00687B52">
              <w:rPr>
                <w:rFonts w:ascii="宋体" w:eastAsia="黑体" w:hint="eastAsia"/>
                <w:color w:val="000000" w:themeColor="text1"/>
                <w:szCs w:val="21"/>
              </w:rPr>
              <w:t>倍杆（塔）高，</w:t>
            </w:r>
          </w:p>
          <w:p w:rsidR="00481EDB" w:rsidRPr="00687B52" w:rsidRDefault="00481EDB" w:rsidP="00B527D4">
            <w:pPr>
              <w:jc w:val="center"/>
              <w:rPr>
                <w:rFonts w:ascii="黑体" w:eastAsia="黑体"/>
                <w:color w:val="000000" w:themeColor="text1"/>
                <w:kern w:val="0"/>
                <w:szCs w:val="21"/>
              </w:rPr>
            </w:pPr>
            <w:r w:rsidRPr="00687B52">
              <w:rPr>
                <w:rFonts w:ascii="宋体" w:eastAsia="黑体" w:hint="eastAsia"/>
                <w:color w:val="000000" w:themeColor="text1"/>
                <w:szCs w:val="21"/>
              </w:rPr>
              <w:t>且不应小于</w:t>
            </w:r>
            <w:r w:rsidRPr="00687B52">
              <w:rPr>
                <w:rFonts w:ascii="宋体" w:eastAsia="黑体" w:hint="eastAsia"/>
                <w:color w:val="000000" w:themeColor="text1"/>
                <w:szCs w:val="21"/>
              </w:rPr>
              <w:t>6.5m</w:t>
            </w:r>
          </w:p>
        </w:tc>
        <w:tc>
          <w:tcPr>
            <w:tcW w:w="3059" w:type="dxa"/>
            <w:gridSpan w:val="3"/>
            <w:vAlign w:val="center"/>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6.5</w:t>
            </w:r>
          </w:p>
        </w:tc>
        <w:tc>
          <w:tcPr>
            <w:tcW w:w="2989" w:type="dxa"/>
            <w:gridSpan w:val="3"/>
            <w:vAlign w:val="center"/>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6.5</w:t>
            </w:r>
          </w:p>
        </w:tc>
      </w:tr>
      <w:tr w:rsidR="00481EDB" w:rsidRPr="00687B52" w:rsidTr="00B527D4">
        <w:trPr>
          <w:trHeight w:val="557"/>
        </w:trPr>
        <w:tc>
          <w:tcPr>
            <w:tcW w:w="1033" w:type="dxa"/>
            <w:gridSpan w:val="2"/>
            <w:vMerge/>
            <w:vAlign w:val="center"/>
          </w:tcPr>
          <w:p w:rsidR="00481EDB" w:rsidRPr="00687B52" w:rsidRDefault="00481EDB" w:rsidP="00B527D4">
            <w:pPr>
              <w:jc w:val="center"/>
              <w:rPr>
                <w:rFonts w:ascii="宋体" w:eastAsia="黑体"/>
                <w:color w:val="000000" w:themeColor="text1"/>
                <w:szCs w:val="21"/>
              </w:rPr>
            </w:pPr>
          </w:p>
        </w:tc>
        <w:tc>
          <w:tcPr>
            <w:tcW w:w="1755" w:type="dxa"/>
            <w:vAlign w:val="center"/>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有绝缘层</w:t>
            </w:r>
          </w:p>
        </w:tc>
        <w:tc>
          <w:tcPr>
            <w:tcW w:w="2881" w:type="dxa"/>
            <w:gridSpan w:val="3"/>
            <w:vAlign w:val="center"/>
          </w:tcPr>
          <w:p w:rsidR="00481EDB" w:rsidRPr="00687B52" w:rsidRDefault="00481EDB" w:rsidP="00B527D4">
            <w:pPr>
              <w:jc w:val="center"/>
              <w:rPr>
                <w:rFonts w:ascii="宋体" w:eastAsia="黑体"/>
                <w:color w:val="000000" w:themeColor="text1"/>
                <w:spacing w:val="-10"/>
                <w:szCs w:val="21"/>
              </w:rPr>
            </w:pPr>
            <w:r w:rsidRPr="00687B52">
              <w:rPr>
                <w:rFonts w:ascii="宋体" w:eastAsia="黑体" w:hint="eastAsia"/>
                <w:color w:val="000000" w:themeColor="text1"/>
                <w:spacing w:val="-10"/>
                <w:szCs w:val="21"/>
              </w:rPr>
              <w:t>1</w:t>
            </w:r>
            <w:r w:rsidRPr="00687B52">
              <w:rPr>
                <w:rFonts w:ascii="宋体" w:eastAsia="黑体" w:hint="eastAsia"/>
                <w:color w:val="000000" w:themeColor="text1"/>
                <w:spacing w:val="-10"/>
                <w:szCs w:val="21"/>
              </w:rPr>
              <w:t>倍杆（塔）高，</w:t>
            </w:r>
          </w:p>
          <w:p w:rsidR="00481EDB" w:rsidRPr="00687B52" w:rsidRDefault="00481EDB" w:rsidP="00B527D4">
            <w:pPr>
              <w:jc w:val="center"/>
              <w:rPr>
                <w:rFonts w:ascii="宋体" w:eastAsia="黑体"/>
                <w:color w:val="000000" w:themeColor="text1"/>
                <w:spacing w:val="-10"/>
                <w:szCs w:val="21"/>
              </w:rPr>
            </w:pPr>
            <w:r w:rsidRPr="00687B52">
              <w:rPr>
                <w:rFonts w:ascii="宋体" w:eastAsia="黑体" w:hint="eastAsia"/>
                <w:color w:val="000000" w:themeColor="text1"/>
                <w:szCs w:val="21"/>
              </w:rPr>
              <w:t>且不应小于</w:t>
            </w:r>
            <w:r w:rsidRPr="00687B52">
              <w:rPr>
                <w:rFonts w:ascii="宋体" w:eastAsia="黑体" w:hint="eastAsia"/>
                <w:color w:val="000000" w:themeColor="text1"/>
                <w:szCs w:val="21"/>
              </w:rPr>
              <w:t>5m</w:t>
            </w:r>
          </w:p>
        </w:tc>
        <w:tc>
          <w:tcPr>
            <w:tcW w:w="3023" w:type="dxa"/>
            <w:gridSpan w:val="3"/>
            <w:vAlign w:val="center"/>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zCs w:val="21"/>
              </w:rPr>
              <w:t>0.75</w:t>
            </w:r>
            <w:r w:rsidRPr="00687B52">
              <w:rPr>
                <w:rFonts w:ascii="宋体" w:eastAsia="黑体" w:hint="eastAsia"/>
                <w:color w:val="000000" w:themeColor="text1"/>
                <w:szCs w:val="21"/>
              </w:rPr>
              <w:t>倍杆（塔）高，</w:t>
            </w:r>
          </w:p>
          <w:p w:rsidR="00481EDB" w:rsidRPr="00687B52" w:rsidRDefault="00481EDB" w:rsidP="00B527D4">
            <w:pPr>
              <w:jc w:val="center"/>
              <w:rPr>
                <w:rFonts w:ascii="黑体" w:eastAsia="黑体"/>
                <w:color w:val="000000" w:themeColor="text1"/>
                <w:spacing w:val="-20"/>
                <w:kern w:val="0"/>
                <w:szCs w:val="21"/>
              </w:rPr>
            </w:pPr>
            <w:r w:rsidRPr="00687B52">
              <w:rPr>
                <w:rFonts w:ascii="宋体" w:eastAsia="黑体" w:hint="eastAsia"/>
                <w:color w:val="000000" w:themeColor="text1"/>
                <w:szCs w:val="21"/>
              </w:rPr>
              <w:t>且不应小于</w:t>
            </w:r>
            <w:r w:rsidRPr="00687B52">
              <w:rPr>
                <w:rFonts w:ascii="宋体" w:eastAsia="黑体" w:hint="eastAsia"/>
                <w:color w:val="000000" w:themeColor="text1"/>
                <w:szCs w:val="21"/>
              </w:rPr>
              <w:t>5m</w:t>
            </w:r>
          </w:p>
        </w:tc>
        <w:tc>
          <w:tcPr>
            <w:tcW w:w="3059" w:type="dxa"/>
            <w:gridSpan w:val="3"/>
            <w:vAlign w:val="center"/>
          </w:tcPr>
          <w:p w:rsidR="00481EDB" w:rsidRPr="00687B52" w:rsidRDefault="00481EDB" w:rsidP="00B527D4">
            <w:pPr>
              <w:jc w:val="center"/>
              <w:rPr>
                <w:rFonts w:ascii="宋体" w:eastAsia="黑体"/>
                <w:color w:val="000000" w:themeColor="text1"/>
                <w:spacing w:val="-10"/>
                <w:szCs w:val="21"/>
              </w:rPr>
            </w:pPr>
            <w:r w:rsidRPr="00687B52">
              <w:rPr>
                <w:rFonts w:ascii="宋体" w:eastAsia="黑体" w:hint="eastAsia"/>
                <w:color w:val="000000" w:themeColor="text1"/>
                <w:spacing w:val="10"/>
                <w:szCs w:val="21"/>
              </w:rPr>
              <w:t>5</w:t>
            </w:r>
          </w:p>
        </w:tc>
        <w:tc>
          <w:tcPr>
            <w:tcW w:w="2989" w:type="dxa"/>
            <w:gridSpan w:val="3"/>
            <w:vAlign w:val="center"/>
          </w:tcPr>
          <w:p w:rsidR="00481EDB" w:rsidRPr="00687B52" w:rsidRDefault="00481EDB" w:rsidP="00B527D4">
            <w:pPr>
              <w:jc w:val="center"/>
              <w:rPr>
                <w:rFonts w:ascii="宋体" w:eastAsia="黑体"/>
                <w:color w:val="000000" w:themeColor="text1"/>
                <w:szCs w:val="21"/>
              </w:rPr>
            </w:pPr>
            <w:r w:rsidRPr="00687B52">
              <w:rPr>
                <w:rFonts w:ascii="宋体" w:eastAsia="黑体" w:hint="eastAsia"/>
                <w:color w:val="000000" w:themeColor="text1"/>
                <w:spacing w:val="10"/>
                <w:szCs w:val="21"/>
              </w:rPr>
              <w:t>5</w:t>
            </w:r>
          </w:p>
        </w:tc>
      </w:tr>
    </w:tbl>
    <w:p w:rsidR="00481EDB" w:rsidRPr="00687B52" w:rsidRDefault="00481EDB" w:rsidP="00481EDB">
      <w:pPr>
        <w:spacing w:line="400" w:lineRule="exact"/>
        <w:ind w:left="711" w:hanging="711"/>
        <w:jc w:val="left"/>
        <w:rPr>
          <w:rFonts w:ascii="宋体" w:eastAsia="黑体"/>
          <w:color w:val="000000" w:themeColor="text1"/>
          <w:spacing w:val="10"/>
          <w:szCs w:val="21"/>
        </w:rPr>
      </w:pPr>
      <w:r w:rsidRPr="00687B52">
        <w:rPr>
          <w:rFonts w:ascii="宋体" w:eastAsia="黑体" w:hint="eastAsia"/>
          <w:color w:val="000000" w:themeColor="text1"/>
          <w:spacing w:val="10"/>
          <w:szCs w:val="21"/>
        </w:rPr>
        <w:t>注：</w:t>
      </w:r>
      <w:r w:rsidRPr="00687B52">
        <w:rPr>
          <w:rFonts w:ascii="宋体" w:eastAsia="黑体" w:hint="eastAsia"/>
          <w:color w:val="000000" w:themeColor="text1"/>
          <w:spacing w:val="10"/>
          <w:szCs w:val="21"/>
        </w:rPr>
        <w:t>1</w:t>
      </w:r>
      <w:r w:rsidRPr="00687B52">
        <w:rPr>
          <w:rFonts w:ascii="宋体" w:eastAsia="黑体" w:hint="eastAsia"/>
          <w:color w:val="000000" w:themeColor="text1"/>
          <w:spacing w:val="10"/>
          <w:szCs w:val="21"/>
        </w:rPr>
        <w:t>室外变、配电站指电力系统电压为</w:t>
      </w:r>
      <w:r w:rsidRPr="00687B52">
        <w:rPr>
          <w:rFonts w:ascii="宋体" w:eastAsia="黑体" w:hint="eastAsia"/>
          <w:color w:val="000000" w:themeColor="text1"/>
          <w:spacing w:val="10"/>
          <w:szCs w:val="21"/>
        </w:rPr>
        <w:t>35 kV</w:t>
      </w:r>
      <w:r w:rsidRPr="00687B52">
        <w:rPr>
          <w:rFonts w:ascii="宋体" w:eastAsia="黑体" w:hint="eastAsia"/>
          <w:color w:val="000000" w:themeColor="text1"/>
          <w:spacing w:val="10"/>
          <w:szCs w:val="21"/>
        </w:rPr>
        <w:t>～</w:t>
      </w:r>
      <w:r w:rsidRPr="00687B52">
        <w:rPr>
          <w:rFonts w:ascii="宋体" w:eastAsia="黑体" w:hint="eastAsia"/>
          <w:color w:val="000000" w:themeColor="text1"/>
          <w:spacing w:val="10"/>
          <w:szCs w:val="21"/>
        </w:rPr>
        <w:t>500kV</w:t>
      </w:r>
      <w:r w:rsidRPr="00687B52">
        <w:rPr>
          <w:rFonts w:ascii="宋体" w:eastAsia="黑体" w:hint="eastAsia"/>
          <w:color w:val="000000" w:themeColor="text1"/>
          <w:spacing w:val="10"/>
          <w:szCs w:val="21"/>
        </w:rPr>
        <w:t>，且每台变压器容量在</w:t>
      </w:r>
      <w:r w:rsidRPr="00687B52">
        <w:rPr>
          <w:rFonts w:ascii="宋体" w:eastAsia="黑体" w:hint="eastAsia"/>
          <w:color w:val="000000" w:themeColor="text1"/>
          <w:spacing w:val="10"/>
          <w:szCs w:val="21"/>
        </w:rPr>
        <w:t>10MV</w:t>
      </w:r>
      <w:r w:rsidRPr="00687B52">
        <w:rPr>
          <w:rFonts w:ascii="宋体" w:hAnsi="宋体" w:cs="宋体" w:hint="eastAsia"/>
          <w:color w:val="000000" w:themeColor="text1"/>
          <w:spacing w:val="10"/>
          <w:szCs w:val="21"/>
        </w:rPr>
        <w:t>•A以上的</w:t>
      </w:r>
      <w:r w:rsidRPr="00687B52">
        <w:rPr>
          <w:rFonts w:ascii="宋体" w:eastAsia="黑体" w:hint="eastAsia"/>
          <w:color w:val="000000" w:themeColor="text1"/>
          <w:spacing w:val="10"/>
          <w:szCs w:val="21"/>
        </w:rPr>
        <w:t>室外变、配电站，以及工业企业的变压器总油量大于</w:t>
      </w:r>
      <w:r w:rsidRPr="00687B52">
        <w:rPr>
          <w:rFonts w:ascii="宋体" w:eastAsia="黑体" w:hint="eastAsia"/>
          <w:color w:val="000000" w:themeColor="text1"/>
          <w:spacing w:val="10"/>
          <w:szCs w:val="21"/>
        </w:rPr>
        <w:t>5t</w:t>
      </w:r>
      <w:r w:rsidRPr="00687B52">
        <w:rPr>
          <w:rFonts w:ascii="宋体" w:eastAsia="黑体" w:hint="eastAsia"/>
          <w:color w:val="000000" w:themeColor="text1"/>
          <w:spacing w:val="10"/>
          <w:szCs w:val="21"/>
        </w:rPr>
        <w:t>的室外降压变电站。其他规格的室外变、配电站或变压器应按</w:t>
      </w:r>
      <w:r w:rsidRPr="00687B52">
        <w:rPr>
          <w:rFonts w:ascii="宋体" w:eastAsia="黑体" w:hint="eastAsia"/>
          <w:color w:val="000000" w:themeColor="text1"/>
          <w:spacing w:val="-6"/>
          <w:szCs w:val="21"/>
        </w:rPr>
        <w:t>丙</w:t>
      </w:r>
      <w:r w:rsidRPr="00687B52">
        <w:rPr>
          <w:rFonts w:ascii="宋体" w:eastAsia="黑体" w:hint="eastAsia"/>
          <w:color w:val="000000" w:themeColor="text1"/>
          <w:spacing w:val="10"/>
          <w:szCs w:val="21"/>
        </w:rPr>
        <w:t>类物品生产厂房确定。</w:t>
      </w:r>
    </w:p>
    <w:p w:rsidR="00481EDB" w:rsidRPr="00687B52" w:rsidRDefault="00481EDB" w:rsidP="00481EDB">
      <w:pPr>
        <w:spacing w:line="400" w:lineRule="exact"/>
        <w:ind w:leftChars="219" w:left="711" w:hangingChars="109" w:hanging="251"/>
        <w:jc w:val="left"/>
        <w:rPr>
          <w:rFonts w:ascii="宋体" w:eastAsia="黑体"/>
          <w:color w:val="000000" w:themeColor="text1"/>
          <w:spacing w:val="10"/>
          <w:szCs w:val="21"/>
        </w:rPr>
      </w:pPr>
      <w:r w:rsidRPr="00687B52">
        <w:rPr>
          <w:rFonts w:ascii="宋体" w:eastAsia="黑体" w:hint="eastAsia"/>
          <w:color w:val="000000" w:themeColor="text1"/>
          <w:spacing w:val="10"/>
          <w:szCs w:val="21"/>
        </w:rPr>
        <w:t>2</w:t>
      </w:r>
      <w:r w:rsidRPr="00687B52">
        <w:rPr>
          <w:rFonts w:ascii="宋体" w:eastAsia="黑体" w:hint="eastAsia"/>
          <w:color w:val="000000" w:themeColor="text1"/>
          <w:spacing w:val="10"/>
          <w:szCs w:val="21"/>
        </w:rPr>
        <w:t>表中道路系指机动车道路。油罐、加油机</w:t>
      </w:r>
      <w:r w:rsidRPr="00687B52">
        <w:rPr>
          <w:rFonts w:ascii="黑体" w:eastAsia="黑体" w:hAnsi="宋体" w:hint="eastAsia"/>
          <w:color w:val="000000" w:themeColor="text1"/>
          <w:spacing w:val="10"/>
          <w:szCs w:val="21"/>
        </w:rPr>
        <w:t>和油罐通气管管口</w:t>
      </w:r>
      <w:r w:rsidRPr="00687B52">
        <w:rPr>
          <w:rFonts w:ascii="宋体" w:eastAsia="黑体" w:hint="eastAsia"/>
          <w:color w:val="000000" w:themeColor="text1"/>
          <w:spacing w:val="10"/>
          <w:szCs w:val="21"/>
        </w:rPr>
        <w:t>与郊区公路的</w:t>
      </w:r>
      <w:r w:rsidRPr="00687B52">
        <w:rPr>
          <w:rFonts w:ascii="黑体" w:eastAsia="黑体" w:hint="eastAsia"/>
          <w:color w:val="000000" w:themeColor="text1"/>
          <w:spacing w:val="10"/>
          <w:szCs w:val="21"/>
        </w:rPr>
        <w:t>安全</w:t>
      </w:r>
      <w:r w:rsidRPr="00687B52">
        <w:rPr>
          <w:rFonts w:ascii="宋体" w:eastAsia="黑体" w:hint="eastAsia"/>
          <w:color w:val="000000" w:themeColor="text1"/>
          <w:spacing w:val="10"/>
          <w:szCs w:val="21"/>
        </w:rPr>
        <w:t>间距应按城市道路确定，高速公路、一级和二级公路应按城市快速路、主干路确定；三级和四级公路应按城市次干路、支路确定</w:t>
      </w:r>
      <w:r w:rsidRPr="00687B52">
        <w:rPr>
          <w:rFonts w:eastAsia="黑体" w:hint="eastAsia"/>
          <w:color w:val="000000" w:themeColor="text1"/>
          <w:spacing w:val="10"/>
          <w:szCs w:val="21"/>
        </w:rPr>
        <w:t>。</w:t>
      </w:r>
    </w:p>
    <w:p w:rsidR="00481EDB" w:rsidRPr="00687B52" w:rsidRDefault="00481EDB" w:rsidP="00481EDB">
      <w:pPr>
        <w:spacing w:line="400" w:lineRule="exact"/>
        <w:ind w:leftChars="219" w:left="711" w:hangingChars="109" w:hanging="251"/>
        <w:jc w:val="left"/>
        <w:rPr>
          <w:rFonts w:ascii="宋体" w:eastAsia="黑体"/>
          <w:color w:val="000000" w:themeColor="text1"/>
          <w:spacing w:val="10"/>
          <w:szCs w:val="21"/>
        </w:rPr>
      </w:pPr>
      <w:r w:rsidRPr="00687B52">
        <w:rPr>
          <w:rFonts w:ascii="宋体" w:eastAsia="黑体" w:hint="eastAsia"/>
          <w:color w:val="000000" w:themeColor="text1"/>
          <w:spacing w:val="10"/>
          <w:szCs w:val="21"/>
        </w:rPr>
        <w:t xml:space="preserve">3 </w:t>
      </w:r>
      <w:r w:rsidRPr="00687B52">
        <w:rPr>
          <w:rFonts w:ascii="宋体" w:eastAsia="黑体" w:hint="eastAsia"/>
          <w:color w:val="000000" w:themeColor="text1"/>
          <w:spacing w:val="10"/>
          <w:szCs w:val="21"/>
        </w:rPr>
        <w:t>与重要公共建筑物的主要出入口（包括铁路、地铁和二级及以上公路的隧道出入口）尚不应小于</w:t>
      </w:r>
      <w:r w:rsidRPr="00687B52">
        <w:rPr>
          <w:rFonts w:ascii="宋体" w:eastAsia="黑体" w:hint="eastAsia"/>
          <w:color w:val="000000" w:themeColor="text1"/>
          <w:spacing w:val="10"/>
          <w:szCs w:val="21"/>
        </w:rPr>
        <w:t>50m</w:t>
      </w:r>
      <w:r w:rsidRPr="00687B52">
        <w:rPr>
          <w:rFonts w:ascii="宋体" w:eastAsia="黑体" w:hint="eastAsia"/>
          <w:color w:val="000000" w:themeColor="text1"/>
          <w:spacing w:val="10"/>
          <w:szCs w:val="21"/>
        </w:rPr>
        <w:t>。</w:t>
      </w:r>
    </w:p>
    <w:p w:rsidR="00481EDB" w:rsidRPr="00687B52" w:rsidRDefault="00481EDB" w:rsidP="00481EDB">
      <w:pPr>
        <w:spacing w:line="400" w:lineRule="exact"/>
        <w:ind w:leftChars="200" w:left="629" w:hangingChars="91" w:hanging="209"/>
        <w:rPr>
          <w:rFonts w:ascii="宋体" w:eastAsia="黑体"/>
          <w:color w:val="000000" w:themeColor="text1"/>
          <w:spacing w:val="10"/>
          <w:szCs w:val="21"/>
        </w:rPr>
      </w:pPr>
      <w:r w:rsidRPr="00687B52">
        <w:rPr>
          <w:rFonts w:ascii="宋体" w:eastAsia="黑体" w:hint="eastAsia"/>
          <w:color w:val="000000" w:themeColor="text1"/>
          <w:spacing w:val="10"/>
          <w:szCs w:val="21"/>
        </w:rPr>
        <w:t xml:space="preserve">4 </w:t>
      </w:r>
      <w:r w:rsidRPr="00687B52">
        <w:rPr>
          <w:rFonts w:ascii="宋体" w:eastAsia="黑体" w:hint="eastAsia"/>
          <w:color w:val="000000" w:themeColor="text1"/>
          <w:spacing w:val="10"/>
          <w:szCs w:val="21"/>
        </w:rPr>
        <w:t>一、二级耐火等级民用建筑物面向加油站一侧的墙为无门窗洞口的实体墙时，油罐、加油机和通气管管口与该民用建筑物的距离，不应低于本表规定的安全间距的</w:t>
      </w:r>
      <w:r w:rsidRPr="00687B52">
        <w:rPr>
          <w:rFonts w:ascii="宋体" w:eastAsia="黑体" w:hint="eastAsia"/>
          <w:color w:val="000000" w:themeColor="text1"/>
          <w:spacing w:val="10"/>
          <w:szCs w:val="21"/>
        </w:rPr>
        <w:t>70%</w:t>
      </w:r>
      <w:r w:rsidRPr="00687B52">
        <w:rPr>
          <w:rFonts w:ascii="宋体" w:eastAsia="黑体" w:hint="eastAsia"/>
          <w:color w:val="000000" w:themeColor="text1"/>
          <w:spacing w:val="10"/>
          <w:szCs w:val="21"/>
        </w:rPr>
        <w:t>，并不得小于</w:t>
      </w:r>
      <w:r w:rsidRPr="00687B52">
        <w:rPr>
          <w:rFonts w:ascii="宋体" w:eastAsia="黑体" w:hint="eastAsia"/>
          <w:color w:val="000000" w:themeColor="text1"/>
          <w:spacing w:val="10"/>
          <w:szCs w:val="21"/>
        </w:rPr>
        <w:t>6</w:t>
      </w:r>
      <w:r w:rsidRPr="00687B52">
        <w:rPr>
          <w:rFonts w:ascii="宋体" w:eastAsia="黑体"/>
          <w:color w:val="000000" w:themeColor="text1"/>
          <w:spacing w:val="10"/>
          <w:szCs w:val="21"/>
        </w:rPr>
        <w:t>m</w:t>
      </w:r>
      <w:r w:rsidRPr="00687B52">
        <w:rPr>
          <w:rFonts w:ascii="宋体" w:eastAsia="黑体" w:hint="eastAsia"/>
          <w:color w:val="000000" w:themeColor="text1"/>
          <w:spacing w:val="10"/>
          <w:szCs w:val="21"/>
        </w:rPr>
        <w:t>。</w:t>
      </w:r>
    </w:p>
    <w:p w:rsidR="00980275" w:rsidRPr="00687B52" w:rsidRDefault="00980275" w:rsidP="00481EDB">
      <w:pPr>
        <w:spacing w:line="400" w:lineRule="exact"/>
        <w:ind w:leftChars="200" w:left="629" w:hangingChars="91" w:hanging="209"/>
        <w:rPr>
          <w:rFonts w:ascii="宋体" w:eastAsia="黑体"/>
          <w:color w:val="000000" w:themeColor="text1"/>
          <w:spacing w:val="10"/>
          <w:szCs w:val="21"/>
        </w:rPr>
      </w:pPr>
    </w:p>
    <w:p w:rsidR="00980275" w:rsidRPr="00687B52" w:rsidRDefault="00980275" w:rsidP="00481EDB">
      <w:pPr>
        <w:spacing w:line="400" w:lineRule="exact"/>
        <w:ind w:leftChars="200" w:left="629" w:hangingChars="91" w:hanging="209"/>
        <w:rPr>
          <w:rFonts w:ascii="宋体" w:eastAsia="黑体"/>
          <w:color w:val="000000" w:themeColor="text1"/>
          <w:spacing w:val="10"/>
          <w:szCs w:val="21"/>
        </w:rPr>
      </w:pPr>
    </w:p>
    <w:p w:rsidR="00980275" w:rsidRPr="00687B52" w:rsidRDefault="00980275" w:rsidP="00481EDB">
      <w:pPr>
        <w:spacing w:line="400" w:lineRule="exact"/>
        <w:ind w:leftChars="200" w:left="629" w:hangingChars="91" w:hanging="209"/>
        <w:rPr>
          <w:rFonts w:ascii="宋体" w:eastAsia="黑体"/>
          <w:color w:val="000000" w:themeColor="text1"/>
          <w:spacing w:val="10"/>
          <w:szCs w:val="21"/>
        </w:rPr>
      </w:pPr>
    </w:p>
    <w:p w:rsidR="00980275" w:rsidRPr="00687B52" w:rsidRDefault="00980275" w:rsidP="00481EDB">
      <w:pPr>
        <w:spacing w:line="400" w:lineRule="exact"/>
        <w:ind w:leftChars="200" w:left="629" w:hangingChars="91" w:hanging="209"/>
        <w:rPr>
          <w:rFonts w:ascii="宋体" w:eastAsia="黑体"/>
          <w:color w:val="000000" w:themeColor="text1"/>
          <w:spacing w:val="10"/>
          <w:szCs w:val="21"/>
        </w:rPr>
        <w:sectPr w:rsidR="00980275" w:rsidRPr="00687B52" w:rsidSect="00B527D4">
          <w:pgSz w:w="16838" w:h="11906" w:orient="landscape"/>
          <w:pgMar w:top="1440" w:right="1797" w:bottom="1440" w:left="1797" w:header="851" w:footer="907" w:gutter="0"/>
          <w:cols w:space="425"/>
          <w:docGrid w:type="lines" w:linePitch="312"/>
        </w:sectPr>
      </w:pPr>
    </w:p>
    <w:p w:rsidR="00481EDB" w:rsidRPr="00687B52" w:rsidRDefault="00481EDB" w:rsidP="00856B6C">
      <w:pPr>
        <w:pStyle w:val="afd"/>
        <w:rPr>
          <w:color w:val="000000" w:themeColor="text1"/>
        </w:rPr>
      </w:pPr>
      <w:bookmarkStart w:id="223" w:name="_Toc491870830"/>
      <w:bookmarkStart w:id="224" w:name="_Toc492563485"/>
      <w:bookmarkStart w:id="225" w:name="_Toc493857086"/>
      <w:r w:rsidRPr="00687B52">
        <w:rPr>
          <w:rFonts w:hint="eastAsia"/>
          <w:color w:val="000000" w:themeColor="text1"/>
        </w:rPr>
        <w:t>表</w:t>
      </w:r>
      <w:r w:rsidRPr="00687B52">
        <w:rPr>
          <w:rFonts w:hint="eastAsia"/>
          <w:color w:val="000000" w:themeColor="text1"/>
        </w:rPr>
        <w:t xml:space="preserve">5.0.13-1 </w:t>
      </w:r>
      <w:r w:rsidRPr="00687B52">
        <w:rPr>
          <w:rFonts w:hint="eastAsia"/>
          <w:color w:val="000000" w:themeColor="text1"/>
        </w:rPr>
        <w:t>站内设施的防火间距</w:t>
      </w:r>
      <w:r w:rsidRPr="00687B52">
        <w:rPr>
          <w:rFonts w:hint="eastAsia"/>
          <w:color w:val="000000" w:themeColor="text1"/>
        </w:rPr>
        <w:t xml:space="preserve"> (m)</w:t>
      </w:r>
      <w:bookmarkEnd w:id="223"/>
      <w:bookmarkEnd w:id="224"/>
      <w:bookmarkEnd w:id="225"/>
    </w:p>
    <w:tbl>
      <w:tblPr>
        <w:tblW w:w="15240" w:type="dxa"/>
        <w:tblInd w:w="-997" w:type="dxa"/>
        <w:tblLayout w:type="fixed"/>
        <w:tblCellMar>
          <w:left w:w="28" w:type="dxa"/>
          <w:right w:w="28" w:type="dxa"/>
        </w:tblCellMar>
        <w:tblLook w:val="04A0" w:firstRow="1" w:lastRow="0" w:firstColumn="1" w:lastColumn="0" w:noHBand="0" w:noVBand="1"/>
      </w:tblPr>
      <w:tblGrid>
        <w:gridCol w:w="325"/>
        <w:gridCol w:w="480"/>
        <w:gridCol w:w="764"/>
        <w:gridCol w:w="520"/>
        <w:gridCol w:w="595"/>
        <w:gridCol w:w="520"/>
        <w:gridCol w:w="595"/>
        <w:gridCol w:w="520"/>
        <w:gridCol w:w="445"/>
        <w:gridCol w:w="521"/>
        <w:gridCol w:w="521"/>
        <w:gridCol w:w="520"/>
        <w:gridCol w:w="445"/>
        <w:gridCol w:w="594"/>
        <w:gridCol w:w="446"/>
        <w:gridCol w:w="446"/>
        <w:gridCol w:w="445"/>
        <w:gridCol w:w="521"/>
        <w:gridCol w:w="445"/>
        <w:gridCol w:w="446"/>
        <w:gridCol w:w="520"/>
        <w:gridCol w:w="520"/>
        <w:gridCol w:w="520"/>
        <w:gridCol w:w="594"/>
        <w:gridCol w:w="521"/>
        <w:gridCol w:w="594"/>
        <w:gridCol w:w="676"/>
        <w:gridCol w:w="661"/>
        <w:gridCol w:w="520"/>
      </w:tblGrid>
      <w:tr w:rsidR="00481EDB" w:rsidRPr="00687B52" w:rsidTr="00856B6C">
        <w:trPr>
          <w:cantSplit/>
          <w:trHeight w:val="249"/>
          <w:tblHeader/>
        </w:trPr>
        <w:tc>
          <w:tcPr>
            <w:tcW w:w="1569" w:type="dxa"/>
            <w:gridSpan w:val="3"/>
            <w:vMerge w:val="restart"/>
            <w:tcBorders>
              <w:top w:val="single" w:sz="6" w:space="0" w:color="auto"/>
              <w:left w:val="single" w:sz="4" w:space="0" w:color="auto"/>
              <w:bottom w:val="nil"/>
              <w:right w:val="single" w:sz="6"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p>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hint="eastAsia"/>
                <w:color w:val="000000" w:themeColor="text1"/>
                <w:sz w:val="18"/>
              </w:rPr>
              <w:t>设施名称</w:t>
            </w:r>
          </w:p>
        </w:tc>
        <w:tc>
          <w:tcPr>
            <w:tcW w:w="520" w:type="dxa"/>
            <w:vMerge w:val="restart"/>
            <w:tcBorders>
              <w:top w:val="single" w:sz="6" w:space="0" w:color="auto"/>
              <w:left w:val="single" w:sz="6" w:space="0" w:color="auto"/>
              <w:right w:val="single" w:sz="4" w:space="0" w:color="auto"/>
            </w:tcBorders>
          </w:tcPr>
          <w:p w:rsidR="00481EDB" w:rsidRPr="00687B52" w:rsidRDefault="00481EDB" w:rsidP="00B527D4">
            <w:pPr>
              <w:autoSpaceDE w:val="0"/>
              <w:autoSpaceDN w:val="0"/>
              <w:spacing w:line="300" w:lineRule="exact"/>
              <w:jc w:val="center"/>
              <w:textAlignment w:val="bottom"/>
              <w:rPr>
                <w:rFonts w:eastAsia="黑体"/>
                <w:color w:val="000000" w:themeColor="text1"/>
                <w:spacing w:val="20"/>
                <w:sz w:val="18"/>
              </w:rPr>
            </w:pPr>
            <w:r w:rsidRPr="00687B52">
              <w:rPr>
                <w:rFonts w:eastAsia="黑体" w:hint="eastAsia"/>
                <w:color w:val="000000" w:themeColor="text1"/>
                <w:sz w:val="18"/>
              </w:rPr>
              <w:t>汽</w:t>
            </w:r>
          </w:p>
          <w:p w:rsidR="00481EDB" w:rsidRPr="00687B52" w:rsidRDefault="00481EDB" w:rsidP="00B527D4">
            <w:pPr>
              <w:autoSpaceDE w:val="0"/>
              <w:autoSpaceDN w:val="0"/>
              <w:spacing w:line="300" w:lineRule="exact"/>
              <w:jc w:val="center"/>
              <w:textAlignment w:val="bottom"/>
              <w:rPr>
                <w:rFonts w:eastAsia="黑体"/>
                <w:color w:val="000000" w:themeColor="text1"/>
                <w:spacing w:val="20"/>
                <w:sz w:val="18"/>
              </w:rPr>
            </w:pPr>
            <w:r w:rsidRPr="00687B52">
              <w:rPr>
                <w:rFonts w:eastAsia="黑体" w:hint="eastAsia"/>
                <w:color w:val="000000" w:themeColor="text1"/>
                <w:spacing w:val="20"/>
                <w:sz w:val="18"/>
              </w:rPr>
              <w:t>油</w:t>
            </w:r>
          </w:p>
          <w:p w:rsidR="00481EDB" w:rsidRPr="00687B52" w:rsidRDefault="00481EDB" w:rsidP="00B527D4">
            <w:pPr>
              <w:autoSpaceDE w:val="0"/>
              <w:autoSpaceDN w:val="0"/>
              <w:spacing w:line="300" w:lineRule="exact"/>
              <w:jc w:val="center"/>
              <w:textAlignment w:val="bottom"/>
              <w:rPr>
                <w:rFonts w:eastAsia="黑体"/>
                <w:color w:val="000000" w:themeColor="text1"/>
                <w:sz w:val="18"/>
              </w:rPr>
            </w:pPr>
            <w:r w:rsidRPr="00687B52">
              <w:rPr>
                <w:rFonts w:eastAsia="黑体" w:hint="eastAsia"/>
                <w:color w:val="000000" w:themeColor="text1"/>
                <w:spacing w:val="20"/>
                <w:sz w:val="18"/>
              </w:rPr>
              <w:t>罐</w:t>
            </w:r>
          </w:p>
        </w:tc>
        <w:tc>
          <w:tcPr>
            <w:tcW w:w="595" w:type="dxa"/>
            <w:vMerge w:val="restart"/>
            <w:tcBorders>
              <w:top w:val="single" w:sz="6" w:space="0" w:color="auto"/>
              <w:left w:val="single" w:sz="4" w:space="0" w:color="auto"/>
              <w:right w:val="single" w:sz="4" w:space="0" w:color="auto"/>
            </w:tcBorders>
          </w:tcPr>
          <w:p w:rsidR="00481EDB" w:rsidRPr="00687B52" w:rsidRDefault="00481EDB" w:rsidP="00B527D4">
            <w:pPr>
              <w:autoSpaceDE w:val="0"/>
              <w:autoSpaceDN w:val="0"/>
              <w:spacing w:line="300" w:lineRule="exact"/>
              <w:jc w:val="center"/>
              <w:textAlignment w:val="bottom"/>
              <w:rPr>
                <w:rFonts w:eastAsia="黑体"/>
                <w:color w:val="000000" w:themeColor="text1"/>
                <w:sz w:val="18"/>
              </w:rPr>
            </w:pPr>
            <w:r w:rsidRPr="00687B52">
              <w:rPr>
                <w:rFonts w:eastAsia="黑体" w:hint="eastAsia"/>
                <w:color w:val="000000" w:themeColor="text1"/>
                <w:sz w:val="18"/>
              </w:rPr>
              <w:t>柴</w:t>
            </w:r>
          </w:p>
          <w:p w:rsidR="00481EDB" w:rsidRPr="00687B52" w:rsidRDefault="00481EDB" w:rsidP="00B527D4">
            <w:pPr>
              <w:autoSpaceDE w:val="0"/>
              <w:autoSpaceDN w:val="0"/>
              <w:spacing w:line="300" w:lineRule="exact"/>
              <w:jc w:val="center"/>
              <w:textAlignment w:val="bottom"/>
              <w:rPr>
                <w:rFonts w:eastAsia="黑体"/>
                <w:color w:val="000000" w:themeColor="text1"/>
                <w:sz w:val="18"/>
              </w:rPr>
            </w:pPr>
            <w:r w:rsidRPr="00687B52">
              <w:rPr>
                <w:rFonts w:eastAsia="黑体" w:hint="eastAsia"/>
                <w:color w:val="000000" w:themeColor="text1"/>
                <w:sz w:val="18"/>
              </w:rPr>
              <w:t>油</w:t>
            </w:r>
          </w:p>
          <w:p w:rsidR="00481EDB" w:rsidRPr="00687B52" w:rsidRDefault="00481EDB" w:rsidP="00B527D4">
            <w:pPr>
              <w:autoSpaceDE w:val="0"/>
              <w:autoSpaceDN w:val="0"/>
              <w:spacing w:line="300" w:lineRule="exact"/>
              <w:jc w:val="center"/>
              <w:textAlignment w:val="bottom"/>
              <w:rPr>
                <w:rFonts w:eastAsia="黑体"/>
                <w:color w:val="000000" w:themeColor="text1"/>
                <w:sz w:val="18"/>
              </w:rPr>
            </w:pPr>
            <w:r w:rsidRPr="00687B52">
              <w:rPr>
                <w:rFonts w:eastAsia="黑体" w:hint="eastAsia"/>
                <w:color w:val="000000" w:themeColor="text1"/>
                <w:sz w:val="18"/>
              </w:rPr>
              <w:t>罐</w:t>
            </w:r>
          </w:p>
        </w:tc>
        <w:tc>
          <w:tcPr>
            <w:tcW w:w="520" w:type="dxa"/>
            <w:vMerge w:val="restart"/>
            <w:tcBorders>
              <w:top w:val="single" w:sz="6" w:space="0" w:color="auto"/>
              <w:left w:val="single" w:sz="4" w:space="0" w:color="auto"/>
              <w:right w:val="single" w:sz="4" w:space="0" w:color="auto"/>
            </w:tcBorders>
          </w:tcPr>
          <w:p w:rsidR="00481EDB" w:rsidRPr="00687B52" w:rsidRDefault="00481EDB" w:rsidP="00B527D4">
            <w:pPr>
              <w:autoSpaceDE w:val="0"/>
              <w:autoSpaceDN w:val="0"/>
              <w:spacing w:line="300" w:lineRule="exact"/>
              <w:textAlignment w:val="bottom"/>
              <w:rPr>
                <w:rFonts w:eastAsia="黑体"/>
                <w:color w:val="000000" w:themeColor="text1"/>
                <w:sz w:val="18"/>
              </w:rPr>
            </w:pPr>
            <w:r w:rsidRPr="00687B52">
              <w:rPr>
                <w:rFonts w:eastAsia="黑体" w:hint="eastAsia"/>
                <w:color w:val="000000" w:themeColor="text1"/>
                <w:spacing w:val="10"/>
                <w:sz w:val="18"/>
                <w:szCs w:val="18"/>
              </w:rPr>
              <w:t>汽油通气管管口</w:t>
            </w:r>
          </w:p>
        </w:tc>
        <w:tc>
          <w:tcPr>
            <w:tcW w:w="595" w:type="dxa"/>
            <w:vMerge w:val="restart"/>
            <w:tcBorders>
              <w:top w:val="single" w:sz="6" w:space="0" w:color="auto"/>
              <w:left w:val="single" w:sz="4" w:space="0" w:color="auto"/>
              <w:right w:val="single" w:sz="4" w:space="0" w:color="auto"/>
            </w:tcBorders>
          </w:tcPr>
          <w:p w:rsidR="00481EDB" w:rsidRPr="00687B52" w:rsidRDefault="00481EDB" w:rsidP="00B527D4">
            <w:pPr>
              <w:autoSpaceDE w:val="0"/>
              <w:autoSpaceDN w:val="0"/>
              <w:spacing w:line="300" w:lineRule="exact"/>
              <w:jc w:val="center"/>
              <w:textAlignment w:val="bottom"/>
              <w:rPr>
                <w:rFonts w:eastAsia="黑体"/>
                <w:color w:val="000000" w:themeColor="text1"/>
                <w:sz w:val="18"/>
              </w:rPr>
            </w:pPr>
            <w:r w:rsidRPr="00687B52">
              <w:rPr>
                <w:rFonts w:eastAsia="黑体" w:hint="eastAsia"/>
                <w:color w:val="000000" w:themeColor="text1"/>
                <w:spacing w:val="10"/>
                <w:sz w:val="18"/>
                <w:szCs w:val="18"/>
              </w:rPr>
              <w:t>柴油通气管管口</w:t>
            </w:r>
          </w:p>
        </w:tc>
        <w:tc>
          <w:tcPr>
            <w:tcW w:w="2972" w:type="dxa"/>
            <w:gridSpan w:val="6"/>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00" w:lineRule="exact"/>
              <w:jc w:val="center"/>
              <w:textAlignment w:val="bottom"/>
              <w:rPr>
                <w:rFonts w:eastAsia="黑体"/>
                <w:color w:val="000000" w:themeColor="text1"/>
                <w:sz w:val="18"/>
              </w:rPr>
            </w:pPr>
            <w:r w:rsidRPr="00687B52">
              <w:rPr>
                <w:rFonts w:eastAsia="黑体" w:hint="eastAsia"/>
                <w:color w:val="000000" w:themeColor="text1"/>
                <w:sz w:val="18"/>
              </w:rPr>
              <w:t>LPG</w:t>
            </w:r>
            <w:r w:rsidRPr="00687B52">
              <w:rPr>
                <w:rFonts w:eastAsia="黑体" w:hint="eastAsia"/>
                <w:color w:val="000000" w:themeColor="text1"/>
                <w:sz w:val="18"/>
              </w:rPr>
              <w:t>储罐</w:t>
            </w:r>
          </w:p>
        </w:tc>
        <w:tc>
          <w:tcPr>
            <w:tcW w:w="594" w:type="dxa"/>
            <w:vMerge w:val="restart"/>
            <w:tcBorders>
              <w:top w:val="single" w:sz="6" w:space="0" w:color="auto"/>
              <w:left w:val="single" w:sz="6" w:space="0" w:color="auto"/>
              <w:bottom w:val="nil"/>
              <w:right w:val="single" w:sz="4" w:space="0" w:color="auto"/>
            </w:tcBorders>
            <w:vAlign w:val="center"/>
          </w:tcPr>
          <w:p w:rsidR="00481EDB" w:rsidRPr="00687B52" w:rsidRDefault="00481EDB" w:rsidP="00B527D4">
            <w:pPr>
              <w:autoSpaceDE w:val="0"/>
              <w:autoSpaceDN w:val="0"/>
              <w:spacing w:line="300" w:lineRule="exact"/>
              <w:jc w:val="center"/>
              <w:textAlignment w:val="bottom"/>
              <w:rPr>
                <w:rFonts w:eastAsia="黑体"/>
                <w:color w:val="000000" w:themeColor="text1"/>
                <w:sz w:val="18"/>
              </w:rPr>
            </w:pPr>
            <w:r w:rsidRPr="00687B52">
              <w:rPr>
                <w:rFonts w:eastAsia="黑体" w:hint="eastAsia"/>
                <w:color w:val="000000" w:themeColor="text1"/>
                <w:sz w:val="18"/>
              </w:rPr>
              <w:t>CNG</w:t>
            </w:r>
          </w:p>
          <w:p w:rsidR="00481EDB" w:rsidRPr="00687B52" w:rsidRDefault="00481EDB" w:rsidP="00B527D4">
            <w:pPr>
              <w:autoSpaceDE w:val="0"/>
              <w:autoSpaceDN w:val="0"/>
              <w:spacing w:line="300" w:lineRule="exact"/>
              <w:jc w:val="center"/>
              <w:textAlignment w:val="bottom"/>
              <w:rPr>
                <w:rFonts w:eastAsia="黑体"/>
                <w:color w:val="000000" w:themeColor="text1"/>
                <w:sz w:val="18"/>
              </w:rPr>
            </w:pPr>
            <w:r w:rsidRPr="00687B52">
              <w:rPr>
                <w:rFonts w:eastAsia="黑体" w:hint="eastAsia"/>
                <w:color w:val="000000" w:themeColor="text1"/>
                <w:sz w:val="18"/>
              </w:rPr>
              <w:t>储气</w:t>
            </w:r>
          </w:p>
          <w:p w:rsidR="00481EDB" w:rsidRPr="00687B52" w:rsidRDefault="00481EDB" w:rsidP="00B527D4">
            <w:pPr>
              <w:autoSpaceDE w:val="0"/>
              <w:autoSpaceDN w:val="0"/>
              <w:spacing w:line="300" w:lineRule="exact"/>
              <w:jc w:val="center"/>
              <w:textAlignment w:val="bottom"/>
              <w:rPr>
                <w:rFonts w:eastAsia="黑体"/>
                <w:color w:val="000000" w:themeColor="text1"/>
                <w:sz w:val="18"/>
              </w:rPr>
            </w:pPr>
            <w:r w:rsidRPr="00687B52">
              <w:rPr>
                <w:rFonts w:eastAsia="黑体" w:hint="eastAsia"/>
                <w:color w:val="000000" w:themeColor="text1"/>
                <w:sz w:val="18"/>
              </w:rPr>
              <w:t>设施</w:t>
            </w:r>
          </w:p>
        </w:tc>
        <w:tc>
          <w:tcPr>
            <w:tcW w:w="446" w:type="dxa"/>
            <w:vMerge w:val="restart"/>
            <w:tcBorders>
              <w:top w:val="single" w:sz="6" w:space="0" w:color="auto"/>
              <w:left w:val="single" w:sz="4" w:space="0" w:color="auto"/>
              <w:bottom w:val="nil"/>
              <w:right w:val="single" w:sz="6" w:space="0" w:color="auto"/>
            </w:tcBorders>
          </w:tcPr>
          <w:p w:rsidR="00481EDB" w:rsidRPr="00687B52" w:rsidRDefault="00481EDB" w:rsidP="00B527D4">
            <w:pPr>
              <w:autoSpaceDE w:val="0"/>
              <w:autoSpaceDN w:val="0"/>
              <w:spacing w:line="300" w:lineRule="exact"/>
              <w:textAlignment w:val="bottom"/>
              <w:rPr>
                <w:rFonts w:eastAsia="黑体"/>
                <w:color w:val="000000" w:themeColor="text1"/>
                <w:sz w:val="18"/>
              </w:rPr>
            </w:pPr>
            <w:r w:rsidRPr="00687B52">
              <w:rPr>
                <w:rFonts w:eastAsia="黑体" w:hint="eastAsia"/>
                <w:color w:val="000000" w:themeColor="text1"/>
                <w:sz w:val="18"/>
              </w:rPr>
              <w:t>CNG</w:t>
            </w:r>
            <w:r w:rsidRPr="00687B52">
              <w:rPr>
                <w:rFonts w:eastAsia="黑体" w:hint="eastAsia"/>
                <w:color w:val="000000" w:themeColor="text1"/>
                <w:sz w:val="18"/>
              </w:rPr>
              <w:t>集中放散管管口</w:t>
            </w:r>
          </w:p>
        </w:tc>
        <w:tc>
          <w:tcPr>
            <w:tcW w:w="446" w:type="dxa"/>
            <w:vMerge w:val="restart"/>
            <w:tcBorders>
              <w:top w:val="single" w:sz="6" w:space="0" w:color="auto"/>
              <w:left w:val="single" w:sz="6" w:space="0" w:color="auto"/>
              <w:bottom w:val="nil"/>
              <w:right w:val="single" w:sz="6" w:space="0" w:color="auto"/>
            </w:tcBorders>
          </w:tcPr>
          <w:p w:rsidR="00481EDB" w:rsidRPr="00687B52" w:rsidRDefault="00481EDB" w:rsidP="00B527D4">
            <w:pPr>
              <w:autoSpaceDE w:val="0"/>
              <w:autoSpaceDN w:val="0"/>
              <w:spacing w:line="300" w:lineRule="exact"/>
              <w:textAlignment w:val="bottom"/>
              <w:rPr>
                <w:rFonts w:eastAsia="黑体"/>
                <w:color w:val="000000" w:themeColor="text1"/>
                <w:sz w:val="18"/>
              </w:rPr>
            </w:pPr>
            <w:r w:rsidRPr="00687B52">
              <w:rPr>
                <w:rFonts w:eastAsia="黑体" w:hint="eastAsia"/>
                <w:color w:val="000000" w:themeColor="text1"/>
                <w:spacing w:val="20"/>
                <w:sz w:val="18"/>
              </w:rPr>
              <w:t>油品卸车点</w:t>
            </w:r>
          </w:p>
        </w:tc>
        <w:tc>
          <w:tcPr>
            <w:tcW w:w="445" w:type="dxa"/>
            <w:vMerge w:val="restart"/>
            <w:tcBorders>
              <w:top w:val="single" w:sz="6" w:space="0" w:color="auto"/>
              <w:left w:val="single" w:sz="6" w:space="0" w:color="auto"/>
              <w:bottom w:val="nil"/>
              <w:right w:val="single" w:sz="6" w:space="0" w:color="auto"/>
            </w:tcBorders>
          </w:tcPr>
          <w:p w:rsidR="00481EDB" w:rsidRPr="00687B52" w:rsidRDefault="00481EDB" w:rsidP="00B527D4">
            <w:pPr>
              <w:autoSpaceDE w:val="0"/>
              <w:autoSpaceDN w:val="0"/>
              <w:spacing w:line="300" w:lineRule="exact"/>
              <w:textAlignment w:val="bottom"/>
              <w:rPr>
                <w:rFonts w:eastAsia="黑体"/>
                <w:color w:val="000000" w:themeColor="text1"/>
                <w:spacing w:val="-20"/>
                <w:sz w:val="18"/>
              </w:rPr>
            </w:pPr>
            <w:r w:rsidRPr="00687B52">
              <w:rPr>
                <w:rFonts w:eastAsia="黑体" w:hint="eastAsia"/>
                <w:color w:val="000000" w:themeColor="text1"/>
                <w:spacing w:val="-20"/>
                <w:sz w:val="18"/>
              </w:rPr>
              <w:t>LPG</w:t>
            </w:r>
          </w:p>
          <w:p w:rsidR="00481EDB" w:rsidRPr="00687B52" w:rsidRDefault="00481EDB" w:rsidP="00B527D4">
            <w:pPr>
              <w:autoSpaceDE w:val="0"/>
              <w:autoSpaceDN w:val="0"/>
              <w:spacing w:line="300" w:lineRule="exact"/>
              <w:textAlignment w:val="bottom"/>
              <w:rPr>
                <w:rFonts w:eastAsia="黑体"/>
                <w:color w:val="000000" w:themeColor="text1"/>
                <w:spacing w:val="20"/>
                <w:sz w:val="18"/>
              </w:rPr>
            </w:pPr>
            <w:r w:rsidRPr="00687B52">
              <w:rPr>
                <w:rFonts w:eastAsia="黑体" w:hint="eastAsia"/>
                <w:color w:val="000000" w:themeColor="text1"/>
                <w:spacing w:val="20"/>
                <w:sz w:val="18"/>
              </w:rPr>
              <w:t>卸车点</w:t>
            </w:r>
          </w:p>
        </w:tc>
        <w:tc>
          <w:tcPr>
            <w:tcW w:w="521" w:type="dxa"/>
            <w:vMerge w:val="restart"/>
            <w:tcBorders>
              <w:top w:val="single" w:sz="6" w:space="0" w:color="auto"/>
              <w:left w:val="single" w:sz="6" w:space="0" w:color="auto"/>
              <w:bottom w:val="nil"/>
              <w:right w:val="single" w:sz="6" w:space="0" w:color="auto"/>
            </w:tcBorders>
          </w:tcPr>
          <w:p w:rsidR="00481EDB" w:rsidRPr="00687B52" w:rsidRDefault="00481EDB" w:rsidP="00B527D4">
            <w:pPr>
              <w:autoSpaceDE w:val="0"/>
              <w:autoSpaceDN w:val="0"/>
              <w:spacing w:line="300" w:lineRule="exact"/>
              <w:textAlignment w:val="bottom"/>
              <w:rPr>
                <w:rFonts w:eastAsia="黑体"/>
                <w:color w:val="000000" w:themeColor="text1"/>
                <w:sz w:val="18"/>
              </w:rPr>
            </w:pPr>
            <w:r w:rsidRPr="00687B52">
              <w:rPr>
                <w:rFonts w:eastAsia="黑体" w:hint="eastAsia"/>
                <w:color w:val="000000" w:themeColor="text1"/>
                <w:sz w:val="18"/>
              </w:rPr>
              <w:t>LPG</w:t>
            </w:r>
            <w:r w:rsidRPr="00687B52">
              <w:rPr>
                <w:rFonts w:eastAsia="黑体" w:hint="eastAsia"/>
                <w:color w:val="000000" w:themeColor="text1"/>
                <w:sz w:val="18"/>
              </w:rPr>
              <w:t>泵</w:t>
            </w:r>
            <w:r w:rsidRPr="00687B52">
              <w:rPr>
                <w:rFonts w:eastAsia="黑体" w:hint="eastAsia"/>
                <w:color w:val="000000" w:themeColor="text1"/>
                <w:sz w:val="18"/>
              </w:rPr>
              <w:t>(</w:t>
            </w:r>
            <w:r w:rsidRPr="00687B52">
              <w:rPr>
                <w:rFonts w:eastAsia="黑体" w:hint="eastAsia"/>
                <w:color w:val="000000" w:themeColor="text1"/>
                <w:sz w:val="18"/>
              </w:rPr>
              <w:t>房</w:t>
            </w:r>
            <w:r w:rsidRPr="00687B52">
              <w:rPr>
                <w:rFonts w:eastAsia="黑体" w:hint="eastAsia"/>
                <w:color w:val="000000" w:themeColor="text1"/>
                <w:sz w:val="18"/>
              </w:rPr>
              <w:t>)</w:t>
            </w:r>
            <w:r w:rsidRPr="00687B52">
              <w:rPr>
                <w:rFonts w:eastAsia="黑体" w:hint="eastAsia"/>
                <w:color w:val="000000" w:themeColor="text1"/>
                <w:sz w:val="18"/>
              </w:rPr>
              <w:t>、压缩机</w:t>
            </w:r>
            <w:r w:rsidRPr="00687B52">
              <w:rPr>
                <w:rFonts w:eastAsia="黑体" w:hint="eastAsia"/>
                <w:color w:val="000000" w:themeColor="text1"/>
                <w:sz w:val="18"/>
              </w:rPr>
              <w:t>(</w:t>
            </w:r>
            <w:r w:rsidRPr="00687B52">
              <w:rPr>
                <w:rFonts w:eastAsia="黑体" w:hint="eastAsia"/>
                <w:color w:val="000000" w:themeColor="text1"/>
                <w:sz w:val="18"/>
              </w:rPr>
              <w:t>间</w:t>
            </w:r>
            <w:r w:rsidRPr="00687B52">
              <w:rPr>
                <w:rFonts w:eastAsia="黑体" w:hint="eastAsia"/>
                <w:color w:val="000000" w:themeColor="text1"/>
                <w:sz w:val="18"/>
              </w:rPr>
              <w:t>)</w:t>
            </w:r>
          </w:p>
        </w:tc>
        <w:tc>
          <w:tcPr>
            <w:tcW w:w="445" w:type="dxa"/>
            <w:vMerge w:val="restart"/>
            <w:tcBorders>
              <w:top w:val="single" w:sz="6" w:space="0" w:color="auto"/>
              <w:left w:val="single" w:sz="6" w:space="0" w:color="auto"/>
              <w:bottom w:val="nil"/>
              <w:right w:val="single" w:sz="6" w:space="0" w:color="auto"/>
            </w:tcBorders>
          </w:tcPr>
          <w:p w:rsidR="00481EDB" w:rsidRPr="00687B52" w:rsidRDefault="00481EDB" w:rsidP="00B527D4">
            <w:pPr>
              <w:autoSpaceDE w:val="0"/>
              <w:autoSpaceDN w:val="0"/>
              <w:spacing w:line="300" w:lineRule="exact"/>
              <w:textAlignment w:val="bottom"/>
              <w:rPr>
                <w:rFonts w:eastAsia="黑体"/>
                <w:color w:val="000000" w:themeColor="text1"/>
                <w:spacing w:val="20"/>
                <w:sz w:val="18"/>
              </w:rPr>
            </w:pPr>
            <w:r w:rsidRPr="00687B52">
              <w:rPr>
                <w:rFonts w:eastAsia="黑体" w:hint="eastAsia"/>
                <w:color w:val="000000" w:themeColor="text1"/>
                <w:sz w:val="18"/>
              </w:rPr>
              <w:t>天然气压缩机（间）</w:t>
            </w:r>
          </w:p>
        </w:tc>
        <w:tc>
          <w:tcPr>
            <w:tcW w:w="446" w:type="dxa"/>
            <w:vMerge w:val="restart"/>
            <w:tcBorders>
              <w:top w:val="single" w:sz="6" w:space="0" w:color="auto"/>
              <w:left w:val="single" w:sz="6" w:space="0" w:color="auto"/>
              <w:bottom w:val="nil"/>
              <w:right w:val="single" w:sz="6" w:space="0" w:color="auto"/>
            </w:tcBorders>
          </w:tcPr>
          <w:p w:rsidR="00481EDB" w:rsidRPr="00687B52" w:rsidRDefault="00481EDB" w:rsidP="00B527D4">
            <w:pPr>
              <w:autoSpaceDE w:val="0"/>
              <w:autoSpaceDN w:val="0"/>
              <w:spacing w:line="300" w:lineRule="exact"/>
              <w:textAlignment w:val="bottom"/>
              <w:rPr>
                <w:rFonts w:eastAsia="黑体"/>
                <w:color w:val="000000" w:themeColor="text1"/>
                <w:sz w:val="18"/>
              </w:rPr>
            </w:pPr>
            <w:r w:rsidRPr="00687B52">
              <w:rPr>
                <w:rFonts w:eastAsia="黑体" w:hint="eastAsia"/>
                <w:color w:val="000000" w:themeColor="text1"/>
                <w:sz w:val="18"/>
              </w:rPr>
              <w:t>天然气调压器（间）</w:t>
            </w:r>
          </w:p>
        </w:tc>
        <w:tc>
          <w:tcPr>
            <w:tcW w:w="520" w:type="dxa"/>
            <w:vMerge w:val="restart"/>
            <w:tcBorders>
              <w:top w:val="single" w:sz="6" w:space="0" w:color="auto"/>
              <w:left w:val="single" w:sz="6" w:space="0" w:color="auto"/>
              <w:bottom w:val="nil"/>
              <w:right w:val="single" w:sz="6" w:space="0" w:color="auto"/>
            </w:tcBorders>
          </w:tcPr>
          <w:p w:rsidR="00481EDB" w:rsidRPr="00687B52" w:rsidRDefault="00481EDB" w:rsidP="00B527D4">
            <w:pPr>
              <w:autoSpaceDE w:val="0"/>
              <w:autoSpaceDN w:val="0"/>
              <w:spacing w:line="300" w:lineRule="exact"/>
              <w:textAlignment w:val="bottom"/>
              <w:rPr>
                <w:rFonts w:eastAsia="黑体"/>
                <w:color w:val="000000" w:themeColor="text1"/>
                <w:sz w:val="18"/>
              </w:rPr>
            </w:pPr>
            <w:r w:rsidRPr="00687B52">
              <w:rPr>
                <w:rFonts w:eastAsia="黑体" w:hint="eastAsia"/>
                <w:color w:val="000000" w:themeColor="text1"/>
                <w:sz w:val="18"/>
              </w:rPr>
              <w:t>天然气脱硫和脱水设备</w:t>
            </w:r>
          </w:p>
        </w:tc>
        <w:tc>
          <w:tcPr>
            <w:tcW w:w="520" w:type="dxa"/>
            <w:vMerge w:val="restart"/>
            <w:tcBorders>
              <w:top w:val="single" w:sz="6" w:space="0" w:color="auto"/>
              <w:left w:val="single" w:sz="6" w:space="0" w:color="auto"/>
              <w:bottom w:val="nil"/>
              <w:right w:val="single" w:sz="4" w:space="0" w:color="auto"/>
            </w:tcBorders>
            <w:vAlign w:val="center"/>
          </w:tcPr>
          <w:p w:rsidR="00481EDB" w:rsidRPr="00687B52" w:rsidRDefault="00481EDB" w:rsidP="00B527D4">
            <w:pPr>
              <w:autoSpaceDE w:val="0"/>
              <w:autoSpaceDN w:val="0"/>
              <w:spacing w:line="300" w:lineRule="exact"/>
              <w:jc w:val="center"/>
              <w:textAlignment w:val="bottom"/>
              <w:rPr>
                <w:rFonts w:eastAsia="黑体"/>
                <w:color w:val="000000" w:themeColor="text1"/>
                <w:sz w:val="18"/>
              </w:rPr>
            </w:pPr>
            <w:r w:rsidRPr="00687B52">
              <w:rPr>
                <w:rFonts w:eastAsia="黑体" w:hint="eastAsia"/>
                <w:color w:val="000000" w:themeColor="text1"/>
                <w:sz w:val="18"/>
              </w:rPr>
              <w:t>加油机</w:t>
            </w:r>
          </w:p>
        </w:tc>
        <w:tc>
          <w:tcPr>
            <w:tcW w:w="520" w:type="dxa"/>
            <w:vMerge w:val="restart"/>
            <w:tcBorders>
              <w:top w:val="single" w:sz="6" w:space="0" w:color="auto"/>
              <w:left w:val="single" w:sz="4" w:space="0" w:color="auto"/>
              <w:bottom w:val="nil"/>
              <w:right w:val="single" w:sz="4" w:space="0" w:color="auto"/>
            </w:tcBorders>
            <w:vAlign w:val="center"/>
          </w:tcPr>
          <w:p w:rsidR="00481EDB" w:rsidRPr="00687B52" w:rsidRDefault="00481EDB" w:rsidP="00B527D4">
            <w:pPr>
              <w:autoSpaceDE w:val="0"/>
              <w:autoSpaceDN w:val="0"/>
              <w:spacing w:line="300" w:lineRule="exact"/>
              <w:jc w:val="center"/>
              <w:textAlignment w:val="bottom"/>
              <w:rPr>
                <w:rFonts w:eastAsia="黑体"/>
                <w:color w:val="000000" w:themeColor="text1"/>
                <w:sz w:val="18"/>
              </w:rPr>
            </w:pPr>
            <w:r w:rsidRPr="00687B52">
              <w:rPr>
                <w:rFonts w:eastAsia="黑体" w:hint="eastAsia"/>
                <w:color w:val="000000" w:themeColor="text1"/>
                <w:sz w:val="18"/>
              </w:rPr>
              <w:t>LPG</w:t>
            </w:r>
          </w:p>
          <w:p w:rsidR="00481EDB" w:rsidRPr="00687B52" w:rsidRDefault="00481EDB" w:rsidP="00B527D4">
            <w:pPr>
              <w:autoSpaceDE w:val="0"/>
              <w:autoSpaceDN w:val="0"/>
              <w:spacing w:line="300" w:lineRule="exact"/>
              <w:jc w:val="center"/>
              <w:textAlignment w:val="bottom"/>
              <w:rPr>
                <w:rFonts w:eastAsia="黑体"/>
                <w:color w:val="000000" w:themeColor="text1"/>
                <w:sz w:val="18"/>
              </w:rPr>
            </w:pPr>
            <w:r w:rsidRPr="00687B52">
              <w:rPr>
                <w:rFonts w:eastAsia="黑体" w:hint="eastAsia"/>
                <w:color w:val="000000" w:themeColor="text1"/>
                <w:sz w:val="18"/>
              </w:rPr>
              <w:t>加气机</w:t>
            </w:r>
          </w:p>
        </w:tc>
        <w:tc>
          <w:tcPr>
            <w:tcW w:w="594" w:type="dxa"/>
            <w:vMerge w:val="restart"/>
            <w:tcBorders>
              <w:top w:val="single" w:sz="6" w:space="0" w:color="auto"/>
              <w:left w:val="single" w:sz="4" w:space="0" w:color="auto"/>
              <w:bottom w:val="nil"/>
              <w:right w:val="single" w:sz="4" w:space="0" w:color="auto"/>
            </w:tcBorders>
            <w:vAlign w:val="center"/>
          </w:tcPr>
          <w:p w:rsidR="00481EDB" w:rsidRPr="00687B52" w:rsidRDefault="00481EDB" w:rsidP="00B527D4">
            <w:pPr>
              <w:autoSpaceDE w:val="0"/>
              <w:autoSpaceDN w:val="0"/>
              <w:spacing w:line="300" w:lineRule="exact"/>
              <w:textAlignment w:val="bottom"/>
              <w:rPr>
                <w:rFonts w:eastAsia="黑体"/>
                <w:color w:val="000000" w:themeColor="text1"/>
                <w:sz w:val="18"/>
              </w:rPr>
            </w:pPr>
            <w:r w:rsidRPr="00687B52">
              <w:rPr>
                <w:rFonts w:eastAsia="黑体" w:hint="eastAsia"/>
                <w:color w:val="000000" w:themeColor="text1"/>
                <w:sz w:val="18"/>
              </w:rPr>
              <w:t>CNG</w:t>
            </w:r>
            <w:r w:rsidRPr="00687B52">
              <w:rPr>
                <w:rFonts w:eastAsia="黑体" w:hint="eastAsia"/>
                <w:color w:val="000000" w:themeColor="text1"/>
                <w:sz w:val="18"/>
              </w:rPr>
              <w:t>加气机、加气柱和卸气柱</w:t>
            </w:r>
          </w:p>
        </w:tc>
        <w:tc>
          <w:tcPr>
            <w:tcW w:w="521" w:type="dxa"/>
            <w:vMerge w:val="restart"/>
            <w:tcBorders>
              <w:top w:val="single" w:sz="6" w:space="0" w:color="auto"/>
              <w:left w:val="single" w:sz="6" w:space="0" w:color="auto"/>
              <w:bottom w:val="nil"/>
              <w:right w:val="single" w:sz="6" w:space="0" w:color="auto"/>
            </w:tcBorders>
            <w:vAlign w:val="center"/>
          </w:tcPr>
          <w:p w:rsidR="00481EDB" w:rsidRPr="00687B52" w:rsidRDefault="00481EDB" w:rsidP="00B527D4">
            <w:pPr>
              <w:autoSpaceDE w:val="0"/>
              <w:autoSpaceDN w:val="0"/>
              <w:spacing w:line="300" w:lineRule="exact"/>
              <w:jc w:val="center"/>
              <w:textAlignment w:val="bottom"/>
              <w:rPr>
                <w:rFonts w:eastAsia="黑体"/>
                <w:color w:val="000000" w:themeColor="text1"/>
                <w:sz w:val="18"/>
              </w:rPr>
            </w:pPr>
            <w:r w:rsidRPr="00687B52">
              <w:rPr>
                <w:rFonts w:eastAsia="黑体" w:hint="eastAsia"/>
                <w:color w:val="000000" w:themeColor="text1"/>
                <w:sz w:val="18"/>
              </w:rPr>
              <w:t>站房</w:t>
            </w:r>
          </w:p>
        </w:tc>
        <w:tc>
          <w:tcPr>
            <w:tcW w:w="594" w:type="dxa"/>
            <w:vMerge w:val="restart"/>
            <w:tcBorders>
              <w:top w:val="single" w:sz="6" w:space="0" w:color="auto"/>
              <w:left w:val="single" w:sz="6" w:space="0" w:color="auto"/>
              <w:bottom w:val="nil"/>
              <w:right w:val="single" w:sz="6" w:space="0" w:color="auto"/>
            </w:tcBorders>
          </w:tcPr>
          <w:p w:rsidR="00481EDB" w:rsidRPr="00687B52" w:rsidRDefault="00481EDB" w:rsidP="00B527D4">
            <w:pPr>
              <w:autoSpaceDE w:val="0"/>
              <w:autoSpaceDN w:val="0"/>
              <w:spacing w:line="300" w:lineRule="exact"/>
              <w:jc w:val="center"/>
              <w:textAlignment w:val="bottom"/>
              <w:rPr>
                <w:rFonts w:eastAsia="黑体"/>
                <w:color w:val="000000" w:themeColor="text1"/>
                <w:sz w:val="18"/>
              </w:rPr>
            </w:pPr>
            <w:r w:rsidRPr="00687B52">
              <w:rPr>
                <w:rFonts w:eastAsia="黑体" w:hint="eastAsia"/>
                <w:color w:val="000000" w:themeColor="text1"/>
                <w:sz w:val="18"/>
              </w:rPr>
              <w:t>消防泵房和消防水池取水口</w:t>
            </w:r>
          </w:p>
        </w:tc>
        <w:tc>
          <w:tcPr>
            <w:tcW w:w="676" w:type="dxa"/>
            <w:vMerge w:val="restart"/>
            <w:tcBorders>
              <w:top w:val="single" w:sz="6" w:space="0" w:color="auto"/>
              <w:left w:val="single" w:sz="6" w:space="0" w:color="auto"/>
              <w:bottom w:val="nil"/>
              <w:right w:val="single" w:sz="6" w:space="0" w:color="auto"/>
            </w:tcBorders>
          </w:tcPr>
          <w:p w:rsidR="00481EDB" w:rsidRPr="00687B52" w:rsidRDefault="00481EDB" w:rsidP="00B527D4">
            <w:pPr>
              <w:autoSpaceDE w:val="0"/>
              <w:autoSpaceDN w:val="0"/>
              <w:spacing w:line="300" w:lineRule="exact"/>
              <w:textAlignment w:val="bottom"/>
              <w:rPr>
                <w:rFonts w:ascii="黑体" w:eastAsia="黑体"/>
                <w:color w:val="000000" w:themeColor="text1"/>
                <w:spacing w:val="10"/>
                <w:sz w:val="18"/>
              </w:rPr>
            </w:pPr>
            <w:r w:rsidRPr="00687B52">
              <w:rPr>
                <w:rFonts w:eastAsia="黑体" w:hint="eastAsia"/>
                <w:color w:val="000000" w:themeColor="text1"/>
                <w:sz w:val="18"/>
              </w:rPr>
              <w:t>自用燃煤锅炉房和燃煤厨房</w:t>
            </w:r>
          </w:p>
        </w:tc>
        <w:tc>
          <w:tcPr>
            <w:tcW w:w="661" w:type="dxa"/>
            <w:vMerge w:val="restart"/>
            <w:tcBorders>
              <w:top w:val="single" w:sz="6" w:space="0" w:color="auto"/>
              <w:left w:val="single" w:sz="6" w:space="0" w:color="auto"/>
              <w:bottom w:val="nil"/>
              <w:right w:val="single" w:sz="6" w:space="0" w:color="auto"/>
            </w:tcBorders>
          </w:tcPr>
          <w:p w:rsidR="00481EDB" w:rsidRPr="00687B52" w:rsidRDefault="00481EDB" w:rsidP="00B527D4">
            <w:pPr>
              <w:autoSpaceDE w:val="0"/>
              <w:autoSpaceDN w:val="0"/>
              <w:spacing w:line="300" w:lineRule="exact"/>
              <w:jc w:val="left"/>
              <w:textAlignment w:val="bottom"/>
              <w:rPr>
                <w:rFonts w:ascii="黑体" w:eastAsia="黑体"/>
                <w:color w:val="000000" w:themeColor="text1"/>
                <w:sz w:val="18"/>
              </w:rPr>
            </w:pPr>
            <w:r w:rsidRPr="00687B52">
              <w:rPr>
                <w:rFonts w:eastAsia="黑体" w:hint="eastAsia"/>
                <w:color w:val="000000" w:themeColor="text1"/>
                <w:sz w:val="18"/>
              </w:rPr>
              <w:t>自用</w:t>
            </w:r>
            <w:r w:rsidRPr="00687B52">
              <w:rPr>
                <w:rFonts w:ascii="黑体" w:eastAsia="黑体" w:hint="eastAsia"/>
                <w:color w:val="000000" w:themeColor="text1"/>
                <w:spacing w:val="10"/>
                <w:sz w:val="18"/>
              </w:rPr>
              <w:t>有燃气（油）设备的房间</w:t>
            </w:r>
          </w:p>
        </w:tc>
        <w:tc>
          <w:tcPr>
            <w:tcW w:w="520" w:type="dxa"/>
            <w:vMerge w:val="restart"/>
            <w:tcBorders>
              <w:top w:val="single" w:sz="4" w:space="0" w:color="auto"/>
              <w:left w:val="single" w:sz="4" w:space="0" w:color="auto"/>
              <w:right w:val="single" w:sz="4" w:space="0" w:color="auto"/>
            </w:tcBorders>
          </w:tcPr>
          <w:p w:rsidR="00481EDB" w:rsidRPr="00687B52" w:rsidRDefault="00481EDB" w:rsidP="00B527D4">
            <w:pPr>
              <w:autoSpaceDE w:val="0"/>
              <w:autoSpaceDN w:val="0"/>
              <w:spacing w:line="300" w:lineRule="exact"/>
              <w:jc w:val="center"/>
              <w:textAlignment w:val="bottom"/>
              <w:rPr>
                <w:rFonts w:eastAsia="黑体"/>
                <w:color w:val="000000" w:themeColor="text1"/>
                <w:sz w:val="18"/>
              </w:rPr>
            </w:pPr>
            <w:r w:rsidRPr="00687B52">
              <w:rPr>
                <w:rFonts w:eastAsia="黑体" w:hint="eastAsia"/>
                <w:color w:val="000000" w:themeColor="text1"/>
                <w:sz w:val="18"/>
              </w:rPr>
              <w:t>站区</w:t>
            </w:r>
          </w:p>
          <w:p w:rsidR="00481EDB" w:rsidRPr="00687B52" w:rsidRDefault="00481EDB" w:rsidP="00B527D4">
            <w:pPr>
              <w:autoSpaceDE w:val="0"/>
              <w:autoSpaceDN w:val="0"/>
              <w:spacing w:line="300" w:lineRule="exact"/>
              <w:jc w:val="center"/>
              <w:textAlignment w:val="bottom"/>
              <w:rPr>
                <w:rFonts w:eastAsia="黑体"/>
                <w:color w:val="000000" w:themeColor="text1"/>
                <w:sz w:val="18"/>
              </w:rPr>
            </w:pPr>
            <w:r w:rsidRPr="00687B52">
              <w:rPr>
                <w:rFonts w:eastAsia="黑体" w:hint="eastAsia"/>
                <w:color w:val="000000" w:themeColor="text1"/>
                <w:sz w:val="18"/>
              </w:rPr>
              <w:t>围墙</w:t>
            </w:r>
          </w:p>
        </w:tc>
      </w:tr>
      <w:tr w:rsidR="00481EDB" w:rsidRPr="00687B52" w:rsidTr="00856B6C">
        <w:trPr>
          <w:cantSplit/>
          <w:trHeight w:val="249"/>
          <w:tblHeader/>
        </w:trPr>
        <w:tc>
          <w:tcPr>
            <w:tcW w:w="1569" w:type="dxa"/>
            <w:gridSpan w:val="3"/>
            <w:vMerge/>
            <w:tcBorders>
              <w:top w:val="nil"/>
              <w:left w:val="single" w:sz="4" w:space="0" w:color="auto"/>
              <w:bottom w:val="nil"/>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520" w:type="dxa"/>
            <w:vMerge/>
            <w:tcBorders>
              <w:left w:val="single" w:sz="6" w:space="0" w:color="auto"/>
              <w:right w:val="single" w:sz="4" w:space="0" w:color="auto"/>
            </w:tcBorders>
            <w:vAlign w:val="center"/>
          </w:tcPr>
          <w:p w:rsidR="00481EDB" w:rsidRPr="00687B52" w:rsidRDefault="00481EDB" w:rsidP="00B527D4">
            <w:pPr>
              <w:autoSpaceDE w:val="0"/>
              <w:autoSpaceDN w:val="0"/>
              <w:spacing w:line="300" w:lineRule="exact"/>
              <w:jc w:val="center"/>
              <w:textAlignment w:val="bottom"/>
              <w:rPr>
                <w:rFonts w:eastAsia="黑体"/>
                <w:color w:val="000000" w:themeColor="text1"/>
                <w:sz w:val="18"/>
              </w:rPr>
            </w:pPr>
          </w:p>
        </w:tc>
        <w:tc>
          <w:tcPr>
            <w:tcW w:w="595" w:type="dxa"/>
            <w:vMerge/>
            <w:tcBorders>
              <w:left w:val="single" w:sz="4" w:space="0" w:color="auto"/>
              <w:right w:val="single" w:sz="4" w:space="0" w:color="auto"/>
            </w:tcBorders>
          </w:tcPr>
          <w:p w:rsidR="00481EDB" w:rsidRPr="00687B52" w:rsidRDefault="00481EDB" w:rsidP="00B527D4">
            <w:pPr>
              <w:autoSpaceDE w:val="0"/>
              <w:autoSpaceDN w:val="0"/>
              <w:spacing w:line="300" w:lineRule="exact"/>
              <w:jc w:val="center"/>
              <w:textAlignment w:val="bottom"/>
              <w:rPr>
                <w:rFonts w:eastAsia="黑体"/>
                <w:color w:val="000000" w:themeColor="text1"/>
                <w:sz w:val="18"/>
              </w:rPr>
            </w:pPr>
          </w:p>
        </w:tc>
        <w:tc>
          <w:tcPr>
            <w:tcW w:w="520" w:type="dxa"/>
            <w:vMerge/>
            <w:tcBorders>
              <w:left w:val="single" w:sz="4" w:space="0" w:color="auto"/>
              <w:right w:val="single" w:sz="4" w:space="0" w:color="auto"/>
            </w:tcBorders>
          </w:tcPr>
          <w:p w:rsidR="00481EDB" w:rsidRPr="00687B52" w:rsidRDefault="00481EDB" w:rsidP="00B527D4">
            <w:pPr>
              <w:autoSpaceDE w:val="0"/>
              <w:autoSpaceDN w:val="0"/>
              <w:spacing w:line="300" w:lineRule="exact"/>
              <w:textAlignment w:val="bottom"/>
              <w:rPr>
                <w:rFonts w:eastAsia="黑体"/>
                <w:color w:val="000000" w:themeColor="text1"/>
                <w:sz w:val="18"/>
              </w:rPr>
            </w:pPr>
          </w:p>
        </w:tc>
        <w:tc>
          <w:tcPr>
            <w:tcW w:w="595" w:type="dxa"/>
            <w:vMerge/>
            <w:tcBorders>
              <w:left w:val="single" w:sz="4" w:space="0" w:color="auto"/>
              <w:right w:val="single" w:sz="4" w:space="0" w:color="auto"/>
            </w:tcBorders>
          </w:tcPr>
          <w:p w:rsidR="00481EDB" w:rsidRPr="00687B52" w:rsidRDefault="00481EDB" w:rsidP="00B527D4">
            <w:pPr>
              <w:autoSpaceDE w:val="0"/>
              <w:autoSpaceDN w:val="0"/>
              <w:spacing w:line="300" w:lineRule="exact"/>
              <w:textAlignment w:val="bottom"/>
              <w:rPr>
                <w:rFonts w:eastAsia="黑体"/>
                <w:color w:val="000000" w:themeColor="text1"/>
                <w:sz w:val="18"/>
              </w:rPr>
            </w:pPr>
          </w:p>
        </w:tc>
        <w:tc>
          <w:tcPr>
            <w:tcW w:w="1486" w:type="dxa"/>
            <w:gridSpan w:val="3"/>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00" w:lineRule="exact"/>
              <w:jc w:val="center"/>
              <w:textAlignment w:val="bottom"/>
              <w:rPr>
                <w:rFonts w:eastAsia="黑体"/>
                <w:color w:val="000000" w:themeColor="text1"/>
                <w:sz w:val="18"/>
              </w:rPr>
            </w:pPr>
            <w:r w:rsidRPr="00687B52">
              <w:rPr>
                <w:rFonts w:eastAsia="黑体" w:hint="eastAsia"/>
                <w:color w:val="000000" w:themeColor="text1"/>
                <w:sz w:val="18"/>
              </w:rPr>
              <w:t>地上罐</w:t>
            </w:r>
          </w:p>
        </w:tc>
        <w:tc>
          <w:tcPr>
            <w:tcW w:w="1486" w:type="dxa"/>
            <w:gridSpan w:val="3"/>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00" w:lineRule="exact"/>
              <w:jc w:val="center"/>
              <w:textAlignment w:val="bottom"/>
              <w:rPr>
                <w:rFonts w:eastAsia="黑体"/>
                <w:color w:val="000000" w:themeColor="text1"/>
                <w:spacing w:val="20"/>
                <w:sz w:val="18"/>
              </w:rPr>
            </w:pPr>
            <w:r w:rsidRPr="00687B52">
              <w:rPr>
                <w:rFonts w:eastAsia="黑体" w:hint="eastAsia"/>
                <w:color w:val="000000" w:themeColor="text1"/>
                <w:spacing w:val="20"/>
                <w:sz w:val="18"/>
              </w:rPr>
              <w:t>埋地罐</w:t>
            </w:r>
          </w:p>
        </w:tc>
        <w:tc>
          <w:tcPr>
            <w:tcW w:w="594" w:type="dxa"/>
            <w:vMerge/>
            <w:tcBorders>
              <w:top w:val="nil"/>
              <w:left w:val="single" w:sz="6" w:space="0" w:color="auto"/>
              <w:bottom w:val="nil"/>
              <w:right w:val="single" w:sz="4"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p>
        </w:tc>
        <w:tc>
          <w:tcPr>
            <w:tcW w:w="446" w:type="dxa"/>
            <w:vMerge/>
            <w:tcBorders>
              <w:top w:val="nil"/>
              <w:left w:val="single" w:sz="4" w:space="0" w:color="auto"/>
              <w:bottom w:val="nil"/>
              <w:right w:val="single" w:sz="6"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p>
        </w:tc>
        <w:tc>
          <w:tcPr>
            <w:tcW w:w="446" w:type="dxa"/>
            <w:vMerge/>
            <w:tcBorders>
              <w:top w:val="nil"/>
              <w:left w:val="single" w:sz="6" w:space="0" w:color="auto"/>
              <w:bottom w:val="nil"/>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445" w:type="dxa"/>
            <w:vMerge/>
            <w:tcBorders>
              <w:top w:val="nil"/>
              <w:left w:val="single" w:sz="6" w:space="0" w:color="auto"/>
              <w:bottom w:val="nil"/>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521" w:type="dxa"/>
            <w:vMerge/>
            <w:tcBorders>
              <w:top w:val="nil"/>
              <w:left w:val="single" w:sz="6" w:space="0" w:color="auto"/>
              <w:bottom w:val="nil"/>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445" w:type="dxa"/>
            <w:vMerge/>
            <w:tcBorders>
              <w:top w:val="nil"/>
              <w:left w:val="single" w:sz="6" w:space="0" w:color="auto"/>
              <w:bottom w:val="nil"/>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446" w:type="dxa"/>
            <w:vMerge/>
            <w:tcBorders>
              <w:top w:val="nil"/>
              <w:left w:val="single" w:sz="6" w:space="0" w:color="auto"/>
              <w:bottom w:val="nil"/>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520" w:type="dxa"/>
            <w:vMerge/>
            <w:tcBorders>
              <w:top w:val="nil"/>
              <w:left w:val="single" w:sz="6" w:space="0" w:color="auto"/>
              <w:bottom w:val="nil"/>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520" w:type="dxa"/>
            <w:vMerge/>
            <w:tcBorders>
              <w:top w:val="nil"/>
              <w:left w:val="single" w:sz="6" w:space="0" w:color="auto"/>
              <w:bottom w:val="nil"/>
              <w:right w:val="single" w:sz="4"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520" w:type="dxa"/>
            <w:vMerge/>
            <w:tcBorders>
              <w:top w:val="nil"/>
              <w:left w:val="single" w:sz="4" w:space="0" w:color="auto"/>
              <w:bottom w:val="nil"/>
              <w:right w:val="single" w:sz="4"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594" w:type="dxa"/>
            <w:vMerge/>
            <w:tcBorders>
              <w:top w:val="nil"/>
              <w:left w:val="single" w:sz="4" w:space="0" w:color="auto"/>
              <w:bottom w:val="nil"/>
              <w:right w:val="single" w:sz="4"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521" w:type="dxa"/>
            <w:vMerge/>
            <w:tcBorders>
              <w:top w:val="nil"/>
              <w:left w:val="single" w:sz="6" w:space="0" w:color="auto"/>
              <w:bottom w:val="nil"/>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594" w:type="dxa"/>
            <w:vMerge/>
            <w:tcBorders>
              <w:top w:val="nil"/>
              <w:left w:val="single" w:sz="6" w:space="0" w:color="auto"/>
              <w:bottom w:val="nil"/>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676" w:type="dxa"/>
            <w:vMerge/>
            <w:tcBorders>
              <w:top w:val="nil"/>
              <w:left w:val="single" w:sz="6" w:space="0" w:color="auto"/>
              <w:bottom w:val="nil"/>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661" w:type="dxa"/>
            <w:vMerge/>
            <w:tcBorders>
              <w:top w:val="nil"/>
              <w:left w:val="single" w:sz="6" w:space="0" w:color="auto"/>
              <w:bottom w:val="nil"/>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520" w:type="dxa"/>
            <w:vMerge/>
            <w:tcBorders>
              <w:left w:val="single" w:sz="4" w:space="0" w:color="auto"/>
              <w:right w:val="single" w:sz="4"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r>
      <w:tr w:rsidR="00481EDB" w:rsidRPr="00687B52" w:rsidTr="00856B6C">
        <w:trPr>
          <w:cantSplit/>
          <w:trHeight w:val="698"/>
          <w:tblHeader/>
        </w:trPr>
        <w:tc>
          <w:tcPr>
            <w:tcW w:w="1569" w:type="dxa"/>
            <w:gridSpan w:val="3"/>
            <w:vMerge/>
            <w:tcBorders>
              <w:top w:val="nil"/>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520" w:type="dxa"/>
            <w:vMerge/>
            <w:tcBorders>
              <w:left w:val="single" w:sz="6" w:space="0" w:color="auto"/>
              <w:bottom w:val="single" w:sz="6" w:space="0" w:color="auto"/>
              <w:right w:val="single" w:sz="4" w:space="0" w:color="auto"/>
            </w:tcBorders>
          </w:tcPr>
          <w:p w:rsidR="00481EDB" w:rsidRPr="00687B52" w:rsidRDefault="00481EDB" w:rsidP="00B527D4">
            <w:pPr>
              <w:autoSpaceDE w:val="0"/>
              <w:autoSpaceDN w:val="0"/>
              <w:spacing w:line="300" w:lineRule="exact"/>
              <w:jc w:val="center"/>
              <w:textAlignment w:val="bottom"/>
              <w:rPr>
                <w:rFonts w:eastAsia="黑体"/>
                <w:color w:val="000000" w:themeColor="text1"/>
                <w:spacing w:val="20"/>
                <w:sz w:val="18"/>
              </w:rPr>
            </w:pPr>
          </w:p>
        </w:tc>
        <w:tc>
          <w:tcPr>
            <w:tcW w:w="595" w:type="dxa"/>
            <w:vMerge/>
            <w:tcBorders>
              <w:left w:val="single" w:sz="4" w:space="0" w:color="auto"/>
              <w:bottom w:val="single" w:sz="6" w:space="0" w:color="auto"/>
              <w:right w:val="single" w:sz="4" w:space="0" w:color="auto"/>
            </w:tcBorders>
          </w:tcPr>
          <w:p w:rsidR="00481EDB" w:rsidRPr="00687B52" w:rsidRDefault="00481EDB" w:rsidP="00B527D4">
            <w:pPr>
              <w:autoSpaceDE w:val="0"/>
              <w:autoSpaceDN w:val="0"/>
              <w:spacing w:line="300" w:lineRule="exact"/>
              <w:jc w:val="center"/>
              <w:textAlignment w:val="bottom"/>
              <w:rPr>
                <w:rFonts w:eastAsia="黑体"/>
                <w:color w:val="000000" w:themeColor="text1"/>
                <w:sz w:val="18"/>
              </w:rPr>
            </w:pPr>
          </w:p>
        </w:tc>
        <w:tc>
          <w:tcPr>
            <w:tcW w:w="520" w:type="dxa"/>
            <w:vMerge/>
            <w:tcBorders>
              <w:left w:val="single" w:sz="4" w:space="0" w:color="auto"/>
              <w:bottom w:val="single" w:sz="6" w:space="0" w:color="auto"/>
              <w:right w:val="single" w:sz="4" w:space="0" w:color="auto"/>
            </w:tcBorders>
          </w:tcPr>
          <w:p w:rsidR="00481EDB" w:rsidRPr="00687B52" w:rsidRDefault="00481EDB" w:rsidP="00B527D4">
            <w:pPr>
              <w:autoSpaceDE w:val="0"/>
              <w:autoSpaceDN w:val="0"/>
              <w:spacing w:line="300" w:lineRule="exact"/>
              <w:jc w:val="center"/>
              <w:textAlignment w:val="bottom"/>
              <w:rPr>
                <w:rFonts w:eastAsia="黑体"/>
                <w:color w:val="000000" w:themeColor="text1"/>
                <w:sz w:val="18"/>
              </w:rPr>
            </w:pPr>
          </w:p>
        </w:tc>
        <w:tc>
          <w:tcPr>
            <w:tcW w:w="595" w:type="dxa"/>
            <w:vMerge/>
            <w:tcBorders>
              <w:left w:val="single" w:sz="4" w:space="0" w:color="auto"/>
              <w:bottom w:val="single" w:sz="6" w:space="0" w:color="auto"/>
              <w:right w:val="single" w:sz="4" w:space="0" w:color="auto"/>
            </w:tcBorders>
          </w:tcPr>
          <w:p w:rsidR="00481EDB" w:rsidRPr="00687B52" w:rsidRDefault="00481EDB" w:rsidP="00B527D4">
            <w:pPr>
              <w:autoSpaceDE w:val="0"/>
              <w:autoSpaceDN w:val="0"/>
              <w:spacing w:line="300" w:lineRule="exact"/>
              <w:jc w:val="center"/>
              <w:textAlignment w:val="bottom"/>
              <w:rPr>
                <w:rFonts w:eastAsia="黑体"/>
                <w:color w:val="000000" w:themeColor="text1"/>
                <w:sz w:val="18"/>
              </w:rPr>
            </w:pPr>
          </w:p>
        </w:tc>
        <w:tc>
          <w:tcPr>
            <w:tcW w:w="520"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00" w:lineRule="exact"/>
              <w:textAlignment w:val="bottom"/>
              <w:rPr>
                <w:rFonts w:eastAsia="黑体"/>
                <w:color w:val="000000" w:themeColor="text1"/>
                <w:sz w:val="18"/>
              </w:rPr>
            </w:pPr>
            <w:r w:rsidRPr="00687B52">
              <w:rPr>
                <w:rFonts w:eastAsia="黑体" w:hint="eastAsia"/>
                <w:color w:val="000000" w:themeColor="text1"/>
                <w:sz w:val="18"/>
              </w:rPr>
              <w:t>一级站</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00" w:lineRule="exact"/>
              <w:textAlignment w:val="bottom"/>
              <w:rPr>
                <w:rFonts w:eastAsia="黑体"/>
                <w:color w:val="000000" w:themeColor="text1"/>
                <w:sz w:val="18"/>
              </w:rPr>
            </w:pPr>
            <w:r w:rsidRPr="00687B52">
              <w:rPr>
                <w:rFonts w:eastAsia="黑体" w:hint="eastAsia"/>
                <w:color w:val="000000" w:themeColor="text1"/>
                <w:sz w:val="18"/>
              </w:rPr>
              <w:t>二级站</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00" w:lineRule="exact"/>
              <w:textAlignment w:val="bottom"/>
              <w:rPr>
                <w:rFonts w:eastAsia="黑体"/>
                <w:color w:val="000000" w:themeColor="text1"/>
                <w:sz w:val="18"/>
              </w:rPr>
            </w:pPr>
            <w:r w:rsidRPr="00687B52">
              <w:rPr>
                <w:rFonts w:eastAsia="黑体" w:hint="eastAsia"/>
                <w:color w:val="000000" w:themeColor="text1"/>
                <w:sz w:val="18"/>
              </w:rPr>
              <w:t>三级站</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00" w:lineRule="exact"/>
              <w:textAlignment w:val="bottom"/>
              <w:rPr>
                <w:rFonts w:eastAsia="黑体"/>
                <w:color w:val="000000" w:themeColor="text1"/>
                <w:sz w:val="18"/>
              </w:rPr>
            </w:pPr>
            <w:r w:rsidRPr="00687B52">
              <w:rPr>
                <w:rFonts w:eastAsia="黑体" w:hint="eastAsia"/>
                <w:color w:val="000000" w:themeColor="text1"/>
                <w:sz w:val="18"/>
              </w:rPr>
              <w:t>一级站</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00" w:lineRule="exact"/>
              <w:textAlignment w:val="bottom"/>
              <w:rPr>
                <w:rFonts w:eastAsia="黑体"/>
                <w:color w:val="000000" w:themeColor="text1"/>
                <w:sz w:val="18"/>
              </w:rPr>
            </w:pPr>
            <w:r w:rsidRPr="00687B52">
              <w:rPr>
                <w:rFonts w:eastAsia="黑体" w:hint="eastAsia"/>
                <w:color w:val="000000" w:themeColor="text1"/>
                <w:sz w:val="18"/>
              </w:rPr>
              <w:t>二级站</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00" w:lineRule="exact"/>
              <w:textAlignment w:val="bottom"/>
              <w:rPr>
                <w:rFonts w:eastAsia="黑体"/>
                <w:color w:val="000000" w:themeColor="text1"/>
                <w:sz w:val="18"/>
              </w:rPr>
            </w:pPr>
            <w:r w:rsidRPr="00687B52">
              <w:rPr>
                <w:rFonts w:eastAsia="黑体" w:hint="eastAsia"/>
                <w:color w:val="000000" w:themeColor="text1"/>
                <w:sz w:val="18"/>
              </w:rPr>
              <w:t>三级站</w:t>
            </w:r>
          </w:p>
        </w:tc>
        <w:tc>
          <w:tcPr>
            <w:tcW w:w="594" w:type="dxa"/>
            <w:vMerge/>
            <w:tcBorders>
              <w:top w:val="nil"/>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446" w:type="dxa"/>
            <w:vMerge/>
            <w:tcBorders>
              <w:top w:val="nil"/>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446" w:type="dxa"/>
            <w:vMerge/>
            <w:tcBorders>
              <w:top w:val="nil"/>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445" w:type="dxa"/>
            <w:vMerge/>
            <w:tcBorders>
              <w:top w:val="nil"/>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521" w:type="dxa"/>
            <w:vMerge/>
            <w:tcBorders>
              <w:top w:val="nil"/>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445" w:type="dxa"/>
            <w:vMerge/>
            <w:tcBorders>
              <w:top w:val="nil"/>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446" w:type="dxa"/>
            <w:vMerge/>
            <w:tcBorders>
              <w:top w:val="nil"/>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520" w:type="dxa"/>
            <w:vMerge/>
            <w:tcBorders>
              <w:top w:val="nil"/>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520" w:type="dxa"/>
            <w:vMerge/>
            <w:tcBorders>
              <w:top w:val="nil"/>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520" w:type="dxa"/>
            <w:vMerge/>
            <w:tcBorders>
              <w:top w:val="nil"/>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594" w:type="dxa"/>
            <w:vMerge/>
            <w:tcBorders>
              <w:top w:val="nil"/>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521" w:type="dxa"/>
            <w:vMerge/>
            <w:tcBorders>
              <w:top w:val="nil"/>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594" w:type="dxa"/>
            <w:vMerge/>
            <w:tcBorders>
              <w:top w:val="nil"/>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676" w:type="dxa"/>
            <w:vMerge/>
            <w:tcBorders>
              <w:top w:val="nil"/>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661" w:type="dxa"/>
            <w:vMerge/>
            <w:tcBorders>
              <w:top w:val="nil"/>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520" w:type="dxa"/>
            <w:vMerge/>
            <w:tcBorders>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r>
      <w:tr w:rsidR="00481EDB" w:rsidRPr="00687B52" w:rsidTr="00B527D4">
        <w:trPr>
          <w:cantSplit/>
          <w:trHeight w:hRule="exact" w:val="250"/>
        </w:trPr>
        <w:tc>
          <w:tcPr>
            <w:tcW w:w="1569" w:type="dxa"/>
            <w:gridSpan w:val="3"/>
            <w:tcBorders>
              <w:top w:val="single" w:sz="6" w:space="0" w:color="auto"/>
              <w:left w:val="single" w:sz="4"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eastAsia="黑体"/>
                <w:color w:val="000000" w:themeColor="text1"/>
                <w:spacing w:val="20"/>
                <w:sz w:val="18"/>
              </w:rPr>
            </w:pPr>
            <w:r w:rsidRPr="00687B52">
              <w:rPr>
                <w:rFonts w:eastAsia="黑体" w:hint="eastAsia"/>
                <w:color w:val="000000" w:themeColor="text1"/>
                <w:sz w:val="18"/>
              </w:rPr>
              <w:t>汽</w:t>
            </w:r>
            <w:r w:rsidRPr="00687B52">
              <w:rPr>
                <w:rFonts w:eastAsia="黑体" w:hint="eastAsia"/>
                <w:color w:val="000000" w:themeColor="text1"/>
                <w:spacing w:val="20"/>
                <w:sz w:val="18"/>
              </w:rPr>
              <w:t>油罐</w:t>
            </w:r>
          </w:p>
        </w:tc>
        <w:tc>
          <w:tcPr>
            <w:tcW w:w="520"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0.5</w:t>
            </w:r>
          </w:p>
        </w:tc>
        <w:tc>
          <w:tcPr>
            <w:tcW w:w="595" w:type="dxa"/>
            <w:tcBorders>
              <w:top w:val="single" w:sz="6" w:space="0" w:color="auto"/>
              <w:left w:val="single" w:sz="6" w:space="0" w:color="auto"/>
              <w:bottom w:val="single" w:sz="4"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0.5</w:t>
            </w:r>
          </w:p>
        </w:tc>
        <w:tc>
          <w:tcPr>
            <w:tcW w:w="520" w:type="dxa"/>
            <w:tcBorders>
              <w:top w:val="single" w:sz="6" w:space="0" w:color="auto"/>
              <w:left w:val="single" w:sz="4" w:space="0" w:color="auto"/>
              <w:bottom w:val="single" w:sz="4" w:space="0" w:color="auto"/>
              <w:right w:val="single" w:sz="4" w:space="0" w:color="auto"/>
            </w:tcBorders>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95" w:type="dxa"/>
            <w:tcBorders>
              <w:top w:val="single" w:sz="6" w:space="0" w:color="auto"/>
              <w:left w:val="single" w:sz="4" w:space="0" w:color="auto"/>
              <w:bottom w:val="single" w:sz="4" w:space="0" w:color="auto"/>
              <w:right w:val="single" w:sz="6" w:space="0" w:color="auto"/>
            </w:tcBorders>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0"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445"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594" w:type="dxa"/>
            <w:tcBorders>
              <w:top w:val="single" w:sz="6" w:space="0" w:color="auto"/>
              <w:left w:val="single" w:sz="6" w:space="0" w:color="auto"/>
              <w:bottom w:val="single" w:sz="4"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446" w:type="dxa"/>
            <w:tcBorders>
              <w:top w:val="single" w:sz="6" w:space="0" w:color="auto"/>
              <w:left w:val="single" w:sz="4"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446"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445"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21"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445"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446"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0"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20" w:type="dxa"/>
            <w:tcBorders>
              <w:top w:val="single" w:sz="6" w:space="0" w:color="auto"/>
              <w:left w:val="single" w:sz="6" w:space="0" w:color="auto"/>
              <w:bottom w:val="single" w:sz="4"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4" w:space="0" w:color="auto"/>
              <w:bottom w:val="single" w:sz="4"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94" w:type="dxa"/>
            <w:tcBorders>
              <w:top w:val="single" w:sz="6" w:space="0" w:color="auto"/>
              <w:left w:val="single" w:sz="4" w:space="0" w:color="auto"/>
              <w:bottom w:val="single" w:sz="4"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21"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94"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10</w:t>
            </w:r>
          </w:p>
        </w:tc>
        <w:tc>
          <w:tcPr>
            <w:tcW w:w="676"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18.5</w:t>
            </w:r>
          </w:p>
        </w:tc>
        <w:tc>
          <w:tcPr>
            <w:tcW w:w="661"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20" w:type="dxa"/>
            <w:tcBorders>
              <w:top w:val="single" w:sz="6" w:space="0" w:color="auto"/>
              <w:left w:val="single" w:sz="4" w:space="0" w:color="auto"/>
              <w:bottom w:val="single" w:sz="4"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r>
      <w:tr w:rsidR="00481EDB" w:rsidRPr="00687B52" w:rsidTr="00B527D4">
        <w:trPr>
          <w:cantSplit/>
          <w:trHeight w:hRule="exact" w:val="250"/>
        </w:trPr>
        <w:tc>
          <w:tcPr>
            <w:tcW w:w="1569" w:type="dxa"/>
            <w:gridSpan w:val="3"/>
            <w:tcBorders>
              <w:top w:val="single" w:sz="4" w:space="0" w:color="auto"/>
              <w:left w:val="single" w:sz="4"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eastAsia="黑体"/>
                <w:color w:val="000000" w:themeColor="text1"/>
                <w:sz w:val="18"/>
              </w:rPr>
            </w:pPr>
            <w:r w:rsidRPr="00687B52">
              <w:rPr>
                <w:rFonts w:eastAsia="黑体" w:hint="eastAsia"/>
                <w:color w:val="000000" w:themeColor="text1"/>
                <w:sz w:val="18"/>
              </w:rPr>
              <w:t>柴油罐</w:t>
            </w:r>
          </w:p>
        </w:tc>
        <w:tc>
          <w:tcPr>
            <w:tcW w:w="520"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0.5</w:t>
            </w:r>
          </w:p>
        </w:tc>
        <w:tc>
          <w:tcPr>
            <w:tcW w:w="595" w:type="dxa"/>
            <w:tcBorders>
              <w:top w:val="single" w:sz="6" w:space="0" w:color="auto"/>
              <w:left w:val="single" w:sz="6" w:space="0" w:color="auto"/>
              <w:bottom w:val="single" w:sz="4"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0.5</w:t>
            </w:r>
          </w:p>
        </w:tc>
        <w:tc>
          <w:tcPr>
            <w:tcW w:w="520" w:type="dxa"/>
            <w:tcBorders>
              <w:top w:val="single" w:sz="6" w:space="0" w:color="auto"/>
              <w:left w:val="single" w:sz="4" w:space="0" w:color="auto"/>
              <w:bottom w:val="single" w:sz="4" w:space="0" w:color="auto"/>
              <w:right w:val="single" w:sz="4" w:space="0" w:color="auto"/>
            </w:tcBorders>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95" w:type="dxa"/>
            <w:tcBorders>
              <w:top w:val="single" w:sz="6" w:space="0" w:color="auto"/>
              <w:left w:val="single" w:sz="4" w:space="0" w:color="auto"/>
              <w:bottom w:val="single" w:sz="4" w:space="0" w:color="auto"/>
              <w:right w:val="single" w:sz="6" w:space="0" w:color="auto"/>
            </w:tcBorders>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20"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445"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594" w:type="dxa"/>
            <w:tcBorders>
              <w:top w:val="single" w:sz="6" w:space="0" w:color="auto"/>
              <w:left w:val="single" w:sz="6" w:space="0" w:color="auto"/>
              <w:bottom w:val="single" w:sz="4"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446" w:type="dxa"/>
            <w:tcBorders>
              <w:top w:val="single" w:sz="6" w:space="0" w:color="auto"/>
              <w:left w:val="single" w:sz="4"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446"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445"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3.5</w:t>
            </w:r>
          </w:p>
        </w:tc>
        <w:tc>
          <w:tcPr>
            <w:tcW w:w="521"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3.5</w:t>
            </w:r>
          </w:p>
        </w:tc>
        <w:tc>
          <w:tcPr>
            <w:tcW w:w="445"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446"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20"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3.5</w:t>
            </w:r>
          </w:p>
        </w:tc>
        <w:tc>
          <w:tcPr>
            <w:tcW w:w="520" w:type="dxa"/>
            <w:tcBorders>
              <w:top w:val="single" w:sz="6" w:space="0" w:color="auto"/>
              <w:left w:val="single" w:sz="6" w:space="0" w:color="auto"/>
              <w:bottom w:val="single" w:sz="4"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4" w:space="0" w:color="auto"/>
              <w:bottom w:val="single" w:sz="4"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594" w:type="dxa"/>
            <w:tcBorders>
              <w:top w:val="single" w:sz="6" w:space="0" w:color="auto"/>
              <w:left w:val="single" w:sz="4" w:space="0" w:color="auto"/>
              <w:bottom w:val="single" w:sz="4"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521"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594"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7</w:t>
            </w:r>
          </w:p>
        </w:tc>
        <w:tc>
          <w:tcPr>
            <w:tcW w:w="676"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13</w:t>
            </w:r>
          </w:p>
        </w:tc>
        <w:tc>
          <w:tcPr>
            <w:tcW w:w="661" w:type="dxa"/>
            <w:tcBorders>
              <w:top w:val="single" w:sz="6" w:space="0" w:color="auto"/>
              <w:left w:val="single" w:sz="6" w:space="0" w:color="auto"/>
              <w:bottom w:val="single" w:sz="4"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0" w:type="dxa"/>
            <w:tcBorders>
              <w:top w:val="single" w:sz="6" w:space="0" w:color="auto"/>
              <w:left w:val="single" w:sz="4" w:space="0" w:color="auto"/>
              <w:bottom w:val="single" w:sz="4"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2</w:t>
            </w:r>
          </w:p>
        </w:tc>
      </w:tr>
      <w:tr w:rsidR="00481EDB" w:rsidRPr="00687B52" w:rsidTr="00B527D4">
        <w:trPr>
          <w:cantSplit/>
          <w:trHeight w:val="254"/>
        </w:trPr>
        <w:tc>
          <w:tcPr>
            <w:tcW w:w="1569" w:type="dxa"/>
            <w:gridSpan w:val="3"/>
            <w:tcBorders>
              <w:top w:val="single" w:sz="4" w:space="0" w:color="auto"/>
              <w:left w:val="single" w:sz="4" w:space="0" w:color="auto"/>
              <w:bottom w:val="nil"/>
              <w:right w:val="single" w:sz="6"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pacing w:val="10"/>
                <w:sz w:val="18"/>
                <w:szCs w:val="18"/>
              </w:rPr>
            </w:pPr>
            <w:r w:rsidRPr="00687B52">
              <w:rPr>
                <w:rFonts w:eastAsia="黑体" w:hint="eastAsia"/>
                <w:color w:val="000000" w:themeColor="text1"/>
                <w:spacing w:val="10"/>
                <w:sz w:val="18"/>
                <w:szCs w:val="18"/>
              </w:rPr>
              <w:t>汽油通气管管口</w:t>
            </w:r>
          </w:p>
        </w:tc>
        <w:tc>
          <w:tcPr>
            <w:tcW w:w="520"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95" w:type="dxa"/>
            <w:tcBorders>
              <w:top w:val="single" w:sz="4"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4"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95" w:type="dxa"/>
            <w:tcBorders>
              <w:top w:val="single" w:sz="4"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20"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445"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94" w:type="dxa"/>
            <w:tcBorders>
              <w:top w:val="single" w:sz="4"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446" w:type="dxa"/>
            <w:tcBorders>
              <w:top w:val="single" w:sz="4"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446"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445"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21"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445"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446"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0"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20" w:type="dxa"/>
            <w:tcBorders>
              <w:top w:val="single" w:sz="4" w:space="0" w:color="auto"/>
              <w:left w:val="single" w:sz="6" w:space="0" w:color="auto"/>
              <w:bottom w:val="single" w:sz="6"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4" w:space="0" w:color="auto"/>
              <w:left w:val="single" w:sz="4" w:space="0" w:color="auto"/>
              <w:bottom w:val="single" w:sz="6"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94" w:type="dxa"/>
            <w:tcBorders>
              <w:top w:val="single" w:sz="4" w:space="0" w:color="auto"/>
              <w:left w:val="single" w:sz="4" w:space="0" w:color="auto"/>
              <w:bottom w:val="single" w:sz="6"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21"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94"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10</w:t>
            </w:r>
          </w:p>
        </w:tc>
        <w:tc>
          <w:tcPr>
            <w:tcW w:w="676"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18.5</w:t>
            </w:r>
          </w:p>
        </w:tc>
        <w:tc>
          <w:tcPr>
            <w:tcW w:w="661"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20" w:type="dxa"/>
            <w:tcBorders>
              <w:top w:val="single" w:sz="4"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r>
      <w:tr w:rsidR="00481EDB" w:rsidRPr="00687B52" w:rsidTr="00B527D4">
        <w:trPr>
          <w:cantSplit/>
          <w:trHeight w:val="258"/>
        </w:trPr>
        <w:tc>
          <w:tcPr>
            <w:tcW w:w="1569" w:type="dxa"/>
            <w:gridSpan w:val="3"/>
            <w:tcBorders>
              <w:top w:val="single" w:sz="4" w:space="0" w:color="auto"/>
              <w:left w:val="single" w:sz="4" w:space="0" w:color="auto"/>
              <w:bottom w:val="nil"/>
              <w:right w:val="single" w:sz="6"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pacing w:val="20"/>
                <w:sz w:val="18"/>
              </w:rPr>
            </w:pPr>
            <w:r w:rsidRPr="00687B52">
              <w:rPr>
                <w:rFonts w:eastAsia="黑体" w:hint="eastAsia"/>
                <w:color w:val="000000" w:themeColor="text1"/>
                <w:spacing w:val="10"/>
                <w:sz w:val="18"/>
                <w:szCs w:val="18"/>
              </w:rPr>
              <w:t>柴油通气管管口</w:t>
            </w:r>
          </w:p>
        </w:tc>
        <w:tc>
          <w:tcPr>
            <w:tcW w:w="520"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95" w:type="dxa"/>
            <w:tcBorders>
              <w:top w:val="single" w:sz="4"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4"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95" w:type="dxa"/>
            <w:tcBorders>
              <w:top w:val="single" w:sz="4"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0"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445"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94" w:type="dxa"/>
            <w:tcBorders>
              <w:top w:val="single" w:sz="4"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446" w:type="dxa"/>
            <w:tcBorders>
              <w:top w:val="single" w:sz="4"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446"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w:t>
            </w:r>
          </w:p>
        </w:tc>
        <w:tc>
          <w:tcPr>
            <w:tcW w:w="445"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1"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445"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446"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20"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3.5</w:t>
            </w:r>
          </w:p>
        </w:tc>
        <w:tc>
          <w:tcPr>
            <w:tcW w:w="520" w:type="dxa"/>
            <w:tcBorders>
              <w:top w:val="single" w:sz="4" w:space="0" w:color="auto"/>
              <w:left w:val="single" w:sz="6" w:space="0" w:color="auto"/>
              <w:bottom w:val="single" w:sz="6"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4" w:space="0" w:color="auto"/>
              <w:left w:val="single" w:sz="4" w:space="0" w:color="auto"/>
              <w:bottom w:val="single" w:sz="6"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94" w:type="dxa"/>
            <w:tcBorders>
              <w:top w:val="single" w:sz="4" w:space="0" w:color="auto"/>
              <w:left w:val="single" w:sz="4" w:space="0" w:color="auto"/>
              <w:bottom w:val="single" w:sz="6"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1"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3.5</w:t>
            </w:r>
          </w:p>
        </w:tc>
        <w:tc>
          <w:tcPr>
            <w:tcW w:w="594"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7</w:t>
            </w:r>
          </w:p>
        </w:tc>
        <w:tc>
          <w:tcPr>
            <w:tcW w:w="676"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13</w:t>
            </w:r>
          </w:p>
        </w:tc>
        <w:tc>
          <w:tcPr>
            <w:tcW w:w="661" w:type="dxa"/>
            <w:tcBorders>
              <w:top w:val="single" w:sz="4"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0" w:type="dxa"/>
            <w:tcBorders>
              <w:top w:val="single" w:sz="4"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w:t>
            </w:r>
          </w:p>
        </w:tc>
      </w:tr>
      <w:tr w:rsidR="00481EDB" w:rsidRPr="00687B52" w:rsidTr="00B527D4">
        <w:trPr>
          <w:cantSplit/>
          <w:trHeight w:val="258"/>
        </w:trPr>
        <w:tc>
          <w:tcPr>
            <w:tcW w:w="325" w:type="dxa"/>
            <w:vMerge w:val="restart"/>
            <w:tcBorders>
              <w:top w:val="single" w:sz="6" w:space="0" w:color="auto"/>
              <w:left w:val="single" w:sz="4" w:space="0" w:color="auto"/>
              <w:bottom w:val="nil"/>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p w:rsidR="00481EDB" w:rsidRPr="00687B52" w:rsidRDefault="00481EDB" w:rsidP="00B527D4">
            <w:pPr>
              <w:autoSpaceDE w:val="0"/>
              <w:autoSpaceDN w:val="0"/>
              <w:spacing w:line="312" w:lineRule="atLeast"/>
              <w:textAlignment w:val="bottom"/>
              <w:rPr>
                <w:rFonts w:eastAsia="黑体"/>
                <w:color w:val="000000" w:themeColor="text1"/>
                <w:sz w:val="18"/>
              </w:rPr>
            </w:pPr>
            <w:r w:rsidRPr="00687B52">
              <w:rPr>
                <w:rFonts w:eastAsia="黑体" w:hint="eastAsia"/>
                <w:color w:val="000000" w:themeColor="text1"/>
                <w:sz w:val="18"/>
              </w:rPr>
              <w:t>LPG</w:t>
            </w:r>
            <w:r w:rsidRPr="00687B52">
              <w:rPr>
                <w:rFonts w:eastAsia="黑体" w:hint="eastAsia"/>
                <w:color w:val="000000" w:themeColor="text1"/>
                <w:sz w:val="18"/>
              </w:rPr>
              <w:t>储罐</w:t>
            </w:r>
          </w:p>
        </w:tc>
        <w:tc>
          <w:tcPr>
            <w:tcW w:w="480" w:type="dxa"/>
            <w:vMerge w:val="restart"/>
            <w:tcBorders>
              <w:top w:val="single" w:sz="6" w:space="0" w:color="auto"/>
              <w:left w:val="single" w:sz="6" w:space="0" w:color="auto"/>
              <w:bottom w:val="nil"/>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p w:rsidR="00481EDB" w:rsidRPr="00687B52" w:rsidRDefault="00481EDB" w:rsidP="00B527D4">
            <w:pPr>
              <w:autoSpaceDE w:val="0"/>
              <w:autoSpaceDN w:val="0"/>
              <w:spacing w:line="312" w:lineRule="atLeast"/>
              <w:textAlignment w:val="bottom"/>
              <w:rPr>
                <w:rFonts w:eastAsia="黑体"/>
                <w:color w:val="000000" w:themeColor="text1"/>
                <w:sz w:val="18"/>
              </w:rPr>
            </w:pPr>
            <w:r w:rsidRPr="00687B52">
              <w:rPr>
                <w:rFonts w:eastAsia="黑体" w:hint="eastAsia"/>
                <w:color w:val="000000" w:themeColor="text1"/>
                <w:sz w:val="18"/>
              </w:rPr>
              <w:t>地上罐</w:t>
            </w:r>
          </w:p>
        </w:tc>
        <w:tc>
          <w:tcPr>
            <w:tcW w:w="76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r w:rsidRPr="00687B52">
              <w:rPr>
                <w:rFonts w:eastAsia="黑体" w:hint="eastAsia"/>
                <w:color w:val="000000" w:themeColor="text1"/>
                <w:sz w:val="18"/>
              </w:rPr>
              <w:t>一级站</w:t>
            </w:r>
          </w:p>
        </w:tc>
        <w:tc>
          <w:tcPr>
            <w:tcW w:w="520"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95" w:type="dxa"/>
            <w:tcBorders>
              <w:top w:val="single" w:sz="6" w:space="0" w:color="auto"/>
              <w:left w:val="single" w:sz="6" w:space="0" w:color="auto"/>
              <w:bottom w:val="single" w:sz="6" w:space="0" w:color="auto"/>
              <w:right w:val="single" w:sz="4"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4" w:space="0" w:color="auto"/>
              <w:bottom w:val="single" w:sz="6" w:space="0" w:color="auto"/>
              <w:right w:val="single" w:sz="4"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95" w:type="dxa"/>
            <w:tcBorders>
              <w:top w:val="single" w:sz="6" w:space="0" w:color="auto"/>
              <w:left w:val="single" w:sz="4"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D</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94"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color w:val="000000" w:themeColor="text1"/>
                <w:sz w:val="18"/>
              </w:rPr>
              <w:t>12/10</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color w:val="000000" w:themeColor="text1"/>
                <w:sz w:val="18"/>
              </w:rPr>
              <w:t>12/10</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12/10</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color w:val="000000" w:themeColor="text1"/>
                <w:sz w:val="18"/>
              </w:rPr>
              <w:t>12/10</w:t>
            </w:r>
          </w:p>
        </w:tc>
        <w:tc>
          <w:tcPr>
            <w:tcW w:w="594"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12/10</w:t>
            </w:r>
          </w:p>
        </w:tc>
        <w:tc>
          <w:tcPr>
            <w:tcW w:w="59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40/30</w:t>
            </w:r>
          </w:p>
        </w:tc>
        <w:tc>
          <w:tcPr>
            <w:tcW w:w="67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hint="eastAsia"/>
                <w:color w:val="000000" w:themeColor="text1"/>
                <w:sz w:val="18"/>
              </w:rPr>
              <w:t>45</w:t>
            </w:r>
          </w:p>
        </w:tc>
        <w:tc>
          <w:tcPr>
            <w:tcW w:w="66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18/14</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color w:val="000000" w:themeColor="text1"/>
                <w:sz w:val="18"/>
              </w:rPr>
              <w:t>6</w:t>
            </w:r>
          </w:p>
        </w:tc>
      </w:tr>
      <w:tr w:rsidR="00481EDB" w:rsidRPr="00687B52" w:rsidTr="00B527D4">
        <w:trPr>
          <w:cantSplit/>
          <w:trHeight w:val="258"/>
        </w:trPr>
        <w:tc>
          <w:tcPr>
            <w:tcW w:w="325" w:type="dxa"/>
            <w:vMerge/>
            <w:tcBorders>
              <w:top w:val="nil"/>
              <w:left w:val="single" w:sz="4" w:space="0" w:color="auto"/>
              <w:bottom w:val="nil"/>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480" w:type="dxa"/>
            <w:vMerge/>
            <w:tcBorders>
              <w:top w:val="nil"/>
              <w:left w:val="single" w:sz="6" w:space="0" w:color="auto"/>
              <w:bottom w:val="nil"/>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76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r w:rsidRPr="00687B52">
              <w:rPr>
                <w:rFonts w:eastAsia="黑体" w:hint="eastAsia"/>
                <w:color w:val="000000" w:themeColor="text1"/>
                <w:sz w:val="18"/>
              </w:rPr>
              <w:t>二级站</w:t>
            </w:r>
          </w:p>
        </w:tc>
        <w:tc>
          <w:tcPr>
            <w:tcW w:w="520"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95" w:type="dxa"/>
            <w:tcBorders>
              <w:top w:val="single" w:sz="6" w:space="0" w:color="auto"/>
              <w:left w:val="single" w:sz="6" w:space="0" w:color="auto"/>
              <w:bottom w:val="single" w:sz="6" w:space="0" w:color="auto"/>
              <w:right w:val="single" w:sz="4"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4" w:space="0" w:color="auto"/>
              <w:bottom w:val="single" w:sz="6" w:space="0" w:color="auto"/>
              <w:right w:val="single" w:sz="4"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95" w:type="dxa"/>
            <w:tcBorders>
              <w:top w:val="single" w:sz="6" w:space="0" w:color="auto"/>
              <w:left w:val="single" w:sz="4"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D</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94"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10</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color w:val="000000" w:themeColor="text1"/>
                <w:sz w:val="18"/>
              </w:rPr>
              <w:t>10/8</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color w:val="000000" w:themeColor="text1"/>
                <w:sz w:val="18"/>
              </w:rPr>
              <w:t>10/8</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10/8</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color w:val="000000" w:themeColor="text1"/>
                <w:sz w:val="18"/>
              </w:rPr>
              <w:t>10/8</w:t>
            </w:r>
          </w:p>
        </w:tc>
        <w:tc>
          <w:tcPr>
            <w:tcW w:w="594"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10/8</w:t>
            </w:r>
          </w:p>
        </w:tc>
        <w:tc>
          <w:tcPr>
            <w:tcW w:w="59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30/20</w:t>
            </w:r>
          </w:p>
        </w:tc>
        <w:tc>
          <w:tcPr>
            <w:tcW w:w="67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hint="eastAsia"/>
                <w:color w:val="000000" w:themeColor="text1"/>
                <w:sz w:val="18"/>
              </w:rPr>
              <w:t>38</w:t>
            </w:r>
          </w:p>
        </w:tc>
        <w:tc>
          <w:tcPr>
            <w:tcW w:w="66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16/12</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color w:val="000000" w:themeColor="text1"/>
                <w:sz w:val="18"/>
              </w:rPr>
              <w:t>5</w:t>
            </w:r>
          </w:p>
        </w:tc>
      </w:tr>
      <w:tr w:rsidR="00481EDB" w:rsidRPr="00687B52" w:rsidTr="00B527D4">
        <w:trPr>
          <w:cantSplit/>
          <w:trHeight w:val="258"/>
        </w:trPr>
        <w:tc>
          <w:tcPr>
            <w:tcW w:w="325" w:type="dxa"/>
            <w:vMerge/>
            <w:tcBorders>
              <w:top w:val="nil"/>
              <w:left w:val="single" w:sz="4" w:space="0" w:color="auto"/>
              <w:bottom w:val="nil"/>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480" w:type="dxa"/>
            <w:vMerge/>
            <w:tcBorders>
              <w:top w:val="nil"/>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76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r w:rsidRPr="00687B52">
              <w:rPr>
                <w:rFonts w:eastAsia="黑体" w:hint="eastAsia"/>
                <w:color w:val="000000" w:themeColor="text1"/>
                <w:sz w:val="18"/>
              </w:rPr>
              <w:t>三级站</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95"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95"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ascii="黑体" w:eastAsia="黑体"/>
                <w:color w:val="000000" w:themeColor="text1"/>
                <w:sz w:val="18"/>
              </w:rPr>
            </w:pP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D</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94"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color w:val="000000" w:themeColor="text1"/>
                <w:sz w:val="18"/>
              </w:rPr>
              <w:t>8/6</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color w:val="000000" w:themeColor="text1"/>
                <w:sz w:val="18"/>
              </w:rPr>
              <w:t>8/6</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8/6</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color w:val="000000" w:themeColor="text1"/>
                <w:sz w:val="18"/>
              </w:rPr>
              <w:t>8</w:t>
            </w:r>
            <w:r w:rsidRPr="00687B52">
              <w:rPr>
                <w:rFonts w:eastAsia="黑体" w:hint="eastAsia"/>
                <w:color w:val="000000" w:themeColor="text1"/>
                <w:sz w:val="18"/>
              </w:rPr>
              <w:t>/6</w:t>
            </w:r>
          </w:p>
        </w:tc>
        <w:tc>
          <w:tcPr>
            <w:tcW w:w="594"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9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30/20</w:t>
            </w:r>
          </w:p>
        </w:tc>
        <w:tc>
          <w:tcPr>
            <w:tcW w:w="67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hint="eastAsia"/>
                <w:color w:val="000000" w:themeColor="text1"/>
                <w:sz w:val="18"/>
              </w:rPr>
              <w:t>33</w:t>
            </w:r>
          </w:p>
        </w:tc>
        <w:tc>
          <w:tcPr>
            <w:tcW w:w="66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16/12</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color w:val="000000" w:themeColor="text1"/>
                <w:sz w:val="18"/>
              </w:rPr>
              <w:t>5</w:t>
            </w:r>
          </w:p>
        </w:tc>
      </w:tr>
      <w:tr w:rsidR="00481EDB" w:rsidRPr="00687B52" w:rsidTr="00B527D4">
        <w:trPr>
          <w:cantSplit/>
          <w:trHeight w:val="258"/>
        </w:trPr>
        <w:tc>
          <w:tcPr>
            <w:tcW w:w="325" w:type="dxa"/>
            <w:vMerge/>
            <w:tcBorders>
              <w:top w:val="nil"/>
              <w:left w:val="single" w:sz="4" w:space="0" w:color="auto"/>
              <w:bottom w:val="nil"/>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480" w:type="dxa"/>
            <w:vMerge w:val="restart"/>
            <w:tcBorders>
              <w:top w:val="single" w:sz="6" w:space="0" w:color="auto"/>
              <w:left w:val="single" w:sz="6" w:space="0" w:color="auto"/>
              <w:bottom w:val="nil"/>
              <w:right w:val="single" w:sz="6"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p>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hint="eastAsia"/>
                <w:color w:val="000000" w:themeColor="text1"/>
                <w:sz w:val="18"/>
              </w:rPr>
              <w:t>埋地罐</w:t>
            </w:r>
          </w:p>
        </w:tc>
        <w:tc>
          <w:tcPr>
            <w:tcW w:w="76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r w:rsidRPr="00687B52">
              <w:rPr>
                <w:rFonts w:eastAsia="黑体" w:hint="eastAsia"/>
                <w:color w:val="000000" w:themeColor="text1"/>
                <w:sz w:val="18"/>
              </w:rPr>
              <w:t>一级站</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95"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95"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p>
        </w:tc>
        <w:tc>
          <w:tcPr>
            <w:tcW w:w="594"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color w:val="000000" w:themeColor="text1"/>
                <w:sz w:val="18"/>
              </w:rPr>
              <w:t>5</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color w:val="000000" w:themeColor="text1"/>
                <w:sz w:val="18"/>
              </w:rPr>
              <w:t>6</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color w:val="000000" w:themeColor="text1"/>
                <w:sz w:val="18"/>
              </w:rPr>
              <w:t>8</w:t>
            </w:r>
          </w:p>
        </w:tc>
        <w:tc>
          <w:tcPr>
            <w:tcW w:w="594"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9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20</w:t>
            </w:r>
          </w:p>
        </w:tc>
        <w:tc>
          <w:tcPr>
            <w:tcW w:w="67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hint="eastAsia"/>
                <w:color w:val="000000" w:themeColor="text1"/>
                <w:sz w:val="18"/>
              </w:rPr>
              <w:t>30</w:t>
            </w:r>
          </w:p>
        </w:tc>
        <w:tc>
          <w:tcPr>
            <w:tcW w:w="66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10</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color w:val="000000" w:themeColor="text1"/>
                <w:sz w:val="18"/>
              </w:rPr>
              <w:t>4</w:t>
            </w:r>
          </w:p>
        </w:tc>
      </w:tr>
      <w:tr w:rsidR="00481EDB" w:rsidRPr="00687B52" w:rsidTr="00B527D4">
        <w:trPr>
          <w:cantSplit/>
          <w:trHeight w:val="258"/>
        </w:trPr>
        <w:tc>
          <w:tcPr>
            <w:tcW w:w="325" w:type="dxa"/>
            <w:vMerge/>
            <w:tcBorders>
              <w:top w:val="nil"/>
              <w:left w:val="single" w:sz="4" w:space="0" w:color="auto"/>
              <w:bottom w:val="nil"/>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480" w:type="dxa"/>
            <w:vMerge/>
            <w:tcBorders>
              <w:top w:val="nil"/>
              <w:left w:val="single" w:sz="6" w:space="0" w:color="auto"/>
              <w:bottom w:val="nil"/>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76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r w:rsidRPr="00687B52">
              <w:rPr>
                <w:rFonts w:eastAsia="黑体" w:hint="eastAsia"/>
                <w:color w:val="000000" w:themeColor="text1"/>
                <w:sz w:val="18"/>
              </w:rPr>
              <w:t>二级站</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95"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95"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p>
        </w:tc>
        <w:tc>
          <w:tcPr>
            <w:tcW w:w="594"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color w:val="000000" w:themeColor="text1"/>
                <w:sz w:val="18"/>
              </w:rPr>
              <w:t>3</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hint="eastAsia"/>
                <w:color w:val="000000" w:themeColor="text1"/>
                <w:sz w:val="18"/>
              </w:rPr>
              <w:t>5</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color w:val="000000" w:themeColor="text1"/>
                <w:sz w:val="18"/>
              </w:rPr>
              <w:t>6</w:t>
            </w:r>
          </w:p>
        </w:tc>
        <w:tc>
          <w:tcPr>
            <w:tcW w:w="594"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9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15</w:t>
            </w:r>
          </w:p>
        </w:tc>
        <w:tc>
          <w:tcPr>
            <w:tcW w:w="67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hint="eastAsia"/>
                <w:color w:val="000000" w:themeColor="text1"/>
                <w:sz w:val="18"/>
              </w:rPr>
              <w:t>25</w:t>
            </w:r>
          </w:p>
        </w:tc>
        <w:tc>
          <w:tcPr>
            <w:tcW w:w="66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color w:val="000000" w:themeColor="text1"/>
                <w:sz w:val="18"/>
              </w:rPr>
              <w:t>3</w:t>
            </w:r>
          </w:p>
        </w:tc>
      </w:tr>
      <w:tr w:rsidR="00481EDB" w:rsidRPr="00687B52" w:rsidTr="00B527D4">
        <w:trPr>
          <w:cantSplit/>
          <w:trHeight w:val="258"/>
        </w:trPr>
        <w:tc>
          <w:tcPr>
            <w:tcW w:w="325" w:type="dxa"/>
            <w:vMerge/>
            <w:tcBorders>
              <w:top w:val="nil"/>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480" w:type="dxa"/>
            <w:vMerge/>
            <w:tcBorders>
              <w:top w:val="nil"/>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p>
        </w:tc>
        <w:tc>
          <w:tcPr>
            <w:tcW w:w="76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r w:rsidRPr="00687B52">
              <w:rPr>
                <w:rFonts w:eastAsia="黑体" w:hint="eastAsia"/>
                <w:color w:val="000000" w:themeColor="text1"/>
                <w:sz w:val="18"/>
              </w:rPr>
              <w:t>三级站</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595"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95"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ascii="黑体" w:eastAsia="黑体"/>
                <w:color w:val="000000" w:themeColor="text1"/>
                <w:sz w:val="18"/>
              </w:rPr>
            </w:pP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w:t>
            </w:r>
          </w:p>
        </w:tc>
        <w:tc>
          <w:tcPr>
            <w:tcW w:w="594"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color w:val="000000" w:themeColor="text1"/>
                <w:sz w:val="18"/>
              </w:rPr>
              <w:t>3</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color w:val="000000" w:themeColor="text1"/>
                <w:sz w:val="18"/>
              </w:rPr>
              <w:t>4</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color w:val="000000" w:themeColor="text1"/>
                <w:sz w:val="18"/>
              </w:rPr>
              <w:t>4</w:t>
            </w:r>
          </w:p>
        </w:tc>
        <w:tc>
          <w:tcPr>
            <w:tcW w:w="594"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9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w:t>
            </w:r>
          </w:p>
        </w:tc>
        <w:tc>
          <w:tcPr>
            <w:tcW w:w="67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hint="eastAsia"/>
                <w:color w:val="000000" w:themeColor="text1"/>
                <w:sz w:val="18"/>
              </w:rPr>
              <w:t>18</w:t>
            </w:r>
          </w:p>
        </w:tc>
        <w:tc>
          <w:tcPr>
            <w:tcW w:w="66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eastAsia="黑体"/>
                <w:color w:val="000000" w:themeColor="text1"/>
                <w:sz w:val="18"/>
              </w:rPr>
            </w:pPr>
            <w:r w:rsidRPr="00687B52">
              <w:rPr>
                <w:rFonts w:eastAsia="黑体"/>
                <w:color w:val="000000" w:themeColor="text1"/>
                <w:sz w:val="18"/>
              </w:rPr>
              <w:t>3</w:t>
            </w:r>
          </w:p>
        </w:tc>
      </w:tr>
      <w:tr w:rsidR="00481EDB" w:rsidRPr="00687B52" w:rsidTr="00B527D4">
        <w:trPr>
          <w:cantSplit/>
          <w:trHeight w:val="258"/>
        </w:trPr>
        <w:tc>
          <w:tcPr>
            <w:tcW w:w="1569" w:type="dxa"/>
            <w:gridSpan w:val="3"/>
            <w:tcBorders>
              <w:top w:val="single" w:sz="6" w:space="0" w:color="auto"/>
              <w:left w:val="single" w:sz="4" w:space="0" w:color="auto"/>
              <w:bottom w:val="single" w:sz="6" w:space="0" w:color="auto"/>
              <w:right w:val="single" w:sz="6" w:space="0" w:color="auto"/>
            </w:tcBorders>
            <w:vAlign w:val="center"/>
          </w:tcPr>
          <w:p w:rsidR="00481EDB" w:rsidRPr="00687B52" w:rsidRDefault="00481EDB" w:rsidP="00B527D4">
            <w:pPr>
              <w:autoSpaceDE w:val="0"/>
              <w:autoSpaceDN w:val="0"/>
              <w:textAlignment w:val="bottom"/>
              <w:rPr>
                <w:rFonts w:eastAsia="黑体"/>
                <w:color w:val="000000" w:themeColor="text1"/>
                <w:sz w:val="18"/>
              </w:rPr>
            </w:pPr>
            <w:r w:rsidRPr="00687B52">
              <w:rPr>
                <w:rFonts w:eastAsia="黑体" w:hint="eastAsia"/>
                <w:color w:val="000000" w:themeColor="text1"/>
                <w:sz w:val="18"/>
              </w:rPr>
              <w:t>CNG</w:t>
            </w:r>
            <w:r w:rsidRPr="00687B52">
              <w:rPr>
                <w:rFonts w:eastAsia="黑体" w:hint="eastAsia"/>
                <w:color w:val="000000" w:themeColor="text1"/>
                <w:sz w:val="18"/>
              </w:rPr>
              <w:t>储气设施</w:t>
            </w:r>
          </w:p>
        </w:tc>
        <w:tc>
          <w:tcPr>
            <w:tcW w:w="520"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95" w:type="dxa"/>
            <w:tcBorders>
              <w:top w:val="single" w:sz="6" w:space="0" w:color="auto"/>
              <w:left w:val="single" w:sz="6" w:space="0" w:color="auto"/>
              <w:bottom w:val="single" w:sz="6"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20" w:type="dxa"/>
            <w:tcBorders>
              <w:top w:val="single" w:sz="6" w:space="0" w:color="auto"/>
              <w:left w:val="single" w:sz="4" w:space="0" w:color="auto"/>
              <w:bottom w:val="single" w:sz="6"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95" w:type="dxa"/>
            <w:tcBorders>
              <w:top w:val="single" w:sz="6" w:space="0" w:color="auto"/>
              <w:left w:val="single" w:sz="4" w:space="0" w:color="auto"/>
              <w:bottom w:val="single" w:sz="6"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0"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94" w:type="dxa"/>
            <w:tcBorders>
              <w:top w:val="single" w:sz="6" w:space="0" w:color="auto"/>
              <w:left w:val="single" w:sz="6" w:space="0" w:color="auto"/>
              <w:bottom w:val="single" w:sz="6" w:space="0" w:color="auto"/>
              <w:right w:val="single" w:sz="4" w:space="0" w:color="auto"/>
            </w:tcBorders>
            <w:vAlign w:val="center"/>
          </w:tcPr>
          <w:p w:rsidR="00481EDB" w:rsidRPr="00687B52" w:rsidRDefault="00481EDB" w:rsidP="00B527D4">
            <w:pPr>
              <w:autoSpaceDE w:val="0"/>
              <w:autoSpaceDN w:val="0"/>
              <w:textAlignment w:val="bottom"/>
              <w:rPr>
                <w:rFonts w:ascii="黑体" w:eastAsia="黑体"/>
                <w:color w:val="000000" w:themeColor="text1"/>
                <w:sz w:val="18"/>
              </w:rPr>
            </w:pPr>
            <w:r w:rsidRPr="00687B52">
              <w:rPr>
                <w:rFonts w:ascii="黑体" w:eastAsia="黑体" w:hint="eastAsia"/>
                <w:color w:val="000000" w:themeColor="text1"/>
                <w:sz w:val="18"/>
              </w:rPr>
              <w:t>1.5（1）</w:t>
            </w:r>
          </w:p>
        </w:tc>
        <w:tc>
          <w:tcPr>
            <w:tcW w:w="446"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94"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9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u w:val="single"/>
              </w:rPr>
            </w:pPr>
            <w:r w:rsidRPr="00687B52">
              <w:rPr>
                <w:rFonts w:ascii="黑体" w:eastAsia="黑体" w:hint="eastAsia"/>
                <w:color w:val="000000" w:themeColor="text1"/>
                <w:sz w:val="18"/>
                <w:u w:val="single"/>
              </w:rPr>
              <w:t>6</w:t>
            </w:r>
          </w:p>
        </w:tc>
        <w:tc>
          <w:tcPr>
            <w:tcW w:w="67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25</w:t>
            </w:r>
          </w:p>
        </w:tc>
        <w:tc>
          <w:tcPr>
            <w:tcW w:w="66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14</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r>
      <w:tr w:rsidR="00481EDB" w:rsidRPr="00687B52" w:rsidTr="00B527D4">
        <w:trPr>
          <w:cantSplit/>
          <w:trHeight w:val="258"/>
        </w:trPr>
        <w:tc>
          <w:tcPr>
            <w:tcW w:w="1569" w:type="dxa"/>
            <w:gridSpan w:val="3"/>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pacing w:val="20"/>
                <w:sz w:val="18"/>
              </w:rPr>
            </w:pPr>
            <w:r w:rsidRPr="00687B52">
              <w:rPr>
                <w:rFonts w:eastAsia="黑体" w:hint="eastAsia"/>
                <w:color w:val="000000" w:themeColor="text1"/>
                <w:sz w:val="18"/>
              </w:rPr>
              <w:t>CNG</w:t>
            </w:r>
            <w:r w:rsidRPr="00687B52">
              <w:rPr>
                <w:rFonts w:eastAsia="黑体" w:hint="eastAsia"/>
                <w:color w:val="000000" w:themeColor="text1"/>
                <w:sz w:val="18"/>
              </w:rPr>
              <w:t>集中放散管管口</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95"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95"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20"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94"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446"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6" w:space="0" w:color="auto"/>
              <w:bottom w:val="single" w:sz="6"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94" w:type="dxa"/>
            <w:tcBorders>
              <w:top w:val="single" w:sz="6" w:space="0" w:color="auto"/>
              <w:left w:val="single" w:sz="4" w:space="0" w:color="auto"/>
              <w:bottom w:val="single" w:sz="6"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9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u w:val="single"/>
              </w:rPr>
            </w:pPr>
            <w:r w:rsidRPr="00687B52">
              <w:rPr>
                <w:rFonts w:ascii="黑体" w:eastAsia="黑体" w:hint="eastAsia"/>
                <w:color w:val="000000" w:themeColor="text1"/>
                <w:sz w:val="18"/>
                <w:u w:val="single"/>
              </w:rPr>
              <w:t>6</w:t>
            </w:r>
          </w:p>
        </w:tc>
        <w:tc>
          <w:tcPr>
            <w:tcW w:w="67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15</w:t>
            </w:r>
          </w:p>
        </w:tc>
        <w:tc>
          <w:tcPr>
            <w:tcW w:w="66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14</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r>
      <w:tr w:rsidR="00481EDB" w:rsidRPr="00687B52" w:rsidTr="00B527D4">
        <w:trPr>
          <w:cantSplit/>
          <w:trHeight w:val="258"/>
        </w:trPr>
        <w:tc>
          <w:tcPr>
            <w:tcW w:w="1569" w:type="dxa"/>
            <w:gridSpan w:val="3"/>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pacing w:val="20"/>
                <w:sz w:val="18"/>
              </w:rPr>
            </w:pPr>
            <w:r w:rsidRPr="00687B52">
              <w:rPr>
                <w:rFonts w:eastAsia="黑体" w:hint="eastAsia"/>
                <w:color w:val="000000" w:themeColor="text1"/>
                <w:sz w:val="18"/>
              </w:rPr>
              <w:t>油品卸车点</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95"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595"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10</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594"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446"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20" w:type="dxa"/>
            <w:tcBorders>
              <w:top w:val="single" w:sz="6" w:space="0" w:color="auto"/>
              <w:left w:val="single" w:sz="6" w:space="0" w:color="auto"/>
              <w:bottom w:val="single" w:sz="6"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4" w:space="0" w:color="auto"/>
              <w:bottom w:val="single" w:sz="6"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94" w:type="dxa"/>
            <w:tcBorders>
              <w:top w:val="single" w:sz="6" w:space="0" w:color="auto"/>
              <w:left w:val="single" w:sz="4" w:space="0" w:color="auto"/>
              <w:bottom w:val="single" w:sz="6" w:space="0" w:color="auto"/>
              <w:right w:val="single" w:sz="4" w:space="0" w:color="auto"/>
            </w:tcBorders>
            <w:vAlign w:val="center"/>
          </w:tcPr>
          <w:p w:rsidR="00481EDB" w:rsidRPr="00687B52" w:rsidRDefault="00481EDB" w:rsidP="00B527D4">
            <w:pPr>
              <w:autoSpaceDE w:val="0"/>
              <w:autoSpaceDN w:val="0"/>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9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10</w:t>
            </w:r>
          </w:p>
        </w:tc>
        <w:tc>
          <w:tcPr>
            <w:tcW w:w="67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15</w:t>
            </w:r>
          </w:p>
        </w:tc>
        <w:tc>
          <w:tcPr>
            <w:tcW w:w="66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r>
      <w:tr w:rsidR="00481EDB" w:rsidRPr="00687B52" w:rsidTr="00B527D4">
        <w:trPr>
          <w:cantSplit/>
          <w:trHeight w:val="258"/>
        </w:trPr>
        <w:tc>
          <w:tcPr>
            <w:tcW w:w="1569" w:type="dxa"/>
            <w:gridSpan w:val="3"/>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r w:rsidRPr="00687B52">
              <w:rPr>
                <w:rFonts w:eastAsia="黑体" w:hint="eastAsia"/>
                <w:color w:val="000000" w:themeColor="text1"/>
                <w:sz w:val="18"/>
              </w:rPr>
              <w:t xml:space="preserve">LPG </w:t>
            </w:r>
            <w:r w:rsidRPr="00687B52">
              <w:rPr>
                <w:rFonts w:eastAsia="黑体" w:hint="eastAsia"/>
                <w:color w:val="000000" w:themeColor="text1"/>
                <w:sz w:val="18"/>
              </w:rPr>
              <w:t>卸车点</w:t>
            </w:r>
          </w:p>
        </w:tc>
        <w:tc>
          <w:tcPr>
            <w:tcW w:w="520"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95"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3.5</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95"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12/10</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10/8</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8/6</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594"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94"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9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67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25</w:t>
            </w:r>
          </w:p>
        </w:tc>
        <w:tc>
          <w:tcPr>
            <w:tcW w:w="66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r>
      <w:tr w:rsidR="00481EDB" w:rsidRPr="00687B52" w:rsidTr="00B527D4">
        <w:trPr>
          <w:cantSplit/>
          <w:trHeight w:val="258"/>
        </w:trPr>
        <w:tc>
          <w:tcPr>
            <w:tcW w:w="1569" w:type="dxa"/>
            <w:gridSpan w:val="3"/>
            <w:tcBorders>
              <w:top w:val="single" w:sz="6" w:space="0" w:color="auto"/>
              <w:left w:val="single" w:sz="4" w:space="0" w:color="auto"/>
              <w:bottom w:val="single" w:sz="6" w:space="0" w:color="auto"/>
              <w:right w:val="single" w:sz="6" w:space="0" w:color="auto"/>
            </w:tcBorders>
            <w:vAlign w:val="center"/>
          </w:tcPr>
          <w:p w:rsidR="00481EDB" w:rsidRPr="00687B52" w:rsidRDefault="00481EDB" w:rsidP="00B527D4">
            <w:pPr>
              <w:autoSpaceDE w:val="0"/>
              <w:autoSpaceDN w:val="0"/>
              <w:textAlignment w:val="bottom"/>
              <w:rPr>
                <w:rFonts w:eastAsia="黑体"/>
                <w:color w:val="000000" w:themeColor="text1"/>
                <w:sz w:val="18"/>
              </w:rPr>
            </w:pPr>
            <w:r w:rsidRPr="00687B52">
              <w:rPr>
                <w:rFonts w:eastAsia="黑体" w:hint="eastAsia"/>
                <w:color w:val="000000" w:themeColor="text1"/>
                <w:sz w:val="18"/>
              </w:rPr>
              <w:t xml:space="preserve">LPG </w:t>
            </w:r>
            <w:r w:rsidRPr="00687B52">
              <w:rPr>
                <w:rFonts w:eastAsia="黑体" w:hint="eastAsia"/>
                <w:color w:val="000000" w:themeColor="text1"/>
                <w:sz w:val="18"/>
              </w:rPr>
              <w:t>泵</w:t>
            </w:r>
            <w:r w:rsidRPr="00687B52">
              <w:rPr>
                <w:rFonts w:eastAsia="黑体" w:hint="eastAsia"/>
                <w:color w:val="000000" w:themeColor="text1"/>
                <w:sz w:val="18"/>
              </w:rPr>
              <w:t>(</w:t>
            </w:r>
            <w:r w:rsidRPr="00687B52">
              <w:rPr>
                <w:rFonts w:eastAsia="黑体" w:hint="eastAsia"/>
                <w:color w:val="000000" w:themeColor="text1"/>
                <w:sz w:val="18"/>
              </w:rPr>
              <w:t>房</w:t>
            </w:r>
            <w:r w:rsidRPr="00687B52">
              <w:rPr>
                <w:rFonts w:eastAsia="黑体" w:hint="eastAsia"/>
                <w:color w:val="000000" w:themeColor="text1"/>
                <w:sz w:val="18"/>
              </w:rPr>
              <w:t>)</w:t>
            </w:r>
            <w:r w:rsidRPr="00687B52">
              <w:rPr>
                <w:rFonts w:eastAsia="黑体" w:hint="eastAsia"/>
                <w:color w:val="000000" w:themeColor="text1"/>
                <w:sz w:val="18"/>
              </w:rPr>
              <w:t>、压缩机</w:t>
            </w:r>
            <w:r w:rsidRPr="00687B52">
              <w:rPr>
                <w:rFonts w:eastAsia="黑体" w:hint="eastAsia"/>
                <w:color w:val="000000" w:themeColor="text1"/>
                <w:sz w:val="18"/>
              </w:rPr>
              <w:t>(</w:t>
            </w:r>
            <w:r w:rsidRPr="00687B52">
              <w:rPr>
                <w:rFonts w:eastAsia="黑体" w:hint="eastAsia"/>
                <w:color w:val="000000" w:themeColor="text1"/>
                <w:sz w:val="18"/>
              </w:rPr>
              <w:t>间</w:t>
            </w:r>
            <w:r w:rsidRPr="00687B52">
              <w:rPr>
                <w:rFonts w:eastAsia="黑体" w:hint="eastAsia"/>
                <w:color w:val="000000" w:themeColor="text1"/>
                <w:sz w:val="18"/>
              </w:rPr>
              <w:t>)</w:t>
            </w:r>
          </w:p>
        </w:tc>
        <w:tc>
          <w:tcPr>
            <w:tcW w:w="520"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95"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3.5</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95"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12/10</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10/8</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8/6</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94"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94"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9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67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25</w:t>
            </w:r>
          </w:p>
        </w:tc>
        <w:tc>
          <w:tcPr>
            <w:tcW w:w="66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w:t>
            </w:r>
          </w:p>
        </w:tc>
      </w:tr>
      <w:tr w:rsidR="00481EDB" w:rsidRPr="00687B52" w:rsidTr="00B527D4">
        <w:trPr>
          <w:cantSplit/>
          <w:trHeight w:val="258"/>
        </w:trPr>
        <w:tc>
          <w:tcPr>
            <w:tcW w:w="1569" w:type="dxa"/>
            <w:gridSpan w:val="3"/>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r w:rsidRPr="00687B52">
              <w:rPr>
                <w:rFonts w:eastAsia="黑体" w:hint="eastAsia"/>
                <w:color w:val="000000" w:themeColor="text1"/>
                <w:sz w:val="18"/>
              </w:rPr>
              <w:t>天然气压缩机（间）</w:t>
            </w:r>
          </w:p>
        </w:tc>
        <w:tc>
          <w:tcPr>
            <w:tcW w:w="520"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95"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95"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94"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446"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dstrike/>
                <w:color w:val="000000" w:themeColor="text1"/>
                <w:sz w:val="18"/>
                <w:szCs w:val="18"/>
              </w:rPr>
            </w:pPr>
            <w:r w:rsidRPr="00687B52">
              <w:rPr>
                <w:rFonts w:ascii="黑体" w:eastAsia="黑体" w:hint="eastAsia"/>
                <w:color w:val="000000" w:themeColor="text1"/>
                <w:sz w:val="18"/>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dstrike/>
                <w:color w:val="000000" w:themeColor="text1"/>
                <w:sz w:val="18"/>
              </w:rPr>
            </w:pPr>
            <w:r w:rsidRPr="00687B52">
              <w:rPr>
                <w:rFonts w:ascii="黑体" w:eastAsia="黑体" w:hint="eastAsia"/>
                <w:color w:val="000000" w:themeColor="text1"/>
                <w:spacing w:val="20"/>
                <w:u w:val="single"/>
              </w:rPr>
              <w:t>×</w:t>
            </w:r>
          </w:p>
        </w:tc>
        <w:tc>
          <w:tcPr>
            <w:tcW w:w="594"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9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67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25</w:t>
            </w:r>
          </w:p>
        </w:tc>
        <w:tc>
          <w:tcPr>
            <w:tcW w:w="66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w:t>
            </w:r>
          </w:p>
        </w:tc>
      </w:tr>
      <w:tr w:rsidR="00481EDB" w:rsidRPr="00687B52" w:rsidTr="00B527D4">
        <w:trPr>
          <w:cantSplit/>
          <w:trHeight w:val="258"/>
        </w:trPr>
        <w:tc>
          <w:tcPr>
            <w:tcW w:w="1569" w:type="dxa"/>
            <w:gridSpan w:val="3"/>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r w:rsidRPr="00687B52">
              <w:rPr>
                <w:rFonts w:eastAsia="黑体" w:hint="eastAsia"/>
                <w:color w:val="000000" w:themeColor="text1"/>
                <w:sz w:val="18"/>
              </w:rPr>
              <w:t>天然气调压器（间）</w:t>
            </w:r>
          </w:p>
        </w:tc>
        <w:tc>
          <w:tcPr>
            <w:tcW w:w="520"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95"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95"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94"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446"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dstrike/>
                <w:color w:val="000000" w:themeColor="text1"/>
                <w:sz w:val="18"/>
              </w:rPr>
            </w:pPr>
            <w:r w:rsidRPr="00687B52">
              <w:rPr>
                <w:rFonts w:ascii="黑体" w:eastAsia="黑体" w:hint="eastAsia"/>
                <w:color w:val="000000" w:themeColor="text1"/>
                <w:spacing w:val="20"/>
                <w:u w:val="single"/>
              </w:rPr>
              <w:t>×</w:t>
            </w:r>
          </w:p>
        </w:tc>
        <w:tc>
          <w:tcPr>
            <w:tcW w:w="594"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9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67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25</w:t>
            </w:r>
          </w:p>
        </w:tc>
        <w:tc>
          <w:tcPr>
            <w:tcW w:w="66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w:t>
            </w:r>
          </w:p>
        </w:tc>
      </w:tr>
      <w:tr w:rsidR="00481EDB" w:rsidRPr="00687B52" w:rsidTr="00B527D4">
        <w:trPr>
          <w:cantSplit/>
          <w:trHeight w:val="258"/>
        </w:trPr>
        <w:tc>
          <w:tcPr>
            <w:tcW w:w="1569" w:type="dxa"/>
            <w:gridSpan w:val="3"/>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r w:rsidRPr="00687B52">
              <w:rPr>
                <w:rFonts w:eastAsia="黑体" w:hint="eastAsia"/>
                <w:color w:val="000000" w:themeColor="text1"/>
                <w:sz w:val="18"/>
              </w:rPr>
              <w:t>天然气脱硫和脱水设备</w:t>
            </w:r>
          </w:p>
        </w:tc>
        <w:tc>
          <w:tcPr>
            <w:tcW w:w="520"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95"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3.5</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95"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3.5</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94"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446"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dstrike/>
                <w:color w:val="000000" w:themeColor="text1"/>
                <w:sz w:val="18"/>
              </w:rPr>
            </w:pPr>
            <w:r w:rsidRPr="00687B52">
              <w:rPr>
                <w:rFonts w:ascii="黑体" w:eastAsia="黑体" w:hint="eastAsia"/>
                <w:color w:val="000000" w:themeColor="text1"/>
                <w:spacing w:val="20"/>
                <w:u w:val="single"/>
              </w:rPr>
              <w:t>×</w:t>
            </w:r>
          </w:p>
        </w:tc>
        <w:tc>
          <w:tcPr>
            <w:tcW w:w="594"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9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15</w:t>
            </w:r>
          </w:p>
        </w:tc>
        <w:tc>
          <w:tcPr>
            <w:tcW w:w="67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25</w:t>
            </w:r>
          </w:p>
        </w:tc>
        <w:tc>
          <w:tcPr>
            <w:tcW w:w="66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r>
      <w:tr w:rsidR="00481EDB" w:rsidRPr="00687B52" w:rsidTr="00B527D4">
        <w:trPr>
          <w:cantSplit/>
          <w:trHeight w:val="258"/>
        </w:trPr>
        <w:tc>
          <w:tcPr>
            <w:tcW w:w="1569" w:type="dxa"/>
            <w:gridSpan w:val="3"/>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r w:rsidRPr="00687B52">
              <w:rPr>
                <w:rFonts w:eastAsia="黑体" w:hint="eastAsia"/>
                <w:color w:val="000000" w:themeColor="text1"/>
                <w:sz w:val="18"/>
              </w:rPr>
              <w:t>加油机</w:t>
            </w:r>
          </w:p>
        </w:tc>
        <w:tc>
          <w:tcPr>
            <w:tcW w:w="520"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95"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95"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12/10</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10/8</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8/6</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94"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446"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20"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94"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9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67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15(10)</w:t>
            </w:r>
          </w:p>
        </w:tc>
        <w:tc>
          <w:tcPr>
            <w:tcW w:w="66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8（6）</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r>
      <w:tr w:rsidR="00481EDB" w:rsidRPr="00687B52" w:rsidTr="00B527D4">
        <w:trPr>
          <w:cantSplit/>
          <w:trHeight w:val="258"/>
        </w:trPr>
        <w:tc>
          <w:tcPr>
            <w:tcW w:w="1569" w:type="dxa"/>
            <w:gridSpan w:val="3"/>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r w:rsidRPr="00687B52">
              <w:rPr>
                <w:rFonts w:eastAsia="黑体" w:hint="eastAsia"/>
                <w:color w:val="000000" w:themeColor="text1"/>
                <w:sz w:val="18"/>
              </w:rPr>
              <w:t>LPG</w:t>
            </w:r>
            <w:r w:rsidRPr="00687B52">
              <w:rPr>
                <w:rFonts w:eastAsia="黑体" w:hint="eastAsia"/>
                <w:color w:val="000000" w:themeColor="text1"/>
                <w:sz w:val="18"/>
              </w:rPr>
              <w:t>加气机</w:t>
            </w:r>
          </w:p>
        </w:tc>
        <w:tc>
          <w:tcPr>
            <w:tcW w:w="520"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95"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95"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12/10</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10/8</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8/6</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94"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20"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94"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5.5</w:t>
            </w:r>
          </w:p>
        </w:tc>
        <w:tc>
          <w:tcPr>
            <w:tcW w:w="59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67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18</w:t>
            </w:r>
          </w:p>
        </w:tc>
        <w:tc>
          <w:tcPr>
            <w:tcW w:w="66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r>
      <w:tr w:rsidR="00481EDB" w:rsidRPr="00687B52" w:rsidTr="00B527D4">
        <w:trPr>
          <w:cantSplit/>
          <w:trHeight w:val="504"/>
        </w:trPr>
        <w:tc>
          <w:tcPr>
            <w:tcW w:w="1569" w:type="dxa"/>
            <w:gridSpan w:val="3"/>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pacing w:val="-12"/>
                <w:sz w:val="18"/>
              </w:rPr>
            </w:pPr>
            <w:r w:rsidRPr="00687B52">
              <w:rPr>
                <w:rFonts w:eastAsia="黑体" w:hint="eastAsia"/>
                <w:color w:val="000000" w:themeColor="text1"/>
                <w:spacing w:val="-12"/>
                <w:sz w:val="18"/>
              </w:rPr>
              <w:t>CNG</w:t>
            </w:r>
            <w:r w:rsidRPr="00687B52">
              <w:rPr>
                <w:rFonts w:eastAsia="黑体" w:hint="eastAsia"/>
                <w:color w:val="000000" w:themeColor="text1"/>
                <w:spacing w:val="-12"/>
                <w:sz w:val="18"/>
              </w:rPr>
              <w:t>加气机、加气柱和卸气柱</w:t>
            </w:r>
          </w:p>
        </w:tc>
        <w:tc>
          <w:tcPr>
            <w:tcW w:w="520"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95"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95"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94"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446"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446"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pacing w:val="20"/>
              </w:rPr>
              <w:t>×</w:t>
            </w:r>
          </w:p>
        </w:tc>
        <w:tc>
          <w:tcPr>
            <w:tcW w:w="594"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9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67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18</w:t>
            </w:r>
          </w:p>
        </w:tc>
        <w:tc>
          <w:tcPr>
            <w:tcW w:w="66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r>
      <w:tr w:rsidR="00481EDB" w:rsidRPr="00687B52" w:rsidTr="00B527D4">
        <w:trPr>
          <w:cantSplit/>
          <w:trHeight w:val="258"/>
        </w:trPr>
        <w:tc>
          <w:tcPr>
            <w:tcW w:w="1569" w:type="dxa"/>
            <w:gridSpan w:val="3"/>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r w:rsidRPr="00687B52">
              <w:rPr>
                <w:rFonts w:eastAsia="黑体" w:hint="eastAsia"/>
                <w:color w:val="000000" w:themeColor="text1"/>
                <w:sz w:val="18"/>
              </w:rPr>
              <w:t>站房</w:t>
            </w:r>
          </w:p>
        </w:tc>
        <w:tc>
          <w:tcPr>
            <w:tcW w:w="520"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95"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95"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3.5</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12/10</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10/8</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20"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94"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446"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20"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5.5</w:t>
            </w:r>
          </w:p>
        </w:tc>
        <w:tc>
          <w:tcPr>
            <w:tcW w:w="594"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9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67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66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r>
      <w:tr w:rsidR="00481EDB" w:rsidRPr="00687B52" w:rsidTr="00B527D4">
        <w:trPr>
          <w:cantSplit/>
          <w:trHeight w:val="381"/>
        </w:trPr>
        <w:tc>
          <w:tcPr>
            <w:tcW w:w="1569" w:type="dxa"/>
            <w:gridSpan w:val="3"/>
            <w:tcBorders>
              <w:top w:val="single" w:sz="6" w:space="0" w:color="auto"/>
              <w:left w:val="single" w:sz="4" w:space="0" w:color="auto"/>
              <w:bottom w:val="single" w:sz="6" w:space="0" w:color="auto"/>
              <w:right w:val="single" w:sz="6" w:space="0" w:color="auto"/>
            </w:tcBorders>
            <w:vAlign w:val="center"/>
          </w:tcPr>
          <w:p w:rsidR="00481EDB" w:rsidRPr="00687B52" w:rsidRDefault="00481EDB" w:rsidP="00B527D4">
            <w:pPr>
              <w:autoSpaceDE w:val="0"/>
              <w:autoSpaceDN w:val="0"/>
              <w:textAlignment w:val="bottom"/>
              <w:rPr>
                <w:rFonts w:eastAsia="黑体"/>
                <w:color w:val="000000" w:themeColor="text1"/>
                <w:spacing w:val="-10"/>
                <w:sz w:val="18"/>
                <w:szCs w:val="18"/>
              </w:rPr>
            </w:pPr>
            <w:r w:rsidRPr="00687B52">
              <w:rPr>
                <w:rFonts w:eastAsia="黑体" w:hint="eastAsia"/>
                <w:color w:val="000000" w:themeColor="text1"/>
                <w:spacing w:val="-10"/>
                <w:sz w:val="18"/>
                <w:szCs w:val="18"/>
              </w:rPr>
              <w:t>消防泵房和消防水池取水口</w:t>
            </w:r>
          </w:p>
        </w:tc>
        <w:tc>
          <w:tcPr>
            <w:tcW w:w="520"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10</w:t>
            </w:r>
          </w:p>
        </w:tc>
        <w:tc>
          <w:tcPr>
            <w:tcW w:w="595"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7</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10</w:t>
            </w:r>
          </w:p>
        </w:tc>
        <w:tc>
          <w:tcPr>
            <w:tcW w:w="595"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7</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40/30</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30/20</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30/20</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20</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15</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w:t>
            </w:r>
          </w:p>
        </w:tc>
        <w:tc>
          <w:tcPr>
            <w:tcW w:w="594"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p>
        </w:tc>
        <w:tc>
          <w:tcPr>
            <w:tcW w:w="446"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10</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15</w:t>
            </w:r>
          </w:p>
        </w:tc>
        <w:tc>
          <w:tcPr>
            <w:tcW w:w="520"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94"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9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67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w:t>
            </w:r>
          </w:p>
        </w:tc>
        <w:tc>
          <w:tcPr>
            <w:tcW w:w="66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r>
      <w:tr w:rsidR="00481EDB" w:rsidRPr="00687B52" w:rsidTr="00B527D4">
        <w:trPr>
          <w:cantSplit/>
          <w:trHeight w:val="504"/>
        </w:trPr>
        <w:tc>
          <w:tcPr>
            <w:tcW w:w="1569" w:type="dxa"/>
            <w:gridSpan w:val="3"/>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r w:rsidRPr="00687B52">
              <w:rPr>
                <w:rFonts w:eastAsia="黑体" w:hint="eastAsia"/>
                <w:color w:val="000000" w:themeColor="text1"/>
                <w:sz w:val="18"/>
              </w:rPr>
              <w:t>自用燃煤锅炉房和燃煤厨房</w:t>
            </w:r>
          </w:p>
        </w:tc>
        <w:tc>
          <w:tcPr>
            <w:tcW w:w="520"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18.5</w:t>
            </w:r>
          </w:p>
        </w:tc>
        <w:tc>
          <w:tcPr>
            <w:tcW w:w="595"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13</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18.5</w:t>
            </w:r>
          </w:p>
        </w:tc>
        <w:tc>
          <w:tcPr>
            <w:tcW w:w="595"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13</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45</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38</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33</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30</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25</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18</w:t>
            </w:r>
          </w:p>
        </w:tc>
        <w:tc>
          <w:tcPr>
            <w:tcW w:w="594"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25</w:t>
            </w:r>
          </w:p>
        </w:tc>
        <w:tc>
          <w:tcPr>
            <w:tcW w:w="446"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15</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15</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25</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25</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25</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25</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25</w:t>
            </w:r>
          </w:p>
        </w:tc>
        <w:tc>
          <w:tcPr>
            <w:tcW w:w="520"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15(10)</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18</w:t>
            </w:r>
          </w:p>
        </w:tc>
        <w:tc>
          <w:tcPr>
            <w:tcW w:w="594"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18</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94"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w:t>
            </w:r>
          </w:p>
        </w:tc>
        <w:tc>
          <w:tcPr>
            <w:tcW w:w="67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66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r>
      <w:tr w:rsidR="00481EDB" w:rsidRPr="00687B52" w:rsidTr="00B527D4">
        <w:trPr>
          <w:cantSplit/>
          <w:trHeight w:val="381"/>
        </w:trPr>
        <w:tc>
          <w:tcPr>
            <w:tcW w:w="1569" w:type="dxa"/>
            <w:gridSpan w:val="3"/>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textAlignment w:val="bottom"/>
              <w:rPr>
                <w:rFonts w:eastAsia="黑体"/>
                <w:color w:val="000000" w:themeColor="text1"/>
                <w:sz w:val="18"/>
              </w:rPr>
            </w:pPr>
            <w:r w:rsidRPr="00687B52">
              <w:rPr>
                <w:rFonts w:eastAsia="黑体" w:hint="eastAsia"/>
                <w:color w:val="000000" w:themeColor="text1"/>
                <w:sz w:val="18"/>
              </w:rPr>
              <w:t>自用</w:t>
            </w:r>
            <w:r w:rsidRPr="00687B52">
              <w:rPr>
                <w:rFonts w:ascii="黑体" w:eastAsia="黑体" w:hint="eastAsia"/>
                <w:color w:val="000000" w:themeColor="text1"/>
                <w:spacing w:val="10"/>
                <w:sz w:val="18"/>
              </w:rPr>
              <w:t>有燃气（油）设备的房间</w:t>
            </w:r>
          </w:p>
        </w:tc>
        <w:tc>
          <w:tcPr>
            <w:tcW w:w="520"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95" w:type="dxa"/>
            <w:tcBorders>
              <w:top w:val="single" w:sz="6" w:space="0" w:color="auto"/>
              <w:left w:val="single" w:sz="6" w:space="0" w:color="auto"/>
              <w:bottom w:val="single" w:sz="6" w:space="0" w:color="auto"/>
              <w:right w:val="single" w:sz="4"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0" w:type="dxa"/>
            <w:tcBorders>
              <w:top w:val="single" w:sz="6" w:space="0" w:color="auto"/>
              <w:left w:val="single" w:sz="4" w:space="0" w:color="auto"/>
              <w:bottom w:val="single" w:sz="6" w:space="0" w:color="auto"/>
              <w:right w:val="single" w:sz="4"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95" w:type="dxa"/>
            <w:tcBorders>
              <w:top w:val="single" w:sz="6" w:space="0" w:color="auto"/>
              <w:left w:val="single" w:sz="4"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520"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18/14</w:t>
            </w:r>
          </w:p>
        </w:tc>
        <w:tc>
          <w:tcPr>
            <w:tcW w:w="445"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16/12</w:t>
            </w:r>
          </w:p>
        </w:tc>
        <w:tc>
          <w:tcPr>
            <w:tcW w:w="521"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16/12</w:t>
            </w:r>
          </w:p>
        </w:tc>
        <w:tc>
          <w:tcPr>
            <w:tcW w:w="521"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10</w:t>
            </w:r>
          </w:p>
        </w:tc>
        <w:tc>
          <w:tcPr>
            <w:tcW w:w="520"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445"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594" w:type="dxa"/>
            <w:tcBorders>
              <w:top w:val="single" w:sz="6" w:space="0" w:color="auto"/>
              <w:left w:val="single" w:sz="6" w:space="0" w:color="auto"/>
              <w:bottom w:val="single" w:sz="6" w:space="0" w:color="auto"/>
              <w:right w:val="single" w:sz="4"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14</w:t>
            </w:r>
          </w:p>
        </w:tc>
        <w:tc>
          <w:tcPr>
            <w:tcW w:w="446" w:type="dxa"/>
            <w:tcBorders>
              <w:top w:val="single" w:sz="6" w:space="0" w:color="auto"/>
              <w:left w:val="single" w:sz="4"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14</w:t>
            </w:r>
          </w:p>
        </w:tc>
        <w:tc>
          <w:tcPr>
            <w:tcW w:w="446"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w:t>
            </w:r>
          </w:p>
        </w:tc>
        <w:tc>
          <w:tcPr>
            <w:tcW w:w="445"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w:t>
            </w:r>
          </w:p>
        </w:tc>
        <w:tc>
          <w:tcPr>
            <w:tcW w:w="521"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w:t>
            </w:r>
          </w:p>
        </w:tc>
        <w:tc>
          <w:tcPr>
            <w:tcW w:w="445"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w:t>
            </w:r>
          </w:p>
        </w:tc>
        <w:tc>
          <w:tcPr>
            <w:tcW w:w="446"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w:t>
            </w:r>
          </w:p>
        </w:tc>
        <w:tc>
          <w:tcPr>
            <w:tcW w:w="520"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w:t>
            </w:r>
          </w:p>
        </w:tc>
        <w:tc>
          <w:tcPr>
            <w:tcW w:w="520" w:type="dxa"/>
            <w:tcBorders>
              <w:top w:val="single" w:sz="6" w:space="0" w:color="auto"/>
              <w:left w:val="single" w:sz="6" w:space="0" w:color="auto"/>
              <w:bottom w:val="single" w:sz="6" w:space="0" w:color="auto"/>
              <w:right w:val="single" w:sz="4"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8（6）</w:t>
            </w:r>
          </w:p>
        </w:tc>
        <w:tc>
          <w:tcPr>
            <w:tcW w:w="520" w:type="dxa"/>
            <w:tcBorders>
              <w:top w:val="single" w:sz="6" w:space="0" w:color="auto"/>
              <w:left w:val="single" w:sz="4" w:space="0" w:color="auto"/>
              <w:bottom w:val="single" w:sz="6" w:space="0" w:color="auto"/>
              <w:right w:val="single" w:sz="4"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w:t>
            </w:r>
          </w:p>
        </w:tc>
        <w:tc>
          <w:tcPr>
            <w:tcW w:w="594" w:type="dxa"/>
            <w:tcBorders>
              <w:top w:val="single" w:sz="6" w:space="0" w:color="auto"/>
              <w:left w:val="single" w:sz="4" w:space="0" w:color="auto"/>
              <w:bottom w:val="single" w:sz="6" w:space="0" w:color="auto"/>
              <w:right w:val="single" w:sz="4"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12</w:t>
            </w:r>
          </w:p>
        </w:tc>
        <w:tc>
          <w:tcPr>
            <w:tcW w:w="521"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94"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676"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661"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4" w:space="0" w:color="auto"/>
              <w:bottom w:val="single" w:sz="6" w:space="0" w:color="auto"/>
              <w:right w:val="single" w:sz="4"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r>
      <w:tr w:rsidR="00481EDB" w:rsidRPr="00687B52" w:rsidTr="00B527D4">
        <w:trPr>
          <w:cantSplit/>
          <w:trHeight w:val="274"/>
        </w:trPr>
        <w:tc>
          <w:tcPr>
            <w:tcW w:w="1569" w:type="dxa"/>
            <w:gridSpan w:val="3"/>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textAlignment w:val="bottom"/>
              <w:rPr>
                <w:rFonts w:eastAsia="黑体"/>
                <w:color w:val="000000" w:themeColor="text1"/>
                <w:sz w:val="18"/>
              </w:rPr>
            </w:pPr>
            <w:r w:rsidRPr="00687B52">
              <w:rPr>
                <w:rFonts w:eastAsia="黑体" w:hint="eastAsia"/>
                <w:color w:val="000000" w:themeColor="text1"/>
                <w:sz w:val="18"/>
              </w:rPr>
              <w:t>站区围墙</w:t>
            </w:r>
          </w:p>
        </w:tc>
        <w:tc>
          <w:tcPr>
            <w:tcW w:w="520"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595"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595"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6</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5</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4</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594"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446" w:type="dxa"/>
            <w:tcBorders>
              <w:top w:val="single" w:sz="6" w:space="0" w:color="auto"/>
              <w:left w:val="single" w:sz="4"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3</w:t>
            </w:r>
          </w:p>
        </w:tc>
        <w:tc>
          <w:tcPr>
            <w:tcW w:w="521"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w:t>
            </w:r>
          </w:p>
        </w:tc>
        <w:tc>
          <w:tcPr>
            <w:tcW w:w="445"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w:t>
            </w:r>
          </w:p>
        </w:tc>
        <w:tc>
          <w:tcPr>
            <w:tcW w:w="446"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2</w:t>
            </w:r>
          </w:p>
        </w:tc>
        <w:tc>
          <w:tcPr>
            <w:tcW w:w="520" w:type="dxa"/>
            <w:tcBorders>
              <w:top w:val="single" w:sz="6" w:space="0" w:color="auto"/>
              <w:left w:val="single" w:sz="6" w:space="0" w:color="auto"/>
              <w:bottom w:val="single" w:sz="6" w:space="0" w:color="auto"/>
              <w:right w:val="single" w:sz="6"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6"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94"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1"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94"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676"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661" w:type="dxa"/>
            <w:tcBorders>
              <w:top w:val="single" w:sz="6" w:space="0" w:color="auto"/>
              <w:left w:val="single" w:sz="6" w:space="0" w:color="auto"/>
              <w:bottom w:val="single" w:sz="6" w:space="0" w:color="auto"/>
              <w:right w:val="single" w:sz="6" w:space="0" w:color="auto"/>
            </w:tcBorders>
            <w:vAlign w:val="center"/>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c>
          <w:tcPr>
            <w:tcW w:w="520" w:type="dxa"/>
            <w:tcBorders>
              <w:top w:val="single" w:sz="6" w:space="0" w:color="auto"/>
              <w:left w:val="single" w:sz="4" w:space="0" w:color="auto"/>
              <w:bottom w:val="single" w:sz="6" w:space="0" w:color="auto"/>
              <w:right w:val="single" w:sz="4" w:space="0" w:color="auto"/>
            </w:tcBorders>
          </w:tcPr>
          <w:p w:rsidR="00481EDB" w:rsidRPr="00687B52" w:rsidRDefault="00481EDB" w:rsidP="00B527D4">
            <w:pPr>
              <w:autoSpaceDE w:val="0"/>
              <w:autoSpaceDN w:val="0"/>
              <w:spacing w:line="312" w:lineRule="atLeast"/>
              <w:jc w:val="center"/>
              <w:textAlignment w:val="bottom"/>
              <w:rPr>
                <w:rFonts w:ascii="黑体" w:eastAsia="黑体"/>
                <w:color w:val="000000" w:themeColor="text1"/>
                <w:sz w:val="18"/>
              </w:rPr>
            </w:pPr>
            <w:r w:rsidRPr="00687B52">
              <w:rPr>
                <w:rFonts w:ascii="黑体" w:eastAsia="黑体" w:hint="eastAsia"/>
                <w:color w:val="000000" w:themeColor="text1"/>
                <w:sz w:val="18"/>
              </w:rPr>
              <w:t>—</w:t>
            </w:r>
          </w:p>
        </w:tc>
      </w:tr>
    </w:tbl>
    <w:p w:rsidR="00481EDB" w:rsidRPr="00687B52" w:rsidRDefault="00481EDB" w:rsidP="00856B6C">
      <w:pPr>
        <w:spacing w:line="360" w:lineRule="exact"/>
        <w:ind w:left="709" w:hanging="709"/>
        <w:jc w:val="left"/>
        <w:rPr>
          <w:rFonts w:ascii="宋体" w:eastAsia="黑体"/>
          <w:color w:val="000000" w:themeColor="text1"/>
          <w:spacing w:val="10"/>
          <w:szCs w:val="21"/>
        </w:rPr>
      </w:pPr>
      <w:r w:rsidRPr="00687B52">
        <w:rPr>
          <w:rFonts w:ascii="宋体" w:eastAsia="黑体" w:hint="eastAsia"/>
          <w:color w:val="000000" w:themeColor="text1"/>
          <w:spacing w:val="10"/>
          <w:szCs w:val="21"/>
        </w:rPr>
        <w:t>注：</w:t>
      </w:r>
      <w:r w:rsidRPr="00687B52">
        <w:rPr>
          <w:rFonts w:ascii="宋体" w:eastAsia="黑体" w:hint="eastAsia"/>
          <w:color w:val="000000" w:themeColor="text1"/>
          <w:spacing w:val="10"/>
          <w:szCs w:val="21"/>
        </w:rPr>
        <w:t xml:space="preserve">1 </w:t>
      </w:r>
      <w:r w:rsidRPr="00687B52">
        <w:rPr>
          <w:rFonts w:ascii="宋体" w:eastAsia="黑体" w:hint="eastAsia"/>
          <w:color w:val="000000" w:themeColor="text1"/>
          <w:spacing w:val="10"/>
          <w:szCs w:val="21"/>
        </w:rPr>
        <w:t>分子为</w:t>
      </w:r>
      <w:r w:rsidRPr="00687B52">
        <w:rPr>
          <w:rFonts w:ascii="宋体" w:eastAsia="黑体" w:hint="eastAsia"/>
          <w:color w:val="000000" w:themeColor="text1"/>
          <w:spacing w:val="10"/>
          <w:szCs w:val="21"/>
        </w:rPr>
        <w:t>LPG</w:t>
      </w:r>
      <w:r w:rsidRPr="00687B52">
        <w:rPr>
          <w:rFonts w:ascii="宋体" w:eastAsia="黑体" w:hint="eastAsia"/>
          <w:color w:val="000000" w:themeColor="text1"/>
          <w:spacing w:val="10"/>
          <w:szCs w:val="21"/>
        </w:rPr>
        <w:t>储罐无固定喷淋装置的距离，分母为</w:t>
      </w:r>
      <w:r w:rsidRPr="00687B52">
        <w:rPr>
          <w:rFonts w:ascii="宋体" w:eastAsia="黑体" w:hint="eastAsia"/>
          <w:color w:val="000000" w:themeColor="text1"/>
          <w:spacing w:val="10"/>
          <w:szCs w:val="21"/>
        </w:rPr>
        <w:t>LPG</w:t>
      </w:r>
      <w:r w:rsidRPr="00687B52">
        <w:rPr>
          <w:rFonts w:ascii="宋体" w:eastAsia="黑体" w:hint="eastAsia"/>
          <w:color w:val="000000" w:themeColor="text1"/>
          <w:spacing w:val="10"/>
          <w:szCs w:val="21"/>
        </w:rPr>
        <w:t>储罐设有固定喷淋装置的距离。</w:t>
      </w:r>
      <w:r w:rsidRPr="00687B52">
        <w:rPr>
          <w:rFonts w:ascii="宋体" w:eastAsia="黑体" w:hint="eastAsia"/>
          <w:color w:val="000000" w:themeColor="text1"/>
          <w:spacing w:val="10"/>
          <w:szCs w:val="21"/>
        </w:rPr>
        <w:t>D</w:t>
      </w:r>
      <w:r w:rsidRPr="00687B52">
        <w:rPr>
          <w:rFonts w:ascii="宋体" w:eastAsia="黑体" w:hint="eastAsia"/>
          <w:color w:val="000000" w:themeColor="text1"/>
          <w:spacing w:val="10"/>
          <w:szCs w:val="21"/>
        </w:rPr>
        <w:t>为</w:t>
      </w:r>
      <w:r w:rsidRPr="00687B52">
        <w:rPr>
          <w:rFonts w:ascii="宋体" w:eastAsia="黑体" w:hint="eastAsia"/>
          <w:color w:val="000000" w:themeColor="text1"/>
          <w:spacing w:val="10"/>
          <w:szCs w:val="21"/>
        </w:rPr>
        <w:t>LPG</w:t>
      </w:r>
      <w:r w:rsidRPr="00687B52">
        <w:rPr>
          <w:rFonts w:ascii="宋体" w:eastAsia="黑体" w:hint="eastAsia"/>
          <w:color w:val="000000" w:themeColor="text1"/>
          <w:spacing w:val="10"/>
          <w:szCs w:val="21"/>
        </w:rPr>
        <w:t>地上罐相邻较大罐的直径。</w:t>
      </w:r>
    </w:p>
    <w:p w:rsidR="00481EDB" w:rsidRPr="00687B52" w:rsidRDefault="00481EDB" w:rsidP="00856B6C">
      <w:pPr>
        <w:spacing w:line="360" w:lineRule="exact"/>
        <w:ind w:left="709" w:hanging="709"/>
        <w:jc w:val="left"/>
        <w:rPr>
          <w:rFonts w:ascii="宋体" w:eastAsia="黑体"/>
          <w:color w:val="000000" w:themeColor="text1"/>
          <w:spacing w:val="10"/>
          <w:szCs w:val="21"/>
        </w:rPr>
      </w:pPr>
      <w:r w:rsidRPr="00687B52">
        <w:rPr>
          <w:rFonts w:ascii="宋体" w:eastAsia="黑体" w:hint="eastAsia"/>
          <w:color w:val="000000" w:themeColor="text1"/>
          <w:spacing w:val="10"/>
          <w:szCs w:val="21"/>
        </w:rPr>
        <w:t xml:space="preserve">2 </w:t>
      </w:r>
      <w:r w:rsidRPr="00687B52">
        <w:rPr>
          <w:rFonts w:ascii="宋体" w:eastAsia="黑体" w:hint="eastAsia"/>
          <w:color w:val="000000" w:themeColor="text1"/>
          <w:spacing w:val="10"/>
          <w:szCs w:val="21"/>
        </w:rPr>
        <w:t>括号内数值为储气井与储气井、柴油加油机与自用有燃煤或燃气（油）设备的房间的距离。</w:t>
      </w:r>
    </w:p>
    <w:p w:rsidR="00481EDB" w:rsidRPr="00687B52" w:rsidRDefault="00481EDB" w:rsidP="00856B6C">
      <w:pPr>
        <w:spacing w:line="360" w:lineRule="exact"/>
        <w:ind w:left="709" w:hanging="709"/>
        <w:jc w:val="left"/>
        <w:rPr>
          <w:rFonts w:ascii="宋体" w:eastAsia="黑体"/>
          <w:color w:val="000000" w:themeColor="text1"/>
          <w:spacing w:val="10"/>
          <w:szCs w:val="21"/>
        </w:rPr>
      </w:pPr>
      <w:r w:rsidRPr="00687B52">
        <w:rPr>
          <w:rFonts w:ascii="宋体" w:eastAsia="黑体" w:hint="eastAsia"/>
          <w:color w:val="000000" w:themeColor="text1"/>
          <w:spacing w:val="10"/>
          <w:szCs w:val="21"/>
        </w:rPr>
        <w:t xml:space="preserve">3 </w:t>
      </w:r>
      <w:r w:rsidRPr="00687B52">
        <w:rPr>
          <w:rFonts w:ascii="宋体" w:eastAsia="黑体" w:hint="eastAsia"/>
          <w:color w:val="000000" w:themeColor="text1"/>
          <w:spacing w:val="10"/>
          <w:szCs w:val="21"/>
        </w:rPr>
        <w:t>橇装式加油装置的油罐与站内设施之间的防火间距应按本表汽油罐、柴油罐增加</w:t>
      </w:r>
      <w:r w:rsidRPr="00687B52">
        <w:rPr>
          <w:rFonts w:ascii="宋体" w:eastAsia="黑体" w:hint="eastAsia"/>
          <w:color w:val="000000" w:themeColor="text1"/>
          <w:spacing w:val="10"/>
          <w:szCs w:val="21"/>
        </w:rPr>
        <w:t>30%</w:t>
      </w:r>
      <w:r w:rsidRPr="00687B52">
        <w:rPr>
          <w:rFonts w:ascii="宋体" w:eastAsia="黑体" w:hint="eastAsia"/>
          <w:color w:val="000000" w:themeColor="text1"/>
          <w:spacing w:val="10"/>
          <w:szCs w:val="21"/>
        </w:rPr>
        <w:t>。</w:t>
      </w:r>
    </w:p>
    <w:p w:rsidR="00481EDB" w:rsidRPr="00687B52" w:rsidRDefault="00481EDB" w:rsidP="00856B6C">
      <w:pPr>
        <w:spacing w:line="360" w:lineRule="exact"/>
        <w:ind w:left="709" w:hanging="709"/>
        <w:jc w:val="left"/>
        <w:rPr>
          <w:rFonts w:ascii="宋体" w:eastAsia="黑体"/>
          <w:color w:val="000000" w:themeColor="text1"/>
          <w:spacing w:val="10"/>
          <w:szCs w:val="21"/>
        </w:rPr>
      </w:pPr>
      <w:r w:rsidRPr="00687B52">
        <w:rPr>
          <w:rFonts w:ascii="宋体" w:eastAsia="黑体" w:hint="eastAsia"/>
          <w:color w:val="000000" w:themeColor="text1"/>
          <w:spacing w:val="10"/>
          <w:szCs w:val="21"/>
        </w:rPr>
        <w:t xml:space="preserve">4 </w:t>
      </w:r>
      <w:r w:rsidRPr="00687B52">
        <w:rPr>
          <w:rFonts w:ascii="宋体" w:eastAsia="黑体" w:hint="eastAsia"/>
          <w:color w:val="000000" w:themeColor="text1"/>
          <w:spacing w:val="10"/>
          <w:szCs w:val="21"/>
        </w:rPr>
        <w:t>当卸油采用油气回收系统时，汽油通气管管口与站区围墙的距离不应小于</w:t>
      </w:r>
      <w:r w:rsidRPr="00687B52">
        <w:rPr>
          <w:rFonts w:ascii="宋体" w:eastAsia="黑体" w:hint="eastAsia"/>
          <w:color w:val="000000" w:themeColor="text1"/>
          <w:spacing w:val="10"/>
          <w:szCs w:val="21"/>
        </w:rPr>
        <w:t>2.0 m</w:t>
      </w:r>
      <w:r w:rsidRPr="00687B52">
        <w:rPr>
          <w:rFonts w:ascii="宋体" w:eastAsia="黑体" w:hint="eastAsia"/>
          <w:color w:val="000000" w:themeColor="text1"/>
          <w:spacing w:val="10"/>
          <w:szCs w:val="21"/>
        </w:rPr>
        <w:t>。</w:t>
      </w:r>
    </w:p>
    <w:p w:rsidR="00481EDB" w:rsidRPr="00687B52" w:rsidRDefault="00481EDB" w:rsidP="00856B6C">
      <w:pPr>
        <w:spacing w:line="360" w:lineRule="exact"/>
        <w:ind w:left="709" w:hanging="709"/>
        <w:jc w:val="left"/>
        <w:rPr>
          <w:rFonts w:ascii="宋体" w:eastAsia="黑体"/>
          <w:color w:val="000000" w:themeColor="text1"/>
          <w:spacing w:val="10"/>
          <w:szCs w:val="21"/>
        </w:rPr>
      </w:pPr>
      <w:r w:rsidRPr="00687B52">
        <w:rPr>
          <w:rFonts w:ascii="宋体" w:eastAsia="黑体" w:hint="eastAsia"/>
          <w:color w:val="000000" w:themeColor="text1"/>
          <w:spacing w:val="10"/>
          <w:szCs w:val="21"/>
        </w:rPr>
        <w:t>5 LPG</w:t>
      </w:r>
      <w:r w:rsidRPr="00687B52">
        <w:rPr>
          <w:rFonts w:ascii="宋体" w:eastAsia="黑体" w:hint="eastAsia"/>
          <w:color w:val="000000" w:themeColor="text1"/>
          <w:spacing w:val="10"/>
          <w:szCs w:val="21"/>
        </w:rPr>
        <w:t>储罐放散管管口与</w:t>
      </w:r>
      <w:r w:rsidRPr="00687B52">
        <w:rPr>
          <w:rFonts w:ascii="宋体" w:eastAsia="黑体" w:hint="eastAsia"/>
          <w:color w:val="000000" w:themeColor="text1"/>
          <w:spacing w:val="10"/>
          <w:szCs w:val="21"/>
        </w:rPr>
        <w:t>LPG</w:t>
      </w:r>
      <w:r w:rsidRPr="00687B52">
        <w:rPr>
          <w:rFonts w:ascii="宋体" w:eastAsia="黑体" w:hint="eastAsia"/>
          <w:color w:val="000000" w:themeColor="text1"/>
          <w:spacing w:val="10"/>
          <w:szCs w:val="21"/>
        </w:rPr>
        <w:t>储罐距离不限，与站内其他设施的防火间距可按相应级别的</w:t>
      </w:r>
      <w:r w:rsidRPr="00687B52">
        <w:rPr>
          <w:rFonts w:ascii="宋体" w:eastAsia="黑体" w:hint="eastAsia"/>
          <w:color w:val="000000" w:themeColor="text1"/>
          <w:spacing w:val="10"/>
          <w:szCs w:val="21"/>
        </w:rPr>
        <w:t>LPG</w:t>
      </w:r>
      <w:r w:rsidRPr="00687B52">
        <w:rPr>
          <w:rFonts w:ascii="宋体" w:eastAsia="黑体" w:hint="eastAsia"/>
          <w:color w:val="000000" w:themeColor="text1"/>
          <w:spacing w:val="10"/>
          <w:szCs w:val="21"/>
        </w:rPr>
        <w:t>埋地储罐确定。</w:t>
      </w:r>
    </w:p>
    <w:p w:rsidR="00481EDB" w:rsidRPr="00687B52" w:rsidRDefault="00481EDB" w:rsidP="00856B6C">
      <w:pPr>
        <w:spacing w:line="360" w:lineRule="exact"/>
        <w:ind w:left="709" w:hanging="709"/>
        <w:jc w:val="left"/>
        <w:rPr>
          <w:rFonts w:ascii="宋体" w:eastAsia="黑体"/>
          <w:color w:val="000000" w:themeColor="text1"/>
          <w:spacing w:val="10"/>
          <w:szCs w:val="21"/>
        </w:rPr>
      </w:pPr>
      <w:r w:rsidRPr="00687B52">
        <w:rPr>
          <w:rFonts w:ascii="宋体" w:eastAsia="黑体" w:hint="eastAsia"/>
          <w:color w:val="000000" w:themeColor="text1"/>
          <w:spacing w:val="10"/>
          <w:szCs w:val="21"/>
        </w:rPr>
        <w:t>6 LPG</w:t>
      </w:r>
      <w:r w:rsidRPr="00687B52">
        <w:rPr>
          <w:rFonts w:ascii="宋体" w:eastAsia="黑体" w:hint="eastAsia"/>
          <w:color w:val="000000" w:themeColor="text1"/>
          <w:spacing w:val="10"/>
          <w:szCs w:val="21"/>
        </w:rPr>
        <w:t>泵和压缩机、天然气压缩机、调压器和天然气脱硫和脱水设备露天布置或布置在开敞的建筑物内时，起算点应为设备外缘；</w:t>
      </w:r>
      <w:r w:rsidRPr="00687B52">
        <w:rPr>
          <w:rFonts w:ascii="宋体" w:eastAsia="黑体" w:hint="eastAsia"/>
          <w:color w:val="000000" w:themeColor="text1"/>
          <w:spacing w:val="10"/>
          <w:szCs w:val="21"/>
        </w:rPr>
        <w:t>LPG</w:t>
      </w:r>
      <w:r w:rsidRPr="00687B52">
        <w:rPr>
          <w:rFonts w:ascii="宋体" w:eastAsia="黑体" w:hint="eastAsia"/>
          <w:color w:val="000000" w:themeColor="text1"/>
          <w:spacing w:val="10"/>
          <w:szCs w:val="21"/>
        </w:rPr>
        <w:t>泵和压缩机、天然气压缩机、天然气调压器设置在非开敞的室内时，起算点应为该类设备所在建筑物的门窗等洞口。</w:t>
      </w:r>
    </w:p>
    <w:p w:rsidR="00481EDB" w:rsidRPr="00687B52" w:rsidRDefault="00481EDB" w:rsidP="00856B6C">
      <w:pPr>
        <w:spacing w:line="360" w:lineRule="exact"/>
        <w:ind w:left="709" w:hanging="709"/>
        <w:jc w:val="left"/>
        <w:rPr>
          <w:rFonts w:ascii="宋体" w:eastAsia="黑体"/>
          <w:color w:val="000000" w:themeColor="text1"/>
          <w:spacing w:val="10"/>
          <w:szCs w:val="21"/>
        </w:rPr>
      </w:pPr>
      <w:r w:rsidRPr="00687B52">
        <w:rPr>
          <w:rFonts w:ascii="宋体" w:eastAsia="黑体" w:hint="eastAsia"/>
          <w:color w:val="000000" w:themeColor="text1"/>
          <w:spacing w:val="10"/>
          <w:szCs w:val="21"/>
        </w:rPr>
        <w:t xml:space="preserve">7 </w:t>
      </w:r>
      <w:r w:rsidRPr="00687B52">
        <w:rPr>
          <w:rFonts w:ascii="宋体" w:eastAsia="黑体" w:hint="eastAsia"/>
          <w:color w:val="000000" w:themeColor="text1"/>
          <w:spacing w:val="10"/>
          <w:szCs w:val="21"/>
        </w:rPr>
        <w:t>容量小于或等于</w:t>
      </w:r>
      <w:r w:rsidRPr="00687B52">
        <w:rPr>
          <w:rFonts w:ascii="宋体" w:eastAsia="黑体" w:hint="eastAsia"/>
          <w:color w:val="000000" w:themeColor="text1"/>
          <w:spacing w:val="10"/>
          <w:szCs w:val="21"/>
        </w:rPr>
        <w:t>10</w:t>
      </w:r>
      <w:r w:rsidRPr="00687B52">
        <w:rPr>
          <w:rFonts w:ascii="宋体" w:eastAsia="黑体" w:hint="eastAsia"/>
          <w:color w:val="000000" w:themeColor="text1"/>
          <w:spacing w:val="10"/>
          <w:szCs w:val="21"/>
        </w:rPr>
        <w:t>ｍ</w:t>
      </w:r>
      <w:r w:rsidRPr="00687B52">
        <w:rPr>
          <w:rFonts w:ascii="宋体" w:eastAsia="黑体" w:hint="eastAsia"/>
          <w:color w:val="000000" w:themeColor="text1"/>
          <w:spacing w:val="10"/>
          <w:szCs w:val="21"/>
        </w:rPr>
        <w:t>3</w:t>
      </w:r>
      <w:r w:rsidRPr="00687B52">
        <w:rPr>
          <w:rFonts w:ascii="宋体" w:eastAsia="黑体" w:hint="eastAsia"/>
          <w:color w:val="000000" w:themeColor="text1"/>
          <w:spacing w:val="10"/>
          <w:szCs w:val="21"/>
        </w:rPr>
        <w:t>的地上</w:t>
      </w:r>
      <w:r w:rsidRPr="00687B52">
        <w:rPr>
          <w:rFonts w:ascii="宋体" w:eastAsia="黑体" w:hint="eastAsia"/>
          <w:color w:val="000000" w:themeColor="text1"/>
          <w:spacing w:val="10"/>
          <w:szCs w:val="21"/>
        </w:rPr>
        <w:t>LPG</w:t>
      </w:r>
      <w:r w:rsidRPr="00687B52">
        <w:rPr>
          <w:rFonts w:ascii="宋体" w:eastAsia="黑体" w:hint="eastAsia"/>
          <w:color w:val="000000" w:themeColor="text1"/>
          <w:spacing w:val="10"/>
          <w:szCs w:val="21"/>
        </w:rPr>
        <w:t>储罐的整体装配式加气站，其储罐与站内其他设施的防火间距，不应低于本表三级站的地上储罐防火间距的</w:t>
      </w:r>
      <w:r w:rsidRPr="00687B52">
        <w:rPr>
          <w:rFonts w:ascii="宋体" w:eastAsia="黑体" w:hint="eastAsia"/>
          <w:color w:val="000000" w:themeColor="text1"/>
          <w:spacing w:val="10"/>
          <w:szCs w:val="21"/>
        </w:rPr>
        <w:t>80%</w:t>
      </w:r>
      <w:r w:rsidRPr="00687B52">
        <w:rPr>
          <w:rFonts w:ascii="宋体" w:eastAsia="黑体" w:hint="eastAsia"/>
          <w:color w:val="000000" w:themeColor="text1"/>
          <w:spacing w:val="10"/>
          <w:szCs w:val="21"/>
        </w:rPr>
        <w:t>。</w:t>
      </w:r>
    </w:p>
    <w:p w:rsidR="00481EDB" w:rsidRPr="00687B52" w:rsidRDefault="00481EDB" w:rsidP="00856B6C">
      <w:pPr>
        <w:spacing w:line="360" w:lineRule="exact"/>
        <w:ind w:left="709" w:hanging="709"/>
        <w:jc w:val="left"/>
        <w:rPr>
          <w:rFonts w:ascii="宋体" w:eastAsia="黑体"/>
          <w:color w:val="000000" w:themeColor="text1"/>
          <w:spacing w:val="10"/>
          <w:szCs w:val="21"/>
        </w:rPr>
      </w:pPr>
      <w:r w:rsidRPr="00687B52">
        <w:rPr>
          <w:rFonts w:ascii="宋体" w:eastAsia="黑体" w:hint="eastAsia"/>
          <w:color w:val="000000" w:themeColor="text1"/>
          <w:spacing w:val="10"/>
          <w:szCs w:val="21"/>
        </w:rPr>
        <w:t>8 CNG</w:t>
      </w:r>
      <w:r w:rsidRPr="00687B52">
        <w:rPr>
          <w:rFonts w:ascii="宋体" w:eastAsia="黑体" w:hint="eastAsia"/>
          <w:color w:val="000000" w:themeColor="text1"/>
          <w:spacing w:val="10"/>
          <w:szCs w:val="21"/>
        </w:rPr>
        <w:t>加气站的橇装设备与站内其他设施的防火间距，应按本表相应设备的防火间距确定。</w:t>
      </w:r>
    </w:p>
    <w:p w:rsidR="00481EDB" w:rsidRPr="00687B52" w:rsidRDefault="00481EDB" w:rsidP="00856B6C">
      <w:pPr>
        <w:spacing w:line="360" w:lineRule="exact"/>
        <w:ind w:left="709" w:hanging="709"/>
        <w:jc w:val="left"/>
        <w:rPr>
          <w:rFonts w:ascii="宋体" w:eastAsia="黑体"/>
          <w:color w:val="000000" w:themeColor="text1"/>
          <w:spacing w:val="10"/>
          <w:szCs w:val="21"/>
        </w:rPr>
      </w:pPr>
      <w:r w:rsidRPr="00687B52">
        <w:rPr>
          <w:rFonts w:ascii="宋体" w:eastAsia="黑体" w:hint="eastAsia"/>
          <w:color w:val="000000" w:themeColor="text1"/>
          <w:spacing w:val="10"/>
          <w:szCs w:val="21"/>
        </w:rPr>
        <w:t xml:space="preserve">9 </w:t>
      </w:r>
      <w:r w:rsidRPr="00687B52">
        <w:rPr>
          <w:rFonts w:ascii="宋体" w:eastAsia="黑体" w:hint="eastAsia"/>
          <w:color w:val="000000" w:themeColor="text1"/>
          <w:spacing w:val="10"/>
          <w:szCs w:val="21"/>
        </w:rPr>
        <w:t>站房、有燃煤或燃气（油）等明火设备的房间的起算点应为门窗等洞口。站房内设置有变配电间时，变配电间的布置应符合本规范第</w:t>
      </w:r>
      <w:r w:rsidRPr="00687B52">
        <w:rPr>
          <w:rFonts w:ascii="宋体" w:eastAsia="黑体" w:hint="eastAsia"/>
          <w:color w:val="000000" w:themeColor="text1"/>
          <w:spacing w:val="10"/>
          <w:szCs w:val="21"/>
        </w:rPr>
        <w:t>5.0.8</w:t>
      </w:r>
      <w:r w:rsidRPr="00687B52">
        <w:rPr>
          <w:rFonts w:ascii="宋体" w:eastAsia="黑体" w:hint="eastAsia"/>
          <w:color w:val="000000" w:themeColor="text1"/>
          <w:spacing w:val="10"/>
          <w:szCs w:val="21"/>
        </w:rPr>
        <w:t>条的规定。</w:t>
      </w:r>
    </w:p>
    <w:p w:rsidR="00481EDB" w:rsidRPr="00687B52" w:rsidRDefault="00481EDB" w:rsidP="00856B6C">
      <w:pPr>
        <w:spacing w:line="360" w:lineRule="exact"/>
        <w:ind w:left="709" w:hanging="709"/>
        <w:jc w:val="left"/>
        <w:rPr>
          <w:rFonts w:ascii="宋体" w:eastAsia="黑体"/>
          <w:color w:val="000000" w:themeColor="text1"/>
          <w:spacing w:val="10"/>
          <w:szCs w:val="21"/>
        </w:rPr>
      </w:pPr>
      <w:r w:rsidRPr="00687B52">
        <w:rPr>
          <w:rFonts w:ascii="宋体" w:eastAsia="黑体" w:hint="eastAsia"/>
          <w:color w:val="000000" w:themeColor="text1"/>
          <w:spacing w:val="10"/>
          <w:szCs w:val="21"/>
        </w:rPr>
        <w:t xml:space="preserve">10 </w:t>
      </w:r>
      <w:r w:rsidRPr="00687B52">
        <w:rPr>
          <w:rFonts w:ascii="宋体" w:eastAsia="黑体" w:hint="eastAsia"/>
          <w:color w:val="000000" w:themeColor="text1"/>
          <w:spacing w:val="10"/>
          <w:szCs w:val="21"/>
        </w:rPr>
        <w:t>表中一、二、三级站包括</w:t>
      </w:r>
      <w:r w:rsidRPr="00687B52">
        <w:rPr>
          <w:rFonts w:ascii="宋体" w:eastAsia="黑体" w:hint="eastAsia"/>
          <w:color w:val="000000" w:themeColor="text1"/>
          <w:spacing w:val="10"/>
          <w:szCs w:val="21"/>
        </w:rPr>
        <w:t>LPG</w:t>
      </w:r>
      <w:r w:rsidRPr="00687B52">
        <w:rPr>
          <w:rFonts w:ascii="宋体" w:eastAsia="黑体" w:hint="eastAsia"/>
          <w:color w:val="000000" w:themeColor="text1"/>
          <w:spacing w:val="10"/>
          <w:szCs w:val="21"/>
        </w:rPr>
        <w:t>加气站、加油与</w:t>
      </w:r>
      <w:r w:rsidRPr="00687B52">
        <w:rPr>
          <w:rFonts w:ascii="宋体" w:eastAsia="黑体" w:hint="eastAsia"/>
          <w:color w:val="000000" w:themeColor="text1"/>
          <w:spacing w:val="10"/>
          <w:szCs w:val="21"/>
        </w:rPr>
        <w:t>LPG</w:t>
      </w:r>
      <w:r w:rsidRPr="00687B52">
        <w:rPr>
          <w:rFonts w:ascii="宋体" w:eastAsia="黑体" w:hint="eastAsia"/>
          <w:color w:val="000000" w:themeColor="text1"/>
          <w:spacing w:val="10"/>
          <w:szCs w:val="21"/>
        </w:rPr>
        <w:t>加气合建站。</w:t>
      </w:r>
    </w:p>
    <w:p w:rsidR="00481EDB" w:rsidRPr="00687B52" w:rsidRDefault="00481EDB" w:rsidP="00856B6C">
      <w:pPr>
        <w:spacing w:line="360" w:lineRule="exact"/>
        <w:ind w:left="709" w:hanging="709"/>
        <w:jc w:val="left"/>
        <w:rPr>
          <w:rFonts w:ascii="宋体" w:eastAsia="黑体"/>
          <w:color w:val="000000" w:themeColor="text1"/>
          <w:spacing w:val="10"/>
          <w:szCs w:val="21"/>
        </w:rPr>
      </w:pPr>
      <w:r w:rsidRPr="00687B52">
        <w:rPr>
          <w:rFonts w:ascii="宋体" w:eastAsia="黑体" w:hint="eastAsia"/>
          <w:color w:val="000000" w:themeColor="text1"/>
          <w:spacing w:val="10"/>
          <w:szCs w:val="21"/>
        </w:rPr>
        <w:t xml:space="preserve">11 </w:t>
      </w:r>
      <w:r w:rsidRPr="00687B52">
        <w:rPr>
          <w:rFonts w:ascii="宋体" w:eastAsia="黑体" w:hint="eastAsia"/>
          <w:color w:val="000000" w:themeColor="text1"/>
          <w:spacing w:val="10"/>
          <w:szCs w:val="21"/>
        </w:rPr>
        <w:t>表中“—”表示无防火间距要求，“×”表示该类设施不应合建。</w:t>
      </w:r>
    </w:p>
    <w:p w:rsidR="00481EDB" w:rsidRPr="00687B52" w:rsidRDefault="00481EDB" w:rsidP="00856B6C">
      <w:pPr>
        <w:pStyle w:val="afd"/>
        <w:rPr>
          <w:color w:val="000000" w:themeColor="text1"/>
        </w:rPr>
      </w:pPr>
      <w:bookmarkStart w:id="226" w:name="_Toc491870831"/>
      <w:bookmarkStart w:id="227" w:name="_Toc492563486"/>
      <w:bookmarkStart w:id="228" w:name="_Toc493857087"/>
      <w:r w:rsidRPr="00687B52">
        <w:rPr>
          <w:rFonts w:hint="eastAsia"/>
          <w:color w:val="000000" w:themeColor="text1"/>
        </w:rPr>
        <w:t>表</w:t>
      </w:r>
      <w:r w:rsidRPr="00687B52">
        <w:rPr>
          <w:rFonts w:hint="eastAsia"/>
          <w:color w:val="000000" w:themeColor="text1"/>
        </w:rPr>
        <w:t xml:space="preserve">5.0.13-2 </w:t>
      </w:r>
      <w:r w:rsidRPr="00687B52">
        <w:rPr>
          <w:rFonts w:hint="eastAsia"/>
          <w:color w:val="000000" w:themeColor="text1"/>
        </w:rPr>
        <w:t>站内设施的防火间距</w:t>
      </w:r>
      <w:r w:rsidRPr="00687B52">
        <w:rPr>
          <w:rFonts w:hint="eastAsia"/>
          <w:color w:val="000000" w:themeColor="text1"/>
        </w:rPr>
        <w:t xml:space="preserve"> (m)</w:t>
      </w:r>
      <w:bookmarkEnd w:id="226"/>
      <w:bookmarkEnd w:id="227"/>
      <w:bookmarkEnd w:id="228"/>
    </w:p>
    <w:tbl>
      <w:tblPr>
        <w:tblW w:w="15300" w:type="dxa"/>
        <w:jc w:val="center"/>
        <w:tblInd w:w="35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0"/>
        <w:gridCol w:w="859"/>
        <w:gridCol w:w="500"/>
        <w:gridCol w:w="417"/>
        <w:gridCol w:w="444"/>
        <w:gridCol w:w="444"/>
        <w:gridCol w:w="443"/>
        <w:gridCol w:w="444"/>
        <w:gridCol w:w="591"/>
        <w:gridCol w:w="517"/>
        <w:gridCol w:w="519"/>
        <w:gridCol w:w="592"/>
        <w:gridCol w:w="592"/>
        <w:gridCol w:w="517"/>
        <w:gridCol w:w="665"/>
        <w:gridCol w:w="775"/>
        <w:gridCol w:w="429"/>
        <w:gridCol w:w="498"/>
        <w:gridCol w:w="591"/>
        <w:gridCol w:w="593"/>
        <w:gridCol w:w="592"/>
        <w:gridCol w:w="518"/>
        <w:gridCol w:w="665"/>
        <w:gridCol w:w="836"/>
        <w:gridCol w:w="644"/>
        <w:gridCol w:w="715"/>
      </w:tblGrid>
      <w:tr w:rsidR="00481EDB" w:rsidRPr="00687B52" w:rsidTr="00B527D4">
        <w:trPr>
          <w:trHeight w:val="637"/>
          <w:jc w:val="center"/>
        </w:trPr>
        <w:tc>
          <w:tcPr>
            <w:tcW w:w="1759" w:type="dxa"/>
            <w:gridSpan w:val="2"/>
            <w:vMerge w:val="restart"/>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设施名称</w:t>
            </w:r>
          </w:p>
        </w:tc>
        <w:tc>
          <w:tcPr>
            <w:tcW w:w="500" w:type="dxa"/>
            <w:vMerge w:val="restart"/>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汽油罐、柴油罐</w:t>
            </w:r>
          </w:p>
        </w:tc>
        <w:tc>
          <w:tcPr>
            <w:tcW w:w="417" w:type="dxa"/>
            <w:vMerge w:val="restart"/>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油罐通气管管口</w:t>
            </w:r>
          </w:p>
        </w:tc>
        <w:tc>
          <w:tcPr>
            <w:tcW w:w="1331" w:type="dxa"/>
            <w:gridSpan w:val="3"/>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LNG储罐</w:t>
            </w:r>
          </w:p>
        </w:tc>
        <w:tc>
          <w:tcPr>
            <w:tcW w:w="444" w:type="dxa"/>
            <w:vMerge w:val="restart"/>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CNG储气</w:t>
            </w:r>
            <w:r w:rsidRPr="00687B52">
              <w:rPr>
                <w:rFonts w:eastAsia="黑体" w:hint="eastAsia"/>
                <w:color w:val="000000" w:themeColor="text1"/>
                <w:sz w:val="18"/>
              </w:rPr>
              <w:t>设施</w:t>
            </w:r>
          </w:p>
        </w:tc>
        <w:tc>
          <w:tcPr>
            <w:tcW w:w="1108" w:type="dxa"/>
            <w:gridSpan w:val="2"/>
            <w:vAlign w:val="center"/>
          </w:tcPr>
          <w:p w:rsidR="00481EDB" w:rsidRPr="00687B52" w:rsidRDefault="00481EDB" w:rsidP="00B527D4">
            <w:pPr>
              <w:adjustRightInd w:val="0"/>
              <w:spacing w:line="320" w:lineRule="exact"/>
              <w:rPr>
                <w:rFonts w:ascii="黑体" w:eastAsia="黑体" w:hAnsi="宋体"/>
                <w:color w:val="000000" w:themeColor="text1"/>
                <w:spacing w:val="-6"/>
                <w:sz w:val="18"/>
                <w:szCs w:val="18"/>
              </w:rPr>
            </w:pPr>
            <w:r w:rsidRPr="00687B52">
              <w:rPr>
                <w:rFonts w:ascii="黑体" w:eastAsia="黑体" w:hAnsi="宋体" w:hint="eastAsia"/>
                <w:color w:val="000000" w:themeColor="text1"/>
                <w:spacing w:val="-6"/>
                <w:sz w:val="18"/>
                <w:szCs w:val="18"/>
              </w:rPr>
              <w:t>天然气放散管管口</w:t>
            </w:r>
          </w:p>
        </w:tc>
        <w:tc>
          <w:tcPr>
            <w:tcW w:w="519" w:type="dxa"/>
            <w:vMerge w:val="restart"/>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r w:rsidRPr="00687B52">
              <w:rPr>
                <w:rFonts w:eastAsia="黑体" w:hint="eastAsia"/>
                <w:color w:val="000000" w:themeColor="text1"/>
                <w:spacing w:val="20"/>
                <w:sz w:val="18"/>
              </w:rPr>
              <w:t>油品卸车点</w:t>
            </w:r>
          </w:p>
        </w:tc>
        <w:tc>
          <w:tcPr>
            <w:tcW w:w="592" w:type="dxa"/>
            <w:vMerge w:val="restart"/>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LNG</w:t>
            </w:r>
          </w:p>
          <w:p w:rsidR="00481EDB" w:rsidRPr="00687B52" w:rsidRDefault="00481EDB" w:rsidP="00B527D4">
            <w:pPr>
              <w:adjustRightInd w:val="0"/>
              <w:spacing w:line="320" w:lineRule="exact"/>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卸车点</w:t>
            </w:r>
          </w:p>
        </w:tc>
        <w:tc>
          <w:tcPr>
            <w:tcW w:w="592" w:type="dxa"/>
            <w:vMerge w:val="restart"/>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r w:rsidRPr="00687B52">
              <w:rPr>
                <w:rFonts w:eastAsia="黑体" w:hint="eastAsia"/>
                <w:color w:val="000000" w:themeColor="text1"/>
                <w:sz w:val="18"/>
              </w:rPr>
              <w:t>天然气压缩机（间）</w:t>
            </w:r>
          </w:p>
        </w:tc>
        <w:tc>
          <w:tcPr>
            <w:tcW w:w="517" w:type="dxa"/>
            <w:vMerge w:val="restart"/>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天然气调压器（间）</w:t>
            </w:r>
          </w:p>
        </w:tc>
        <w:tc>
          <w:tcPr>
            <w:tcW w:w="665" w:type="dxa"/>
            <w:vMerge w:val="restart"/>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天然气脱硫、脱水装置</w:t>
            </w:r>
          </w:p>
        </w:tc>
        <w:tc>
          <w:tcPr>
            <w:tcW w:w="775" w:type="dxa"/>
            <w:vMerge w:val="restart"/>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加油机</w:t>
            </w:r>
          </w:p>
        </w:tc>
        <w:tc>
          <w:tcPr>
            <w:tcW w:w="429" w:type="dxa"/>
            <w:vMerge w:val="restart"/>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CNG</w:t>
            </w:r>
          </w:p>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加气机</w:t>
            </w:r>
          </w:p>
        </w:tc>
        <w:tc>
          <w:tcPr>
            <w:tcW w:w="498" w:type="dxa"/>
            <w:vMerge w:val="restart"/>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LNG</w:t>
            </w:r>
          </w:p>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加气机</w:t>
            </w:r>
          </w:p>
        </w:tc>
        <w:tc>
          <w:tcPr>
            <w:tcW w:w="591" w:type="dxa"/>
            <w:vMerge w:val="restart"/>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LNG潜</w:t>
            </w:r>
          </w:p>
          <w:p w:rsidR="00481EDB" w:rsidRPr="00687B52" w:rsidRDefault="00481EDB" w:rsidP="00B527D4">
            <w:pPr>
              <w:adjustRightInd w:val="0"/>
              <w:spacing w:line="320" w:lineRule="exact"/>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液泵池</w:t>
            </w:r>
          </w:p>
        </w:tc>
        <w:tc>
          <w:tcPr>
            <w:tcW w:w="593" w:type="dxa"/>
            <w:vMerge w:val="restart"/>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LNG</w:t>
            </w:r>
          </w:p>
          <w:p w:rsidR="00481EDB" w:rsidRPr="00687B52" w:rsidRDefault="00481EDB" w:rsidP="00B527D4">
            <w:pPr>
              <w:adjustRightInd w:val="0"/>
              <w:spacing w:line="320" w:lineRule="exact"/>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柱塞泵</w:t>
            </w:r>
          </w:p>
        </w:tc>
        <w:tc>
          <w:tcPr>
            <w:tcW w:w="592" w:type="dxa"/>
            <w:vMerge w:val="restart"/>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LNG</w:t>
            </w:r>
            <w:r w:rsidRPr="00687B52">
              <w:rPr>
                <w:rFonts w:ascii="黑体" w:eastAsia="黑体" w:hAnsi="宋体" w:hint="eastAsia"/>
                <w:color w:val="000000" w:themeColor="text1"/>
                <w:sz w:val="18"/>
                <w:szCs w:val="18"/>
              </w:rPr>
              <w:t>高压</w:t>
            </w:r>
            <w:r w:rsidRPr="00687B52">
              <w:rPr>
                <w:rFonts w:ascii="黑体" w:eastAsia="黑体" w:hAnsi="宋体" w:hint="eastAsia"/>
                <w:color w:val="000000" w:themeColor="text1"/>
                <w:spacing w:val="-4"/>
                <w:sz w:val="18"/>
                <w:szCs w:val="18"/>
              </w:rPr>
              <w:t>气化器</w:t>
            </w:r>
          </w:p>
        </w:tc>
        <w:tc>
          <w:tcPr>
            <w:tcW w:w="518" w:type="dxa"/>
            <w:vMerge w:val="restart"/>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站房</w:t>
            </w:r>
          </w:p>
        </w:tc>
        <w:tc>
          <w:tcPr>
            <w:tcW w:w="665" w:type="dxa"/>
            <w:vMerge w:val="restart"/>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消防泵房</w:t>
            </w:r>
          </w:p>
          <w:p w:rsidR="00481EDB" w:rsidRPr="00687B52" w:rsidRDefault="00481EDB" w:rsidP="00B527D4">
            <w:pPr>
              <w:adjustRightInd w:val="0"/>
              <w:spacing w:line="320" w:lineRule="exact"/>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和消防水</w:t>
            </w:r>
          </w:p>
          <w:p w:rsidR="00481EDB" w:rsidRPr="00687B52" w:rsidRDefault="00481EDB" w:rsidP="00B527D4">
            <w:pPr>
              <w:adjustRightInd w:val="0"/>
              <w:spacing w:line="320" w:lineRule="exact"/>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池取水口</w:t>
            </w:r>
          </w:p>
        </w:tc>
        <w:tc>
          <w:tcPr>
            <w:tcW w:w="836" w:type="dxa"/>
            <w:vMerge w:val="restart"/>
          </w:tcPr>
          <w:p w:rsidR="00481EDB" w:rsidRPr="00687B52" w:rsidRDefault="00481EDB" w:rsidP="00B527D4">
            <w:pPr>
              <w:adjustRightInd w:val="0"/>
              <w:spacing w:line="320" w:lineRule="exact"/>
              <w:rPr>
                <w:rFonts w:ascii="黑体" w:eastAsia="黑体"/>
                <w:color w:val="000000" w:themeColor="text1"/>
                <w:spacing w:val="10"/>
                <w:sz w:val="18"/>
                <w:u w:val="single"/>
              </w:rPr>
            </w:pPr>
            <w:r w:rsidRPr="00687B52">
              <w:rPr>
                <w:rFonts w:ascii="黑体" w:eastAsia="黑体" w:hAnsi="宋体" w:hint="eastAsia"/>
                <w:color w:val="000000" w:themeColor="text1"/>
                <w:spacing w:val="-4"/>
                <w:sz w:val="18"/>
                <w:szCs w:val="18"/>
                <w:u w:val="single"/>
              </w:rPr>
              <w:t>自用燃煤锅炉房和燃煤厨房</w:t>
            </w:r>
          </w:p>
        </w:tc>
        <w:tc>
          <w:tcPr>
            <w:tcW w:w="644" w:type="dxa"/>
            <w:vMerge w:val="restart"/>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r w:rsidRPr="00687B52">
              <w:rPr>
                <w:rFonts w:ascii="黑体" w:eastAsia="黑体" w:hint="eastAsia"/>
                <w:color w:val="000000" w:themeColor="text1"/>
                <w:spacing w:val="10"/>
                <w:sz w:val="18"/>
              </w:rPr>
              <w:t>有燃气（油）设备的房间</w:t>
            </w:r>
          </w:p>
        </w:tc>
        <w:tc>
          <w:tcPr>
            <w:tcW w:w="715" w:type="dxa"/>
            <w:vMerge w:val="restart"/>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站区</w:t>
            </w:r>
          </w:p>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围墙</w:t>
            </w:r>
          </w:p>
        </w:tc>
      </w:tr>
      <w:tr w:rsidR="00481EDB" w:rsidRPr="00687B52" w:rsidTr="00B527D4">
        <w:trPr>
          <w:trHeight w:val="1852"/>
          <w:jc w:val="center"/>
        </w:trPr>
        <w:tc>
          <w:tcPr>
            <w:tcW w:w="1759" w:type="dxa"/>
            <w:gridSpan w:val="2"/>
            <w:vMerge/>
            <w:vAlign w:val="center"/>
          </w:tcPr>
          <w:p w:rsidR="00481EDB" w:rsidRPr="00687B52" w:rsidRDefault="00481EDB" w:rsidP="00B527D4">
            <w:pPr>
              <w:adjustRightInd w:val="0"/>
              <w:spacing w:line="320" w:lineRule="exact"/>
              <w:rPr>
                <w:rFonts w:ascii="黑体" w:eastAsia="黑体" w:hAnsi="宋体"/>
                <w:color w:val="000000" w:themeColor="text1"/>
                <w:sz w:val="18"/>
                <w:szCs w:val="18"/>
              </w:rPr>
            </w:pPr>
          </w:p>
        </w:tc>
        <w:tc>
          <w:tcPr>
            <w:tcW w:w="500" w:type="dxa"/>
            <w:vMerge/>
            <w:vAlign w:val="center"/>
          </w:tcPr>
          <w:p w:rsidR="00481EDB" w:rsidRPr="00687B52" w:rsidRDefault="00481EDB" w:rsidP="00B527D4">
            <w:pPr>
              <w:adjustRightInd w:val="0"/>
              <w:spacing w:line="320" w:lineRule="exact"/>
              <w:rPr>
                <w:rFonts w:ascii="黑体" w:eastAsia="黑体" w:hAnsi="宋体"/>
                <w:color w:val="000000" w:themeColor="text1"/>
                <w:sz w:val="18"/>
                <w:szCs w:val="18"/>
              </w:rPr>
            </w:pPr>
          </w:p>
        </w:tc>
        <w:tc>
          <w:tcPr>
            <w:tcW w:w="417" w:type="dxa"/>
            <w:vMerge/>
            <w:vAlign w:val="center"/>
          </w:tcPr>
          <w:p w:rsidR="00481EDB" w:rsidRPr="00687B52" w:rsidRDefault="00481EDB" w:rsidP="00B527D4">
            <w:pPr>
              <w:adjustRightInd w:val="0"/>
              <w:spacing w:line="320" w:lineRule="exact"/>
              <w:rPr>
                <w:rFonts w:ascii="黑体" w:eastAsia="黑体" w:hAnsi="宋体"/>
                <w:color w:val="000000" w:themeColor="text1"/>
                <w:sz w:val="18"/>
                <w:szCs w:val="18"/>
              </w:rPr>
            </w:pP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10"/>
                <w:sz w:val="18"/>
                <w:szCs w:val="18"/>
              </w:rPr>
            </w:pPr>
            <w:r w:rsidRPr="00687B52">
              <w:rPr>
                <w:rFonts w:ascii="黑体" w:eastAsia="黑体" w:hAnsi="宋体" w:hint="eastAsia"/>
                <w:color w:val="000000" w:themeColor="text1"/>
                <w:spacing w:val="-10"/>
                <w:sz w:val="18"/>
                <w:szCs w:val="18"/>
              </w:rPr>
              <w:t>一</w:t>
            </w:r>
          </w:p>
          <w:p w:rsidR="00481EDB" w:rsidRPr="00687B52" w:rsidRDefault="00481EDB" w:rsidP="00B527D4">
            <w:pPr>
              <w:adjustRightInd w:val="0"/>
              <w:spacing w:line="320" w:lineRule="exact"/>
              <w:jc w:val="center"/>
              <w:rPr>
                <w:rFonts w:ascii="黑体" w:eastAsia="黑体" w:hAnsi="宋体"/>
                <w:color w:val="000000" w:themeColor="text1"/>
                <w:spacing w:val="-10"/>
                <w:sz w:val="18"/>
                <w:szCs w:val="18"/>
              </w:rPr>
            </w:pPr>
            <w:r w:rsidRPr="00687B52">
              <w:rPr>
                <w:rFonts w:ascii="黑体" w:eastAsia="黑体" w:hAnsi="宋体" w:hint="eastAsia"/>
                <w:color w:val="000000" w:themeColor="text1"/>
                <w:spacing w:val="-10"/>
                <w:sz w:val="18"/>
                <w:szCs w:val="18"/>
              </w:rPr>
              <w:t>级</w:t>
            </w:r>
          </w:p>
          <w:p w:rsidR="00481EDB" w:rsidRPr="00687B52" w:rsidRDefault="00481EDB" w:rsidP="00B527D4">
            <w:pPr>
              <w:adjustRightInd w:val="0"/>
              <w:spacing w:line="320" w:lineRule="exact"/>
              <w:jc w:val="center"/>
              <w:rPr>
                <w:rFonts w:ascii="黑体" w:eastAsia="黑体" w:hAnsi="宋体"/>
                <w:color w:val="000000" w:themeColor="text1"/>
                <w:spacing w:val="-10"/>
                <w:sz w:val="18"/>
                <w:szCs w:val="18"/>
              </w:rPr>
            </w:pPr>
            <w:r w:rsidRPr="00687B52">
              <w:rPr>
                <w:rFonts w:ascii="黑体" w:eastAsia="黑体" w:hAnsi="宋体" w:hint="eastAsia"/>
                <w:color w:val="000000" w:themeColor="text1"/>
                <w:spacing w:val="-10"/>
                <w:sz w:val="18"/>
                <w:szCs w:val="18"/>
              </w:rPr>
              <w:t>站</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10"/>
                <w:sz w:val="18"/>
                <w:szCs w:val="18"/>
              </w:rPr>
            </w:pPr>
            <w:r w:rsidRPr="00687B52">
              <w:rPr>
                <w:rFonts w:ascii="黑体" w:eastAsia="黑体" w:hAnsi="宋体" w:hint="eastAsia"/>
                <w:color w:val="000000" w:themeColor="text1"/>
                <w:spacing w:val="-10"/>
                <w:sz w:val="18"/>
                <w:szCs w:val="18"/>
              </w:rPr>
              <w:t>二</w:t>
            </w:r>
          </w:p>
          <w:p w:rsidR="00481EDB" w:rsidRPr="00687B52" w:rsidRDefault="00481EDB" w:rsidP="00B527D4">
            <w:pPr>
              <w:adjustRightInd w:val="0"/>
              <w:spacing w:line="320" w:lineRule="exact"/>
              <w:jc w:val="center"/>
              <w:rPr>
                <w:rFonts w:ascii="黑体" w:eastAsia="黑体" w:hAnsi="宋体"/>
                <w:color w:val="000000" w:themeColor="text1"/>
                <w:spacing w:val="-10"/>
                <w:sz w:val="18"/>
                <w:szCs w:val="18"/>
              </w:rPr>
            </w:pPr>
            <w:r w:rsidRPr="00687B52">
              <w:rPr>
                <w:rFonts w:ascii="黑体" w:eastAsia="黑体" w:hAnsi="宋体" w:hint="eastAsia"/>
                <w:color w:val="000000" w:themeColor="text1"/>
                <w:spacing w:val="-10"/>
                <w:sz w:val="18"/>
                <w:szCs w:val="18"/>
              </w:rPr>
              <w:t>级</w:t>
            </w:r>
          </w:p>
          <w:p w:rsidR="00481EDB" w:rsidRPr="00687B52" w:rsidRDefault="00481EDB" w:rsidP="00B527D4">
            <w:pPr>
              <w:adjustRightInd w:val="0"/>
              <w:spacing w:line="320" w:lineRule="exact"/>
              <w:jc w:val="center"/>
              <w:rPr>
                <w:rFonts w:ascii="黑体" w:eastAsia="黑体" w:hAnsi="宋体"/>
                <w:color w:val="000000" w:themeColor="text1"/>
                <w:spacing w:val="-10"/>
                <w:sz w:val="18"/>
                <w:szCs w:val="18"/>
              </w:rPr>
            </w:pPr>
            <w:r w:rsidRPr="00687B52">
              <w:rPr>
                <w:rFonts w:ascii="黑体" w:eastAsia="黑体" w:hAnsi="宋体" w:hint="eastAsia"/>
                <w:color w:val="000000" w:themeColor="text1"/>
                <w:spacing w:val="-10"/>
                <w:sz w:val="18"/>
                <w:szCs w:val="18"/>
              </w:rPr>
              <w:t>站</w:t>
            </w: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10"/>
                <w:sz w:val="18"/>
                <w:szCs w:val="18"/>
              </w:rPr>
            </w:pPr>
            <w:r w:rsidRPr="00687B52">
              <w:rPr>
                <w:rFonts w:ascii="黑体" w:eastAsia="黑体" w:hAnsi="宋体" w:hint="eastAsia"/>
                <w:color w:val="000000" w:themeColor="text1"/>
                <w:spacing w:val="-10"/>
                <w:sz w:val="18"/>
                <w:szCs w:val="18"/>
              </w:rPr>
              <w:t>三</w:t>
            </w:r>
          </w:p>
          <w:p w:rsidR="00481EDB" w:rsidRPr="00687B52" w:rsidRDefault="00481EDB" w:rsidP="00B527D4">
            <w:pPr>
              <w:adjustRightInd w:val="0"/>
              <w:spacing w:line="320" w:lineRule="exact"/>
              <w:jc w:val="center"/>
              <w:rPr>
                <w:rFonts w:ascii="黑体" w:eastAsia="黑体" w:hAnsi="宋体"/>
                <w:color w:val="000000" w:themeColor="text1"/>
                <w:spacing w:val="-10"/>
                <w:sz w:val="18"/>
                <w:szCs w:val="18"/>
              </w:rPr>
            </w:pPr>
            <w:r w:rsidRPr="00687B52">
              <w:rPr>
                <w:rFonts w:ascii="黑体" w:eastAsia="黑体" w:hAnsi="宋体" w:hint="eastAsia"/>
                <w:color w:val="000000" w:themeColor="text1"/>
                <w:spacing w:val="-10"/>
                <w:sz w:val="18"/>
                <w:szCs w:val="18"/>
              </w:rPr>
              <w:t>级</w:t>
            </w:r>
          </w:p>
          <w:p w:rsidR="00481EDB" w:rsidRPr="00687B52" w:rsidRDefault="00481EDB" w:rsidP="00B527D4">
            <w:pPr>
              <w:adjustRightInd w:val="0"/>
              <w:spacing w:line="320" w:lineRule="exact"/>
              <w:jc w:val="center"/>
              <w:rPr>
                <w:rFonts w:ascii="黑体" w:eastAsia="黑体" w:hAnsi="宋体"/>
                <w:color w:val="000000" w:themeColor="text1"/>
                <w:spacing w:val="-10"/>
                <w:sz w:val="18"/>
                <w:szCs w:val="18"/>
              </w:rPr>
            </w:pPr>
            <w:r w:rsidRPr="00687B52">
              <w:rPr>
                <w:rFonts w:ascii="黑体" w:eastAsia="黑体" w:hAnsi="宋体" w:hint="eastAsia"/>
                <w:color w:val="000000" w:themeColor="text1"/>
                <w:spacing w:val="-10"/>
                <w:sz w:val="18"/>
                <w:szCs w:val="18"/>
              </w:rPr>
              <w:t>站</w:t>
            </w:r>
          </w:p>
        </w:tc>
        <w:tc>
          <w:tcPr>
            <w:tcW w:w="444" w:type="dxa"/>
            <w:vMerge/>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p>
        </w:tc>
        <w:tc>
          <w:tcPr>
            <w:tcW w:w="591" w:type="dxa"/>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CNG</w:t>
            </w:r>
          </w:p>
          <w:p w:rsidR="00481EDB" w:rsidRPr="00687B52" w:rsidRDefault="00481EDB" w:rsidP="00B527D4">
            <w:pPr>
              <w:adjustRightInd w:val="0"/>
              <w:spacing w:line="320" w:lineRule="exact"/>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系统</w:t>
            </w:r>
          </w:p>
        </w:tc>
        <w:tc>
          <w:tcPr>
            <w:tcW w:w="517" w:type="dxa"/>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LNG</w:t>
            </w:r>
          </w:p>
          <w:p w:rsidR="00481EDB" w:rsidRPr="00687B52" w:rsidRDefault="00481EDB" w:rsidP="00B527D4">
            <w:pPr>
              <w:adjustRightInd w:val="0"/>
              <w:spacing w:line="320" w:lineRule="exact"/>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系统</w:t>
            </w:r>
          </w:p>
        </w:tc>
        <w:tc>
          <w:tcPr>
            <w:tcW w:w="519" w:type="dxa"/>
            <w:vMerge/>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p>
        </w:tc>
        <w:tc>
          <w:tcPr>
            <w:tcW w:w="592" w:type="dxa"/>
            <w:vMerge/>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p>
        </w:tc>
        <w:tc>
          <w:tcPr>
            <w:tcW w:w="592" w:type="dxa"/>
            <w:vMerge/>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p>
        </w:tc>
        <w:tc>
          <w:tcPr>
            <w:tcW w:w="517" w:type="dxa"/>
            <w:vMerge/>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p>
        </w:tc>
        <w:tc>
          <w:tcPr>
            <w:tcW w:w="665" w:type="dxa"/>
            <w:vMerge/>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p>
        </w:tc>
        <w:tc>
          <w:tcPr>
            <w:tcW w:w="775" w:type="dxa"/>
            <w:vMerge/>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p>
        </w:tc>
        <w:tc>
          <w:tcPr>
            <w:tcW w:w="429" w:type="dxa"/>
            <w:vMerge/>
          </w:tcPr>
          <w:p w:rsidR="00481EDB" w:rsidRPr="00687B52" w:rsidRDefault="00481EDB" w:rsidP="00B527D4">
            <w:pPr>
              <w:adjustRightInd w:val="0"/>
              <w:spacing w:line="320" w:lineRule="exact"/>
              <w:rPr>
                <w:rFonts w:ascii="黑体" w:eastAsia="黑体" w:hAnsi="宋体"/>
                <w:color w:val="000000" w:themeColor="text1"/>
                <w:spacing w:val="-4"/>
                <w:sz w:val="18"/>
                <w:szCs w:val="18"/>
              </w:rPr>
            </w:pPr>
          </w:p>
        </w:tc>
        <w:tc>
          <w:tcPr>
            <w:tcW w:w="498" w:type="dxa"/>
            <w:vMerge/>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p>
        </w:tc>
        <w:tc>
          <w:tcPr>
            <w:tcW w:w="591" w:type="dxa"/>
            <w:vMerge/>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p>
        </w:tc>
        <w:tc>
          <w:tcPr>
            <w:tcW w:w="593" w:type="dxa"/>
            <w:vMerge/>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p>
        </w:tc>
        <w:tc>
          <w:tcPr>
            <w:tcW w:w="592" w:type="dxa"/>
            <w:vMerge/>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p>
        </w:tc>
        <w:tc>
          <w:tcPr>
            <w:tcW w:w="518" w:type="dxa"/>
            <w:vMerge/>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p>
        </w:tc>
        <w:tc>
          <w:tcPr>
            <w:tcW w:w="665" w:type="dxa"/>
            <w:vMerge/>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p>
        </w:tc>
        <w:tc>
          <w:tcPr>
            <w:tcW w:w="836" w:type="dxa"/>
            <w:vMerge/>
          </w:tcPr>
          <w:p w:rsidR="00481EDB" w:rsidRPr="00687B52" w:rsidRDefault="00481EDB" w:rsidP="00B527D4">
            <w:pPr>
              <w:adjustRightInd w:val="0"/>
              <w:spacing w:line="320" w:lineRule="exact"/>
              <w:rPr>
                <w:rFonts w:ascii="黑体" w:eastAsia="黑体" w:hAnsi="宋体"/>
                <w:color w:val="000000" w:themeColor="text1"/>
                <w:spacing w:val="-4"/>
                <w:sz w:val="18"/>
                <w:szCs w:val="18"/>
                <w:u w:val="single"/>
              </w:rPr>
            </w:pPr>
          </w:p>
        </w:tc>
        <w:tc>
          <w:tcPr>
            <w:tcW w:w="644" w:type="dxa"/>
            <w:vMerge/>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p>
        </w:tc>
        <w:tc>
          <w:tcPr>
            <w:tcW w:w="715" w:type="dxa"/>
            <w:vMerge/>
            <w:vAlign w:val="center"/>
          </w:tcPr>
          <w:p w:rsidR="00481EDB" w:rsidRPr="00687B52" w:rsidRDefault="00481EDB" w:rsidP="00B527D4">
            <w:pPr>
              <w:adjustRightInd w:val="0"/>
              <w:spacing w:line="320" w:lineRule="exact"/>
              <w:rPr>
                <w:rFonts w:ascii="黑体" w:eastAsia="黑体" w:hAnsi="宋体"/>
                <w:color w:val="000000" w:themeColor="text1"/>
                <w:spacing w:val="-4"/>
                <w:sz w:val="18"/>
                <w:szCs w:val="18"/>
              </w:rPr>
            </w:pPr>
          </w:p>
        </w:tc>
      </w:tr>
      <w:tr w:rsidR="00481EDB" w:rsidRPr="00687B52" w:rsidTr="00B527D4">
        <w:trPr>
          <w:trHeight w:val="319"/>
          <w:jc w:val="center"/>
        </w:trPr>
        <w:tc>
          <w:tcPr>
            <w:tcW w:w="1759" w:type="dxa"/>
            <w:gridSpan w:val="2"/>
            <w:tcBorders>
              <w:top w:val="single" w:sz="4" w:space="0" w:color="auto"/>
            </w:tcBorders>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汽油罐、柴油罐</w:t>
            </w:r>
          </w:p>
        </w:tc>
        <w:tc>
          <w:tcPr>
            <w:tcW w:w="500" w:type="dxa"/>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int="eastAsia"/>
                <w:color w:val="000000" w:themeColor="text1"/>
                <w:spacing w:val="10"/>
                <w:szCs w:val="21"/>
              </w:rPr>
              <w:t>*</w:t>
            </w:r>
          </w:p>
        </w:tc>
        <w:tc>
          <w:tcPr>
            <w:tcW w:w="417" w:type="dxa"/>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int="eastAsia"/>
                <w:color w:val="000000" w:themeColor="text1"/>
                <w:spacing w:val="10"/>
                <w:szCs w:val="21"/>
              </w:rPr>
              <w:t>*</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15</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12</w:t>
            </w: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10</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1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77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29"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9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9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６</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５</w:t>
            </w:r>
          </w:p>
        </w:tc>
        <w:tc>
          <w:tcPr>
            <w:tcW w:w="51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836"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黑体" w:eastAsia="黑体" w:hAnsi="宋体" w:hint="eastAsia"/>
                <w:color w:val="000000" w:themeColor="text1"/>
                <w:spacing w:val="-4"/>
                <w:sz w:val="18"/>
                <w:szCs w:val="18"/>
                <w:u w:val="single"/>
              </w:rPr>
              <w:t>18.5</w:t>
            </w:r>
          </w:p>
        </w:tc>
        <w:tc>
          <w:tcPr>
            <w:tcW w:w="6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71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r>
      <w:tr w:rsidR="00481EDB" w:rsidRPr="00687B52" w:rsidTr="00B527D4">
        <w:trPr>
          <w:trHeight w:val="319"/>
          <w:jc w:val="center"/>
        </w:trPr>
        <w:tc>
          <w:tcPr>
            <w:tcW w:w="1759" w:type="dxa"/>
            <w:gridSpan w:val="2"/>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油罐通气管管口</w:t>
            </w:r>
          </w:p>
        </w:tc>
        <w:tc>
          <w:tcPr>
            <w:tcW w:w="500" w:type="dxa"/>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int="eastAsia"/>
                <w:color w:val="000000" w:themeColor="text1"/>
                <w:spacing w:val="10"/>
                <w:szCs w:val="21"/>
              </w:rPr>
              <w:t>*</w:t>
            </w:r>
          </w:p>
        </w:tc>
        <w:tc>
          <w:tcPr>
            <w:tcW w:w="417" w:type="dxa"/>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int="eastAsia"/>
                <w:color w:val="000000" w:themeColor="text1"/>
                <w:spacing w:val="10"/>
                <w:szCs w:val="21"/>
              </w:rPr>
              <w:t>*</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12</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10</w:t>
            </w: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1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77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29"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9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59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８</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5</w:t>
            </w:r>
          </w:p>
        </w:tc>
        <w:tc>
          <w:tcPr>
            <w:tcW w:w="51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836"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黑体" w:eastAsia="黑体" w:hAnsi="宋体" w:hint="eastAsia"/>
                <w:color w:val="000000" w:themeColor="text1"/>
                <w:spacing w:val="-4"/>
                <w:sz w:val="18"/>
                <w:szCs w:val="18"/>
                <w:u w:val="single"/>
              </w:rPr>
              <w:t>13</w:t>
            </w:r>
          </w:p>
        </w:tc>
        <w:tc>
          <w:tcPr>
            <w:tcW w:w="6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71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r>
      <w:tr w:rsidR="00481EDB" w:rsidRPr="00687B52" w:rsidTr="00B527D4">
        <w:trPr>
          <w:trHeight w:val="319"/>
          <w:jc w:val="center"/>
        </w:trPr>
        <w:tc>
          <w:tcPr>
            <w:tcW w:w="900" w:type="dxa"/>
            <w:vMerge w:val="restart"/>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LNG储罐</w:t>
            </w:r>
          </w:p>
        </w:tc>
        <w:tc>
          <w:tcPr>
            <w:tcW w:w="859" w:type="dxa"/>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一级站</w:t>
            </w:r>
          </w:p>
        </w:tc>
        <w:tc>
          <w:tcPr>
            <w:tcW w:w="500"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15</w:t>
            </w:r>
          </w:p>
        </w:tc>
        <w:tc>
          <w:tcPr>
            <w:tcW w:w="417" w:type="dxa"/>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12</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5</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19" w:type="dxa"/>
            <w:vAlign w:val="center"/>
          </w:tcPr>
          <w:p w:rsidR="00481EDB" w:rsidRPr="00687B52" w:rsidRDefault="00481EDB" w:rsidP="00B527D4">
            <w:pPr>
              <w:adjustRightInd w:val="0"/>
              <w:spacing w:line="320" w:lineRule="exact"/>
              <w:jc w:val="center"/>
              <w:rPr>
                <w:rFonts w:ascii="黑体" w:eastAsia="黑体"/>
                <w:color w:val="000000" w:themeColor="text1"/>
                <w:sz w:val="18"/>
              </w:rPr>
            </w:pPr>
            <w:r w:rsidRPr="00687B52">
              <w:rPr>
                <w:rFonts w:ascii="黑体" w:eastAsia="黑体" w:hint="eastAsia"/>
                <w:color w:val="000000" w:themeColor="text1"/>
                <w:sz w:val="18"/>
              </w:rPr>
              <w:t>12</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5</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77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429"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49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9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6</w:t>
            </w:r>
          </w:p>
        </w:tc>
        <w:tc>
          <w:tcPr>
            <w:tcW w:w="51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10</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20</w:t>
            </w:r>
          </w:p>
        </w:tc>
        <w:tc>
          <w:tcPr>
            <w:tcW w:w="836"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黑体" w:eastAsia="黑体" w:hAnsi="宋体" w:hint="eastAsia"/>
                <w:color w:val="000000" w:themeColor="text1"/>
                <w:spacing w:val="-4"/>
                <w:sz w:val="18"/>
                <w:szCs w:val="18"/>
                <w:u w:val="single"/>
              </w:rPr>
              <w:t>35</w:t>
            </w:r>
          </w:p>
        </w:tc>
        <w:tc>
          <w:tcPr>
            <w:tcW w:w="6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15</w:t>
            </w:r>
          </w:p>
        </w:tc>
        <w:tc>
          <w:tcPr>
            <w:tcW w:w="71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r>
      <w:tr w:rsidR="00481EDB" w:rsidRPr="00687B52" w:rsidTr="00B527D4">
        <w:trPr>
          <w:trHeight w:val="319"/>
          <w:jc w:val="center"/>
        </w:trPr>
        <w:tc>
          <w:tcPr>
            <w:tcW w:w="900" w:type="dxa"/>
            <w:vMerge/>
          </w:tcPr>
          <w:p w:rsidR="00481EDB" w:rsidRPr="00687B52" w:rsidRDefault="00481EDB" w:rsidP="00B527D4">
            <w:pPr>
              <w:adjustRightInd w:val="0"/>
              <w:spacing w:line="320" w:lineRule="exact"/>
              <w:rPr>
                <w:rFonts w:ascii="黑体" w:eastAsia="黑体" w:hAnsi="宋体"/>
                <w:color w:val="000000" w:themeColor="text1"/>
                <w:sz w:val="18"/>
                <w:szCs w:val="18"/>
              </w:rPr>
            </w:pPr>
          </w:p>
        </w:tc>
        <w:tc>
          <w:tcPr>
            <w:tcW w:w="859" w:type="dxa"/>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二级站</w:t>
            </w:r>
          </w:p>
        </w:tc>
        <w:tc>
          <w:tcPr>
            <w:tcW w:w="500"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12</w:t>
            </w:r>
          </w:p>
        </w:tc>
        <w:tc>
          <w:tcPr>
            <w:tcW w:w="417" w:type="dxa"/>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10</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w:t>
            </w: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4</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19" w:type="dxa"/>
            <w:vAlign w:val="center"/>
          </w:tcPr>
          <w:p w:rsidR="00481EDB" w:rsidRPr="00687B52" w:rsidRDefault="00481EDB" w:rsidP="00B527D4">
            <w:pPr>
              <w:adjustRightInd w:val="0"/>
              <w:spacing w:line="320" w:lineRule="exact"/>
              <w:jc w:val="center"/>
              <w:rPr>
                <w:rFonts w:ascii="黑体" w:eastAsia="黑体"/>
                <w:color w:val="000000" w:themeColor="text1"/>
                <w:sz w:val="18"/>
              </w:rPr>
            </w:pPr>
            <w:r w:rsidRPr="00687B52">
              <w:rPr>
                <w:rFonts w:ascii="黑体" w:eastAsia="黑体" w:hint="eastAsia"/>
                <w:color w:val="000000" w:themeColor="text1"/>
                <w:sz w:val="18"/>
              </w:rPr>
              <w:t>10</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3</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c>
          <w:tcPr>
            <w:tcW w:w="77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429"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49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9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4</w:t>
            </w:r>
          </w:p>
        </w:tc>
        <w:tc>
          <w:tcPr>
            <w:tcW w:w="51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15</w:t>
            </w:r>
          </w:p>
        </w:tc>
        <w:tc>
          <w:tcPr>
            <w:tcW w:w="836"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黑体" w:eastAsia="黑体" w:hAnsi="宋体" w:hint="eastAsia"/>
                <w:color w:val="000000" w:themeColor="text1"/>
                <w:spacing w:val="-4"/>
                <w:sz w:val="18"/>
                <w:szCs w:val="18"/>
                <w:u w:val="single"/>
              </w:rPr>
              <w:t>30</w:t>
            </w:r>
          </w:p>
        </w:tc>
        <w:tc>
          <w:tcPr>
            <w:tcW w:w="6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12</w:t>
            </w:r>
          </w:p>
        </w:tc>
        <w:tc>
          <w:tcPr>
            <w:tcW w:w="71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5</w:t>
            </w:r>
          </w:p>
        </w:tc>
      </w:tr>
      <w:tr w:rsidR="00481EDB" w:rsidRPr="00687B52" w:rsidTr="00B527D4">
        <w:trPr>
          <w:trHeight w:val="319"/>
          <w:jc w:val="center"/>
        </w:trPr>
        <w:tc>
          <w:tcPr>
            <w:tcW w:w="900" w:type="dxa"/>
            <w:vMerge/>
          </w:tcPr>
          <w:p w:rsidR="00481EDB" w:rsidRPr="00687B52" w:rsidRDefault="00481EDB" w:rsidP="00B527D4">
            <w:pPr>
              <w:adjustRightInd w:val="0"/>
              <w:spacing w:line="320" w:lineRule="exact"/>
              <w:rPr>
                <w:rFonts w:ascii="黑体" w:eastAsia="黑体" w:hAnsi="宋体"/>
                <w:color w:val="000000" w:themeColor="text1"/>
                <w:sz w:val="18"/>
                <w:szCs w:val="18"/>
              </w:rPr>
            </w:pPr>
          </w:p>
        </w:tc>
        <w:tc>
          <w:tcPr>
            <w:tcW w:w="859" w:type="dxa"/>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三级站</w:t>
            </w:r>
          </w:p>
        </w:tc>
        <w:tc>
          <w:tcPr>
            <w:tcW w:w="500"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10</w:t>
            </w:r>
          </w:p>
        </w:tc>
        <w:tc>
          <w:tcPr>
            <w:tcW w:w="417" w:type="dxa"/>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8</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4</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19" w:type="dxa"/>
            <w:vAlign w:val="center"/>
          </w:tcPr>
          <w:p w:rsidR="00481EDB" w:rsidRPr="00687B52" w:rsidRDefault="00481EDB" w:rsidP="00B527D4">
            <w:pPr>
              <w:adjustRightInd w:val="0"/>
              <w:spacing w:line="320" w:lineRule="exact"/>
              <w:jc w:val="center"/>
              <w:rPr>
                <w:rFonts w:ascii="黑体" w:eastAsia="黑体"/>
                <w:color w:val="000000" w:themeColor="text1"/>
                <w:sz w:val="18"/>
              </w:rPr>
            </w:pPr>
            <w:r w:rsidRPr="00687B52">
              <w:rPr>
                <w:rFonts w:ascii="黑体" w:eastAsia="黑体" w:hint="eastAsia"/>
                <w:color w:val="000000" w:themeColor="text1"/>
                <w:sz w:val="18"/>
              </w:rPr>
              <w:t>8</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c>
          <w:tcPr>
            <w:tcW w:w="77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429"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c>
          <w:tcPr>
            <w:tcW w:w="49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9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3</w:t>
            </w:r>
          </w:p>
        </w:tc>
        <w:tc>
          <w:tcPr>
            <w:tcW w:w="51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15</w:t>
            </w:r>
          </w:p>
        </w:tc>
        <w:tc>
          <w:tcPr>
            <w:tcW w:w="836"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黑体" w:eastAsia="黑体" w:hAnsi="宋体" w:hint="eastAsia"/>
                <w:color w:val="000000" w:themeColor="text1"/>
                <w:spacing w:val="-4"/>
                <w:sz w:val="18"/>
                <w:szCs w:val="18"/>
                <w:u w:val="single"/>
              </w:rPr>
              <w:t>25</w:t>
            </w:r>
          </w:p>
        </w:tc>
        <w:tc>
          <w:tcPr>
            <w:tcW w:w="6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12</w:t>
            </w:r>
          </w:p>
        </w:tc>
        <w:tc>
          <w:tcPr>
            <w:tcW w:w="71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r>
      <w:tr w:rsidR="00481EDB" w:rsidRPr="00687B52" w:rsidTr="00B527D4">
        <w:trPr>
          <w:trHeight w:val="319"/>
          <w:jc w:val="center"/>
        </w:trPr>
        <w:tc>
          <w:tcPr>
            <w:tcW w:w="1759" w:type="dxa"/>
            <w:gridSpan w:val="2"/>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CNG储气</w:t>
            </w:r>
            <w:r w:rsidRPr="00687B52">
              <w:rPr>
                <w:rFonts w:eastAsia="黑体" w:hint="eastAsia"/>
                <w:color w:val="000000" w:themeColor="text1"/>
                <w:sz w:val="18"/>
              </w:rPr>
              <w:t>设施</w:t>
            </w:r>
          </w:p>
        </w:tc>
        <w:tc>
          <w:tcPr>
            <w:tcW w:w="500" w:type="dxa"/>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int="eastAsia"/>
                <w:color w:val="000000" w:themeColor="text1"/>
                <w:spacing w:val="10"/>
                <w:szCs w:val="21"/>
              </w:rPr>
              <w:t>*</w:t>
            </w:r>
          </w:p>
        </w:tc>
        <w:tc>
          <w:tcPr>
            <w:tcW w:w="417"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8</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3</w:t>
            </w:r>
          </w:p>
        </w:tc>
        <w:tc>
          <w:tcPr>
            <w:tcW w:w="51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6</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77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29"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9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6</w:t>
            </w:r>
          </w:p>
        </w:tc>
        <w:tc>
          <w:tcPr>
            <w:tcW w:w="59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６</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３</w:t>
            </w:r>
          </w:p>
        </w:tc>
        <w:tc>
          <w:tcPr>
            <w:tcW w:w="51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836"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黑体" w:eastAsia="黑体" w:hAnsi="宋体" w:hint="eastAsia"/>
                <w:color w:val="000000" w:themeColor="text1"/>
                <w:spacing w:val="-4"/>
                <w:sz w:val="18"/>
                <w:szCs w:val="18"/>
                <w:u w:val="single"/>
              </w:rPr>
              <w:t>25</w:t>
            </w:r>
          </w:p>
        </w:tc>
        <w:tc>
          <w:tcPr>
            <w:tcW w:w="6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71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r>
      <w:tr w:rsidR="00481EDB" w:rsidRPr="00687B52" w:rsidTr="00B527D4">
        <w:trPr>
          <w:trHeight w:val="319"/>
          <w:jc w:val="center"/>
        </w:trPr>
        <w:tc>
          <w:tcPr>
            <w:tcW w:w="900" w:type="dxa"/>
            <w:vMerge w:val="restart"/>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天然气放散管管口</w:t>
            </w:r>
          </w:p>
        </w:tc>
        <w:tc>
          <w:tcPr>
            <w:tcW w:w="859" w:type="dxa"/>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CNG系统</w:t>
            </w:r>
          </w:p>
        </w:tc>
        <w:tc>
          <w:tcPr>
            <w:tcW w:w="500"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w:t>
            </w:r>
          </w:p>
        </w:tc>
        <w:tc>
          <w:tcPr>
            <w:tcW w:w="417" w:type="dxa"/>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5</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4</w:t>
            </w: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4</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1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4</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77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29"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9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４</w:t>
            </w:r>
          </w:p>
        </w:tc>
        <w:tc>
          <w:tcPr>
            <w:tcW w:w="59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4</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1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836"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黑体" w:eastAsia="黑体" w:hAnsi="宋体" w:hint="eastAsia"/>
                <w:color w:val="000000" w:themeColor="text1"/>
                <w:spacing w:val="-4"/>
                <w:sz w:val="18"/>
                <w:szCs w:val="18"/>
                <w:u w:val="single"/>
              </w:rPr>
              <w:t>15</w:t>
            </w:r>
          </w:p>
        </w:tc>
        <w:tc>
          <w:tcPr>
            <w:tcW w:w="6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71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r>
      <w:tr w:rsidR="00481EDB" w:rsidRPr="00687B52" w:rsidTr="00B527D4">
        <w:trPr>
          <w:trHeight w:val="618"/>
          <w:jc w:val="center"/>
        </w:trPr>
        <w:tc>
          <w:tcPr>
            <w:tcW w:w="900" w:type="dxa"/>
            <w:vMerge/>
          </w:tcPr>
          <w:p w:rsidR="00481EDB" w:rsidRPr="00687B52" w:rsidRDefault="00481EDB" w:rsidP="00B527D4">
            <w:pPr>
              <w:adjustRightInd w:val="0"/>
              <w:spacing w:line="320" w:lineRule="exact"/>
              <w:rPr>
                <w:rFonts w:ascii="黑体" w:eastAsia="黑体" w:hAnsi="宋体"/>
                <w:color w:val="000000" w:themeColor="text1"/>
                <w:sz w:val="18"/>
                <w:szCs w:val="18"/>
              </w:rPr>
            </w:pPr>
          </w:p>
        </w:tc>
        <w:tc>
          <w:tcPr>
            <w:tcW w:w="859" w:type="dxa"/>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LNG系统</w:t>
            </w:r>
          </w:p>
        </w:tc>
        <w:tc>
          <w:tcPr>
            <w:tcW w:w="500"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6</w:t>
            </w:r>
          </w:p>
        </w:tc>
        <w:tc>
          <w:tcPr>
            <w:tcW w:w="417"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6</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3</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1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3</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3</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c>
          <w:tcPr>
            <w:tcW w:w="77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42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49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9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1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12</w:t>
            </w:r>
          </w:p>
        </w:tc>
        <w:tc>
          <w:tcPr>
            <w:tcW w:w="836"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黑体" w:eastAsia="黑体" w:hAnsi="宋体" w:hint="eastAsia"/>
                <w:color w:val="000000" w:themeColor="text1"/>
                <w:spacing w:val="-4"/>
                <w:sz w:val="18"/>
                <w:szCs w:val="18"/>
                <w:u w:val="single"/>
              </w:rPr>
              <w:t>15</w:t>
            </w:r>
          </w:p>
        </w:tc>
        <w:tc>
          <w:tcPr>
            <w:tcW w:w="6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12</w:t>
            </w:r>
          </w:p>
        </w:tc>
        <w:tc>
          <w:tcPr>
            <w:tcW w:w="71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3</w:t>
            </w:r>
          </w:p>
        </w:tc>
      </w:tr>
      <w:tr w:rsidR="00481EDB" w:rsidRPr="00687B52" w:rsidTr="00B527D4">
        <w:trPr>
          <w:trHeight w:val="319"/>
          <w:jc w:val="center"/>
        </w:trPr>
        <w:tc>
          <w:tcPr>
            <w:tcW w:w="1759" w:type="dxa"/>
            <w:gridSpan w:val="2"/>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eastAsia="黑体" w:hint="eastAsia"/>
                <w:color w:val="000000" w:themeColor="text1"/>
                <w:spacing w:val="20"/>
                <w:sz w:val="18"/>
              </w:rPr>
              <w:t>油品卸车点</w:t>
            </w:r>
          </w:p>
        </w:tc>
        <w:tc>
          <w:tcPr>
            <w:tcW w:w="500"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w:t>
            </w:r>
          </w:p>
        </w:tc>
        <w:tc>
          <w:tcPr>
            <w:tcW w:w="417"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12</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10</w:t>
            </w: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8</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1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77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29"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9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9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５</w:t>
            </w:r>
          </w:p>
        </w:tc>
        <w:tc>
          <w:tcPr>
            <w:tcW w:w="51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836"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黑体" w:eastAsia="黑体" w:hAnsi="宋体" w:hint="eastAsia"/>
                <w:color w:val="000000" w:themeColor="text1"/>
                <w:spacing w:val="-4"/>
                <w:sz w:val="18"/>
                <w:szCs w:val="18"/>
                <w:u w:val="single"/>
              </w:rPr>
              <w:t>15</w:t>
            </w:r>
          </w:p>
        </w:tc>
        <w:tc>
          <w:tcPr>
            <w:tcW w:w="6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71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r>
      <w:tr w:rsidR="00481EDB" w:rsidRPr="00687B52" w:rsidTr="00B527D4">
        <w:trPr>
          <w:trHeight w:val="319"/>
          <w:jc w:val="center"/>
        </w:trPr>
        <w:tc>
          <w:tcPr>
            <w:tcW w:w="1759" w:type="dxa"/>
            <w:gridSpan w:val="2"/>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LNG卸车点</w:t>
            </w:r>
          </w:p>
        </w:tc>
        <w:tc>
          <w:tcPr>
            <w:tcW w:w="500"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6</w:t>
            </w:r>
          </w:p>
        </w:tc>
        <w:tc>
          <w:tcPr>
            <w:tcW w:w="417"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8</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5</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3</w:t>
            </w: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6</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4</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3</w:t>
            </w:r>
          </w:p>
        </w:tc>
        <w:tc>
          <w:tcPr>
            <w:tcW w:w="51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黑体" w:eastAsia="黑体" w:hint="eastAsia"/>
                <w:color w:val="000000" w:themeColor="text1"/>
                <w:sz w:val="18"/>
                <w:u w:val="single"/>
              </w:rPr>
              <w:t>—</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3</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3</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6</w:t>
            </w:r>
          </w:p>
        </w:tc>
        <w:tc>
          <w:tcPr>
            <w:tcW w:w="77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429" w:type="dxa"/>
          </w:tcPr>
          <w:p w:rsidR="00481EDB" w:rsidRPr="00687B52" w:rsidRDefault="00481EDB" w:rsidP="00B527D4">
            <w:pPr>
              <w:adjustRightInd w:val="0"/>
              <w:spacing w:line="320" w:lineRule="exact"/>
              <w:jc w:val="center"/>
              <w:rPr>
                <w:rFonts w:ascii="黑体" w:eastAsia="黑体"/>
                <w:color w:val="000000" w:themeColor="text1"/>
                <w:sz w:val="18"/>
              </w:rPr>
            </w:pPr>
            <w:r w:rsidRPr="00687B52">
              <w:rPr>
                <w:rFonts w:ascii="黑体" w:eastAsia="黑体" w:hint="eastAsia"/>
                <w:color w:val="000000" w:themeColor="text1"/>
                <w:sz w:val="18"/>
              </w:rPr>
              <w:t>6</w:t>
            </w:r>
          </w:p>
        </w:tc>
        <w:tc>
          <w:tcPr>
            <w:tcW w:w="49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9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２</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４</w:t>
            </w:r>
          </w:p>
        </w:tc>
        <w:tc>
          <w:tcPr>
            <w:tcW w:w="51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６</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15</w:t>
            </w:r>
          </w:p>
        </w:tc>
        <w:tc>
          <w:tcPr>
            <w:tcW w:w="836"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黑体" w:eastAsia="黑体" w:hAnsi="宋体" w:hint="eastAsia"/>
                <w:color w:val="000000" w:themeColor="text1"/>
                <w:spacing w:val="-4"/>
                <w:sz w:val="18"/>
                <w:szCs w:val="18"/>
                <w:u w:val="single"/>
              </w:rPr>
              <w:t>25</w:t>
            </w:r>
          </w:p>
        </w:tc>
        <w:tc>
          <w:tcPr>
            <w:tcW w:w="6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12</w:t>
            </w:r>
          </w:p>
        </w:tc>
        <w:tc>
          <w:tcPr>
            <w:tcW w:w="71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w:t>
            </w:r>
          </w:p>
        </w:tc>
      </w:tr>
      <w:tr w:rsidR="00481EDB" w:rsidRPr="00687B52" w:rsidTr="00B527D4">
        <w:trPr>
          <w:trHeight w:val="319"/>
          <w:jc w:val="center"/>
        </w:trPr>
        <w:tc>
          <w:tcPr>
            <w:tcW w:w="1759" w:type="dxa"/>
            <w:gridSpan w:val="2"/>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天然气压缩机（间）</w:t>
            </w:r>
          </w:p>
        </w:tc>
        <w:tc>
          <w:tcPr>
            <w:tcW w:w="500"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w:t>
            </w:r>
          </w:p>
        </w:tc>
        <w:tc>
          <w:tcPr>
            <w:tcW w:w="417"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1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3</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77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29" w:type="dxa"/>
          </w:tcPr>
          <w:p w:rsidR="00481EDB" w:rsidRPr="00687B52" w:rsidRDefault="00481EDB" w:rsidP="00B527D4">
            <w:pPr>
              <w:adjustRightInd w:val="0"/>
              <w:spacing w:line="320" w:lineRule="exact"/>
              <w:jc w:val="center"/>
              <w:rPr>
                <w:rFonts w:ascii="黑体" w:eastAsia="黑体"/>
                <w:color w:val="000000" w:themeColor="text1"/>
                <w:sz w:val="18"/>
              </w:rPr>
            </w:pPr>
            <w:r w:rsidRPr="00687B52">
              <w:rPr>
                <w:rFonts w:ascii="黑体" w:eastAsia="黑体" w:hint="eastAsia"/>
                <w:color w:val="000000" w:themeColor="text1"/>
                <w:sz w:val="18"/>
              </w:rPr>
              <w:t>*</w:t>
            </w:r>
          </w:p>
        </w:tc>
        <w:tc>
          <w:tcPr>
            <w:tcW w:w="49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6</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6</w:t>
            </w:r>
          </w:p>
        </w:tc>
        <w:tc>
          <w:tcPr>
            <w:tcW w:w="59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６</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６</w:t>
            </w:r>
          </w:p>
        </w:tc>
        <w:tc>
          <w:tcPr>
            <w:tcW w:w="51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836"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黑体" w:eastAsia="黑体" w:hAnsi="宋体" w:hint="eastAsia"/>
                <w:color w:val="000000" w:themeColor="text1"/>
                <w:spacing w:val="-4"/>
                <w:sz w:val="18"/>
                <w:szCs w:val="18"/>
                <w:u w:val="single"/>
              </w:rPr>
              <w:t>25</w:t>
            </w:r>
          </w:p>
        </w:tc>
        <w:tc>
          <w:tcPr>
            <w:tcW w:w="6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71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r>
      <w:tr w:rsidR="00481EDB" w:rsidRPr="00687B52" w:rsidTr="00B527D4">
        <w:trPr>
          <w:trHeight w:val="319"/>
          <w:jc w:val="center"/>
        </w:trPr>
        <w:tc>
          <w:tcPr>
            <w:tcW w:w="1759" w:type="dxa"/>
            <w:gridSpan w:val="2"/>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天然气调压器（间）</w:t>
            </w:r>
          </w:p>
        </w:tc>
        <w:tc>
          <w:tcPr>
            <w:tcW w:w="500"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w:t>
            </w:r>
          </w:p>
        </w:tc>
        <w:tc>
          <w:tcPr>
            <w:tcW w:w="417"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3</w:t>
            </w:r>
          </w:p>
        </w:tc>
        <w:tc>
          <w:tcPr>
            <w:tcW w:w="51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3</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77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29" w:type="dxa"/>
          </w:tcPr>
          <w:p w:rsidR="00481EDB" w:rsidRPr="00687B52" w:rsidRDefault="00481EDB" w:rsidP="00B527D4">
            <w:pPr>
              <w:adjustRightInd w:val="0"/>
              <w:spacing w:line="320" w:lineRule="exact"/>
              <w:jc w:val="center"/>
              <w:rPr>
                <w:rFonts w:ascii="黑体" w:eastAsia="黑体"/>
                <w:color w:val="000000" w:themeColor="text1"/>
                <w:sz w:val="18"/>
              </w:rPr>
            </w:pPr>
            <w:r w:rsidRPr="00687B52">
              <w:rPr>
                <w:rFonts w:ascii="黑体" w:eastAsia="黑体" w:hint="eastAsia"/>
                <w:color w:val="000000" w:themeColor="text1"/>
                <w:sz w:val="18"/>
              </w:rPr>
              <w:t>*</w:t>
            </w:r>
          </w:p>
        </w:tc>
        <w:tc>
          <w:tcPr>
            <w:tcW w:w="49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6</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6</w:t>
            </w:r>
          </w:p>
        </w:tc>
        <w:tc>
          <w:tcPr>
            <w:tcW w:w="59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６</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６</w:t>
            </w:r>
          </w:p>
        </w:tc>
        <w:tc>
          <w:tcPr>
            <w:tcW w:w="51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836"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黑体" w:eastAsia="黑体" w:hAnsi="宋体" w:hint="eastAsia"/>
                <w:color w:val="000000" w:themeColor="text1"/>
                <w:spacing w:val="-4"/>
                <w:sz w:val="18"/>
                <w:szCs w:val="18"/>
                <w:u w:val="single"/>
              </w:rPr>
              <w:t>25</w:t>
            </w:r>
          </w:p>
        </w:tc>
        <w:tc>
          <w:tcPr>
            <w:tcW w:w="6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71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r>
      <w:tr w:rsidR="00481EDB" w:rsidRPr="00687B52" w:rsidTr="00B527D4">
        <w:trPr>
          <w:trHeight w:val="637"/>
          <w:jc w:val="center"/>
        </w:trPr>
        <w:tc>
          <w:tcPr>
            <w:tcW w:w="1759" w:type="dxa"/>
            <w:gridSpan w:val="2"/>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天然气脱硫、脱水装置</w:t>
            </w:r>
          </w:p>
        </w:tc>
        <w:tc>
          <w:tcPr>
            <w:tcW w:w="500"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w:t>
            </w:r>
          </w:p>
        </w:tc>
        <w:tc>
          <w:tcPr>
            <w:tcW w:w="417"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c>
          <w:tcPr>
            <w:tcW w:w="51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黑体" w:eastAsia="黑体" w:hint="eastAsia"/>
                <w:color w:val="000000" w:themeColor="text1"/>
                <w:sz w:val="18"/>
                <w:u w:val="single"/>
              </w:rPr>
              <w:t>3</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p>
        </w:tc>
        <w:tc>
          <w:tcPr>
            <w:tcW w:w="77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29" w:type="dxa"/>
          </w:tcPr>
          <w:p w:rsidR="00481EDB" w:rsidRPr="00687B52" w:rsidRDefault="00481EDB" w:rsidP="00B527D4">
            <w:pPr>
              <w:adjustRightInd w:val="0"/>
              <w:spacing w:line="320" w:lineRule="exact"/>
              <w:jc w:val="center"/>
              <w:rPr>
                <w:rFonts w:ascii="黑体" w:eastAsia="黑体"/>
                <w:color w:val="000000" w:themeColor="text1"/>
                <w:sz w:val="18"/>
              </w:rPr>
            </w:pPr>
            <w:r w:rsidRPr="00687B52">
              <w:rPr>
                <w:rFonts w:ascii="黑体" w:eastAsia="黑体" w:hint="eastAsia"/>
                <w:color w:val="000000" w:themeColor="text1"/>
                <w:sz w:val="18"/>
              </w:rPr>
              <w:t>*</w:t>
            </w:r>
          </w:p>
        </w:tc>
        <w:tc>
          <w:tcPr>
            <w:tcW w:w="49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6</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6</w:t>
            </w:r>
          </w:p>
        </w:tc>
        <w:tc>
          <w:tcPr>
            <w:tcW w:w="59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６</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６</w:t>
            </w:r>
          </w:p>
        </w:tc>
        <w:tc>
          <w:tcPr>
            <w:tcW w:w="51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836"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黑体" w:eastAsia="黑体" w:hAnsi="宋体" w:hint="eastAsia"/>
                <w:color w:val="000000" w:themeColor="text1"/>
                <w:spacing w:val="-4"/>
                <w:sz w:val="18"/>
                <w:szCs w:val="18"/>
                <w:u w:val="single"/>
              </w:rPr>
              <w:t>25</w:t>
            </w:r>
          </w:p>
        </w:tc>
        <w:tc>
          <w:tcPr>
            <w:tcW w:w="6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71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r>
      <w:tr w:rsidR="00481EDB" w:rsidRPr="00687B52" w:rsidTr="00B527D4">
        <w:trPr>
          <w:trHeight w:val="319"/>
          <w:jc w:val="center"/>
        </w:trPr>
        <w:tc>
          <w:tcPr>
            <w:tcW w:w="1759" w:type="dxa"/>
            <w:gridSpan w:val="2"/>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加油机</w:t>
            </w:r>
          </w:p>
        </w:tc>
        <w:tc>
          <w:tcPr>
            <w:tcW w:w="500"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w:t>
            </w:r>
          </w:p>
        </w:tc>
        <w:tc>
          <w:tcPr>
            <w:tcW w:w="417"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1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77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29"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9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9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1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836"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宋体" w:hAnsi="宋体" w:hint="eastAsia"/>
                <w:color w:val="000000" w:themeColor="text1"/>
                <w:sz w:val="18"/>
                <w:szCs w:val="18"/>
                <w:u w:val="single"/>
              </w:rPr>
              <w:t>15(10)</w:t>
            </w:r>
          </w:p>
        </w:tc>
        <w:tc>
          <w:tcPr>
            <w:tcW w:w="6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71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r>
      <w:tr w:rsidR="00481EDB" w:rsidRPr="00687B52" w:rsidTr="00B527D4">
        <w:trPr>
          <w:trHeight w:val="319"/>
          <w:jc w:val="center"/>
        </w:trPr>
        <w:tc>
          <w:tcPr>
            <w:tcW w:w="1759" w:type="dxa"/>
            <w:gridSpan w:val="2"/>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CNG加气机</w:t>
            </w:r>
          </w:p>
        </w:tc>
        <w:tc>
          <w:tcPr>
            <w:tcW w:w="500" w:type="dxa"/>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w:t>
            </w:r>
          </w:p>
        </w:tc>
        <w:tc>
          <w:tcPr>
            <w:tcW w:w="417"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c>
          <w:tcPr>
            <w:tcW w:w="444"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51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6</w:t>
            </w:r>
          </w:p>
        </w:tc>
        <w:tc>
          <w:tcPr>
            <w:tcW w:w="592"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77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29"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9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9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５</w:t>
            </w:r>
          </w:p>
        </w:tc>
        <w:tc>
          <w:tcPr>
            <w:tcW w:w="51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836"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黑体" w:eastAsia="黑体" w:hAnsi="宋体" w:hint="eastAsia"/>
                <w:color w:val="000000" w:themeColor="text1"/>
                <w:spacing w:val="-4"/>
                <w:sz w:val="18"/>
                <w:szCs w:val="18"/>
                <w:u w:val="single"/>
              </w:rPr>
              <w:t>18</w:t>
            </w:r>
          </w:p>
        </w:tc>
        <w:tc>
          <w:tcPr>
            <w:tcW w:w="6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71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r>
      <w:tr w:rsidR="00481EDB" w:rsidRPr="00687B52" w:rsidTr="00B527D4">
        <w:trPr>
          <w:trHeight w:val="319"/>
          <w:jc w:val="center"/>
        </w:trPr>
        <w:tc>
          <w:tcPr>
            <w:tcW w:w="1759" w:type="dxa"/>
            <w:gridSpan w:val="2"/>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LNG加气机</w:t>
            </w:r>
          </w:p>
        </w:tc>
        <w:tc>
          <w:tcPr>
            <w:tcW w:w="500"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4</w:t>
            </w:r>
          </w:p>
        </w:tc>
        <w:tc>
          <w:tcPr>
            <w:tcW w:w="417"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8</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w:t>
            </w:r>
          </w:p>
        </w:tc>
        <w:tc>
          <w:tcPr>
            <w:tcW w:w="444"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1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92"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6</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6</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6</w:t>
            </w:r>
          </w:p>
        </w:tc>
        <w:tc>
          <w:tcPr>
            <w:tcW w:w="77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w:t>
            </w:r>
          </w:p>
        </w:tc>
        <w:tc>
          <w:tcPr>
            <w:tcW w:w="429"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w:t>
            </w:r>
          </w:p>
        </w:tc>
        <w:tc>
          <w:tcPr>
            <w:tcW w:w="49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黑体" w:eastAsia="黑体" w:hAnsi="宋体" w:hint="eastAsia"/>
                <w:color w:val="000000" w:themeColor="text1"/>
                <w:spacing w:val="-4"/>
                <w:sz w:val="18"/>
                <w:szCs w:val="18"/>
                <w:u w:val="single"/>
              </w:rPr>
              <w:t>2</w:t>
            </w:r>
          </w:p>
        </w:tc>
        <w:tc>
          <w:tcPr>
            <w:tcW w:w="59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６</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５</w:t>
            </w:r>
          </w:p>
        </w:tc>
        <w:tc>
          <w:tcPr>
            <w:tcW w:w="51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６</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15</w:t>
            </w:r>
          </w:p>
        </w:tc>
        <w:tc>
          <w:tcPr>
            <w:tcW w:w="836"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黑体" w:eastAsia="黑体" w:hAnsi="宋体" w:hint="eastAsia"/>
                <w:color w:val="000000" w:themeColor="text1"/>
                <w:spacing w:val="-4"/>
                <w:sz w:val="18"/>
                <w:szCs w:val="18"/>
                <w:u w:val="single"/>
              </w:rPr>
              <w:t>18</w:t>
            </w:r>
          </w:p>
        </w:tc>
        <w:tc>
          <w:tcPr>
            <w:tcW w:w="6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71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r>
      <w:tr w:rsidR="00481EDB" w:rsidRPr="00687B52" w:rsidTr="00B527D4">
        <w:trPr>
          <w:trHeight w:val="319"/>
          <w:jc w:val="center"/>
        </w:trPr>
        <w:tc>
          <w:tcPr>
            <w:tcW w:w="1759" w:type="dxa"/>
            <w:gridSpan w:val="2"/>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LNG潜液泵池</w:t>
            </w:r>
          </w:p>
        </w:tc>
        <w:tc>
          <w:tcPr>
            <w:tcW w:w="500"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6</w:t>
            </w:r>
          </w:p>
        </w:tc>
        <w:tc>
          <w:tcPr>
            <w:tcW w:w="417"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8</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444"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6</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４</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1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92"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6</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6</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6</w:t>
            </w:r>
          </w:p>
        </w:tc>
        <w:tc>
          <w:tcPr>
            <w:tcW w:w="77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429"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49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黑体" w:eastAsia="黑体" w:hAnsi="宋体" w:hint="eastAsia"/>
                <w:color w:val="000000" w:themeColor="text1"/>
                <w:spacing w:val="-4"/>
                <w:sz w:val="18"/>
                <w:szCs w:val="18"/>
                <w:u w:val="single"/>
              </w:rPr>
              <w:t>2</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9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２</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５</w:t>
            </w:r>
          </w:p>
        </w:tc>
        <w:tc>
          <w:tcPr>
            <w:tcW w:w="51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15</w:t>
            </w:r>
          </w:p>
        </w:tc>
        <w:tc>
          <w:tcPr>
            <w:tcW w:w="836"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黑体" w:eastAsia="黑体" w:hAnsi="宋体" w:hint="eastAsia"/>
                <w:color w:val="000000" w:themeColor="text1"/>
                <w:spacing w:val="-4"/>
                <w:sz w:val="18"/>
                <w:szCs w:val="18"/>
                <w:u w:val="single"/>
              </w:rPr>
              <w:t>25</w:t>
            </w:r>
          </w:p>
        </w:tc>
        <w:tc>
          <w:tcPr>
            <w:tcW w:w="6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71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w:t>
            </w:r>
          </w:p>
        </w:tc>
      </w:tr>
      <w:tr w:rsidR="00481EDB" w:rsidRPr="00687B52" w:rsidTr="00B527D4">
        <w:trPr>
          <w:trHeight w:val="319"/>
          <w:jc w:val="center"/>
        </w:trPr>
        <w:tc>
          <w:tcPr>
            <w:tcW w:w="1759" w:type="dxa"/>
            <w:gridSpan w:val="2"/>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LNG柱塞泵</w:t>
            </w:r>
          </w:p>
        </w:tc>
        <w:tc>
          <w:tcPr>
            <w:tcW w:w="500"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６</w:t>
            </w:r>
          </w:p>
        </w:tc>
        <w:tc>
          <w:tcPr>
            <w:tcW w:w="417"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８</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w:t>
            </w: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w:t>
            </w:r>
          </w:p>
        </w:tc>
        <w:tc>
          <w:tcPr>
            <w:tcW w:w="444"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６</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4</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1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２</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６</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６</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６</w:t>
            </w:r>
          </w:p>
        </w:tc>
        <w:tc>
          <w:tcPr>
            <w:tcW w:w="77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６</w:t>
            </w:r>
          </w:p>
        </w:tc>
        <w:tc>
          <w:tcPr>
            <w:tcW w:w="42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６</w:t>
            </w:r>
          </w:p>
        </w:tc>
        <w:tc>
          <w:tcPr>
            <w:tcW w:w="49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６</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２</w:t>
            </w:r>
          </w:p>
        </w:tc>
        <w:tc>
          <w:tcPr>
            <w:tcW w:w="59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２</w:t>
            </w:r>
          </w:p>
        </w:tc>
        <w:tc>
          <w:tcPr>
            <w:tcW w:w="51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15</w:t>
            </w:r>
          </w:p>
        </w:tc>
        <w:tc>
          <w:tcPr>
            <w:tcW w:w="836"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黑体" w:eastAsia="黑体" w:hAnsi="宋体" w:hint="eastAsia"/>
                <w:color w:val="000000" w:themeColor="text1"/>
                <w:spacing w:val="-4"/>
                <w:sz w:val="18"/>
                <w:szCs w:val="18"/>
                <w:u w:val="single"/>
              </w:rPr>
              <w:t>25</w:t>
            </w:r>
          </w:p>
        </w:tc>
        <w:tc>
          <w:tcPr>
            <w:tcW w:w="6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71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w:t>
            </w:r>
          </w:p>
        </w:tc>
      </w:tr>
      <w:tr w:rsidR="00481EDB" w:rsidRPr="00687B52" w:rsidTr="00B527D4">
        <w:trPr>
          <w:trHeight w:val="319"/>
          <w:jc w:val="center"/>
        </w:trPr>
        <w:tc>
          <w:tcPr>
            <w:tcW w:w="1759" w:type="dxa"/>
            <w:gridSpan w:val="2"/>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ascii="黑体" w:eastAsia="黑体" w:hAnsi="宋体" w:hint="eastAsia"/>
                <w:color w:val="000000" w:themeColor="text1"/>
                <w:sz w:val="18"/>
                <w:szCs w:val="18"/>
              </w:rPr>
              <w:t>LNG高压气化器</w:t>
            </w:r>
          </w:p>
        </w:tc>
        <w:tc>
          <w:tcPr>
            <w:tcW w:w="500"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５</w:t>
            </w:r>
          </w:p>
        </w:tc>
        <w:tc>
          <w:tcPr>
            <w:tcW w:w="417"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5</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6</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4</w:t>
            </w: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3</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３</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1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５</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４</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６</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６</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６</w:t>
            </w:r>
          </w:p>
        </w:tc>
        <w:tc>
          <w:tcPr>
            <w:tcW w:w="77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42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５</w:t>
            </w:r>
          </w:p>
        </w:tc>
        <w:tc>
          <w:tcPr>
            <w:tcW w:w="49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５</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５</w:t>
            </w:r>
          </w:p>
        </w:tc>
        <w:tc>
          <w:tcPr>
            <w:tcW w:w="59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２</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1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15</w:t>
            </w:r>
          </w:p>
        </w:tc>
        <w:tc>
          <w:tcPr>
            <w:tcW w:w="836" w:type="dxa"/>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黑体" w:eastAsia="黑体" w:hAnsi="宋体" w:hint="eastAsia"/>
                <w:color w:val="000000" w:themeColor="text1"/>
                <w:spacing w:val="-4"/>
                <w:sz w:val="18"/>
                <w:szCs w:val="18"/>
                <w:u w:val="single"/>
              </w:rPr>
              <w:t>25</w:t>
            </w:r>
          </w:p>
        </w:tc>
        <w:tc>
          <w:tcPr>
            <w:tcW w:w="6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71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w:t>
            </w:r>
          </w:p>
        </w:tc>
      </w:tr>
      <w:tr w:rsidR="00481EDB" w:rsidRPr="00687B52" w:rsidTr="00B527D4">
        <w:trPr>
          <w:trHeight w:val="319"/>
          <w:jc w:val="center"/>
        </w:trPr>
        <w:tc>
          <w:tcPr>
            <w:tcW w:w="1759" w:type="dxa"/>
            <w:gridSpan w:val="2"/>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站房</w:t>
            </w:r>
          </w:p>
        </w:tc>
        <w:tc>
          <w:tcPr>
            <w:tcW w:w="500"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w:t>
            </w:r>
          </w:p>
        </w:tc>
        <w:tc>
          <w:tcPr>
            <w:tcW w:w="417"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10</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51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６</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77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2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9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６</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9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592" w:type="dxa"/>
            <w:vAlign w:val="center"/>
          </w:tcPr>
          <w:p w:rsidR="00481EDB" w:rsidRPr="00687B52" w:rsidRDefault="00481EDB" w:rsidP="00B527D4">
            <w:pPr>
              <w:adjustRightInd w:val="0"/>
              <w:spacing w:line="320" w:lineRule="exact"/>
              <w:jc w:val="center"/>
              <w:rPr>
                <w:rFonts w:ascii="黑体" w:eastAsia="黑体"/>
                <w:color w:val="000000" w:themeColor="text1"/>
                <w:sz w:val="18"/>
              </w:rPr>
            </w:pPr>
            <w:r w:rsidRPr="00687B52">
              <w:rPr>
                <w:rFonts w:ascii="黑体" w:eastAsia="黑体" w:hAnsi="宋体" w:hint="eastAsia"/>
                <w:color w:val="000000" w:themeColor="text1"/>
                <w:spacing w:val="-4"/>
                <w:sz w:val="18"/>
                <w:szCs w:val="18"/>
              </w:rPr>
              <w:t>8</w:t>
            </w:r>
          </w:p>
        </w:tc>
        <w:tc>
          <w:tcPr>
            <w:tcW w:w="51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836" w:type="dxa"/>
          </w:tcPr>
          <w:p w:rsidR="00481EDB" w:rsidRPr="00687B52" w:rsidRDefault="00481EDB" w:rsidP="00B527D4">
            <w:pPr>
              <w:adjustRightInd w:val="0"/>
              <w:spacing w:line="320" w:lineRule="exact"/>
              <w:jc w:val="center"/>
              <w:rPr>
                <w:rFonts w:ascii="黑体" w:eastAsia="黑体"/>
                <w:color w:val="000000" w:themeColor="text1"/>
                <w:spacing w:val="10"/>
                <w:szCs w:val="21"/>
                <w:u w:val="single"/>
              </w:rPr>
            </w:pPr>
            <w:r w:rsidRPr="00687B52">
              <w:rPr>
                <w:rFonts w:ascii="黑体" w:eastAsia="黑体" w:hint="eastAsia"/>
                <w:color w:val="000000" w:themeColor="text1"/>
                <w:spacing w:val="10"/>
                <w:szCs w:val="21"/>
                <w:u w:val="single"/>
              </w:rPr>
              <w:t>-</w:t>
            </w:r>
          </w:p>
        </w:tc>
        <w:tc>
          <w:tcPr>
            <w:tcW w:w="6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71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r>
      <w:tr w:rsidR="00481EDB" w:rsidRPr="00687B52" w:rsidTr="00B527D4">
        <w:trPr>
          <w:trHeight w:val="627"/>
          <w:jc w:val="center"/>
        </w:trPr>
        <w:tc>
          <w:tcPr>
            <w:tcW w:w="1759" w:type="dxa"/>
            <w:gridSpan w:val="2"/>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消防泵房和消防水池取水口</w:t>
            </w:r>
          </w:p>
        </w:tc>
        <w:tc>
          <w:tcPr>
            <w:tcW w:w="500"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w:t>
            </w:r>
          </w:p>
        </w:tc>
        <w:tc>
          <w:tcPr>
            <w:tcW w:w="417"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20</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15</w:t>
            </w: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15</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12</w:t>
            </w:r>
          </w:p>
        </w:tc>
        <w:tc>
          <w:tcPr>
            <w:tcW w:w="51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15</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77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2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9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15</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15</w:t>
            </w:r>
          </w:p>
        </w:tc>
        <w:tc>
          <w:tcPr>
            <w:tcW w:w="59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15</w:t>
            </w:r>
          </w:p>
        </w:tc>
        <w:tc>
          <w:tcPr>
            <w:tcW w:w="592" w:type="dxa"/>
            <w:vAlign w:val="center"/>
          </w:tcPr>
          <w:p w:rsidR="00481EDB" w:rsidRPr="00687B52" w:rsidRDefault="00481EDB" w:rsidP="00B527D4">
            <w:pPr>
              <w:adjustRightInd w:val="0"/>
              <w:spacing w:line="320" w:lineRule="exact"/>
              <w:jc w:val="center"/>
              <w:rPr>
                <w:rFonts w:ascii="黑体" w:eastAsia="黑体"/>
                <w:color w:val="000000" w:themeColor="text1"/>
                <w:sz w:val="18"/>
              </w:rPr>
            </w:pPr>
            <w:r w:rsidRPr="00687B52">
              <w:rPr>
                <w:rFonts w:ascii="黑体" w:eastAsia="黑体" w:hAnsi="宋体" w:hint="eastAsia"/>
                <w:color w:val="000000" w:themeColor="text1"/>
                <w:spacing w:val="-4"/>
                <w:sz w:val="18"/>
                <w:szCs w:val="18"/>
              </w:rPr>
              <w:t>15</w:t>
            </w:r>
          </w:p>
        </w:tc>
        <w:tc>
          <w:tcPr>
            <w:tcW w:w="51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836" w:type="dxa"/>
          </w:tcPr>
          <w:p w:rsidR="00481EDB" w:rsidRPr="00687B52" w:rsidRDefault="00481EDB" w:rsidP="00B527D4">
            <w:pPr>
              <w:adjustRightInd w:val="0"/>
              <w:spacing w:line="320" w:lineRule="exact"/>
              <w:jc w:val="center"/>
              <w:rPr>
                <w:rFonts w:ascii="黑体" w:eastAsia="黑体"/>
                <w:color w:val="000000" w:themeColor="text1"/>
                <w:spacing w:val="10"/>
                <w:szCs w:val="21"/>
                <w:u w:val="single"/>
              </w:rPr>
            </w:pPr>
            <w:r w:rsidRPr="00687B52">
              <w:rPr>
                <w:rFonts w:ascii="黑体" w:eastAsia="黑体" w:hint="eastAsia"/>
                <w:color w:val="000000" w:themeColor="text1"/>
                <w:spacing w:val="10"/>
                <w:szCs w:val="21"/>
                <w:u w:val="single"/>
              </w:rPr>
              <w:t>12</w:t>
            </w:r>
          </w:p>
        </w:tc>
        <w:tc>
          <w:tcPr>
            <w:tcW w:w="6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71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r>
      <w:tr w:rsidR="00481EDB" w:rsidRPr="00687B52" w:rsidTr="00B527D4">
        <w:trPr>
          <w:trHeight w:val="627"/>
          <w:jc w:val="center"/>
        </w:trPr>
        <w:tc>
          <w:tcPr>
            <w:tcW w:w="1759" w:type="dxa"/>
            <w:gridSpan w:val="2"/>
          </w:tcPr>
          <w:p w:rsidR="00481EDB" w:rsidRPr="00687B52" w:rsidRDefault="00481EDB" w:rsidP="00B527D4">
            <w:pPr>
              <w:adjustRightInd w:val="0"/>
              <w:spacing w:line="320" w:lineRule="exact"/>
              <w:rPr>
                <w:rFonts w:ascii="黑体" w:eastAsia="黑体"/>
                <w:color w:val="000000" w:themeColor="text1"/>
                <w:spacing w:val="10"/>
                <w:sz w:val="18"/>
                <w:u w:val="single"/>
              </w:rPr>
            </w:pPr>
            <w:r w:rsidRPr="00687B52">
              <w:rPr>
                <w:rFonts w:ascii="宋体" w:hAnsi="宋体" w:hint="eastAsia"/>
                <w:color w:val="000000" w:themeColor="text1"/>
                <w:sz w:val="18"/>
                <w:szCs w:val="18"/>
                <w:u w:val="single"/>
              </w:rPr>
              <w:t>自用燃煤锅炉房和燃煤厨房</w:t>
            </w:r>
          </w:p>
        </w:tc>
        <w:tc>
          <w:tcPr>
            <w:tcW w:w="500"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宋体" w:hAnsi="宋体" w:hint="eastAsia"/>
                <w:color w:val="000000" w:themeColor="text1"/>
                <w:sz w:val="18"/>
                <w:szCs w:val="18"/>
                <w:u w:val="single"/>
              </w:rPr>
              <w:t>18.5</w:t>
            </w:r>
          </w:p>
        </w:tc>
        <w:tc>
          <w:tcPr>
            <w:tcW w:w="4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宋体" w:hAnsi="宋体" w:hint="eastAsia"/>
                <w:color w:val="000000" w:themeColor="text1"/>
                <w:sz w:val="18"/>
                <w:szCs w:val="18"/>
                <w:u w:val="single"/>
              </w:rPr>
              <w:t>13</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宋体" w:hAnsi="宋体" w:hint="eastAsia"/>
                <w:color w:val="000000" w:themeColor="text1"/>
                <w:sz w:val="18"/>
                <w:szCs w:val="18"/>
                <w:u w:val="single"/>
              </w:rPr>
              <w:t>35</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宋体" w:hAnsi="宋体" w:hint="eastAsia"/>
                <w:color w:val="000000" w:themeColor="text1"/>
                <w:sz w:val="18"/>
                <w:szCs w:val="18"/>
                <w:u w:val="single"/>
              </w:rPr>
              <w:t>30</w:t>
            </w: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宋体" w:hAnsi="宋体" w:hint="eastAsia"/>
                <w:color w:val="000000" w:themeColor="text1"/>
                <w:sz w:val="18"/>
                <w:szCs w:val="18"/>
                <w:u w:val="single"/>
              </w:rPr>
              <w:t>25</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宋体" w:hAnsi="宋体" w:hint="eastAsia"/>
                <w:color w:val="000000" w:themeColor="text1"/>
                <w:sz w:val="18"/>
                <w:szCs w:val="18"/>
                <w:u w:val="single"/>
              </w:rPr>
              <w:t>25</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宋体" w:hAnsi="宋体" w:hint="eastAsia"/>
                <w:color w:val="000000" w:themeColor="text1"/>
                <w:sz w:val="18"/>
                <w:szCs w:val="18"/>
                <w:u w:val="single"/>
              </w:rPr>
              <w:t>15</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宋体" w:hAnsi="宋体" w:hint="eastAsia"/>
                <w:color w:val="000000" w:themeColor="text1"/>
                <w:sz w:val="18"/>
                <w:szCs w:val="18"/>
                <w:u w:val="single"/>
              </w:rPr>
              <w:t>15</w:t>
            </w:r>
          </w:p>
        </w:tc>
        <w:tc>
          <w:tcPr>
            <w:tcW w:w="51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宋体" w:hAnsi="宋体" w:hint="eastAsia"/>
                <w:color w:val="000000" w:themeColor="text1"/>
                <w:sz w:val="18"/>
                <w:szCs w:val="18"/>
                <w:u w:val="single"/>
              </w:rPr>
              <w:t>15</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宋体" w:hAnsi="宋体" w:hint="eastAsia"/>
                <w:color w:val="000000" w:themeColor="text1"/>
                <w:sz w:val="18"/>
                <w:szCs w:val="18"/>
                <w:u w:val="single"/>
              </w:rPr>
              <w:t>25</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宋体" w:hAnsi="宋体" w:hint="eastAsia"/>
                <w:color w:val="000000" w:themeColor="text1"/>
                <w:sz w:val="18"/>
                <w:szCs w:val="18"/>
                <w:u w:val="single"/>
              </w:rPr>
              <w:t>25</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宋体" w:hAnsi="宋体" w:hint="eastAsia"/>
                <w:color w:val="000000" w:themeColor="text1"/>
                <w:sz w:val="18"/>
                <w:szCs w:val="18"/>
                <w:u w:val="single"/>
              </w:rPr>
              <w:t>25</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宋体" w:hAnsi="宋体" w:hint="eastAsia"/>
                <w:color w:val="000000" w:themeColor="text1"/>
                <w:sz w:val="18"/>
                <w:szCs w:val="18"/>
                <w:u w:val="single"/>
              </w:rPr>
              <w:t>25</w:t>
            </w:r>
          </w:p>
        </w:tc>
        <w:tc>
          <w:tcPr>
            <w:tcW w:w="77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宋体" w:hAnsi="宋体" w:hint="eastAsia"/>
                <w:color w:val="000000" w:themeColor="text1"/>
                <w:sz w:val="18"/>
                <w:szCs w:val="18"/>
                <w:u w:val="single"/>
              </w:rPr>
              <w:t>15(10)</w:t>
            </w:r>
          </w:p>
        </w:tc>
        <w:tc>
          <w:tcPr>
            <w:tcW w:w="42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宋体" w:hAnsi="宋体" w:hint="eastAsia"/>
                <w:color w:val="000000" w:themeColor="text1"/>
                <w:sz w:val="18"/>
                <w:szCs w:val="18"/>
                <w:u w:val="single"/>
              </w:rPr>
              <w:t>18</w:t>
            </w:r>
          </w:p>
        </w:tc>
        <w:tc>
          <w:tcPr>
            <w:tcW w:w="49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宋体" w:hAnsi="宋体" w:hint="eastAsia"/>
                <w:color w:val="000000" w:themeColor="text1"/>
                <w:sz w:val="18"/>
                <w:szCs w:val="18"/>
                <w:u w:val="single"/>
              </w:rPr>
              <w:t>18</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宋体" w:hAnsi="宋体" w:hint="eastAsia"/>
                <w:color w:val="000000" w:themeColor="text1"/>
                <w:sz w:val="18"/>
                <w:szCs w:val="18"/>
                <w:u w:val="single"/>
              </w:rPr>
              <w:t>25</w:t>
            </w:r>
          </w:p>
        </w:tc>
        <w:tc>
          <w:tcPr>
            <w:tcW w:w="59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宋体" w:hAnsi="宋体" w:hint="eastAsia"/>
                <w:color w:val="000000" w:themeColor="text1"/>
                <w:sz w:val="18"/>
                <w:szCs w:val="18"/>
                <w:u w:val="single"/>
              </w:rPr>
              <w:t>25</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u w:val="single"/>
              </w:rPr>
            </w:pPr>
            <w:r w:rsidRPr="00687B52">
              <w:rPr>
                <w:rFonts w:ascii="宋体" w:hAnsi="宋体" w:hint="eastAsia"/>
                <w:color w:val="000000" w:themeColor="text1"/>
                <w:sz w:val="18"/>
                <w:szCs w:val="18"/>
                <w:u w:val="single"/>
              </w:rPr>
              <w:t>25</w:t>
            </w:r>
          </w:p>
        </w:tc>
        <w:tc>
          <w:tcPr>
            <w:tcW w:w="518" w:type="dxa"/>
            <w:vAlign w:val="center"/>
          </w:tcPr>
          <w:p w:rsidR="00481EDB" w:rsidRPr="00687B52" w:rsidRDefault="00481EDB" w:rsidP="00B527D4">
            <w:pPr>
              <w:adjustRightInd w:val="0"/>
              <w:spacing w:line="320" w:lineRule="exact"/>
              <w:jc w:val="center"/>
              <w:rPr>
                <w:rFonts w:ascii="黑体" w:eastAsia="黑体"/>
                <w:color w:val="000000" w:themeColor="text1"/>
                <w:spacing w:val="10"/>
                <w:szCs w:val="21"/>
                <w:u w:val="single"/>
              </w:rPr>
            </w:pPr>
            <w:r w:rsidRPr="00687B52">
              <w:rPr>
                <w:rFonts w:ascii="宋体" w:hAnsi="宋体" w:hint="eastAsia"/>
                <w:color w:val="000000" w:themeColor="text1"/>
                <w:sz w:val="18"/>
                <w:szCs w:val="18"/>
                <w:u w:val="single"/>
              </w:rPr>
              <w:t>-</w:t>
            </w:r>
          </w:p>
        </w:tc>
        <w:tc>
          <w:tcPr>
            <w:tcW w:w="665" w:type="dxa"/>
            <w:vAlign w:val="center"/>
          </w:tcPr>
          <w:p w:rsidR="00481EDB" w:rsidRPr="00687B52" w:rsidRDefault="00481EDB" w:rsidP="00B527D4">
            <w:pPr>
              <w:adjustRightInd w:val="0"/>
              <w:spacing w:line="320" w:lineRule="exact"/>
              <w:jc w:val="center"/>
              <w:rPr>
                <w:rFonts w:ascii="黑体" w:eastAsia="黑体"/>
                <w:color w:val="000000" w:themeColor="text1"/>
                <w:spacing w:val="10"/>
                <w:szCs w:val="21"/>
                <w:u w:val="single"/>
              </w:rPr>
            </w:pPr>
            <w:r w:rsidRPr="00687B52">
              <w:rPr>
                <w:rFonts w:ascii="宋体" w:hAnsi="宋体" w:hint="eastAsia"/>
                <w:color w:val="000000" w:themeColor="text1"/>
                <w:sz w:val="18"/>
                <w:szCs w:val="18"/>
                <w:u w:val="single"/>
              </w:rPr>
              <w:t>12</w:t>
            </w:r>
          </w:p>
        </w:tc>
        <w:tc>
          <w:tcPr>
            <w:tcW w:w="836" w:type="dxa"/>
            <w:vAlign w:val="center"/>
          </w:tcPr>
          <w:p w:rsidR="00481EDB" w:rsidRPr="00687B52" w:rsidRDefault="00481EDB" w:rsidP="00B527D4">
            <w:pPr>
              <w:adjustRightInd w:val="0"/>
              <w:spacing w:line="320" w:lineRule="exact"/>
              <w:jc w:val="center"/>
              <w:rPr>
                <w:rFonts w:ascii="黑体" w:eastAsia="黑体"/>
                <w:color w:val="000000" w:themeColor="text1"/>
                <w:spacing w:val="10"/>
                <w:szCs w:val="21"/>
                <w:u w:val="single"/>
              </w:rPr>
            </w:pPr>
            <w:r w:rsidRPr="00687B52">
              <w:rPr>
                <w:rFonts w:ascii="宋体" w:hAnsi="宋体" w:hint="eastAsia"/>
                <w:color w:val="000000" w:themeColor="text1"/>
                <w:sz w:val="18"/>
                <w:szCs w:val="18"/>
                <w:u w:val="single"/>
              </w:rPr>
              <w:t>-</w:t>
            </w:r>
          </w:p>
        </w:tc>
        <w:tc>
          <w:tcPr>
            <w:tcW w:w="644" w:type="dxa"/>
            <w:vAlign w:val="center"/>
          </w:tcPr>
          <w:p w:rsidR="00481EDB" w:rsidRPr="00687B52" w:rsidRDefault="00481EDB" w:rsidP="00B527D4">
            <w:pPr>
              <w:adjustRightInd w:val="0"/>
              <w:spacing w:line="320" w:lineRule="exact"/>
              <w:jc w:val="center"/>
              <w:rPr>
                <w:rFonts w:ascii="黑体" w:eastAsia="黑体"/>
                <w:color w:val="000000" w:themeColor="text1"/>
                <w:spacing w:val="10"/>
                <w:szCs w:val="21"/>
                <w:u w:val="single"/>
              </w:rPr>
            </w:pPr>
            <w:r w:rsidRPr="00687B52">
              <w:rPr>
                <w:rFonts w:ascii="宋体" w:hAnsi="宋体" w:hint="eastAsia"/>
                <w:color w:val="000000" w:themeColor="text1"/>
                <w:sz w:val="18"/>
                <w:szCs w:val="18"/>
                <w:u w:val="single"/>
              </w:rPr>
              <w:t>-</w:t>
            </w:r>
          </w:p>
        </w:tc>
        <w:tc>
          <w:tcPr>
            <w:tcW w:w="715" w:type="dxa"/>
            <w:vAlign w:val="center"/>
          </w:tcPr>
          <w:p w:rsidR="00481EDB" w:rsidRPr="00687B52" w:rsidRDefault="00481EDB" w:rsidP="00B527D4">
            <w:pPr>
              <w:adjustRightInd w:val="0"/>
              <w:spacing w:line="320" w:lineRule="exact"/>
              <w:jc w:val="center"/>
              <w:rPr>
                <w:rFonts w:ascii="黑体" w:eastAsia="黑体"/>
                <w:color w:val="000000" w:themeColor="text1"/>
                <w:spacing w:val="10"/>
                <w:szCs w:val="21"/>
                <w:u w:val="single"/>
              </w:rPr>
            </w:pPr>
            <w:r w:rsidRPr="00687B52">
              <w:rPr>
                <w:rFonts w:ascii="黑体" w:eastAsia="黑体" w:hint="eastAsia"/>
                <w:color w:val="000000" w:themeColor="text1"/>
                <w:spacing w:val="10"/>
                <w:szCs w:val="21"/>
                <w:u w:val="single"/>
              </w:rPr>
              <w:t>-</w:t>
            </w:r>
          </w:p>
        </w:tc>
      </w:tr>
      <w:tr w:rsidR="00481EDB" w:rsidRPr="00687B52" w:rsidTr="00B527D4">
        <w:trPr>
          <w:trHeight w:val="627"/>
          <w:jc w:val="center"/>
        </w:trPr>
        <w:tc>
          <w:tcPr>
            <w:tcW w:w="1759" w:type="dxa"/>
            <w:gridSpan w:val="2"/>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ascii="黑体" w:eastAsia="黑体" w:hint="eastAsia"/>
                <w:color w:val="000000" w:themeColor="text1"/>
                <w:spacing w:val="10"/>
                <w:sz w:val="18"/>
              </w:rPr>
              <w:t>有燃气（油）设备的房间</w:t>
            </w:r>
          </w:p>
        </w:tc>
        <w:tc>
          <w:tcPr>
            <w:tcW w:w="500"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w:t>
            </w:r>
          </w:p>
        </w:tc>
        <w:tc>
          <w:tcPr>
            <w:tcW w:w="417"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15</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12</w:t>
            </w: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12</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12</w:t>
            </w:r>
          </w:p>
        </w:tc>
        <w:tc>
          <w:tcPr>
            <w:tcW w:w="51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12</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77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2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9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59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8</w:t>
            </w:r>
          </w:p>
        </w:tc>
        <w:tc>
          <w:tcPr>
            <w:tcW w:w="592" w:type="dxa"/>
            <w:vAlign w:val="center"/>
          </w:tcPr>
          <w:p w:rsidR="00481EDB" w:rsidRPr="00687B52" w:rsidRDefault="00481EDB" w:rsidP="00B527D4">
            <w:pPr>
              <w:adjustRightInd w:val="0"/>
              <w:spacing w:line="320" w:lineRule="exact"/>
              <w:jc w:val="center"/>
              <w:rPr>
                <w:rFonts w:ascii="黑体" w:eastAsia="黑体"/>
                <w:color w:val="000000" w:themeColor="text1"/>
                <w:sz w:val="18"/>
              </w:rPr>
            </w:pPr>
            <w:r w:rsidRPr="00687B52">
              <w:rPr>
                <w:rFonts w:ascii="黑体" w:eastAsia="黑体" w:hAnsi="宋体" w:hint="eastAsia"/>
                <w:color w:val="000000" w:themeColor="text1"/>
                <w:spacing w:val="-4"/>
                <w:sz w:val="18"/>
                <w:szCs w:val="18"/>
              </w:rPr>
              <w:t>8</w:t>
            </w:r>
          </w:p>
        </w:tc>
        <w:tc>
          <w:tcPr>
            <w:tcW w:w="51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836" w:type="dxa"/>
          </w:tcPr>
          <w:p w:rsidR="00481EDB" w:rsidRPr="00687B52" w:rsidRDefault="00481EDB" w:rsidP="00B527D4">
            <w:pPr>
              <w:adjustRightInd w:val="0"/>
              <w:spacing w:line="320" w:lineRule="exact"/>
              <w:jc w:val="center"/>
              <w:rPr>
                <w:rFonts w:ascii="黑体" w:eastAsia="黑体"/>
                <w:color w:val="000000" w:themeColor="text1"/>
                <w:spacing w:val="10"/>
                <w:szCs w:val="21"/>
                <w:u w:val="single"/>
              </w:rPr>
            </w:pPr>
            <w:r w:rsidRPr="00687B52">
              <w:rPr>
                <w:rFonts w:ascii="黑体" w:eastAsia="黑体" w:hint="eastAsia"/>
                <w:color w:val="000000" w:themeColor="text1"/>
                <w:spacing w:val="10"/>
                <w:szCs w:val="21"/>
                <w:u w:val="single"/>
              </w:rPr>
              <w:t>-</w:t>
            </w:r>
          </w:p>
        </w:tc>
        <w:tc>
          <w:tcPr>
            <w:tcW w:w="6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71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r>
      <w:tr w:rsidR="00481EDB" w:rsidRPr="00687B52" w:rsidTr="00B527D4">
        <w:trPr>
          <w:trHeight w:val="338"/>
          <w:jc w:val="center"/>
        </w:trPr>
        <w:tc>
          <w:tcPr>
            <w:tcW w:w="1759" w:type="dxa"/>
            <w:gridSpan w:val="2"/>
          </w:tcPr>
          <w:p w:rsidR="00481EDB" w:rsidRPr="00687B52" w:rsidRDefault="00481EDB" w:rsidP="00B527D4">
            <w:pPr>
              <w:adjustRightInd w:val="0"/>
              <w:spacing w:line="320" w:lineRule="exact"/>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站区围墙</w:t>
            </w:r>
          </w:p>
        </w:tc>
        <w:tc>
          <w:tcPr>
            <w:tcW w:w="500"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w:t>
            </w:r>
          </w:p>
        </w:tc>
        <w:tc>
          <w:tcPr>
            <w:tcW w:w="417" w:type="dxa"/>
            <w:vAlign w:val="center"/>
          </w:tcPr>
          <w:p w:rsidR="00481EDB" w:rsidRPr="00687B52" w:rsidRDefault="00481EDB" w:rsidP="00B527D4">
            <w:pPr>
              <w:adjustRightInd w:val="0"/>
              <w:spacing w:line="320" w:lineRule="exact"/>
              <w:jc w:val="center"/>
              <w:rPr>
                <w:rFonts w:ascii="黑体" w:eastAsia="黑体" w:hAnsi="宋体"/>
                <w:color w:val="000000" w:themeColor="text1"/>
                <w:sz w:val="18"/>
                <w:szCs w:val="18"/>
              </w:rPr>
            </w:pPr>
            <w:r w:rsidRPr="00687B52">
              <w:rPr>
                <w:rFonts w:ascii="黑体" w:eastAsia="黑体" w:hAnsi="宋体" w:hint="eastAsia"/>
                <w:color w:val="000000" w:themeColor="text1"/>
                <w:spacing w:val="-4"/>
                <w:sz w:val="18"/>
                <w:szCs w:val="18"/>
              </w:rPr>
              <w:t>*</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6</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5</w:t>
            </w:r>
          </w:p>
        </w:tc>
        <w:tc>
          <w:tcPr>
            <w:tcW w:w="44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4</w:t>
            </w:r>
          </w:p>
        </w:tc>
        <w:tc>
          <w:tcPr>
            <w:tcW w:w="4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3</w:t>
            </w:r>
          </w:p>
        </w:tc>
        <w:tc>
          <w:tcPr>
            <w:tcW w:w="51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w:t>
            </w:r>
          </w:p>
        </w:tc>
        <w:tc>
          <w:tcPr>
            <w:tcW w:w="592"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517"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77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29"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w:t>
            </w:r>
          </w:p>
        </w:tc>
        <w:tc>
          <w:tcPr>
            <w:tcW w:w="49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z w:val="18"/>
              </w:rPr>
              <w:t>—</w:t>
            </w:r>
          </w:p>
        </w:tc>
        <w:tc>
          <w:tcPr>
            <w:tcW w:w="591"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w:t>
            </w:r>
          </w:p>
        </w:tc>
        <w:tc>
          <w:tcPr>
            <w:tcW w:w="593"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Ansi="宋体" w:hint="eastAsia"/>
                <w:color w:val="000000" w:themeColor="text1"/>
                <w:spacing w:val="-4"/>
                <w:sz w:val="18"/>
                <w:szCs w:val="18"/>
              </w:rPr>
              <w:t>2</w:t>
            </w:r>
          </w:p>
        </w:tc>
        <w:tc>
          <w:tcPr>
            <w:tcW w:w="592" w:type="dxa"/>
            <w:vAlign w:val="center"/>
          </w:tcPr>
          <w:p w:rsidR="00481EDB" w:rsidRPr="00687B52" w:rsidRDefault="00481EDB" w:rsidP="00B527D4">
            <w:pPr>
              <w:adjustRightInd w:val="0"/>
              <w:spacing w:line="320" w:lineRule="exact"/>
              <w:jc w:val="center"/>
              <w:rPr>
                <w:rFonts w:ascii="黑体" w:eastAsia="黑体"/>
                <w:color w:val="000000" w:themeColor="text1"/>
                <w:sz w:val="18"/>
              </w:rPr>
            </w:pPr>
            <w:r w:rsidRPr="00687B52">
              <w:rPr>
                <w:rFonts w:ascii="黑体" w:eastAsia="黑体" w:hAnsi="宋体" w:hint="eastAsia"/>
                <w:color w:val="000000" w:themeColor="text1"/>
                <w:spacing w:val="-4"/>
                <w:sz w:val="18"/>
                <w:szCs w:val="18"/>
              </w:rPr>
              <w:t>2</w:t>
            </w:r>
          </w:p>
        </w:tc>
        <w:tc>
          <w:tcPr>
            <w:tcW w:w="518"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66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836" w:type="dxa"/>
          </w:tcPr>
          <w:p w:rsidR="00481EDB" w:rsidRPr="00687B52" w:rsidRDefault="00481EDB" w:rsidP="00B527D4">
            <w:pPr>
              <w:adjustRightInd w:val="0"/>
              <w:spacing w:line="320" w:lineRule="exact"/>
              <w:jc w:val="center"/>
              <w:rPr>
                <w:rFonts w:ascii="黑体" w:eastAsia="黑体"/>
                <w:color w:val="000000" w:themeColor="text1"/>
                <w:spacing w:val="10"/>
                <w:szCs w:val="21"/>
                <w:u w:val="single"/>
              </w:rPr>
            </w:pPr>
            <w:r w:rsidRPr="00687B52">
              <w:rPr>
                <w:rFonts w:ascii="黑体" w:eastAsia="黑体" w:hint="eastAsia"/>
                <w:color w:val="000000" w:themeColor="text1"/>
                <w:spacing w:val="10"/>
                <w:szCs w:val="21"/>
                <w:u w:val="single"/>
              </w:rPr>
              <w:t>-</w:t>
            </w:r>
          </w:p>
        </w:tc>
        <w:tc>
          <w:tcPr>
            <w:tcW w:w="644"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c>
          <w:tcPr>
            <w:tcW w:w="715" w:type="dxa"/>
            <w:vAlign w:val="center"/>
          </w:tcPr>
          <w:p w:rsidR="00481EDB" w:rsidRPr="00687B52" w:rsidRDefault="00481EDB" w:rsidP="00B527D4">
            <w:pPr>
              <w:adjustRightInd w:val="0"/>
              <w:spacing w:line="320" w:lineRule="exact"/>
              <w:jc w:val="center"/>
              <w:rPr>
                <w:rFonts w:ascii="黑体" w:eastAsia="黑体" w:hAnsi="宋体"/>
                <w:color w:val="000000" w:themeColor="text1"/>
                <w:spacing w:val="-4"/>
                <w:sz w:val="18"/>
                <w:szCs w:val="18"/>
              </w:rPr>
            </w:pPr>
            <w:r w:rsidRPr="00687B52">
              <w:rPr>
                <w:rFonts w:ascii="黑体" w:eastAsia="黑体" w:hint="eastAsia"/>
                <w:color w:val="000000" w:themeColor="text1"/>
                <w:spacing w:val="10"/>
                <w:szCs w:val="21"/>
              </w:rPr>
              <w:t>*</w:t>
            </w:r>
          </w:p>
        </w:tc>
      </w:tr>
    </w:tbl>
    <w:p w:rsidR="00481EDB" w:rsidRPr="00687B52" w:rsidRDefault="00481EDB" w:rsidP="00481EDB">
      <w:pPr>
        <w:spacing w:line="400" w:lineRule="exact"/>
        <w:ind w:left="711" w:hanging="711"/>
        <w:jc w:val="left"/>
        <w:rPr>
          <w:rFonts w:ascii="宋体" w:eastAsia="黑体"/>
          <w:color w:val="000000" w:themeColor="text1"/>
          <w:spacing w:val="10"/>
          <w:szCs w:val="21"/>
        </w:rPr>
      </w:pPr>
      <w:r w:rsidRPr="00687B52">
        <w:rPr>
          <w:rFonts w:ascii="宋体" w:eastAsia="黑体" w:hint="eastAsia"/>
          <w:color w:val="000000" w:themeColor="text1"/>
          <w:spacing w:val="10"/>
          <w:szCs w:val="21"/>
        </w:rPr>
        <w:t>注：</w:t>
      </w:r>
      <w:r w:rsidRPr="00687B52">
        <w:rPr>
          <w:rFonts w:ascii="宋体" w:eastAsia="黑体" w:hint="eastAsia"/>
          <w:color w:val="000000" w:themeColor="text1"/>
          <w:spacing w:val="10"/>
          <w:szCs w:val="21"/>
        </w:rPr>
        <w:t>1</w:t>
      </w:r>
      <w:r w:rsidRPr="00687B52">
        <w:rPr>
          <w:rFonts w:ascii="宋体" w:eastAsia="黑体" w:hint="eastAsia"/>
          <w:color w:val="000000" w:themeColor="text1"/>
          <w:spacing w:val="10"/>
          <w:szCs w:val="21"/>
        </w:rPr>
        <w:t>站房、有燃气（油）等明火设备的房间的起算点应为门窗等洞口。</w:t>
      </w:r>
    </w:p>
    <w:p w:rsidR="00481EDB" w:rsidRPr="00687B52" w:rsidRDefault="00481EDB" w:rsidP="00481EDB">
      <w:pPr>
        <w:spacing w:line="400" w:lineRule="exact"/>
        <w:ind w:left="711" w:hanging="711"/>
        <w:jc w:val="left"/>
        <w:rPr>
          <w:rFonts w:ascii="宋体" w:eastAsia="黑体"/>
          <w:color w:val="000000" w:themeColor="text1"/>
          <w:spacing w:val="10"/>
          <w:szCs w:val="21"/>
        </w:rPr>
      </w:pPr>
      <w:r w:rsidRPr="00687B52">
        <w:rPr>
          <w:rFonts w:ascii="宋体" w:eastAsia="黑体" w:hint="eastAsia"/>
          <w:color w:val="000000" w:themeColor="text1"/>
          <w:spacing w:val="10"/>
          <w:szCs w:val="21"/>
        </w:rPr>
        <w:t xml:space="preserve">    2  </w:t>
      </w:r>
      <w:r w:rsidRPr="00687B52">
        <w:rPr>
          <w:rFonts w:ascii="宋体" w:eastAsia="黑体" w:hint="eastAsia"/>
          <w:color w:val="000000" w:themeColor="text1"/>
          <w:spacing w:val="10"/>
          <w:szCs w:val="21"/>
        </w:rPr>
        <w:t>表中一、二、三级站包括</w:t>
      </w:r>
      <w:r w:rsidRPr="00687B52">
        <w:rPr>
          <w:rFonts w:ascii="宋体" w:eastAsia="黑体" w:hint="eastAsia"/>
          <w:color w:val="000000" w:themeColor="text1"/>
          <w:spacing w:val="10"/>
          <w:szCs w:val="21"/>
        </w:rPr>
        <w:t>LNG</w:t>
      </w:r>
      <w:r w:rsidRPr="00687B52">
        <w:rPr>
          <w:rFonts w:ascii="宋体" w:eastAsia="黑体" w:hint="eastAsia"/>
          <w:color w:val="000000" w:themeColor="text1"/>
          <w:spacing w:val="10"/>
          <w:szCs w:val="21"/>
        </w:rPr>
        <w:t>加气站，</w:t>
      </w:r>
      <w:r w:rsidRPr="00687B52">
        <w:rPr>
          <w:rFonts w:ascii="宋体" w:eastAsia="黑体" w:hint="eastAsia"/>
          <w:color w:val="000000" w:themeColor="text1"/>
          <w:spacing w:val="10"/>
          <w:szCs w:val="21"/>
        </w:rPr>
        <w:t>LNG</w:t>
      </w:r>
      <w:r w:rsidRPr="00687B52">
        <w:rPr>
          <w:rFonts w:ascii="宋体" w:eastAsia="黑体" w:hint="eastAsia"/>
          <w:color w:val="000000" w:themeColor="text1"/>
          <w:spacing w:val="10"/>
          <w:szCs w:val="21"/>
        </w:rPr>
        <w:t>与其他加油加气的合建站。</w:t>
      </w:r>
    </w:p>
    <w:p w:rsidR="00481EDB" w:rsidRPr="00687B52" w:rsidRDefault="00481EDB" w:rsidP="00481EDB">
      <w:pPr>
        <w:spacing w:line="400" w:lineRule="exact"/>
        <w:ind w:left="711" w:hanging="711"/>
        <w:jc w:val="left"/>
        <w:rPr>
          <w:rFonts w:ascii="宋体" w:eastAsia="黑体"/>
          <w:color w:val="000000" w:themeColor="text1"/>
          <w:spacing w:val="10"/>
          <w:szCs w:val="21"/>
        </w:rPr>
      </w:pPr>
      <w:r w:rsidRPr="00687B52">
        <w:rPr>
          <w:rFonts w:ascii="宋体" w:eastAsia="黑体" w:hint="eastAsia"/>
          <w:color w:val="000000" w:themeColor="text1"/>
          <w:spacing w:val="10"/>
          <w:szCs w:val="21"/>
        </w:rPr>
        <w:t xml:space="preserve">    2  </w:t>
      </w:r>
      <w:r w:rsidRPr="00687B52">
        <w:rPr>
          <w:rFonts w:ascii="宋体" w:eastAsia="黑体" w:hint="eastAsia"/>
          <w:color w:val="000000" w:themeColor="text1"/>
          <w:spacing w:val="10"/>
          <w:szCs w:val="21"/>
        </w:rPr>
        <w:t>表中“—”表示无防火间距要求。</w:t>
      </w:r>
      <w:r w:rsidRPr="00687B52">
        <w:rPr>
          <w:rFonts w:ascii="宋体" w:eastAsia="黑体" w:hint="eastAsia"/>
          <w:color w:val="000000" w:themeColor="text1"/>
          <w:spacing w:val="10"/>
          <w:szCs w:val="21"/>
        </w:rPr>
        <w:t xml:space="preserve">2 </w:t>
      </w:r>
      <w:r w:rsidRPr="00687B52">
        <w:rPr>
          <w:rFonts w:ascii="宋体" w:eastAsia="黑体" w:hint="eastAsia"/>
          <w:color w:val="000000" w:themeColor="text1"/>
          <w:spacing w:val="10"/>
          <w:szCs w:val="21"/>
        </w:rPr>
        <w:t>括号内数值为柴油加油机与自用有燃煤或燃气（油）设备的房间的距离。</w:t>
      </w:r>
    </w:p>
    <w:p w:rsidR="00481EDB" w:rsidRPr="00687B52" w:rsidRDefault="00481EDB" w:rsidP="00856B6C">
      <w:pPr>
        <w:ind w:firstLine="500"/>
        <w:rPr>
          <w:rFonts w:ascii="宋体" w:eastAsia="黑体"/>
          <w:color w:val="000000" w:themeColor="text1"/>
          <w:spacing w:val="10"/>
          <w:szCs w:val="21"/>
        </w:rPr>
      </w:pPr>
      <w:r w:rsidRPr="00687B52">
        <w:rPr>
          <w:rFonts w:ascii="宋体" w:eastAsia="黑体" w:hint="eastAsia"/>
          <w:color w:val="000000" w:themeColor="text1"/>
          <w:spacing w:val="10"/>
          <w:szCs w:val="21"/>
        </w:rPr>
        <w:t>3</w:t>
      </w:r>
      <w:r w:rsidRPr="00687B52">
        <w:rPr>
          <w:rFonts w:ascii="宋体" w:eastAsia="黑体" w:hint="eastAsia"/>
          <w:color w:val="000000" w:themeColor="text1"/>
          <w:spacing w:val="10"/>
          <w:szCs w:val="21"/>
        </w:rPr>
        <w:t>“</w:t>
      </w:r>
      <w:r w:rsidRPr="00687B52">
        <w:rPr>
          <w:rFonts w:ascii="宋体" w:eastAsia="黑体" w:hint="eastAsia"/>
          <w:color w:val="000000" w:themeColor="text1"/>
          <w:spacing w:val="10"/>
          <w:szCs w:val="21"/>
        </w:rPr>
        <w:t>*</w:t>
      </w:r>
      <w:r w:rsidRPr="00687B52">
        <w:rPr>
          <w:rFonts w:ascii="宋体" w:eastAsia="黑体" w:hint="eastAsia"/>
          <w:color w:val="000000" w:themeColor="text1"/>
          <w:spacing w:val="10"/>
          <w:szCs w:val="21"/>
        </w:rPr>
        <w:t>”表示应符合表</w:t>
      </w:r>
      <w:r w:rsidRPr="00687B52">
        <w:rPr>
          <w:rFonts w:ascii="宋体" w:eastAsia="黑体" w:hint="eastAsia"/>
          <w:color w:val="000000" w:themeColor="text1"/>
          <w:spacing w:val="10"/>
          <w:szCs w:val="21"/>
        </w:rPr>
        <w:t>5.0.13-1</w:t>
      </w:r>
      <w:r w:rsidRPr="00687B52">
        <w:rPr>
          <w:rFonts w:ascii="宋体" w:eastAsia="黑体" w:hint="eastAsia"/>
          <w:color w:val="000000" w:themeColor="text1"/>
          <w:spacing w:val="10"/>
          <w:szCs w:val="21"/>
        </w:rPr>
        <w:t>的规定。</w:t>
      </w:r>
    </w:p>
    <w:p w:rsidR="00980275" w:rsidRPr="00687B52" w:rsidRDefault="00980275" w:rsidP="00980275">
      <w:pPr>
        <w:pStyle w:val="a7"/>
        <w:rPr>
          <w:color w:val="000000" w:themeColor="text1"/>
        </w:rPr>
        <w:sectPr w:rsidR="00980275" w:rsidRPr="00687B52" w:rsidSect="00B527D4">
          <w:pgSz w:w="16838" w:h="11906" w:orient="landscape"/>
          <w:pgMar w:top="1440" w:right="1797" w:bottom="1440" w:left="1797" w:header="851" w:footer="907" w:gutter="0"/>
          <w:cols w:space="425"/>
          <w:docGrid w:type="lines" w:linePitch="312"/>
        </w:sectPr>
      </w:pPr>
    </w:p>
    <w:p w:rsidR="00481EDB" w:rsidRPr="00687B52" w:rsidRDefault="00481EDB" w:rsidP="00980275">
      <w:pPr>
        <w:pStyle w:val="a7"/>
        <w:rPr>
          <w:color w:val="000000" w:themeColor="text1"/>
        </w:rPr>
      </w:pPr>
    </w:p>
    <w:p w:rsidR="00481EDB" w:rsidRPr="00687B52" w:rsidRDefault="00481EDB" w:rsidP="00763863">
      <w:pPr>
        <w:pStyle w:val="aff2"/>
        <w:ind w:firstLine="562"/>
        <w:rPr>
          <w:color w:val="000000" w:themeColor="text1"/>
        </w:rPr>
      </w:pPr>
      <w:bookmarkStart w:id="229" w:name="_Toc491870832"/>
      <w:bookmarkStart w:id="230" w:name="_Toc492555582"/>
      <w:bookmarkStart w:id="231" w:name="_Toc492557265"/>
      <w:bookmarkStart w:id="232" w:name="_Toc492557335"/>
      <w:bookmarkStart w:id="233" w:name="_Toc492557597"/>
      <w:bookmarkStart w:id="234" w:name="_Toc492557966"/>
      <w:bookmarkStart w:id="235" w:name="_Toc492559539"/>
      <w:bookmarkStart w:id="236" w:name="_Toc492563487"/>
      <w:bookmarkStart w:id="237" w:name="_Toc492564086"/>
      <w:bookmarkStart w:id="238" w:name="_Toc492634919"/>
      <w:bookmarkStart w:id="239" w:name="_Toc493857088"/>
      <w:r w:rsidRPr="00687B52">
        <w:rPr>
          <w:rFonts w:hint="eastAsia"/>
          <w:color w:val="000000" w:themeColor="text1"/>
        </w:rPr>
        <w:t>附</w:t>
      </w:r>
      <w:r w:rsidR="00980275" w:rsidRPr="00687B52">
        <w:rPr>
          <w:rFonts w:hint="eastAsia"/>
          <w:color w:val="000000" w:themeColor="text1"/>
        </w:rPr>
        <w:t>2</w:t>
      </w:r>
      <w:r w:rsidRPr="00687B52">
        <w:rPr>
          <w:rFonts w:hint="eastAsia"/>
          <w:color w:val="000000" w:themeColor="text1"/>
        </w:rPr>
        <w:t>.7</w:t>
      </w:r>
      <w:r w:rsidRPr="00687B52">
        <w:rPr>
          <w:rFonts w:hint="eastAsia"/>
          <w:color w:val="000000" w:themeColor="text1"/>
        </w:rPr>
        <w:t>《易燃易爆性商品储存养护技术条件》</w:t>
      </w:r>
      <w:r w:rsidRPr="00687B52">
        <w:rPr>
          <w:rFonts w:hint="eastAsia"/>
          <w:color w:val="000000" w:themeColor="text1"/>
        </w:rPr>
        <w:t>GB17914-2013</w:t>
      </w:r>
      <w:r w:rsidRPr="00687B52">
        <w:rPr>
          <w:rFonts w:hint="eastAsia"/>
          <w:color w:val="000000" w:themeColor="text1"/>
        </w:rPr>
        <w:t>有关要求</w:t>
      </w:r>
      <w:bookmarkEnd w:id="229"/>
      <w:bookmarkEnd w:id="230"/>
      <w:bookmarkEnd w:id="231"/>
      <w:bookmarkEnd w:id="232"/>
      <w:bookmarkEnd w:id="233"/>
      <w:bookmarkEnd w:id="234"/>
      <w:bookmarkEnd w:id="235"/>
      <w:bookmarkEnd w:id="236"/>
      <w:bookmarkEnd w:id="237"/>
      <w:bookmarkEnd w:id="238"/>
      <w:bookmarkEnd w:id="239"/>
    </w:p>
    <w:p w:rsidR="00481EDB" w:rsidRPr="00687B52" w:rsidRDefault="00481EDB" w:rsidP="00856B6C">
      <w:pPr>
        <w:pStyle w:val="afd"/>
        <w:rPr>
          <w:color w:val="000000" w:themeColor="text1"/>
        </w:rPr>
      </w:pPr>
      <w:bookmarkStart w:id="240" w:name="_Toc491870833"/>
      <w:bookmarkStart w:id="241" w:name="_Toc492563488"/>
      <w:bookmarkStart w:id="242" w:name="_Toc493857089"/>
      <w:r w:rsidRPr="00687B52">
        <w:rPr>
          <w:rFonts w:hint="eastAsia"/>
          <w:color w:val="000000" w:themeColor="text1"/>
        </w:rPr>
        <w:t>表</w:t>
      </w:r>
      <w:r w:rsidRPr="00687B52">
        <w:rPr>
          <w:rFonts w:hint="eastAsia"/>
          <w:color w:val="000000" w:themeColor="text1"/>
        </w:rPr>
        <w:t xml:space="preserve">A.1 </w:t>
      </w:r>
      <w:r w:rsidRPr="00687B52">
        <w:rPr>
          <w:rFonts w:hint="eastAsia"/>
          <w:color w:val="000000" w:themeColor="text1"/>
        </w:rPr>
        <w:t>化学危险物品混存性能互抵表</w:t>
      </w:r>
      <w:bookmarkEnd w:id="240"/>
      <w:bookmarkEnd w:id="241"/>
      <w:bookmarkEnd w:id="242"/>
    </w:p>
    <w:tbl>
      <w:tblPr>
        <w:tblW w:w="13460"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20"/>
        <w:gridCol w:w="2119"/>
        <w:gridCol w:w="485"/>
        <w:gridCol w:w="485"/>
        <w:gridCol w:w="486"/>
        <w:gridCol w:w="485"/>
        <w:gridCol w:w="340"/>
        <w:gridCol w:w="342"/>
        <w:gridCol w:w="341"/>
        <w:gridCol w:w="341"/>
        <w:gridCol w:w="344"/>
        <w:gridCol w:w="341"/>
        <w:gridCol w:w="341"/>
        <w:gridCol w:w="342"/>
        <w:gridCol w:w="342"/>
        <w:gridCol w:w="341"/>
        <w:gridCol w:w="340"/>
        <w:gridCol w:w="343"/>
        <w:gridCol w:w="343"/>
        <w:gridCol w:w="341"/>
        <w:gridCol w:w="341"/>
        <w:gridCol w:w="341"/>
        <w:gridCol w:w="342"/>
        <w:gridCol w:w="341"/>
        <w:gridCol w:w="342"/>
        <w:gridCol w:w="341"/>
        <w:gridCol w:w="341"/>
        <w:gridCol w:w="341"/>
        <w:gridCol w:w="343"/>
        <w:gridCol w:w="343"/>
        <w:gridCol w:w="282"/>
      </w:tblGrid>
      <w:tr w:rsidR="00481EDB" w:rsidRPr="00687B52" w:rsidTr="00B527D4">
        <w:trPr>
          <w:cantSplit/>
          <w:trHeight w:val="235"/>
          <w:tblHeader/>
          <w:jc w:val="center"/>
        </w:trPr>
        <w:tc>
          <w:tcPr>
            <w:tcW w:w="3039" w:type="dxa"/>
            <w:gridSpan w:val="2"/>
            <w:vMerge w:val="restart"/>
          </w:tcPr>
          <w:p w:rsidR="00481EDB" w:rsidRPr="00687B52" w:rsidRDefault="00481EDB" w:rsidP="00B527D4">
            <w:pPr>
              <w:jc w:val="center"/>
              <w:rPr>
                <w:color w:val="000000" w:themeColor="text1"/>
                <w:sz w:val="15"/>
              </w:rPr>
            </w:pPr>
          </w:p>
        </w:tc>
        <w:tc>
          <w:tcPr>
            <w:tcW w:w="1941" w:type="dxa"/>
            <w:gridSpan w:val="4"/>
            <w:vMerge w:val="restart"/>
            <w:vAlign w:val="center"/>
          </w:tcPr>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kern w:val="0"/>
                <w:sz w:val="15"/>
              </w:rPr>
              <w:t>爆炸性物品</w:t>
            </w:r>
          </w:p>
        </w:tc>
        <w:tc>
          <w:tcPr>
            <w:tcW w:w="1364" w:type="dxa"/>
            <w:gridSpan w:val="4"/>
            <w:vMerge w:val="restart"/>
            <w:vAlign w:val="center"/>
          </w:tcPr>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kern w:val="0"/>
                <w:sz w:val="15"/>
              </w:rPr>
              <w:t>氧化剂</w:t>
            </w:r>
          </w:p>
        </w:tc>
        <w:tc>
          <w:tcPr>
            <w:tcW w:w="1368" w:type="dxa"/>
            <w:gridSpan w:val="4"/>
            <w:vMerge w:val="restart"/>
            <w:vAlign w:val="center"/>
          </w:tcPr>
          <w:p w:rsidR="00481EDB" w:rsidRPr="00687B52" w:rsidRDefault="00481EDB" w:rsidP="00B527D4">
            <w:pPr>
              <w:jc w:val="center"/>
              <w:rPr>
                <w:rFonts w:ascii="黑体" w:eastAsia="黑体" w:hAnsi="黑体"/>
                <w:b/>
                <w:color w:val="000000" w:themeColor="text1"/>
                <w:kern w:val="0"/>
                <w:sz w:val="15"/>
              </w:rPr>
            </w:pPr>
            <w:r w:rsidRPr="00687B52">
              <w:rPr>
                <w:rFonts w:ascii="黑体" w:eastAsia="黑体" w:hAnsi="黑体" w:hint="eastAsia"/>
                <w:b/>
                <w:color w:val="000000" w:themeColor="text1"/>
                <w:kern w:val="0"/>
                <w:sz w:val="15"/>
              </w:rPr>
              <w:t>压缩气体</w:t>
            </w:r>
          </w:p>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kern w:val="0"/>
                <w:sz w:val="15"/>
              </w:rPr>
              <w:t>和液化气体</w:t>
            </w:r>
          </w:p>
        </w:tc>
        <w:tc>
          <w:tcPr>
            <w:tcW w:w="683" w:type="dxa"/>
            <w:gridSpan w:val="2"/>
            <w:vMerge w:val="restart"/>
            <w:vAlign w:val="center"/>
          </w:tcPr>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kern w:val="0"/>
                <w:sz w:val="15"/>
              </w:rPr>
              <w:t>自然物品</w:t>
            </w:r>
          </w:p>
        </w:tc>
        <w:tc>
          <w:tcPr>
            <w:tcW w:w="683" w:type="dxa"/>
            <w:gridSpan w:val="2"/>
            <w:vMerge w:val="restart"/>
            <w:vAlign w:val="center"/>
          </w:tcPr>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kern w:val="0"/>
                <w:sz w:val="15"/>
              </w:rPr>
              <w:t>遇水燃烧物品</w:t>
            </w:r>
          </w:p>
        </w:tc>
        <w:tc>
          <w:tcPr>
            <w:tcW w:w="684" w:type="dxa"/>
            <w:gridSpan w:val="2"/>
            <w:vMerge w:val="restart"/>
            <w:vAlign w:val="center"/>
          </w:tcPr>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kern w:val="0"/>
                <w:sz w:val="15"/>
              </w:rPr>
              <w:t>易燃液体</w:t>
            </w:r>
          </w:p>
        </w:tc>
        <w:tc>
          <w:tcPr>
            <w:tcW w:w="682" w:type="dxa"/>
            <w:gridSpan w:val="2"/>
            <w:vMerge w:val="restart"/>
            <w:vAlign w:val="center"/>
          </w:tcPr>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kern w:val="0"/>
                <w:sz w:val="15"/>
              </w:rPr>
              <w:t>易燃固体</w:t>
            </w:r>
          </w:p>
        </w:tc>
        <w:tc>
          <w:tcPr>
            <w:tcW w:w="1366" w:type="dxa"/>
            <w:gridSpan w:val="4"/>
            <w:vMerge w:val="restart"/>
            <w:vAlign w:val="center"/>
          </w:tcPr>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kern w:val="0"/>
                <w:sz w:val="15"/>
              </w:rPr>
              <w:t>毒害性物品</w:t>
            </w:r>
          </w:p>
        </w:tc>
        <w:tc>
          <w:tcPr>
            <w:tcW w:w="1368" w:type="dxa"/>
            <w:gridSpan w:val="4"/>
            <w:tcBorders>
              <w:bottom w:val="single" w:sz="4" w:space="0" w:color="auto"/>
            </w:tcBorders>
            <w:vAlign w:val="center"/>
          </w:tcPr>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kern w:val="0"/>
                <w:sz w:val="15"/>
              </w:rPr>
              <w:t>腐蚀性物品</w:t>
            </w:r>
          </w:p>
        </w:tc>
        <w:tc>
          <w:tcPr>
            <w:tcW w:w="282" w:type="dxa"/>
            <w:vMerge w:val="restart"/>
            <w:vAlign w:val="center"/>
          </w:tcPr>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kern w:val="0"/>
                <w:sz w:val="15"/>
              </w:rPr>
              <w:t>放射性物品</w:t>
            </w:r>
          </w:p>
        </w:tc>
      </w:tr>
      <w:tr w:rsidR="00481EDB" w:rsidRPr="00687B52" w:rsidTr="00B527D4">
        <w:trPr>
          <w:cantSplit/>
          <w:trHeight w:val="235"/>
          <w:tblHeader/>
          <w:jc w:val="center"/>
        </w:trPr>
        <w:tc>
          <w:tcPr>
            <w:tcW w:w="3039" w:type="dxa"/>
            <w:gridSpan w:val="2"/>
            <w:vMerge/>
          </w:tcPr>
          <w:p w:rsidR="00481EDB" w:rsidRPr="00687B52" w:rsidRDefault="00481EDB" w:rsidP="00B527D4">
            <w:pPr>
              <w:jc w:val="center"/>
              <w:rPr>
                <w:color w:val="000000" w:themeColor="text1"/>
                <w:sz w:val="15"/>
              </w:rPr>
            </w:pPr>
          </w:p>
        </w:tc>
        <w:tc>
          <w:tcPr>
            <w:tcW w:w="1941" w:type="dxa"/>
            <w:gridSpan w:val="4"/>
            <w:vMerge/>
            <w:tcBorders>
              <w:bottom w:val="single" w:sz="4" w:space="0" w:color="auto"/>
            </w:tcBorders>
          </w:tcPr>
          <w:p w:rsidR="00481EDB" w:rsidRPr="00687B52" w:rsidRDefault="00481EDB" w:rsidP="00B527D4">
            <w:pPr>
              <w:jc w:val="center"/>
              <w:rPr>
                <w:b/>
                <w:color w:val="000000" w:themeColor="text1"/>
                <w:sz w:val="15"/>
              </w:rPr>
            </w:pPr>
          </w:p>
        </w:tc>
        <w:tc>
          <w:tcPr>
            <w:tcW w:w="1364" w:type="dxa"/>
            <w:gridSpan w:val="4"/>
            <w:vMerge/>
            <w:tcBorders>
              <w:bottom w:val="single" w:sz="4" w:space="0" w:color="auto"/>
            </w:tcBorders>
          </w:tcPr>
          <w:p w:rsidR="00481EDB" w:rsidRPr="00687B52" w:rsidRDefault="00481EDB" w:rsidP="00B527D4">
            <w:pPr>
              <w:jc w:val="center"/>
              <w:rPr>
                <w:b/>
                <w:color w:val="000000" w:themeColor="text1"/>
                <w:sz w:val="15"/>
              </w:rPr>
            </w:pPr>
          </w:p>
        </w:tc>
        <w:tc>
          <w:tcPr>
            <w:tcW w:w="1368" w:type="dxa"/>
            <w:gridSpan w:val="4"/>
            <w:vMerge/>
            <w:tcBorders>
              <w:bottom w:val="single" w:sz="4" w:space="0" w:color="auto"/>
            </w:tcBorders>
          </w:tcPr>
          <w:p w:rsidR="00481EDB" w:rsidRPr="00687B52" w:rsidRDefault="00481EDB" w:rsidP="00B527D4">
            <w:pPr>
              <w:jc w:val="center"/>
              <w:rPr>
                <w:b/>
                <w:color w:val="000000" w:themeColor="text1"/>
                <w:sz w:val="15"/>
              </w:rPr>
            </w:pPr>
          </w:p>
        </w:tc>
        <w:tc>
          <w:tcPr>
            <w:tcW w:w="683" w:type="dxa"/>
            <w:gridSpan w:val="2"/>
            <w:vMerge/>
            <w:tcBorders>
              <w:bottom w:val="single" w:sz="4" w:space="0" w:color="auto"/>
            </w:tcBorders>
          </w:tcPr>
          <w:p w:rsidR="00481EDB" w:rsidRPr="00687B52" w:rsidRDefault="00481EDB" w:rsidP="00B527D4">
            <w:pPr>
              <w:jc w:val="center"/>
              <w:rPr>
                <w:b/>
                <w:color w:val="000000" w:themeColor="text1"/>
                <w:sz w:val="15"/>
              </w:rPr>
            </w:pPr>
          </w:p>
        </w:tc>
        <w:tc>
          <w:tcPr>
            <w:tcW w:w="683" w:type="dxa"/>
            <w:gridSpan w:val="2"/>
            <w:vMerge/>
            <w:tcBorders>
              <w:bottom w:val="single" w:sz="4" w:space="0" w:color="auto"/>
            </w:tcBorders>
          </w:tcPr>
          <w:p w:rsidR="00481EDB" w:rsidRPr="00687B52" w:rsidRDefault="00481EDB" w:rsidP="00B527D4">
            <w:pPr>
              <w:jc w:val="center"/>
              <w:rPr>
                <w:b/>
                <w:color w:val="000000" w:themeColor="text1"/>
                <w:sz w:val="15"/>
              </w:rPr>
            </w:pPr>
          </w:p>
        </w:tc>
        <w:tc>
          <w:tcPr>
            <w:tcW w:w="684" w:type="dxa"/>
            <w:gridSpan w:val="2"/>
            <w:vMerge/>
            <w:tcBorders>
              <w:bottom w:val="single" w:sz="4" w:space="0" w:color="auto"/>
            </w:tcBorders>
          </w:tcPr>
          <w:p w:rsidR="00481EDB" w:rsidRPr="00687B52" w:rsidRDefault="00481EDB" w:rsidP="00B527D4">
            <w:pPr>
              <w:jc w:val="center"/>
              <w:rPr>
                <w:b/>
                <w:color w:val="000000" w:themeColor="text1"/>
                <w:sz w:val="15"/>
              </w:rPr>
            </w:pPr>
          </w:p>
        </w:tc>
        <w:tc>
          <w:tcPr>
            <w:tcW w:w="682" w:type="dxa"/>
            <w:gridSpan w:val="2"/>
            <w:vMerge/>
            <w:tcBorders>
              <w:bottom w:val="single" w:sz="4" w:space="0" w:color="auto"/>
            </w:tcBorders>
          </w:tcPr>
          <w:p w:rsidR="00481EDB" w:rsidRPr="00687B52" w:rsidRDefault="00481EDB" w:rsidP="00B527D4">
            <w:pPr>
              <w:jc w:val="center"/>
              <w:rPr>
                <w:b/>
                <w:color w:val="000000" w:themeColor="text1"/>
                <w:sz w:val="15"/>
              </w:rPr>
            </w:pPr>
          </w:p>
        </w:tc>
        <w:tc>
          <w:tcPr>
            <w:tcW w:w="1366" w:type="dxa"/>
            <w:gridSpan w:val="4"/>
            <w:vMerge/>
            <w:tcBorders>
              <w:bottom w:val="single" w:sz="4" w:space="0" w:color="auto"/>
            </w:tcBorders>
          </w:tcPr>
          <w:p w:rsidR="00481EDB" w:rsidRPr="00687B52" w:rsidRDefault="00481EDB" w:rsidP="00B527D4">
            <w:pPr>
              <w:jc w:val="center"/>
              <w:rPr>
                <w:b/>
                <w:color w:val="000000" w:themeColor="text1"/>
                <w:sz w:val="15"/>
              </w:rPr>
            </w:pPr>
          </w:p>
        </w:tc>
        <w:tc>
          <w:tcPr>
            <w:tcW w:w="682" w:type="dxa"/>
            <w:gridSpan w:val="2"/>
            <w:tcBorders>
              <w:bottom w:val="single" w:sz="4" w:space="0" w:color="auto"/>
            </w:tcBorders>
          </w:tcPr>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kern w:val="0"/>
                <w:sz w:val="15"/>
              </w:rPr>
              <w:t>酸性</w:t>
            </w:r>
          </w:p>
        </w:tc>
        <w:tc>
          <w:tcPr>
            <w:tcW w:w="686" w:type="dxa"/>
            <w:gridSpan w:val="2"/>
            <w:tcBorders>
              <w:bottom w:val="single" w:sz="4" w:space="0" w:color="auto"/>
            </w:tcBorders>
          </w:tcPr>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kern w:val="0"/>
                <w:sz w:val="15"/>
              </w:rPr>
              <w:t>碱性</w:t>
            </w:r>
          </w:p>
        </w:tc>
        <w:tc>
          <w:tcPr>
            <w:tcW w:w="282" w:type="dxa"/>
            <w:vMerge/>
          </w:tcPr>
          <w:p w:rsidR="00481EDB" w:rsidRPr="00687B52" w:rsidRDefault="00481EDB" w:rsidP="00B527D4">
            <w:pPr>
              <w:jc w:val="center"/>
              <w:rPr>
                <w:color w:val="000000" w:themeColor="text1"/>
                <w:sz w:val="15"/>
              </w:rPr>
            </w:pPr>
          </w:p>
        </w:tc>
      </w:tr>
      <w:tr w:rsidR="00481EDB" w:rsidRPr="00687B52" w:rsidTr="00B527D4">
        <w:trPr>
          <w:cantSplit/>
          <w:trHeight w:val="690"/>
          <w:tblHeader/>
          <w:jc w:val="center"/>
        </w:trPr>
        <w:tc>
          <w:tcPr>
            <w:tcW w:w="3039" w:type="dxa"/>
            <w:gridSpan w:val="2"/>
            <w:vMerge/>
          </w:tcPr>
          <w:p w:rsidR="00481EDB" w:rsidRPr="00687B52" w:rsidRDefault="00481EDB" w:rsidP="00B527D4">
            <w:pPr>
              <w:jc w:val="center"/>
              <w:rPr>
                <w:color w:val="000000" w:themeColor="text1"/>
                <w:sz w:val="15"/>
              </w:rPr>
            </w:pPr>
          </w:p>
        </w:tc>
        <w:tc>
          <w:tcPr>
            <w:tcW w:w="485" w:type="dxa"/>
          </w:tcPr>
          <w:p w:rsidR="00481EDB" w:rsidRPr="00687B52" w:rsidRDefault="00481EDB" w:rsidP="00B527D4">
            <w:pPr>
              <w:jc w:val="center"/>
              <w:rPr>
                <w:color w:val="000000" w:themeColor="text1"/>
                <w:sz w:val="15"/>
              </w:rPr>
            </w:pPr>
            <w:r w:rsidRPr="00687B52">
              <w:rPr>
                <w:rFonts w:hint="eastAsia"/>
                <w:color w:val="000000" w:themeColor="text1"/>
                <w:sz w:val="15"/>
              </w:rPr>
              <w:t>点火器材</w:t>
            </w:r>
          </w:p>
        </w:tc>
        <w:tc>
          <w:tcPr>
            <w:tcW w:w="485" w:type="dxa"/>
          </w:tcPr>
          <w:p w:rsidR="00481EDB" w:rsidRPr="00687B52" w:rsidRDefault="00481EDB" w:rsidP="00B527D4">
            <w:pPr>
              <w:jc w:val="center"/>
              <w:rPr>
                <w:color w:val="000000" w:themeColor="text1"/>
                <w:sz w:val="15"/>
              </w:rPr>
            </w:pPr>
            <w:r w:rsidRPr="00687B52">
              <w:rPr>
                <w:rFonts w:hint="eastAsia"/>
                <w:color w:val="000000" w:themeColor="text1"/>
                <w:sz w:val="15"/>
              </w:rPr>
              <w:t>起爆器材</w:t>
            </w:r>
          </w:p>
        </w:tc>
        <w:tc>
          <w:tcPr>
            <w:tcW w:w="486" w:type="dxa"/>
          </w:tcPr>
          <w:p w:rsidR="00481EDB" w:rsidRPr="00687B52" w:rsidRDefault="00481EDB" w:rsidP="00B527D4">
            <w:pPr>
              <w:jc w:val="center"/>
              <w:rPr>
                <w:color w:val="000000" w:themeColor="text1"/>
                <w:sz w:val="15"/>
              </w:rPr>
            </w:pPr>
            <w:r w:rsidRPr="00687B52">
              <w:rPr>
                <w:rFonts w:hint="eastAsia"/>
                <w:color w:val="000000" w:themeColor="text1"/>
                <w:sz w:val="15"/>
              </w:rPr>
              <w:t>爆炸及爆炸性药品</w:t>
            </w:r>
          </w:p>
        </w:tc>
        <w:tc>
          <w:tcPr>
            <w:tcW w:w="485" w:type="dxa"/>
          </w:tcPr>
          <w:p w:rsidR="00481EDB" w:rsidRPr="00687B52" w:rsidRDefault="00481EDB" w:rsidP="00B527D4">
            <w:pPr>
              <w:jc w:val="center"/>
              <w:rPr>
                <w:color w:val="000000" w:themeColor="text1"/>
                <w:sz w:val="15"/>
              </w:rPr>
            </w:pPr>
            <w:r w:rsidRPr="00687B52">
              <w:rPr>
                <w:rFonts w:hint="eastAsia"/>
                <w:color w:val="000000" w:themeColor="text1"/>
                <w:sz w:val="15"/>
              </w:rPr>
              <w:t>其它爆炸品</w:t>
            </w:r>
          </w:p>
        </w:tc>
        <w:tc>
          <w:tcPr>
            <w:tcW w:w="340"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一级无机</w:t>
            </w:r>
          </w:p>
        </w:tc>
        <w:tc>
          <w:tcPr>
            <w:tcW w:w="342" w:type="dxa"/>
          </w:tcPr>
          <w:p w:rsidR="00481EDB" w:rsidRPr="00687B52" w:rsidRDefault="00481EDB" w:rsidP="00B527D4">
            <w:pPr>
              <w:jc w:val="center"/>
              <w:rPr>
                <w:color w:val="000000" w:themeColor="text1"/>
                <w:sz w:val="15"/>
              </w:rPr>
            </w:pPr>
            <w:r w:rsidRPr="00687B52">
              <w:rPr>
                <w:rFonts w:hint="eastAsia"/>
                <w:color w:val="000000" w:themeColor="text1"/>
                <w:sz w:val="15"/>
              </w:rPr>
              <w:t>一级有机</w:t>
            </w:r>
          </w:p>
        </w:tc>
        <w:tc>
          <w:tcPr>
            <w:tcW w:w="341" w:type="dxa"/>
          </w:tcPr>
          <w:p w:rsidR="00481EDB" w:rsidRPr="00687B52" w:rsidRDefault="00481EDB" w:rsidP="00B527D4">
            <w:pPr>
              <w:jc w:val="center"/>
              <w:rPr>
                <w:color w:val="000000" w:themeColor="text1"/>
                <w:sz w:val="15"/>
              </w:rPr>
            </w:pPr>
            <w:r w:rsidRPr="00687B52">
              <w:rPr>
                <w:rFonts w:hint="eastAsia"/>
                <w:color w:val="000000" w:themeColor="text1"/>
                <w:sz w:val="15"/>
              </w:rPr>
              <w:t>二级无机</w:t>
            </w:r>
          </w:p>
        </w:tc>
        <w:tc>
          <w:tcPr>
            <w:tcW w:w="341" w:type="dxa"/>
          </w:tcPr>
          <w:p w:rsidR="00481EDB" w:rsidRPr="00687B52" w:rsidRDefault="00481EDB" w:rsidP="00B527D4">
            <w:pPr>
              <w:jc w:val="center"/>
              <w:rPr>
                <w:color w:val="000000" w:themeColor="text1"/>
                <w:sz w:val="15"/>
              </w:rPr>
            </w:pPr>
            <w:r w:rsidRPr="00687B52">
              <w:rPr>
                <w:rFonts w:hint="eastAsia"/>
                <w:color w:val="000000" w:themeColor="text1"/>
                <w:sz w:val="15"/>
              </w:rPr>
              <w:t>二级有机</w:t>
            </w:r>
          </w:p>
        </w:tc>
        <w:tc>
          <w:tcPr>
            <w:tcW w:w="344" w:type="dxa"/>
          </w:tcPr>
          <w:p w:rsidR="00481EDB" w:rsidRPr="00687B52" w:rsidRDefault="00481EDB" w:rsidP="00B527D4">
            <w:pPr>
              <w:jc w:val="center"/>
              <w:rPr>
                <w:color w:val="000000" w:themeColor="text1"/>
                <w:sz w:val="15"/>
              </w:rPr>
            </w:pPr>
            <w:r w:rsidRPr="00687B52">
              <w:rPr>
                <w:rFonts w:hint="eastAsia"/>
                <w:color w:val="000000" w:themeColor="text1"/>
                <w:sz w:val="15"/>
              </w:rPr>
              <w:t>剧毒</w:t>
            </w:r>
          </w:p>
        </w:tc>
        <w:tc>
          <w:tcPr>
            <w:tcW w:w="341" w:type="dxa"/>
          </w:tcPr>
          <w:p w:rsidR="00481EDB" w:rsidRPr="00687B52" w:rsidRDefault="00481EDB" w:rsidP="00B527D4">
            <w:pPr>
              <w:jc w:val="center"/>
              <w:rPr>
                <w:color w:val="000000" w:themeColor="text1"/>
                <w:sz w:val="15"/>
              </w:rPr>
            </w:pPr>
            <w:r w:rsidRPr="00687B52">
              <w:rPr>
                <w:rFonts w:hint="eastAsia"/>
                <w:color w:val="000000" w:themeColor="text1"/>
                <w:sz w:val="15"/>
              </w:rPr>
              <w:t>易燃</w:t>
            </w:r>
          </w:p>
        </w:tc>
        <w:tc>
          <w:tcPr>
            <w:tcW w:w="341" w:type="dxa"/>
          </w:tcPr>
          <w:p w:rsidR="00481EDB" w:rsidRPr="00687B52" w:rsidRDefault="00481EDB" w:rsidP="00B527D4">
            <w:pPr>
              <w:jc w:val="center"/>
              <w:rPr>
                <w:color w:val="000000" w:themeColor="text1"/>
                <w:sz w:val="15"/>
              </w:rPr>
            </w:pPr>
            <w:r w:rsidRPr="00687B52">
              <w:rPr>
                <w:rFonts w:hint="eastAsia"/>
                <w:color w:val="000000" w:themeColor="text1"/>
                <w:sz w:val="15"/>
              </w:rPr>
              <w:t>助燃</w:t>
            </w:r>
          </w:p>
        </w:tc>
        <w:tc>
          <w:tcPr>
            <w:tcW w:w="342" w:type="dxa"/>
          </w:tcPr>
          <w:p w:rsidR="00481EDB" w:rsidRPr="00687B52" w:rsidRDefault="00481EDB" w:rsidP="00B527D4">
            <w:pPr>
              <w:jc w:val="center"/>
              <w:rPr>
                <w:color w:val="000000" w:themeColor="text1"/>
                <w:sz w:val="15"/>
              </w:rPr>
            </w:pPr>
            <w:r w:rsidRPr="00687B52">
              <w:rPr>
                <w:rFonts w:hint="eastAsia"/>
                <w:color w:val="000000" w:themeColor="text1"/>
                <w:sz w:val="15"/>
              </w:rPr>
              <w:t>不燃</w:t>
            </w:r>
          </w:p>
        </w:tc>
        <w:tc>
          <w:tcPr>
            <w:tcW w:w="342" w:type="dxa"/>
          </w:tcPr>
          <w:p w:rsidR="00481EDB" w:rsidRPr="00687B52" w:rsidRDefault="00481EDB" w:rsidP="00B527D4">
            <w:pPr>
              <w:jc w:val="center"/>
              <w:rPr>
                <w:color w:val="000000" w:themeColor="text1"/>
                <w:sz w:val="15"/>
              </w:rPr>
            </w:pPr>
            <w:r w:rsidRPr="00687B52">
              <w:rPr>
                <w:rFonts w:hint="eastAsia"/>
                <w:color w:val="000000" w:themeColor="text1"/>
                <w:sz w:val="15"/>
              </w:rPr>
              <w:t>一级</w:t>
            </w:r>
          </w:p>
        </w:tc>
        <w:tc>
          <w:tcPr>
            <w:tcW w:w="341" w:type="dxa"/>
          </w:tcPr>
          <w:p w:rsidR="00481EDB" w:rsidRPr="00687B52" w:rsidRDefault="00481EDB" w:rsidP="00B527D4">
            <w:pPr>
              <w:jc w:val="center"/>
              <w:rPr>
                <w:color w:val="000000" w:themeColor="text1"/>
                <w:sz w:val="15"/>
              </w:rPr>
            </w:pPr>
            <w:r w:rsidRPr="00687B52">
              <w:rPr>
                <w:rFonts w:hint="eastAsia"/>
                <w:color w:val="000000" w:themeColor="text1"/>
                <w:sz w:val="15"/>
              </w:rPr>
              <w:t>二级</w:t>
            </w:r>
          </w:p>
        </w:tc>
        <w:tc>
          <w:tcPr>
            <w:tcW w:w="340" w:type="dxa"/>
          </w:tcPr>
          <w:p w:rsidR="00481EDB" w:rsidRPr="00687B52" w:rsidRDefault="00481EDB" w:rsidP="00B527D4">
            <w:pPr>
              <w:jc w:val="center"/>
              <w:rPr>
                <w:color w:val="000000" w:themeColor="text1"/>
                <w:sz w:val="15"/>
              </w:rPr>
            </w:pPr>
            <w:r w:rsidRPr="00687B52">
              <w:rPr>
                <w:rFonts w:hint="eastAsia"/>
                <w:color w:val="000000" w:themeColor="text1"/>
                <w:sz w:val="15"/>
              </w:rPr>
              <w:t>一级</w:t>
            </w:r>
          </w:p>
        </w:tc>
        <w:tc>
          <w:tcPr>
            <w:tcW w:w="343" w:type="dxa"/>
          </w:tcPr>
          <w:p w:rsidR="00481EDB" w:rsidRPr="00687B52" w:rsidRDefault="00481EDB" w:rsidP="00B527D4">
            <w:pPr>
              <w:jc w:val="center"/>
              <w:rPr>
                <w:color w:val="000000" w:themeColor="text1"/>
                <w:sz w:val="15"/>
              </w:rPr>
            </w:pPr>
            <w:r w:rsidRPr="00687B52">
              <w:rPr>
                <w:rFonts w:hint="eastAsia"/>
                <w:color w:val="000000" w:themeColor="text1"/>
                <w:sz w:val="15"/>
              </w:rPr>
              <w:t>二级</w:t>
            </w:r>
          </w:p>
        </w:tc>
        <w:tc>
          <w:tcPr>
            <w:tcW w:w="343" w:type="dxa"/>
          </w:tcPr>
          <w:p w:rsidR="00481EDB" w:rsidRPr="00687B52" w:rsidRDefault="00481EDB" w:rsidP="00B527D4">
            <w:pPr>
              <w:jc w:val="center"/>
              <w:rPr>
                <w:color w:val="000000" w:themeColor="text1"/>
                <w:sz w:val="15"/>
              </w:rPr>
            </w:pPr>
            <w:r w:rsidRPr="00687B52">
              <w:rPr>
                <w:rFonts w:hint="eastAsia"/>
                <w:color w:val="000000" w:themeColor="text1"/>
                <w:sz w:val="15"/>
              </w:rPr>
              <w:t>一级</w:t>
            </w:r>
          </w:p>
        </w:tc>
        <w:tc>
          <w:tcPr>
            <w:tcW w:w="341" w:type="dxa"/>
          </w:tcPr>
          <w:p w:rsidR="00481EDB" w:rsidRPr="00687B52" w:rsidRDefault="00481EDB" w:rsidP="00B527D4">
            <w:pPr>
              <w:jc w:val="center"/>
              <w:rPr>
                <w:color w:val="000000" w:themeColor="text1"/>
                <w:sz w:val="15"/>
              </w:rPr>
            </w:pPr>
            <w:r w:rsidRPr="00687B52">
              <w:rPr>
                <w:rFonts w:hint="eastAsia"/>
                <w:color w:val="000000" w:themeColor="text1"/>
                <w:sz w:val="15"/>
              </w:rPr>
              <w:t>二级</w:t>
            </w:r>
          </w:p>
        </w:tc>
        <w:tc>
          <w:tcPr>
            <w:tcW w:w="341" w:type="dxa"/>
          </w:tcPr>
          <w:p w:rsidR="00481EDB" w:rsidRPr="00687B52" w:rsidRDefault="00481EDB" w:rsidP="00B527D4">
            <w:pPr>
              <w:jc w:val="center"/>
              <w:rPr>
                <w:color w:val="000000" w:themeColor="text1"/>
                <w:sz w:val="15"/>
              </w:rPr>
            </w:pPr>
            <w:r w:rsidRPr="00687B52">
              <w:rPr>
                <w:rFonts w:hint="eastAsia"/>
                <w:color w:val="000000" w:themeColor="text1"/>
                <w:sz w:val="15"/>
              </w:rPr>
              <w:t>一级</w:t>
            </w:r>
          </w:p>
        </w:tc>
        <w:tc>
          <w:tcPr>
            <w:tcW w:w="341" w:type="dxa"/>
          </w:tcPr>
          <w:p w:rsidR="00481EDB" w:rsidRPr="00687B52" w:rsidRDefault="00481EDB" w:rsidP="00B527D4">
            <w:pPr>
              <w:jc w:val="center"/>
              <w:rPr>
                <w:color w:val="000000" w:themeColor="text1"/>
                <w:sz w:val="15"/>
              </w:rPr>
            </w:pPr>
            <w:r w:rsidRPr="00687B52">
              <w:rPr>
                <w:rFonts w:hint="eastAsia"/>
                <w:color w:val="000000" w:themeColor="text1"/>
                <w:sz w:val="15"/>
              </w:rPr>
              <w:t>二级</w:t>
            </w:r>
          </w:p>
        </w:tc>
        <w:tc>
          <w:tcPr>
            <w:tcW w:w="342"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剧毒无机</w:t>
            </w:r>
          </w:p>
        </w:tc>
        <w:tc>
          <w:tcPr>
            <w:tcW w:w="341" w:type="dxa"/>
          </w:tcPr>
          <w:p w:rsidR="00481EDB" w:rsidRPr="00687B52" w:rsidRDefault="00481EDB" w:rsidP="00B527D4">
            <w:pPr>
              <w:jc w:val="center"/>
              <w:rPr>
                <w:color w:val="000000" w:themeColor="text1"/>
                <w:sz w:val="15"/>
              </w:rPr>
            </w:pPr>
            <w:r w:rsidRPr="00687B52">
              <w:rPr>
                <w:rFonts w:hint="eastAsia"/>
                <w:color w:val="000000" w:themeColor="text1"/>
                <w:sz w:val="15"/>
              </w:rPr>
              <w:t>剧毒有机</w:t>
            </w:r>
          </w:p>
        </w:tc>
        <w:tc>
          <w:tcPr>
            <w:tcW w:w="342" w:type="dxa"/>
          </w:tcPr>
          <w:p w:rsidR="00481EDB" w:rsidRPr="00687B52" w:rsidRDefault="00481EDB" w:rsidP="00B527D4">
            <w:pPr>
              <w:jc w:val="center"/>
              <w:rPr>
                <w:color w:val="000000" w:themeColor="text1"/>
                <w:sz w:val="15"/>
              </w:rPr>
            </w:pPr>
            <w:r w:rsidRPr="00687B52">
              <w:rPr>
                <w:rFonts w:hint="eastAsia"/>
                <w:color w:val="000000" w:themeColor="text1"/>
                <w:sz w:val="15"/>
              </w:rPr>
              <w:t>有毒无机</w:t>
            </w:r>
          </w:p>
        </w:tc>
        <w:tc>
          <w:tcPr>
            <w:tcW w:w="341" w:type="dxa"/>
          </w:tcPr>
          <w:p w:rsidR="00481EDB" w:rsidRPr="00687B52" w:rsidRDefault="00481EDB" w:rsidP="00B527D4">
            <w:pPr>
              <w:jc w:val="center"/>
              <w:rPr>
                <w:color w:val="000000" w:themeColor="text1"/>
                <w:sz w:val="15"/>
              </w:rPr>
            </w:pPr>
            <w:r w:rsidRPr="00687B52">
              <w:rPr>
                <w:rFonts w:hint="eastAsia"/>
                <w:color w:val="000000" w:themeColor="text1"/>
                <w:sz w:val="15"/>
              </w:rPr>
              <w:t>有毒有机</w:t>
            </w:r>
          </w:p>
        </w:tc>
        <w:tc>
          <w:tcPr>
            <w:tcW w:w="341" w:type="dxa"/>
          </w:tcPr>
          <w:p w:rsidR="00481EDB" w:rsidRPr="00687B52" w:rsidRDefault="00481EDB" w:rsidP="00B527D4">
            <w:pPr>
              <w:jc w:val="center"/>
              <w:rPr>
                <w:color w:val="000000" w:themeColor="text1"/>
                <w:sz w:val="15"/>
              </w:rPr>
            </w:pPr>
            <w:r w:rsidRPr="00687B52">
              <w:rPr>
                <w:rFonts w:hint="eastAsia"/>
                <w:color w:val="000000" w:themeColor="text1"/>
                <w:sz w:val="15"/>
              </w:rPr>
              <w:t>无机</w:t>
            </w:r>
          </w:p>
        </w:tc>
        <w:tc>
          <w:tcPr>
            <w:tcW w:w="341" w:type="dxa"/>
          </w:tcPr>
          <w:p w:rsidR="00481EDB" w:rsidRPr="00687B52" w:rsidRDefault="00481EDB" w:rsidP="00B527D4">
            <w:pPr>
              <w:jc w:val="center"/>
              <w:rPr>
                <w:color w:val="000000" w:themeColor="text1"/>
                <w:sz w:val="15"/>
              </w:rPr>
            </w:pPr>
            <w:r w:rsidRPr="00687B52">
              <w:rPr>
                <w:rFonts w:hint="eastAsia"/>
                <w:color w:val="000000" w:themeColor="text1"/>
                <w:sz w:val="15"/>
              </w:rPr>
              <w:t>有机</w:t>
            </w:r>
          </w:p>
        </w:tc>
        <w:tc>
          <w:tcPr>
            <w:tcW w:w="343" w:type="dxa"/>
          </w:tcPr>
          <w:p w:rsidR="00481EDB" w:rsidRPr="00687B52" w:rsidRDefault="00481EDB" w:rsidP="00B527D4">
            <w:pPr>
              <w:jc w:val="center"/>
              <w:rPr>
                <w:color w:val="000000" w:themeColor="text1"/>
                <w:sz w:val="15"/>
              </w:rPr>
            </w:pPr>
            <w:r w:rsidRPr="00687B52">
              <w:rPr>
                <w:rFonts w:hint="eastAsia"/>
                <w:color w:val="000000" w:themeColor="text1"/>
                <w:sz w:val="15"/>
              </w:rPr>
              <w:t>无机</w:t>
            </w:r>
          </w:p>
        </w:tc>
        <w:tc>
          <w:tcPr>
            <w:tcW w:w="343" w:type="dxa"/>
          </w:tcPr>
          <w:p w:rsidR="00481EDB" w:rsidRPr="00687B52" w:rsidRDefault="00481EDB" w:rsidP="00B527D4">
            <w:pPr>
              <w:jc w:val="center"/>
              <w:rPr>
                <w:color w:val="000000" w:themeColor="text1"/>
                <w:sz w:val="15"/>
              </w:rPr>
            </w:pPr>
            <w:r w:rsidRPr="00687B52">
              <w:rPr>
                <w:rFonts w:hint="eastAsia"/>
                <w:color w:val="000000" w:themeColor="text1"/>
                <w:sz w:val="15"/>
              </w:rPr>
              <w:t>有机</w:t>
            </w:r>
          </w:p>
        </w:tc>
        <w:tc>
          <w:tcPr>
            <w:tcW w:w="282" w:type="dxa"/>
            <w:vMerge/>
          </w:tcPr>
          <w:p w:rsidR="00481EDB" w:rsidRPr="00687B52" w:rsidRDefault="00481EDB" w:rsidP="00B527D4">
            <w:pPr>
              <w:jc w:val="center"/>
              <w:rPr>
                <w:color w:val="000000" w:themeColor="text1"/>
                <w:sz w:val="15"/>
              </w:rPr>
            </w:pPr>
          </w:p>
        </w:tc>
      </w:tr>
      <w:tr w:rsidR="00481EDB" w:rsidRPr="00687B52" w:rsidTr="00B527D4">
        <w:trPr>
          <w:cantSplit/>
          <w:trHeight w:val="917"/>
          <w:jc w:val="center"/>
        </w:trPr>
        <w:tc>
          <w:tcPr>
            <w:tcW w:w="920" w:type="dxa"/>
            <w:vAlign w:val="center"/>
          </w:tcPr>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sz w:val="15"/>
              </w:rPr>
              <w:t>爆炸性</w:t>
            </w:r>
          </w:p>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sz w:val="15"/>
              </w:rPr>
              <w:t>物品</w:t>
            </w:r>
          </w:p>
        </w:tc>
        <w:tc>
          <w:tcPr>
            <w:tcW w:w="2119"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点火器材</w:t>
            </w:r>
          </w:p>
          <w:p w:rsidR="00481EDB" w:rsidRPr="00687B52" w:rsidRDefault="00481EDB" w:rsidP="00B527D4">
            <w:pPr>
              <w:jc w:val="center"/>
              <w:rPr>
                <w:color w:val="000000" w:themeColor="text1"/>
                <w:sz w:val="15"/>
              </w:rPr>
            </w:pPr>
            <w:r w:rsidRPr="00687B52">
              <w:rPr>
                <w:rFonts w:hint="eastAsia"/>
                <w:color w:val="000000" w:themeColor="text1"/>
                <w:sz w:val="15"/>
              </w:rPr>
              <w:t>.</w:t>
            </w:r>
            <w:r w:rsidRPr="00687B52">
              <w:rPr>
                <w:rFonts w:hint="eastAsia"/>
                <w:color w:val="000000" w:themeColor="text1"/>
                <w:sz w:val="15"/>
              </w:rPr>
              <w:t>起爆器材</w:t>
            </w:r>
          </w:p>
          <w:p w:rsidR="00481EDB" w:rsidRPr="00687B52" w:rsidRDefault="00481EDB" w:rsidP="00B527D4">
            <w:pPr>
              <w:jc w:val="center"/>
              <w:rPr>
                <w:color w:val="000000" w:themeColor="text1"/>
                <w:sz w:val="15"/>
              </w:rPr>
            </w:pPr>
            <w:r w:rsidRPr="00687B52">
              <w:rPr>
                <w:rFonts w:hint="eastAsia"/>
                <w:color w:val="000000" w:themeColor="text1"/>
                <w:sz w:val="15"/>
              </w:rPr>
              <w:t>爆炸及爆炸性药品</w:t>
            </w:r>
          </w:p>
          <w:p w:rsidR="00481EDB" w:rsidRPr="00687B52" w:rsidRDefault="00481EDB" w:rsidP="00B527D4">
            <w:pPr>
              <w:jc w:val="center"/>
              <w:rPr>
                <w:color w:val="000000" w:themeColor="text1"/>
                <w:sz w:val="15"/>
              </w:rPr>
            </w:pPr>
            <w:r w:rsidRPr="00687B52">
              <w:rPr>
                <w:rFonts w:hint="eastAsia"/>
                <w:color w:val="000000" w:themeColor="text1"/>
                <w:sz w:val="15"/>
              </w:rPr>
              <w:t>其他爆炸品</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О</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О</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О</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w:t>
            </w:r>
          </w:p>
        </w:tc>
        <w:tc>
          <w:tcPr>
            <w:tcW w:w="485" w:type="dxa"/>
            <w:vAlign w:val="center"/>
          </w:tcPr>
          <w:p w:rsidR="00481EDB" w:rsidRPr="00687B52" w:rsidRDefault="00481EDB" w:rsidP="00B527D4">
            <w:pPr>
              <w:jc w:val="center"/>
              <w:rPr>
                <w:rFonts w:ascii="宋体" w:hAnsi="宋体"/>
                <w:color w:val="000000" w:themeColor="text1"/>
                <w:sz w:val="15"/>
              </w:rPr>
            </w:pP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О</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6" w:type="dxa"/>
            <w:vAlign w:val="center"/>
          </w:tcPr>
          <w:p w:rsidR="00481EDB" w:rsidRPr="00687B52" w:rsidRDefault="00481EDB" w:rsidP="00B527D4">
            <w:pPr>
              <w:jc w:val="center"/>
              <w:rPr>
                <w:color w:val="000000" w:themeColor="text1"/>
                <w:sz w:val="15"/>
              </w:rPr>
            </w:pPr>
          </w:p>
          <w:p w:rsidR="00481EDB" w:rsidRPr="00687B52" w:rsidRDefault="00481EDB" w:rsidP="00B527D4">
            <w:pPr>
              <w:jc w:val="center"/>
              <w:rPr>
                <w:color w:val="000000" w:themeColor="text1"/>
                <w:sz w:val="15"/>
              </w:rPr>
            </w:pP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О</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5" w:type="dxa"/>
            <w:vAlign w:val="center"/>
          </w:tcPr>
          <w:p w:rsidR="00481EDB" w:rsidRPr="00687B52" w:rsidRDefault="00481EDB" w:rsidP="00B527D4">
            <w:pPr>
              <w:jc w:val="center"/>
              <w:rPr>
                <w:color w:val="000000" w:themeColor="text1"/>
                <w:sz w:val="15"/>
              </w:rPr>
            </w:pPr>
          </w:p>
          <w:p w:rsidR="00481EDB" w:rsidRPr="00687B52" w:rsidRDefault="00481EDB" w:rsidP="00B527D4">
            <w:pPr>
              <w:jc w:val="center"/>
              <w:rPr>
                <w:color w:val="000000" w:themeColor="text1"/>
                <w:sz w:val="15"/>
              </w:rPr>
            </w:pPr>
          </w:p>
          <w:p w:rsidR="00481EDB" w:rsidRPr="00687B52" w:rsidRDefault="00481EDB" w:rsidP="00B527D4">
            <w:pPr>
              <w:jc w:val="center"/>
              <w:rPr>
                <w:color w:val="000000" w:themeColor="text1"/>
                <w:sz w:val="15"/>
              </w:rPr>
            </w:pP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w:t>
            </w:r>
          </w:p>
        </w:tc>
        <w:tc>
          <w:tcPr>
            <w:tcW w:w="340" w:type="dxa"/>
            <w:vAlign w:val="center"/>
          </w:tcPr>
          <w:p w:rsidR="00481EDB" w:rsidRPr="00687B52" w:rsidRDefault="00481EDB" w:rsidP="00B527D4">
            <w:pPr>
              <w:jc w:val="center"/>
              <w:rPr>
                <w:color w:val="000000" w:themeColor="text1"/>
                <w:sz w:val="15"/>
              </w:rPr>
            </w:pPr>
          </w:p>
        </w:tc>
        <w:tc>
          <w:tcPr>
            <w:tcW w:w="342"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4"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2" w:type="dxa"/>
            <w:vAlign w:val="center"/>
          </w:tcPr>
          <w:p w:rsidR="00481EDB" w:rsidRPr="00687B52" w:rsidRDefault="00481EDB" w:rsidP="00B527D4">
            <w:pPr>
              <w:jc w:val="center"/>
              <w:rPr>
                <w:color w:val="000000" w:themeColor="text1"/>
                <w:sz w:val="15"/>
              </w:rPr>
            </w:pPr>
          </w:p>
        </w:tc>
        <w:tc>
          <w:tcPr>
            <w:tcW w:w="342"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0"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2"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2"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282" w:type="dxa"/>
            <w:vAlign w:val="center"/>
          </w:tcPr>
          <w:p w:rsidR="00481EDB" w:rsidRPr="00687B52" w:rsidRDefault="00481EDB" w:rsidP="00B527D4">
            <w:pPr>
              <w:jc w:val="center"/>
              <w:rPr>
                <w:color w:val="000000" w:themeColor="text1"/>
                <w:sz w:val="15"/>
              </w:rPr>
            </w:pPr>
          </w:p>
        </w:tc>
      </w:tr>
      <w:tr w:rsidR="00481EDB" w:rsidRPr="00687B52" w:rsidTr="00B527D4">
        <w:trPr>
          <w:cantSplit/>
          <w:trHeight w:val="917"/>
          <w:jc w:val="center"/>
        </w:trPr>
        <w:tc>
          <w:tcPr>
            <w:tcW w:w="920" w:type="dxa"/>
            <w:vAlign w:val="center"/>
          </w:tcPr>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sz w:val="15"/>
              </w:rPr>
              <w:t>氧化剂</w:t>
            </w:r>
          </w:p>
        </w:tc>
        <w:tc>
          <w:tcPr>
            <w:tcW w:w="2119"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一级无机</w:t>
            </w:r>
          </w:p>
          <w:p w:rsidR="00481EDB" w:rsidRPr="00687B52" w:rsidRDefault="00481EDB" w:rsidP="00B527D4">
            <w:pPr>
              <w:jc w:val="center"/>
              <w:rPr>
                <w:color w:val="000000" w:themeColor="text1"/>
                <w:sz w:val="15"/>
              </w:rPr>
            </w:pPr>
            <w:r w:rsidRPr="00687B52">
              <w:rPr>
                <w:rFonts w:hint="eastAsia"/>
                <w:color w:val="000000" w:themeColor="text1"/>
                <w:sz w:val="15"/>
              </w:rPr>
              <w:t>一级有机</w:t>
            </w:r>
          </w:p>
          <w:p w:rsidR="00481EDB" w:rsidRPr="00687B52" w:rsidRDefault="00481EDB" w:rsidP="00B527D4">
            <w:pPr>
              <w:jc w:val="center"/>
              <w:rPr>
                <w:color w:val="000000" w:themeColor="text1"/>
                <w:sz w:val="15"/>
              </w:rPr>
            </w:pPr>
            <w:r w:rsidRPr="00687B52">
              <w:rPr>
                <w:rFonts w:hint="eastAsia"/>
                <w:color w:val="000000" w:themeColor="text1"/>
                <w:sz w:val="15"/>
              </w:rPr>
              <w:t>二级无机</w:t>
            </w:r>
          </w:p>
          <w:p w:rsidR="00481EDB" w:rsidRPr="00687B52" w:rsidRDefault="00481EDB" w:rsidP="00B527D4">
            <w:pPr>
              <w:jc w:val="center"/>
              <w:rPr>
                <w:color w:val="000000" w:themeColor="text1"/>
                <w:sz w:val="15"/>
              </w:rPr>
            </w:pPr>
            <w:r w:rsidRPr="00687B52">
              <w:rPr>
                <w:rFonts w:hint="eastAsia"/>
                <w:color w:val="000000" w:themeColor="text1"/>
                <w:sz w:val="15"/>
              </w:rPr>
              <w:t>二级有机</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6"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0"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①</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О</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2" w:type="dxa"/>
            <w:vAlign w:val="center"/>
          </w:tcPr>
          <w:p w:rsidR="00481EDB" w:rsidRPr="00687B52" w:rsidRDefault="00481EDB" w:rsidP="00B527D4">
            <w:pPr>
              <w:jc w:val="center"/>
              <w:rPr>
                <w:color w:val="000000" w:themeColor="text1"/>
                <w:sz w:val="15"/>
              </w:rPr>
            </w:pP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w:t>
            </w:r>
          </w:p>
        </w:tc>
        <w:tc>
          <w:tcPr>
            <w:tcW w:w="341" w:type="dxa"/>
            <w:vAlign w:val="center"/>
          </w:tcPr>
          <w:p w:rsidR="00481EDB" w:rsidRPr="00687B52" w:rsidRDefault="00481EDB" w:rsidP="00B527D4">
            <w:pPr>
              <w:jc w:val="center"/>
              <w:rPr>
                <w:rFonts w:ascii="宋体" w:hAnsi="宋体"/>
                <w:color w:val="000000" w:themeColor="text1"/>
                <w:sz w:val="15"/>
              </w:rPr>
            </w:pPr>
          </w:p>
          <w:p w:rsidR="00481EDB" w:rsidRPr="00687B52" w:rsidRDefault="00481EDB" w:rsidP="00B527D4">
            <w:pPr>
              <w:jc w:val="center"/>
              <w:rPr>
                <w:rFonts w:ascii="宋体" w:hAnsi="宋体"/>
                <w:color w:val="000000" w:themeColor="text1"/>
                <w:sz w:val="15"/>
              </w:rPr>
            </w:pP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②</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color w:val="000000" w:themeColor="text1"/>
                <w:sz w:val="15"/>
              </w:rPr>
            </w:pPr>
          </w:p>
          <w:p w:rsidR="00481EDB" w:rsidRPr="00687B52" w:rsidRDefault="00481EDB" w:rsidP="00B527D4">
            <w:pPr>
              <w:jc w:val="center"/>
              <w:rPr>
                <w:color w:val="000000" w:themeColor="text1"/>
                <w:sz w:val="15"/>
              </w:rPr>
            </w:pPr>
          </w:p>
          <w:p w:rsidR="00481EDB" w:rsidRPr="00687B52" w:rsidRDefault="00481EDB" w:rsidP="00B527D4">
            <w:pPr>
              <w:jc w:val="center"/>
              <w:rPr>
                <w:color w:val="000000" w:themeColor="text1"/>
                <w:sz w:val="15"/>
              </w:rPr>
            </w:pP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w:t>
            </w:r>
          </w:p>
        </w:tc>
        <w:tc>
          <w:tcPr>
            <w:tcW w:w="344"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2" w:type="dxa"/>
            <w:vAlign w:val="center"/>
          </w:tcPr>
          <w:p w:rsidR="00481EDB" w:rsidRPr="00687B52" w:rsidRDefault="00481EDB" w:rsidP="00B527D4">
            <w:pPr>
              <w:jc w:val="center"/>
              <w:rPr>
                <w:color w:val="000000" w:themeColor="text1"/>
                <w:sz w:val="15"/>
              </w:rPr>
            </w:pPr>
          </w:p>
        </w:tc>
        <w:tc>
          <w:tcPr>
            <w:tcW w:w="342"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0"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2"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2"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282" w:type="dxa"/>
            <w:vAlign w:val="center"/>
          </w:tcPr>
          <w:p w:rsidR="00481EDB" w:rsidRPr="00687B52" w:rsidRDefault="00481EDB" w:rsidP="00B527D4">
            <w:pPr>
              <w:jc w:val="center"/>
              <w:rPr>
                <w:color w:val="000000" w:themeColor="text1"/>
                <w:sz w:val="15"/>
              </w:rPr>
            </w:pPr>
          </w:p>
        </w:tc>
      </w:tr>
      <w:tr w:rsidR="00481EDB" w:rsidRPr="00687B52" w:rsidTr="00B527D4">
        <w:trPr>
          <w:cantSplit/>
          <w:trHeight w:val="917"/>
          <w:jc w:val="center"/>
        </w:trPr>
        <w:tc>
          <w:tcPr>
            <w:tcW w:w="920" w:type="dxa"/>
            <w:vAlign w:val="center"/>
          </w:tcPr>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sz w:val="15"/>
              </w:rPr>
              <w:t>压缩气体和液化气体</w:t>
            </w:r>
          </w:p>
        </w:tc>
        <w:tc>
          <w:tcPr>
            <w:tcW w:w="2119"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具毒（液氨和液氯有抵触）</w:t>
            </w:r>
          </w:p>
          <w:p w:rsidR="00481EDB" w:rsidRPr="00687B52" w:rsidRDefault="00481EDB" w:rsidP="00B527D4">
            <w:pPr>
              <w:jc w:val="center"/>
              <w:rPr>
                <w:color w:val="000000" w:themeColor="text1"/>
                <w:sz w:val="15"/>
              </w:rPr>
            </w:pPr>
            <w:r w:rsidRPr="00687B52">
              <w:rPr>
                <w:rFonts w:hint="eastAsia"/>
                <w:color w:val="000000" w:themeColor="text1"/>
                <w:sz w:val="15"/>
              </w:rPr>
              <w:t>易燃</w:t>
            </w:r>
          </w:p>
          <w:p w:rsidR="00481EDB" w:rsidRPr="00687B52" w:rsidRDefault="00481EDB" w:rsidP="00B527D4">
            <w:pPr>
              <w:jc w:val="center"/>
              <w:rPr>
                <w:color w:val="000000" w:themeColor="text1"/>
                <w:sz w:val="15"/>
              </w:rPr>
            </w:pPr>
            <w:r w:rsidRPr="00687B52">
              <w:rPr>
                <w:rFonts w:hint="eastAsia"/>
                <w:color w:val="000000" w:themeColor="text1"/>
                <w:sz w:val="15"/>
              </w:rPr>
              <w:t>助燃</w:t>
            </w:r>
          </w:p>
          <w:p w:rsidR="00481EDB" w:rsidRPr="00687B52" w:rsidRDefault="00481EDB" w:rsidP="00B527D4">
            <w:pPr>
              <w:jc w:val="center"/>
              <w:rPr>
                <w:color w:val="000000" w:themeColor="text1"/>
                <w:sz w:val="15"/>
              </w:rPr>
            </w:pPr>
            <w:r w:rsidRPr="00687B52">
              <w:rPr>
                <w:rFonts w:hint="eastAsia"/>
                <w:color w:val="000000" w:themeColor="text1"/>
                <w:sz w:val="15"/>
              </w:rPr>
              <w:t>不燃</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6"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0"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分</w:t>
            </w:r>
          </w:p>
        </w:tc>
        <w:tc>
          <w:tcPr>
            <w:tcW w:w="342"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消</w:t>
            </w:r>
          </w:p>
        </w:tc>
        <w:tc>
          <w:tcPr>
            <w:tcW w:w="341"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分</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分</w:t>
            </w:r>
          </w:p>
        </w:tc>
        <w:tc>
          <w:tcPr>
            <w:tcW w:w="341"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分</w:t>
            </w:r>
          </w:p>
        </w:tc>
        <w:tc>
          <w:tcPr>
            <w:tcW w:w="344"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О</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w:t>
            </w:r>
          </w:p>
        </w:tc>
        <w:tc>
          <w:tcPr>
            <w:tcW w:w="341" w:type="dxa"/>
            <w:vAlign w:val="center"/>
          </w:tcPr>
          <w:p w:rsidR="00481EDB" w:rsidRPr="00687B52" w:rsidRDefault="00481EDB" w:rsidP="00B527D4">
            <w:pPr>
              <w:jc w:val="center"/>
              <w:rPr>
                <w:color w:val="000000" w:themeColor="text1"/>
                <w:sz w:val="15"/>
              </w:rPr>
            </w:pP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О</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w:t>
            </w:r>
          </w:p>
        </w:tc>
        <w:tc>
          <w:tcPr>
            <w:tcW w:w="341" w:type="dxa"/>
            <w:vAlign w:val="center"/>
          </w:tcPr>
          <w:p w:rsidR="00481EDB" w:rsidRPr="00687B52" w:rsidRDefault="00481EDB" w:rsidP="00B527D4">
            <w:pPr>
              <w:jc w:val="center"/>
              <w:rPr>
                <w:color w:val="000000" w:themeColor="text1"/>
                <w:sz w:val="15"/>
              </w:rPr>
            </w:pPr>
          </w:p>
          <w:p w:rsidR="00481EDB" w:rsidRPr="00687B52" w:rsidRDefault="00481EDB" w:rsidP="00B527D4">
            <w:pPr>
              <w:jc w:val="center"/>
              <w:rPr>
                <w:color w:val="000000" w:themeColor="text1"/>
                <w:sz w:val="15"/>
              </w:rPr>
            </w:pP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О</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w:t>
            </w:r>
          </w:p>
        </w:tc>
        <w:tc>
          <w:tcPr>
            <w:tcW w:w="342" w:type="dxa"/>
            <w:vAlign w:val="center"/>
          </w:tcPr>
          <w:p w:rsidR="00481EDB" w:rsidRPr="00687B52" w:rsidRDefault="00481EDB" w:rsidP="00B527D4">
            <w:pPr>
              <w:jc w:val="center"/>
              <w:rPr>
                <w:color w:val="000000" w:themeColor="text1"/>
                <w:sz w:val="15"/>
              </w:rPr>
            </w:pPr>
          </w:p>
          <w:p w:rsidR="00481EDB" w:rsidRPr="00687B52" w:rsidRDefault="00481EDB" w:rsidP="00B527D4">
            <w:pPr>
              <w:jc w:val="center"/>
              <w:rPr>
                <w:color w:val="000000" w:themeColor="text1"/>
                <w:sz w:val="15"/>
              </w:rPr>
            </w:pPr>
          </w:p>
          <w:p w:rsidR="00481EDB" w:rsidRPr="00687B52" w:rsidRDefault="00481EDB" w:rsidP="00B527D4">
            <w:pPr>
              <w:jc w:val="center"/>
              <w:rPr>
                <w:color w:val="000000" w:themeColor="text1"/>
                <w:sz w:val="15"/>
              </w:rPr>
            </w:pP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w:t>
            </w:r>
          </w:p>
        </w:tc>
        <w:tc>
          <w:tcPr>
            <w:tcW w:w="342"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0"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2"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2"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282" w:type="dxa"/>
            <w:vAlign w:val="center"/>
          </w:tcPr>
          <w:p w:rsidR="00481EDB" w:rsidRPr="00687B52" w:rsidRDefault="00481EDB" w:rsidP="00B527D4">
            <w:pPr>
              <w:jc w:val="center"/>
              <w:rPr>
                <w:color w:val="000000" w:themeColor="text1"/>
                <w:sz w:val="15"/>
              </w:rPr>
            </w:pPr>
          </w:p>
        </w:tc>
      </w:tr>
      <w:tr w:rsidR="00481EDB" w:rsidRPr="00687B52" w:rsidTr="00B527D4">
        <w:trPr>
          <w:cantSplit/>
          <w:trHeight w:val="463"/>
          <w:jc w:val="center"/>
        </w:trPr>
        <w:tc>
          <w:tcPr>
            <w:tcW w:w="920" w:type="dxa"/>
            <w:vAlign w:val="center"/>
          </w:tcPr>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sz w:val="15"/>
              </w:rPr>
              <w:t>自然</w:t>
            </w:r>
          </w:p>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sz w:val="15"/>
              </w:rPr>
              <w:t>物品</w:t>
            </w:r>
          </w:p>
        </w:tc>
        <w:tc>
          <w:tcPr>
            <w:tcW w:w="2119"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一级</w:t>
            </w:r>
          </w:p>
          <w:p w:rsidR="00481EDB" w:rsidRPr="00687B52" w:rsidRDefault="00481EDB" w:rsidP="00B527D4">
            <w:pPr>
              <w:jc w:val="center"/>
              <w:rPr>
                <w:color w:val="000000" w:themeColor="text1"/>
                <w:sz w:val="15"/>
              </w:rPr>
            </w:pPr>
            <w:r w:rsidRPr="00687B52">
              <w:rPr>
                <w:rFonts w:hint="eastAsia"/>
                <w:color w:val="000000" w:themeColor="text1"/>
                <w:sz w:val="15"/>
              </w:rPr>
              <w:t>二级</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6"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0"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2"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4"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2"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2"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w:t>
            </w:r>
          </w:p>
        </w:tc>
        <w:tc>
          <w:tcPr>
            <w:tcW w:w="341" w:type="dxa"/>
            <w:vAlign w:val="center"/>
          </w:tcPr>
          <w:p w:rsidR="00481EDB" w:rsidRPr="00687B52" w:rsidRDefault="00481EDB" w:rsidP="00B527D4">
            <w:pPr>
              <w:jc w:val="center"/>
              <w:rPr>
                <w:color w:val="000000" w:themeColor="text1"/>
                <w:sz w:val="15"/>
              </w:rPr>
            </w:pP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w:t>
            </w:r>
          </w:p>
        </w:tc>
        <w:tc>
          <w:tcPr>
            <w:tcW w:w="340"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2"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2"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282" w:type="dxa"/>
            <w:vAlign w:val="center"/>
          </w:tcPr>
          <w:p w:rsidR="00481EDB" w:rsidRPr="00687B52" w:rsidRDefault="00481EDB" w:rsidP="00B527D4">
            <w:pPr>
              <w:jc w:val="center"/>
              <w:rPr>
                <w:color w:val="000000" w:themeColor="text1"/>
                <w:sz w:val="15"/>
              </w:rPr>
            </w:pPr>
          </w:p>
        </w:tc>
      </w:tr>
      <w:tr w:rsidR="00481EDB" w:rsidRPr="00687B52" w:rsidTr="00B527D4">
        <w:trPr>
          <w:cantSplit/>
          <w:trHeight w:val="463"/>
          <w:jc w:val="center"/>
        </w:trPr>
        <w:tc>
          <w:tcPr>
            <w:tcW w:w="920" w:type="dxa"/>
            <w:vAlign w:val="center"/>
          </w:tcPr>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sz w:val="15"/>
              </w:rPr>
              <w:t>遇水燃</w:t>
            </w:r>
          </w:p>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sz w:val="15"/>
              </w:rPr>
              <w:t>烧物品</w:t>
            </w:r>
          </w:p>
        </w:tc>
        <w:tc>
          <w:tcPr>
            <w:tcW w:w="2119"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一级</w:t>
            </w:r>
          </w:p>
          <w:p w:rsidR="00481EDB" w:rsidRPr="00687B52" w:rsidRDefault="00481EDB" w:rsidP="00B527D4">
            <w:pPr>
              <w:jc w:val="center"/>
              <w:rPr>
                <w:color w:val="000000" w:themeColor="text1"/>
                <w:sz w:val="15"/>
              </w:rPr>
            </w:pPr>
            <w:r w:rsidRPr="00687B52">
              <w:rPr>
                <w:rFonts w:hint="eastAsia"/>
                <w:color w:val="000000" w:themeColor="text1"/>
                <w:sz w:val="15"/>
              </w:rPr>
              <w:t>二级</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6"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0"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2"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4"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消</w:t>
            </w:r>
          </w:p>
        </w:tc>
        <w:tc>
          <w:tcPr>
            <w:tcW w:w="341"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2"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×消</w:t>
            </w:r>
          </w:p>
        </w:tc>
        <w:tc>
          <w:tcPr>
            <w:tcW w:w="342"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×消</w:t>
            </w:r>
          </w:p>
        </w:tc>
        <w:tc>
          <w:tcPr>
            <w:tcW w:w="340"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3" w:type="dxa"/>
            <w:vAlign w:val="center"/>
          </w:tcPr>
          <w:p w:rsidR="00481EDB" w:rsidRPr="00687B52" w:rsidRDefault="00481EDB" w:rsidP="00B527D4">
            <w:pPr>
              <w:jc w:val="center"/>
              <w:rPr>
                <w:color w:val="000000" w:themeColor="text1"/>
                <w:sz w:val="15"/>
              </w:rPr>
            </w:pP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w:t>
            </w:r>
          </w:p>
        </w:tc>
        <w:tc>
          <w:tcPr>
            <w:tcW w:w="343"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2"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2"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282" w:type="dxa"/>
            <w:vAlign w:val="center"/>
          </w:tcPr>
          <w:p w:rsidR="00481EDB" w:rsidRPr="00687B52" w:rsidRDefault="00481EDB" w:rsidP="00B527D4">
            <w:pPr>
              <w:jc w:val="center"/>
              <w:rPr>
                <w:color w:val="000000" w:themeColor="text1"/>
                <w:sz w:val="15"/>
              </w:rPr>
            </w:pPr>
          </w:p>
        </w:tc>
      </w:tr>
      <w:tr w:rsidR="00481EDB" w:rsidRPr="00687B52" w:rsidTr="00B527D4">
        <w:trPr>
          <w:cantSplit/>
          <w:trHeight w:val="463"/>
          <w:jc w:val="center"/>
        </w:trPr>
        <w:tc>
          <w:tcPr>
            <w:tcW w:w="920" w:type="dxa"/>
            <w:vAlign w:val="center"/>
          </w:tcPr>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sz w:val="15"/>
              </w:rPr>
              <w:t>易燃</w:t>
            </w:r>
          </w:p>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sz w:val="15"/>
              </w:rPr>
              <w:t>液体</w:t>
            </w:r>
          </w:p>
        </w:tc>
        <w:tc>
          <w:tcPr>
            <w:tcW w:w="2119"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一级</w:t>
            </w:r>
          </w:p>
          <w:p w:rsidR="00481EDB" w:rsidRPr="00687B52" w:rsidRDefault="00481EDB" w:rsidP="00B527D4">
            <w:pPr>
              <w:jc w:val="center"/>
              <w:rPr>
                <w:color w:val="000000" w:themeColor="text1"/>
                <w:sz w:val="15"/>
              </w:rPr>
            </w:pPr>
            <w:r w:rsidRPr="00687B52">
              <w:rPr>
                <w:rFonts w:hint="eastAsia"/>
                <w:color w:val="000000" w:themeColor="text1"/>
                <w:sz w:val="15"/>
              </w:rPr>
              <w:t>二级</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6"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0"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2"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b/>
                <w:bCs/>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b/>
                <w:bCs/>
                <w:color w:val="000000" w:themeColor="text1"/>
                <w:sz w:val="15"/>
              </w:rPr>
            </w:pPr>
            <w:r w:rsidRPr="00687B52">
              <w:rPr>
                <w:rFonts w:ascii="宋体" w:hAnsi="宋体" w:hint="eastAsia"/>
                <w:color w:val="000000" w:themeColor="text1"/>
                <w:sz w:val="15"/>
              </w:rPr>
              <w:t>×</w:t>
            </w:r>
          </w:p>
        </w:tc>
        <w:tc>
          <w:tcPr>
            <w:tcW w:w="344"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b/>
                <w:bCs/>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2"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2"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0"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3"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3"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ОО</w:t>
            </w:r>
          </w:p>
        </w:tc>
        <w:tc>
          <w:tcPr>
            <w:tcW w:w="341" w:type="dxa"/>
            <w:vAlign w:val="center"/>
          </w:tcPr>
          <w:p w:rsidR="00481EDB" w:rsidRPr="00687B52" w:rsidRDefault="00481EDB" w:rsidP="00B527D4">
            <w:pPr>
              <w:jc w:val="center"/>
              <w:rPr>
                <w:color w:val="000000" w:themeColor="text1"/>
                <w:sz w:val="15"/>
              </w:rPr>
            </w:pP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w:t>
            </w: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2"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2"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282" w:type="dxa"/>
            <w:vAlign w:val="center"/>
          </w:tcPr>
          <w:p w:rsidR="00481EDB" w:rsidRPr="00687B52" w:rsidRDefault="00481EDB" w:rsidP="00B527D4">
            <w:pPr>
              <w:jc w:val="center"/>
              <w:rPr>
                <w:color w:val="000000" w:themeColor="text1"/>
                <w:sz w:val="15"/>
              </w:rPr>
            </w:pPr>
          </w:p>
        </w:tc>
      </w:tr>
      <w:tr w:rsidR="00481EDB" w:rsidRPr="00687B52" w:rsidTr="00B527D4">
        <w:trPr>
          <w:cantSplit/>
          <w:trHeight w:val="463"/>
          <w:jc w:val="center"/>
        </w:trPr>
        <w:tc>
          <w:tcPr>
            <w:tcW w:w="920" w:type="dxa"/>
            <w:vAlign w:val="center"/>
          </w:tcPr>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sz w:val="15"/>
              </w:rPr>
              <w:t>易燃</w:t>
            </w:r>
          </w:p>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sz w:val="15"/>
              </w:rPr>
              <w:t>固体</w:t>
            </w:r>
          </w:p>
        </w:tc>
        <w:tc>
          <w:tcPr>
            <w:tcW w:w="2119"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一级</w:t>
            </w:r>
          </w:p>
          <w:p w:rsidR="00481EDB" w:rsidRPr="00687B52" w:rsidRDefault="00481EDB" w:rsidP="00B527D4">
            <w:pPr>
              <w:jc w:val="center"/>
              <w:rPr>
                <w:color w:val="000000" w:themeColor="text1"/>
                <w:sz w:val="15"/>
              </w:rPr>
            </w:pPr>
            <w:r w:rsidRPr="00687B52">
              <w:rPr>
                <w:rFonts w:hint="eastAsia"/>
                <w:color w:val="000000" w:themeColor="text1"/>
                <w:sz w:val="15"/>
              </w:rPr>
              <w:t>二级</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6"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0"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2"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b/>
                <w:bCs/>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b/>
                <w:bCs/>
                <w:color w:val="000000" w:themeColor="text1"/>
                <w:sz w:val="15"/>
              </w:rPr>
            </w:pPr>
            <w:r w:rsidRPr="00687B52">
              <w:rPr>
                <w:rFonts w:ascii="宋体" w:hAnsi="宋体" w:hint="eastAsia"/>
                <w:color w:val="000000" w:themeColor="text1"/>
                <w:sz w:val="15"/>
              </w:rPr>
              <w:t>×</w:t>
            </w:r>
          </w:p>
        </w:tc>
        <w:tc>
          <w:tcPr>
            <w:tcW w:w="344"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b/>
                <w:bCs/>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2"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2"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0"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3"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3"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消消</w:t>
            </w:r>
          </w:p>
        </w:tc>
        <w:tc>
          <w:tcPr>
            <w:tcW w:w="341"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消消</w:t>
            </w:r>
          </w:p>
        </w:tc>
        <w:tc>
          <w:tcPr>
            <w:tcW w:w="341"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ОО</w:t>
            </w:r>
          </w:p>
        </w:tc>
        <w:tc>
          <w:tcPr>
            <w:tcW w:w="341" w:type="dxa"/>
            <w:vAlign w:val="center"/>
          </w:tcPr>
          <w:p w:rsidR="00481EDB" w:rsidRPr="00687B52" w:rsidRDefault="00481EDB" w:rsidP="00B527D4">
            <w:pPr>
              <w:jc w:val="center"/>
              <w:rPr>
                <w:color w:val="000000" w:themeColor="text1"/>
                <w:sz w:val="15"/>
              </w:rPr>
            </w:pPr>
          </w:p>
          <w:p w:rsidR="00481EDB" w:rsidRPr="00687B52" w:rsidRDefault="00481EDB" w:rsidP="00B527D4">
            <w:pPr>
              <w:jc w:val="center"/>
              <w:rPr>
                <w:b/>
                <w:bCs/>
                <w:color w:val="000000" w:themeColor="text1"/>
                <w:sz w:val="15"/>
              </w:rPr>
            </w:pPr>
            <w:r w:rsidRPr="00687B52">
              <w:rPr>
                <w:rFonts w:ascii="宋体" w:hAnsi="宋体" w:hint="eastAsia"/>
                <w:color w:val="000000" w:themeColor="text1"/>
                <w:sz w:val="15"/>
              </w:rPr>
              <w:t>О</w:t>
            </w:r>
          </w:p>
        </w:tc>
        <w:tc>
          <w:tcPr>
            <w:tcW w:w="342"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2"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282" w:type="dxa"/>
            <w:vAlign w:val="center"/>
          </w:tcPr>
          <w:p w:rsidR="00481EDB" w:rsidRPr="00687B52" w:rsidRDefault="00481EDB" w:rsidP="00B527D4">
            <w:pPr>
              <w:jc w:val="center"/>
              <w:rPr>
                <w:color w:val="000000" w:themeColor="text1"/>
                <w:sz w:val="15"/>
              </w:rPr>
            </w:pPr>
          </w:p>
        </w:tc>
      </w:tr>
      <w:tr w:rsidR="00481EDB" w:rsidRPr="00687B52" w:rsidTr="00B527D4">
        <w:trPr>
          <w:cantSplit/>
          <w:trHeight w:val="917"/>
          <w:jc w:val="center"/>
        </w:trPr>
        <w:tc>
          <w:tcPr>
            <w:tcW w:w="920" w:type="dxa"/>
            <w:vAlign w:val="center"/>
          </w:tcPr>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sz w:val="15"/>
              </w:rPr>
              <w:t>毒害</w:t>
            </w:r>
          </w:p>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sz w:val="15"/>
              </w:rPr>
              <w:t>物品</w:t>
            </w:r>
          </w:p>
        </w:tc>
        <w:tc>
          <w:tcPr>
            <w:tcW w:w="2119"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剧毒无机</w:t>
            </w:r>
          </w:p>
          <w:p w:rsidR="00481EDB" w:rsidRPr="00687B52" w:rsidRDefault="00481EDB" w:rsidP="00B527D4">
            <w:pPr>
              <w:jc w:val="center"/>
              <w:rPr>
                <w:color w:val="000000" w:themeColor="text1"/>
                <w:sz w:val="15"/>
              </w:rPr>
            </w:pPr>
            <w:r w:rsidRPr="00687B52">
              <w:rPr>
                <w:rFonts w:hint="eastAsia"/>
                <w:color w:val="000000" w:themeColor="text1"/>
                <w:sz w:val="15"/>
              </w:rPr>
              <w:t>剧毒有机</w:t>
            </w:r>
          </w:p>
          <w:p w:rsidR="00481EDB" w:rsidRPr="00687B52" w:rsidRDefault="00481EDB" w:rsidP="00B527D4">
            <w:pPr>
              <w:jc w:val="center"/>
              <w:rPr>
                <w:color w:val="000000" w:themeColor="text1"/>
                <w:sz w:val="15"/>
              </w:rPr>
            </w:pPr>
            <w:r w:rsidRPr="00687B52">
              <w:rPr>
                <w:rFonts w:hint="eastAsia"/>
                <w:color w:val="000000" w:themeColor="text1"/>
                <w:sz w:val="15"/>
              </w:rPr>
              <w:t>有毒无机</w:t>
            </w:r>
          </w:p>
          <w:p w:rsidR="00481EDB" w:rsidRPr="00687B52" w:rsidRDefault="00481EDB" w:rsidP="00B527D4">
            <w:pPr>
              <w:jc w:val="center"/>
              <w:rPr>
                <w:color w:val="000000" w:themeColor="text1"/>
                <w:sz w:val="15"/>
              </w:rPr>
            </w:pPr>
            <w:r w:rsidRPr="00687B52">
              <w:rPr>
                <w:rFonts w:hint="eastAsia"/>
                <w:color w:val="000000" w:themeColor="text1"/>
                <w:sz w:val="15"/>
              </w:rPr>
              <w:t>有毒有机</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6"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0"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分</w:t>
            </w:r>
            <w:r w:rsidRPr="00687B52">
              <w:rPr>
                <w:rFonts w:ascii="宋体" w:hAnsi="宋体" w:hint="eastAsia"/>
                <w:color w:val="000000" w:themeColor="text1"/>
                <w:sz w:val="15"/>
              </w:rPr>
              <w:t>×分×</w:t>
            </w:r>
          </w:p>
        </w:tc>
        <w:tc>
          <w:tcPr>
            <w:tcW w:w="342"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分</w:t>
            </w:r>
            <w:r w:rsidRPr="00687B52">
              <w:rPr>
                <w:rFonts w:ascii="宋体" w:hAnsi="宋体" w:hint="eastAsia"/>
                <w:color w:val="000000" w:themeColor="text1"/>
                <w:sz w:val="15"/>
              </w:rPr>
              <w:t>×分×</w:t>
            </w:r>
          </w:p>
        </w:tc>
        <w:tc>
          <w:tcPr>
            <w:tcW w:w="341"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消</w:t>
            </w:r>
            <w:r w:rsidRPr="00687B52">
              <w:rPr>
                <w:rFonts w:ascii="宋体" w:hAnsi="宋体" w:hint="eastAsia"/>
                <w:color w:val="000000" w:themeColor="text1"/>
                <w:sz w:val="15"/>
              </w:rPr>
              <w:t>×分×</w:t>
            </w:r>
          </w:p>
        </w:tc>
        <w:tc>
          <w:tcPr>
            <w:tcW w:w="344"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分</w:t>
            </w:r>
            <w:r w:rsidRPr="00687B52">
              <w:rPr>
                <w:rFonts w:ascii="宋体" w:hAnsi="宋体" w:hint="eastAsia"/>
                <w:color w:val="000000" w:themeColor="text1"/>
                <w:sz w:val="15"/>
              </w:rPr>
              <w:t>×分×</w:t>
            </w:r>
          </w:p>
        </w:tc>
        <w:tc>
          <w:tcPr>
            <w:tcW w:w="341" w:type="dxa"/>
            <w:vAlign w:val="center"/>
          </w:tcPr>
          <w:p w:rsidR="00481EDB" w:rsidRPr="00687B52" w:rsidRDefault="00481EDB" w:rsidP="00A41C55">
            <w:pPr>
              <w:jc w:val="center"/>
              <w:outlineLvl w:val="0"/>
              <w:rPr>
                <w:color w:val="000000" w:themeColor="text1"/>
                <w:sz w:val="15"/>
              </w:rPr>
            </w:pPr>
            <w:bookmarkStart w:id="243" w:name="_Toc492555583"/>
            <w:bookmarkStart w:id="244" w:name="_Toc492557266"/>
            <w:bookmarkStart w:id="245" w:name="_Toc492557336"/>
            <w:r w:rsidRPr="00687B52">
              <w:rPr>
                <w:rFonts w:hint="eastAsia"/>
                <w:color w:val="000000" w:themeColor="text1"/>
                <w:sz w:val="15"/>
              </w:rPr>
              <w:t>分</w:t>
            </w:r>
            <w:r w:rsidRPr="00687B52">
              <w:rPr>
                <w:rFonts w:ascii="宋体" w:hAnsi="宋体" w:hint="eastAsia"/>
                <w:color w:val="000000" w:themeColor="text1"/>
                <w:sz w:val="15"/>
              </w:rPr>
              <w:t>×分×</w:t>
            </w:r>
            <w:bookmarkEnd w:id="243"/>
            <w:bookmarkEnd w:id="244"/>
            <w:bookmarkEnd w:id="245"/>
          </w:p>
        </w:tc>
        <w:tc>
          <w:tcPr>
            <w:tcW w:w="341"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分</w:t>
            </w:r>
            <w:r w:rsidRPr="00687B52">
              <w:rPr>
                <w:rFonts w:ascii="宋体" w:hAnsi="宋体" w:hint="eastAsia"/>
                <w:color w:val="000000" w:themeColor="text1"/>
                <w:sz w:val="15"/>
              </w:rPr>
              <w:t>×分×</w:t>
            </w:r>
          </w:p>
        </w:tc>
        <w:tc>
          <w:tcPr>
            <w:tcW w:w="342"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分</w:t>
            </w:r>
            <w:r w:rsidRPr="00687B52">
              <w:rPr>
                <w:rFonts w:ascii="宋体" w:hAnsi="宋体" w:hint="eastAsia"/>
                <w:color w:val="000000" w:themeColor="text1"/>
                <w:sz w:val="15"/>
              </w:rPr>
              <w:t>×分×</w:t>
            </w:r>
          </w:p>
        </w:tc>
        <w:tc>
          <w:tcPr>
            <w:tcW w:w="342" w:type="dxa"/>
            <w:vAlign w:val="center"/>
          </w:tcPr>
          <w:p w:rsidR="00481EDB" w:rsidRPr="00687B52" w:rsidRDefault="00481EDB" w:rsidP="00A41C55">
            <w:pPr>
              <w:jc w:val="center"/>
              <w:outlineLvl w:val="0"/>
              <w:rPr>
                <w:color w:val="000000" w:themeColor="text1"/>
                <w:sz w:val="15"/>
              </w:rPr>
            </w:pPr>
            <w:bookmarkStart w:id="246" w:name="_Toc492555584"/>
            <w:bookmarkStart w:id="247" w:name="_Toc492557267"/>
            <w:bookmarkStart w:id="248" w:name="_Toc492557337"/>
            <w:r w:rsidRPr="00687B52">
              <w:rPr>
                <w:rFonts w:ascii="宋体" w:hAnsi="宋体" w:hint="eastAsia"/>
                <w:color w:val="000000" w:themeColor="text1"/>
                <w:sz w:val="15"/>
              </w:rPr>
              <w:t>××××</w:t>
            </w:r>
            <w:bookmarkEnd w:id="246"/>
            <w:bookmarkEnd w:id="247"/>
            <w:bookmarkEnd w:id="248"/>
          </w:p>
        </w:tc>
        <w:tc>
          <w:tcPr>
            <w:tcW w:w="341"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分</w:t>
            </w:r>
            <w:r w:rsidRPr="00687B52">
              <w:rPr>
                <w:rFonts w:ascii="宋体" w:hAnsi="宋体" w:hint="eastAsia"/>
                <w:color w:val="000000" w:themeColor="text1"/>
                <w:sz w:val="15"/>
              </w:rPr>
              <w:t>×分×</w:t>
            </w:r>
          </w:p>
        </w:tc>
        <w:tc>
          <w:tcPr>
            <w:tcW w:w="340"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消</w:t>
            </w:r>
            <w:r w:rsidRPr="00687B52">
              <w:rPr>
                <w:rFonts w:ascii="宋体" w:hAnsi="宋体" w:hint="eastAsia"/>
                <w:color w:val="000000" w:themeColor="text1"/>
                <w:sz w:val="15"/>
              </w:rPr>
              <w:t>×消×</w:t>
            </w:r>
          </w:p>
        </w:tc>
        <w:tc>
          <w:tcPr>
            <w:tcW w:w="343"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消</w:t>
            </w:r>
            <w:r w:rsidRPr="00687B52">
              <w:rPr>
                <w:rFonts w:ascii="宋体" w:hAnsi="宋体" w:hint="eastAsia"/>
                <w:color w:val="000000" w:themeColor="text1"/>
                <w:sz w:val="15"/>
              </w:rPr>
              <w:t>×消×</w:t>
            </w:r>
          </w:p>
        </w:tc>
        <w:tc>
          <w:tcPr>
            <w:tcW w:w="343"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消</w:t>
            </w:r>
            <w:r w:rsidRPr="00687B52">
              <w:rPr>
                <w:rFonts w:ascii="宋体" w:hAnsi="宋体" w:hint="eastAsia"/>
                <w:color w:val="000000" w:themeColor="text1"/>
                <w:sz w:val="15"/>
              </w:rPr>
              <w:t>×消×</w:t>
            </w:r>
          </w:p>
        </w:tc>
        <w:tc>
          <w:tcPr>
            <w:tcW w:w="341"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消</w:t>
            </w:r>
            <w:r w:rsidRPr="00687B52">
              <w:rPr>
                <w:rFonts w:ascii="宋体" w:hAnsi="宋体" w:hint="eastAsia"/>
                <w:color w:val="000000" w:themeColor="text1"/>
                <w:sz w:val="15"/>
              </w:rPr>
              <w:t>×消×</w:t>
            </w:r>
          </w:p>
        </w:tc>
        <w:tc>
          <w:tcPr>
            <w:tcW w:w="341"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分</w:t>
            </w:r>
            <w:r w:rsidRPr="00687B52">
              <w:rPr>
                <w:rFonts w:ascii="宋体" w:hAnsi="宋体" w:hint="eastAsia"/>
                <w:color w:val="000000" w:themeColor="text1"/>
                <w:sz w:val="15"/>
              </w:rPr>
              <w:t>×分消</w:t>
            </w:r>
          </w:p>
        </w:tc>
        <w:tc>
          <w:tcPr>
            <w:tcW w:w="341"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分</w:t>
            </w:r>
            <w:r w:rsidRPr="00687B52">
              <w:rPr>
                <w:rFonts w:ascii="宋体" w:hAnsi="宋体" w:hint="eastAsia"/>
                <w:color w:val="000000" w:themeColor="text1"/>
                <w:sz w:val="15"/>
              </w:rPr>
              <w:t>×分消</w:t>
            </w:r>
          </w:p>
        </w:tc>
        <w:tc>
          <w:tcPr>
            <w:tcW w:w="342"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ОООО</w:t>
            </w:r>
          </w:p>
        </w:tc>
        <w:tc>
          <w:tcPr>
            <w:tcW w:w="341" w:type="dxa"/>
            <w:vAlign w:val="center"/>
          </w:tcPr>
          <w:p w:rsidR="00481EDB" w:rsidRPr="00687B52" w:rsidRDefault="00481EDB" w:rsidP="00B527D4">
            <w:pPr>
              <w:jc w:val="center"/>
              <w:rPr>
                <w:rFonts w:ascii="宋体" w:hAnsi="宋体"/>
                <w:color w:val="000000" w:themeColor="text1"/>
                <w:sz w:val="15"/>
              </w:rPr>
            </w:pP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ООО</w:t>
            </w:r>
          </w:p>
        </w:tc>
        <w:tc>
          <w:tcPr>
            <w:tcW w:w="342" w:type="dxa"/>
            <w:vAlign w:val="center"/>
          </w:tcPr>
          <w:p w:rsidR="00481EDB" w:rsidRPr="00687B52" w:rsidRDefault="00481EDB" w:rsidP="00B527D4">
            <w:pPr>
              <w:jc w:val="center"/>
              <w:rPr>
                <w:color w:val="000000" w:themeColor="text1"/>
                <w:sz w:val="15"/>
              </w:rPr>
            </w:pPr>
          </w:p>
          <w:p w:rsidR="00481EDB" w:rsidRPr="00687B52" w:rsidRDefault="00481EDB" w:rsidP="00B527D4">
            <w:pPr>
              <w:jc w:val="center"/>
              <w:rPr>
                <w:color w:val="000000" w:themeColor="text1"/>
                <w:sz w:val="15"/>
              </w:rPr>
            </w:pP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ОО</w:t>
            </w:r>
          </w:p>
        </w:tc>
        <w:tc>
          <w:tcPr>
            <w:tcW w:w="341" w:type="dxa"/>
            <w:vAlign w:val="center"/>
          </w:tcPr>
          <w:p w:rsidR="00481EDB" w:rsidRPr="00687B52" w:rsidRDefault="00481EDB" w:rsidP="00B527D4">
            <w:pPr>
              <w:jc w:val="center"/>
              <w:rPr>
                <w:color w:val="000000" w:themeColor="text1"/>
                <w:sz w:val="15"/>
              </w:rPr>
            </w:pPr>
          </w:p>
          <w:p w:rsidR="00481EDB" w:rsidRPr="00687B52" w:rsidRDefault="00481EDB" w:rsidP="00B527D4">
            <w:pPr>
              <w:jc w:val="center"/>
              <w:rPr>
                <w:color w:val="000000" w:themeColor="text1"/>
                <w:sz w:val="15"/>
              </w:rPr>
            </w:pPr>
          </w:p>
          <w:p w:rsidR="00481EDB" w:rsidRPr="00687B52" w:rsidRDefault="00481EDB" w:rsidP="00B527D4">
            <w:pPr>
              <w:jc w:val="center"/>
              <w:rPr>
                <w:color w:val="000000" w:themeColor="text1"/>
                <w:sz w:val="15"/>
              </w:rPr>
            </w:pP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w:t>
            </w:r>
          </w:p>
        </w:tc>
        <w:tc>
          <w:tcPr>
            <w:tcW w:w="341" w:type="dxa"/>
            <w:vAlign w:val="center"/>
          </w:tcPr>
          <w:p w:rsidR="00481EDB" w:rsidRPr="00687B52" w:rsidRDefault="00481EDB" w:rsidP="00B527D4">
            <w:pPr>
              <w:jc w:val="center"/>
              <w:rPr>
                <w:color w:val="000000" w:themeColor="text1"/>
                <w:sz w:val="15"/>
              </w:rPr>
            </w:pPr>
          </w:p>
        </w:tc>
        <w:tc>
          <w:tcPr>
            <w:tcW w:w="341"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282" w:type="dxa"/>
            <w:vAlign w:val="center"/>
          </w:tcPr>
          <w:p w:rsidR="00481EDB" w:rsidRPr="00687B52" w:rsidRDefault="00481EDB" w:rsidP="00B527D4">
            <w:pPr>
              <w:jc w:val="center"/>
              <w:rPr>
                <w:color w:val="000000" w:themeColor="text1"/>
                <w:sz w:val="15"/>
              </w:rPr>
            </w:pPr>
          </w:p>
        </w:tc>
      </w:tr>
      <w:tr w:rsidR="00481EDB" w:rsidRPr="00687B52" w:rsidTr="00B527D4">
        <w:trPr>
          <w:cantSplit/>
          <w:trHeight w:val="463"/>
          <w:jc w:val="center"/>
        </w:trPr>
        <w:tc>
          <w:tcPr>
            <w:tcW w:w="920" w:type="dxa"/>
            <w:vMerge w:val="restart"/>
            <w:vAlign w:val="center"/>
          </w:tcPr>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sz w:val="15"/>
              </w:rPr>
              <w:t>腐蚀性物品</w:t>
            </w:r>
          </w:p>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sz w:val="15"/>
              </w:rPr>
              <w:t>酸性</w:t>
            </w:r>
          </w:p>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sz w:val="15"/>
              </w:rPr>
              <w:t>碱性</w:t>
            </w:r>
          </w:p>
        </w:tc>
        <w:tc>
          <w:tcPr>
            <w:tcW w:w="2119" w:type="dxa"/>
            <w:vAlign w:val="center"/>
          </w:tcPr>
          <w:p w:rsidR="00481EDB" w:rsidRPr="00687B52" w:rsidRDefault="00481EDB" w:rsidP="00B527D4">
            <w:pPr>
              <w:jc w:val="center"/>
              <w:rPr>
                <w:color w:val="000000" w:themeColor="text1"/>
                <w:sz w:val="15"/>
              </w:rPr>
            </w:pPr>
            <w:r w:rsidRPr="00687B52">
              <w:rPr>
                <w:rFonts w:hint="eastAsia"/>
                <w:color w:val="000000" w:themeColor="text1"/>
                <w:sz w:val="15"/>
              </w:rPr>
              <w:t>无机</w:t>
            </w:r>
          </w:p>
          <w:p w:rsidR="00481EDB" w:rsidRPr="00687B52" w:rsidRDefault="00481EDB" w:rsidP="00B527D4">
            <w:pPr>
              <w:jc w:val="center"/>
              <w:rPr>
                <w:color w:val="000000" w:themeColor="text1"/>
                <w:sz w:val="15"/>
              </w:rPr>
            </w:pPr>
            <w:r w:rsidRPr="00687B52">
              <w:rPr>
                <w:rFonts w:hint="eastAsia"/>
                <w:color w:val="000000" w:themeColor="text1"/>
                <w:sz w:val="15"/>
              </w:rPr>
              <w:t>有机</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6"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5"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0"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2"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b/>
                <w:bCs/>
                <w:color w:val="000000" w:themeColor="text1"/>
                <w:sz w:val="15"/>
              </w:rPr>
            </w:pPr>
            <w:r w:rsidRPr="00687B52">
              <w:rPr>
                <w:rFonts w:ascii="宋体" w:hAnsi="宋体" w:hint="eastAsia"/>
                <w:color w:val="000000" w:themeColor="text1"/>
                <w:sz w:val="15"/>
              </w:rPr>
              <w:t>×</w:t>
            </w:r>
          </w:p>
        </w:tc>
        <w:tc>
          <w:tcPr>
            <w:tcW w:w="344"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b/>
                <w:bCs/>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b/>
                <w:bCs/>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2"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2"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0"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3"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3"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×消</w:t>
            </w:r>
          </w:p>
        </w:tc>
        <w:tc>
          <w:tcPr>
            <w:tcW w:w="341"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×消</w:t>
            </w:r>
          </w:p>
        </w:tc>
        <w:tc>
          <w:tcPr>
            <w:tcW w:w="341"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2"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b/>
                <w:bCs/>
                <w:color w:val="000000" w:themeColor="text1"/>
                <w:sz w:val="15"/>
              </w:rPr>
            </w:pPr>
            <w:r w:rsidRPr="00687B52">
              <w:rPr>
                <w:rFonts w:ascii="宋体" w:hAnsi="宋体" w:hint="eastAsia"/>
                <w:color w:val="000000" w:themeColor="text1"/>
                <w:sz w:val="15"/>
              </w:rPr>
              <w:t>×</w:t>
            </w:r>
          </w:p>
        </w:tc>
        <w:tc>
          <w:tcPr>
            <w:tcW w:w="342"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b/>
                <w:bCs/>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b/>
                <w:bCs/>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О</w:t>
            </w:r>
          </w:p>
          <w:p w:rsidR="00481EDB" w:rsidRPr="00687B52" w:rsidRDefault="00481EDB" w:rsidP="00B527D4">
            <w:pPr>
              <w:jc w:val="center"/>
              <w:rPr>
                <w:b/>
                <w:bCs/>
                <w:color w:val="000000" w:themeColor="text1"/>
                <w:sz w:val="15"/>
              </w:rPr>
            </w:pPr>
            <w:r w:rsidRPr="00687B52">
              <w:rPr>
                <w:rFonts w:ascii="宋体" w:hAnsi="宋体" w:hint="eastAsia"/>
                <w:color w:val="000000" w:themeColor="text1"/>
                <w:sz w:val="15"/>
              </w:rPr>
              <w:t>×</w:t>
            </w:r>
          </w:p>
        </w:tc>
        <w:tc>
          <w:tcPr>
            <w:tcW w:w="341" w:type="dxa"/>
            <w:vAlign w:val="center"/>
          </w:tcPr>
          <w:p w:rsidR="00481EDB" w:rsidRPr="00687B52" w:rsidRDefault="00481EDB" w:rsidP="00B527D4">
            <w:pPr>
              <w:jc w:val="center"/>
              <w:rPr>
                <w:color w:val="000000" w:themeColor="text1"/>
                <w:sz w:val="15"/>
              </w:rPr>
            </w:pP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w:t>
            </w:r>
          </w:p>
        </w:tc>
        <w:tc>
          <w:tcPr>
            <w:tcW w:w="343" w:type="dxa"/>
            <w:vAlign w:val="center"/>
          </w:tcPr>
          <w:p w:rsidR="00481EDB" w:rsidRPr="00687B52" w:rsidRDefault="00481EDB" w:rsidP="00B527D4">
            <w:pPr>
              <w:jc w:val="center"/>
              <w:rPr>
                <w:color w:val="000000" w:themeColor="text1"/>
                <w:sz w:val="15"/>
              </w:rPr>
            </w:pPr>
          </w:p>
        </w:tc>
        <w:tc>
          <w:tcPr>
            <w:tcW w:w="343" w:type="dxa"/>
            <w:vAlign w:val="center"/>
          </w:tcPr>
          <w:p w:rsidR="00481EDB" w:rsidRPr="00687B52" w:rsidRDefault="00481EDB" w:rsidP="00B527D4">
            <w:pPr>
              <w:jc w:val="center"/>
              <w:rPr>
                <w:color w:val="000000" w:themeColor="text1"/>
                <w:sz w:val="15"/>
              </w:rPr>
            </w:pPr>
          </w:p>
        </w:tc>
        <w:tc>
          <w:tcPr>
            <w:tcW w:w="282" w:type="dxa"/>
            <w:vAlign w:val="center"/>
          </w:tcPr>
          <w:p w:rsidR="00481EDB" w:rsidRPr="00687B52" w:rsidRDefault="00481EDB" w:rsidP="00B527D4">
            <w:pPr>
              <w:jc w:val="center"/>
              <w:rPr>
                <w:color w:val="000000" w:themeColor="text1"/>
                <w:sz w:val="15"/>
              </w:rPr>
            </w:pPr>
          </w:p>
        </w:tc>
      </w:tr>
      <w:tr w:rsidR="00481EDB" w:rsidRPr="00687B52" w:rsidTr="00B527D4">
        <w:trPr>
          <w:cantSplit/>
          <w:trHeight w:val="463"/>
          <w:jc w:val="center"/>
        </w:trPr>
        <w:tc>
          <w:tcPr>
            <w:tcW w:w="920" w:type="dxa"/>
            <w:vMerge/>
            <w:tcBorders>
              <w:bottom w:val="single" w:sz="4" w:space="0" w:color="auto"/>
            </w:tcBorders>
            <w:vAlign w:val="center"/>
          </w:tcPr>
          <w:p w:rsidR="00481EDB" w:rsidRPr="00687B52" w:rsidRDefault="00481EDB" w:rsidP="00B527D4">
            <w:pPr>
              <w:jc w:val="center"/>
              <w:rPr>
                <w:color w:val="000000" w:themeColor="text1"/>
                <w:sz w:val="15"/>
              </w:rPr>
            </w:pPr>
          </w:p>
        </w:tc>
        <w:tc>
          <w:tcPr>
            <w:tcW w:w="2119"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hint="eastAsia"/>
                <w:color w:val="000000" w:themeColor="text1"/>
                <w:sz w:val="15"/>
              </w:rPr>
              <w:t>无机</w:t>
            </w:r>
          </w:p>
          <w:p w:rsidR="00481EDB" w:rsidRPr="00687B52" w:rsidRDefault="00481EDB" w:rsidP="00B527D4">
            <w:pPr>
              <w:jc w:val="center"/>
              <w:rPr>
                <w:color w:val="000000" w:themeColor="text1"/>
                <w:sz w:val="15"/>
              </w:rPr>
            </w:pPr>
            <w:r w:rsidRPr="00687B52">
              <w:rPr>
                <w:rFonts w:hint="eastAsia"/>
                <w:color w:val="000000" w:themeColor="text1"/>
                <w:sz w:val="15"/>
              </w:rPr>
              <w:t>有机</w:t>
            </w:r>
          </w:p>
        </w:tc>
        <w:tc>
          <w:tcPr>
            <w:tcW w:w="485" w:type="dxa"/>
            <w:tcBorders>
              <w:bottom w:val="single" w:sz="4" w:space="0" w:color="auto"/>
            </w:tcBorders>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5" w:type="dxa"/>
            <w:tcBorders>
              <w:bottom w:val="single" w:sz="4" w:space="0" w:color="auto"/>
            </w:tcBorders>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6" w:type="dxa"/>
            <w:tcBorders>
              <w:bottom w:val="single" w:sz="4" w:space="0" w:color="auto"/>
            </w:tcBorders>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5" w:type="dxa"/>
            <w:tcBorders>
              <w:bottom w:val="single" w:sz="4" w:space="0" w:color="auto"/>
            </w:tcBorders>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0"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hint="eastAsia"/>
                <w:color w:val="000000" w:themeColor="text1"/>
                <w:sz w:val="15"/>
              </w:rPr>
              <w:t>分</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2"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hint="eastAsia"/>
                <w:color w:val="000000" w:themeColor="text1"/>
                <w:sz w:val="15"/>
              </w:rPr>
              <w:t>消</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hint="eastAsia"/>
                <w:color w:val="000000" w:themeColor="text1"/>
                <w:sz w:val="15"/>
              </w:rPr>
              <w:t>分</w:t>
            </w:r>
            <w:r w:rsidRPr="00687B52">
              <w:rPr>
                <w:rFonts w:ascii="宋体" w:hAnsi="宋体" w:hint="eastAsia"/>
                <w:color w:val="000000" w:themeColor="text1"/>
                <w:sz w:val="15"/>
              </w:rPr>
              <w:t>×</w:t>
            </w:r>
          </w:p>
        </w:tc>
        <w:tc>
          <w:tcPr>
            <w:tcW w:w="341"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hint="eastAsia"/>
                <w:color w:val="000000" w:themeColor="text1"/>
                <w:sz w:val="15"/>
              </w:rPr>
              <w:t>消</w:t>
            </w:r>
            <w:r w:rsidRPr="00687B52">
              <w:rPr>
                <w:rFonts w:ascii="宋体" w:hAnsi="宋体" w:hint="eastAsia"/>
                <w:color w:val="000000" w:themeColor="text1"/>
                <w:sz w:val="15"/>
              </w:rPr>
              <w:t>×</w:t>
            </w:r>
          </w:p>
        </w:tc>
        <w:tc>
          <w:tcPr>
            <w:tcW w:w="344"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hint="eastAsia"/>
                <w:color w:val="000000" w:themeColor="text1"/>
                <w:sz w:val="15"/>
              </w:rPr>
              <w:t>分</w:t>
            </w:r>
            <w:r w:rsidRPr="00687B52">
              <w:rPr>
                <w:rFonts w:ascii="宋体" w:hAnsi="宋体" w:hint="eastAsia"/>
                <w:color w:val="000000" w:themeColor="text1"/>
                <w:sz w:val="15"/>
              </w:rPr>
              <w:t>×</w:t>
            </w:r>
          </w:p>
        </w:tc>
        <w:tc>
          <w:tcPr>
            <w:tcW w:w="341" w:type="dxa"/>
            <w:tcBorders>
              <w:bottom w:val="single" w:sz="4" w:space="0" w:color="auto"/>
            </w:tcBorders>
          </w:tcPr>
          <w:p w:rsidR="00481EDB" w:rsidRPr="00687B52" w:rsidRDefault="00481EDB" w:rsidP="00B527D4">
            <w:pPr>
              <w:rPr>
                <w:color w:val="000000" w:themeColor="text1"/>
              </w:rPr>
            </w:pPr>
            <w:r w:rsidRPr="00687B52">
              <w:rPr>
                <w:rFonts w:hint="eastAsia"/>
                <w:color w:val="000000" w:themeColor="text1"/>
                <w:sz w:val="15"/>
              </w:rPr>
              <w:t>分</w:t>
            </w:r>
            <w:r w:rsidRPr="00687B52">
              <w:rPr>
                <w:rFonts w:ascii="宋体" w:hAnsi="宋体" w:hint="eastAsia"/>
                <w:color w:val="000000" w:themeColor="text1"/>
                <w:sz w:val="15"/>
              </w:rPr>
              <w:t>×</w:t>
            </w:r>
          </w:p>
        </w:tc>
        <w:tc>
          <w:tcPr>
            <w:tcW w:w="341" w:type="dxa"/>
            <w:tcBorders>
              <w:bottom w:val="single" w:sz="4" w:space="0" w:color="auto"/>
            </w:tcBorders>
          </w:tcPr>
          <w:p w:rsidR="00481EDB" w:rsidRPr="00687B52" w:rsidRDefault="00481EDB" w:rsidP="00B527D4">
            <w:pPr>
              <w:rPr>
                <w:color w:val="000000" w:themeColor="text1"/>
              </w:rPr>
            </w:pPr>
            <w:r w:rsidRPr="00687B52">
              <w:rPr>
                <w:rFonts w:hint="eastAsia"/>
                <w:color w:val="000000" w:themeColor="text1"/>
                <w:sz w:val="15"/>
              </w:rPr>
              <w:t>分</w:t>
            </w:r>
            <w:r w:rsidRPr="00687B52">
              <w:rPr>
                <w:rFonts w:ascii="宋体" w:hAnsi="宋体" w:hint="eastAsia"/>
                <w:color w:val="000000" w:themeColor="text1"/>
                <w:sz w:val="15"/>
              </w:rPr>
              <w:t>×</w:t>
            </w:r>
          </w:p>
        </w:tc>
        <w:tc>
          <w:tcPr>
            <w:tcW w:w="342" w:type="dxa"/>
            <w:tcBorders>
              <w:bottom w:val="single" w:sz="4" w:space="0" w:color="auto"/>
            </w:tcBorders>
          </w:tcPr>
          <w:p w:rsidR="00481EDB" w:rsidRPr="00687B52" w:rsidRDefault="00481EDB" w:rsidP="00B527D4">
            <w:pPr>
              <w:rPr>
                <w:color w:val="000000" w:themeColor="text1"/>
              </w:rPr>
            </w:pPr>
            <w:r w:rsidRPr="00687B52">
              <w:rPr>
                <w:rFonts w:hint="eastAsia"/>
                <w:color w:val="000000" w:themeColor="text1"/>
                <w:sz w:val="15"/>
              </w:rPr>
              <w:t>分</w:t>
            </w:r>
            <w:r w:rsidRPr="00687B52">
              <w:rPr>
                <w:rFonts w:ascii="宋体" w:hAnsi="宋体" w:hint="eastAsia"/>
                <w:color w:val="000000" w:themeColor="text1"/>
                <w:sz w:val="15"/>
              </w:rPr>
              <w:t>×</w:t>
            </w:r>
          </w:p>
        </w:tc>
        <w:tc>
          <w:tcPr>
            <w:tcW w:w="342" w:type="dxa"/>
            <w:tcBorders>
              <w:bottom w:val="single" w:sz="4" w:space="0" w:color="auto"/>
            </w:tcBorders>
          </w:tcPr>
          <w:p w:rsidR="00481EDB" w:rsidRPr="00687B52" w:rsidRDefault="00481EDB" w:rsidP="00B527D4">
            <w:pPr>
              <w:rPr>
                <w:color w:val="000000" w:themeColor="text1"/>
              </w:rPr>
            </w:pPr>
            <w:r w:rsidRPr="00687B52">
              <w:rPr>
                <w:rFonts w:hint="eastAsia"/>
                <w:color w:val="000000" w:themeColor="text1"/>
                <w:sz w:val="15"/>
              </w:rPr>
              <w:t>分</w:t>
            </w:r>
            <w:r w:rsidRPr="00687B52">
              <w:rPr>
                <w:rFonts w:ascii="宋体" w:hAnsi="宋体" w:hint="eastAsia"/>
                <w:color w:val="000000" w:themeColor="text1"/>
                <w:sz w:val="15"/>
              </w:rPr>
              <w:t>×</w:t>
            </w:r>
          </w:p>
        </w:tc>
        <w:tc>
          <w:tcPr>
            <w:tcW w:w="341" w:type="dxa"/>
            <w:tcBorders>
              <w:bottom w:val="single" w:sz="4" w:space="0" w:color="auto"/>
            </w:tcBorders>
          </w:tcPr>
          <w:p w:rsidR="00481EDB" w:rsidRPr="00687B52" w:rsidRDefault="00481EDB" w:rsidP="00B527D4">
            <w:pPr>
              <w:rPr>
                <w:color w:val="000000" w:themeColor="text1"/>
              </w:rPr>
            </w:pPr>
            <w:r w:rsidRPr="00687B52">
              <w:rPr>
                <w:rFonts w:hint="eastAsia"/>
                <w:color w:val="000000" w:themeColor="text1"/>
                <w:sz w:val="15"/>
              </w:rPr>
              <w:t>分</w:t>
            </w:r>
            <w:r w:rsidRPr="00687B52">
              <w:rPr>
                <w:rFonts w:ascii="宋体" w:hAnsi="宋体" w:hint="eastAsia"/>
                <w:color w:val="000000" w:themeColor="text1"/>
                <w:sz w:val="15"/>
              </w:rPr>
              <w:t>×</w:t>
            </w:r>
          </w:p>
        </w:tc>
        <w:tc>
          <w:tcPr>
            <w:tcW w:w="340"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hint="eastAsia"/>
                <w:color w:val="000000" w:themeColor="text1"/>
                <w:sz w:val="15"/>
              </w:rPr>
              <w:t>消</w:t>
            </w:r>
            <w:r w:rsidRPr="00687B52">
              <w:rPr>
                <w:rFonts w:ascii="宋体" w:hAnsi="宋体" w:hint="eastAsia"/>
                <w:color w:val="000000" w:themeColor="text1"/>
                <w:sz w:val="15"/>
              </w:rPr>
              <w:t>×</w:t>
            </w:r>
          </w:p>
        </w:tc>
        <w:tc>
          <w:tcPr>
            <w:tcW w:w="343"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hint="eastAsia"/>
                <w:color w:val="000000" w:themeColor="text1"/>
                <w:sz w:val="15"/>
              </w:rPr>
              <w:t>消</w:t>
            </w:r>
            <w:r w:rsidRPr="00687B52">
              <w:rPr>
                <w:rFonts w:ascii="宋体" w:hAnsi="宋体" w:hint="eastAsia"/>
                <w:color w:val="000000" w:themeColor="text1"/>
                <w:sz w:val="15"/>
              </w:rPr>
              <w:t>×</w:t>
            </w:r>
          </w:p>
        </w:tc>
        <w:tc>
          <w:tcPr>
            <w:tcW w:w="343"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hint="eastAsia"/>
                <w:color w:val="000000" w:themeColor="text1"/>
                <w:sz w:val="15"/>
              </w:rPr>
              <w:t>消消</w:t>
            </w:r>
          </w:p>
        </w:tc>
        <w:tc>
          <w:tcPr>
            <w:tcW w:w="341"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hint="eastAsia"/>
                <w:color w:val="000000" w:themeColor="text1"/>
                <w:sz w:val="15"/>
              </w:rPr>
              <w:t>消消</w:t>
            </w:r>
          </w:p>
        </w:tc>
        <w:tc>
          <w:tcPr>
            <w:tcW w:w="341"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hint="eastAsia"/>
                <w:color w:val="000000" w:themeColor="text1"/>
                <w:sz w:val="15"/>
              </w:rPr>
              <w:t>分消</w:t>
            </w:r>
          </w:p>
        </w:tc>
        <w:tc>
          <w:tcPr>
            <w:tcW w:w="341"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hint="eastAsia"/>
                <w:color w:val="000000" w:themeColor="text1"/>
                <w:sz w:val="15"/>
              </w:rPr>
              <w:t>分消</w:t>
            </w:r>
          </w:p>
        </w:tc>
        <w:tc>
          <w:tcPr>
            <w:tcW w:w="342" w:type="dxa"/>
            <w:tcBorders>
              <w:bottom w:val="single" w:sz="4" w:space="0" w:color="auto"/>
            </w:tcBorders>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2" w:type="dxa"/>
            <w:tcBorders>
              <w:bottom w:val="single" w:sz="4" w:space="0" w:color="auto"/>
            </w:tcBorders>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tcBorders>
              <w:bottom w:val="single" w:sz="4" w:space="0" w:color="auto"/>
            </w:tcBorders>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b/>
                <w:bCs/>
                <w:color w:val="000000" w:themeColor="text1"/>
                <w:sz w:val="15"/>
              </w:rPr>
            </w:pPr>
            <w:r w:rsidRPr="00687B52">
              <w:rPr>
                <w:rFonts w:ascii="宋体" w:hAnsi="宋体" w:hint="eastAsia"/>
                <w:color w:val="000000" w:themeColor="text1"/>
                <w:sz w:val="15"/>
              </w:rPr>
              <w:t>×</w:t>
            </w:r>
          </w:p>
        </w:tc>
        <w:tc>
          <w:tcPr>
            <w:tcW w:w="341" w:type="dxa"/>
            <w:tcBorders>
              <w:bottom w:val="single" w:sz="4" w:space="0" w:color="auto"/>
            </w:tcBorders>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b/>
                <w:bCs/>
                <w:color w:val="000000" w:themeColor="text1"/>
                <w:sz w:val="15"/>
              </w:rPr>
            </w:pPr>
            <w:r w:rsidRPr="00687B52">
              <w:rPr>
                <w:rFonts w:ascii="宋体" w:hAnsi="宋体" w:hint="eastAsia"/>
                <w:color w:val="000000" w:themeColor="text1"/>
                <w:sz w:val="15"/>
              </w:rPr>
              <w:t>×</w:t>
            </w:r>
          </w:p>
        </w:tc>
        <w:tc>
          <w:tcPr>
            <w:tcW w:w="341" w:type="dxa"/>
            <w:tcBorders>
              <w:bottom w:val="single" w:sz="4" w:space="0" w:color="auto"/>
            </w:tcBorders>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w:t>
            </w:r>
          </w:p>
          <w:p w:rsidR="00481EDB" w:rsidRPr="00687B52" w:rsidRDefault="00481EDB" w:rsidP="00B527D4">
            <w:pPr>
              <w:jc w:val="center"/>
              <w:rPr>
                <w:b/>
                <w:bCs/>
                <w:color w:val="000000" w:themeColor="text1"/>
                <w:sz w:val="15"/>
              </w:rPr>
            </w:pPr>
            <w:r w:rsidRPr="00687B52">
              <w:rPr>
                <w:rFonts w:ascii="宋体" w:hAnsi="宋体" w:hint="eastAsia"/>
                <w:color w:val="000000" w:themeColor="text1"/>
                <w:sz w:val="15"/>
              </w:rPr>
              <w:t>×</w:t>
            </w:r>
          </w:p>
        </w:tc>
        <w:tc>
          <w:tcPr>
            <w:tcW w:w="343" w:type="dxa"/>
            <w:tcBorders>
              <w:bottom w:val="single" w:sz="4" w:space="0" w:color="auto"/>
            </w:tcBorders>
            <w:vAlign w:val="center"/>
          </w:tcPr>
          <w:p w:rsidR="00481EDB" w:rsidRPr="00687B52" w:rsidRDefault="00481EDB" w:rsidP="00B527D4">
            <w:pPr>
              <w:jc w:val="center"/>
              <w:rPr>
                <w:rFonts w:ascii="宋体" w:hAnsi="宋体"/>
                <w:color w:val="000000" w:themeColor="text1"/>
                <w:sz w:val="15"/>
              </w:rPr>
            </w:pPr>
            <w:r w:rsidRPr="00687B52">
              <w:rPr>
                <w:rFonts w:ascii="宋体" w:hAnsi="宋体" w:hint="eastAsia"/>
                <w:color w:val="000000" w:themeColor="text1"/>
                <w:sz w:val="15"/>
              </w:rPr>
              <w:t>О</w:t>
            </w: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w:t>
            </w:r>
          </w:p>
        </w:tc>
        <w:tc>
          <w:tcPr>
            <w:tcW w:w="343" w:type="dxa"/>
            <w:tcBorders>
              <w:bottom w:val="single" w:sz="4" w:space="0" w:color="auto"/>
            </w:tcBorders>
            <w:vAlign w:val="center"/>
          </w:tcPr>
          <w:p w:rsidR="00481EDB" w:rsidRPr="00687B52" w:rsidRDefault="00481EDB" w:rsidP="00B527D4">
            <w:pPr>
              <w:jc w:val="center"/>
              <w:rPr>
                <w:rFonts w:ascii="宋体" w:hAnsi="宋体"/>
                <w:color w:val="000000" w:themeColor="text1"/>
                <w:sz w:val="15"/>
              </w:rPr>
            </w:pPr>
          </w:p>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w:t>
            </w:r>
          </w:p>
        </w:tc>
        <w:tc>
          <w:tcPr>
            <w:tcW w:w="282" w:type="dxa"/>
            <w:tcBorders>
              <w:bottom w:val="single" w:sz="4" w:space="0" w:color="auto"/>
            </w:tcBorders>
            <w:vAlign w:val="center"/>
          </w:tcPr>
          <w:p w:rsidR="00481EDB" w:rsidRPr="00687B52" w:rsidRDefault="00481EDB" w:rsidP="00B527D4">
            <w:pPr>
              <w:jc w:val="center"/>
              <w:rPr>
                <w:color w:val="000000" w:themeColor="text1"/>
                <w:sz w:val="15"/>
              </w:rPr>
            </w:pPr>
          </w:p>
        </w:tc>
      </w:tr>
      <w:tr w:rsidR="00481EDB" w:rsidRPr="00687B52" w:rsidTr="00B527D4">
        <w:trPr>
          <w:cantSplit/>
          <w:trHeight w:val="242"/>
          <w:jc w:val="center"/>
        </w:trPr>
        <w:tc>
          <w:tcPr>
            <w:tcW w:w="3039" w:type="dxa"/>
            <w:gridSpan w:val="2"/>
            <w:tcBorders>
              <w:bottom w:val="single" w:sz="4" w:space="0" w:color="auto"/>
            </w:tcBorders>
            <w:vAlign w:val="center"/>
          </w:tcPr>
          <w:p w:rsidR="00481EDB" w:rsidRPr="00687B52" w:rsidRDefault="00481EDB" w:rsidP="00B527D4">
            <w:pPr>
              <w:jc w:val="center"/>
              <w:rPr>
                <w:rFonts w:ascii="黑体" w:eastAsia="黑体" w:hAnsi="黑体"/>
                <w:b/>
                <w:color w:val="000000" w:themeColor="text1"/>
                <w:sz w:val="15"/>
              </w:rPr>
            </w:pPr>
            <w:r w:rsidRPr="00687B52">
              <w:rPr>
                <w:rFonts w:ascii="黑体" w:eastAsia="黑体" w:hAnsi="黑体" w:hint="eastAsia"/>
                <w:b/>
                <w:color w:val="000000" w:themeColor="text1"/>
                <w:sz w:val="15"/>
              </w:rPr>
              <w:t>放射性物品</w:t>
            </w:r>
          </w:p>
        </w:tc>
        <w:tc>
          <w:tcPr>
            <w:tcW w:w="485"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5"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6"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485"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0"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2"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4"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2"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2"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0"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3"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3"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2"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2"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1"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3"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343"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w:t>
            </w:r>
          </w:p>
        </w:tc>
        <w:tc>
          <w:tcPr>
            <w:tcW w:w="282" w:type="dxa"/>
            <w:tcBorders>
              <w:bottom w:val="single" w:sz="4" w:space="0" w:color="auto"/>
            </w:tcBorders>
            <w:vAlign w:val="center"/>
          </w:tcPr>
          <w:p w:rsidR="00481EDB" w:rsidRPr="00687B52" w:rsidRDefault="00481EDB" w:rsidP="00B527D4">
            <w:pPr>
              <w:jc w:val="center"/>
              <w:rPr>
                <w:color w:val="000000" w:themeColor="text1"/>
                <w:sz w:val="15"/>
              </w:rPr>
            </w:pPr>
            <w:r w:rsidRPr="00687B52">
              <w:rPr>
                <w:rFonts w:ascii="宋体" w:hAnsi="宋体" w:hint="eastAsia"/>
                <w:color w:val="000000" w:themeColor="text1"/>
                <w:sz w:val="15"/>
              </w:rPr>
              <w:t>О</w:t>
            </w:r>
          </w:p>
        </w:tc>
      </w:tr>
    </w:tbl>
    <w:p w:rsidR="00481EDB" w:rsidRPr="00687B52" w:rsidRDefault="00481EDB" w:rsidP="00481EDB">
      <w:pPr>
        <w:rPr>
          <w:rFonts w:ascii="宋体" w:hAnsi="宋体"/>
          <w:color w:val="000000" w:themeColor="text1"/>
          <w:sz w:val="18"/>
        </w:rPr>
      </w:pPr>
      <w:r w:rsidRPr="00687B52">
        <w:rPr>
          <w:rFonts w:hint="eastAsia"/>
          <w:color w:val="000000" w:themeColor="text1"/>
          <w:sz w:val="18"/>
        </w:rPr>
        <w:t>说明：</w:t>
      </w:r>
      <w:r w:rsidRPr="00687B52">
        <w:rPr>
          <w:rFonts w:ascii="宋体" w:hAnsi="宋体" w:hint="eastAsia"/>
          <w:color w:val="000000" w:themeColor="text1"/>
          <w:sz w:val="18"/>
        </w:rPr>
        <w:t>О —— 可以混存</w:t>
      </w:r>
    </w:p>
    <w:p w:rsidR="00481EDB" w:rsidRPr="00687B52" w:rsidRDefault="00481EDB" w:rsidP="00481EDB">
      <w:pPr>
        <w:ind w:firstLineChars="300" w:firstLine="540"/>
        <w:rPr>
          <w:rFonts w:ascii="宋体" w:hAnsi="宋体"/>
          <w:color w:val="000000" w:themeColor="text1"/>
          <w:sz w:val="18"/>
        </w:rPr>
      </w:pPr>
      <w:r w:rsidRPr="00687B52">
        <w:rPr>
          <w:rFonts w:ascii="宋体" w:hAnsi="宋体" w:hint="eastAsia"/>
          <w:color w:val="000000" w:themeColor="text1"/>
          <w:sz w:val="18"/>
        </w:rPr>
        <w:t>× —— 不可以混存</w:t>
      </w:r>
    </w:p>
    <w:p w:rsidR="00481EDB" w:rsidRPr="00687B52" w:rsidRDefault="00481EDB" w:rsidP="00481EDB">
      <w:pPr>
        <w:ind w:firstLineChars="300" w:firstLine="540"/>
        <w:rPr>
          <w:rFonts w:ascii="宋体" w:hAnsi="宋体"/>
          <w:color w:val="000000" w:themeColor="text1"/>
          <w:sz w:val="18"/>
        </w:rPr>
      </w:pPr>
      <w:r w:rsidRPr="00687B52">
        <w:rPr>
          <w:rFonts w:ascii="宋体" w:hAnsi="宋体" w:hint="eastAsia"/>
          <w:color w:val="000000" w:themeColor="text1"/>
          <w:sz w:val="18"/>
        </w:rPr>
        <w:t>分 —— 应按化学危险品分类机械分区分类储存，如果物品不多或仓位不够时，因其性能并不互相抵触，也可以混存</w:t>
      </w:r>
    </w:p>
    <w:p w:rsidR="00481EDB" w:rsidRPr="00687B52" w:rsidRDefault="00481EDB" w:rsidP="00481EDB">
      <w:pPr>
        <w:ind w:firstLineChars="300" w:firstLine="540"/>
        <w:rPr>
          <w:color w:val="000000" w:themeColor="text1"/>
          <w:sz w:val="18"/>
        </w:rPr>
      </w:pPr>
      <w:r w:rsidRPr="00687B52">
        <w:rPr>
          <w:rFonts w:hint="eastAsia"/>
          <w:color w:val="000000" w:themeColor="text1"/>
          <w:sz w:val="18"/>
        </w:rPr>
        <w:t>消——两种物品性能并不互相抵触，但消防施救方法不同，条件许可时最好分存</w:t>
      </w:r>
    </w:p>
    <w:p w:rsidR="00481EDB" w:rsidRPr="00687B52" w:rsidRDefault="00481EDB" w:rsidP="00481EDB">
      <w:pPr>
        <w:ind w:firstLineChars="300" w:firstLine="540"/>
        <w:rPr>
          <w:rFonts w:ascii="宋体" w:hAnsi="宋体"/>
          <w:color w:val="000000" w:themeColor="text1"/>
          <w:sz w:val="18"/>
        </w:rPr>
      </w:pPr>
      <w:r w:rsidRPr="00687B52">
        <w:rPr>
          <w:rFonts w:ascii="宋体" w:hAnsi="宋体" w:hint="eastAsia"/>
          <w:color w:val="000000" w:themeColor="text1"/>
          <w:sz w:val="18"/>
        </w:rPr>
        <w:t>① —— 过氧化钠等过氧化物不宜和无机氧化剂混存</w:t>
      </w:r>
    </w:p>
    <w:p w:rsidR="00481EDB" w:rsidRPr="00687B52" w:rsidRDefault="00481EDB" w:rsidP="00481EDB">
      <w:pPr>
        <w:ind w:firstLineChars="300" w:firstLine="540"/>
        <w:rPr>
          <w:rFonts w:ascii="宋体" w:hAnsi="宋体"/>
          <w:color w:val="000000" w:themeColor="text1"/>
          <w:sz w:val="18"/>
        </w:rPr>
      </w:pPr>
      <w:r w:rsidRPr="00687B52">
        <w:rPr>
          <w:rFonts w:ascii="宋体" w:hAnsi="宋体" w:hint="eastAsia"/>
          <w:color w:val="000000" w:themeColor="text1"/>
          <w:sz w:val="18"/>
        </w:rPr>
        <w:t>② —— 具有还原性的亚硝酸钠等亚硝酸盐类，不宜和其它无机氧化剂混存</w:t>
      </w:r>
    </w:p>
    <w:p w:rsidR="00481EDB" w:rsidRPr="00687B52" w:rsidRDefault="00481EDB" w:rsidP="00481EDB">
      <w:pPr>
        <w:rPr>
          <w:rFonts w:ascii="宋体" w:hAnsi="宋体"/>
          <w:color w:val="000000" w:themeColor="text1"/>
          <w:sz w:val="18"/>
        </w:rPr>
      </w:pPr>
      <w:r w:rsidRPr="00687B52">
        <w:rPr>
          <w:rFonts w:ascii="宋体" w:hAnsi="宋体" w:hint="eastAsia"/>
          <w:color w:val="000000" w:themeColor="text1"/>
          <w:sz w:val="18"/>
        </w:rPr>
        <w:t>凡混存物品，货垛和货垛之间，必须留有1m以上的距离，并要求包装容器完整，不使两种物品发生接触。</w:t>
      </w:r>
    </w:p>
    <w:p w:rsidR="00F04338" w:rsidRPr="00687B52" w:rsidRDefault="00F04338" w:rsidP="00481EDB">
      <w:pPr>
        <w:jc w:val="left"/>
        <w:rPr>
          <w:rFonts w:ascii="华文中宋" w:eastAsia="华文中宋" w:hAnsi="华文中宋"/>
          <w:color w:val="000000" w:themeColor="text1"/>
          <w:w w:val="90"/>
          <w:sz w:val="30"/>
          <w:szCs w:val="30"/>
        </w:rPr>
        <w:sectPr w:rsidR="00F04338" w:rsidRPr="00687B52" w:rsidSect="00B527D4">
          <w:pgSz w:w="16838" w:h="11906" w:orient="landscape"/>
          <w:pgMar w:top="1440" w:right="1797" w:bottom="1440" w:left="1797" w:header="851" w:footer="907" w:gutter="0"/>
          <w:cols w:space="425"/>
          <w:docGrid w:type="lines" w:linePitch="312"/>
        </w:sectPr>
      </w:pPr>
    </w:p>
    <w:p w:rsidR="00481EDB" w:rsidRPr="00687B52" w:rsidRDefault="00481EDB" w:rsidP="00763863">
      <w:pPr>
        <w:pStyle w:val="aff2"/>
        <w:ind w:firstLine="562"/>
        <w:rPr>
          <w:color w:val="000000" w:themeColor="text1"/>
        </w:rPr>
      </w:pPr>
      <w:bookmarkStart w:id="249" w:name="_Toc491870834"/>
      <w:bookmarkStart w:id="250" w:name="_Toc492555585"/>
      <w:bookmarkStart w:id="251" w:name="_Toc492557268"/>
      <w:bookmarkStart w:id="252" w:name="_Toc492557338"/>
      <w:bookmarkStart w:id="253" w:name="_Toc492557598"/>
      <w:bookmarkStart w:id="254" w:name="_Toc492557967"/>
      <w:bookmarkStart w:id="255" w:name="_Toc492559540"/>
      <w:bookmarkStart w:id="256" w:name="_Toc492563489"/>
      <w:bookmarkStart w:id="257" w:name="_Toc492564087"/>
      <w:bookmarkStart w:id="258" w:name="_Toc492634920"/>
      <w:bookmarkStart w:id="259" w:name="_Toc493857090"/>
      <w:r w:rsidRPr="00687B52">
        <w:rPr>
          <w:rFonts w:hint="eastAsia"/>
          <w:color w:val="000000" w:themeColor="text1"/>
          <w:szCs w:val="30"/>
        </w:rPr>
        <w:t>附</w:t>
      </w:r>
      <w:r w:rsidR="00980275" w:rsidRPr="00687B52">
        <w:rPr>
          <w:rFonts w:hint="eastAsia"/>
          <w:color w:val="000000" w:themeColor="text1"/>
          <w:szCs w:val="30"/>
        </w:rPr>
        <w:t>2</w:t>
      </w:r>
      <w:r w:rsidRPr="00687B52">
        <w:rPr>
          <w:rFonts w:hint="eastAsia"/>
          <w:color w:val="000000" w:themeColor="text1"/>
          <w:szCs w:val="30"/>
        </w:rPr>
        <w:t>.8</w:t>
      </w:r>
      <w:r w:rsidRPr="00687B52">
        <w:rPr>
          <w:rFonts w:hint="eastAsia"/>
          <w:color w:val="000000" w:themeColor="text1"/>
        </w:rPr>
        <w:t>《石油库设计规范》</w:t>
      </w:r>
      <w:r w:rsidRPr="00687B52">
        <w:rPr>
          <w:rFonts w:hint="eastAsia"/>
          <w:color w:val="000000" w:themeColor="text1"/>
        </w:rPr>
        <w:t>GB50074-2014</w:t>
      </w:r>
      <w:r w:rsidRPr="00687B52">
        <w:rPr>
          <w:rFonts w:hint="eastAsia"/>
          <w:color w:val="000000" w:themeColor="text1"/>
        </w:rPr>
        <w:t>有关要求</w:t>
      </w:r>
      <w:bookmarkEnd w:id="249"/>
      <w:bookmarkEnd w:id="250"/>
      <w:bookmarkEnd w:id="251"/>
      <w:bookmarkEnd w:id="252"/>
      <w:bookmarkEnd w:id="253"/>
      <w:bookmarkEnd w:id="254"/>
      <w:bookmarkEnd w:id="255"/>
      <w:bookmarkEnd w:id="256"/>
      <w:bookmarkEnd w:id="257"/>
      <w:bookmarkEnd w:id="258"/>
      <w:bookmarkEnd w:id="259"/>
    </w:p>
    <w:p w:rsidR="00481EDB" w:rsidRPr="00687B52" w:rsidRDefault="00481EDB" w:rsidP="00994B9F">
      <w:pPr>
        <w:pStyle w:val="afd"/>
        <w:rPr>
          <w:color w:val="000000" w:themeColor="text1"/>
        </w:rPr>
      </w:pPr>
      <w:bookmarkStart w:id="260" w:name="_Toc491870835"/>
      <w:bookmarkStart w:id="261" w:name="_Toc492563490"/>
      <w:bookmarkStart w:id="262" w:name="_Toc493857091"/>
      <w:r w:rsidRPr="00687B52">
        <w:rPr>
          <w:rFonts w:hint="eastAsia"/>
          <w:color w:val="000000" w:themeColor="text1"/>
        </w:rPr>
        <w:t>表</w:t>
      </w:r>
      <w:r w:rsidR="005F5072" w:rsidRPr="00687B52">
        <w:rPr>
          <w:rFonts w:hint="eastAsia"/>
          <w:color w:val="000000" w:themeColor="text1"/>
        </w:rPr>
        <w:t xml:space="preserve">4.0.10 </w:t>
      </w:r>
      <w:r w:rsidRPr="00687B52">
        <w:rPr>
          <w:rFonts w:hint="eastAsia"/>
          <w:color w:val="000000" w:themeColor="text1"/>
        </w:rPr>
        <w:t>石油库与库外居住区、公共建筑物、工况企业、交通线的安全距离</w:t>
      </w:r>
      <w:bookmarkEnd w:id="260"/>
      <w:bookmarkEnd w:id="261"/>
      <w:bookmarkEnd w:id="262"/>
    </w:p>
    <w:tbl>
      <w:tblPr>
        <w:tblStyle w:val="a6"/>
        <w:tblW w:w="5000" w:type="pct"/>
        <w:tblLook w:val="04A0" w:firstRow="1" w:lastRow="0" w:firstColumn="1" w:lastColumn="0" w:noHBand="0" w:noVBand="1"/>
      </w:tblPr>
      <w:tblGrid>
        <w:gridCol w:w="426"/>
        <w:gridCol w:w="2619"/>
        <w:gridCol w:w="651"/>
        <w:gridCol w:w="1666"/>
        <w:gridCol w:w="869"/>
        <w:gridCol w:w="970"/>
        <w:gridCol w:w="1376"/>
        <w:gridCol w:w="665"/>
      </w:tblGrid>
      <w:tr w:rsidR="003E46D7" w:rsidRPr="00687B52" w:rsidTr="00994B9F">
        <w:tc>
          <w:tcPr>
            <w:tcW w:w="198" w:type="pct"/>
            <w:vMerge w:val="restar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序号</w:t>
            </w:r>
          </w:p>
        </w:tc>
        <w:tc>
          <w:tcPr>
            <w:tcW w:w="1422" w:type="pct"/>
            <w:vMerge w:val="restar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石油库设施名称</w:t>
            </w:r>
          </w:p>
        </w:tc>
        <w:tc>
          <w:tcPr>
            <w:tcW w:w="357" w:type="pct"/>
            <w:vMerge w:val="restar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石油库等级</w:t>
            </w:r>
          </w:p>
        </w:tc>
        <w:tc>
          <w:tcPr>
            <w:tcW w:w="3023" w:type="pct"/>
            <w:gridSpan w:val="5"/>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库外建（构）筑物和设施名称</w:t>
            </w:r>
          </w:p>
        </w:tc>
      </w:tr>
      <w:tr w:rsidR="00F04338" w:rsidRPr="00687B52" w:rsidTr="00994B9F">
        <w:tc>
          <w:tcPr>
            <w:tcW w:w="198" w:type="pct"/>
            <w:vMerge/>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1422" w:type="pct"/>
            <w:vMerge/>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357" w:type="pct"/>
            <w:vMerge/>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906"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居住区和公共建筑物</w:t>
            </w:r>
          </w:p>
        </w:tc>
        <w:tc>
          <w:tcPr>
            <w:tcW w:w="475"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工矿企业</w:t>
            </w:r>
          </w:p>
        </w:tc>
        <w:tc>
          <w:tcPr>
            <w:tcW w:w="52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国家铁路线</w:t>
            </w:r>
          </w:p>
        </w:tc>
        <w:tc>
          <w:tcPr>
            <w:tcW w:w="74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工业企业铁路线</w:t>
            </w:r>
          </w:p>
        </w:tc>
        <w:tc>
          <w:tcPr>
            <w:tcW w:w="364"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道路</w:t>
            </w:r>
          </w:p>
        </w:tc>
      </w:tr>
      <w:tr w:rsidR="00F04338" w:rsidRPr="00687B52" w:rsidTr="00994B9F">
        <w:tc>
          <w:tcPr>
            <w:tcW w:w="198" w:type="pct"/>
            <w:vMerge w:val="restar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w:t>
            </w:r>
          </w:p>
          <w:p w:rsidR="003E46D7" w:rsidRPr="00687B52" w:rsidRDefault="003E46D7" w:rsidP="003A290A">
            <w:pPr>
              <w:pStyle w:val="110"/>
              <w:jc w:val="left"/>
              <w:rPr>
                <w:rFonts w:ascii="Times New Roman" w:eastAsia="宋体" w:hAnsi="Times New Roman" w:cs="Times New Roman"/>
                <w:bCs/>
                <w:color w:val="000000" w:themeColor="text1"/>
                <w:sz w:val="21"/>
                <w:szCs w:val="21"/>
                <w:shd w:val="clear" w:color="auto" w:fill="FFFFFF"/>
                <w:lang w:val="zh-TW"/>
              </w:rPr>
            </w:pPr>
          </w:p>
        </w:tc>
        <w:tc>
          <w:tcPr>
            <w:tcW w:w="1422" w:type="pct"/>
            <w:vMerge w:val="restart"/>
            <w:vAlign w:val="center"/>
          </w:tcPr>
          <w:p w:rsidR="003E46D7" w:rsidRPr="00687B52" w:rsidRDefault="003E46D7" w:rsidP="00994B9F">
            <w:pPr>
              <w:pStyle w:val="110"/>
              <w:shd w:val="clear" w:color="auto" w:fill="auto"/>
              <w:spacing w:before="0" w:line="240" w:lineRule="auto"/>
              <w:ind w:firstLine="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甲</w:t>
            </w:r>
            <w:r w:rsidRPr="00687B52">
              <w:rPr>
                <w:rFonts w:ascii="Times New Roman" w:eastAsia="宋体" w:hAnsi="Times New Roman" w:cs="Times New Roman" w:hint="eastAsia"/>
                <w:bCs/>
                <w:color w:val="000000" w:themeColor="text1"/>
                <w:sz w:val="21"/>
                <w:szCs w:val="21"/>
                <w:shd w:val="clear" w:color="auto" w:fill="FFFFFF"/>
                <w:lang w:val="zh-TW"/>
              </w:rPr>
              <w:t>B</w:t>
            </w:r>
            <w:r w:rsidRPr="00687B52">
              <w:rPr>
                <w:rFonts w:ascii="Times New Roman" w:eastAsia="宋体" w:hAnsi="Times New Roman" w:cs="Times New Roman" w:hint="eastAsia"/>
                <w:bCs/>
                <w:color w:val="000000" w:themeColor="text1"/>
                <w:sz w:val="21"/>
                <w:szCs w:val="21"/>
                <w:shd w:val="clear" w:color="auto" w:fill="FFFFFF"/>
                <w:lang w:val="zh-TW"/>
              </w:rPr>
              <w:t>、乙类液体地上罐组；甲</w:t>
            </w:r>
            <w:r w:rsidRPr="00687B52">
              <w:rPr>
                <w:rFonts w:ascii="Times New Roman" w:eastAsia="宋体" w:hAnsi="Times New Roman" w:cs="Times New Roman" w:hint="eastAsia"/>
                <w:bCs/>
                <w:color w:val="000000" w:themeColor="text1"/>
                <w:sz w:val="21"/>
                <w:szCs w:val="21"/>
                <w:shd w:val="clear" w:color="auto" w:fill="FFFFFF"/>
                <w:lang w:val="zh-TW"/>
              </w:rPr>
              <w:t>B</w:t>
            </w:r>
            <w:r w:rsidRPr="00687B52">
              <w:rPr>
                <w:rFonts w:ascii="Times New Roman" w:eastAsia="宋体" w:hAnsi="Times New Roman" w:cs="Times New Roman" w:hint="eastAsia"/>
                <w:bCs/>
                <w:color w:val="000000" w:themeColor="text1"/>
                <w:sz w:val="21"/>
                <w:szCs w:val="21"/>
                <w:shd w:val="clear" w:color="auto" w:fill="FFFFFF"/>
                <w:lang w:val="zh-TW"/>
              </w:rPr>
              <w:t>、乙类覆土立式油罐；无油气回收设施的甲</w:t>
            </w:r>
            <w:r w:rsidRPr="00687B52">
              <w:rPr>
                <w:rFonts w:ascii="Times New Roman" w:eastAsia="宋体" w:hAnsi="Times New Roman" w:cs="Times New Roman" w:hint="eastAsia"/>
                <w:bCs/>
                <w:color w:val="000000" w:themeColor="text1"/>
                <w:sz w:val="21"/>
                <w:szCs w:val="21"/>
                <w:shd w:val="clear" w:color="auto" w:fill="FFFFFF"/>
                <w:lang w:val="zh-TW"/>
              </w:rPr>
              <w:t>B</w:t>
            </w:r>
            <w:r w:rsidRPr="00687B52">
              <w:rPr>
                <w:rFonts w:ascii="Times New Roman" w:eastAsia="宋体" w:hAnsi="Times New Roman" w:cs="Times New Roman" w:hint="eastAsia"/>
                <w:bCs/>
                <w:color w:val="000000" w:themeColor="text1"/>
                <w:sz w:val="21"/>
                <w:szCs w:val="21"/>
                <w:shd w:val="clear" w:color="auto" w:fill="FFFFFF"/>
                <w:lang w:val="zh-TW"/>
              </w:rPr>
              <w:t>、乙</w:t>
            </w:r>
            <w:r w:rsidRPr="00687B52">
              <w:rPr>
                <w:rFonts w:ascii="Times New Roman" w:eastAsia="宋体" w:hAnsi="Times New Roman" w:cs="Times New Roman" w:hint="eastAsia"/>
                <w:bCs/>
                <w:color w:val="000000" w:themeColor="text1"/>
                <w:sz w:val="21"/>
                <w:szCs w:val="21"/>
                <w:shd w:val="clear" w:color="auto" w:fill="FFFFFF"/>
                <w:lang w:val="zh-TW"/>
              </w:rPr>
              <w:t>A</w:t>
            </w:r>
            <w:r w:rsidRPr="00687B52">
              <w:rPr>
                <w:rFonts w:ascii="Times New Roman" w:eastAsia="宋体" w:hAnsi="Times New Roman" w:cs="Times New Roman" w:hint="eastAsia"/>
                <w:bCs/>
                <w:color w:val="000000" w:themeColor="text1"/>
                <w:sz w:val="21"/>
                <w:szCs w:val="21"/>
                <w:shd w:val="clear" w:color="auto" w:fill="FFFFFF"/>
                <w:lang w:val="zh-TW"/>
              </w:rPr>
              <w:t>类液体装卸码头</w:t>
            </w:r>
          </w:p>
        </w:tc>
        <w:tc>
          <w:tcPr>
            <w:tcW w:w="357"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一</w:t>
            </w:r>
          </w:p>
        </w:tc>
        <w:tc>
          <w:tcPr>
            <w:tcW w:w="906"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100</w:t>
            </w:r>
            <w:r w:rsidRPr="00687B52">
              <w:rPr>
                <w:rFonts w:ascii="Times New Roman" w:eastAsia="宋体" w:hAnsi="Times New Roman" w:cs="Times New Roman" w:hint="eastAsia"/>
                <w:bCs/>
                <w:color w:val="000000" w:themeColor="text1"/>
                <w:sz w:val="21"/>
                <w:szCs w:val="21"/>
                <w:shd w:val="clear" w:color="auto" w:fill="FFFFFF"/>
                <w:lang w:val="zh-TW"/>
              </w:rPr>
              <w:t>（</w:t>
            </w:r>
            <w:r w:rsidRPr="00687B52">
              <w:rPr>
                <w:rFonts w:ascii="Times New Roman" w:eastAsia="宋体" w:hAnsi="Times New Roman" w:cs="Times New Roman" w:hint="eastAsia"/>
                <w:bCs/>
                <w:color w:val="000000" w:themeColor="text1"/>
                <w:sz w:val="21"/>
                <w:szCs w:val="21"/>
                <w:shd w:val="clear" w:color="auto" w:fill="FFFFFF"/>
                <w:lang w:val="zh-TW"/>
              </w:rPr>
              <w:t>75</w:t>
            </w: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475"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60</w:t>
            </w:r>
          </w:p>
        </w:tc>
        <w:tc>
          <w:tcPr>
            <w:tcW w:w="52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60</w:t>
            </w:r>
          </w:p>
        </w:tc>
        <w:tc>
          <w:tcPr>
            <w:tcW w:w="74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35</w:t>
            </w:r>
          </w:p>
        </w:tc>
        <w:tc>
          <w:tcPr>
            <w:tcW w:w="364"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25</w:t>
            </w:r>
          </w:p>
        </w:tc>
      </w:tr>
      <w:tr w:rsidR="00F04338" w:rsidRPr="00687B52" w:rsidTr="00994B9F">
        <w:tc>
          <w:tcPr>
            <w:tcW w:w="198" w:type="pct"/>
            <w:vMerge/>
            <w:vAlign w:val="center"/>
          </w:tcPr>
          <w:p w:rsidR="003E46D7" w:rsidRPr="00687B52" w:rsidRDefault="003E46D7" w:rsidP="003A290A">
            <w:pPr>
              <w:pStyle w:val="110"/>
              <w:rPr>
                <w:rFonts w:ascii="Times New Roman" w:eastAsia="宋体" w:hAnsi="Times New Roman" w:cs="Times New Roman"/>
                <w:bCs/>
                <w:color w:val="000000" w:themeColor="text1"/>
                <w:sz w:val="21"/>
                <w:szCs w:val="21"/>
                <w:shd w:val="clear" w:color="auto" w:fill="FFFFFF"/>
                <w:lang w:val="zh-TW"/>
              </w:rPr>
            </w:pPr>
          </w:p>
        </w:tc>
        <w:tc>
          <w:tcPr>
            <w:tcW w:w="1422" w:type="pct"/>
            <w:vMerge/>
            <w:vAlign w:val="center"/>
          </w:tcPr>
          <w:p w:rsidR="003E46D7" w:rsidRPr="00687B52" w:rsidRDefault="003E46D7" w:rsidP="00994B9F">
            <w:pPr>
              <w:pStyle w:val="110"/>
              <w:shd w:val="clear" w:color="auto" w:fill="auto"/>
              <w:spacing w:before="0" w:line="240" w:lineRule="auto"/>
              <w:ind w:firstLine="0"/>
              <w:jc w:val="left"/>
              <w:rPr>
                <w:rFonts w:ascii="Times New Roman" w:eastAsia="宋体" w:hAnsi="Times New Roman" w:cs="Times New Roman"/>
                <w:bCs/>
                <w:color w:val="000000" w:themeColor="text1"/>
                <w:sz w:val="21"/>
                <w:szCs w:val="21"/>
                <w:shd w:val="clear" w:color="auto" w:fill="FFFFFF"/>
                <w:lang w:val="zh-TW"/>
              </w:rPr>
            </w:pPr>
          </w:p>
        </w:tc>
        <w:tc>
          <w:tcPr>
            <w:tcW w:w="357"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二</w:t>
            </w:r>
          </w:p>
        </w:tc>
        <w:tc>
          <w:tcPr>
            <w:tcW w:w="906"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90</w:t>
            </w:r>
            <w:r w:rsidRPr="00687B52">
              <w:rPr>
                <w:rFonts w:ascii="Times New Roman" w:eastAsia="宋体" w:hAnsi="Times New Roman" w:cs="Times New Roman" w:hint="eastAsia"/>
                <w:bCs/>
                <w:color w:val="000000" w:themeColor="text1"/>
                <w:sz w:val="21"/>
                <w:szCs w:val="21"/>
                <w:shd w:val="clear" w:color="auto" w:fill="FFFFFF"/>
                <w:lang w:val="zh-TW"/>
              </w:rPr>
              <w:t>（</w:t>
            </w:r>
            <w:r w:rsidRPr="00687B52">
              <w:rPr>
                <w:rFonts w:ascii="Times New Roman" w:eastAsia="宋体" w:hAnsi="Times New Roman" w:cs="Times New Roman" w:hint="eastAsia"/>
                <w:bCs/>
                <w:color w:val="000000" w:themeColor="text1"/>
                <w:sz w:val="21"/>
                <w:szCs w:val="21"/>
                <w:shd w:val="clear" w:color="auto" w:fill="FFFFFF"/>
                <w:lang w:val="zh-TW"/>
              </w:rPr>
              <w:t>45</w:t>
            </w: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475"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50</w:t>
            </w:r>
          </w:p>
        </w:tc>
        <w:tc>
          <w:tcPr>
            <w:tcW w:w="52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55</w:t>
            </w:r>
          </w:p>
        </w:tc>
        <w:tc>
          <w:tcPr>
            <w:tcW w:w="74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30</w:t>
            </w:r>
          </w:p>
        </w:tc>
        <w:tc>
          <w:tcPr>
            <w:tcW w:w="364"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20</w:t>
            </w:r>
          </w:p>
        </w:tc>
      </w:tr>
      <w:tr w:rsidR="00F04338" w:rsidRPr="00687B52" w:rsidTr="00994B9F">
        <w:tc>
          <w:tcPr>
            <w:tcW w:w="198" w:type="pct"/>
            <w:vMerge/>
            <w:vAlign w:val="center"/>
          </w:tcPr>
          <w:p w:rsidR="003E46D7" w:rsidRPr="00687B52" w:rsidRDefault="003E46D7" w:rsidP="003A290A">
            <w:pPr>
              <w:pStyle w:val="110"/>
              <w:rPr>
                <w:rFonts w:ascii="Times New Roman" w:eastAsia="宋体" w:hAnsi="Times New Roman" w:cs="Times New Roman"/>
                <w:bCs/>
                <w:color w:val="000000" w:themeColor="text1"/>
                <w:sz w:val="21"/>
                <w:szCs w:val="21"/>
                <w:shd w:val="clear" w:color="auto" w:fill="FFFFFF"/>
                <w:lang w:val="zh-TW"/>
              </w:rPr>
            </w:pPr>
          </w:p>
        </w:tc>
        <w:tc>
          <w:tcPr>
            <w:tcW w:w="1422" w:type="pct"/>
            <w:vMerge/>
            <w:vAlign w:val="center"/>
          </w:tcPr>
          <w:p w:rsidR="003E46D7" w:rsidRPr="00687B52" w:rsidRDefault="003E46D7" w:rsidP="00994B9F">
            <w:pPr>
              <w:pStyle w:val="110"/>
              <w:shd w:val="clear" w:color="auto" w:fill="auto"/>
              <w:spacing w:before="0" w:line="240" w:lineRule="auto"/>
              <w:ind w:firstLine="0"/>
              <w:jc w:val="left"/>
              <w:rPr>
                <w:rFonts w:ascii="Times New Roman" w:eastAsia="宋体" w:hAnsi="Times New Roman" w:cs="Times New Roman"/>
                <w:bCs/>
                <w:color w:val="000000" w:themeColor="text1"/>
                <w:sz w:val="21"/>
                <w:szCs w:val="21"/>
                <w:shd w:val="clear" w:color="auto" w:fill="FFFFFF"/>
                <w:lang w:val="zh-TW"/>
              </w:rPr>
            </w:pPr>
          </w:p>
        </w:tc>
        <w:tc>
          <w:tcPr>
            <w:tcW w:w="357"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三</w:t>
            </w:r>
          </w:p>
        </w:tc>
        <w:tc>
          <w:tcPr>
            <w:tcW w:w="906"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80</w:t>
            </w:r>
            <w:r w:rsidRPr="00687B52">
              <w:rPr>
                <w:rFonts w:ascii="Times New Roman" w:eastAsia="宋体" w:hAnsi="Times New Roman" w:cs="Times New Roman" w:hint="eastAsia"/>
                <w:bCs/>
                <w:color w:val="000000" w:themeColor="text1"/>
                <w:sz w:val="21"/>
                <w:szCs w:val="21"/>
                <w:shd w:val="clear" w:color="auto" w:fill="FFFFFF"/>
                <w:lang w:val="zh-TW"/>
              </w:rPr>
              <w:t>（</w:t>
            </w:r>
            <w:r w:rsidRPr="00687B52">
              <w:rPr>
                <w:rFonts w:ascii="Times New Roman" w:eastAsia="宋体" w:hAnsi="Times New Roman" w:cs="Times New Roman" w:hint="eastAsia"/>
                <w:bCs/>
                <w:color w:val="000000" w:themeColor="text1"/>
                <w:sz w:val="21"/>
                <w:szCs w:val="21"/>
                <w:shd w:val="clear" w:color="auto" w:fill="FFFFFF"/>
                <w:lang w:val="zh-TW"/>
              </w:rPr>
              <w:t>40</w:t>
            </w: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475"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40</w:t>
            </w:r>
          </w:p>
        </w:tc>
        <w:tc>
          <w:tcPr>
            <w:tcW w:w="52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50</w:t>
            </w:r>
          </w:p>
        </w:tc>
        <w:tc>
          <w:tcPr>
            <w:tcW w:w="74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25</w:t>
            </w:r>
          </w:p>
        </w:tc>
        <w:tc>
          <w:tcPr>
            <w:tcW w:w="364"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r>
      <w:tr w:rsidR="00F04338" w:rsidRPr="00687B52" w:rsidTr="00994B9F">
        <w:tc>
          <w:tcPr>
            <w:tcW w:w="198" w:type="pct"/>
            <w:vMerge/>
            <w:vAlign w:val="center"/>
          </w:tcPr>
          <w:p w:rsidR="003E46D7" w:rsidRPr="00687B52" w:rsidRDefault="003E46D7" w:rsidP="003A290A">
            <w:pPr>
              <w:pStyle w:val="110"/>
              <w:rPr>
                <w:rFonts w:ascii="Times New Roman" w:eastAsia="宋体" w:hAnsi="Times New Roman" w:cs="Times New Roman"/>
                <w:bCs/>
                <w:color w:val="000000" w:themeColor="text1"/>
                <w:sz w:val="21"/>
                <w:szCs w:val="21"/>
                <w:shd w:val="clear" w:color="auto" w:fill="FFFFFF"/>
                <w:lang w:val="zh-TW"/>
              </w:rPr>
            </w:pPr>
          </w:p>
        </w:tc>
        <w:tc>
          <w:tcPr>
            <w:tcW w:w="1422" w:type="pct"/>
            <w:vMerge/>
            <w:vAlign w:val="center"/>
          </w:tcPr>
          <w:p w:rsidR="003E46D7" w:rsidRPr="00687B52" w:rsidRDefault="003E46D7" w:rsidP="00994B9F">
            <w:pPr>
              <w:pStyle w:val="110"/>
              <w:shd w:val="clear" w:color="auto" w:fill="auto"/>
              <w:spacing w:before="0" w:line="240" w:lineRule="auto"/>
              <w:ind w:firstLine="0"/>
              <w:jc w:val="left"/>
              <w:rPr>
                <w:rFonts w:ascii="Times New Roman" w:eastAsia="宋体" w:hAnsi="Times New Roman" w:cs="Times New Roman"/>
                <w:bCs/>
                <w:color w:val="000000" w:themeColor="text1"/>
                <w:sz w:val="21"/>
                <w:szCs w:val="21"/>
                <w:shd w:val="clear" w:color="auto" w:fill="FFFFFF"/>
                <w:lang w:val="zh-TW"/>
              </w:rPr>
            </w:pPr>
          </w:p>
        </w:tc>
        <w:tc>
          <w:tcPr>
            <w:tcW w:w="357"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四</w:t>
            </w:r>
          </w:p>
        </w:tc>
        <w:tc>
          <w:tcPr>
            <w:tcW w:w="906"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70</w:t>
            </w:r>
            <w:r w:rsidRPr="00687B52">
              <w:rPr>
                <w:rFonts w:ascii="Times New Roman" w:eastAsia="宋体" w:hAnsi="Times New Roman" w:cs="Times New Roman" w:hint="eastAsia"/>
                <w:bCs/>
                <w:color w:val="000000" w:themeColor="text1"/>
                <w:sz w:val="21"/>
                <w:szCs w:val="21"/>
                <w:shd w:val="clear" w:color="auto" w:fill="FFFFFF"/>
                <w:lang w:val="zh-TW"/>
              </w:rPr>
              <w:t>（</w:t>
            </w:r>
            <w:r w:rsidRPr="00687B52">
              <w:rPr>
                <w:rFonts w:ascii="Times New Roman" w:eastAsia="宋体" w:hAnsi="Times New Roman" w:cs="Times New Roman" w:hint="eastAsia"/>
                <w:bCs/>
                <w:color w:val="000000" w:themeColor="text1"/>
                <w:sz w:val="21"/>
                <w:szCs w:val="21"/>
                <w:shd w:val="clear" w:color="auto" w:fill="FFFFFF"/>
                <w:lang w:val="zh-TW"/>
              </w:rPr>
              <w:t>35</w:t>
            </w: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475"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35</w:t>
            </w:r>
          </w:p>
        </w:tc>
        <w:tc>
          <w:tcPr>
            <w:tcW w:w="52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50</w:t>
            </w:r>
          </w:p>
        </w:tc>
        <w:tc>
          <w:tcPr>
            <w:tcW w:w="74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25</w:t>
            </w:r>
          </w:p>
        </w:tc>
        <w:tc>
          <w:tcPr>
            <w:tcW w:w="364"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r>
      <w:tr w:rsidR="00F04338" w:rsidRPr="00687B52" w:rsidTr="00994B9F">
        <w:tc>
          <w:tcPr>
            <w:tcW w:w="198" w:type="pct"/>
            <w:vMerge/>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1422" w:type="pct"/>
            <w:vMerge/>
            <w:vAlign w:val="center"/>
          </w:tcPr>
          <w:p w:rsidR="003E46D7" w:rsidRPr="00687B52" w:rsidRDefault="003E46D7" w:rsidP="00994B9F">
            <w:pPr>
              <w:pStyle w:val="110"/>
              <w:shd w:val="clear" w:color="auto" w:fill="auto"/>
              <w:spacing w:before="0" w:line="240" w:lineRule="auto"/>
              <w:ind w:firstLine="0"/>
              <w:jc w:val="left"/>
              <w:rPr>
                <w:rFonts w:ascii="Times New Roman" w:eastAsia="宋体" w:hAnsi="Times New Roman" w:cs="Times New Roman"/>
                <w:bCs/>
                <w:color w:val="000000" w:themeColor="text1"/>
                <w:sz w:val="21"/>
                <w:szCs w:val="21"/>
                <w:shd w:val="clear" w:color="auto" w:fill="FFFFFF"/>
                <w:lang w:val="zh-TW"/>
              </w:rPr>
            </w:pPr>
          </w:p>
        </w:tc>
        <w:tc>
          <w:tcPr>
            <w:tcW w:w="357"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五</w:t>
            </w:r>
          </w:p>
        </w:tc>
        <w:tc>
          <w:tcPr>
            <w:tcW w:w="906"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50</w:t>
            </w:r>
            <w:r w:rsidRPr="00687B52">
              <w:rPr>
                <w:rFonts w:ascii="Times New Roman" w:eastAsia="宋体" w:hAnsi="Times New Roman" w:cs="Times New Roman" w:hint="eastAsia"/>
                <w:bCs/>
                <w:color w:val="000000" w:themeColor="text1"/>
                <w:sz w:val="21"/>
                <w:szCs w:val="21"/>
                <w:shd w:val="clear" w:color="auto" w:fill="FFFFFF"/>
                <w:lang w:val="zh-TW"/>
              </w:rPr>
              <w:t>（</w:t>
            </w:r>
            <w:r w:rsidRPr="00687B52">
              <w:rPr>
                <w:rFonts w:ascii="Times New Roman" w:eastAsia="宋体" w:hAnsi="Times New Roman" w:cs="Times New Roman" w:hint="eastAsia"/>
                <w:bCs/>
                <w:color w:val="000000" w:themeColor="text1"/>
                <w:sz w:val="21"/>
                <w:szCs w:val="21"/>
                <w:shd w:val="clear" w:color="auto" w:fill="FFFFFF"/>
                <w:lang w:val="zh-TW"/>
              </w:rPr>
              <w:t>35</w:t>
            </w: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475"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30</w:t>
            </w:r>
          </w:p>
        </w:tc>
        <w:tc>
          <w:tcPr>
            <w:tcW w:w="52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50</w:t>
            </w:r>
          </w:p>
        </w:tc>
        <w:tc>
          <w:tcPr>
            <w:tcW w:w="74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25</w:t>
            </w:r>
          </w:p>
        </w:tc>
        <w:tc>
          <w:tcPr>
            <w:tcW w:w="364"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r>
      <w:tr w:rsidR="00B62F57" w:rsidRPr="00687B52" w:rsidTr="00994B9F">
        <w:tc>
          <w:tcPr>
            <w:tcW w:w="198" w:type="pct"/>
            <w:vMerge w:val="restar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w:t>
            </w:r>
          </w:p>
        </w:tc>
        <w:tc>
          <w:tcPr>
            <w:tcW w:w="1422" w:type="pct"/>
            <w:vMerge w:val="restart"/>
            <w:vAlign w:val="center"/>
          </w:tcPr>
          <w:p w:rsidR="003E46D7" w:rsidRPr="00687B52" w:rsidRDefault="003E46D7" w:rsidP="00994B9F">
            <w:pPr>
              <w:pStyle w:val="110"/>
              <w:shd w:val="clear" w:color="auto" w:fill="auto"/>
              <w:spacing w:before="0" w:line="240" w:lineRule="auto"/>
              <w:ind w:firstLine="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丙类液体地上罐组；丙类覆土立式油罐；乙</w:t>
            </w:r>
            <w:r w:rsidRPr="00687B52">
              <w:rPr>
                <w:rFonts w:ascii="Times New Roman" w:eastAsia="宋体" w:hAnsi="Times New Roman" w:cs="Times New Roman" w:hint="eastAsia"/>
                <w:bCs/>
                <w:color w:val="000000" w:themeColor="text1"/>
                <w:sz w:val="21"/>
                <w:szCs w:val="21"/>
                <w:shd w:val="clear" w:color="auto" w:fill="FFFFFF"/>
                <w:lang w:val="zh-TW"/>
              </w:rPr>
              <w:t>B</w:t>
            </w:r>
            <w:r w:rsidRPr="00687B52">
              <w:rPr>
                <w:rFonts w:ascii="Times New Roman" w:eastAsia="宋体" w:hAnsi="Times New Roman" w:cs="Times New Roman" w:hint="eastAsia"/>
                <w:bCs/>
                <w:color w:val="000000" w:themeColor="text1"/>
                <w:sz w:val="21"/>
                <w:szCs w:val="21"/>
                <w:shd w:val="clear" w:color="auto" w:fill="FFFFFF"/>
                <w:lang w:val="zh-TW"/>
              </w:rPr>
              <w:t>、丙类和采用油气回收设施的甲</w:t>
            </w:r>
            <w:r w:rsidRPr="00687B52">
              <w:rPr>
                <w:rFonts w:ascii="Times New Roman" w:eastAsia="宋体" w:hAnsi="Times New Roman" w:cs="Times New Roman" w:hint="eastAsia"/>
                <w:bCs/>
                <w:color w:val="000000" w:themeColor="text1"/>
                <w:sz w:val="21"/>
                <w:szCs w:val="21"/>
                <w:shd w:val="clear" w:color="auto" w:fill="FFFFFF"/>
                <w:lang w:val="zh-TW"/>
              </w:rPr>
              <w:t>B</w:t>
            </w:r>
            <w:r w:rsidRPr="00687B52">
              <w:rPr>
                <w:rFonts w:ascii="Times New Roman" w:eastAsia="宋体" w:hAnsi="Times New Roman" w:cs="Times New Roman" w:hint="eastAsia"/>
                <w:bCs/>
                <w:color w:val="000000" w:themeColor="text1"/>
                <w:sz w:val="21"/>
                <w:szCs w:val="21"/>
                <w:shd w:val="clear" w:color="auto" w:fill="FFFFFF"/>
                <w:lang w:val="zh-TW"/>
              </w:rPr>
              <w:t>、乙</w:t>
            </w:r>
            <w:r w:rsidRPr="00687B52">
              <w:rPr>
                <w:rFonts w:ascii="Times New Roman" w:eastAsia="宋体" w:hAnsi="Times New Roman" w:cs="Times New Roman" w:hint="eastAsia"/>
                <w:bCs/>
                <w:color w:val="000000" w:themeColor="text1"/>
                <w:sz w:val="21"/>
                <w:szCs w:val="21"/>
                <w:shd w:val="clear" w:color="auto" w:fill="FFFFFF"/>
                <w:lang w:val="zh-TW"/>
              </w:rPr>
              <w:t>A</w:t>
            </w:r>
            <w:r w:rsidRPr="00687B52">
              <w:rPr>
                <w:rFonts w:ascii="Times New Roman" w:eastAsia="宋体" w:hAnsi="Times New Roman" w:cs="Times New Roman" w:hint="eastAsia"/>
                <w:bCs/>
                <w:color w:val="000000" w:themeColor="text1"/>
                <w:sz w:val="21"/>
                <w:szCs w:val="21"/>
                <w:shd w:val="clear" w:color="auto" w:fill="FFFFFF"/>
                <w:lang w:val="zh-TW"/>
              </w:rPr>
              <w:t>类液体装卸码头；无油气回收设施的甲</w:t>
            </w:r>
            <w:r w:rsidRPr="00687B52">
              <w:rPr>
                <w:rFonts w:ascii="Times New Roman" w:eastAsia="宋体" w:hAnsi="Times New Roman" w:cs="Times New Roman" w:hint="eastAsia"/>
                <w:bCs/>
                <w:color w:val="000000" w:themeColor="text1"/>
                <w:sz w:val="21"/>
                <w:szCs w:val="21"/>
                <w:shd w:val="clear" w:color="auto" w:fill="FFFFFF"/>
                <w:lang w:val="zh-TW"/>
              </w:rPr>
              <w:t>B</w:t>
            </w:r>
            <w:r w:rsidRPr="00687B52">
              <w:rPr>
                <w:rFonts w:ascii="Times New Roman" w:eastAsia="宋体" w:hAnsi="Times New Roman" w:cs="Times New Roman" w:hint="eastAsia"/>
                <w:bCs/>
                <w:color w:val="000000" w:themeColor="text1"/>
                <w:sz w:val="21"/>
                <w:szCs w:val="21"/>
                <w:shd w:val="clear" w:color="auto" w:fill="FFFFFF"/>
                <w:lang w:val="zh-TW"/>
              </w:rPr>
              <w:t>、乙</w:t>
            </w:r>
            <w:r w:rsidRPr="00687B52">
              <w:rPr>
                <w:rFonts w:ascii="Times New Roman" w:eastAsia="宋体" w:hAnsi="Times New Roman" w:cs="Times New Roman" w:hint="eastAsia"/>
                <w:bCs/>
                <w:color w:val="000000" w:themeColor="text1"/>
                <w:sz w:val="21"/>
                <w:szCs w:val="21"/>
                <w:shd w:val="clear" w:color="auto" w:fill="FFFFFF"/>
                <w:lang w:val="zh-TW"/>
              </w:rPr>
              <w:t>A</w:t>
            </w:r>
            <w:r w:rsidRPr="00687B52">
              <w:rPr>
                <w:rFonts w:ascii="Times New Roman" w:eastAsia="宋体" w:hAnsi="Times New Roman" w:cs="Times New Roman" w:hint="eastAsia"/>
                <w:bCs/>
                <w:color w:val="000000" w:themeColor="text1"/>
                <w:sz w:val="21"/>
                <w:szCs w:val="21"/>
                <w:shd w:val="clear" w:color="auto" w:fill="FFFFFF"/>
                <w:lang w:val="zh-TW"/>
              </w:rPr>
              <w:t>类液体铁路或公路罐车装车设施；其他甲</w:t>
            </w:r>
            <w:r w:rsidRPr="00687B52">
              <w:rPr>
                <w:rFonts w:ascii="Times New Roman" w:eastAsia="宋体" w:hAnsi="Times New Roman" w:cs="Times New Roman" w:hint="eastAsia"/>
                <w:bCs/>
                <w:color w:val="000000" w:themeColor="text1"/>
                <w:sz w:val="21"/>
                <w:szCs w:val="21"/>
                <w:shd w:val="clear" w:color="auto" w:fill="FFFFFF"/>
                <w:lang w:val="zh-TW"/>
              </w:rPr>
              <w:t>B</w:t>
            </w:r>
            <w:r w:rsidRPr="00687B52">
              <w:rPr>
                <w:rFonts w:ascii="Times New Roman" w:eastAsia="宋体" w:hAnsi="Times New Roman" w:cs="Times New Roman" w:hint="eastAsia"/>
                <w:bCs/>
                <w:color w:val="000000" w:themeColor="text1"/>
                <w:sz w:val="21"/>
                <w:szCs w:val="21"/>
                <w:shd w:val="clear" w:color="auto" w:fill="FFFFFF"/>
                <w:lang w:val="zh-TW"/>
              </w:rPr>
              <w:t>、乙类液体设施</w:t>
            </w:r>
          </w:p>
        </w:tc>
        <w:tc>
          <w:tcPr>
            <w:tcW w:w="357"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eastAsia="zh-TW"/>
              </w:rPr>
            </w:pPr>
            <w:r w:rsidRPr="00687B52">
              <w:rPr>
                <w:rFonts w:ascii="Times New Roman" w:eastAsia="宋体" w:hAnsi="Times New Roman" w:cs="Times New Roman" w:hint="eastAsia"/>
                <w:bCs/>
                <w:color w:val="000000" w:themeColor="text1"/>
                <w:sz w:val="21"/>
                <w:szCs w:val="21"/>
                <w:shd w:val="clear" w:color="auto" w:fill="FFFFFF"/>
                <w:lang w:val="zh-TW" w:eastAsia="zh-TW"/>
              </w:rPr>
              <w:t>一</w:t>
            </w:r>
          </w:p>
        </w:tc>
        <w:tc>
          <w:tcPr>
            <w:tcW w:w="906"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75</w:t>
            </w:r>
            <w:r w:rsidRPr="00687B52">
              <w:rPr>
                <w:rFonts w:ascii="Times New Roman" w:eastAsia="宋体" w:hAnsi="Times New Roman" w:cs="Times New Roman" w:hint="eastAsia"/>
                <w:bCs/>
                <w:color w:val="000000" w:themeColor="text1"/>
                <w:sz w:val="21"/>
                <w:szCs w:val="21"/>
                <w:shd w:val="clear" w:color="auto" w:fill="FFFFFF"/>
                <w:lang w:val="zh-TW"/>
              </w:rPr>
              <w:t>（</w:t>
            </w:r>
            <w:r w:rsidRPr="00687B52">
              <w:rPr>
                <w:rFonts w:ascii="Times New Roman" w:eastAsia="宋体" w:hAnsi="Times New Roman" w:cs="Times New Roman" w:hint="eastAsia"/>
                <w:bCs/>
                <w:color w:val="000000" w:themeColor="text1"/>
                <w:sz w:val="21"/>
                <w:szCs w:val="21"/>
                <w:shd w:val="clear" w:color="auto" w:fill="FFFFFF"/>
                <w:lang w:val="zh-TW"/>
              </w:rPr>
              <w:t>50</w:t>
            </w: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475"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45</w:t>
            </w:r>
          </w:p>
        </w:tc>
        <w:tc>
          <w:tcPr>
            <w:tcW w:w="52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45</w:t>
            </w:r>
          </w:p>
        </w:tc>
        <w:tc>
          <w:tcPr>
            <w:tcW w:w="74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26</w:t>
            </w:r>
          </w:p>
        </w:tc>
        <w:tc>
          <w:tcPr>
            <w:tcW w:w="364"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20</w:t>
            </w:r>
          </w:p>
        </w:tc>
      </w:tr>
      <w:tr w:rsidR="00B62F57" w:rsidRPr="00687B52" w:rsidTr="00994B9F">
        <w:tc>
          <w:tcPr>
            <w:tcW w:w="198" w:type="pct"/>
            <w:vMerge/>
            <w:vAlign w:val="center"/>
          </w:tcPr>
          <w:p w:rsidR="003E46D7" w:rsidRPr="00687B52" w:rsidRDefault="003E46D7" w:rsidP="003A290A">
            <w:pPr>
              <w:pStyle w:val="110"/>
              <w:rPr>
                <w:rFonts w:ascii="Times New Roman" w:eastAsia="宋体" w:hAnsi="Times New Roman" w:cs="Times New Roman"/>
                <w:bCs/>
                <w:color w:val="000000" w:themeColor="text1"/>
                <w:sz w:val="21"/>
                <w:szCs w:val="21"/>
                <w:shd w:val="clear" w:color="auto" w:fill="FFFFFF"/>
                <w:lang w:val="zh-TW" w:eastAsia="zh-TW"/>
              </w:rPr>
            </w:pPr>
          </w:p>
        </w:tc>
        <w:tc>
          <w:tcPr>
            <w:tcW w:w="1422" w:type="pct"/>
            <w:vMerge/>
            <w:vAlign w:val="center"/>
          </w:tcPr>
          <w:p w:rsidR="003E46D7" w:rsidRPr="00687B52" w:rsidRDefault="003E46D7" w:rsidP="00994B9F">
            <w:pPr>
              <w:pStyle w:val="110"/>
              <w:shd w:val="clear" w:color="auto" w:fill="auto"/>
              <w:spacing w:before="0" w:line="240" w:lineRule="auto"/>
              <w:ind w:firstLine="0"/>
              <w:jc w:val="left"/>
              <w:rPr>
                <w:rFonts w:ascii="Times New Roman" w:eastAsia="宋体" w:hAnsi="Times New Roman" w:cs="Times New Roman"/>
                <w:bCs/>
                <w:color w:val="000000" w:themeColor="text1"/>
                <w:sz w:val="21"/>
                <w:szCs w:val="21"/>
                <w:shd w:val="clear" w:color="auto" w:fill="FFFFFF"/>
                <w:lang w:val="zh-TW" w:eastAsia="zh-TW"/>
              </w:rPr>
            </w:pPr>
          </w:p>
        </w:tc>
        <w:tc>
          <w:tcPr>
            <w:tcW w:w="357"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eastAsia="zh-TW"/>
              </w:rPr>
            </w:pPr>
            <w:r w:rsidRPr="00687B52">
              <w:rPr>
                <w:rFonts w:ascii="Times New Roman" w:eastAsia="宋体" w:hAnsi="Times New Roman" w:cs="Times New Roman" w:hint="eastAsia"/>
                <w:bCs/>
                <w:color w:val="000000" w:themeColor="text1"/>
                <w:sz w:val="21"/>
                <w:szCs w:val="21"/>
                <w:shd w:val="clear" w:color="auto" w:fill="FFFFFF"/>
                <w:lang w:val="zh-TW" w:eastAsia="zh-TW"/>
              </w:rPr>
              <w:t>二</w:t>
            </w:r>
          </w:p>
        </w:tc>
        <w:tc>
          <w:tcPr>
            <w:tcW w:w="906"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68</w:t>
            </w:r>
            <w:r w:rsidRPr="00687B52">
              <w:rPr>
                <w:rFonts w:ascii="Times New Roman" w:eastAsia="宋体" w:hAnsi="Times New Roman" w:cs="Times New Roman" w:hint="eastAsia"/>
                <w:bCs/>
                <w:color w:val="000000" w:themeColor="text1"/>
                <w:sz w:val="21"/>
                <w:szCs w:val="21"/>
                <w:shd w:val="clear" w:color="auto" w:fill="FFFFFF"/>
                <w:lang w:val="zh-TW"/>
              </w:rPr>
              <w:t>（</w:t>
            </w:r>
            <w:r w:rsidRPr="00687B52">
              <w:rPr>
                <w:rFonts w:ascii="Times New Roman" w:eastAsia="宋体" w:hAnsi="Times New Roman" w:cs="Times New Roman" w:hint="eastAsia"/>
                <w:bCs/>
                <w:color w:val="000000" w:themeColor="text1"/>
                <w:sz w:val="21"/>
                <w:szCs w:val="21"/>
                <w:shd w:val="clear" w:color="auto" w:fill="FFFFFF"/>
                <w:lang w:val="zh-TW"/>
              </w:rPr>
              <w:t>45</w:t>
            </w: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475"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38</w:t>
            </w:r>
          </w:p>
        </w:tc>
        <w:tc>
          <w:tcPr>
            <w:tcW w:w="52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40</w:t>
            </w:r>
          </w:p>
        </w:tc>
        <w:tc>
          <w:tcPr>
            <w:tcW w:w="74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23</w:t>
            </w:r>
          </w:p>
        </w:tc>
        <w:tc>
          <w:tcPr>
            <w:tcW w:w="364"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r>
      <w:tr w:rsidR="00B62F57" w:rsidRPr="00687B52" w:rsidTr="00994B9F">
        <w:tc>
          <w:tcPr>
            <w:tcW w:w="198" w:type="pct"/>
            <w:vMerge/>
            <w:vAlign w:val="center"/>
          </w:tcPr>
          <w:p w:rsidR="003E46D7" w:rsidRPr="00687B52" w:rsidRDefault="003E46D7" w:rsidP="003A290A">
            <w:pPr>
              <w:pStyle w:val="110"/>
              <w:rPr>
                <w:rFonts w:ascii="Times New Roman" w:eastAsia="宋体" w:hAnsi="Times New Roman" w:cs="Times New Roman"/>
                <w:bCs/>
                <w:color w:val="000000" w:themeColor="text1"/>
                <w:sz w:val="21"/>
                <w:szCs w:val="21"/>
                <w:shd w:val="clear" w:color="auto" w:fill="FFFFFF"/>
                <w:lang w:val="zh-TW" w:eastAsia="zh-TW"/>
              </w:rPr>
            </w:pPr>
          </w:p>
        </w:tc>
        <w:tc>
          <w:tcPr>
            <w:tcW w:w="1422" w:type="pct"/>
            <w:vMerge/>
            <w:vAlign w:val="center"/>
          </w:tcPr>
          <w:p w:rsidR="003E46D7" w:rsidRPr="00687B52" w:rsidRDefault="003E46D7" w:rsidP="00994B9F">
            <w:pPr>
              <w:pStyle w:val="110"/>
              <w:shd w:val="clear" w:color="auto" w:fill="auto"/>
              <w:spacing w:before="0" w:line="240" w:lineRule="auto"/>
              <w:ind w:firstLine="0"/>
              <w:jc w:val="left"/>
              <w:rPr>
                <w:rFonts w:ascii="Times New Roman" w:eastAsia="宋体" w:hAnsi="Times New Roman" w:cs="Times New Roman"/>
                <w:bCs/>
                <w:color w:val="000000" w:themeColor="text1"/>
                <w:sz w:val="21"/>
                <w:szCs w:val="21"/>
                <w:shd w:val="clear" w:color="auto" w:fill="FFFFFF"/>
                <w:lang w:val="zh-TW" w:eastAsia="zh-TW"/>
              </w:rPr>
            </w:pPr>
          </w:p>
        </w:tc>
        <w:tc>
          <w:tcPr>
            <w:tcW w:w="357"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eastAsia="zh-TW"/>
              </w:rPr>
            </w:pPr>
            <w:r w:rsidRPr="00687B52">
              <w:rPr>
                <w:rFonts w:ascii="Times New Roman" w:eastAsia="宋体" w:hAnsi="Times New Roman" w:cs="Times New Roman" w:hint="eastAsia"/>
                <w:bCs/>
                <w:color w:val="000000" w:themeColor="text1"/>
                <w:sz w:val="21"/>
                <w:szCs w:val="21"/>
                <w:shd w:val="clear" w:color="auto" w:fill="FFFFFF"/>
                <w:lang w:val="zh-TW" w:eastAsia="zh-TW"/>
              </w:rPr>
              <w:t>三</w:t>
            </w:r>
          </w:p>
        </w:tc>
        <w:tc>
          <w:tcPr>
            <w:tcW w:w="906"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60</w:t>
            </w:r>
            <w:r w:rsidRPr="00687B52">
              <w:rPr>
                <w:rFonts w:ascii="Times New Roman" w:eastAsia="宋体" w:hAnsi="Times New Roman" w:cs="Times New Roman" w:hint="eastAsia"/>
                <w:bCs/>
                <w:color w:val="000000" w:themeColor="text1"/>
                <w:sz w:val="21"/>
                <w:szCs w:val="21"/>
                <w:shd w:val="clear" w:color="auto" w:fill="FFFFFF"/>
                <w:lang w:val="zh-TW"/>
              </w:rPr>
              <w:t>（</w:t>
            </w:r>
            <w:r w:rsidRPr="00687B52">
              <w:rPr>
                <w:rFonts w:ascii="Times New Roman" w:eastAsia="宋体" w:hAnsi="Times New Roman" w:cs="Times New Roman" w:hint="eastAsia"/>
                <w:bCs/>
                <w:color w:val="000000" w:themeColor="text1"/>
                <w:sz w:val="21"/>
                <w:szCs w:val="21"/>
                <w:shd w:val="clear" w:color="auto" w:fill="FFFFFF"/>
                <w:lang w:val="zh-TW"/>
              </w:rPr>
              <w:t>40</w:t>
            </w: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475"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30</w:t>
            </w:r>
          </w:p>
        </w:tc>
        <w:tc>
          <w:tcPr>
            <w:tcW w:w="52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38</w:t>
            </w:r>
          </w:p>
        </w:tc>
        <w:tc>
          <w:tcPr>
            <w:tcW w:w="74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20</w:t>
            </w:r>
          </w:p>
        </w:tc>
        <w:tc>
          <w:tcPr>
            <w:tcW w:w="364"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r>
      <w:tr w:rsidR="00B62F57" w:rsidRPr="00687B52" w:rsidTr="00994B9F">
        <w:tc>
          <w:tcPr>
            <w:tcW w:w="198" w:type="pct"/>
            <w:vMerge/>
            <w:vAlign w:val="center"/>
          </w:tcPr>
          <w:p w:rsidR="003E46D7" w:rsidRPr="00687B52" w:rsidRDefault="003E46D7" w:rsidP="003A290A">
            <w:pPr>
              <w:pStyle w:val="110"/>
              <w:rPr>
                <w:rFonts w:ascii="Times New Roman" w:eastAsia="宋体" w:hAnsi="Times New Roman" w:cs="Times New Roman"/>
                <w:bCs/>
                <w:color w:val="000000" w:themeColor="text1"/>
                <w:sz w:val="21"/>
                <w:szCs w:val="21"/>
                <w:shd w:val="clear" w:color="auto" w:fill="FFFFFF"/>
                <w:lang w:val="zh-TW" w:eastAsia="zh-TW"/>
              </w:rPr>
            </w:pPr>
          </w:p>
        </w:tc>
        <w:tc>
          <w:tcPr>
            <w:tcW w:w="1422" w:type="pct"/>
            <w:vMerge/>
            <w:vAlign w:val="center"/>
          </w:tcPr>
          <w:p w:rsidR="003E46D7" w:rsidRPr="00687B52" w:rsidRDefault="003E46D7" w:rsidP="00994B9F">
            <w:pPr>
              <w:pStyle w:val="110"/>
              <w:shd w:val="clear" w:color="auto" w:fill="auto"/>
              <w:spacing w:before="0" w:line="240" w:lineRule="auto"/>
              <w:ind w:firstLine="0"/>
              <w:jc w:val="left"/>
              <w:rPr>
                <w:rFonts w:ascii="Times New Roman" w:eastAsia="宋体" w:hAnsi="Times New Roman" w:cs="Times New Roman"/>
                <w:bCs/>
                <w:color w:val="000000" w:themeColor="text1"/>
                <w:sz w:val="21"/>
                <w:szCs w:val="21"/>
                <w:shd w:val="clear" w:color="auto" w:fill="FFFFFF"/>
                <w:lang w:val="zh-TW" w:eastAsia="zh-TW"/>
              </w:rPr>
            </w:pPr>
          </w:p>
        </w:tc>
        <w:tc>
          <w:tcPr>
            <w:tcW w:w="357"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eastAsia="zh-TW"/>
              </w:rPr>
            </w:pPr>
            <w:r w:rsidRPr="00687B52">
              <w:rPr>
                <w:rFonts w:ascii="Times New Roman" w:eastAsia="宋体" w:hAnsi="Times New Roman" w:cs="Times New Roman" w:hint="eastAsia"/>
                <w:bCs/>
                <w:color w:val="000000" w:themeColor="text1"/>
                <w:sz w:val="21"/>
                <w:szCs w:val="21"/>
                <w:shd w:val="clear" w:color="auto" w:fill="FFFFFF"/>
                <w:lang w:val="zh-TW" w:eastAsia="zh-TW"/>
              </w:rPr>
              <w:t>四</w:t>
            </w:r>
          </w:p>
        </w:tc>
        <w:tc>
          <w:tcPr>
            <w:tcW w:w="906"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eastAsia="zh-TW"/>
              </w:rPr>
            </w:pPr>
            <w:r w:rsidRPr="00687B52">
              <w:rPr>
                <w:rFonts w:ascii="Times New Roman" w:eastAsia="宋体" w:hAnsi="Times New Roman" w:cs="Times New Roman" w:hint="eastAsia"/>
                <w:bCs/>
                <w:color w:val="000000" w:themeColor="text1"/>
                <w:sz w:val="21"/>
                <w:szCs w:val="21"/>
                <w:shd w:val="clear" w:color="auto" w:fill="FFFFFF"/>
                <w:lang w:val="zh-TW"/>
              </w:rPr>
              <w:t>53</w:t>
            </w:r>
            <w:r w:rsidRPr="00687B52">
              <w:rPr>
                <w:rFonts w:ascii="Times New Roman" w:eastAsia="宋体" w:hAnsi="Times New Roman" w:cs="Times New Roman" w:hint="eastAsia"/>
                <w:bCs/>
                <w:color w:val="000000" w:themeColor="text1"/>
                <w:sz w:val="21"/>
                <w:szCs w:val="21"/>
                <w:shd w:val="clear" w:color="auto" w:fill="FFFFFF"/>
                <w:lang w:val="zh-TW"/>
              </w:rPr>
              <w:t>（</w:t>
            </w:r>
            <w:r w:rsidRPr="00687B52">
              <w:rPr>
                <w:rFonts w:ascii="Times New Roman" w:eastAsia="宋体" w:hAnsi="Times New Roman" w:cs="Times New Roman" w:hint="eastAsia"/>
                <w:bCs/>
                <w:color w:val="000000" w:themeColor="text1"/>
                <w:sz w:val="21"/>
                <w:szCs w:val="21"/>
                <w:shd w:val="clear" w:color="auto" w:fill="FFFFFF"/>
                <w:lang w:val="zh-TW"/>
              </w:rPr>
              <w:t>35</w:t>
            </w: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475"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26</w:t>
            </w:r>
          </w:p>
        </w:tc>
        <w:tc>
          <w:tcPr>
            <w:tcW w:w="52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38</w:t>
            </w:r>
          </w:p>
        </w:tc>
        <w:tc>
          <w:tcPr>
            <w:tcW w:w="74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20</w:t>
            </w:r>
          </w:p>
        </w:tc>
        <w:tc>
          <w:tcPr>
            <w:tcW w:w="364"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r>
      <w:tr w:rsidR="00B62F57" w:rsidRPr="00687B52" w:rsidTr="00994B9F">
        <w:tc>
          <w:tcPr>
            <w:tcW w:w="198" w:type="pct"/>
            <w:vMerge/>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eastAsia="zh-TW"/>
              </w:rPr>
            </w:pPr>
          </w:p>
        </w:tc>
        <w:tc>
          <w:tcPr>
            <w:tcW w:w="1422" w:type="pct"/>
            <w:vMerge/>
            <w:vAlign w:val="center"/>
          </w:tcPr>
          <w:p w:rsidR="003E46D7" w:rsidRPr="00687B52" w:rsidRDefault="003E46D7" w:rsidP="00994B9F">
            <w:pPr>
              <w:pStyle w:val="110"/>
              <w:shd w:val="clear" w:color="auto" w:fill="auto"/>
              <w:spacing w:before="0" w:line="240" w:lineRule="auto"/>
              <w:ind w:firstLine="0"/>
              <w:jc w:val="left"/>
              <w:rPr>
                <w:rFonts w:ascii="Times New Roman" w:eastAsia="宋体" w:hAnsi="Times New Roman" w:cs="Times New Roman"/>
                <w:bCs/>
                <w:color w:val="000000" w:themeColor="text1"/>
                <w:sz w:val="21"/>
                <w:szCs w:val="21"/>
                <w:shd w:val="clear" w:color="auto" w:fill="FFFFFF"/>
                <w:lang w:val="zh-TW" w:eastAsia="zh-TW"/>
              </w:rPr>
            </w:pPr>
          </w:p>
        </w:tc>
        <w:tc>
          <w:tcPr>
            <w:tcW w:w="357"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eastAsia="zh-TW"/>
              </w:rPr>
            </w:pPr>
            <w:r w:rsidRPr="00687B52">
              <w:rPr>
                <w:rFonts w:ascii="Times New Roman" w:eastAsia="宋体" w:hAnsi="Times New Roman" w:cs="Times New Roman" w:hint="eastAsia"/>
                <w:bCs/>
                <w:color w:val="000000" w:themeColor="text1"/>
                <w:sz w:val="21"/>
                <w:szCs w:val="21"/>
                <w:shd w:val="clear" w:color="auto" w:fill="FFFFFF"/>
                <w:lang w:val="zh-TW" w:eastAsia="zh-TW"/>
              </w:rPr>
              <w:t>五</w:t>
            </w:r>
          </w:p>
        </w:tc>
        <w:tc>
          <w:tcPr>
            <w:tcW w:w="906"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38</w:t>
            </w:r>
            <w:r w:rsidRPr="00687B52">
              <w:rPr>
                <w:rFonts w:ascii="Times New Roman" w:eastAsia="宋体" w:hAnsi="Times New Roman" w:cs="Times New Roman" w:hint="eastAsia"/>
                <w:bCs/>
                <w:color w:val="000000" w:themeColor="text1"/>
                <w:sz w:val="21"/>
                <w:szCs w:val="21"/>
                <w:shd w:val="clear" w:color="auto" w:fill="FFFFFF"/>
                <w:lang w:val="zh-TW"/>
              </w:rPr>
              <w:t>（</w:t>
            </w:r>
            <w:r w:rsidRPr="00687B52">
              <w:rPr>
                <w:rFonts w:ascii="Times New Roman" w:eastAsia="宋体" w:hAnsi="Times New Roman" w:cs="Times New Roman" w:hint="eastAsia"/>
                <w:bCs/>
                <w:color w:val="000000" w:themeColor="text1"/>
                <w:sz w:val="21"/>
                <w:szCs w:val="21"/>
                <w:shd w:val="clear" w:color="auto" w:fill="FFFFFF"/>
                <w:lang w:val="zh-TW"/>
              </w:rPr>
              <w:t>35</w:t>
            </w: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475"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23</w:t>
            </w:r>
          </w:p>
        </w:tc>
        <w:tc>
          <w:tcPr>
            <w:tcW w:w="52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38</w:t>
            </w:r>
          </w:p>
        </w:tc>
        <w:tc>
          <w:tcPr>
            <w:tcW w:w="74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20</w:t>
            </w:r>
          </w:p>
        </w:tc>
        <w:tc>
          <w:tcPr>
            <w:tcW w:w="364"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r>
      <w:tr w:rsidR="00B62F57" w:rsidRPr="00687B52" w:rsidTr="00994B9F">
        <w:tc>
          <w:tcPr>
            <w:tcW w:w="198" w:type="pct"/>
            <w:vMerge w:val="restar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eastAsia="zh-TW"/>
              </w:rPr>
            </w:pPr>
            <w:r w:rsidRPr="00687B52">
              <w:rPr>
                <w:rFonts w:ascii="Times New Roman" w:eastAsia="宋体" w:hAnsi="Times New Roman" w:cs="Times New Roman" w:hint="eastAsia"/>
                <w:bCs/>
                <w:color w:val="000000" w:themeColor="text1"/>
                <w:sz w:val="21"/>
                <w:szCs w:val="21"/>
                <w:shd w:val="clear" w:color="auto" w:fill="FFFFFF"/>
                <w:lang w:val="zh-TW" w:eastAsia="zh-TW"/>
              </w:rPr>
              <w:t>3</w:t>
            </w:r>
          </w:p>
        </w:tc>
        <w:tc>
          <w:tcPr>
            <w:tcW w:w="1422" w:type="pct"/>
            <w:vMerge w:val="restart"/>
            <w:vAlign w:val="center"/>
          </w:tcPr>
          <w:p w:rsidR="003E46D7" w:rsidRPr="00687B52" w:rsidRDefault="003E46D7" w:rsidP="00994B9F">
            <w:pPr>
              <w:pStyle w:val="110"/>
              <w:shd w:val="clear" w:color="auto" w:fill="auto"/>
              <w:spacing w:before="0" w:line="240" w:lineRule="auto"/>
              <w:ind w:firstLine="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覆土卧式油罐；乙</w:t>
            </w:r>
            <w:r w:rsidRPr="00687B52">
              <w:rPr>
                <w:rFonts w:ascii="Times New Roman" w:eastAsia="宋体" w:hAnsi="Times New Roman" w:cs="Times New Roman" w:hint="eastAsia"/>
                <w:bCs/>
                <w:color w:val="000000" w:themeColor="text1"/>
                <w:sz w:val="21"/>
                <w:szCs w:val="21"/>
                <w:shd w:val="clear" w:color="auto" w:fill="FFFFFF"/>
                <w:lang w:val="zh-TW"/>
              </w:rPr>
              <w:t>B</w:t>
            </w:r>
            <w:r w:rsidRPr="00687B52">
              <w:rPr>
                <w:rFonts w:ascii="Times New Roman" w:eastAsia="宋体" w:hAnsi="Times New Roman" w:cs="Times New Roman" w:hint="eastAsia"/>
                <w:bCs/>
                <w:color w:val="000000" w:themeColor="text1"/>
                <w:sz w:val="21"/>
                <w:szCs w:val="21"/>
                <w:shd w:val="clear" w:color="auto" w:fill="FFFFFF"/>
                <w:lang w:val="zh-TW"/>
              </w:rPr>
              <w:t>、丙类和采用油气回收设施的甲</w:t>
            </w:r>
            <w:r w:rsidRPr="00687B52">
              <w:rPr>
                <w:rFonts w:ascii="Times New Roman" w:eastAsia="宋体" w:hAnsi="Times New Roman" w:cs="Times New Roman" w:hint="eastAsia"/>
                <w:bCs/>
                <w:color w:val="000000" w:themeColor="text1"/>
                <w:sz w:val="21"/>
                <w:szCs w:val="21"/>
                <w:shd w:val="clear" w:color="auto" w:fill="FFFFFF"/>
                <w:lang w:val="zh-TW"/>
              </w:rPr>
              <w:t>B</w:t>
            </w:r>
            <w:r w:rsidRPr="00687B52">
              <w:rPr>
                <w:rFonts w:ascii="Times New Roman" w:eastAsia="宋体" w:hAnsi="Times New Roman" w:cs="Times New Roman" w:hint="eastAsia"/>
                <w:bCs/>
                <w:color w:val="000000" w:themeColor="text1"/>
                <w:sz w:val="21"/>
                <w:szCs w:val="21"/>
                <w:shd w:val="clear" w:color="auto" w:fill="FFFFFF"/>
                <w:lang w:val="zh-TW"/>
              </w:rPr>
              <w:t>、乙</w:t>
            </w:r>
            <w:r w:rsidRPr="00687B52">
              <w:rPr>
                <w:rFonts w:ascii="Times New Roman" w:eastAsia="宋体" w:hAnsi="Times New Roman" w:cs="Times New Roman" w:hint="eastAsia"/>
                <w:bCs/>
                <w:color w:val="000000" w:themeColor="text1"/>
                <w:sz w:val="21"/>
                <w:szCs w:val="21"/>
                <w:shd w:val="clear" w:color="auto" w:fill="FFFFFF"/>
                <w:lang w:val="zh-TW"/>
              </w:rPr>
              <w:t>A</w:t>
            </w:r>
            <w:r w:rsidRPr="00687B52">
              <w:rPr>
                <w:rFonts w:ascii="Times New Roman" w:eastAsia="宋体" w:hAnsi="Times New Roman" w:cs="Times New Roman" w:hint="eastAsia"/>
                <w:bCs/>
                <w:color w:val="000000" w:themeColor="text1"/>
                <w:sz w:val="21"/>
                <w:szCs w:val="21"/>
                <w:shd w:val="clear" w:color="auto" w:fill="FFFFFF"/>
                <w:lang w:val="zh-TW"/>
              </w:rPr>
              <w:t>类液体铁路或公路罐车装车设施；仅有卸车作业的铁路或公路罐车卸车设施；其他丙类液体设施</w:t>
            </w:r>
          </w:p>
        </w:tc>
        <w:tc>
          <w:tcPr>
            <w:tcW w:w="357"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eastAsia="zh-TW"/>
              </w:rPr>
            </w:pPr>
            <w:r w:rsidRPr="00687B52">
              <w:rPr>
                <w:rFonts w:ascii="Times New Roman" w:eastAsia="宋体" w:hAnsi="Times New Roman" w:cs="Times New Roman" w:hint="eastAsia"/>
                <w:bCs/>
                <w:color w:val="000000" w:themeColor="text1"/>
                <w:sz w:val="21"/>
                <w:szCs w:val="21"/>
                <w:shd w:val="clear" w:color="auto" w:fill="FFFFFF"/>
                <w:lang w:val="zh-TW" w:eastAsia="zh-TW"/>
              </w:rPr>
              <w:t>一</w:t>
            </w:r>
          </w:p>
        </w:tc>
        <w:tc>
          <w:tcPr>
            <w:tcW w:w="906"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50</w:t>
            </w:r>
            <w:r w:rsidRPr="00687B52">
              <w:rPr>
                <w:rFonts w:ascii="Times New Roman" w:eastAsia="宋体" w:hAnsi="Times New Roman" w:cs="Times New Roman" w:hint="eastAsia"/>
                <w:bCs/>
                <w:color w:val="000000" w:themeColor="text1"/>
                <w:sz w:val="21"/>
                <w:szCs w:val="21"/>
                <w:shd w:val="clear" w:color="auto" w:fill="FFFFFF"/>
                <w:lang w:val="zh-TW"/>
              </w:rPr>
              <w:t>（</w:t>
            </w:r>
            <w:r w:rsidRPr="00687B52">
              <w:rPr>
                <w:rFonts w:ascii="Times New Roman" w:eastAsia="宋体" w:hAnsi="Times New Roman" w:cs="Times New Roman" w:hint="eastAsia"/>
                <w:bCs/>
                <w:color w:val="000000" w:themeColor="text1"/>
                <w:sz w:val="21"/>
                <w:szCs w:val="21"/>
                <w:shd w:val="clear" w:color="auto" w:fill="FFFFFF"/>
                <w:lang w:val="zh-TW"/>
              </w:rPr>
              <w:t>50</w:t>
            </w: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475"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30</w:t>
            </w:r>
          </w:p>
        </w:tc>
        <w:tc>
          <w:tcPr>
            <w:tcW w:w="52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30</w:t>
            </w:r>
          </w:p>
        </w:tc>
        <w:tc>
          <w:tcPr>
            <w:tcW w:w="74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18</w:t>
            </w:r>
          </w:p>
        </w:tc>
        <w:tc>
          <w:tcPr>
            <w:tcW w:w="364"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18</w:t>
            </w:r>
          </w:p>
        </w:tc>
      </w:tr>
      <w:tr w:rsidR="00B62F57" w:rsidRPr="00687B52" w:rsidTr="00994B9F">
        <w:tc>
          <w:tcPr>
            <w:tcW w:w="198" w:type="pct"/>
            <w:vMerge/>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eastAsia="zh-TW"/>
              </w:rPr>
            </w:pPr>
          </w:p>
        </w:tc>
        <w:tc>
          <w:tcPr>
            <w:tcW w:w="1422" w:type="pct"/>
            <w:vMerge/>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eastAsia="zh-TW"/>
              </w:rPr>
            </w:pPr>
          </w:p>
        </w:tc>
        <w:tc>
          <w:tcPr>
            <w:tcW w:w="357"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eastAsia="zh-TW"/>
              </w:rPr>
            </w:pPr>
            <w:r w:rsidRPr="00687B52">
              <w:rPr>
                <w:rFonts w:ascii="Times New Roman" w:eastAsia="宋体" w:hAnsi="Times New Roman" w:cs="Times New Roman" w:hint="eastAsia"/>
                <w:bCs/>
                <w:color w:val="000000" w:themeColor="text1"/>
                <w:sz w:val="21"/>
                <w:szCs w:val="21"/>
                <w:shd w:val="clear" w:color="auto" w:fill="FFFFFF"/>
                <w:lang w:val="zh-TW" w:eastAsia="zh-TW"/>
              </w:rPr>
              <w:t>二</w:t>
            </w:r>
          </w:p>
        </w:tc>
        <w:tc>
          <w:tcPr>
            <w:tcW w:w="906"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45</w:t>
            </w:r>
            <w:r w:rsidRPr="00687B52">
              <w:rPr>
                <w:rFonts w:ascii="Times New Roman" w:eastAsia="宋体" w:hAnsi="Times New Roman" w:cs="Times New Roman" w:hint="eastAsia"/>
                <w:bCs/>
                <w:color w:val="000000" w:themeColor="text1"/>
                <w:sz w:val="21"/>
                <w:szCs w:val="21"/>
                <w:shd w:val="clear" w:color="auto" w:fill="FFFFFF"/>
                <w:lang w:val="zh-TW"/>
              </w:rPr>
              <w:t>（</w:t>
            </w:r>
            <w:r w:rsidRPr="00687B52">
              <w:rPr>
                <w:rFonts w:ascii="Times New Roman" w:eastAsia="宋体" w:hAnsi="Times New Roman" w:cs="Times New Roman" w:hint="eastAsia"/>
                <w:bCs/>
                <w:color w:val="000000" w:themeColor="text1"/>
                <w:sz w:val="21"/>
                <w:szCs w:val="21"/>
                <w:shd w:val="clear" w:color="auto" w:fill="FFFFFF"/>
                <w:lang w:val="zh-TW"/>
              </w:rPr>
              <w:t>45</w:t>
            </w: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475"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25</w:t>
            </w:r>
          </w:p>
        </w:tc>
        <w:tc>
          <w:tcPr>
            <w:tcW w:w="52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28</w:t>
            </w:r>
          </w:p>
        </w:tc>
        <w:tc>
          <w:tcPr>
            <w:tcW w:w="74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364"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r>
      <w:tr w:rsidR="00B62F57" w:rsidRPr="00687B52" w:rsidTr="00994B9F">
        <w:tc>
          <w:tcPr>
            <w:tcW w:w="198" w:type="pct"/>
            <w:vMerge/>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eastAsia="zh-TW"/>
              </w:rPr>
            </w:pPr>
          </w:p>
        </w:tc>
        <w:tc>
          <w:tcPr>
            <w:tcW w:w="1422" w:type="pct"/>
            <w:vMerge/>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eastAsia="zh-TW"/>
              </w:rPr>
            </w:pPr>
          </w:p>
        </w:tc>
        <w:tc>
          <w:tcPr>
            <w:tcW w:w="357"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eastAsia="zh-TW"/>
              </w:rPr>
            </w:pPr>
            <w:r w:rsidRPr="00687B52">
              <w:rPr>
                <w:rFonts w:ascii="Times New Roman" w:eastAsia="宋体" w:hAnsi="Times New Roman" w:cs="Times New Roman" w:hint="eastAsia"/>
                <w:bCs/>
                <w:color w:val="000000" w:themeColor="text1"/>
                <w:sz w:val="21"/>
                <w:szCs w:val="21"/>
                <w:shd w:val="clear" w:color="auto" w:fill="FFFFFF"/>
                <w:lang w:val="zh-TW" w:eastAsia="zh-TW"/>
              </w:rPr>
              <w:t>三</w:t>
            </w:r>
          </w:p>
        </w:tc>
        <w:tc>
          <w:tcPr>
            <w:tcW w:w="906"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40</w:t>
            </w:r>
            <w:r w:rsidRPr="00687B52">
              <w:rPr>
                <w:rFonts w:ascii="Times New Roman" w:eastAsia="宋体" w:hAnsi="Times New Roman" w:cs="Times New Roman" w:hint="eastAsia"/>
                <w:bCs/>
                <w:color w:val="000000" w:themeColor="text1"/>
                <w:sz w:val="21"/>
                <w:szCs w:val="21"/>
                <w:shd w:val="clear" w:color="auto" w:fill="FFFFFF"/>
                <w:lang w:val="zh-TW"/>
              </w:rPr>
              <w:t>（</w:t>
            </w:r>
            <w:r w:rsidRPr="00687B52">
              <w:rPr>
                <w:rFonts w:ascii="Times New Roman" w:eastAsia="宋体" w:hAnsi="Times New Roman" w:cs="Times New Roman" w:hint="eastAsia"/>
                <w:bCs/>
                <w:color w:val="000000" w:themeColor="text1"/>
                <w:sz w:val="21"/>
                <w:szCs w:val="21"/>
                <w:shd w:val="clear" w:color="auto" w:fill="FFFFFF"/>
                <w:lang w:val="zh-TW"/>
              </w:rPr>
              <w:t>40</w:t>
            </w: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475"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20</w:t>
            </w:r>
          </w:p>
        </w:tc>
        <w:tc>
          <w:tcPr>
            <w:tcW w:w="52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25</w:t>
            </w:r>
          </w:p>
        </w:tc>
        <w:tc>
          <w:tcPr>
            <w:tcW w:w="74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364"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r>
      <w:tr w:rsidR="00B62F57" w:rsidRPr="00687B52" w:rsidTr="00994B9F">
        <w:tc>
          <w:tcPr>
            <w:tcW w:w="198" w:type="pct"/>
            <w:vMerge/>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eastAsia="zh-TW"/>
              </w:rPr>
            </w:pPr>
          </w:p>
        </w:tc>
        <w:tc>
          <w:tcPr>
            <w:tcW w:w="1422" w:type="pct"/>
            <w:vMerge/>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eastAsia="zh-TW"/>
              </w:rPr>
            </w:pPr>
          </w:p>
        </w:tc>
        <w:tc>
          <w:tcPr>
            <w:tcW w:w="357"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eastAsia="zh-TW"/>
              </w:rPr>
            </w:pPr>
            <w:r w:rsidRPr="00687B52">
              <w:rPr>
                <w:rFonts w:ascii="Times New Roman" w:eastAsia="宋体" w:hAnsi="Times New Roman" w:cs="Times New Roman" w:hint="eastAsia"/>
                <w:bCs/>
                <w:color w:val="000000" w:themeColor="text1"/>
                <w:sz w:val="21"/>
                <w:szCs w:val="21"/>
                <w:shd w:val="clear" w:color="auto" w:fill="FFFFFF"/>
                <w:lang w:val="zh-TW" w:eastAsia="zh-TW"/>
              </w:rPr>
              <w:t>四</w:t>
            </w:r>
          </w:p>
        </w:tc>
        <w:tc>
          <w:tcPr>
            <w:tcW w:w="906"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35</w:t>
            </w:r>
            <w:r w:rsidRPr="00687B52">
              <w:rPr>
                <w:rFonts w:ascii="Times New Roman" w:eastAsia="宋体" w:hAnsi="Times New Roman" w:cs="Times New Roman" w:hint="eastAsia"/>
                <w:bCs/>
                <w:color w:val="000000" w:themeColor="text1"/>
                <w:sz w:val="21"/>
                <w:szCs w:val="21"/>
                <w:shd w:val="clear" w:color="auto" w:fill="FFFFFF"/>
                <w:lang w:val="zh-TW"/>
              </w:rPr>
              <w:t>（</w:t>
            </w:r>
            <w:r w:rsidRPr="00687B52">
              <w:rPr>
                <w:rFonts w:ascii="Times New Roman" w:eastAsia="宋体" w:hAnsi="Times New Roman" w:cs="Times New Roman" w:hint="eastAsia"/>
                <w:bCs/>
                <w:color w:val="000000" w:themeColor="text1"/>
                <w:sz w:val="21"/>
                <w:szCs w:val="21"/>
                <w:shd w:val="clear" w:color="auto" w:fill="FFFFFF"/>
                <w:lang w:val="zh-TW"/>
              </w:rPr>
              <w:t>35</w:t>
            </w: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475"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18</w:t>
            </w:r>
          </w:p>
        </w:tc>
        <w:tc>
          <w:tcPr>
            <w:tcW w:w="52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25</w:t>
            </w:r>
          </w:p>
        </w:tc>
        <w:tc>
          <w:tcPr>
            <w:tcW w:w="74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364"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r>
      <w:tr w:rsidR="00B62F57" w:rsidRPr="00687B52" w:rsidTr="00994B9F">
        <w:tc>
          <w:tcPr>
            <w:tcW w:w="198" w:type="pct"/>
            <w:vMerge/>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eastAsia="zh-TW"/>
              </w:rPr>
            </w:pPr>
          </w:p>
        </w:tc>
        <w:tc>
          <w:tcPr>
            <w:tcW w:w="1422" w:type="pct"/>
            <w:vMerge/>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eastAsia="zh-TW"/>
              </w:rPr>
            </w:pPr>
          </w:p>
        </w:tc>
        <w:tc>
          <w:tcPr>
            <w:tcW w:w="357"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eastAsia="zh-TW"/>
              </w:rPr>
            </w:pPr>
            <w:r w:rsidRPr="00687B52">
              <w:rPr>
                <w:rFonts w:ascii="Times New Roman" w:eastAsia="宋体" w:hAnsi="Times New Roman" w:cs="Times New Roman" w:hint="eastAsia"/>
                <w:bCs/>
                <w:color w:val="000000" w:themeColor="text1"/>
                <w:sz w:val="21"/>
                <w:szCs w:val="21"/>
                <w:shd w:val="clear" w:color="auto" w:fill="FFFFFF"/>
                <w:lang w:val="zh-TW" w:eastAsia="zh-TW"/>
              </w:rPr>
              <w:t>五</w:t>
            </w:r>
          </w:p>
        </w:tc>
        <w:tc>
          <w:tcPr>
            <w:tcW w:w="906"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25</w:t>
            </w:r>
            <w:r w:rsidRPr="00687B52">
              <w:rPr>
                <w:rFonts w:ascii="Times New Roman" w:eastAsia="宋体" w:hAnsi="Times New Roman" w:cs="Times New Roman" w:hint="eastAsia"/>
                <w:bCs/>
                <w:color w:val="000000" w:themeColor="text1"/>
                <w:sz w:val="21"/>
                <w:szCs w:val="21"/>
                <w:shd w:val="clear" w:color="auto" w:fill="FFFFFF"/>
                <w:lang w:val="zh-TW"/>
              </w:rPr>
              <w:t>（</w:t>
            </w:r>
            <w:r w:rsidRPr="00687B52">
              <w:rPr>
                <w:rFonts w:ascii="Times New Roman" w:eastAsia="宋体" w:hAnsi="Times New Roman" w:cs="Times New Roman" w:hint="eastAsia"/>
                <w:bCs/>
                <w:color w:val="000000" w:themeColor="text1"/>
                <w:sz w:val="21"/>
                <w:szCs w:val="21"/>
                <w:shd w:val="clear" w:color="auto" w:fill="FFFFFF"/>
                <w:lang w:val="zh-TW"/>
              </w:rPr>
              <w:t>25</w:t>
            </w: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475"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52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25</w:t>
            </w:r>
          </w:p>
        </w:tc>
        <w:tc>
          <w:tcPr>
            <w:tcW w:w="749"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364" w:type="pct"/>
            <w:vAlign w:val="center"/>
          </w:tcPr>
          <w:p w:rsidR="003E46D7" w:rsidRPr="00687B52" w:rsidRDefault="003E46D7" w:rsidP="003A290A">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r>
    </w:tbl>
    <w:p w:rsidR="003E46D7" w:rsidRPr="00687B52" w:rsidRDefault="003E46D7" w:rsidP="00F04338">
      <w:pPr>
        <w:pStyle w:val="110"/>
        <w:shd w:val="clear" w:color="auto" w:fill="auto"/>
        <w:spacing w:before="0" w:line="240" w:lineRule="auto"/>
        <w:ind w:left="630" w:hangingChars="300" w:hanging="63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注：</w:t>
      </w:r>
      <w:r w:rsidRPr="00687B52">
        <w:rPr>
          <w:rFonts w:ascii="Times New Roman" w:eastAsia="宋体" w:hAnsi="Times New Roman" w:cs="Times New Roman" w:hint="eastAsia"/>
          <w:bCs/>
          <w:color w:val="000000" w:themeColor="text1"/>
          <w:sz w:val="21"/>
          <w:szCs w:val="21"/>
          <w:shd w:val="clear" w:color="auto" w:fill="FFFFFF"/>
          <w:lang w:val="zh-TW"/>
        </w:rPr>
        <w:t xml:space="preserve">1 </w:t>
      </w:r>
      <w:r w:rsidRPr="00687B52">
        <w:rPr>
          <w:rFonts w:ascii="Times New Roman" w:eastAsia="宋体" w:hAnsi="Times New Roman" w:cs="Times New Roman" w:hint="eastAsia"/>
          <w:bCs/>
          <w:color w:val="000000" w:themeColor="text1"/>
          <w:sz w:val="21"/>
          <w:szCs w:val="21"/>
          <w:shd w:val="clear" w:color="auto" w:fill="FFFFFF"/>
          <w:lang w:val="zh-TW"/>
        </w:rPr>
        <w:t>表中的工矿企业指除石油化工企业、石油库、油气田的油品站场和长距离输油管道的站场以外的企业。其他设施指油气回收设施、泵站、灌桶设施等设置有易燃和可燃液体、气体设备的设施。</w:t>
      </w:r>
    </w:p>
    <w:p w:rsidR="003E46D7" w:rsidRPr="00687B52" w:rsidRDefault="003E46D7" w:rsidP="00F10052">
      <w:pPr>
        <w:pStyle w:val="110"/>
        <w:shd w:val="clear" w:color="auto" w:fill="auto"/>
        <w:spacing w:before="0" w:line="240" w:lineRule="auto"/>
        <w:ind w:leftChars="100" w:left="210" w:firstLineChars="100" w:firstLine="21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 xml:space="preserve">2 </w:t>
      </w:r>
      <w:r w:rsidRPr="00687B52">
        <w:rPr>
          <w:rFonts w:ascii="Times New Roman" w:eastAsia="宋体" w:hAnsi="Times New Roman" w:cs="Times New Roman" w:hint="eastAsia"/>
          <w:bCs/>
          <w:color w:val="000000" w:themeColor="text1"/>
          <w:sz w:val="21"/>
          <w:szCs w:val="21"/>
          <w:shd w:val="clear" w:color="auto" w:fill="FFFFFF"/>
          <w:lang w:val="zh-TW"/>
        </w:rPr>
        <w:t>表中的安全距离，库内设施有防火堤的储罐区应从防火堤中心线算起，无防火堤的覆土立式油罐应从罐室出入口等孔口算起。无防火堤的覆土卧式油罐应从储罐外壁算起；装卸设施应从装卸车（船）时鹤管口的位置算起；其他设备布置在房间内的，应从房间外墙轴线算起；设备露天布置的（包括设在棚内），应从设备外缘算起。</w:t>
      </w:r>
    </w:p>
    <w:p w:rsidR="003E46D7" w:rsidRPr="00687B52" w:rsidRDefault="003E46D7" w:rsidP="00F10052">
      <w:pPr>
        <w:pStyle w:val="110"/>
        <w:shd w:val="clear" w:color="auto" w:fill="auto"/>
        <w:spacing w:before="0" w:line="240" w:lineRule="auto"/>
        <w:ind w:leftChars="100" w:left="210" w:firstLineChars="100" w:firstLine="21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 xml:space="preserve">3 </w:t>
      </w:r>
      <w:r w:rsidRPr="00687B52">
        <w:rPr>
          <w:rFonts w:ascii="Times New Roman" w:eastAsia="宋体" w:hAnsi="Times New Roman" w:cs="Times New Roman" w:hint="eastAsia"/>
          <w:bCs/>
          <w:color w:val="000000" w:themeColor="text1"/>
          <w:sz w:val="21"/>
          <w:szCs w:val="21"/>
          <w:shd w:val="clear" w:color="auto" w:fill="FFFFFF"/>
          <w:lang w:val="zh-TW"/>
        </w:rPr>
        <w:t>表中括号内数字为石油库与少于</w:t>
      </w:r>
      <w:r w:rsidRPr="00687B52">
        <w:rPr>
          <w:rFonts w:ascii="Times New Roman" w:eastAsia="宋体" w:hAnsi="Times New Roman" w:cs="Times New Roman" w:hint="eastAsia"/>
          <w:bCs/>
          <w:color w:val="000000" w:themeColor="text1"/>
          <w:sz w:val="21"/>
          <w:szCs w:val="21"/>
          <w:shd w:val="clear" w:color="auto" w:fill="FFFFFF"/>
          <w:lang w:val="zh-TW"/>
        </w:rPr>
        <w:t>100</w:t>
      </w:r>
      <w:r w:rsidRPr="00687B52">
        <w:rPr>
          <w:rFonts w:ascii="Times New Roman" w:eastAsia="宋体" w:hAnsi="Times New Roman" w:cs="Times New Roman" w:hint="eastAsia"/>
          <w:bCs/>
          <w:color w:val="000000" w:themeColor="text1"/>
          <w:sz w:val="21"/>
          <w:szCs w:val="21"/>
          <w:shd w:val="clear" w:color="auto" w:fill="FFFFFF"/>
          <w:lang w:val="zh-TW"/>
        </w:rPr>
        <w:t>人或</w:t>
      </w:r>
      <w:r w:rsidRPr="00687B52">
        <w:rPr>
          <w:rFonts w:ascii="Times New Roman" w:eastAsia="宋体" w:hAnsi="Times New Roman" w:cs="Times New Roman" w:hint="eastAsia"/>
          <w:bCs/>
          <w:color w:val="000000" w:themeColor="text1"/>
          <w:sz w:val="21"/>
          <w:szCs w:val="21"/>
          <w:shd w:val="clear" w:color="auto" w:fill="FFFFFF"/>
          <w:lang w:val="zh-TW"/>
        </w:rPr>
        <w:t>30</w:t>
      </w:r>
      <w:r w:rsidRPr="00687B52">
        <w:rPr>
          <w:rFonts w:ascii="Times New Roman" w:eastAsia="宋体" w:hAnsi="Times New Roman" w:cs="Times New Roman" w:hint="eastAsia"/>
          <w:bCs/>
          <w:color w:val="000000" w:themeColor="text1"/>
          <w:sz w:val="21"/>
          <w:szCs w:val="21"/>
          <w:shd w:val="clear" w:color="auto" w:fill="FFFFFF"/>
          <w:lang w:val="zh-TW"/>
        </w:rPr>
        <w:t>户居住区的安全距离。居住区包括石油库的生活区。</w:t>
      </w:r>
    </w:p>
    <w:p w:rsidR="003E46D7" w:rsidRPr="00687B52" w:rsidRDefault="003E46D7" w:rsidP="00F10052">
      <w:pPr>
        <w:pStyle w:val="110"/>
        <w:shd w:val="clear" w:color="auto" w:fill="auto"/>
        <w:spacing w:before="0" w:line="240" w:lineRule="auto"/>
        <w:ind w:leftChars="100" w:left="210" w:firstLineChars="100" w:firstLine="21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4</w:t>
      </w:r>
      <w:r w:rsidR="00B62F57" w:rsidRPr="00687B52">
        <w:rPr>
          <w:rFonts w:ascii="Times New Roman" w:eastAsia="宋体" w:hAnsi="Times New Roman" w:cs="Times New Roman" w:hint="eastAsia"/>
          <w:bCs/>
          <w:color w:val="000000" w:themeColor="text1"/>
          <w:sz w:val="21"/>
          <w:szCs w:val="21"/>
          <w:shd w:val="clear" w:color="auto" w:fill="FFFFFF"/>
          <w:lang w:val="zh-TW"/>
        </w:rPr>
        <w:t xml:space="preserve"> </w:t>
      </w:r>
      <w:r w:rsidRPr="00687B52">
        <w:rPr>
          <w:rFonts w:ascii="Times New Roman" w:eastAsia="宋体" w:hAnsi="Times New Roman" w:cs="Times New Roman" w:hint="eastAsia"/>
          <w:bCs/>
          <w:color w:val="000000" w:themeColor="text1"/>
          <w:sz w:val="21"/>
          <w:szCs w:val="21"/>
          <w:shd w:val="clear" w:color="auto" w:fill="FFFFFF"/>
          <w:lang w:val="zh-TW"/>
        </w:rPr>
        <w:t>Ⅰ、Ⅱ级毒性液体的储罐等设施与库外居住区、公共建筑物、工矿企业、交通线的最小安全距离，应按相应火灾危险性类别和所在石油库的等级在苯表规定的基础上增加</w:t>
      </w:r>
      <w:r w:rsidRPr="00687B52">
        <w:rPr>
          <w:rFonts w:ascii="Times New Roman" w:eastAsia="宋体" w:hAnsi="Times New Roman" w:cs="Times New Roman" w:hint="eastAsia"/>
          <w:bCs/>
          <w:color w:val="000000" w:themeColor="text1"/>
          <w:sz w:val="21"/>
          <w:szCs w:val="21"/>
          <w:shd w:val="clear" w:color="auto" w:fill="FFFFFF"/>
          <w:lang w:val="zh-TW"/>
        </w:rPr>
        <w:t>30%</w:t>
      </w:r>
      <w:r w:rsidRPr="00687B52">
        <w:rPr>
          <w:rFonts w:ascii="Times New Roman" w:eastAsia="宋体" w:hAnsi="Times New Roman" w:cs="Times New Roman" w:hint="eastAsia"/>
          <w:bCs/>
          <w:color w:val="000000" w:themeColor="text1"/>
          <w:sz w:val="21"/>
          <w:szCs w:val="21"/>
          <w:shd w:val="clear" w:color="auto" w:fill="FFFFFF"/>
          <w:lang w:val="zh-TW"/>
        </w:rPr>
        <w:t>。</w:t>
      </w:r>
    </w:p>
    <w:p w:rsidR="003E46D7" w:rsidRPr="00687B52" w:rsidRDefault="003E46D7" w:rsidP="00F10052">
      <w:pPr>
        <w:pStyle w:val="110"/>
        <w:shd w:val="clear" w:color="auto" w:fill="auto"/>
        <w:spacing w:before="0" w:line="240" w:lineRule="auto"/>
        <w:ind w:leftChars="100" w:left="210" w:firstLineChars="100" w:firstLine="21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 xml:space="preserve">5 </w:t>
      </w:r>
      <w:r w:rsidRPr="00687B52">
        <w:rPr>
          <w:rFonts w:ascii="Times New Roman" w:eastAsia="宋体" w:hAnsi="Times New Roman" w:cs="Times New Roman" w:hint="eastAsia"/>
          <w:bCs/>
          <w:color w:val="000000" w:themeColor="text1"/>
          <w:sz w:val="21"/>
          <w:szCs w:val="21"/>
          <w:shd w:val="clear" w:color="auto" w:fill="FFFFFF"/>
          <w:lang w:val="zh-TW"/>
        </w:rPr>
        <w:t>特级石油库中，非原油类易燃和可燃液体的储罐等设施与库外居住区、公共建筑物、工矿企业、交通线的最小安全距离，应在本表规定的基础上增加</w:t>
      </w:r>
      <w:r w:rsidRPr="00687B52">
        <w:rPr>
          <w:rFonts w:ascii="Times New Roman" w:eastAsia="宋体" w:hAnsi="Times New Roman" w:cs="Times New Roman" w:hint="eastAsia"/>
          <w:bCs/>
          <w:color w:val="000000" w:themeColor="text1"/>
          <w:sz w:val="21"/>
          <w:szCs w:val="21"/>
          <w:shd w:val="clear" w:color="auto" w:fill="FFFFFF"/>
          <w:lang w:val="zh-TW"/>
        </w:rPr>
        <w:t>20%</w:t>
      </w:r>
      <w:r w:rsidRPr="00687B52">
        <w:rPr>
          <w:rFonts w:ascii="Times New Roman" w:eastAsia="宋体" w:hAnsi="Times New Roman" w:cs="Times New Roman" w:hint="eastAsia"/>
          <w:bCs/>
          <w:color w:val="000000" w:themeColor="text1"/>
          <w:sz w:val="21"/>
          <w:szCs w:val="21"/>
          <w:shd w:val="clear" w:color="auto" w:fill="FFFFFF"/>
          <w:lang w:val="zh-TW"/>
        </w:rPr>
        <w:t>。</w:t>
      </w:r>
    </w:p>
    <w:p w:rsidR="00980275" w:rsidRPr="00687B52" w:rsidRDefault="003E46D7" w:rsidP="00F10052">
      <w:pPr>
        <w:ind w:leftChars="100" w:left="210" w:firstLineChars="100" w:firstLine="210"/>
        <w:jc w:val="left"/>
        <w:rPr>
          <w:rFonts w:ascii="Times New Roman" w:eastAsia="宋体" w:hAnsi="Times New Roman" w:cs="Times New Roman"/>
          <w:bCs/>
          <w:color w:val="000000" w:themeColor="text1"/>
          <w:szCs w:val="21"/>
          <w:shd w:val="clear" w:color="auto" w:fill="FFFFFF"/>
          <w:lang w:val="zh-TW"/>
        </w:rPr>
      </w:pPr>
      <w:r w:rsidRPr="00687B52">
        <w:rPr>
          <w:rFonts w:ascii="Times New Roman" w:eastAsia="宋体" w:hAnsi="Times New Roman" w:cs="Times New Roman" w:hint="eastAsia"/>
          <w:bCs/>
          <w:color w:val="000000" w:themeColor="text1"/>
          <w:szCs w:val="21"/>
          <w:shd w:val="clear" w:color="auto" w:fill="FFFFFF"/>
          <w:lang w:val="zh-TW"/>
        </w:rPr>
        <w:t xml:space="preserve">6 </w:t>
      </w:r>
      <w:r w:rsidRPr="00687B52">
        <w:rPr>
          <w:rFonts w:ascii="Times New Roman" w:eastAsia="宋体" w:hAnsi="Times New Roman" w:cs="Times New Roman" w:hint="eastAsia"/>
          <w:bCs/>
          <w:color w:val="000000" w:themeColor="text1"/>
          <w:szCs w:val="21"/>
          <w:shd w:val="clear" w:color="auto" w:fill="FFFFFF"/>
          <w:lang w:val="zh-TW"/>
        </w:rPr>
        <w:t>铁路附属石油库与国家铁路线及工业企业铁路线的距离，应按本规范表</w:t>
      </w:r>
      <w:r w:rsidRPr="00687B52">
        <w:rPr>
          <w:rFonts w:ascii="Times New Roman" w:eastAsia="宋体" w:hAnsi="Times New Roman" w:cs="Times New Roman" w:hint="eastAsia"/>
          <w:bCs/>
          <w:color w:val="000000" w:themeColor="text1"/>
          <w:szCs w:val="21"/>
          <w:shd w:val="clear" w:color="auto" w:fill="FFFFFF"/>
          <w:lang w:val="zh-TW"/>
        </w:rPr>
        <w:t>5.1.3</w:t>
      </w:r>
      <w:r w:rsidRPr="00687B52">
        <w:rPr>
          <w:rFonts w:ascii="Times New Roman" w:eastAsia="宋体" w:hAnsi="Times New Roman" w:cs="Times New Roman" w:hint="eastAsia"/>
          <w:bCs/>
          <w:color w:val="000000" w:themeColor="text1"/>
          <w:szCs w:val="21"/>
          <w:shd w:val="clear" w:color="auto" w:fill="FFFFFF"/>
          <w:lang w:val="zh-TW"/>
        </w:rPr>
        <w:t>铁路机车走行线的规定执行。</w:t>
      </w:r>
      <w:bookmarkStart w:id="263" w:name="_Toc491870836"/>
    </w:p>
    <w:p w:rsidR="00F04338" w:rsidRPr="00687B52" w:rsidRDefault="00F04338" w:rsidP="00F04338">
      <w:pPr>
        <w:ind w:left="210" w:hangingChars="100" w:hanging="210"/>
        <w:jc w:val="left"/>
        <w:rPr>
          <w:rFonts w:ascii="Times New Roman" w:eastAsia="宋体" w:hAnsi="Times New Roman" w:cs="Times New Roman"/>
          <w:bCs/>
          <w:color w:val="000000" w:themeColor="text1"/>
          <w:szCs w:val="21"/>
          <w:shd w:val="clear" w:color="auto" w:fill="FFFFFF"/>
          <w:lang w:val="zh-TW"/>
        </w:rPr>
      </w:pPr>
    </w:p>
    <w:p w:rsidR="00F04338" w:rsidRPr="00687B52" w:rsidRDefault="00F04338" w:rsidP="00F04338">
      <w:pPr>
        <w:pStyle w:val="afd"/>
        <w:rPr>
          <w:color w:val="000000" w:themeColor="text1"/>
        </w:rPr>
      </w:pPr>
      <w:bookmarkStart w:id="264" w:name="_Toc491870837"/>
      <w:bookmarkStart w:id="265" w:name="_Toc492563492"/>
      <w:bookmarkStart w:id="266" w:name="_Toc493857092"/>
      <w:r w:rsidRPr="00687B52">
        <w:rPr>
          <w:rFonts w:hint="eastAsia"/>
          <w:color w:val="000000" w:themeColor="text1"/>
        </w:rPr>
        <w:t>表</w:t>
      </w:r>
      <w:r w:rsidRPr="00687B52">
        <w:rPr>
          <w:rFonts w:hint="eastAsia"/>
          <w:color w:val="000000" w:themeColor="text1"/>
        </w:rPr>
        <w:t xml:space="preserve">4.0.16 </w:t>
      </w:r>
      <w:r w:rsidRPr="00687B52">
        <w:rPr>
          <w:rFonts w:hint="eastAsia"/>
          <w:color w:val="000000" w:themeColor="text1"/>
        </w:rPr>
        <w:t>企业附属石油库与本企业建（构）筑物、交通线等的安全距离</w:t>
      </w:r>
      <w:bookmarkEnd w:id="264"/>
      <w:bookmarkEnd w:id="265"/>
      <w:bookmarkEnd w:id="266"/>
    </w:p>
    <w:tbl>
      <w:tblPr>
        <w:tblStyle w:val="a6"/>
        <w:tblW w:w="5000" w:type="pct"/>
        <w:tblLayout w:type="fixed"/>
        <w:tblLook w:val="04A0" w:firstRow="1" w:lastRow="0" w:firstColumn="1" w:lastColumn="0" w:noHBand="0" w:noVBand="1"/>
      </w:tblPr>
      <w:tblGrid>
        <w:gridCol w:w="675"/>
        <w:gridCol w:w="994"/>
        <w:gridCol w:w="993"/>
        <w:gridCol w:w="710"/>
        <w:gridCol w:w="656"/>
        <w:gridCol w:w="762"/>
        <w:gridCol w:w="741"/>
        <w:gridCol w:w="743"/>
        <w:gridCol w:w="924"/>
        <w:gridCol w:w="558"/>
        <w:gridCol w:w="743"/>
        <w:gridCol w:w="743"/>
      </w:tblGrid>
      <w:tr w:rsidR="00F04338" w:rsidRPr="00687B52" w:rsidTr="00F04338">
        <w:tc>
          <w:tcPr>
            <w:tcW w:w="903" w:type="pct"/>
            <w:gridSpan w:val="2"/>
            <w:vMerge w:val="restart"/>
            <w:vAlign w:val="center"/>
          </w:tcPr>
          <w:p w:rsidR="00F04338" w:rsidRPr="00687B52" w:rsidRDefault="00F04338" w:rsidP="003A290A">
            <w:pPr>
              <w:jc w:val="center"/>
              <w:rPr>
                <w:color w:val="000000" w:themeColor="text1"/>
              </w:rPr>
            </w:pPr>
            <w:r w:rsidRPr="00687B52">
              <w:rPr>
                <w:rFonts w:hint="eastAsia"/>
                <w:color w:val="000000" w:themeColor="text1"/>
              </w:rPr>
              <w:t>库内建（构）筑物和设施</w:t>
            </w:r>
          </w:p>
        </w:tc>
        <w:tc>
          <w:tcPr>
            <w:tcW w:w="537" w:type="pct"/>
            <w:vMerge w:val="restart"/>
            <w:vAlign w:val="center"/>
          </w:tcPr>
          <w:p w:rsidR="00F04338" w:rsidRPr="00687B52" w:rsidRDefault="00F04338" w:rsidP="003A290A">
            <w:pPr>
              <w:jc w:val="center"/>
              <w:rPr>
                <w:color w:val="000000" w:themeColor="text1"/>
              </w:rPr>
            </w:pPr>
            <w:r w:rsidRPr="00687B52">
              <w:rPr>
                <w:rFonts w:hint="eastAsia"/>
                <w:color w:val="000000" w:themeColor="text1"/>
              </w:rPr>
              <w:t>液体类别</w:t>
            </w:r>
          </w:p>
        </w:tc>
        <w:tc>
          <w:tcPr>
            <w:tcW w:w="3560" w:type="pct"/>
            <w:gridSpan w:val="9"/>
            <w:vAlign w:val="center"/>
          </w:tcPr>
          <w:p w:rsidR="00F04338" w:rsidRPr="00687B52" w:rsidRDefault="00F04338" w:rsidP="003A290A">
            <w:pPr>
              <w:jc w:val="center"/>
              <w:rPr>
                <w:color w:val="000000" w:themeColor="text1"/>
              </w:rPr>
            </w:pPr>
            <w:r w:rsidRPr="00687B52">
              <w:rPr>
                <w:rFonts w:hint="eastAsia"/>
                <w:color w:val="000000" w:themeColor="text1"/>
              </w:rPr>
              <w:t>企业建（构）筑物等</w:t>
            </w:r>
          </w:p>
        </w:tc>
      </w:tr>
      <w:tr w:rsidR="00F04338" w:rsidRPr="00687B52" w:rsidTr="00F04338">
        <w:tc>
          <w:tcPr>
            <w:tcW w:w="903" w:type="pct"/>
            <w:gridSpan w:val="2"/>
            <w:vMerge/>
            <w:vAlign w:val="center"/>
          </w:tcPr>
          <w:p w:rsidR="00F04338" w:rsidRPr="00687B52" w:rsidRDefault="00F04338" w:rsidP="003A290A">
            <w:pPr>
              <w:jc w:val="center"/>
              <w:rPr>
                <w:color w:val="000000" w:themeColor="text1"/>
              </w:rPr>
            </w:pPr>
          </w:p>
        </w:tc>
        <w:tc>
          <w:tcPr>
            <w:tcW w:w="537" w:type="pct"/>
            <w:vMerge/>
            <w:vAlign w:val="center"/>
          </w:tcPr>
          <w:p w:rsidR="00F04338" w:rsidRPr="00687B52" w:rsidRDefault="00F04338" w:rsidP="003A290A">
            <w:pPr>
              <w:jc w:val="center"/>
              <w:rPr>
                <w:color w:val="000000" w:themeColor="text1"/>
              </w:rPr>
            </w:pPr>
          </w:p>
        </w:tc>
        <w:tc>
          <w:tcPr>
            <w:tcW w:w="384" w:type="pct"/>
            <w:vMerge w:val="restart"/>
            <w:vAlign w:val="center"/>
          </w:tcPr>
          <w:p w:rsidR="00F04338" w:rsidRPr="00687B52" w:rsidRDefault="00F04338" w:rsidP="003A290A">
            <w:pPr>
              <w:jc w:val="center"/>
              <w:rPr>
                <w:color w:val="000000" w:themeColor="text1"/>
              </w:rPr>
            </w:pPr>
            <w:r w:rsidRPr="00687B52">
              <w:rPr>
                <w:rFonts w:hint="eastAsia"/>
                <w:color w:val="000000" w:themeColor="text1"/>
              </w:rPr>
              <w:t>甲类生产厂房</w:t>
            </w:r>
          </w:p>
        </w:tc>
        <w:tc>
          <w:tcPr>
            <w:tcW w:w="355" w:type="pct"/>
            <w:vMerge w:val="restart"/>
            <w:vAlign w:val="center"/>
          </w:tcPr>
          <w:p w:rsidR="00F04338" w:rsidRPr="00687B52" w:rsidRDefault="00F04338" w:rsidP="003A290A">
            <w:pPr>
              <w:jc w:val="center"/>
              <w:rPr>
                <w:color w:val="000000" w:themeColor="text1"/>
              </w:rPr>
            </w:pPr>
            <w:r w:rsidRPr="00687B52">
              <w:rPr>
                <w:rFonts w:hint="eastAsia"/>
                <w:color w:val="000000" w:themeColor="text1"/>
              </w:rPr>
              <w:t>甲类物品库房</w:t>
            </w:r>
          </w:p>
        </w:tc>
        <w:tc>
          <w:tcPr>
            <w:tcW w:w="1215" w:type="pct"/>
            <w:gridSpan w:val="3"/>
            <w:vAlign w:val="center"/>
          </w:tcPr>
          <w:p w:rsidR="00F04338" w:rsidRPr="00687B52" w:rsidRDefault="00F04338" w:rsidP="003A290A">
            <w:pPr>
              <w:jc w:val="center"/>
              <w:rPr>
                <w:color w:val="000000" w:themeColor="text1"/>
              </w:rPr>
            </w:pPr>
            <w:r w:rsidRPr="00687B52">
              <w:rPr>
                <w:rFonts w:hint="eastAsia"/>
                <w:color w:val="000000" w:themeColor="text1"/>
              </w:rPr>
              <w:t>乙、丙、丁、戊类生产厂房及物品库房耐火等级</w:t>
            </w:r>
          </w:p>
        </w:tc>
        <w:tc>
          <w:tcPr>
            <w:tcW w:w="500" w:type="pct"/>
            <w:vMerge w:val="restart"/>
            <w:vAlign w:val="center"/>
          </w:tcPr>
          <w:p w:rsidR="00F04338" w:rsidRPr="00687B52" w:rsidRDefault="00F04338" w:rsidP="003A290A">
            <w:pPr>
              <w:jc w:val="center"/>
              <w:rPr>
                <w:color w:val="000000" w:themeColor="text1"/>
              </w:rPr>
            </w:pPr>
            <w:r w:rsidRPr="00687B52">
              <w:rPr>
                <w:rFonts w:hint="eastAsia"/>
                <w:color w:val="000000" w:themeColor="text1"/>
              </w:rPr>
              <w:t>明火或散发火花的地点</w:t>
            </w:r>
          </w:p>
        </w:tc>
        <w:tc>
          <w:tcPr>
            <w:tcW w:w="302" w:type="pct"/>
            <w:vMerge w:val="restart"/>
            <w:vAlign w:val="center"/>
          </w:tcPr>
          <w:p w:rsidR="00F04338" w:rsidRPr="00687B52" w:rsidRDefault="00F04338" w:rsidP="003A290A">
            <w:pPr>
              <w:jc w:val="center"/>
              <w:rPr>
                <w:color w:val="000000" w:themeColor="text1"/>
              </w:rPr>
            </w:pPr>
            <w:r w:rsidRPr="00687B52">
              <w:rPr>
                <w:rFonts w:hint="eastAsia"/>
                <w:color w:val="000000" w:themeColor="text1"/>
              </w:rPr>
              <w:t>场内铁路</w:t>
            </w:r>
          </w:p>
        </w:tc>
        <w:tc>
          <w:tcPr>
            <w:tcW w:w="804" w:type="pct"/>
            <w:gridSpan w:val="2"/>
            <w:vAlign w:val="center"/>
          </w:tcPr>
          <w:p w:rsidR="00F04338" w:rsidRPr="00687B52" w:rsidRDefault="00F04338" w:rsidP="003A290A">
            <w:pPr>
              <w:jc w:val="center"/>
              <w:rPr>
                <w:color w:val="000000" w:themeColor="text1"/>
              </w:rPr>
            </w:pPr>
            <w:r w:rsidRPr="00687B52">
              <w:rPr>
                <w:rFonts w:hint="eastAsia"/>
                <w:color w:val="000000" w:themeColor="text1"/>
              </w:rPr>
              <w:t>场内道路</w:t>
            </w:r>
          </w:p>
        </w:tc>
      </w:tr>
      <w:tr w:rsidR="00F04338" w:rsidRPr="00687B52" w:rsidTr="00F04338">
        <w:tc>
          <w:tcPr>
            <w:tcW w:w="903" w:type="pct"/>
            <w:gridSpan w:val="2"/>
            <w:vMerge/>
            <w:vAlign w:val="center"/>
          </w:tcPr>
          <w:p w:rsidR="00F04338" w:rsidRPr="00687B52" w:rsidRDefault="00F04338" w:rsidP="003A290A">
            <w:pPr>
              <w:jc w:val="center"/>
              <w:rPr>
                <w:color w:val="000000" w:themeColor="text1"/>
              </w:rPr>
            </w:pPr>
          </w:p>
        </w:tc>
        <w:tc>
          <w:tcPr>
            <w:tcW w:w="537" w:type="pct"/>
            <w:vMerge/>
            <w:vAlign w:val="center"/>
          </w:tcPr>
          <w:p w:rsidR="00F04338" w:rsidRPr="00687B52" w:rsidRDefault="00F04338" w:rsidP="003A290A">
            <w:pPr>
              <w:jc w:val="center"/>
              <w:rPr>
                <w:color w:val="000000" w:themeColor="text1"/>
              </w:rPr>
            </w:pPr>
          </w:p>
        </w:tc>
        <w:tc>
          <w:tcPr>
            <w:tcW w:w="384" w:type="pct"/>
            <w:vMerge/>
            <w:vAlign w:val="center"/>
          </w:tcPr>
          <w:p w:rsidR="00F04338" w:rsidRPr="00687B52" w:rsidRDefault="00F04338" w:rsidP="003A290A">
            <w:pPr>
              <w:jc w:val="center"/>
              <w:rPr>
                <w:color w:val="000000" w:themeColor="text1"/>
              </w:rPr>
            </w:pPr>
          </w:p>
        </w:tc>
        <w:tc>
          <w:tcPr>
            <w:tcW w:w="355" w:type="pct"/>
            <w:vMerge/>
            <w:vAlign w:val="center"/>
          </w:tcPr>
          <w:p w:rsidR="00F04338" w:rsidRPr="00687B52" w:rsidRDefault="00F04338" w:rsidP="003A290A">
            <w:pPr>
              <w:jc w:val="center"/>
              <w:rPr>
                <w:color w:val="000000" w:themeColor="text1"/>
              </w:rPr>
            </w:pPr>
          </w:p>
        </w:tc>
        <w:tc>
          <w:tcPr>
            <w:tcW w:w="412" w:type="pct"/>
            <w:vAlign w:val="center"/>
          </w:tcPr>
          <w:p w:rsidR="00F04338" w:rsidRPr="00687B52" w:rsidRDefault="00F04338" w:rsidP="003A290A">
            <w:pPr>
              <w:jc w:val="center"/>
              <w:rPr>
                <w:color w:val="000000" w:themeColor="text1"/>
              </w:rPr>
            </w:pPr>
            <w:r w:rsidRPr="00687B52">
              <w:rPr>
                <w:rFonts w:hint="eastAsia"/>
                <w:color w:val="000000" w:themeColor="text1"/>
              </w:rPr>
              <w:t>一、二</w:t>
            </w:r>
          </w:p>
        </w:tc>
        <w:tc>
          <w:tcPr>
            <w:tcW w:w="401" w:type="pct"/>
            <w:vAlign w:val="center"/>
          </w:tcPr>
          <w:p w:rsidR="00F04338" w:rsidRPr="00687B52" w:rsidRDefault="00F04338" w:rsidP="003A290A">
            <w:pPr>
              <w:jc w:val="center"/>
              <w:rPr>
                <w:color w:val="000000" w:themeColor="text1"/>
              </w:rPr>
            </w:pPr>
            <w:r w:rsidRPr="00687B52">
              <w:rPr>
                <w:rFonts w:hint="eastAsia"/>
                <w:color w:val="000000" w:themeColor="text1"/>
              </w:rPr>
              <w:t>三</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四</w:t>
            </w:r>
          </w:p>
        </w:tc>
        <w:tc>
          <w:tcPr>
            <w:tcW w:w="500" w:type="pct"/>
            <w:vMerge/>
            <w:vAlign w:val="center"/>
          </w:tcPr>
          <w:p w:rsidR="00F04338" w:rsidRPr="00687B52" w:rsidRDefault="00F04338" w:rsidP="003A290A">
            <w:pPr>
              <w:jc w:val="center"/>
              <w:rPr>
                <w:color w:val="000000" w:themeColor="text1"/>
              </w:rPr>
            </w:pPr>
          </w:p>
        </w:tc>
        <w:tc>
          <w:tcPr>
            <w:tcW w:w="302" w:type="pct"/>
            <w:vMerge/>
            <w:vAlign w:val="center"/>
          </w:tcPr>
          <w:p w:rsidR="00F04338" w:rsidRPr="00687B52" w:rsidRDefault="00F04338" w:rsidP="003A290A">
            <w:pPr>
              <w:jc w:val="center"/>
              <w:rPr>
                <w:color w:val="000000" w:themeColor="text1"/>
              </w:rPr>
            </w:pP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主要</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次要</w:t>
            </w:r>
          </w:p>
        </w:tc>
      </w:tr>
      <w:tr w:rsidR="00F04338" w:rsidRPr="00687B52" w:rsidTr="00F04338">
        <w:tc>
          <w:tcPr>
            <w:tcW w:w="365" w:type="pct"/>
            <w:vMerge w:val="restart"/>
            <w:vAlign w:val="center"/>
          </w:tcPr>
          <w:p w:rsidR="00F04338" w:rsidRPr="00687B52" w:rsidRDefault="00F04338" w:rsidP="003A290A">
            <w:pPr>
              <w:jc w:val="center"/>
              <w:rPr>
                <w:color w:val="000000" w:themeColor="text1"/>
              </w:rPr>
            </w:pPr>
            <w:r w:rsidRPr="00687B52">
              <w:rPr>
                <w:rFonts w:hint="eastAsia"/>
                <w:color w:val="000000" w:themeColor="text1"/>
              </w:rPr>
              <w:t>储罐（</w:t>
            </w:r>
            <w:r w:rsidRPr="00687B52">
              <w:rPr>
                <w:rFonts w:hint="eastAsia"/>
                <w:color w:val="000000" w:themeColor="text1"/>
              </w:rPr>
              <w:t>TV</w:t>
            </w:r>
            <w:r w:rsidRPr="00687B52">
              <w:rPr>
                <w:rFonts w:hint="eastAsia"/>
                <w:color w:val="000000" w:themeColor="text1"/>
              </w:rPr>
              <w:t>为罐区总容积量</w:t>
            </w:r>
            <w:r w:rsidRPr="00687B52">
              <w:rPr>
                <w:rFonts w:hint="eastAsia"/>
                <w:color w:val="000000" w:themeColor="text1"/>
              </w:rPr>
              <w:t>m</w:t>
            </w:r>
            <w:r w:rsidRPr="00687B52">
              <w:rPr>
                <w:rFonts w:hint="eastAsia"/>
                <w:color w:val="000000" w:themeColor="text1"/>
                <w:vertAlign w:val="superscript"/>
              </w:rPr>
              <w:t>3</w:t>
            </w:r>
            <w:r w:rsidRPr="00687B52">
              <w:rPr>
                <w:rFonts w:hint="eastAsia"/>
                <w:color w:val="000000" w:themeColor="text1"/>
              </w:rPr>
              <w:t>）</w:t>
            </w:r>
          </w:p>
        </w:tc>
        <w:tc>
          <w:tcPr>
            <w:tcW w:w="538" w:type="pct"/>
            <w:vAlign w:val="center"/>
          </w:tcPr>
          <w:p w:rsidR="00F04338" w:rsidRPr="00687B52" w:rsidRDefault="00F04338" w:rsidP="003A290A">
            <w:pPr>
              <w:jc w:val="center"/>
              <w:rPr>
                <w:color w:val="000000" w:themeColor="text1"/>
              </w:rPr>
            </w:pPr>
            <w:r w:rsidRPr="00687B52">
              <w:rPr>
                <w:rFonts w:hint="eastAsia"/>
                <w:color w:val="000000" w:themeColor="text1"/>
              </w:rPr>
              <w:t>TV</w:t>
            </w:r>
            <w:r w:rsidRPr="00687B52">
              <w:rPr>
                <w:rFonts w:hint="eastAsia"/>
                <w:color w:val="000000" w:themeColor="text1"/>
              </w:rPr>
              <w:t>≤</w:t>
            </w:r>
            <w:r w:rsidRPr="00687B52">
              <w:rPr>
                <w:rFonts w:hint="eastAsia"/>
                <w:color w:val="000000" w:themeColor="text1"/>
              </w:rPr>
              <w:t>50</w:t>
            </w:r>
          </w:p>
        </w:tc>
        <w:tc>
          <w:tcPr>
            <w:tcW w:w="537" w:type="pct"/>
            <w:vMerge w:val="restart"/>
            <w:vAlign w:val="center"/>
          </w:tcPr>
          <w:p w:rsidR="00F04338" w:rsidRPr="00687B52" w:rsidRDefault="00F04338" w:rsidP="003A290A">
            <w:pPr>
              <w:jc w:val="center"/>
              <w:rPr>
                <w:color w:val="000000" w:themeColor="text1"/>
              </w:rPr>
            </w:pPr>
            <w:r w:rsidRPr="00687B52">
              <w:rPr>
                <w:rFonts w:hint="eastAsia"/>
                <w:color w:val="000000" w:themeColor="text1"/>
              </w:rPr>
              <w:t>甲</w:t>
            </w:r>
            <w:r w:rsidRPr="00687B52">
              <w:rPr>
                <w:rFonts w:hint="eastAsia"/>
                <w:color w:val="000000" w:themeColor="text1"/>
              </w:rPr>
              <w:t>B</w:t>
            </w:r>
            <w:r w:rsidRPr="00687B52">
              <w:rPr>
                <w:rFonts w:hint="eastAsia"/>
                <w:color w:val="000000" w:themeColor="text1"/>
              </w:rPr>
              <w:t>、乙</w:t>
            </w:r>
          </w:p>
        </w:tc>
        <w:tc>
          <w:tcPr>
            <w:tcW w:w="384" w:type="pct"/>
            <w:vAlign w:val="center"/>
          </w:tcPr>
          <w:p w:rsidR="00F04338" w:rsidRPr="00687B52" w:rsidRDefault="00F04338" w:rsidP="003A290A">
            <w:pPr>
              <w:jc w:val="center"/>
              <w:rPr>
                <w:color w:val="000000" w:themeColor="text1"/>
              </w:rPr>
            </w:pPr>
            <w:r w:rsidRPr="00687B52">
              <w:rPr>
                <w:rFonts w:hint="eastAsia"/>
                <w:color w:val="000000" w:themeColor="text1"/>
              </w:rPr>
              <w:t>25</w:t>
            </w:r>
          </w:p>
        </w:tc>
        <w:tc>
          <w:tcPr>
            <w:tcW w:w="355" w:type="pct"/>
            <w:vAlign w:val="center"/>
          </w:tcPr>
          <w:p w:rsidR="00F04338" w:rsidRPr="00687B52" w:rsidRDefault="00F04338" w:rsidP="003A290A">
            <w:pPr>
              <w:jc w:val="center"/>
              <w:rPr>
                <w:color w:val="000000" w:themeColor="text1"/>
              </w:rPr>
            </w:pPr>
            <w:r w:rsidRPr="00687B52">
              <w:rPr>
                <w:rFonts w:hint="eastAsia"/>
                <w:color w:val="000000" w:themeColor="text1"/>
              </w:rPr>
              <w:t>25</w:t>
            </w:r>
          </w:p>
        </w:tc>
        <w:tc>
          <w:tcPr>
            <w:tcW w:w="412" w:type="pct"/>
            <w:vAlign w:val="center"/>
          </w:tcPr>
          <w:p w:rsidR="00F04338" w:rsidRPr="00687B52" w:rsidRDefault="00F04338" w:rsidP="003A290A">
            <w:pPr>
              <w:jc w:val="center"/>
              <w:rPr>
                <w:color w:val="000000" w:themeColor="text1"/>
              </w:rPr>
            </w:pPr>
            <w:r w:rsidRPr="00687B52">
              <w:rPr>
                <w:rFonts w:hint="eastAsia"/>
                <w:color w:val="000000" w:themeColor="text1"/>
              </w:rPr>
              <w:t>12</w:t>
            </w:r>
          </w:p>
        </w:tc>
        <w:tc>
          <w:tcPr>
            <w:tcW w:w="401" w:type="pct"/>
            <w:vAlign w:val="center"/>
          </w:tcPr>
          <w:p w:rsidR="00F04338" w:rsidRPr="00687B52" w:rsidRDefault="00F04338" w:rsidP="003A290A">
            <w:pPr>
              <w:jc w:val="center"/>
              <w:rPr>
                <w:color w:val="000000" w:themeColor="text1"/>
              </w:rPr>
            </w:pPr>
            <w:r w:rsidRPr="00687B52">
              <w:rPr>
                <w:rFonts w:hint="eastAsia"/>
                <w:color w:val="000000" w:themeColor="text1"/>
              </w:rPr>
              <w:t>15</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20</w:t>
            </w:r>
          </w:p>
        </w:tc>
        <w:tc>
          <w:tcPr>
            <w:tcW w:w="500" w:type="pct"/>
            <w:vAlign w:val="center"/>
          </w:tcPr>
          <w:p w:rsidR="00F04338" w:rsidRPr="00687B52" w:rsidRDefault="00F04338" w:rsidP="003A290A">
            <w:pPr>
              <w:jc w:val="center"/>
              <w:rPr>
                <w:color w:val="000000" w:themeColor="text1"/>
              </w:rPr>
            </w:pPr>
            <w:r w:rsidRPr="00687B52">
              <w:rPr>
                <w:rFonts w:hint="eastAsia"/>
                <w:color w:val="000000" w:themeColor="text1"/>
              </w:rPr>
              <w:t>25</w:t>
            </w:r>
          </w:p>
        </w:tc>
        <w:tc>
          <w:tcPr>
            <w:tcW w:w="302" w:type="pct"/>
            <w:vAlign w:val="center"/>
          </w:tcPr>
          <w:p w:rsidR="00F04338" w:rsidRPr="00687B52" w:rsidRDefault="00F04338" w:rsidP="003A290A">
            <w:pPr>
              <w:jc w:val="center"/>
              <w:rPr>
                <w:color w:val="000000" w:themeColor="text1"/>
              </w:rPr>
            </w:pPr>
            <w:r w:rsidRPr="00687B52">
              <w:rPr>
                <w:rFonts w:hint="eastAsia"/>
                <w:color w:val="000000" w:themeColor="text1"/>
              </w:rPr>
              <w:t>25</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15</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10</w:t>
            </w:r>
          </w:p>
        </w:tc>
      </w:tr>
      <w:tr w:rsidR="00F04338" w:rsidRPr="00687B52" w:rsidTr="00F04338">
        <w:tc>
          <w:tcPr>
            <w:tcW w:w="365" w:type="pct"/>
            <w:vMerge/>
            <w:vAlign w:val="center"/>
          </w:tcPr>
          <w:p w:rsidR="00F04338" w:rsidRPr="00687B52" w:rsidRDefault="00F04338" w:rsidP="003A290A">
            <w:pPr>
              <w:jc w:val="center"/>
              <w:rPr>
                <w:color w:val="000000" w:themeColor="text1"/>
              </w:rPr>
            </w:pPr>
          </w:p>
        </w:tc>
        <w:tc>
          <w:tcPr>
            <w:tcW w:w="538" w:type="pct"/>
            <w:vAlign w:val="center"/>
          </w:tcPr>
          <w:p w:rsidR="00F04338" w:rsidRPr="00687B52" w:rsidRDefault="00F04338" w:rsidP="003A290A">
            <w:pPr>
              <w:rPr>
                <w:color w:val="000000" w:themeColor="text1"/>
              </w:rPr>
            </w:pPr>
            <w:r w:rsidRPr="00687B52">
              <w:rPr>
                <w:rFonts w:hint="eastAsia"/>
                <w:color w:val="000000" w:themeColor="text1"/>
              </w:rPr>
              <w:t>50</w:t>
            </w:r>
            <w:r w:rsidRPr="00687B52">
              <w:rPr>
                <w:rFonts w:hint="eastAsia"/>
                <w:color w:val="000000" w:themeColor="text1"/>
              </w:rPr>
              <w:t>＜</w:t>
            </w:r>
            <w:r w:rsidRPr="00687B52">
              <w:rPr>
                <w:rFonts w:hint="eastAsia"/>
                <w:color w:val="000000" w:themeColor="text1"/>
              </w:rPr>
              <w:t>TV</w:t>
            </w:r>
            <w:r w:rsidRPr="00687B52">
              <w:rPr>
                <w:rFonts w:hint="eastAsia"/>
                <w:color w:val="000000" w:themeColor="text1"/>
              </w:rPr>
              <w:t>≤</w:t>
            </w:r>
            <w:r w:rsidRPr="00687B52">
              <w:rPr>
                <w:rFonts w:hint="eastAsia"/>
                <w:color w:val="000000" w:themeColor="text1"/>
              </w:rPr>
              <w:t>200</w:t>
            </w:r>
          </w:p>
        </w:tc>
        <w:tc>
          <w:tcPr>
            <w:tcW w:w="537" w:type="pct"/>
            <w:vMerge/>
            <w:vAlign w:val="center"/>
          </w:tcPr>
          <w:p w:rsidR="00F04338" w:rsidRPr="00687B52" w:rsidRDefault="00F04338" w:rsidP="003A290A">
            <w:pPr>
              <w:jc w:val="center"/>
              <w:rPr>
                <w:color w:val="000000" w:themeColor="text1"/>
              </w:rPr>
            </w:pPr>
          </w:p>
        </w:tc>
        <w:tc>
          <w:tcPr>
            <w:tcW w:w="384" w:type="pct"/>
            <w:vAlign w:val="center"/>
          </w:tcPr>
          <w:p w:rsidR="00F04338" w:rsidRPr="00687B52" w:rsidRDefault="00F04338" w:rsidP="003A290A">
            <w:pPr>
              <w:jc w:val="center"/>
              <w:rPr>
                <w:color w:val="000000" w:themeColor="text1"/>
              </w:rPr>
            </w:pPr>
            <w:r w:rsidRPr="00687B52">
              <w:rPr>
                <w:rFonts w:hint="eastAsia"/>
                <w:color w:val="000000" w:themeColor="text1"/>
              </w:rPr>
              <w:t>25</w:t>
            </w:r>
          </w:p>
        </w:tc>
        <w:tc>
          <w:tcPr>
            <w:tcW w:w="355" w:type="pct"/>
            <w:vAlign w:val="center"/>
          </w:tcPr>
          <w:p w:rsidR="00F04338" w:rsidRPr="00687B52" w:rsidRDefault="00F04338" w:rsidP="003A290A">
            <w:pPr>
              <w:jc w:val="center"/>
              <w:rPr>
                <w:color w:val="000000" w:themeColor="text1"/>
              </w:rPr>
            </w:pPr>
            <w:r w:rsidRPr="00687B52">
              <w:rPr>
                <w:rFonts w:hint="eastAsia"/>
                <w:color w:val="000000" w:themeColor="text1"/>
              </w:rPr>
              <w:t>25</w:t>
            </w:r>
          </w:p>
        </w:tc>
        <w:tc>
          <w:tcPr>
            <w:tcW w:w="412" w:type="pct"/>
            <w:vAlign w:val="center"/>
          </w:tcPr>
          <w:p w:rsidR="00F04338" w:rsidRPr="00687B52" w:rsidRDefault="00F04338" w:rsidP="003A290A">
            <w:pPr>
              <w:jc w:val="center"/>
              <w:rPr>
                <w:color w:val="000000" w:themeColor="text1"/>
              </w:rPr>
            </w:pPr>
            <w:r w:rsidRPr="00687B52">
              <w:rPr>
                <w:rFonts w:hint="eastAsia"/>
                <w:color w:val="000000" w:themeColor="text1"/>
              </w:rPr>
              <w:t>15</w:t>
            </w:r>
          </w:p>
        </w:tc>
        <w:tc>
          <w:tcPr>
            <w:tcW w:w="401" w:type="pct"/>
            <w:vAlign w:val="center"/>
          </w:tcPr>
          <w:p w:rsidR="00F04338" w:rsidRPr="00687B52" w:rsidRDefault="00F04338" w:rsidP="003A290A">
            <w:pPr>
              <w:jc w:val="center"/>
              <w:rPr>
                <w:color w:val="000000" w:themeColor="text1"/>
              </w:rPr>
            </w:pPr>
            <w:r w:rsidRPr="00687B52">
              <w:rPr>
                <w:rFonts w:hint="eastAsia"/>
                <w:color w:val="000000" w:themeColor="text1"/>
              </w:rPr>
              <w:t>20</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25</w:t>
            </w:r>
          </w:p>
        </w:tc>
        <w:tc>
          <w:tcPr>
            <w:tcW w:w="500" w:type="pct"/>
            <w:vAlign w:val="center"/>
          </w:tcPr>
          <w:p w:rsidR="00F04338" w:rsidRPr="00687B52" w:rsidRDefault="00F04338" w:rsidP="003A290A">
            <w:pPr>
              <w:jc w:val="center"/>
              <w:rPr>
                <w:color w:val="000000" w:themeColor="text1"/>
              </w:rPr>
            </w:pPr>
            <w:r w:rsidRPr="00687B52">
              <w:rPr>
                <w:rFonts w:hint="eastAsia"/>
                <w:color w:val="000000" w:themeColor="text1"/>
              </w:rPr>
              <w:t>30</w:t>
            </w:r>
          </w:p>
        </w:tc>
        <w:tc>
          <w:tcPr>
            <w:tcW w:w="302" w:type="pct"/>
            <w:vAlign w:val="center"/>
          </w:tcPr>
          <w:p w:rsidR="00F04338" w:rsidRPr="00687B52" w:rsidRDefault="00F04338" w:rsidP="003A290A">
            <w:pPr>
              <w:jc w:val="center"/>
              <w:rPr>
                <w:color w:val="000000" w:themeColor="text1"/>
              </w:rPr>
            </w:pPr>
            <w:r w:rsidRPr="00687B52">
              <w:rPr>
                <w:rFonts w:hint="eastAsia"/>
                <w:color w:val="000000" w:themeColor="text1"/>
              </w:rPr>
              <w:t>25</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15</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10</w:t>
            </w:r>
          </w:p>
        </w:tc>
      </w:tr>
      <w:tr w:rsidR="00F04338" w:rsidRPr="00687B52" w:rsidTr="00F04338">
        <w:tc>
          <w:tcPr>
            <w:tcW w:w="365" w:type="pct"/>
            <w:vMerge/>
            <w:vAlign w:val="center"/>
          </w:tcPr>
          <w:p w:rsidR="00F04338" w:rsidRPr="00687B52" w:rsidRDefault="00F04338" w:rsidP="003A290A">
            <w:pPr>
              <w:jc w:val="center"/>
              <w:rPr>
                <w:color w:val="000000" w:themeColor="text1"/>
              </w:rPr>
            </w:pPr>
          </w:p>
        </w:tc>
        <w:tc>
          <w:tcPr>
            <w:tcW w:w="538" w:type="pct"/>
            <w:vAlign w:val="center"/>
          </w:tcPr>
          <w:p w:rsidR="00F04338" w:rsidRPr="00687B52" w:rsidRDefault="00F04338" w:rsidP="003A290A">
            <w:pPr>
              <w:jc w:val="center"/>
              <w:rPr>
                <w:color w:val="000000" w:themeColor="text1"/>
              </w:rPr>
            </w:pPr>
            <w:r w:rsidRPr="00687B52">
              <w:rPr>
                <w:rFonts w:hint="eastAsia"/>
                <w:color w:val="000000" w:themeColor="text1"/>
              </w:rPr>
              <w:t>200</w:t>
            </w:r>
            <w:r w:rsidRPr="00687B52">
              <w:rPr>
                <w:rFonts w:hint="eastAsia"/>
                <w:color w:val="000000" w:themeColor="text1"/>
              </w:rPr>
              <w:t>＜</w:t>
            </w:r>
            <w:r w:rsidRPr="00687B52">
              <w:rPr>
                <w:rFonts w:hint="eastAsia"/>
                <w:color w:val="000000" w:themeColor="text1"/>
              </w:rPr>
              <w:t>TV</w:t>
            </w:r>
            <w:r w:rsidRPr="00687B52">
              <w:rPr>
                <w:rFonts w:hint="eastAsia"/>
                <w:color w:val="000000" w:themeColor="text1"/>
              </w:rPr>
              <w:t>≤</w:t>
            </w:r>
            <w:r w:rsidRPr="00687B52">
              <w:rPr>
                <w:rFonts w:hint="eastAsia"/>
                <w:color w:val="000000" w:themeColor="text1"/>
              </w:rPr>
              <w:t>1000</w:t>
            </w:r>
          </w:p>
        </w:tc>
        <w:tc>
          <w:tcPr>
            <w:tcW w:w="537" w:type="pct"/>
            <w:vMerge/>
            <w:vAlign w:val="center"/>
          </w:tcPr>
          <w:p w:rsidR="00F04338" w:rsidRPr="00687B52" w:rsidRDefault="00F04338" w:rsidP="003A290A">
            <w:pPr>
              <w:jc w:val="center"/>
              <w:rPr>
                <w:color w:val="000000" w:themeColor="text1"/>
              </w:rPr>
            </w:pPr>
          </w:p>
        </w:tc>
        <w:tc>
          <w:tcPr>
            <w:tcW w:w="384" w:type="pct"/>
            <w:vAlign w:val="center"/>
          </w:tcPr>
          <w:p w:rsidR="00F04338" w:rsidRPr="00687B52" w:rsidRDefault="00F04338" w:rsidP="003A290A">
            <w:pPr>
              <w:jc w:val="center"/>
              <w:rPr>
                <w:color w:val="000000" w:themeColor="text1"/>
              </w:rPr>
            </w:pPr>
            <w:r w:rsidRPr="00687B52">
              <w:rPr>
                <w:rFonts w:hint="eastAsia"/>
                <w:color w:val="000000" w:themeColor="text1"/>
              </w:rPr>
              <w:t>25</w:t>
            </w:r>
          </w:p>
        </w:tc>
        <w:tc>
          <w:tcPr>
            <w:tcW w:w="355" w:type="pct"/>
            <w:vAlign w:val="center"/>
          </w:tcPr>
          <w:p w:rsidR="00F04338" w:rsidRPr="00687B52" w:rsidRDefault="00F04338" w:rsidP="003A290A">
            <w:pPr>
              <w:jc w:val="center"/>
              <w:rPr>
                <w:color w:val="000000" w:themeColor="text1"/>
              </w:rPr>
            </w:pPr>
            <w:r w:rsidRPr="00687B52">
              <w:rPr>
                <w:rFonts w:hint="eastAsia"/>
                <w:color w:val="000000" w:themeColor="text1"/>
              </w:rPr>
              <w:t>25</w:t>
            </w:r>
          </w:p>
        </w:tc>
        <w:tc>
          <w:tcPr>
            <w:tcW w:w="412" w:type="pct"/>
            <w:vAlign w:val="center"/>
          </w:tcPr>
          <w:p w:rsidR="00F04338" w:rsidRPr="00687B52" w:rsidRDefault="00F04338" w:rsidP="003A290A">
            <w:pPr>
              <w:jc w:val="center"/>
              <w:rPr>
                <w:color w:val="000000" w:themeColor="text1"/>
              </w:rPr>
            </w:pPr>
            <w:r w:rsidRPr="00687B52">
              <w:rPr>
                <w:rFonts w:hint="eastAsia"/>
                <w:color w:val="000000" w:themeColor="text1"/>
              </w:rPr>
              <w:t>20</w:t>
            </w:r>
          </w:p>
        </w:tc>
        <w:tc>
          <w:tcPr>
            <w:tcW w:w="401" w:type="pct"/>
            <w:vAlign w:val="center"/>
          </w:tcPr>
          <w:p w:rsidR="00F04338" w:rsidRPr="00687B52" w:rsidRDefault="00F04338" w:rsidP="003A290A">
            <w:pPr>
              <w:jc w:val="center"/>
              <w:rPr>
                <w:color w:val="000000" w:themeColor="text1"/>
              </w:rPr>
            </w:pPr>
            <w:r w:rsidRPr="00687B52">
              <w:rPr>
                <w:rFonts w:hint="eastAsia"/>
                <w:color w:val="000000" w:themeColor="text1"/>
              </w:rPr>
              <w:t>25</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30</w:t>
            </w:r>
          </w:p>
        </w:tc>
        <w:tc>
          <w:tcPr>
            <w:tcW w:w="500" w:type="pct"/>
            <w:vAlign w:val="center"/>
          </w:tcPr>
          <w:p w:rsidR="00F04338" w:rsidRPr="00687B52" w:rsidRDefault="00F04338" w:rsidP="003A290A">
            <w:pPr>
              <w:jc w:val="center"/>
              <w:rPr>
                <w:color w:val="000000" w:themeColor="text1"/>
              </w:rPr>
            </w:pPr>
            <w:r w:rsidRPr="00687B52">
              <w:rPr>
                <w:rFonts w:hint="eastAsia"/>
                <w:color w:val="000000" w:themeColor="text1"/>
              </w:rPr>
              <w:t>35</w:t>
            </w:r>
          </w:p>
        </w:tc>
        <w:tc>
          <w:tcPr>
            <w:tcW w:w="302" w:type="pct"/>
            <w:vAlign w:val="center"/>
          </w:tcPr>
          <w:p w:rsidR="00F04338" w:rsidRPr="00687B52" w:rsidRDefault="00F04338" w:rsidP="003A290A">
            <w:pPr>
              <w:jc w:val="center"/>
              <w:rPr>
                <w:color w:val="000000" w:themeColor="text1"/>
              </w:rPr>
            </w:pPr>
            <w:r w:rsidRPr="00687B52">
              <w:rPr>
                <w:rFonts w:hint="eastAsia"/>
                <w:color w:val="000000" w:themeColor="text1"/>
              </w:rPr>
              <w:t>25</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15</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10</w:t>
            </w:r>
          </w:p>
        </w:tc>
      </w:tr>
      <w:tr w:rsidR="00F04338" w:rsidRPr="00687B52" w:rsidTr="00F04338">
        <w:tc>
          <w:tcPr>
            <w:tcW w:w="365" w:type="pct"/>
            <w:vMerge/>
            <w:vAlign w:val="center"/>
          </w:tcPr>
          <w:p w:rsidR="00F04338" w:rsidRPr="00687B52" w:rsidRDefault="00F04338" w:rsidP="003A290A">
            <w:pPr>
              <w:jc w:val="center"/>
              <w:rPr>
                <w:color w:val="000000" w:themeColor="text1"/>
              </w:rPr>
            </w:pPr>
          </w:p>
        </w:tc>
        <w:tc>
          <w:tcPr>
            <w:tcW w:w="538" w:type="pct"/>
            <w:vAlign w:val="center"/>
          </w:tcPr>
          <w:p w:rsidR="00F04338" w:rsidRPr="00687B52" w:rsidRDefault="00F04338" w:rsidP="003A290A">
            <w:pPr>
              <w:jc w:val="center"/>
              <w:rPr>
                <w:color w:val="000000" w:themeColor="text1"/>
              </w:rPr>
            </w:pPr>
            <w:r w:rsidRPr="00687B52">
              <w:rPr>
                <w:rFonts w:hint="eastAsia"/>
                <w:color w:val="000000" w:themeColor="text1"/>
              </w:rPr>
              <w:t>1000</w:t>
            </w:r>
            <w:r w:rsidRPr="00687B52">
              <w:rPr>
                <w:rFonts w:hint="eastAsia"/>
                <w:color w:val="000000" w:themeColor="text1"/>
              </w:rPr>
              <w:t>＜</w:t>
            </w:r>
            <w:r w:rsidRPr="00687B52">
              <w:rPr>
                <w:rFonts w:hint="eastAsia"/>
                <w:color w:val="000000" w:themeColor="text1"/>
              </w:rPr>
              <w:t>TV</w:t>
            </w:r>
            <w:r w:rsidRPr="00687B52">
              <w:rPr>
                <w:rFonts w:hint="eastAsia"/>
                <w:color w:val="000000" w:themeColor="text1"/>
              </w:rPr>
              <w:t>≤</w:t>
            </w:r>
            <w:r w:rsidRPr="00687B52">
              <w:rPr>
                <w:rFonts w:hint="eastAsia"/>
                <w:color w:val="000000" w:themeColor="text1"/>
              </w:rPr>
              <w:t>5000</w:t>
            </w:r>
          </w:p>
        </w:tc>
        <w:tc>
          <w:tcPr>
            <w:tcW w:w="537" w:type="pct"/>
            <w:vMerge/>
            <w:vAlign w:val="center"/>
          </w:tcPr>
          <w:p w:rsidR="00F04338" w:rsidRPr="00687B52" w:rsidRDefault="00F04338" w:rsidP="003A290A">
            <w:pPr>
              <w:jc w:val="center"/>
              <w:rPr>
                <w:color w:val="000000" w:themeColor="text1"/>
              </w:rPr>
            </w:pPr>
          </w:p>
        </w:tc>
        <w:tc>
          <w:tcPr>
            <w:tcW w:w="384" w:type="pct"/>
            <w:vAlign w:val="center"/>
          </w:tcPr>
          <w:p w:rsidR="00F04338" w:rsidRPr="00687B52" w:rsidRDefault="00F04338" w:rsidP="003A290A">
            <w:pPr>
              <w:jc w:val="center"/>
              <w:rPr>
                <w:color w:val="000000" w:themeColor="text1"/>
              </w:rPr>
            </w:pPr>
            <w:r w:rsidRPr="00687B52">
              <w:rPr>
                <w:rFonts w:hint="eastAsia"/>
                <w:color w:val="000000" w:themeColor="text1"/>
              </w:rPr>
              <w:t>30</w:t>
            </w:r>
          </w:p>
        </w:tc>
        <w:tc>
          <w:tcPr>
            <w:tcW w:w="355" w:type="pct"/>
            <w:vAlign w:val="center"/>
          </w:tcPr>
          <w:p w:rsidR="00F04338" w:rsidRPr="00687B52" w:rsidRDefault="00F04338" w:rsidP="003A290A">
            <w:pPr>
              <w:jc w:val="center"/>
              <w:rPr>
                <w:color w:val="000000" w:themeColor="text1"/>
              </w:rPr>
            </w:pPr>
            <w:r w:rsidRPr="00687B52">
              <w:rPr>
                <w:rFonts w:hint="eastAsia"/>
                <w:color w:val="000000" w:themeColor="text1"/>
              </w:rPr>
              <w:t>30</w:t>
            </w:r>
          </w:p>
        </w:tc>
        <w:tc>
          <w:tcPr>
            <w:tcW w:w="412" w:type="pct"/>
            <w:vAlign w:val="center"/>
          </w:tcPr>
          <w:p w:rsidR="00F04338" w:rsidRPr="00687B52" w:rsidRDefault="00F04338" w:rsidP="003A290A">
            <w:pPr>
              <w:jc w:val="center"/>
              <w:rPr>
                <w:color w:val="000000" w:themeColor="text1"/>
              </w:rPr>
            </w:pPr>
            <w:r w:rsidRPr="00687B52">
              <w:rPr>
                <w:rFonts w:hint="eastAsia"/>
                <w:color w:val="000000" w:themeColor="text1"/>
              </w:rPr>
              <w:t>25</w:t>
            </w:r>
          </w:p>
        </w:tc>
        <w:tc>
          <w:tcPr>
            <w:tcW w:w="401" w:type="pct"/>
            <w:vAlign w:val="center"/>
          </w:tcPr>
          <w:p w:rsidR="00F04338" w:rsidRPr="00687B52" w:rsidRDefault="00F04338" w:rsidP="003A290A">
            <w:pPr>
              <w:jc w:val="center"/>
              <w:rPr>
                <w:color w:val="000000" w:themeColor="text1"/>
              </w:rPr>
            </w:pPr>
            <w:r w:rsidRPr="00687B52">
              <w:rPr>
                <w:rFonts w:hint="eastAsia"/>
                <w:color w:val="000000" w:themeColor="text1"/>
              </w:rPr>
              <w:t>30</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40</w:t>
            </w:r>
          </w:p>
        </w:tc>
        <w:tc>
          <w:tcPr>
            <w:tcW w:w="500" w:type="pct"/>
            <w:vAlign w:val="center"/>
          </w:tcPr>
          <w:p w:rsidR="00F04338" w:rsidRPr="00687B52" w:rsidRDefault="00F04338" w:rsidP="003A290A">
            <w:pPr>
              <w:jc w:val="center"/>
              <w:rPr>
                <w:color w:val="000000" w:themeColor="text1"/>
              </w:rPr>
            </w:pPr>
            <w:r w:rsidRPr="00687B52">
              <w:rPr>
                <w:rFonts w:hint="eastAsia"/>
                <w:color w:val="000000" w:themeColor="text1"/>
              </w:rPr>
              <w:t>40</w:t>
            </w:r>
          </w:p>
        </w:tc>
        <w:tc>
          <w:tcPr>
            <w:tcW w:w="302" w:type="pct"/>
            <w:vAlign w:val="center"/>
          </w:tcPr>
          <w:p w:rsidR="00F04338" w:rsidRPr="00687B52" w:rsidRDefault="00F04338" w:rsidP="003A290A">
            <w:pPr>
              <w:jc w:val="center"/>
              <w:rPr>
                <w:color w:val="000000" w:themeColor="text1"/>
              </w:rPr>
            </w:pPr>
            <w:r w:rsidRPr="00687B52">
              <w:rPr>
                <w:rFonts w:hint="eastAsia"/>
                <w:color w:val="000000" w:themeColor="text1"/>
              </w:rPr>
              <w:t>25</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15</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10</w:t>
            </w:r>
          </w:p>
        </w:tc>
      </w:tr>
      <w:tr w:rsidR="00F04338" w:rsidRPr="00687B52" w:rsidTr="00F04338">
        <w:tc>
          <w:tcPr>
            <w:tcW w:w="365" w:type="pct"/>
            <w:vMerge/>
            <w:vAlign w:val="center"/>
          </w:tcPr>
          <w:p w:rsidR="00F04338" w:rsidRPr="00687B52" w:rsidRDefault="00F04338" w:rsidP="003A290A">
            <w:pPr>
              <w:jc w:val="center"/>
              <w:rPr>
                <w:color w:val="000000" w:themeColor="text1"/>
              </w:rPr>
            </w:pPr>
          </w:p>
        </w:tc>
        <w:tc>
          <w:tcPr>
            <w:tcW w:w="538" w:type="pct"/>
            <w:vAlign w:val="center"/>
          </w:tcPr>
          <w:p w:rsidR="00F04338" w:rsidRPr="00687B52" w:rsidRDefault="00F04338" w:rsidP="003A290A">
            <w:pPr>
              <w:jc w:val="center"/>
              <w:rPr>
                <w:color w:val="000000" w:themeColor="text1"/>
              </w:rPr>
            </w:pPr>
            <w:r w:rsidRPr="00687B52">
              <w:rPr>
                <w:rFonts w:hint="eastAsia"/>
                <w:color w:val="000000" w:themeColor="text1"/>
              </w:rPr>
              <w:t>TV</w:t>
            </w:r>
            <w:r w:rsidRPr="00687B52">
              <w:rPr>
                <w:rFonts w:hint="eastAsia"/>
                <w:color w:val="000000" w:themeColor="text1"/>
              </w:rPr>
              <w:t>≤</w:t>
            </w:r>
            <w:r w:rsidRPr="00687B52">
              <w:rPr>
                <w:rFonts w:hint="eastAsia"/>
                <w:color w:val="000000" w:themeColor="text1"/>
              </w:rPr>
              <w:t>250</w:t>
            </w:r>
          </w:p>
        </w:tc>
        <w:tc>
          <w:tcPr>
            <w:tcW w:w="537" w:type="pct"/>
            <w:vMerge w:val="restart"/>
            <w:vAlign w:val="center"/>
          </w:tcPr>
          <w:p w:rsidR="00F04338" w:rsidRPr="00687B52" w:rsidRDefault="00F04338" w:rsidP="003A290A">
            <w:pPr>
              <w:jc w:val="center"/>
              <w:rPr>
                <w:color w:val="000000" w:themeColor="text1"/>
              </w:rPr>
            </w:pPr>
            <w:r w:rsidRPr="00687B52">
              <w:rPr>
                <w:rFonts w:hint="eastAsia"/>
                <w:color w:val="000000" w:themeColor="text1"/>
              </w:rPr>
              <w:t>丙</w:t>
            </w:r>
          </w:p>
        </w:tc>
        <w:tc>
          <w:tcPr>
            <w:tcW w:w="384" w:type="pct"/>
            <w:vAlign w:val="center"/>
          </w:tcPr>
          <w:p w:rsidR="00F04338" w:rsidRPr="00687B52" w:rsidRDefault="00F04338" w:rsidP="003A290A">
            <w:pPr>
              <w:jc w:val="center"/>
              <w:rPr>
                <w:color w:val="000000" w:themeColor="text1"/>
              </w:rPr>
            </w:pPr>
            <w:r w:rsidRPr="00687B52">
              <w:rPr>
                <w:rFonts w:hint="eastAsia"/>
                <w:color w:val="000000" w:themeColor="text1"/>
              </w:rPr>
              <w:t>15</w:t>
            </w:r>
          </w:p>
        </w:tc>
        <w:tc>
          <w:tcPr>
            <w:tcW w:w="355" w:type="pct"/>
            <w:vAlign w:val="center"/>
          </w:tcPr>
          <w:p w:rsidR="00F04338" w:rsidRPr="00687B52" w:rsidRDefault="00F04338" w:rsidP="003A290A">
            <w:pPr>
              <w:jc w:val="center"/>
              <w:rPr>
                <w:color w:val="000000" w:themeColor="text1"/>
              </w:rPr>
            </w:pPr>
            <w:r w:rsidRPr="00687B52">
              <w:rPr>
                <w:rFonts w:hint="eastAsia"/>
                <w:color w:val="000000" w:themeColor="text1"/>
              </w:rPr>
              <w:t>15</w:t>
            </w:r>
          </w:p>
        </w:tc>
        <w:tc>
          <w:tcPr>
            <w:tcW w:w="412" w:type="pct"/>
            <w:vAlign w:val="center"/>
          </w:tcPr>
          <w:p w:rsidR="00F04338" w:rsidRPr="00687B52" w:rsidRDefault="00F04338" w:rsidP="003A290A">
            <w:pPr>
              <w:jc w:val="center"/>
              <w:rPr>
                <w:color w:val="000000" w:themeColor="text1"/>
              </w:rPr>
            </w:pPr>
            <w:r w:rsidRPr="00687B52">
              <w:rPr>
                <w:rFonts w:hint="eastAsia"/>
                <w:color w:val="000000" w:themeColor="text1"/>
              </w:rPr>
              <w:t>12</w:t>
            </w:r>
          </w:p>
        </w:tc>
        <w:tc>
          <w:tcPr>
            <w:tcW w:w="401" w:type="pct"/>
            <w:vAlign w:val="center"/>
          </w:tcPr>
          <w:p w:rsidR="00F04338" w:rsidRPr="00687B52" w:rsidRDefault="00F04338" w:rsidP="003A290A">
            <w:pPr>
              <w:jc w:val="center"/>
              <w:rPr>
                <w:color w:val="000000" w:themeColor="text1"/>
              </w:rPr>
            </w:pPr>
            <w:r w:rsidRPr="00687B52">
              <w:rPr>
                <w:rFonts w:hint="eastAsia"/>
                <w:color w:val="000000" w:themeColor="text1"/>
              </w:rPr>
              <w:t>15</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20</w:t>
            </w:r>
          </w:p>
        </w:tc>
        <w:tc>
          <w:tcPr>
            <w:tcW w:w="500" w:type="pct"/>
            <w:vAlign w:val="center"/>
          </w:tcPr>
          <w:p w:rsidR="00F04338" w:rsidRPr="00687B52" w:rsidRDefault="00F04338" w:rsidP="003A290A">
            <w:pPr>
              <w:jc w:val="center"/>
              <w:rPr>
                <w:color w:val="000000" w:themeColor="text1"/>
              </w:rPr>
            </w:pPr>
            <w:r w:rsidRPr="00687B52">
              <w:rPr>
                <w:rFonts w:hint="eastAsia"/>
                <w:color w:val="000000" w:themeColor="text1"/>
              </w:rPr>
              <w:t>20</w:t>
            </w:r>
          </w:p>
        </w:tc>
        <w:tc>
          <w:tcPr>
            <w:tcW w:w="302" w:type="pct"/>
            <w:vAlign w:val="center"/>
          </w:tcPr>
          <w:p w:rsidR="00F04338" w:rsidRPr="00687B52" w:rsidRDefault="00F04338" w:rsidP="003A290A">
            <w:pPr>
              <w:jc w:val="center"/>
              <w:rPr>
                <w:color w:val="000000" w:themeColor="text1"/>
              </w:rPr>
            </w:pPr>
            <w:r w:rsidRPr="00687B52">
              <w:rPr>
                <w:rFonts w:hint="eastAsia"/>
                <w:color w:val="000000" w:themeColor="text1"/>
              </w:rPr>
              <w:t>20</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10</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5</w:t>
            </w:r>
          </w:p>
        </w:tc>
      </w:tr>
      <w:tr w:rsidR="00F04338" w:rsidRPr="00687B52" w:rsidTr="00F04338">
        <w:tc>
          <w:tcPr>
            <w:tcW w:w="365" w:type="pct"/>
            <w:vMerge/>
            <w:vAlign w:val="center"/>
          </w:tcPr>
          <w:p w:rsidR="00F04338" w:rsidRPr="00687B52" w:rsidRDefault="00F04338" w:rsidP="003A290A">
            <w:pPr>
              <w:jc w:val="center"/>
              <w:rPr>
                <w:color w:val="000000" w:themeColor="text1"/>
              </w:rPr>
            </w:pPr>
          </w:p>
        </w:tc>
        <w:tc>
          <w:tcPr>
            <w:tcW w:w="538" w:type="pct"/>
            <w:vAlign w:val="center"/>
          </w:tcPr>
          <w:p w:rsidR="00F04338" w:rsidRPr="00687B52" w:rsidRDefault="00F04338" w:rsidP="003A290A">
            <w:pPr>
              <w:jc w:val="center"/>
              <w:rPr>
                <w:color w:val="000000" w:themeColor="text1"/>
              </w:rPr>
            </w:pPr>
            <w:r w:rsidRPr="00687B52">
              <w:rPr>
                <w:rFonts w:hint="eastAsia"/>
                <w:color w:val="000000" w:themeColor="text1"/>
              </w:rPr>
              <w:t>250</w:t>
            </w:r>
            <w:r w:rsidRPr="00687B52">
              <w:rPr>
                <w:rFonts w:hint="eastAsia"/>
                <w:color w:val="000000" w:themeColor="text1"/>
              </w:rPr>
              <w:t>＜</w:t>
            </w:r>
            <w:r w:rsidRPr="00687B52">
              <w:rPr>
                <w:rFonts w:hint="eastAsia"/>
                <w:color w:val="000000" w:themeColor="text1"/>
              </w:rPr>
              <w:t>TV</w:t>
            </w:r>
            <w:r w:rsidRPr="00687B52">
              <w:rPr>
                <w:rFonts w:hint="eastAsia"/>
                <w:color w:val="000000" w:themeColor="text1"/>
              </w:rPr>
              <w:t>≤</w:t>
            </w:r>
            <w:r w:rsidRPr="00687B52">
              <w:rPr>
                <w:rFonts w:hint="eastAsia"/>
                <w:color w:val="000000" w:themeColor="text1"/>
              </w:rPr>
              <w:t>1000</w:t>
            </w:r>
          </w:p>
        </w:tc>
        <w:tc>
          <w:tcPr>
            <w:tcW w:w="537" w:type="pct"/>
            <w:vMerge/>
            <w:vAlign w:val="center"/>
          </w:tcPr>
          <w:p w:rsidR="00F04338" w:rsidRPr="00687B52" w:rsidRDefault="00F04338" w:rsidP="003A290A">
            <w:pPr>
              <w:jc w:val="center"/>
              <w:rPr>
                <w:color w:val="000000" w:themeColor="text1"/>
              </w:rPr>
            </w:pPr>
          </w:p>
        </w:tc>
        <w:tc>
          <w:tcPr>
            <w:tcW w:w="384" w:type="pct"/>
            <w:vAlign w:val="center"/>
          </w:tcPr>
          <w:p w:rsidR="00F04338" w:rsidRPr="00687B52" w:rsidRDefault="00F04338" w:rsidP="003A290A">
            <w:pPr>
              <w:jc w:val="center"/>
              <w:rPr>
                <w:color w:val="000000" w:themeColor="text1"/>
              </w:rPr>
            </w:pPr>
            <w:r w:rsidRPr="00687B52">
              <w:rPr>
                <w:rFonts w:hint="eastAsia"/>
                <w:color w:val="000000" w:themeColor="text1"/>
              </w:rPr>
              <w:t>20</w:t>
            </w:r>
          </w:p>
        </w:tc>
        <w:tc>
          <w:tcPr>
            <w:tcW w:w="355" w:type="pct"/>
            <w:vAlign w:val="center"/>
          </w:tcPr>
          <w:p w:rsidR="00F04338" w:rsidRPr="00687B52" w:rsidRDefault="00F04338" w:rsidP="003A290A">
            <w:pPr>
              <w:jc w:val="center"/>
              <w:rPr>
                <w:color w:val="000000" w:themeColor="text1"/>
              </w:rPr>
            </w:pPr>
            <w:r w:rsidRPr="00687B52">
              <w:rPr>
                <w:rFonts w:hint="eastAsia"/>
                <w:color w:val="000000" w:themeColor="text1"/>
              </w:rPr>
              <w:t>20</w:t>
            </w:r>
          </w:p>
        </w:tc>
        <w:tc>
          <w:tcPr>
            <w:tcW w:w="412" w:type="pct"/>
            <w:vAlign w:val="center"/>
          </w:tcPr>
          <w:p w:rsidR="00F04338" w:rsidRPr="00687B52" w:rsidRDefault="00F04338" w:rsidP="003A290A">
            <w:pPr>
              <w:jc w:val="center"/>
              <w:rPr>
                <w:color w:val="000000" w:themeColor="text1"/>
              </w:rPr>
            </w:pPr>
            <w:r w:rsidRPr="00687B52">
              <w:rPr>
                <w:rFonts w:hint="eastAsia"/>
                <w:color w:val="000000" w:themeColor="text1"/>
              </w:rPr>
              <w:t>15</w:t>
            </w:r>
          </w:p>
        </w:tc>
        <w:tc>
          <w:tcPr>
            <w:tcW w:w="401" w:type="pct"/>
            <w:vAlign w:val="center"/>
          </w:tcPr>
          <w:p w:rsidR="00F04338" w:rsidRPr="00687B52" w:rsidRDefault="00F04338" w:rsidP="003A290A">
            <w:pPr>
              <w:jc w:val="center"/>
              <w:rPr>
                <w:color w:val="000000" w:themeColor="text1"/>
              </w:rPr>
            </w:pPr>
            <w:r w:rsidRPr="00687B52">
              <w:rPr>
                <w:rFonts w:hint="eastAsia"/>
                <w:color w:val="000000" w:themeColor="text1"/>
              </w:rPr>
              <w:t>20</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25</w:t>
            </w:r>
          </w:p>
        </w:tc>
        <w:tc>
          <w:tcPr>
            <w:tcW w:w="500" w:type="pct"/>
            <w:vAlign w:val="center"/>
          </w:tcPr>
          <w:p w:rsidR="00F04338" w:rsidRPr="00687B52" w:rsidRDefault="00F04338" w:rsidP="003A290A">
            <w:pPr>
              <w:jc w:val="center"/>
              <w:rPr>
                <w:color w:val="000000" w:themeColor="text1"/>
              </w:rPr>
            </w:pPr>
            <w:r w:rsidRPr="00687B52">
              <w:rPr>
                <w:rFonts w:hint="eastAsia"/>
                <w:color w:val="000000" w:themeColor="text1"/>
              </w:rPr>
              <w:t>25</w:t>
            </w:r>
          </w:p>
        </w:tc>
        <w:tc>
          <w:tcPr>
            <w:tcW w:w="302" w:type="pct"/>
            <w:vAlign w:val="center"/>
          </w:tcPr>
          <w:p w:rsidR="00F04338" w:rsidRPr="00687B52" w:rsidRDefault="00F04338" w:rsidP="003A290A">
            <w:pPr>
              <w:jc w:val="center"/>
              <w:rPr>
                <w:color w:val="000000" w:themeColor="text1"/>
              </w:rPr>
            </w:pPr>
            <w:r w:rsidRPr="00687B52">
              <w:rPr>
                <w:rFonts w:hint="eastAsia"/>
                <w:color w:val="000000" w:themeColor="text1"/>
              </w:rPr>
              <w:t>20</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10</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5</w:t>
            </w:r>
          </w:p>
        </w:tc>
      </w:tr>
      <w:tr w:rsidR="00F04338" w:rsidRPr="00687B52" w:rsidTr="00F04338">
        <w:tc>
          <w:tcPr>
            <w:tcW w:w="365" w:type="pct"/>
            <w:vMerge/>
            <w:vAlign w:val="center"/>
          </w:tcPr>
          <w:p w:rsidR="00F04338" w:rsidRPr="00687B52" w:rsidRDefault="00F04338" w:rsidP="003A290A">
            <w:pPr>
              <w:jc w:val="center"/>
              <w:rPr>
                <w:color w:val="000000" w:themeColor="text1"/>
              </w:rPr>
            </w:pPr>
          </w:p>
        </w:tc>
        <w:tc>
          <w:tcPr>
            <w:tcW w:w="538" w:type="pct"/>
            <w:vAlign w:val="center"/>
          </w:tcPr>
          <w:p w:rsidR="00F04338" w:rsidRPr="00687B52" w:rsidRDefault="00F04338" w:rsidP="003A290A">
            <w:pPr>
              <w:jc w:val="center"/>
              <w:rPr>
                <w:color w:val="000000" w:themeColor="text1"/>
              </w:rPr>
            </w:pPr>
            <w:r w:rsidRPr="00687B52">
              <w:rPr>
                <w:rFonts w:hint="eastAsia"/>
                <w:color w:val="000000" w:themeColor="text1"/>
              </w:rPr>
              <w:t>1000</w:t>
            </w:r>
            <w:r w:rsidRPr="00687B52">
              <w:rPr>
                <w:rFonts w:hint="eastAsia"/>
                <w:color w:val="000000" w:themeColor="text1"/>
              </w:rPr>
              <w:t>＜</w:t>
            </w:r>
            <w:r w:rsidRPr="00687B52">
              <w:rPr>
                <w:rFonts w:hint="eastAsia"/>
                <w:color w:val="000000" w:themeColor="text1"/>
              </w:rPr>
              <w:t>TV</w:t>
            </w:r>
            <w:r w:rsidRPr="00687B52">
              <w:rPr>
                <w:rFonts w:hint="eastAsia"/>
                <w:color w:val="000000" w:themeColor="text1"/>
              </w:rPr>
              <w:t>≤</w:t>
            </w:r>
            <w:r w:rsidRPr="00687B52">
              <w:rPr>
                <w:rFonts w:hint="eastAsia"/>
                <w:color w:val="000000" w:themeColor="text1"/>
              </w:rPr>
              <w:t>5000</w:t>
            </w:r>
          </w:p>
        </w:tc>
        <w:tc>
          <w:tcPr>
            <w:tcW w:w="537" w:type="pct"/>
            <w:vMerge/>
            <w:vAlign w:val="center"/>
          </w:tcPr>
          <w:p w:rsidR="00F04338" w:rsidRPr="00687B52" w:rsidRDefault="00F04338" w:rsidP="003A290A">
            <w:pPr>
              <w:jc w:val="center"/>
              <w:rPr>
                <w:color w:val="000000" w:themeColor="text1"/>
              </w:rPr>
            </w:pPr>
          </w:p>
        </w:tc>
        <w:tc>
          <w:tcPr>
            <w:tcW w:w="384" w:type="pct"/>
            <w:vAlign w:val="center"/>
          </w:tcPr>
          <w:p w:rsidR="00F04338" w:rsidRPr="00687B52" w:rsidRDefault="00F04338" w:rsidP="003A290A">
            <w:pPr>
              <w:jc w:val="center"/>
              <w:rPr>
                <w:color w:val="000000" w:themeColor="text1"/>
              </w:rPr>
            </w:pPr>
            <w:r w:rsidRPr="00687B52">
              <w:rPr>
                <w:rFonts w:hint="eastAsia"/>
                <w:color w:val="000000" w:themeColor="text1"/>
              </w:rPr>
              <w:t>25</w:t>
            </w:r>
          </w:p>
        </w:tc>
        <w:tc>
          <w:tcPr>
            <w:tcW w:w="355" w:type="pct"/>
            <w:vAlign w:val="center"/>
          </w:tcPr>
          <w:p w:rsidR="00F04338" w:rsidRPr="00687B52" w:rsidRDefault="00F04338" w:rsidP="003A290A">
            <w:pPr>
              <w:jc w:val="center"/>
              <w:rPr>
                <w:color w:val="000000" w:themeColor="text1"/>
              </w:rPr>
            </w:pPr>
            <w:r w:rsidRPr="00687B52">
              <w:rPr>
                <w:rFonts w:hint="eastAsia"/>
                <w:color w:val="000000" w:themeColor="text1"/>
              </w:rPr>
              <w:t>25</w:t>
            </w:r>
          </w:p>
        </w:tc>
        <w:tc>
          <w:tcPr>
            <w:tcW w:w="412" w:type="pct"/>
            <w:vAlign w:val="center"/>
          </w:tcPr>
          <w:p w:rsidR="00F04338" w:rsidRPr="00687B52" w:rsidRDefault="00F04338" w:rsidP="003A290A">
            <w:pPr>
              <w:jc w:val="center"/>
              <w:rPr>
                <w:color w:val="000000" w:themeColor="text1"/>
              </w:rPr>
            </w:pPr>
            <w:r w:rsidRPr="00687B52">
              <w:rPr>
                <w:rFonts w:hint="eastAsia"/>
                <w:color w:val="000000" w:themeColor="text1"/>
              </w:rPr>
              <w:t>20</w:t>
            </w:r>
          </w:p>
        </w:tc>
        <w:tc>
          <w:tcPr>
            <w:tcW w:w="401" w:type="pct"/>
            <w:vAlign w:val="center"/>
          </w:tcPr>
          <w:p w:rsidR="00F04338" w:rsidRPr="00687B52" w:rsidRDefault="00F04338" w:rsidP="003A290A">
            <w:pPr>
              <w:jc w:val="center"/>
              <w:rPr>
                <w:color w:val="000000" w:themeColor="text1"/>
              </w:rPr>
            </w:pPr>
            <w:r w:rsidRPr="00687B52">
              <w:rPr>
                <w:rFonts w:hint="eastAsia"/>
                <w:color w:val="000000" w:themeColor="text1"/>
              </w:rPr>
              <w:t>25</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30</w:t>
            </w:r>
          </w:p>
        </w:tc>
        <w:tc>
          <w:tcPr>
            <w:tcW w:w="500" w:type="pct"/>
            <w:vAlign w:val="center"/>
          </w:tcPr>
          <w:p w:rsidR="00F04338" w:rsidRPr="00687B52" w:rsidRDefault="00F04338" w:rsidP="003A290A">
            <w:pPr>
              <w:jc w:val="center"/>
              <w:rPr>
                <w:color w:val="000000" w:themeColor="text1"/>
              </w:rPr>
            </w:pPr>
            <w:r w:rsidRPr="00687B52">
              <w:rPr>
                <w:rFonts w:hint="eastAsia"/>
                <w:color w:val="000000" w:themeColor="text1"/>
              </w:rPr>
              <w:t>30</w:t>
            </w:r>
          </w:p>
        </w:tc>
        <w:tc>
          <w:tcPr>
            <w:tcW w:w="302" w:type="pct"/>
            <w:vAlign w:val="center"/>
          </w:tcPr>
          <w:p w:rsidR="00F04338" w:rsidRPr="00687B52" w:rsidRDefault="00F04338" w:rsidP="003A290A">
            <w:pPr>
              <w:jc w:val="center"/>
              <w:rPr>
                <w:color w:val="000000" w:themeColor="text1"/>
              </w:rPr>
            </w:pPr>
            <w:r w:rsidRPr="00687B52">
              <w:rPr>
                <w:rFonts w:hint="eastAsia"/>
                <w:color w:val="000000" w:themeColor="text1"/>
              </w:rPr>
              <w:t>20</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15</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10</w:t>
            </w:r>
          </w:p>
        </w:tc>
      </w:tr>
      <w:tr w:rsidR="00F04338" w:rsidRPr="00687B52" w:rsidTr="00F04338">
        <w:tc>
          <w:tcPr>
            <w:tcW w:w="365" w:type="pct"/>
            <w:vMerge/>
            <w:vAlign w:val="center"/>
          </w:tcPr>
          <w:p w:rsidR="00F04338" w:rsidRPr="00687B52" w:rsidRDefault="00F04338" w:rsidP="003A290A">
            <w:pPr>
              <w:jc w:val="center"/>
              <w:rPr>
                <w:color w:val="000000" w:themeColor="text1"/>
              </w:rPr>
            </w:pPr>
          </w:p>
        </w:tc>
        <w:tc>
          <w:tcPr>
            <w:tcW w:w="538" w:type="pct"/>
            <w:vAlign w:val="center"/>
          </w:tcPr>
          <w:p w:rsidR="00F04338" w:rsidRPr="00687B52" w:rsidRDefault="00F04338" w:rsidP="003A290A">
            <w:pPr>
              <w:jc w:val="center"/>
              <w:rPr>
                <w:color w:val="000000" w:themeColor="text1"/>
              </w:rPr>
            </w:pPr>
            <w:r w:rsidRPr="00687B52">
              <w:rPr>
                <w:rFonts w:hint="eastAsia"/>
                <w:color w:val="000000" w:themeColor="text1"/>
              </w:rPr>
              <w:t>5000</w:t>
            </w:r>
            <w:r w:rsidRPr="00687B52">
              <w:rPr>
                <w:rFonts w:hint="eastAsia"/>
                <w:color w:val="000000" w:themeColor="text1"/>
              </w:rPr>
              <w:t>＜</w:t>
            </w:r>
            <w:r w:rsidRPr="00687B52">
              <w:rPr>
                <w:rFonts w:hint="eastAsia"/>
                <w:color w:val="000000" w:themeColor="text1"/>
              </w:rPr>
              <w:t>TV</w:t>
            </w:r>
            <w:r w:rsidRPr="00687B52">
              <w:rPr>
                <w:rFonts w:hint="eastAsia"/>
                <w:color w:val="000000" w:themeColor="text1"/>
              </w:rPr>
              <w:t>≤</w:t>
            </w:r>
            <w:r w:rsidRPr="00687B52">
              <w:rPr>
                <w:rFonts w:hint="eastAsia"/>
                <w:color w:val="000000" w:themeColor="text1"/>
              </w:rPr>
              <w:t>2500</w:t>
            </w:r>
          </w:p>
        </w:tc>
        <w:tc>
          <w:tcPr>
            <w:tcW w:w="537" w:type="pct"/>
            <w:vMerge/>
            <w:vAlign w:val="center"/>
          </w:tcPr>
          <w:p w:rsidR="00F04338" w:rsidRPr="00687B52" w:rsidRDefault="00F04338" w:rsidP="003A290A">
            <w:pPr>
              <w:jc w:val="center"/>
              <w:rPr>
                <w:color w:val="000000" w:themeColor="text1"/>
              </w:rPr>
            </w:pPr>
          </w:p>
        </w:tc>
        <w:tc>
          <w:tcPr>
            <w:tcW w:w="384" w:type="pct"/>
            <w:vAlign w:val="center"/>
          </w:tcPr>
          <w:p w:rsidR="00F04338" w:rsidRPr="00687B52" w:rsidRDefault="00F04338" w:rsidP="003A290A">
            <w:pPr>
              <w:jc w:val="center"/>
              <w:rPr>
                <w:color w:val="000000" w:themeColor="text1"/>
              </w:rPr>
            </w:pPr>
            <w:r w:rsidRPr="00687B52">
              <w:rPr>
                <w:rFonts w:hint="eastAsia"/>
                <w:color w:val="000000" w:themeColor="text1"/>
              </w:rPr>
              <w:t>30</w:t>
            </w:r>
          </w:p>
        </w:tc>
        <w:tc>
          <w:tcPr>
            <w:tcW w:w="355" w:type="pct"/>
            <w:vAlign w:val="center"/>
          </w:tcPr>
          <w:p w:rsidR="00F04338" w:rsidRPr="00687B52" w:rsidRDefault="00F04338" w:rsidP="003A290A">
            <w:pPr>
              <w:jc w:val="center"/>
              <w:rPr>
                <w:color w:val="000000" w:themeColor="text1"/>
              </w:rPr>
            </w:pPr>
            <w:r w:rsidRPr="00687B52">
              <w:rPr>
                <w:rFonts w:hint="eastAsia"/>
                <w:color w:val="000000" w:themeColor="text1"/>
              </w:rPr>
              <w:t>30</w:t>
            </w:r>
          </w:p>
        </w:tc>
        <w:tc>
          <w:tcPr>
            <w:tcW w:w="412" w:type="pct"/>
            <w:vAlign w:val="center"/>
          </w:tcPr>
          <w:p w:rsidR="00F04338" w:rsidRPr="00687B52" w:rsidRDefault="00F04338" w:rsidP="003A290A">
            <w:pPr>
              <w:jc w:val="center"/>
              <w:rPr>
                <w:color w:val="000000" w:themeColor="text1"/>
              </w:rPr>
            </w:pPr>
            <w:r w:rsidRPr="00687B52">
              <w:rPr>
                <w:rFonts w:hint="eastAsia"/>
                <w:color w:val="000000" w:themeColor="text1"/>
              </w:rPr>
              <w:t>25</w:t>
            </w:r>
          </w:p>
        </w:tc>
        <w:tc>
          <w:tcPr>
            <w:tcW w:w="401" w:type="pct"/>
            <w:vAlign w:val="center"/>
          </w:tcPr>
          <w:p w:rsidR="00F04338" w:rsidRPr="00687B52" w:rsidRDefault="00F04338" w:rsidP="003A290A">
            <w:pPr>
              <w:jc w:val="center"/>
              <w:rPr>
                <w:color w:val="000000" w:themeColor="text1"/>
              </w:rPr>
            </w:pPr>
            <w:r w:rsidRPr="00687B52">
              <w:rPr>
                <w:rFonts w:hint="eastAsia"/>
                <w:color w:val="000000" w:themeColor="text1"/>
              </w:rPr>
              <w:t>30</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40</w:t>
            </w:r>
          </w:p>
        </w:tc>
        <w:tc>
          <w:tcPr>
            <w:tcW w:w="500" w:type="pct"/>
            <w:vAlign w:val="center"/>
          </w:tcPr>
          <w:p w:rsidR="00F04338" w:rsidRPr="00687B52" w:rsidRDefault="00F04338" w:rsidP="003A290A">
            <w:pPr>
              <w:jc w:val="center"/>
              <w:rPr>
                <w:color w:val="000000" w:themeColor="text1"/>
              </w:rPr>
            </w:pPr>
            <w:r w:rsidRPr="00687B52">
              <w:rPr>
                <w:rFonts w:hint="eastAsia"/>
                <w:color w:val="000000" w:themeColor="text1"/>
              </w:rPr>
              <w:t>40</w:t>
            </w:r>
          </w:p>
        </w:tc>
        <w:tc>
          <w:tcPr>
            <w:tcW w:w="302" w:type="pct"/>
            <w:vAlign w:val="center"/>
          </w:tcPr>
          <w:p w:rsidR="00F04338" w:rsidRPr="00687B52" w:rsidRDefault="00F04338" w:rsidP="003A290A">
            <w:pPr>
              <w:jc w:val="center"/>
              <w:rPr>
                <w:color w:val="000000" w:themeColor="text1"/>
              </w:rPr>
            </w:pPr>
            <w:r w:rsidRPr="00687B52">
              <w:rPr>
                <w:rFonts w:hint="eastAsia"/>
                <w:color w:val="000000" w:themeColor="text1"/>
              </w:rPr>
              <w:t>25</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15</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10</w:t>
            </w:r>
          </w:p>
        </w:tc>
      </w:tr>
      <w:tr w:rsidR="00F04338" w:rsidRPr="00687B52" w:rsidTr="00F04338">
        <w:tc>
          <w:tcPr>
            <w:tcW w:w="903" w:type="pct"/>
            <w:gridSpan w:val="2"/>
            <w:vMerge w:val="restart"/>
            <w:vAlign w:val="center"/>
          </w:tcPr>
          <w:p w:rsidR="00F04338" w:rsidRPr="00687B52" w:rsidRDefault="00F04338" w:rsidP="003A290A">
            <w:pPr>
              <w:jc w:val="center"/>
              <w:rPr>
                <w:color w:val="000000" w:themeColor="text1"/>
              </w:rPr>
            </w:pPr>
            <w:r w:rsidRPr="00687B52">
              <w:rPr>
                <w:rFonts w:hint="eastAsia"/>
                <w:color w:val="000000" w:themeColor="text1"/>
              </w:rPr>
              <w:t>油泵房、灌冶间</w:t>
            </w:r>
          </w:p>
        </w:tc>
        <w:tc>
          <w:tcPr>
            <w:tcW w:w="537" w:type="pct"/>
            <w:vAlign w:val="center"/>
          </w:tcPr>
          <w:p w:rsidR="00F04338" w:rsidRPr="00687B52" w:rsidRDefault="00F04338" w:rsidP="003A290A">
            <w:pPr>
              <w:jc w:val="center"/>
              <w:rPr>
                <w:color w:val="000000" w:themeColor="text1"/>
              </w:rPr>
            </w:pPr>
            <w:r w:rsidRPr="00687B52">
              <w:rPr>
                <w:rFonts w:hint="eastAsia"/>
                <w:color w:val="000000" w:themeColor="text1"/>
              </w:rPr>
              <w:t>甲</w:t>
            </w:r>
            <w:r w:rsidRPr="00687B52">
              <w:rPr>
                <w:rFonts w:hint="eastAsia"/>
                <w:color w:val="000000" w:themeColor="text1"/>
              </w:rPr>
              <w:t>B</w:t>
            </w:r>
            <w:r w:rsidRPr="00687B52">
              <w:rPr>
                <w:rFonts w:hint="eastAsia"/>
                <w:color w:val="000000" w:themeColor="text1"/>
              </w:rPr>
              <w:t>、乙</w:t>
            </w:r>
          </w:p>
        </w:tc>
        <w:tc>
          <w:tcPr>
            <w:tcW w:w="384" w:type="pct"/>
            <w:vAlign w:val="center"/>
          </w:tcPr>
          <w:p w:rsidR="00F04338" w:rsidRPr="00687B52" w:rsidRDefault="00F04338" w:rsidP="003A290A">
            <w:pPr>
              <w:jc w:val="center"/>
              <w:rPr>
                <w:color w:val="000000" w:themeColor="text1"/>
              </w:rPr>
            </w:pPr>
            <w:r w:rsidRPr="00687B52">
              <w:rPr>
                <w:rFonts w:hint="eastAsia"/>
                <w:color w:val="000000" w:themeColor="text1"/>
              </w:rPr>
              <w:t>12</w:t>
            </w:r>
          </w:p>
        </w:tc>
        <w:tc>
          <w:tcPr>
            <w:tcW w:w="355" w:type="pct"/>
            <w:vAlign w:val="center"/>
          </w:tcPr>
          <w:p w:rsidR="00F04338" w:rsidRPr="00687B52" w:rsidRDefault="00F04338" w:rsidP="003A290A">
            <w:pPr>
              <w:jc w:val="center"/>
              <w:rPr>
                <w:color w:val="000000" w:themeColor="text1"/>
              </w:rPr>
            </w:pPr>
            <w:r w:rsidRPr="00687B52">
              <w:rPr>
                <w:rFonts w:hint="eastAsia"/>
                <w:color w:val="000000" w:themeColor="text1"/>
              </w:rPr>
              <w:t>15</w:t>
            </w:r>
          </w:p>
        </w:tc>
        <w:tc>
          <w:tcPr>
            <w:tcW w:w="412" w:type="pct"/>
            <w:vAlign w:val="center"/>
          </w:tcPr>
          <w:p w:rsidR="00F04338" w:rsidRPr="00687B52" w:rsidRDefault="00F04338" w:rsidP="003A290A">
            <w:pPr>
              <w:jc w:val="center"/>
              <w:rPr>
                <w:color w:val="000000" w:themeColor="text1"/>
              </w:rPr>
            </w:pPr>
            <w:r w:rsidRPr="00687B52">
              <w:rPr>
                <w:rFonts w:hint="eastAsia"/>
                <w:color w:val="000000" w:themeColor="text1"/>
              </w:rPr>
              <w:t>12</w:t>
            </w:r>
          </w:p>
        </w:tc>
        <w:tc>
          <w:tcPr>
            <w:tcW w:w="401" w:type="pct"/>
            <w:vAlign w:val="center"/>
          </w:tcPr>
          <w:p w:rsidR="00F04338" w:rsidRPr="00687B52" w:rsidRDefault="00F04338" w:rsidP="003A290A">
            <w:pPr>
              <w:jc w:val="center"/>
              <w:rPr>
                <w:color w:val="000000" w:themeColor="text1"/>
              </w:rPr>
            </w:pPr>
            <w:r w:rsidRPr="00687B52">
              <w:rPr>
                <w:rFonts w:hint="eastAsia"/>
                <w:color w:val="000000" w:themeColor="text1"/>
              </w:rPr>
              <w:t>14</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16</w:t>
            </w:r>
          </w:p>
        </w:tc>
        <w:tc>
          <w:tcPr>
            <w:tcW w:w="500" w:type="pct"/>
            <w:vAlign w:val="center"/>
          </w:tcPr>
          <w:p w:rsidR="00F04338" w:rsidRPr="00687B52" w:rsidRDefault="00F04338" w:rsidP="003A290A">
            <w:pPr>
              <w:jc w:val="center"/>
              <w:rPr>
                <w:color w:val="000000" w:themeColor="text1"/>
              </w:rPr>
            </w:pPr>
            <w:r w:rsidRPr="00687B52">
              <w:rPr>
                <w:rFonts w:hint="eastAsia"/>
                <w:color w:val="000000" w:themeColor="text1"/>
              </w:rPr>
              <w:t>30</w:t>
            </w:r>
          </w:p>
        </w:tc>
        <w:tc>
          <w:tcPr>
            <w:tcW w:w="302" w:type="pct"/>
            <w:vAlign w:val="center"/>
          </w:tcPr>
          <w:p w:rsidR="00F04338" w:rsidRPr="00687B52" w:rsidRDefault="00F04338" w:rsidP="003A290A">
            <w:pPr>
              <w:jc w:val="center"/>
              <w:rPr>
                <w:color w:val="000000" w:themeColor="text1"/>
              </w:rPr>
            </w:pPr>
            <w:r w:rsidRPr="00687B52">
              <w:rPr>
                <w:rFonts w:hint="eastAsia"/>
                <w:color w:val="000000" w:themeColor="text1"/>
              </w:rPr>
              <w:t>20</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10</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5</w:t>
            </w:r>
          </w:p>
        </w:tc>
      </w:tr>
      <w:tr w:rsidR="00F04338" w:rsidRPr="00687B52" w:rsidTr="00F04338">
        <w:tc>
          <w:tcPr>
            <w:tcW w:w="903" w:type="pct"/>
            <w:gridSpan w:val="2"/>
            <w:vMerge/>
            <w:vAlign w:val="center"/>
          </w:tcPr>
          <w:p w:rsidR="00F04338" w:rsidRPr="00687B52" w:rsidRDefault="00F04338" w:rsidP="003A290A">
            <w:pPr>
              <w:jc w:val="center"/>
              <w:rPr>
                <w:color w:val="000000" w:themeColor="text1"/>
              </w:rPr>
            </w:pPr>
          </w:p>
        </w:tc>
        <w:tc>
          <w:tcPr>
            <w:tcW w:w="537" w:type="pct"/>
            <w:vAlign w:val="center"/>
          </w:tcPr>
          <w:p w:rsidR="00F04338" w:rsidRPr="00687B52" w:rsidRDefault="00F04338" w:rsidP="003A290A">
            <w:pPr>
              <w:jc w:val="center"/>
              <w:rPr>
                <w:color w:val="000000" w:themeColor="text1"/>
              </w:rPr>
            </w:pPr>
            <w:r w:rsidRPr="00687B52">
              <w:rPr>
                <w:rFonts w:hint="eastAsia"/>
                <w:color w:val="000000" w:themeColor="text1"/>
              </w:rPr>
              <w:t>丙</w:t>
            </w:r>
          </w:p>
        </w:tc>
        <w:tc>
          <w:tcPr>
            <w:tcW w:w="384" w:type="pct"/>
            <w:vAlign w:val="center"/>
          </w:tcPr>
          <w:p w:rsidR="00F04338" w:rsidRPr="00687B52" w:rsidRDefault="00F04338" w:rsidP="003A290A">
            <w:pPr>
              <w:jc w:val="center"/>
              <w:rPr>
                <w:color w:val="000000" w:themeColor="text1"/>
              </w:rPr>
            </w:pPr>
            <w:r w:rsidRPr="00687B52">
              <w:rPr>
                <w:rFonts w:hint="eastAsia"/>
                <w:color w:val="000000" w:themeColor="text1"/>
              </w:rPr>
              <w:t>12</w:t>
            </w:r>
          </w:p>
        </w:tc>
        <w:tc>
          <w:tcPr>
            <w:tcW w:w="355" w:type="pct"/>
            <w:vAlign w:val="center"/>
          </w:tcPr>
          <w:p w:rsidR="00F04338" w:rsidRPr="00687B52" w:rsidRDefault="00F04338" w:rsidP="003A290A">
            <w:pPr>
              <w:jc w:val="center"/>
              <w:rPr>
                <w:color w:val="000000" w:themeColor="text1"/>
              </w:rPr>
            </w:pPr>
            <w:r w:rsidRPr="00687B52">
              <w:rPr>
                <w:rFonts w:hint="eastAsia"/>
                <w:color w:val="000000" w:themeColor="text1"/>
              </w:rPr>
              <w:t>12</w:t>
            </w:r>
          </w:p>
        </w:tc>
        <w:tc>
          <w:tcPr>
            <w:tcW w:w="412" w:type="pct"/>
            <w:vAlign w:val="center"/>
          </w:tcPr>
          <w:p w:rsidR="00F04338" w:rsidRPr="00687B52" w:rsidRDefault="00F04338" w:rsidP="003A290A">
            <w:pPr>
              <w:jc w:val="center"/>
              <w:rPr>
                <w:color w:val="000000" w:themeColor="text1"/>
              </w:rPr>
            </w:pPr>
            <w:r w:rsidRPr="00687B52">
              <w:rPr>
                <w:rFonts w:hint="eastAsia"/>
                <w:color w:val="000000" w:themeColor="text1"/>
              </w:rPr>
              <w:t>10</w:t>
            </w:r>
          </w:p>
        </w:tc>
        <w:tc>
          <w:tcPr>
            <w:tcW w:w="401" w:type="pct"/>
            <w:vAlign w:val="center"/>
          </w:tcPr>
          <w:p w:rsidR="00F04338" w:rsidRPr="00687B52" w:rsidRDefault="00F04338" w:rsidP="003A290A">
            <w:pPr>
              <w:jc w:val="center"/>
              <w:rPr>
                <w:color w:val="000000" w:themeColor="text1"/>
              </w:rPr>
            </w:pPr>
            <w:r w:rsidRPr="00687B52">
              <w:rPr>
                <w:rFonts w:hint="eastAsia"/>
                <w:color w:val="000000" w:themeColor="text1"/>
              </w:rPr>
              <w:t>12</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14</w:t>
            </w:r>
          </w:p>
        </w:tc>
        <w:tc>
          <w:tcPr>
            <w:tcW w:w="500" w:type="pct"/>
            <w:vAlign w:val="center"/>
          </w:tcPr>
          <w:p w:rsidR="00F04338" w:rsidRPr="00687B52" w:rsidRDefault="00F04338" w:rsidP="003A290A">
            <w:pPr>
              <w:jc w:val="center"/>
              <w:rPr>
                <w:color w:val="000000" w:themeColor="text1"/>
              </w:rPr>
            </w:pPr>
            <w:r w:rsidRPr="00687B52">
              <w:rPr>
                <w:rFonts w:hint="eastAsia"/>
                <w:color w:val="000000" w:themeColor="text1"/>
              </w:rPr>
              <w:t>15</w:t>
            </w:r>
          </w:p>
        </w:tc>
        <w:tc>
          <w:tcPr>
            <w:tcW w:w="302" w:type="pct"/>
            <w:vAlign w:val="center"/>
          </w:tcPr>
          <w:p w:rsidR="00F04338" w:rsidRPr="00687B52" w:rsidRDefault="00F04338" w:rsidP="003A290A">
            <w:pPr>
              <w:jc w:val="center"/>
              <w:rPr>
                <w:color w:val="000000" w:themeColor="text1"/>
              </w:rPr>
            </w:pPr>
            <w:r w:rsidRPr="00687B52">
              <w:rPr>
                <w:rFonts w:hint="eastAsia"/>
                <w:color w:val="000000" w:themeColor="text1"/>
              </w:rPr>
              <w:t>12</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8</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5</w:t>
            </w:r>
          </w:p>
        </w:tc>
      </w:tr>
      <w:tr w:rsidR="00F04338" w:rsidRPr="00687B52" w:rsidTr="00F04338">
        <w:tc>
          <w:tcPr>
            <w:tcW w:w="903" w:type="pct"/>
            <w:gridSpan w:val="2"/>
            <w:vMerge w:val="restart"/>
            <w:vAlign w:val="center"/>
          </w:tcPr>
          <w:p w:rsidR="00F04338" w:rsidRPr="00687B52" w:rsidRDefault="00F04338" w:rsidP="003A290A">
            <w:pPr>
              <w:jc w:val="center"/>
              <w:rPr>
                <w:color w:val="000000" w:themeColor="text1"/>
              </w:rPr>
            </w:pPr>
            <w:r w:rsidRPr="00687B52">
              <w:rPr>
                <w:rFonts w:hint="eastAsia"/>
                <w:color w:val="000000" w:themeColor="text1"/>
              </w:rPr>
              <w:t>桶装液体库房</w:t>
            </w:r>
          </w:p>
        </w:tc>
        <w:tc>
          <w:tcPr>
            <w:tcW w:w="537" w:type="pct"/>
            <w:vAlign w:val="center"/>
          </w:tcPr>
          <w:p w:rsidR="00F04338" w:rsidRPr="00687B52" w:rsidRDefault="00F04338" w:rsidP="003A290A">
            <w:pPr>
              <w:jc w:val="center"/>
              <w:rPr>
                <w:color w:val="000000" w:themeColor="text1"/>
              </w:rPr>
            </w:pPr>
            <w:r w:rsidRPr="00687B52">
              <w:rPr>
                <w:rFonts w:hint="eastAsia"/>
                <w:color w:val="000000" w:themeColor="text1"/>
              </w:rPr>
              <w:t>甲</w:t>
            </w:r>
            <w:r w:rsidRPr="00687B52">
              <w:rPr>
                <w:rFonts w:hint="eastAsia"/>
                <w:color w:val="000000" w:themeColor="text1"/>
              </w:rPr>
              <w:t>B</w:t>
            </w:r>
            <w:r w:rsidRPr="00687B52">
              <w:rPr>
                <w:rFonts w:hint="eastAsia"/>
                <w:color w:val="000000" w:themeColor="text1"/>
              </w:rPr>
              <w:t>、乙</w:t>
            </w:r>
          </w:p>
        </w:tc>
        <w:tc>
          <w:tcPr>
            <w:tcW w:w="384" w:type="pct"/>
            <w:vAlign w:val="center"/>
          </w:tcPr>
          <w:p w:rsidR="00F04338" w:rsidRPr="00687B52" w:rsidRDefault="00F04338" w:rsidP="003A290A">
            <w:pPr>
              <w:jc w:val="center"/>
              <w:rPr>
                <w:color w:val="000000" w:themeColor="text1"/>
              </w:rPr>
            </w:pPr>
            <w:r w:rsidRPr="00687B52">
              <w:rPr>
                <w:rFonts w:hint="eastAsia"/>
                <w:color w:val="000000" w:themeColor="text1"/>
              </w:rPr>
              <w:t>15</w:t>
            </w:r>
          </w:p>
        </w:tc>
        <w:tc>
          <w:tcPr>
            <w:tcW w:w="355" w:type="pct"/>
            <w:vAlign w:val="center"/>
          </w:tcPr>
          <w:p w:rsidR="00F04338" w:rsidRPr="00687B52" w:rsidRDefault="00F04338" w:rsidP="003A290A">
            <w:pPr>
              <w:jc w:val="center"/>
              <w:rPr>
                <w:color w:val="000000" w:themeColor="text1"/>
              </w:rPr>
            </w:pPr>
            <w:r w:rsidRPr="00687B52">
              <w:rPr>
                <w:rFonts w:hint="eastAsia"/>
                <w:color w:val="000000" w:themeColor="text1"/>
              </w:rPr>
              <w:t>20</w:t>
            </w:r>
          </w:p>
        </w:tc>
        <w:tc>
          <w:tcPr>
            <w:tcW w:w="412" w:type="pct"/>
            <w:vAlign w:val="center"/>
          </w:tcPr>
          <w:p w:rsidR="00F04338" w:rsidRPr="00687B52" w:rsidRDefault="00F04338" w:rsidP="003A290A">
            <w:pPr>
              <w:jc w:val="center"/>
              <w:rPr>
                <w:color w:val="000000" w:themeColor="text1"/>
              </w:rPr>
            </w:pPr>
            <w:r w:rsidRPr="00687B52">
              <w:rPr>
                <w:rFonts w:hint="eastAsia"/>
                <w:color w:val="000000" w:themeColor="text1"/>
              </w:rPr>
              <w:t>15</w:t>
            </w:r>
          </w:p>
        </w:tc>
        <w:tc>
          <w:tcPr>
            <w:tcW w:w="401" w:type="pct"/>
            <w:vAlign w:val="center"/>
          </w:tcPr>
          <w:p w:rsidR="00F04338" w:rsidRPr="00687B52" w:rsidRDefault="00F04338" w:rsidP="003A290A">
            <w:pPr>
              <w:jc w:val="center"/>
              <w:rPr>
                <w:color w:val="000000" w:themeColor="text1"/>
              </w:rPr>
            </w:pPr>
            <w:r w:rsidRPr="00687B52">
              <w:rPr>
                <w:rFonts w:hint="eastAsia"/>
                <w:color w:val="000000" w:themeColor="text1"/>
              </w:rPr>
              <w:t>20</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25</w:t>
            </w:r>
          </w:p>
        </w:tc>
        <w:tc>
          <w:tcPr>
            <w:tcW w:w="500" w:type="pct"/>
            <w:vAlign w:val="center"/>
          </w:tcPr>
          <w:p w:rsidR="00F04338" w:rsidRPr="00687B52" w:rsidRDefault="00F04338" w:rsidP="003A290A">
            <w:pPr>
              <w:jc w:val="center"/>
              <w:rPr>
                <w:color w:val="000000" w:themeColor="text1"/>
              </w:rPr>
            </w:pPr>
            <w:r w:rsidRPr="00687B52">
              <w:rPr>
                <w:rFonts w:hint="eastAsia"/>
                <w:color w:val="000000" w:themeColor="text1"/>
              </w:rPr>
              <w:t>30</w:t>
            </w:r>
          </w:p>
        </w:tc>
        <w:tc>
          <w:tcPr>
            <w:tcW w:w="302" w:type="pct"/>
            <w:vAlign w:val="center"/>
          </w:tcPr>
          <w:p w:rsidR="00F04338" w:rsidRPr="00687B52" w:rsidRDefault="00F04338" w:rsidP="003A290A">
            <w:pPr>
              <w:jc w:val="center"/>
              <w:rPr>
                <w:color w:val="000000" w:themeColor="text1"/>
              </w:rPr>
            </w:pPr>
            <w:r w:rsidRPr="00687B52">
              <w:rPr>
                <w:rFonts w:hint="eastAsia"/>
                <w:color w:val="000000" w:themeColor="text1"/>
              </w:rPr>
              <w:t>30</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10</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5</w:t>
            </w:r>
          </w:p>
        </w:tc>
      </w:tr>
      <w:tr w:rsidR="00F04338" w:rsidRPr="00687B52" w:rsidTr="00F04338">
        <w:tc>
          <w:tcPr>
            <w:tcW w:w="903" w:type="pct"/>
            <w:gridSpan w:val="2"/>
            <w:vMerge/>
            <w:vAlign w:val="center"/>
          </w:tcPr>
          <w:p w:rsidR="00F04338" w:rsidRPr="00687B52" w:rsidRDefault="00F04338" w:rsidP="003A290A">
            <w:pPr>
              <w:jc w:val="center"/>
              <w:rPr>
                <w:color w:val="000000" w:themeColor="text1"/>
              </w:rPr>
            </w:pPr>
          </w:p>
        </w:tc>
        <w:tc>
          <w:tcPr>
            <w:tcW w:w="537" w:type="pct"/>
            <w:vAlign w:val="center"/>
          </w:tcPr>
          <w:p w:rsidR="00F04338" w:rsidRPr="00687B52" w:rsidRDefault="00F04338" w:rsidP="003A290A">
            <w:pPr>
              <w:jc w:val="center"/>
              <w:rPr>
                <w:color w:val="000000" w:themeColor="text1"/>
              </w:rPr>
            </w:pPr>
            <w:r w:rsidRPr="00687B52">
              <w:rPr>
                <w:rFonts w:hint="eastAsia"/>
                <w:color w:val="000000" w:themeColor="text1"/>
              </w:rPr>
              <w:t>丙</w:t>
            </w:r>
          </w:p>
        </w:tc>
        <w:tc>
          <w:tcPr>
            <w:tcW w:w="384" w:type="pct"/>
            <w:vAlign w:val="center"/>
          </w:tcPr>
          <w:p w:rsidR="00F04338" w:rsidRPr="00687B52" w:rsidRDefault="00F04338" w:rsidP="003A290A">
            <w:pPr>
              <w:jc w:val="center"/>
              <w:rPr>
                <w:color w:val="000000" w:themeColor="text1"/>
              </w:rPr>
            </w:pPr>
            <w:r w:rsidRPr="00687B52">
              <w:rPr>
                <w:rFonts w:hint="eastAsia"/>
                <w:color w:val="000000" w:themeColor="text1"/>
              </w:rPr>
              <w:t>12</w:t>
            </w:r>
          </w:p>
        </w:tc>
        <w:tc>
          <w:tcPr>
            <w:tcW w:w="355" w:type="pct"/>
            <w:vAlign w:val="center"/>
          </w:tcPr>
          <w:p w:rsidR="00F04338" w:rsidRPr="00687B52" w:rsidRDefault="00F04338" w:rsidP="003A290A">
            <w:pPr>
              <w:jc w:val="center"/>
              <w:rPr>
                <w:color w:val="000000" w:themeColor="text1"/>
              </w:rPr>
            </w:pPr>
            <w:r w:rsidRPr="00687B52">
              <w:rPr>
                <w:rFonts w:hint="eastAsia"/>
                <w:color w:val="000000" w:themeColor="text1"/>
              </w:rPr>
              <w:t>15</w:t>
            </w:r>
          </w:p>
        </w:tc>
        <w:tc>
          <w:tcPr>
            <w:tcW w:w="412" w:type="pct"/>
            <w:vAlign w:val="center"/>
          </w:tcPr>
          <w:p w:rsidR="00F04338" w:rsidRPr="00687B52" w:rsidRDefault="00F04338" w:rsidP="003A290A">
            <w:pPr>
              <w:jc w:val="center"/>
              <w:rPr>
                <w:color w:val="000000" w:themeColor="text1"/>
              </w:rPr>
            </w:pPr>
            <w:r w:rsidRPr="00687B52">
              <w:rPr>
                <w:rFonts w:hint="eastAsia"/>
                <w:color w:val="000000" w:themeColor="text1"/>
              </w:rPr>
              <w:t>10</w:t>
            </w:r>
          </w:p>
        </w:tc>
        <w:tc>
          <w:tcPr>
            <w:tcW w:w="401" w:type="pct"/>
            <w:vAlign w:val="center"/>
          </w:tcPr>
          <w:p w:rsidR="00F04338" w:rsidRPr="00687B52" w:rsidRDefault="00F04338" w:rsidP="003A290A">
            <w:pPr>
              <w:jc w:val="center"/>
              <w:rPr>
                <w:color w:val="000000" w:themeColor="text1"/>
              </w:rPr>
            </w:pPr>
            <w:r w:rsidRPr="00687B52">
              <w:rPr>
                <w:rFonts w:hint="eastAsia"/>
                <w:color w:val="000000" w:themeColor="text1"/>
              </w:rPr>
              <w:t>12</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14</w:t>
            </w:r>
          </w:p>
        </w:tc>
        <w:tc>
          <w:tcPr>
            <w:tcW w:w="500" w:type="pct"/>
            <w:vAlign w:val="center"/>
          </w:tcPr>
          <w:p w:rsidR="00F04338" w:rsidRPr="00687B52" w:rsidRDefault="00F04338" w:rsidP="003A290A">
            <w:pPr>
              <w:jc w:val="center"/>
              <w:rPr>
                <w:color w:val="000000" w:themeColor="text1"/>
              </w:rPr>
            </w:pPr>
            <w:r w:rsidRPr="00687B52">
              <w:rPr>
                <w:rFonts w:hint="eastAsia"/>
                <w:color w:val="000000" w:themeColor="text1"/>
              </w:rPr>
              <w:t>20</w:t>
            </w:r>
          </w:p>
        </w:tc>
        <w:tc>
          <w:tcPr>
            <w:tcW w:w="302" w:type="pct"/>
            <w:vAlign w:val="center"/>
          </w:tcPr>
          <w:p w:rsidR="00F04338" w:rsidRPr="00687B52" w:rsidRDefault="00F04338" w:rsidP="003A290A">
            <w:pPr>
              <w:jc w:val="center"/>
              <w:rPr>
                <w:color w:val="000000" w:themeColor="text1"/>
              </w:rPr>
            </w:pPr>
            <w:r w:rsidRPr="00687B52">
              <w:rPr>
                <w:rFonts w:hint="eastAsia"/>
                <w:color w:val="000000" w:themeColor="text1"/>
              </w:rPr>
              <w:t>15</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8</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5</w:t>
            </w:r>
          </w:p>
        </w:tc>
      </w:tr>
      <w:tr w:rsidR="00F04338" w:rsidRPr="00687B52" w:rsidTr="00F04338">
        <w:tc>
          <w:tcPr>
            <w:tcW w:w="903" w:type="pct"/>
            <w:gridSpan w:val="2"/>
            <w:vMerge w:val="restart"/>
            <w:vAlign w:val="center"/>
          </w:tcPr>
          <w:p w:rsidR="00F04338" w:rsidRPr="00687B52" w:rsidRDefault="00F04338" w:rsidP="003A290A">
            <w:pPr>
              <w:jc w:val="center"/>
              <w:rPr>
                <w:color w:val="000000" w:themeColor="text1"/>
              </w:rPr>
            </w:pPr>
            <w:r w:rsidRPr="00687B52">
              <w:rPr>
                <w:rFonts w:hint="eastAsia"/>
                <w:color w:val="000000" w:themeColor="text1"/>
              </w:rPr>
              <w:t>汽车罐车装卸设施</w:t>
            </w:r>
          </w:p>
        </w:tc>
        <w:tc>
          <w:tcPr>
            <w:tcW w:w="537" w:type="pct"/>
            <w:vAlign w:val="center"/>
          </w:tcPr>
          <w:p w:rsidR="00F04338" w:rsidRPr="00687B52" w:rsidRDefault="00F04338" w:rsidP="003A290A">
            <w:pPr>
              <w:jc w:val="center"/>
              <w:rPr>
                <w:color w:val="000000" w:themeColor="text1"/>
              </w:rPr>
            </w:pPr>
            <w:r w:rsidRPr="00687B52">
              <w:rPr>
                <w:rFonts w:hint="eastAsia"/>
                <w:color w:val="000000" w:themeColor="text1"/>
              </w:rPr>
              <w:t>甲</w:t>
            </w:r>
            <w:r w:rsidRPr="00687B52">
              <w:rPr>
                <w:rFonts w:hint="eastAsia"/>
                <w:color w:val="000000" w:themeColor="text1"/>
              </w:rPr>
              <w:t>B</w:t>
            </w:r>
            <w:r w:rsidRPr="00687B52">
              <w:rPr>
                <w:rFonts w:hint="eastAsia"/>
                <w:color w:val="000000" w:themeColor="text1"/>
              </w:rPr>
              <w:t>、乙</w:t>
            </w:r>
          </w:p>
        </w:tc>
        <w:tc>
          <w:tcPr>
            <w:tcW w:w="384" w:type="pct"/>
            <w:vAlign w:val="center"/>
          </w:tcPr>
          <w:p w:rsidR="00F04338" w:rsidRPr="00687B52" w:rsidRDefault="00F04338" w:rsidP="003A290A">
            <w:pPr>
              <w:jc w:val="center"/>
              <w:rPr>
                <w:color w:val="000000" w:themeColor="text1"/>
              </w:rPr>
            </w:pPr>
            <w:r w:rsidRPr="00687B52">
              <w:rPr>
                <w:rFonts w:hint="eastAsia"/>
                <w:color w:val="000000" w:themeColor="text1"/>
              </w:rPr>
              <w:t>14</w:t>
            </w:r>
          </w:p>
        </w:tc>
        <w:tc>
          <w:tcPr>
            <w:tcW w:w="355" w:type="pct"/>
            <w:vAlign w:val="center"/>
          </w:tcPr>
          <w:p w:rsidR="00F04338" w:rsidRPr="00687B52" w:rsidRDefault="00F04338" w:rsidP="003A290A">
            <w:pPr>
              <w:jc w:val="center"/>
              <w:rPr>
                <w:color w:val="000000" w:themeColor="text1"/>
              </w:rPr>
            </w:pPr>
            <w:r w:rsidRPr="00687B52">
              <w:rPr>
                <w:rFonts w:hint="eastAsia"/>
                <w:color w:val="000000" w:themeColor="text1"/>
              </w:rPr>
              <w:t>14</w:t>
            </w:r>
          </w:p>
        </w:tc>
        <w:tc>
          <w:tcPr>
            <w:tcW w:w="412" w:type="pct"/>
            <w:vAlign w:val="center"/>
          </w:tcPr>
          <w:p w:rsidR="00F04338" w:rsidRPr="00687B52" w:rsidRDefault="00F04338" w:rsidP="003A290A">
            <w:pPr>
              <w:jc w:val="center"/>
              <w:rPr>
                <w:color w:val="000000" w:themeColor="text1"/>
              </w:rPr>
            </w:pPr>
            <w:r w:rsidRPr="00687B52">
              <w:rPr>
                <w:rFonts w:hint="eastAsia"/>
                <w:color w:val="000000" w:themeColor="text1"/>
              </w:rPr>
              <w:t>15</w:t>
            </w:r>
          </w:p>
        </w:tc>
        <w:tc>
          <w:tcPr>
            <w:tcW w:w="401" w:type="pct"/>
            <w:vAlign w:val="center"/>
          </w:tcPr>
          <w:p w:rsidR="00F04338" w:rsidRPr="00687B52" w:rsidRDefault="00F04338" w:rsidP="003A290A">
            <w:pPr>
              <w:jc w:val="center"/>
              <w:rPr>
                <w:color w:val="000000" w:themeColor="text1"/>
              </w:rPr>
            </w:pPr>
            <w:r w:rsidRPr="00687B52">
              <w:rPr>
                <w:rFonts w:hint="eastAsia"/>
                <w:color w:val="000000" w:themeColor="text1"/>
              </w:rPr>
              <w:t>16</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18</w:t>
            </w:r>
          </w:p>
        </w:tc>
        <w:tc>
          <w:tcPr>
            <w:tcW w:w="500" w:type="pct"/>
            <w:vAlign w:val="center"/>
          </w:tcPr>
          <w:p w:rsidR="00F04338" w:rsidRPr="00687B52" w:rsidRDefault="00F04338" w:rsidP="003A290A">
            <w:pPr>
              <w:jc w:val="center"/>
              <w:rPr>
                <w:color w:val="000000" w:themeColor="text1"/>
              </w:rPr>
            </w:pPr>
            <w:r w:rsidRPr="00687B52">
              <w:rPr>
                <w:rFonts w:hint="eastAsia"/>
                <w:color w:val="000000" w:themeColor="text1"/>
              </w:rPr>
              <w:t>30</w:t>
            </w:r>
          </w:p>
        </w:tc>
        <w:tc>
          <w:tcPr>
            <w:tcW w:w="302" w:type="pct"/>
            <w:vAlign w:val="center"/>
          </w:tcPr>
          <w:p w:rsidR="00F04338" w:rsidRPr="00687B52" w:rsidRDefault="00F04338" w:rsidP="003A290A">
            <w:pPr>
              <w:jc w:val="center"/>
              <w:rPr>
                <w:color w:val="000000" w:themeColor="text1"/>
              </w:rPr>
            </w:pPr>
            <w:r w:rsidRPr="00687B52">
              <w:rPr>
                <w:rFonts w:hint="eastAsia"/>
                <w:color w:val="000000" w:themeColor="text1"/>
              </w:rPr>
              <w:t>20</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15</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15</w:t>
            </w:r>
          </w:p>
        </w:tc>
      </w:tr>
      <w:tr w:rsidR="00F04338" w:rsidRPr="00687B52" w:rsidTr="00F04338">
        <w:tc>
          <w:tcPr>
            <w:tcW w:w="903" w:type="pct"/>
            <w:gridSpan w:val="2"/>
            <w:vMerge/>
            <w:vAlign w:val="center"/>
          </w:tcPr>
          <w:p w:rsidR="00F04338" w:rsidRPr="00687B52" w:rsidRDefault="00F04338" w:rsidP="003A290A">
            <w:pPr>
              <w:jc w:val="center"/>
              <w:rPr>
                <w:color w:val="000000" w:themeColor="text1"/>
              </w:rPr>
            </w:pPr>
          </w:p>
        </w:tc>
        <w:tc>
          <w:tcPr>
            <w:tcW w:w="537" w:type="pct"/>
            <w:vAlign w:val="center"/>
          </w:tcPr>
          <w:p w:rsidR="00F04338" w:rsidRPr="00687B52" w:rsidRDefault="00F04338" w:rsidP="003A290A">
            <w:pPr>
              <w:jc w:val="center"/>
              <w:rPr>
                <w:color w:val="000000" w:themeColor="text1"/>
              </w:rPr>
            </w:pPr>
            <w:r w:rsidRPr="00687B52">
              <w:rPr>
                <w:rFonts w:hint="eastAsia"/>
                <w:color w:val="000000" w:themeColor="text1"/>
              </w:rPr>
              <w:t>丙</w:t>
            </w:r>
          </w:p>
        </w:tc>
        <w:tc>
          <w:tcPr>
            <w:tcW w:w="384" w:type="pct"/>
            <w:vAlign w:val="center"/>
          </w:tcPr>
          <w:p w:rsidR="00F04338" w:rsidRPr="00687B52" w:rsidRDefault="00F04338" w:rsidP="003A290A">
            <w:pPr>
              <w:jc w:val="center"/>
              <w:rPr>
                <w:color w:val="000000" w:themeColor="text1"/>
              </w:rPr>
            </w:pPr>
            <w:r w:rsidRPr="00687B52">
              <w:rPr>
                <w:rFonts w:hint="eastAsia"/>
                <w:color w:val="000000" w:themeColor="text1"/>
              </w:rPr>
              <w:t>10</w:t>
            </w:r>
          </w:p>
        </w:tc>
        <w:tc>
          <w:tcPr>
            <w:tcW w:w="355" w:type="pct"/>
            <w:vAlign w:val="center"/>
          </w:tcPr>
          <w:p w:rsidR="00F04338" w:rsidRPr="00687B52" w:rsidRDefault="00F04338" w:rsidP="003A290A">
            <w:pPr>
              <w:jc w:val="center"/>
              <w:rPr>
                <w:color w:val="000000" w:themeColor="text1"/>
              </w:rPr>
            </w:pPr>
            <w:r w:rsidRPr="00687B52">
              <w:rPr>
                <w:rFonts w:hint="eastAsia"/>
                <w:color w:val="000000" w:themeColor="text1"/>
              </w:rPr>
              <w:t>10</w:t>
            </w:r>
          </w:p>
        </w:tc>
        <w:tc>
          <w:tcPr>
            <w:tcW w:w="412" w:type="pct"/>
            <w:vAlign w:val="center"/>
          </w:tcPr>
          <w:p w:rsidR="00F04338" w:rsidRPr="00687B52" w:rsidRDefault="00F04338" w:rsidP="003A290A">
            <w:pPr>
              <w:jc w:val="center"/>
              <w:rPr>
                <w:color w:val="000000" w:themeColor="text1"/>
              </w:rPr>
            </w:pPr>
            <w:r w:rsidRPr="00687B52">
              <w:rPr>
                <w:rFonts w:hint="eastAsia"/>
                <w:color w:val="000000" w:themeColor="text1"/>
              </w:rPr>
              <w:t>10</w:t>
            </w:r>
          </w:p>
        </w:tc>
        <w:tc>
          <w:tcPr>
            <w:tcW w:w="401" w:type="pct"/>
            <w:vAlign w:val="center"/>
          </w:tcPr>
          <w:p w:rsidR="00F04338" w:rsidRPr="00687B52" w:rsidRDefault="00F04338" w:rsidP="003A290A">
            <w:pPr>
              <w:jc w:val="center"/>
              <w:rPr>
                <w:color w:val="000000" w:themeColor="text1"/>
              </w:rPr>
            </w:pPr>
            <w:r w:rsidRPr="00687B52">
              <w:rPr>
                <w:rFonts w:hint="eastAsia"/>
                <w:color w:val="000000" w:themeColor="text1"/>
              </w:rPr>
              <w:t>12</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14</w:t>
            </w:r>
          </w:p>
        </w:tc>
        <w:tc>
          <w:tcPr>
            <w:tcW w:w="500" w:type="pct"/>
            <w:vAlign w:val="center"/>
          </w:tcPr>
          <w:p w:rsidR="00F04338" w:rsidRPr="00687B52" w:rsidRDefault="00F04338" w:rsidP="003A290A">
            <w:pPr>
              <w:jc w:val="center"/>
              <w:rPr>
                <w:color w:val="000000" w:themeColor="text1"/>
              </w:rPr>
            </w:pPr>
            <w:r w:rsidRPr="00687B52">
              <w:rPr>
                <w:rFonts w:hint="eastAsia"/>
                <w:color w:val="000000" w:themeColor="text1"/>
              </w:rPr>
              <w:t>20</w:t>
            </w:r>
          </w:p>
        </w:tc>
        <w:tc>
          <w:tcPr>
            <w:tcW w:w="302" w:type="pct"/>
            <w:vAlign w:val="center"/>
          </w:tcPr>
          <w:p w:rsidR="00F04338" w:rsidRPr="00687B52" w:rsidRDefault="00F04338" w:rsidP="003A290A">
            <w:pPr>
              <w:jc w:val="center"/>
              <w:rPr>
                <w:color w:val="000000" w:themeColor="text1"/>
              </w:rPr>
            </w:pPr>
            <w:r w:rsidRPr="00687B52">
              <w:rPr>
                <w:rFonts w:hint="eastAsia"/>
                <w:color w:val="000000" w:themeColor="text1"/>
              </w:rPr>
              <w:t>10</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8</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5</w:t>
            </w:r>
          </w:p>
        </w:tc>
      </w:tr>
      <w:tr w:rsidR="00F04338" w:rsidRPr="00687B52" w:rsidTr="00F04338">
        <w:tc>
          <w:tcPr>
            <w:tcW w:w="903" w:type="pct"/>
            <w:gridSpan w:val="2"/>
            <w:vMerge w:val="restart"/>
            <w:vAlign w:val="center"/>
          </w:tcPr>
          <w:p w:rsidR="00F04338" w:rsidRPr="00687B52" w:rsidRDefault="00F04338" w:rsidP="003A290A">
            <w:pPr>
              <w:jc w:val="center"/>
              <w:rPr>
                <w:color w:val="000000" w:themeColor="text1"/>
              </w:rPr>
            </w:pPr>
            <w:r w:rsidRPr="00687B52">
              <w:rPr>
                <w:rFonts w:hint="eastAsia"/>
                <w:color w:val="000000" w:themeColor="text1"/>
              </w:rPr>
              <w:t>其他生产性建筑物</w:t>
            </w:r>
          </w:p>
        </w:tc>
        <w:tc>
          <w:tcPr>
            <w:tcW w:w="537" w:type="pct"/>
            <w:vAlign w:val="center"/>
          </w:tcPr>
          <w:p w:rsidR="00F04338" w:rsidRPr="00687B52" w:rsidRDefault="00F04338" w:rsidP="003A290A">
            <w:pPr>
              <w:jc w:val="center"/>
              <w:rPr>
                <w:color w:val="000000" w:themeColor="text1"/>
              </w:rPr>
            </w:pPr>
            <w:r w:rsidRPr="00687B52">
              <w:rPr>
                <w:rFonts w:hint="eastAsia"/>
                <w:color w:val="000000" w:themeColor="text1"/>
              </w:rPr>
              <w:t>甲</w:t>
            </w:r>
            <w:r w:rsidRPr="00687B52">
              <w:rPr>
                <w:rFonts w:hint="eastAsia"/>
                <w:color w:val="000000" w:themeColor="text1"/>
              </w:rPr>
              <w:t>B</w:t>
            </w:r>
            <w:r w:rsidRPr="00687B52">
              <w:rPr>
                <w:rFonts w:hint="eastAsia"/>
                <w:color w:val="000000" w:themeColor="text1"/>
              </w:rPr>
              <w:t>、乙</w:t>
            </w:r>
          </w:p>
        </w:tc>
        <w:tc>
          <w:tcPr>
            <w:tcW w:w="384" w:type="pct"/>
            <w:vAlign w:val="center"/>
          </w:tcPr>
          <w:p w:rsidR="00F04338" w:rsidRPr="00687B52" w:rsidRDefault="00F04338" w:rsidP="003A290A">
            <w:pPr>
              <w:jc w:val="center"/>
              <w:rPr>
                <w:color w:val="000000" w:themeColor="text1"/>
              </w:rPr>
            </w:pPr>
            <w:r w:rsidRPr="00687B52">
              <w:rPr>
                <w:rFonts w:hint="eastAsia"/>
                <w:color w:val="000000" w:themeColor="text1"/>
              </w:rPr>
              <w:t>12</w:t>
            </w:r>
          </w:p>
        </w:tc>
        <w:tc>
          <w:tcPr>
            <w:tcW w:w="355" w:type="pct"/>
            <w:vAlign w:val="center"/>
          </w:tcPr>
          <w:p w:rsidR="00F04338" w:rsidRPr="00687B52" w:rsidRDefault="00F04338" w:rsidP="003A290A">
            <w:pPr>
              <w:jc w:val="center"/>
              <w:rPr>
                <w:color w:val="000000" w:themeColor="text1"/>
              </w:rPr>
            </w:pPr>
            <w:r w:rsidRPr="00687B52">
              <w:rPr>
                <w:rFonts w:hint="eastAsia"/>
                <w:color w:val="000000" w:themeColor="text1"/>
              </w:rPr>
              <w:t>12</w:t>
            </w:r>
          </w:p>
        </w:tc>
        <w:tc>
          <w:tcPr>
            <w:tcW w:w="412" w:type="pct"/>
            <w:vAlign w:val="center"/>
          </w:tcPr>
          <w:p w:rsidR="00F04338" w:rsidRPr="00687B52" w:rsidRDefault="00F04338" w:rsidP="003A290A">
            <w:pPr>
              <w:jc w:val="center"/>
              <w:rPr>
                <w:color w:val="000000" w:themeColor="text1"/>
              </w:rPr>
            </w:pPr>
            <w:r w:rsidRPr="00687B52">
              <w:rPr>
                <w:rFonts w:hint="eastAsia"/>
                <w:color w:val="000000" w:themeColor="text1"/>
              </w:rPr>
              <w:t>10</w:t>
            </w:r>
          </w:p>
        </w:tc>
        <w:tc>
          <w:tcPr>
            <w:tcW w:w="401" w:type="pct"/>
            <w:vAlign w:val="center"/>
          </w:tcPr>
          <w:p w:rsidR="00F04338" w:rsidRPr="00687B52" w:rsidRDefault="00F04338" w:rsidP="003A290A">
            <w:pPr>
              <w:jc w:val="center"/>
              <w:rPr>
                <w:color w:val="000000" w:themeColor="text1"/>
              </w:rPr>
            </w:pPr>
            <w:r w:rsidRPr="00687B52">
              <w:rPr>
                <w:rFonts w:hint="eastAsia"/>
                <w:color w:val="000000" w:themeColor="text1"/>
              </w:rPr>
              <w:t>12</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14</w:t>
            </w:r>
          </w:p>
        </w:tc>
        <w:tc>
          <w:tcPr>
            <w:tcW w:w="500" w:type="pct"/>
            <w:vAlign w:val="center"/>
          </w:tcPr>
          <w:p w:rsidR="00F04338" w:rsidRPr="00687B52" w:rsidRDefault="00F04338" w:rsidP="003A290A">
            <w:pPr>
              <w:jc w:val="center"/>
              <w:rPr>
                <w:color w:val="000000" w:themeColor="text1"/>
              </w:rPr>
            </w:pPr>
            <w:r w:rsidRPr="00687B52">
              <w:rPr>
                <w:rFonts w:hint="eastAsia"/>
                <w:color w:val="000000" w:themeColor="text1"/>
              </w:rPr>
              <w:t>25</w:t>
            </w:r>
          </w:p>
        </w:tc>
        <w:tc>
          <w:tcPr>
            <w:tcW w:w="302" w:type="pct"/>
            <w:vAlign w:val="center"/>
          </w:tcPr>
          <w:p w:rsidR="00F04338" w:rsidRPr="00687B52" w:rsidRDefault="00F04338" w:rsidP="003A290A">
            <w:pPr>
              <w:jc w:val="center"/>
              <w:rPr>
                <w:color w:val="000000" w:themeColor="text1"/>
              </w:rPr>
            </w:pPr>
            <w:r w:rsidRPr="00687B52">
              <w:rPr>
                <w:rFonts w:hint="eastAsia"/>
                <w:color w:val="000000" w:themeColor="text1"/>
              </w:rPr>
              <w:t>10</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3</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3</w:t>
            </w:r>
          </w:p>
        </w:tc>
      </w:tr>
      <w:tr w:rsidR="00F04338" w:rsidRPr="00687B52" w:rsidTr="00F04338">
        <w:tc>
          <w:tcPr>
            <w:tcW w:w="903" w:type="pct"/>
            <w:gridSpan w:val="2"/>
            <w:vMerge/>
            <w:vAlign w:val="center"/>
          </w:tcPr>
          <w:p w:rsidR="00F04338" w:rsidRPr="00687B52" w:rsidRDefault="00F04338" w:rsidP="003A290A">
            <w:pPr>
              <w:jc w:val="center"/>
              <w:rPr>
                <w:color w:val="000000" w:themeColor="text1"/>
              </w:rPr>
            </w:pPr>
          </w:p>
        </w:tc>
        <w:tc>
          <w:tcPr>
            <w:tcW w:w="537" w:type="pct"/>
            <w:vAlign w:val="center"/>
          </w:tcPr>
          <w:p w:rsidR="00F04338" w:rsidRPr="00687B52" w:rsidRDefault="00F04338" w:rsidP="003A290A">
            <w:pPr>
              <w:jc w:val="center"/>
              <w:rPr>
                <w:color w:val="000000" w:themeColor="text1"/>
              </w:rPr>
            </w:pPr>
            <w:r w:rsidRPr="00687B52">
              <w:rPr>
                <w:rFonts w:hint="eastAsia"/>
                <w:color w:val="000000" w:themeColor="text1"/>
              </w:rPr>
              <w:t>丙</w:t>
            </w:r>
          </w:p>
        </w:tc>
        <w:tc>
          <w:tcPr>
            <w:tcW w:w="384" w:type="pct"/>
            <w:vAlign w:val="center"/>
          </w:tcPr>
          <w:p w:rsidR="00F04338" w:rsidRPr="00687B52" w:rsidRDefault="00F04338" w:rsidP="003A290A">
            <w:pPr>
              <w:jc w:val="center"/>
              <w:rPr>
                <w:color w:val="000000" w:themeColor="text1"/>
              </w:rPr>
            </w:pPr>
            <w:r w:rsidRPr="00687B52">
              <w:rPr>
                <w:rFonts w:hint="eastAsia"/>
                <w:color w:val="000000" w:themeColor="text1"/>
              </w:rPr>
              <w:t>9</w:t>
            </w:r>
          </w:p>
        </w:tc>
        <w:tc>
          <w:tcPr>
            <w:tcW w:w="355" w:type="pct"/>
            <w:vAlign w:val="center"/>
          </w:tcPr>
          <w:p w:rsidR="00F04338" w:rsidRPr="00687B52" w:rsidRDefault="00F04338" w:rsidP="003A290A">
            <w:pPr>
              <w:jc w:val="center"/>
              <w:rPr>
                <w:color w:val="000000" w:themeColor="text1"/>
              </w:rPr>
            </w:pPr>
            <w:r w:rsidRPr="00687B52">
              <w:rPr>
                <w:rFonts w:hint="eastAsia"/>
                <w:color w:val="000000" w:themeColor="text1"/>
              </w:rPr>
              <w:t>9</w:t>
            </w:r>
          </w:p>
        </w:tc>
        <w:tc>
          <w:tcPr>
            <w:tcW w:w="412" w:type="pct"/>
            <w:vAlign w:val="center"/>
          </w:tcPr>
          <w:p w:rsidR="00F04338" w:rsidRPr="00687B52" w:rsidRDefault="00F04338" w:rsidP="003A290A">
            <w:pPr>
              <w:jc w:val="center"/>
              <w:rPr>
                <w:color w:val="000000" w:themeColor="text1"/>
              </w:rPr>
            </w:pPr>
            <w:r w:rsidRPr="00687B52">
              <w:rPr>
                <w:rFonts w:hint="eastAsia"/>
                <w:color w:val="000000" w:themeColor="text1"/>
              </w:rPr>
              <w:t>8</w:t>
            </w:r>
          </w:p>
        </w:tc>
        <w:tc>
          <w:tcPr>
            <w:tcW w:w="401" w:type="pct"/>
            <w:vAlign w:val="center"/>
          </w:tcPr>
          <w:p w:rsidR="00F04338" w:rsidRPr="00687B52" w:rsidRDefault="00F04338" w:rsidP="003A290A">
            <w:pPr>
              <w:jc w:val="center"/>
              <w:rPr>
                <w:color w:val="000000" w:themeColor="text1"/>
              </w:rPr>
            </w:pPr>
            <w:r w:rsidRPr="00687B52">
              <w:rPr>
                <w:rFonts w:hint="eastAsia"/>
                <w:color w:val="000000" w:themeColor="text1"/>
              </w:rPr>
              <w:t>9</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10</w:t>
            </w:r>
          </w:p>
        </w:tc>
        <w:tc>
          <w:tcPr>
            <w:tcW w:w="500" w:type="pct"/>
            <w:vAlign w:val="center"/>
          </w:tcPr>
          <w:p w:rsidR="00F04338" w:rsidRPr="00687B52" w:rsidRDefault="00F04338" w:rsidP="003A290A">
            <w:pPr>
              <w:jc w:val="center"/>
              <w:rPr>
                <w:color w:val="000000" w:themeColor="text1"/>
              </w:rPr>
            </w:pPr>
            <w:r w:rsidRPr="00687B52">
              <w:rPr>
                <w:rFonts w:hint="eastAsia"/>
                <w:color w:val="000000" w:themeColor="text1"/>
              </w:rPr>
              <w:t>15</w:t>
            </w:r>
          </w:p>
        </w:tc>
        <w:tc>
          <w:tcPr>
            <w:tcW w:w="302" w:type="pct"/>
            <w:vAlign w:val="center"/>
          </w:tcPr>
          <w:p w:rsidR="00F04338" w:rsidRPr="00687B52" w:rsidRDefault="00F04338" w:rsidP="003A290A">
            <w:pPr>
              <w:jc w:val="center"/>
              <w:rPr>
                <w:color w:val="000000" w:themeColor="text1"/>
              </w:rPr>
            </w:pPr>
            <w:r w:rsidRPr="00687B52">
              <w:rPr>
                <w:rFonts w:hint="eastAsia"/>
                <w:color w:val="000000" w:themeColor="text1"/>
              </w:rPr>
              <w:t>8</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3</w:t>
            </w:r>
          </w:p>
        </w:tc>
        <w:tc>
          <w:tcPr>
            <w:tcW w:w="402" w:type="pct"/>
            <w:vAlign w:val="center"/>
          </w:tcPr>
          <w:p w:rsidR="00F04338" w:rsidRPr="00687B52" w:rsidRDefault="00F04338" w:rsidP="003A290A">
            <w:pPr>
              <w:jc w:val="center"/>
              <w:rPr>
                <w:color w:val="000000" w:themeColor="text1"/>
              </w:rPr>
            </w:pPr>
            <w:r w:rsidRPr="00687B52">
              <w:rPr>
                <w:rFonts w:hint="eastAsia"/>
                <w:color w:val="000000" w:themeColor="text1"/>
              </w:rPr>
              <w:t>3</w:t>
            </w:r>
          </w:p>
        </w:tc>
      </w:tr>
    </w:tbl>
    <w:p w:rsidR="00F04338" w:rsidRPr="00687B52" w:rsidRDefault="00F04338" w:rsidP="00F04338">
      <w:pPr>
        <w:rPr>
          <w:color w:val="000000" w:themeColor="text1"/>
        </w:rPr>
      </w:pPr>
      <w:r w:rsidRPr="00687B52">
        <w:rPr>
          <w:rFonts w:hint="eastAsia"/>
          <w:color w:val="000000" w:themeColor="text1"/>
        </w:rPr>
        <w:t>注：</w:t>
      </w:r>
      <w:r w:rsidRPr="00687B52">
        <w:rPr>
          <w:rFonts w:hint="eastAsia"/>
          <w:color w:val="000000" w:themeColor="text1"/>
        </w:rPr>
        <w:t>1</w:t>
      </w:r>
      <w:r w:rsidRPr="00687B52">
        <w:rPr>
          <w:rFonts w:hint="eastAsia"/>
          <w:color w:val="000000" w:themeColor="text1"/>
        </w:rPr>
        <w:t>当甲</w:t>
      </w:r>
      <w:r w:rsidRPr="00687B52">
        <w:rPr>
          <w:rFonts w:hint="eastAsia"/>
          <w:color w:val="000000" w:themeColor="text1"/>
        </w:rPr>
        <w:t>B</w:t>
      </w:r>
      <w:r w:rsidRPr="00687B52">
        <w:rPr>
          <w:rFonts w:hint="eastAsia"/>
          <w:color w:val="000000" w:themeColor="text1"/>
        </w:rPr>
        <w:t>、乙类易燃和可燃液体与丙类液体混存时，丙</w:t>
      </w:r>
      <w:r w:rsidRPr="00687B52">
        <w:rPr>
          <w:rFonts w:hint="eastAsia"/>
          <w:color w:val="000000" w:themeColor="text1"/>
        </w:rPr>
        <w:t>A</w:t>
      </w:r>
      <w:r w:rsidRPr="00687B52">
        <w:rPr>
          <w:rFonts w:hint="eastAsia"/>
          <w:color w:val="000000" w:themeColor="text1"/>
        </w:rPr>
        <w:t>类可燃液体可按其容量的</w:t>
      </w:r>
      <w:r w:rsidRPr="00687B52">
        <w:rPr>
          <w:rFonts w:hint="eastAsia"/>
          <w:color w:val="000000" w:themeColor="text1"/>
        </w:rPr>
        <w:t>50%</w:t>
      </w:r>
      <w:r w:rsidRPr="00687B52">
        <w:rPr>
          <w:rFonts w:hint="eastAsia"/>
          <w:color w:val="000000" w:themeColor="text1"/>
        </w:rPr>
        <w:t>折算计入储罐区总容量，丙</w:t>
      </w:r>
      <w:r w:rsidRPr="00687B52">
        <w:rPr>
          <w:rFonts w:hint="eastAsia"/>
          <w:color w:val="000000" w:themeColor="text1"/>
        </w:rPr>
        <w:t>B</w:t>
      </w:r>
      <w:r w:rsidRPr="00687B52">
        <w:rPr>
          <w:rFonts w:hint="eastAsia"/>
          <w:color w:val="000000" w:themeColor="text1"/>
        </w:rPr>
        <w:t>类可燃液体可按其容量的</w:t>
      </w:r>
      <w:r w:rsidRPr="00687B52">
        <w:rPr>
          <w:rFonts w:hint="eastAsia"/>
          <w:color w:val="000000" w:themeColor="text1"/>
        </w:rPr>
        <w:t>25%</w:t>
      </w:r>
      <w:r w:rsidRPr="00687B52">
        <w:rPr>
          <w:rFonts w:hint="eastAsia"/>
          <w:color w:val="000000" w:themeColor="text1"/>
        </w:rPr>
        <w:t>折算计入储罐区总容量。</w:t>
      </w:r>
    </w:p>
    <w:p w:rsidR="00F04338" w:rsidRPr="00687B52" w:rsidRDefault="00F04338" w:rsidP="00F04338">
      <w:pPr>
        <w:rPr>
          <w:color w:val="000000" w:themeColor="text1"/>
        </w:rPr>
      </w:pPr>
      <w:r w:rsidRPr="00687B52">
        <w:rPr>
          <w:rFonts w:hint="eastAsia"/>
          <w:color w:val="000000" w:themeColor="text1"/>
        </w:rPr>
        <w:t xml:space="preserve">    2</w:t>
      </w:r>
      <w:r w:rsidRPr="00687B52">
        <w:rPr>
          <w:rFonts w:hint="eastAsia"/>
          <w:color w:val="000000" w:themeColor="text1"/>
        </w:rPr>
        <w:t>对于埋地卧式储罐和储存丙</w:t>
      </w:r>
      <w:r w:rsidRPr="00687B52">
        <w:rPr>
          <w:rFonts w:hint="eastAsia"/>
          <w:color w:val="000000" w:themeColor="text1"/>
        </w:rPr>
        <w:t>B</w:t>
      </w:r>
      <w:r w:rsidRPr="00687B52">
        <w:rPr>
          <w:rFonts w:hint="eastAsia"/>
          <w:color w:val="000000" w:themeColor="text1"/>
        </w:rPr>
        <w:t>类可燃液体的储罐，本表距离（与场内次要道路的距离除外）可减少</w:t>
      </w:r>
      <w:r w:rsidRPr="00687B52">
        <w:rPr>
          <w:rFonts w:hint="eastAsia"/>
          <w:color w:val="000000" w:themeColor="text1"/>
        </w:rPr>
        <w:t>50%</w:t>
      </w:r>
      <w:r w:rsidRPr="00687B52">
        <w:rPr>
          <w:rFonts w:hint="eastAsia"/>
          <w:color w:val="000000" w:themeColor="text1"/>
        </w:rPr>
        <w:t>，但不得小于</w:t>
      </w:r>
      <w:r w:rsidRPr="00687B52">
        <w:rPr>
          <w:rFonts w:hint="eastAsia"/>
          <w:color w:val="000000" w:themeColor="text1"/>
        </w:rPr>
        <w:t>10m</w:t>
      </w:r>
      <w:r w:rsidRPr="00687B52">
        <w:rPr>
          <w:rFonts w:hint="eastAsia"/>
          <w:color w:val="000000" w:themeColor="text1"/>
        </w:rPr>
        <w:t>。</w:t>
      </w:r>
    </w:p>
    <w:p w:rsidR="00F04338" w:rsidRPr="00687B52" w:rsidRDefault="00F04338" w:rsidP="00F04338">
      <w:pPr>
        <w:rPr>
          <w:color w:val="000000" w:themeColor="text1"/>
        </w:rPr>
      </w:pPr>
      <w:r w:rsidRPr="00687B52">
        <w:rPr>
          <w:rFonts w:hint="eastAsia"/>
          <w:color w:val="000000" w:themeColor="text1"/>
        </w:rPr>
        <w:t xml:space="preserve">    3</w:t>
      </w:r>
      <w:r w:rsidRPr="00687B52">
        <w:rPr>
          <w:rFonts w:hint="eastAsia"/>
          <w:color w:val="000000" w:themeColor="text1"/>
        </w:rPr>
        <w:t>表中未注明的企业建（构）筑物与库内建（构）筑物的安全距离，应按现行国家标准《建筑设计防火规范》</w:t>
      </w:r>
      <w:r w:rsidRPr="00687B52">
        <w:rPr>
          <w:rFonts w:hint="eastAsia"/>
          <w:color w:val="000000" w:themeColor="text1"/>
        </w:rPr>
        <w:t>GB50016</w:t>
      </w:r>
      <w:r w:rsidRPr="00687B52">
        <w:rPr>
          <w:rFonts w:hint="eastAsia"/>
          <w:color w:val="000000" w:themeColor="text1"/>
        </w:rPr>
        <w:t>规定的防火距离执行。</w:t>
      </w:r>
    </w:p>
    <w:p w:rsidR="00F04338" w:rsidRPr="00687B52" w:rsidRDefault="00F04338" w:rsidP="00F04338">
      <w:pPr>
        <w:rPr>
          <w:color w:val="000000" w:themeColor="text1"/>
        </w:rPr>
      </w:pPr>
      <w:r w:rsidRPr="00687B52">
        <w:rPr>
          <w:rFonts w:hint="eastAsia"/>
          <w:color w:val="000000" w:themeColor="text1"/>
        </w:rPr>
        <w:t xml:space="preserve">    4</w:t>
      </w:r>
      <w:r w:rsidRPr="00687B52">
        <w:rPr>
          <w:rFonts w:hint="eastAsia"/>
          <w:color w:val="000000" w:themeColor="text1"/>
        </w:rPr>
        <w:t>企业附属石油库的甲</w:t>
      </w:r>
      <w:r w:rsidRPr="00687B52">
        <w:rPr>
          <w:rFonts w:hint="eastAsia"/>
          <w:color w:val="000000" w:themeColor="text1"/>
        </w:rPr>
        <w:t>B</w:t>
      </w:r>
      <w:r w:rsidRPr="00687B52">
        <w:rPr>
          <w:rFonts w:hint="eastAsia"/>
          <w:color w:val="000000" w:themeColor="text1"/>
        </w:rPr>
        <w:t>、乙类易燃和可燃液体储罐总容量大于</w:t>
      </w:r>
      <w:r w:rsidRPr="00687B52">
        <w:rPr>
          <w:rFonts w:hint="eastAsia"/>
          <w:color w:val="000000" w:themeColor="text1"/>
        </w:rPr>
        <w:t>5000m</w:t>
      </w:r>
      <w:r w:rsidRPr="00687B52">
        <w:rPr>
          <w:rFonts w:hint="eastAsia"/>
          <w:color w:val="000000" w:themeColor="text1"/>
          <w:vertAlign w:val="superscript"/>
        </w:rPr>
        <w:t>3</w:t>
      </w:r>
      <w:r w:rsidRPr="00687B52">
        <w:rPr>
          <w:rFonts w:hint="eastAsia"/>
          <w:color w:val="000000" w:themeColor="text1"/>
        </w:rPr>
        <w:t>，丙</w:t>
      </w:r>
      <w:r w:rsidRPr="00687B52">
        <w:rPr>
          <w:rFonts w:hint="eastAsia"/>
          <w:color w:val="000000" w:themeColor="text1"/>
        </w:rPr>
        <w:t>A</w:t>
      </w:r>
      <w:r w:rsidRPr="00687B52">
        <w:rPr>
          <w:rFonts w:hint="eastAsia"/>
          <w:color w:val="000000" w:themeColor="text1"/>
        </w:rPr>
        <w:t>类可燃液体储罐总容量大于</w:t>
      </w:r>
      <w:r w:rsidRPr="00687B52">
        <w:rPr>
          <w:rFonts w:hint="eastAsia"/>
          <w:color w:val="000000" w:themeColor="text1"/>
        </w:rPr>
        <w:t>25000m</w:t>
      </w:r>
      <w:r w:rsidRPr="00687B52">
        <w:rPr>
          <w:rFonts w:hint="eastAsia"/>
          <w:color w:val="000000" w:themeColor="text1"/>
          <w:vertAlign w:val="superscript"/>
        </w:rPr>
        <w:t>3</w:t>
      </w:r>
      <w:r w:rsidRPr="00687B52">
        <w:rPr>
          <w:rFonts w:hint="eastAsia"/>
          <w:color w:val="000000" w:themeColor="text1"/>
        </w:rPr>
        <w:t>时，企业附属石油库与本企业建（构）筑物、交通线等安全距离，应符合</w:t>
      </w:r>
      <w:r w:rsidRPr="00687B52">
        <w:rPr>
          <w:rFonts w:hint="eastAsia"/>
          <w:color w:val="000000" w:themeColor="text1"/>
        </w:rPr>
        <w:t>4.0.10</w:t>
      </w:r>
      <w:r w:rsidRPr="00687B52">
        <w:rPr>
          <w:rFonts w:hint="eastAsia"/>
          <w:color w:val="000000" w:themeColor="text1"/>
        </w:rPr>
        <w:t>条的规定。</w:t>
      </w:r>
    </w:p>
    <w:p w:rsidR="00F04338" w:rsidRPr="00687B52" w:rsidRDefault="00F04338" w:rsidP="00F04338">
      <w:pPr>
        <w:rPr>
          <w:rFonts w:ascii="宋体" w:eastAsia="宋体" w:hAnsi="宋体"/>
          <w:b/>
          <w:color w:val="000000" w:themeColor="text1"/>
          <w:w w:val="90"/>
          <w:sz w:val="28"/>
          <w:szCs w:val="28"/>
        </w:rPr>
      </w:pPr>
      <w:r w:rsidRPr="00687B52">
        <w:rPr>
          <w:rFonts w:hint="eastAsia"/>
          <w:color w:val="000000" w:themeColor="text1"/>
        </w:rPr>
        <w:t xml:space="preserve">    5</w:t>
      </w:r>
      <w:r w:rsidRPr="00687B52">
        <w:rPr>
          <w:rFonts w:hint="eastAsia"/>
          <w:color w:val="000000" w:themeColor="text1"/>
        </w:rPr>
        <w:t>企业附属石油库仅储存丙</w:t>
      </w:r>
      <w:r w:rsidRPr="00687B52">
        <w:rPr>
          <w:rFonts w:hint="eastAsia"/>
          <w:color w:val="000000" w:themeColor="text1"/>
        </w:rPr>
        <w:t>B</w:t>
      </w:r>
      <w:r w:rsidRPr="00687B52">
        <w:rPr>
          <w:rFonts w:hint="eastAsia"/>
          <w:color w:val="000000" w:themeColor="text1"/>
        </w:rPr>
        <w:t>类可燃液体时，可不受本表限制。</w:t>
      </w:r>
    </w:p>
    <w:p w:rsidR="00F04338" w:rsidRPr="00687B52" w:rsidRDefault="00F04338" w:rsidP="00F04338">
      <w:pPr>
        <w:ind w:left="210" w:hangingChars="100" w:hanging="210"/>
        <w:jc w:val="left"/>
        <w:rPr>
          <w:color w:val="000000" w:themeColor="text1"/>
        </w:rPr>
        <w:sectPr w:rsidR="00F04338" w:rsidRPr="00687B52" w:rsidSect="00F04338">
          <w:pgSz w:w="11906" w:h="16838"/>
          <w:pgMar w:top="1797" w:right="1440" w:bottom="1797" w:left="1440" w:header="851" w:footer="907" w:gutter="0"/>
          <w:cols w:space="425"/>
          <w:docGrid w:type="lines" w:linePitch="312"/>
        </w:sectPr>
      </w:pPr>
    </w:p>
    <w:p w:rsidR="00481EDB" w:rsidRPr="00687B52" w:rsidRDefault="00481EDB" w:rsidP="00856B6C">
      <w:pPr>
        <w:pStyle w:val="afd"/>
        <w:rPr>
          <w:color w:val="000000" w:themeColor="text1"/>
        </w:rPr>
      </w:pPr>
      <w:bookmarkStart w:id="267" w:name="_Toc492563491"/>
      <w:bookmarkStart w:id="268" w:name="_Toc493857093"/>
      <w:r w:rsidRPr="00687B52">
        <w:rPr>
          <w:rFonts w:hint="eastAsia"/>
          <w:color w:val="000000" w:themeColor="text1"/>
        </w:rPr>
        <w:t>表</w:t>
      </w:r>
      <w:r w:rsidRPr="00687B52">
        <w:rPr>
          <w:rFonts w:hint="eastAsia"/>
          <w:color w:val="000000" w:themeColor="text1"/>
        </w:rPr>
        <w:t xml:space="preserve">5.1.3 </w:t>
      </w:r>
      <w:r w:rsidRPr="00687B52">
        <w:rPr>
          <w:rFonts w:hint="eastAsia"/>
          <w:color w:val="000000" w:themeColor="text1"/>
        </w:rPr>
        <w:t>石油库内建（构）筑物、设施之间的防火距离</w:t>
      </w:r>
      <w:bookmarkEnd w:id="263"/>
      <w:bookmarkEnd w:id="267"/>
      <w:bookmarkEnd w:id="268"/>
    </w:p>
    <w:tbl>
      <w:tblPr>
        <w:tblStyle w:val="a6"/>
        <w:tblW w:w="14715" w:type="dxa"/>
        <w:tblInd w:w="-585" w:type="dxa"/>
        <w:tblLayout w:type="fixed"/>
        <w:tblLook w:val="04A0" w:firstRow="1" w:lastRow="0" w:firstColumn="1" w:lastColumn="0" w:noHBand="0" w:noVBand="1"/>
      </w:tblPr>
      <w:tblGrid>
        <w:gridCol w:w="495"/>
        <w:gridCol w:w="690"/>
        <w:gridCol w:w="137"/>
        <w:gridCol w:w="709"/>
        <w:gridCol w:w="567"/>
        <w:gridCol w:w="425"/>
        <w:gridCol w:w="567"/>
        <w:gridCol w:w="490"/>
        <w:gridCol w:w="510"/>
        <w:gridCol w:w="435"/>
        <w:gridCol w:w="495"/>
        <w:gridCol w:w="15"/>
        <w:gridCol w:w="480"/>
        <w:gridCol w:w="435"/>
        <w:gridCol w:w="15"/>
        <w:gridCol w:w="480"/>
        <w:gridCol w:w="465"/>
        <w:gridCol w:w="435"/>
        <w:gridCol w:w="495"/>
        <w:gridCol w:w="495"/>
        <w:gridCol w:w="435"/>
        <w:gridCol w:w="495"/>
        <w:gridCol w:w="465"/>
        <w:gridCol w:w="510"/>
        <w:gridCol w:w="780"/>
        <w:gridCol w:w="525"/>
        <w:gridCol w:w="660"/>
        <w:gridCol w:w="435"/>
        <w:gridCol w:w="514"/>
        <w:gridCol w:w="611"/>
        <w:gridCol w:w="450"/>
      </w:tblGrid>
      <w:tr w:rsidR="00D40D8D" w:rsidRPr="00687B52" w:rsidTr="00D40D8D">
        <w:tc>
          <w:tcPr>
            <w:tcW w:w="495" w:type="dxa"/>
            <w:vMerge w:val="restart"/>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序号</w:t>
            </w:r>
          </w:p>
        </w:tc>
        <w:tc>
          <w:tcPr>
            <w:tcW w:w="1536" w:type="dxa"/>
            <w:gridSpan w:val="3"/>
            <w:vMerge w:val="restart"/>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建（构）筑物和设施名称</w:t>
            </w:r>
          </w:p>
        </w:tc>
        <w:tc>
          <w:tcPr>
            <w:tcW w:w="992" w:type="dxa"/>
            <w:gridSpan w:val="2"/>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易燃和可燃液体</w:t>
            </w:r>
          </w:p>
        </w:tc>
        <w:tc>
          <w:tcPr>
            <w:tcW w:w="1057" w:type="dxa"/>
            <w:gridSpan w:val="2"/>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灌桶间</w:t>
            </w:r>
          </w:p>
        </w:tc>
        <w:tc>
          <w:tcPr>
            <w:tcW w:w="945" w:type="dxa"/>
            <w:gridSpan w:val="2"/>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汽车罐车装卸设施</w:t>
            </w:r>
          </w:p>
        </w:tc>
        <w:tc>
          <w:tcPr>
            <w:tcW w:w="990" w:type="dxa"/>
            <w:gridSpan w:val="3"/>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铁路罐车装卸设施</w:t>
            </w:r>
          </w:p>
        </w:tc>
        <w:tc>
          <w:tcPr>
            <w:tcW w:w="930" w:type="dxa"/>
            <w:gridSpan w:val="3"/>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液体装卸码头</w:t>
            </w:r>
          </w:p>
        </w:tc>
        <w:tc>
          <w:tcPr>
            <w:tcW w:w="900" w:type="dxa"/>
            <w:gridSpan w:val="2"/>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桶装液体库房</w:t>
            </w:r>
          </w:p>
        </w:tc>
        <w:tc>
          <w:tcPr>
            <w:tcW w:w="990" w:type="dxa"/>
            <w:gridSpan w:val="2"/>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隔油池</w:t>
            </w:r>
          </w:p>
        </w:tc>
        <w:tc>
          <w:tcPr>
            <w:tcW w:w="435" w:type="dxa"/>
            <w:vMerge w:val="restart"/>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消防车库、消防泵房</w:t>
            </w:r>
          </w:p>
        </w:tc>
        <w:tc>
          <w:tcPr>
            <w:tcW w:w="960" w:type="dxa"/>
            <w:gridSpan w:val="2"/>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露天变配电所变压器、柴油发电机间</w:t>
            </w:r>
          </w:p>
        </w:tc>
        <w:tc>
          <w:tcPr>
            <w:tcW w:w="510" w:type="dxa"/>
            <w:vMerge w:val="restart"/>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独立变配电间</w:t>
            </w:r>
          </w:p>
        </w:tc>
        <w:tc>
          <w:tcPr>
            <w:tcW w:w="780" w:type="dxa"/>
            <w:vMerge w:val="restart"/>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办公用房、中心控制室、宿舍、食堂等人员集中场所</w:t>
            </w:r>
          </w:p>
          <w:p w:rsidR="00D40D8D" w:rsidRPr="00687B52" w:rsidRDefault="00D40D8D" w:rsidP="009438F5">
            <w:pPr>
              <w:spacing w:line="240" w:lineRule="exact"/>
              <w:jc w:val="center"/>
              <w:rPr>
                <w:color w:val="000000" w:themeColor="text1"/>
                <w:sz w:val="18"/>
                <w:szCs w:val="18"/>
              </w:rPr>
            </w:pPr>
          </w:p>
        </w:tc>
        <w:tc>
          <w:tcPr>
            <w:tcW w:w="525" w:type="dxa"/>
            <w:vMerge w:val="restart"/>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铁路机车走行线</w:t>
            </w:r>
          </w:p>
          <w:p w:rsidR="00D40D8D" w:rsidRPr="00687B52" w:rsidRDefault="00D40D8D" w:rsidP="009438F5">
            <w:pPr>
              <w:spacing w:line="240" w:lineRule="exact"/>
              <w:jc w:val="center"/>
              <w:rPr>
                <w:color w:val="000000" w:themeColor="text1"/>
                <w:sz w:val="18"/>
                <w:szCs w:val="18"/>
              </w:rPr>
            </w:pPr>
          </w:p>
        </w:tc>
        <w:tc>
          <w:tcPr>
            <w:tcW w:w="660" w:type="dxa"/>
            <w:vMerge w:val="restart"/>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有明火及散发火花的建（构）筑物及地点</w:t>
            </w:r>
          </w:p>
          <w:p w:rsidR="00D40D8D" w:rsidRPr="00687B52" w:rsidRDefault="00D40D8D" w:rsidP="009438F5">
            <w:pPr>
              <w:spacing w:line="240" w:lineRule="exact"/>
              <w:jc w:val="center"/>
              <w:rPr>
                <w:color w:val="000000" w:themeColor="text1"/>
                <w:sz w:val="18"/>
                <w:szCs w:val="18"/>
              </w:rPr>
            </w:pPr>
          </w:p>
        </w:tc>
        <w:tc>
          <w:tcPr>
            <w:tcW w:w="435" w:type="dxa"/>
            <w:vMerge w:val="restart"/>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油</w:t>
            </w:r>
          </w:p>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罐车库</w:t>
            </w:r>
          </w:p>
          <w:p w:rsidR="00D40D8D" w:rsidRPr="00687B52" w:rsidRDefault="00D40D8D" w:rsidP="009438F5">
            <w:pPr>
              <w:spacing w:line="240" w:lineRule="exact"/>
              <w:jc w:val="center"/>
              <w:rPr>
                <w:color w:val="000000" w:themeColor="text1"/>
                <w:sz w:val="18"/>
                <w:szCs w:val="18"/>
              </w:rPr>
            </w:pPr>
          </w:p>
        </w:tc>
        <w:tc>
          <w:tcPr>
            <w:tcW w:w="514" w:type="dxa"/>
            <w:vMerge w:val="restart"/>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库区围墙</w:t>
            </w:r>
          </w:p>
          <w:p w:rsidR="00D40D8D" w:rsidRPr="00687B52" w:rsidRDefault="00D40D8D" w:rsidP="009438F5">
            <w:pPr>
              <w:spacing w:line="240" w:lineRule="exact"/>
              <w:jc w:val="center"/>
              <w:rPr>
                <w:color w:val="000000" w:themeColor="text1"/>
                <w:sz w:val="18"/>
                <w:szCs w:val="18"/>
              </w:rPr>
            </w:pPr>
          </w:p>
        </w:tc>
        <w:tc>
          <w:tcPr>
            <w:tcW w:w="611" w:type="dxa"/>
            <w:vMerge w:val="restart"/>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其他建构筑物</w:t>
            </w:r>
          </w:p>
          <w:p w:rsidR="00D40D8D" w:rsidRPr="00687B52" w:rsidRDefault="00D40D8D" w:rsidP="009438F5">
            <w:pPr>
              <w:spacing w:line="240" w:lineRule="exact"/>
              <w:jc w:val="center"/>
              <w:rPr>
                <w:color w:val="000000" w:themeColor="text1"/>
                <w:sz w:val="18"/>
                <w:szCs w:val="18"/>
              </w:rPr>
            </w:pPr>
          </w:p>
        </w:tc>
        <w:tc>
          <w:tcPr>
            <w:tcW w:w="450" w:type="dxa"/>
            <w:vMerge w:val="restart"/>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河（海）岸边</w:t>
            </w:r>
          </w:p>
          <w:p w:rsidR="00D40D8D" w:rsidRPr="00687B52" w:rsidRDefault="00D40D8D" w:rsidP="009438F5">
            <w:pPr>
              <w:spacing w:line="240" w:lineRule="exact"/>
              <w:jc w:val="center"/>
              <w:rPr>
                <w:color w:val="000000" w:themeColor="text1"/>
                <w:sz w:val="18"/>
                <w:szCs w:val="18"/>
              </w:rPr>
            </w:pPr>
          </w:p>
        </w:tc>
      </w:tr>
      <w:tr w:rsidR="00D40D8D" w:rsidRPr="00687B52" w:rsidTr="00D40D8D">
        <w:tc>
          <w:tcPr>
            <w:tcW w:w="495" w:type="dxa"/>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1536" w:type="dxa"/>
            <w:gridSpan w:val="3"/>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567"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甲</w:t>
            </w:r>
            <w:r w:rsidRPr="00687B52">
              <w:rPr>
                <w:rFonts w:hint="eastAsia"/>
                <w:color w:val="000000" w:themeColor="text1"/>
                <w:sz w:val="18"/>
                <w:szCs w:val="18"/>
                <w:vertAlign w:val="subscript"/>
              </w:rPr>
              <w:t>B</w:t>
            </w:r>
            <w:r w:rsidRPr="00687B52">
              <w:rPr>
                <w:rFonts w:hint="eastAsia"/>
                <w:color w:val="000000" w:themeColor="text1"/>
                <w:sz w:val="18"/>
                <w:szCs w:val="18"/>
              </w:rPr>
              <w:t>、乙类液体</w:t>
            </w:r>
          </w:p>
        </w:tc>
        <w:tc>
          <w:tcPr>
            <w:tcW w:w="42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丙类液体</w:t>
            </w:r>
          </w:p>
        </w:tc>
        <w:tc>
          <w:tcPr>
            <w:tcW w:w="567"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甲</w:t>
            </w:r>
            <w:r w:rsidRPr="00687B52">
              <w:rPr>
                <w:rFonts w:hint="eastAsia"/>
                <w:color w:val="000000" w:themeColor="text1"/>
                <w:sz w:val="18"/>
                <w:szCs w:val="18"/>
                <w:vertAlign w:val="subscript"/>
              </w:rPr>
              <w:t>B</w:t>
            </w:r>
            <w:r w:rsidRPr="00687B52">
              <w:rPr>
                <w:rFonts w:hint="eastAsia"/>
                <w:color w:val="000000" w:themeColor="text1"/>
                <w:sz w:val="18"/>
                <w:szCs w:val="18"/>
              </w:rPr>
              <w:t>、乙类液体</w:t>
            </w:r>
          </w:p>
        </w:tc>
        <w:tc>
          <w:tcPr>
            <w:tcW w:w="490"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丙类液体</w:t>
            </w:r>
          </w:p>
        </w:tc>
        <w:tc>
          <w:tcPr>
            <w:tcW w:w="510"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甲</w:t>
            </w:r>
            <w:r w:rsidRPr="00687B52">
              <w:rPr>
                <w:rFonts w:hint="eastAsia"/>
                <w:color w:val="000000" w:themeColor="text1"/>
                <w:sz w:val="18"/>
                <w:szCs w:val="18"/>
                <w:vertAlign w:val="subscript"/>
              </w:rPr>
              <w:t>B</w:t>
            </w:r>
            <w:r w:rsidRPr="00687B52">
              <w:rPr>
                <w:rFonts w:hint="eastAsia"/>
                <w:color w:val="000000" w:themeColor="text1"/>
                <w:sz w:val="18"/>
                <w:szCs w:val="18"/>
              </w:rPr>
              <w:t>、乙类液体</w:t>
            </w:r>
          </w:p>
        </w:tc>
        <w:tc>
          <w:tcPr>
            <w:tcW w:w="43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丙类液体</w:t>
            </w:r>
          </w:p>
        </w:tc>
        <w:tc>
          <w:tcPr>
            <w:tcW w:w="510" w:type="dxa"/>
            <w:gridSpan w:val="2"/>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甲</w:t>
            </w:r>
            <w:r w:rsidRPr="00687B52">
              <w:rPr>
                <w:rFonts w:hint="eastAsia"/>
                <w:color w:val="000000" w:themeColor="text1"/>
                <w:sz w:val="18"/>
                <w:szCs w:val="18"/>
                <w:vertAlign w:val="subscript"/>
              </w:rPr>
              <w:t>B</w:t>
            </w:r>
            <w:r w:rsidRPr="00687B52">
              <w:rPr>
                <w:rFonts w:hint="eastAsia"/>
                <w:color w:val="000000" w:themeColor="text1"/>
                <w:sz w:val="18"/>
                <w:szCs w:val="18"/>
              </w:rPr>
              <w:t>、乙类液体</w:t>
            </w:r>
          </w:p>
        </w:tc>
        <w:tc>
          <w:tcPr>
            <w:tcW w:w="480"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丙类液体</w:t>
            </w:r>
          </w:p>
        </w:tc>
        <w:tc>
          <w:tcPr>
            <w:tcW w:w="450" w:type="dxa"/>
            <w:gridSpan w:val="2"/>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甲</w:t>
            </w:r>
            <w:r w:rsidRPr="00687B52">
              <w:rPr>
                <w:rFonts w:hint="eastAsia"/>
                <w:color w:val="000000" w:themeColor="text1"/>
                <w:sz w:val="18"/>
                <w:szCs w:val="18"/>
                <w:vertAlign w:val="subscript"/>
              </w:rPr>
              <w:t>B</w:t>
            </w:r>
            <w:r w:rsidRPr="00687B52">
              <w:rPr>
                <w:rFonts w:hint="eastAsia"/>
                <w:color w:val="000000" w:themeColor="text1"/>
                <w:sz w:val="18"/>
                <w:szCs w:val="18"/>
              </w:rPr>
              <w:t>、乙类液体</w:t>
            </w:r>
          </w:p>
        </w:tc>
        <w:tc>
          <w:tcPr>
            <w:tcW w:w="480"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丙类液体</w:t>
            </w:r>
          </w:p>
        </w:tc>
        <w:tc>
          <w:tcPr>
            <w:tcW w:w="46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甲</w:t>
            </w:r>
            <w:r w:rsidRPr="00687B52">
              <w:rPr>
                <w:rFonts w:hint="eastAsia"/>
                <w:color w:val="000000" w:themeColor="text1"/>
                <w:sz w:val="18"/>
                <w:szCs w:val="18"/>
                <w:vertAlign w:val="subscript"/>
              </w:rPr>
              <w:t>B</w:t>
            </w:r>
            <w:r w:rsidRPr="00687B52">
              <w:rPr>
                <w:rFonts w:hint="eastAsia"/>
                <w:color w:val="000000" w:themeColor="text1"/>
                <w:sz w:val="18"/>
                <w:szCs w:val="18"/>
              </w:rPr>
              <w:t>、乙类液体</w:t>
            </w:r>
          </w:p>
        </w:tc>
        <w:tc>
          <w:tcPr>
            <w:tcW w:w="43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丙类液体</w:t>
            </w:r>
          </w:p>
        </w:tc>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150</w:t>
            </w:r>
          </w:p>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m</w:t>
            </w:r>
            <w:r w:rsidRPr="00687B52">
              <w:rPr>
                <w:rFonts w:hint="eastAsia"/>
                <w:color w:val="000000" w:themeColor="text1"/>
                <w:sz w:val="18"/>
                <w:szCs w:val="18"/>
                <w:vertAlign w:val="superscript"/>
              </w:rPr>
              <w:t>3</w:t>
            </w:r>
            <w:r w:rsidRPr="00687B52">
              <w:rPr>
                <w:rFonts w:hint="eastAsia"/>
                <w:color w:val="000000" w:themeColor="text1"/>
                <w:sz w:val="18"/>
                <w:szCs w:val="18"/>
              </w:rPr>
              <w:t>及以下</w:t>
            </w:r>
          </w:p>
        </w:tc>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150</w:t>
            </w:r>
          </w:p>
          <w:p w:rsidR="00D40D8D" w:rsidRPr="00687B52" w:rsidRDefault="00D40D8D" w:rsidP="009438F5">
            <w:pPr>
              <w:spacing w:line="240" w:lineRule="exact"/>
              <w:jc w:val="center"/>
              <w:rPr>
                <w:color w:val="000000" w:themeColor="text1"/>
                <w:sz w:val="18"/>
                <w:szCs w:val="18"/>
              </w:rPr>
            </w:pPr>
            <w:r w:rsidRPr="00687B52">
              <w:rPr>
                <w:color w:val="000000" w:themeColor="text1"/>
                <w:sz w:val="18"/>
                <w:szCs w:val="18"/>
              </w:rPr>
              <w:t>m</w:t>
            </w:r>
            <w:r w:rsidRPr="00687B52">
              <w:rPr>
                <w:rFonts w:hint="eastAsia"/>
                <w:color w:val="000000" w:themeColor="text1"/>
                <w:sz w:val="18"/>
                <w:szCs w:val="18"/>
                <w:vertAlign w:val="superscript"/>
              </w:rPr>
              <w:t>3</w:t>
            </w:r>
            <w:r w:rsidRPr="00687B52">
              <w:rPr>
                <w:rFonts w:hint="eastAsia"/>
                <w:color w:val="000000" w:themeColor="text1"/>
                <w:sz w:val="18"/>
                <w:szCs w:val="18"/>
              </w:rPr>
              <w:t>及以上</w:t>
            </w:r>
          </w:p>
        </w:tc>
        <w:tc>
          <w:tcPr>
            <w:tcW w:w="435" w:type="dxa"/>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10kv</w:t>
            </w:r>
            <w:r w:rsidRPr="00687B52">
              <w:rPr>
                <w:rFonts w:hint="eastAsia"/>
                <w:color w:val="000000" w:themeColor="text1"/>
                <w:sz w:val="18"/>
                <w:szCs w:val="18"/>
              </w:rPr>
              <w:t>及以下</w:t>
            </w:r>
          </w:p>
        </w:tc>
        <w:tc>
          <w:tcPr>
            <w:tcW w:w="46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10kv</w:t>
            </w:r>
            <w:r w:rsidRPr="00687B52">
              <w:rPr>
                <w:rFonts w:hint="eastAsia"/>
                <w:color w:val="000000" w:themeColor="text1"/>
                <w:sz w:val="18"/>
                <w:szCs w:val="18"/>
              </w:rPr>
              <w:t>及以上</w:t>
            </w:r>
          </w:p>
        </w:tc>
        <w:tc>
          <w:tcPr>
            <w:tcW w:w="510" w:type="dxa"/>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780" w:type="dxa"/>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525" w:type="dxa"/>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660" w:type="dxa"/>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435" w:type="dxa"/>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514" w:type="dxa"/>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611" w:type="dxa"/>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450" w:type="dxa"/>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r>
      <w:tr w:rsidR="00D40D8D" w:rsidRPr="00687B52" w:rsidTr="00D40D8D">
        <w:tc>
          <w:tcPr>
            <w:tcW w:w="495" w:type="dxa"/>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1536" w:type="dxa"/>
            <w:gridSpan w:val="3"/>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4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9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13</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14</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51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16</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17</w:t>
            </w:r>
          </w:p>
        </w:tc>
        <w:tc>
          <w:tcPr>
            <w:tcW w:w="45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18</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19</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21</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22</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23</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24</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26</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27</w:t>
            </w:r>
          </w:p>
        </w:tc>
        <w:tc>
          <w:tcPr>
            <w:tcW w:w="7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28</w:t>
            </w:r>
          </w:p>
        </w:tc>
        <w:tc>
          <w:tcPr>
            <w:tcW w:w="5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29</w:t>
            </w:r>
          </w:p>
        </w:tc>
        <w:tc>
          <w:tcPr>
            <w:tcW w:w="66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31</w:t>
            </w:r>
          </w:p>
        </w:tc>
        <w:tc>
          <w:tcPr>
            <w:tcW w:w="514"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32</w:t>
            </w:r>
          </w:p>
        </w:tc>
        <w:tc>
          <w:tcPr>
            <w:tcW w:w="611"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33</w:t>
            </w:r>
          </w:p>
        </w:tc>
        <w:tc>
          <w:tcPr>
            <w:tcW w:w="45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34</w:t>
            </w:r>
          </w:p>
        </w:tc>
      </w:tr>
      <w:tr w:rsidR="00D40D8D" w:rsidRPr="00687B52" w:rsidTr="00D40D8D">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1</w:t>
            </w:r>
          </w:p>
        </w:tc>
        <w:tc>
          <w:tcPr>
            <w:tcW w:w="827" w:type="dxa"/>
            <w:gridSpan w:val="2"/>
            <w:vMerge w:val="restart"/>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外浮顶储罐、内浮顶储罐、覆土立式油罐、储存丙类液体的立式固定顶储罐</w:t>
            </w:r>
          </w:p>
        </w:tc>
        <w:tc>
          <w:tcPr>
            <w:tcW w:w="709"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ascii="宋体" w:eastAsia="宋体" w:hAnsi="宋体" w:cs="宋体" w:hint="eastAsia"/>
                <w:color w:val="000000" w:themeColor="text1"/>
                <w:sz w:val="18"/>
                <w:szCs w:val="18"/>
              </w:rPr>
              <w:t>V</w:t>
            </w:r>
            <w:r w:rsidRPr="00687B52">
              <w:rPr>
                <w:rFonts w:hint="eastAsia"/>
                <w:color w:val="000000" w:themeColor="text1"/>
              </w:rPr>
              <w:t>≥</w:t>
            </w:r>
            <w:r w:rsidRPr="00687B52">
              <w:rPr>
                <w:rFonts w:ascii="宋体" w:eastAsia="宋体" w:hAnsi="宋体" w:cs="宋体" w:hint="eastAsia"/>
                <w:color w:val="000000" w:themeColor="text1"/>
                <w:sz w:val="18"/>
                <w:szCs w:val="18"/>
              </w:rPr>
              <w:t>50000</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c>
          <w:tcPr>
            <w:tcW w:w="49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30/23</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23</w:t>
            </w:r>
          </w:p>
        </w:tc>
        <w:tc>
          <w:tcPr>
            <w:tcW w:w="51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30/23</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23</w:t>
            </w:r>
          </w:p>
        </w:tc>
        <w:tc>
          <w:tcPr>
            <w:tcW w:w="45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50</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35</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40</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40</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50</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40</w:t>
            </w:r>
          </w:p>
        </w:tc>
        <w:tc>
          <w:tcPr>
            <w:tcW w:w="7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60</w:t>
            </w:r>
          </w:p>
        </w:tc>
        <w:tc>
          <w:tcPr>
            <w:tcW w:w="5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35</w:t>
            </w:r>
          </w:p>
        </w:tc>
        <w:tc>
          <w:tcPr>
            <w:tcW w:w="66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28</w:t>
            </w:r>
          </w:p>
        </w:tc>
        <w:tc>
          <w:tcPr>
            <w:tcW w:w="514"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611"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45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r>
      <w:tr w:rsidR="00D40D8D" w:rsidRPr="00687B52" w:rsidTr="00D40D8D">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2</w:t>
            </w:r>
          </w:p>
        </w:tc>
        <w:tc>
          <w:tcPr>
            <w:tcW w:w="827" w:type="dxa"/>
            <w:gridSpan w:val="2"/>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709"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5000＜V＜50000</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19</w:t>
            </w:r>
          </w:p>
        </w:tc>
        <w:tc>
          <w:tcPr>
            <w:tcW w:w="49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51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20/15</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5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35</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19</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23</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26</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7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38</w:t>
            </w:r>
          </w:p>
        </w:tc>
        <w:tc>
          <w:tcPr>
            <w:tcW w:w="5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19</w:t>
            </w:r>
          </w:p>
        </w:tc>
        <w:tc>
          <w:tcPr>
            <w:tcW w:w="66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26</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23</w:t>
            </w:r>
          </w:p>
        </w:tc>
        <w:tc>
          <w:tcPr>
            <w:tcW w:w="514"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611"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19</w:t>
            </w:r>
          </w:p>
        </w:tc>
        <w:tc>
          <w:tcPr>
            <w:tcW w:w="45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r>
      <w:tr w:rsidR="00D40D8D" w:rsidRPr="00687B52" w:rsidTr="00D40D8D">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3</w:t>
            </w:r>
          </w:p>
        </w:tc>
        <w:tc>
          <w:tcPr>
            <w:tcW w:w="827" w:type="dxa"/>
            <w:gridSpan w:val="2"/>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709"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1000＜V≤5000</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9</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9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51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5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23</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19</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23</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19</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23</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19</w:t>
            </w:r>
          </w:p>
        </w:tc>
        <w:tc>
          <w:tcPr>
            <w:tcW w:w="7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c>
          <w:tcPr>
            <w:tcW w:w="5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19</w:t>
            </w:r>
          </w:p>
        </w:tc>
        <w:tc>
          <w:tcPr>
            <w:tcW w:w="66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26</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19</w:t>
            </w:r>
          </w:p>
        </w:tc>
        <w:tc>
          <w:tcPr>
            <w:tcW w:w="514"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7.5</w:t>
            </w:r>
          </w:p>
        </w:tc>
        <w:tc>
          <w:tcPr>
            <w:tcW w:w="611"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5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r>
      <w:tr w:rsidR="00D40D8D" w:rsidRPr="00687B52" w:rsidTr="00D40D8D">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4</w:t>
            </w:r>
          </w:p>
        </w:tc>
        <w:tc>
          <w:tcPr>
            <w:tcW w:w="827" w:type="dxa"/>
            <w:gridSpan w:val="2"/>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709"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V≤1000</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9</w:t>
            </w:r>
          </w:p>
        </w:tc>
        <w:tc>
          <w:tcPr>
            <w:tcW w:w="4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7.5</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9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9</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11/9</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9</w:t>
            </w:r>
          </w:p>
        </w:tc>
        <w:tc>
          <w:tcPr>
            <w:tcW w:w="51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5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26</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23</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9</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19</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23</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7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23</w:t>
            </w:r>
          </w:p>
        </w:tc>
        <w:tc>
          <w:tcPr>
            <w:tcW w:w="5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19</w:t>
            </w:r>
          </w:p>
        </w:tc>
        <w:tc>
          <w:tcPr>
            <w:tcW w:w="66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26</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514"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6</w:t>
            </w:r>
          </w:p>
        </w:tc>
        <w:tc>
          <w:tcPr>
            <w:tcW w:w="611"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5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r>
      <w:tr w:rsidR="00D40D8D" w:rsidRPr="00687B52" w:rsidTr="00D40D8D">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5</w:t>
            </w:r>
          </w:p>
        </w:tc>
        <w:tc>
          <w:tcPr>
            <w:tcW w:w="827" w:type="dxa"/>
            <w:gridSpan w:val="2"/>
            <w:vMerge w:val="restart"/>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ascii="宋体" w:eastAsia="宋体" w:hAnsi="宋体" w:cs="宋体" w:hint="eastAsia"/>
                <w:color w:val="000000" w:themeColor="text1"/>
                <w:sz w:val="18"/>
                <w:szCs w:val="18"/>
              </w:rPr>
              <w:t>储存甲</w:t>
            </w:r>
            <w:r w:rsidRPr="00687B52">
              <w:rPr>
                <w:rFonts w:ascii="宋体" w:eastAsia="宋体" w:hAnsi="宋体" w:cs="宋体" w:hint="eastAsia"/>
                <w:color w:val="000000" w:themeColor="text1"/>
                <w:sz w:val="18"/>
                <w:szCs w:val="18"/>
                <w:vertAlign w:val="subscript"/>
              </w:rPr>
              <w:t>B</w:t>
            </w:r>
            <w:r w:rsidRPr="00687B52">
              <w:rPr>
                <w:rFonts w:ascii="宋体" w:eastAsia="宋体" w:hAnsi="宋体" w:cs="宋体" w:hint="eastAsia"/>
                <w:color w:val="000000" w:themeColor="text1"/>
                <w:sz w:val="18"/>
                <w:szCs w:val="18"/>
              </w:rPr>
              <w:t>、乙类液体的立式固定顶储罐</w:t>
            </w:r>
          </w:p>
        </w:tc>
        <w:tc>
          <w:tcPr>
            <w:tcW w:w="709"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V＞5000</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49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25/20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51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25/20</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5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50</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35</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32</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39</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32</w:t>
            </w:r>
          </w:p>
        </w:tc>
        <w:tc>
          <w:tcPr>
            <w:tcW w:w="7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50</w:t>
            </w:r>
          </w:p>
        </w:tc>
        <w:tc>
          <w:tcPr>
            <w:tcW w:w="5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66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c>
          <w:tcPr>
            <w:tcW w:w="514"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611"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45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r>
      <w:tr w:rsidR="00D40D8D" w:rsidRPr="00687B52" w:rsidTr="00D40D8D">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6</w:t>
            </w:r>
          </w:p>
        </w:tc>
        <w:tc>
          <w:tcPr>
            <w:tcW w:w="827" w:type="dxa"/>
            <w:gridSpan w:val="2"/>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709"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1000＜V≤5000</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9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51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20/15</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5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40</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7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40</w:t>
            </w:r>
          </w:p>
        </w:tc>
        <w:tc>
          <w:tcPr>
            <w:tcW w:w="5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66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514"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611"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5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r>
      <w:tr w:rsidR="00D40D8D" w:rsidRPr="00687B52" w:rsidTr="00D40D8D">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7</w:t>
            </w:r>
          </w:p>
        </w:tc>
        <w:tc>
          <w:tcPr>
            <w:tcW w:w="827" w:type="dxa"/>
            <w:gridSpan w:val="2"/>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709"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V≤1000</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9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51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5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35</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7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c>
          <w:tcPr>
            <w:tcW w:w="5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66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514"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w:t>
            </w:r>
          </w:p>
        </w:tc>
        <w:tc>
          <w:tcPr>
            <w:tcW w:w="611"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5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r>
      <w:tr w:rsidR="00D40D8D" w:rsidRPr="00687B52" w:rsidTr="00D40D8D">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8</w:t>
            </w:r>
          </w:p>
        </w:tc>
        <w:tc>
          <w:tcPr>
            <w:tcW w:w="1536" w:type="dxa"/>
            <w:gridSpan w:val="3"/>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甲</w:t>
            </w:r>
            <w:r w:rsidRPr="00687B52">
              <w:rPr>
                <w:rFonts w:hint="eastAsia"/>
                <w:color w:val="000000" w:themeColor="text1"/>
                <w:sz w:val="18"/>
                <w:szCs w:val="18"/>
                <w:vertAlign w:val="subscript"/>
              </w:rPr>
              <w:t>B</w:t>
            </w:r>
            <w:r w:rsidRPr="00687B52">
              <w:rPr>
                <w:rFonts w:hint="eastAsia"/>
                <w:color w:val="000000" w:themeColor="text1"/>
                <w:sz w:val="18"/>
                <w:szCs w:val="18"/>
              </w:rPr>
              <w:t>、乙类液体地上卧式储罐</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9</w:t>
            </w:r>
          </w:p>
        </w:tc>
        <w:tc>
          <w:tcPr>
            <w:tcW w:w="4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7.5</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9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11/8</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w:t>
            </w:r>
          </w:p>
        </w:tc>
        <w:tc>
          <w:tcPr>
            <w:tcW w:w="51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11/8</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w:t>
            </w:r>
          </w:p>
        </w:tc>
        <w:tc>
          <w:tcPr>
            <w:tcW w:w="45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19</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23</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7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23</w:t>
            </w:r>
          </w:p>
        </w:tc>
        <w:tc>
          <w:tcPr>
            <w:tcW w:w="5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19</w:t>
            </w:r>
          </w:p>
        </w:tc>
        <w:tc>
          <w:tcPr>
            <w:tcW w:w="66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514"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6</w:t>
            </w:r>
          </w:p>
        </w:tc>
        <w:tc>
          <w:tcPr>
            <w:tcW w:w="611"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5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r>
      <w:tr w:rsidR="00D40D8D" w:rsidRPr="00687B52" w:rsidTr="00D40D8D">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9</w:t>
            </w:r>
          </w:p>
        </w:tc>
        <w:tc>
          <w:tcPr>
            <w:tcW w:w="1536" w:type="dxa"/>
            <w:gridSpan w:val="3"/>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覆土卧式油罐、丙类液体地上卧式储罐</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7</w:t>
            </w:r>
          </w:p>
        </w:tc>
        <w:tc>
          <w:tcPr>
            <w:tcW w:w="4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6</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w:t>
            </w:r>
          </w:p>
        </w:tc>
        <w:tc>
          <w:tcPr>
            <w:tcW w:w="49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6</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8/6</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6</w:t>
            </w:r>
          </w:p>
        </w:tc>
        <w:tc>
          <w:tcPr>
            <w:tcW w:w="51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8/6</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6</w:t>
            </w:r>
          </w:p>
        </w:tc>
        <w:tc>
          <w:tcPr>
            <w:tcW w:w="45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6</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w:t>
            </w:r>
          </w:p>
        </w:tc>
        <w:tc>
          <w:tcPr>
            <w:tcW w:w="7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18</w:t>
            </w:r>
          </w:p>
        </w:tc>
        <w:tc>
          <w:tcPr>
            <w:tcW w:w="5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66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514"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4.5</w:t>
            </w:r>
          </w:p>
        </w:tc>
        <w:tc>
          <w:tcPr>
            <w:tcW w:w="611"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w:t>
            </w:r>
          </w:p>
        </w:tc>
        <w:tc>
          <w:tcPr>
            <w:tcW w:w="45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r>
      <w:tr w:rsidR="00D40D8D" w:rsidRPr="00687B52" w:rsidTr="00D40D8D">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10</w:t>
            </w:r>
          </w:p>
        </w:tc>
        <w:tc>
          <w:tcPr>
            <w:tcW w:w="690" w:type="dxa"/>
            <w:vMerge w:val="restart"/>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易燃和可燃液体泵房</w:t>
            </w:r>
          </w:p>
        </w:tc>
        <w:tc>
          <w:tcPr>
            <w:tcW w:w="846" w:type="dxa"/>
            <w:gridSpan w:val="2"/>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甲</w:t>
            </w:r>
            <w:r w:rsidRPr="00687B52">
              <w:rPr>
                <w:rFonts w:hint="eastAsia"/>
                <w:color w:val="000000" w:themeColor="text1"/>
                <w:sz w:val="18"/>
                <w:szCs w:val="18"/>
                <w:vertAlign w:val="subscript"/>
              </w:rPr>
              <w:t>B</w:t>
            </w:r>
            <w:r w:rsidRPr="00687B52">
              <w:rPr>
                <w:rFonts w:hint="eastAsia"/>
                <w:color w:val="000000" w:themeColor="text1"/>
                <w:sz w:val="18"/>
                <w:szCs w:val="18"/>
              </w:rPr>
              <w:t>、乙类液体</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9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51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8/8</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6</w:t>
            </w:r>
          </w:p>
        </w:tc>
        <w:tc>
          <w:tcPr>
            <w:tcW w:w="45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15/7.5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7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c>
          <w:tcPr>
            <w:tcW w:w="5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66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514"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611"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5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r>
      <w:tr w:rsidR="00D40D8D" w:rsidRPr="00687B52" w:rsidTr="00D40D8D">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11</w:t>
            </w:r>
          </w:p>
        </w:tc>
        <w:tc>
          <w:tcPr>
            <w:tcW w:w="690" w:type="dxa"/>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846" w:type="dxa"/>
            <w:gridSpan w:val="2"/>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丙类液体</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9</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9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9</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w:t>
            </w:r>
          </w:p>
        </w:tc>
        <w:tc>
          <w:tcPr>
            <w:tcW w:w="51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8/6</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6</w:t>
            </w:r>
          </w:p>
        </w:tc>
        <w:tc>
          <w:tcPr>
            <w:tcW w:w="45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9</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15/7.5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7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5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66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514"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5</w:t>
            </w:r>
          </w:p>
        </w:tc>
        <w:tc>
          <w:tcPr>
            <w:tcW w:w="611"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45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r>
      <w:tr w:rsidR="00D40D8D" w:rsidRPr="00687B52" w:rsidTr="00D40D8D">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12</w:t>
            </w:r>
          </w:p>
        </w:tc>
        <w:tc>
          <w:tcPr>
            <w:tcW w:w="690" w:type="dxa"/>
            <w:vMerge w:val="restart"/>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灌桶间</w:t>
            </w:r>
          </w:p>
        </w:tc>
        <w:tc>
          <w:tcPr>
            <w:tcW w:w="846" w:type="dxa"/>
            <w:gridSpan w:val="2"/>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甲</w:t>
            </w:r>
            <w:r w:rsidRPr="00687B52">
              <w:rPr>
                <w:rFonts w:hint="eastAsia"/>
                <w:color w:val="000000" w:themeColor="text1"/>
                <w:sz w:val="18"/>
                <w:szCs w:val="18"/>
                <w:vertAlign w:val="subscript"/>
              </w:rPr>
              <w:t>B</w:t>
            </w:r>
            <w:r w:rsidRPr="00687B52">
              <w:rPr>
                <w:rFonts w:hint="eastAsia"/>
                <w:color w:val="000000" w:themeColor="text1"/>
                <w:sz w:val="18"/>
                <w:szCs w:val="18"/>
              </w:rPr>
              <w:t>、乙类液体</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9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51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5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20/10</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25/12.5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7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40</w:t>
            </w:r>
          </w:p>
        </w:tc>
        <w:tc>
          <w:tcPr>
            <w:tcW w:w="5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66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514"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611"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5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r>
      <w:tr w:rsidR="00D40D8D" w:rsidRPr="00687B52" w:rsidTr="00D40D8D">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13</w:t>
            </w:r>
          </w:p>
        </w:tc>
        <w:tc>
          <w:tcPr>
            <w:tcW w:w="690" w:type="dxa"/>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846" w:type="dxa"/>
            <w:gridSpan w:val="2"/>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丙类液体</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9</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9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9</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w:t>
            </w:r>
          </w:p>
        </w:tc>
        <w:tc>
          <w:tcPr>
            <w:tcW w:w="51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5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9</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15/7.5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7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5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66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514"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w:t>
            </w:r>
          </w:p>
        </w:tc>
        <w:tc>
          <w:tcPr>
            <w:tcW w:w="611"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45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r>
      <w:tr w:rsidR="00D40D8D" w:rsidRPr="00687B52" w:rsidTr="00D40D8D">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14</w:t>
            </w:r>
          </w:p>
        </w:tc>
        <w:tc>
          <w:tcPr>
            <w:tcW w:w="690" w:type="dxa"/>
            <w:vMerge w:val="restart"/>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汽车罐车装卸设施</w:t>
            </w:r>
          </w:p>
        </w:tc>
        <w:tc>
          <w:tcPr>
            <w:tcW w:w="846" w:type="dxa"/>
            <w:gridSpan w:val="2"/>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甲</w:t>
            </w:r>
            <w:r w:rsidRPr="00687B52">
              <w:rPr>
                <w:rFonts w:hint="eastAsia"/>
                <w:color w:val="000000" w:themeColor="text1"/>
                <w:sz w:val="18"/>
                <w:szCs w:val="18"/>
                <w:vertAlign w:val="subscript"/>
              </w:rPr>
              <w:t>B</w:t>
            </w:r>
            <w:r w:rsidRPr="00687B52">
              <w:rPr>
                <w:rFonts w:hint="eastAsia"/>
                <w:color w:val="000000" w:themeColor="text1"/>
                <w:sz w:val="18"/>
                <w:szCs w:val="18"/>
              </w:rPr>
              <w:t>、乙类液体</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15/15</w:t>
            </w:r>
          </w:p>
        </w:tc>
        <w:tc>
          <w:tcPr>
            <w:tcW w:w="4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49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w:t>
            </w:r>
          </w:p>
        </w:tc>
        <w:tc>
          <w:tcPr>
            <w:tcW w:w="51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45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25/19</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20/15</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30/23</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7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30/23</w:t>
            </w:r>
          </w:p>
        </w:tc>
        <w:tc>
          <w:tcPr>
            <w:tcW w:w="5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20/15</w:t>
            </w:r>
          </w:p>
        </w:tc>
        <w:tc>
          <w:tcPr>
            <w:tcW w:w="66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30/23</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514"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611"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45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r>
      <w:tr w:rsidR="00D40D8D" w:rsidRPr="00687B52" w:rsidTr="00D40D8D">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15</w:t>
            </w:r>
          </w:p>
        </w:tc>
        <w:tc>
          <w:tcPr>
            <w:tcW w:w="690" w:type="dxa"/>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846" w:type="dxa"/>
            <w:gridSpan w:val="2"/>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丙类液体</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9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w:t>
            </w:r>
          </w:p>
        </w:tc>
        <w:tc>
          <w:tcPr>
            <w:tcW w:w="51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5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15/7.5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7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5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66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514"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5</w:t>
            </w:r>
          </w:p>
        </w:tc>
        <w:tc>
          <w:tcPr>
            <w:tcW w:w="611"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5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r>
      <w:tr w:rsidR="00D40D8D" w:rsidRPr="00687B52" w:rsidTr="00D40D8D">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16</w:t>
            </w:r>
          </w:p>
        </w:tc>
        <w:tc>
          <w:tcPr>
            <w:tcW w:w="690" w:type="dxa"/>
            <w:vMerge w:val="restart"/>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铁路罐车装卸设施</w:t>
            </w:r>
          </w:p>
        </w:tc>
        <w:tc>
          <w:tcPr>
            <w:tcW w:w="846" w:type="dxa"/>
            <w:gridSpan w:val="2"/>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甲</w:t>
            </w:r>
            <w:r w:rsidRPr="00687B52">
              <w:rPr>
                <w:rFonts w:hint="eastAsia"/>
                <w:color w:val="000000" w:themeColor="text1"/>
                <w:sz w:val="18"/>
                <w:szCs w:val="18"/>
                <w:vertAlign w:val="subscript"/>
              </w:rPr>
              <w:t>B</w:t>
            </w:r>
            <w:r w:rsidRPr="00687B52">
              <w:rPr>
                <w:rFonts w:hint="eastAsia"/>
                <w:color w:val="000000" w:themeColor="text1"/>
                <w:sz w:val="18"/>
                <w:szCs w:val="18"/>
              </w:rPr>
              <w:t>、乙类液体</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8/8</w:t>
            </w:r>
          </w:p>
        </w:tc>
        <w:tc>
          <w:tcPr>
            <w:tcW w:w="4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8/6</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49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990" w:type="dxa"/>
            <w:gridSpan w:val="3"/>
            <w:vMerge w:val="restart"/>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见本规范第8.1节</w:t>
            </w:r>
          </w:p>
        </w:tc>
        <w:tc>
          <w:tcPr>
            <w:tcW w:w="45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20/20</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20/15</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8/8</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8/8</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25/19</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30/23</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20/15</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30/23</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7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30/23</w:t>
            </w:r>
          </w:p>
        </w:tc>
        <w:tc>
          <w:tcPr>
            <w:tcW w:w="5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20/15</w:t>
            </w:r>
          </w:p>
        </w:tc>
        <w:tc>
          <w:tcPr>
            <w:tcW w:w="66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30/23</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514"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611"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45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r>
      <w:tr w:rsidR="00D40D8D" w:rsidRPr="00687B52" w:rsidTr="00D40D8D">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17</w:t>
            </w:r>
          </w:p>
        </w:tc>
        <w:tc>
          <w:tcPr>
            <w:tcW w:w="690" w:type="dxa"/>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846" w:type="dxa"/>
            <w:gridSpan w:val="2"/>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丙类液体</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6</w:t>
            </w:r>
          </w:p>
        </w:tc>
        <w:tc>
          <w:tcPr>
            <w:tcW w:w="4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6</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9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990" w:type="dxa"/>
            <w:gridSpan w:val="3"/>
            <w:vMerge/>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p>
        </w:tc>
        <w:tc>
          <w:tcPr>
            <w:tcW w:w="450"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25/12.5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7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5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66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514"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5</w:t>
            </w:r>
          </w:p>
        </w:tc>
        <w:tc>
          <w:tcPr>
            <w:tcW w:w="611"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45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r>
      <w:tr w:rsidR="00D40D8D" w:rsidRPr="00687B52" w:rsidTr="00D40D8D">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18</w:t>
            </w:r>
          </w:p>
        </w:tc>
        <w:tc>
          <w:tcPr>
            <w:tcW w:w="690" w:type="dxa"/>
            <w:vMerge w:val="restart"/>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液体装卸码头</w:t>
            </w:r>
          </w:p>
        </w:tc>
        <w:tc>
          <w:tcPr>
            <w:tcW w:w="846" w:type="dxa"/>
            <w:gridSpan w:val="2"/>
            <w:vMerge w:val="restart"/>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甲</w:t>
            </w:r>
            <w:r w:rsidRPr="00687B52">
              <w:rPr>
                <w:rFonts w:hint="eastAsia"/>
                <w:color w:val="000000" w:themeColor="text1"/>
                <w:sz w:val="18"/>
                <w:szCs w:val="18"/>
                <w:vertAlign w:val="subscript"/>
              </w:rPr>
              <w:t>B</w:t>
            </w:r>
            <w:r w:rsidRPr="00687B52">
              <w:rPr>
                <w:rFonts w:hint="eastAsia"/>
                <w:color w:val="000000" w:themeColor="text1"/>
                <w:sz w:val="18"/>
                <w:szCs w:val="18"/>
              </w:rPr>
              <w:t>、乙类液体</w:t>
            </w:r>
          </w:p>
          <w:p w:rsidR="00D40D8D" w:rsidRPr="00687B52" w:rsidRDefault="00D40D8D" w:rsidP="009438F5">
            <w:pPr>
              <w:spacing w:line="240" w:lineRule="exact"/>
              <w:jc w:val="center"/>
              <w:rPr>
                <w:color w:val="000000" w:themeColor="text1"/>
                <w:sz w:val="18"/>
                <w:szCs w:val="18"/>
              </w:rPr>
            </w:pP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9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20/20</w:t>
            </w:r>
          </w:p>
        </w:tc>
        <w:tc>
          <w:tcPr>
            <w:tcW w:w="495"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930" w:type="dxa"/>
            <w:gridSpan w:val="3"/>
            <w:vMerge w:val="restart"/>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见本规范第8.3节</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25/19</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30/23</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7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45</w:t>
            </w:r>
          </w:p>
        </w:tc>
        <w:tc>
          <w:tcPr>
            <w:tcW w:w="5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66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40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514"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w:t>
            </w:r>
          </w:p>
        </w:tc>
        <w:tc>
          <w:tcPr>
            <w:tcW w:w="611"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5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w:t>
            </w:r>
          </w:p>
        </w:tc>
      </w:tr>
      <w:tr w:rsidR="00D40D8D" w:rsidRPr="00687B52" w:rsidTr="00D40D8D">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19</w:t>
            </w:r>
          </w:p>
        </w:tc>
        <w:tc>
          <w:tcPr>
            <w:tcW w:w="690" w:type="dxa"/>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846" w:type="dxa"/>
            <w:gridSpan w:val="2"/>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9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20/15</w:t>
            </w:r>
          </w:p>
        </w:tc>
        <w:tc>
          <w:tcPr>
            <w:tcW w:w="495"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930" w:type="dxa"/>
            <w:gridSpan w:val="3"/>
            <w:vMerge/>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20/10</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25/12.5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7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c>
          <w:tcPr>
            <w:tcW w:w="5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66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514"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w:t>
            </w:r>
          </w:p>
        </w:tc>
        <w:tc>
          <w:tcPr>
            <w:tcW w:w="611"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5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w:t>
            </w:r>
          </w:p>
        </w:tc>
      </w:tr>
      <w:tr w:rsidR="00D40D8D" w:rsidRPr="00687B52" w:rsidTr="00D40D8D">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20</w:t>
            </w:r>
          </w:p>
        </w:tc>
        <w:tc>
          <w:tcPr>
            <w:tcW w:w="690" w:type="dxa"/>
            <w:vMerge w:val="restart"/>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桶装液体库房</w:t>
            </w:r>
          </w:p>
        </w:tc>
        <w:tc>
          <w:tcPr>
            <w:tcW w:w="846" w:type="dxa"/>
            <w:gridSpan w:val="2"/>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甲</w:t>
            </w:r>
            <w:r w:rsidRPr="00687B52">
              <w:rPr>
                <w:rFonts w:hint="eastAsia"/>
                <w:color w:val="000000" w:themeColor="text1"/>
                <w:sz w:val="18"/>
                <w:szCs w:val="18"/>
                <w:vertAlign w:val="subscript"/>
              </w:rPr>
              <w:t>B</w:t>
            </w:r>
            <w:r w:rsidRPr="00687B52">
              <w:rPr>
                <w:rFonts w:hint="eastAsia"/>
                <w:color w:val="000000" w:themeColor="text1"/>
                <w:sz w:val="18"/>
                <w:szCs w:val="18"/>
              </w:rPr>
              <w:t>、乙类液体</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9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8/8</w:t>
            </w:r>
          </w:p>
        </w:tc>
        <w:tc>
          <w:tcPr>
            <w:tcW w:w="495"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95"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15/7.5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7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40</w:t>
            </w:r>
          </w:p>
        </w:tc>
        <w:tc>
          <w:tcPr>
            <w:tcW w:w="5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66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514"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5</w:t>
            </w:r>
          </w:p>
        </w:tc>
        <w:tc>
          <w:tcPr>
            <w:tcW w:w="611"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5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r>
      <w:tr w:rsidR="00D40D8D" w:rsidRPr="00687B52" w:rsidTr="00D40D8D">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21</w:t>
            </w:r>
          </w:p>
        </w:tc>
        <w:tc>
          <w:tcPr>
            <w:tcW w:w="690" w:type="dxa"/>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846" w:type="dxa"/>
            <w:gridSpan w:val="2"/>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丙类液体</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9</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9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8/8</w:t>
            </w:r>
          </w:p>
        </w:tc>
        <w:tc>
          <w:tcPr>
            <w:tcW w:w="495"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8</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95"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11</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12</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15/7.5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7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w:t>
            </w:r>
          </w:p>
        </w:tc>
        <w:tc>
          <w:tcPr>
            <w:tcW w:w="5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66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514"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5</w:t>
            </w:r>
          </w:p>
        </w:tc>
        <w:tc>
          <w:tcPr>
            <w:tcW w:w="611"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c>
          <w:tcPr>
            <w:tcW w:w="45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r>
      <w:tr w:rsidR="00D40D8D" w:rsidRPr="00687B52" w:rsidTr="00D40D8D">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21</w:t>
            </w:r>
          </w:p>
        </w:tc>
        <w:tc>
          <w:tcPr>
            <w:tcW w:w="690" w:type="dxa"/>
            <w:vMerge w:val="restart"/>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隔油池</w:t>
            </w:r>
          </w:p>
        </w:tc>
        <w:tc>
          <w:tcPr>
            <w:tcW w:w="846" w:type="dxa"/>
            <w:gridSpan w:val="2"/>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150m</w:t>
            </w:r>
            <w:r w:rsidRPr="00687B52">
              <w:rPr>
                <w:rFonts w:hint="eastAsia"/>
                <w:color w:val="000000" w:themeColor="text1"/>
                <w:sz w:val="18"/>
                <w:szCs w:val="18"/>
              </w:rPr>
              <w:t>³及以下</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15/7.5</w:t>
            </w:r>
          </w:p>
        </w:tc>
        <w:tc>
          <w:tcPr>
            <w:tcW w:w="4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10/5</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20/10</w:t>
            </w:r>
          </w:p>
        </w:tc>
        <w:tc>
          <w:tcPr>
            <w:tcW w:w="49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15/7.5</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15/7.5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25/19</w:t>
            </w:r>
          </w:p>
        </w:tc>
        <w:tc>
          <w:tcPr>
            <w:tcW w:w="495"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25/19</w:t>
            </w:r>
          </w:p>
        </w:tc>
        <w:tc>
          <w:tcPr>
            <w:tcW w:w="495"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20/10</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15/7.5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20/15</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7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30/23</w:t>
            </w:r>
          </w:p>
        </w:tc>
        <w:tc>
          <w:tcPr>
            <w:tcW w:w="5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15/7.5</w:t>
            </w:r>
          </w:p>
        </w:tc>
        <w:tc>
          <w:tcPr>
            <w:tcW w:w="66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30/23</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15/11</w:t>
            </w:r>
          </w:p>
        </w:tc>
        <w:tc>
          <w:tcPr>
            <w:tcW w:w="514"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10/5</w:t>
            </w:r>
          </w:p>
        </w:tc>
        <w:tc>
          <w:tcPr>
            <w:tcW w:w="611"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15/7.5</w:t>
            </w:r>
          </w:p>
        </w:tc>
        <w:tc>
          <w:tcPr>
            <w:tcW w:w="45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r>
      <w:tr w:rsidR="00D40D8D" w:rsidRPr="00687B52" w:rsidTr="00D40D8D">
        <w:tc>
          <w:tcPr>
            <w:tcW w:w="495" w:type="dxa"/>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22</w:t>
            </w:r>
          </w:p>
        </w:tc>
        <w:tc>
          <w:tcPr>
            <w:tcW w:w="690" w:type="dxa"/>
            <w:vMerge/>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p>
        </w:tc>
        <w:tc>
          <w:tcPr>
            <w:tcW w:w="846" w:type="dxa"/>
            <w:gridSpan w:val="2"/>
            <w:tcMar>
              <w:left w:w="28" w:type="dxa"/>
              <w:right w:w="28" w:type="dxa"/>
            </w:tcMar>
            <w:vAlign w:val="center"/>
          </w:tcPr>
          <w:p w:rsidR="00D40D8D" w:rsidRPr="00687B52" w:rsidRDefault="00D40D8D" w:rsidP="009438F5">
            <w:pPr>
              <w:spacing w:line="240" w:lineRule="exact"/>
              <w:jc w:val="center"/>
              <w:rPr>
                <w:color w:val="000000" w:themeColor="text1"/>
                <w:sz w:val="18"/>
                <w:szCs w:val="18"/>
              </w:rPr>
            </w:pPr>
            <w:r w:rsidRPr="00687B52">
              <w:rPr>
                <w:rFonts w:hint="eastAsia"/>
                <w:color w:val="000000" w:themeColor="text1"/>
                <w:sz w:val="18"/>
                <w:szCs w:val="18"/>
              </w:rPr>
              <w:t>150m</w:t>
            </w:r>
            <w:r w:rsidRPr="00687B52">
              <w:rPr>
                <w:rFonts w:hint="eastAsia"/>
                <w:color w:val="000000" w:themeColor="text1"/>
                <w:sz w:val="18"/>
                <w:szCs w:val="18"/>
              </w:rPr>
              <w:t>³以上</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20/10</w:t>
            </w:r>
          </w:p>
        </w:tc>
        <w:tc>
          <w:tcPr>
            <w:tcW w:w="4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15/7.5</w:t>
            </w:r>
          </w:p>
        </w:tc>
        <w:tc>
          <w:tcPr>
            <w:tcW w:w="567"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25/12.5</w:t>
            </w:r>
          </w:p>
        </w:tc>
        <w:tc>
          <w:tcPr>
            <w:tcW w:w="49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20/10</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25/19</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20/10</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30/23</w:t>
            </w:r>
          </w:p>
        </w:tc>
        <w:tc>
          <w:tcPr>
            <w:tcW w:w="495"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25/12.5</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30/23</w:t>
            </w:r>
          </w:p>
        </w:tc>
        <w:tc>
          <w:tcPr>
            <w:tcW w:w="495" w:type="dxa"/>
            <w:gridSpan w:val="2"/>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25/12.5</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15/7.5</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25/19</w:t>
            </w:r>
          </w:p>
        </w:tc>
        <w:tc>
          <w:tcPr>
            <w:tcW w:w="49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20/15</w:t>
            </w:r>
          </w:p>
        </w:tc>
        <w:tc>
          <w:tcPr>
            <w:tcW w:w="46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30/23</w:t>
            </w:r>
          </w:p>
        </w:tc>
        <w:tc>
          <w:tcPr>
            <w:tcW w:w="51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20/15</w:t>
            </w:r>
          </w:p>
        </w:tc>
        <w:tc>
          <w:tcPr>
            <w:tcW w:w="78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40/30</w:t>
            </w:r>
          </w:p>
        </w:tc>
        <w:tc>
          <w:tcPr>
            <w:tcW w:w="52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20/10</w:t>
            </w:r>
          </w:p>
        </w:tc>
        <w:tc>
          <w:tcPr>
            <w:tcW w:w="66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40/30</w:t>
            </w:r>
          </w:p>
        </w:tc>
        <w:tc>
          <w:tcPr>
            <w:tcW w:w="435"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20/15</w:t>
            </w:r>
          </w:p>
        </w:tc>
        <w:tc>
          <w:tcPr>
            <w:tcW w:w="514"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10/5</w:t>
            </w:r>
          </w:p>
        </w:tc>
        <w:tc>
          <w:tcPr>
            <w:tcW w:w="611"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15/7.5</w:t>
            </w:r>
          </w:p>
        </w:tc>
        <w:tc>
          <w:tcPr>
            <w:tcW w:w="450" w:type="dxa"/>
            <w:tcMar>
              <w:left w:w="28" w:type="dxa"/>
              <w:right w:w="28" w:type="dxa"/>
            </w:tcMar>
            <w:vAlign w:val="center"/>
          </w:tcPr>
          <w:p w:rsidR="00D40D8D" w:rsidRPr="00687B52" w:rsidRDefault="00D40D8D" w:rsidP="009438F5">
            <w:pPr>
              <w:spacing w:line="240" w:lineRule="exact"/>
              <w:jc w:val="center"/>
              <w:rPr>
                <w:rFonts w:ascii="宋体" w:eastAsia="宋体" w:hAnsi="宋体" w:cs="宋体"/>
                <w:color w:val="000000" w:themeColor="text1"/>
                <w:sz w:val="18"/>
                <w:szCs w:val="18"/>
              </w:rPr>
            </w:pPr>
            <w:r w:rsidRPr="00687B52">
              <w:rPr>
                <w:rFonts w:ascii="宋体" w:eastAsia="宋体" w:hAnsi="宋体" w:cs="宋体" w:hint="eastAsia"/>
                <w:color w:val="000000" w:themeColor="text1"/>
                <w:sz w:val="18"/>
                <w:szCs w:val="18"/>
              </w:rPr>
              <w:t>10</w:t>
            </w:r>
          </w:p>
        </w:tc>
      </w:tr>
    </w:tbl>
    <w:p w:rsidR="00D40D8D" w:rsidRPr="00687B52" w:rsidRDefault="00D40D8D" w:rsidP="00D40D8D">
      <w:pPr>
        <w:spacing w:line="260" w:lineRule="exact"/>
        <w:rPr>
          <w:color w:val="000000" w:themeColor="text1"/>
        </w:rPr>
      </w:pPr>
      <w:r w:rsidRPr="00687B52">
        <w:rPr>
          <w:rFonts w:hint="eastAsia"/>
          <w:color w:val="000000" w:themeColor="text1"/>
        </w:rPr>
        <w:t>注：</w:t>
      </w:r>
      <w:r w:rsidRPr="00687B52">
        <w:rPr>
          <w:rFonts w:hint="eastAsia"/>
          <w:color w:val="000000" w:themeColor="text1"/>
        </w:rPr>
        <w:t>1.</w:t>
      </w:r>
      <w:r w:rsidRPr="00687B52">
        <w:rPr>
          <w:rFonts w:hint="eastAsia"/>
          <w:color w:val="000000" w:themeColor="text1"/>
        </w:rPr>
        <w:t>表中</w:t>
      </w:r>
      <w:r w:rsidRPr="00687B52">
        <w:rPr>
          <w:rFonts w:hint="eastAsia"/>
          <w:color w:val="000000" w:themeColor="text1"/>
        </w:rPr>
        <w:t>V</w:t>
      </w:r>
      <w:r w:rsidRPr="00687B52">
        <w:rPr>
          <w:rFonts w:hint="eastAsia"/>
          <w:color w:val="000000" w:themeColor="text1"/>
        </w:rPr>
        <w:t>指储罐单罐容量，单位为</w:t>
      </w:r>
      <w:r w:rsidRPr="00687B52">
        <w:rPr>
          <w:rFonts w:hint="eastAsia"/>
          <w:color w:val="000000" w:themeColor="text1"/>
        </w:rPr>
        <w:t>m</w:t>
      </w:r>
      <w:r w:rsidRPr="00687B52">
        <w:rPr>
          <w:rFonts w:hint="eastAsia"/>
          <w:color w:val="000000" w:themeColor="text1"/>
        </w:rPr>
        <w:t>³。</w:t>
      </w:r>
    </w:p>
    <w:p w:rsidR="00D40D8D" w:rsidRPr="00687B52" w:rsidRDefault="00D40D8D" w:rsidP="00D40D8D">
      <w:pPr>
        <w:spacing w:line="260" w:lineRule="exact"/>
        <w:ind w:firstLine="420"/>
        <w:rPr>
          <w:color w:val="000000" w:themeColor="text1"/>
        </w:rPr>
      </w:pPr>
      <w:r w:rsidRPr="00687B52">
        <w:rPr>
          <w:rFonts w:hint="eastAsia"/>
          <w:color w:val="000000" w:themeColor="text1"/>
        </w:rPr>
        <w:t>2.</w:t>
      </w:r>
      <w:r w:rsidRPr="00687B52">
        <w:rPr>
          <w:rFonts w:hint="eastAsia"/>
          <w:color w:val="000000" w:themeColor="text1"/>
        </w:rPr>
        <w:t>序号</w:t>
      </w:r>
      <w:r w:rsidRPr="00687B52">
        <w:rPr>
          <w:rFonts w:hint="eastAsia"/>
          <w:color w:val="000000" w:themeColor="text1"/>
        </w:rPr>
        <w:t>14</w:t>
      </w:r>
      <w:r w:rsidRPr="00687B52">
        <w:rPr>
          <w:rFonts w:hint="eastAsia"/>
          <w:color w:val="000000" w:themeColor="text1"/>
        </w:rPr>
        <w:t>中，分子数字为未采用油气回收设施的汽车罐车装卸设施与建（构）筑物或设施的防火距离，分母数字为采用油气回收设施的汽车罐车装卸设施与建（构）筑物或设施的防火距离。</w:t>
      </w:r>
    </w:p>
    <w:p w:rsidR="00D40D8D" w:rsidRPr="00687B52" w:rsidRDefault="00D40D8D" w:rsidP="00D40D8D">
      <w:pPr>
        <w:spacing w:line="260" w:lineRule="exact"/>
        <w:ind w:firstLine="420"/>
        <w:rPr>
          <w:color w:val="000000" w:themeColor="text1"/>
        </w:rPr>
      </w:pPr>
      <w:r w:rsidRPr="00687B52">
        <w:rPr>
          <w:rFonts w:hint="eastAsia"/>
          <w:color w:val="000000" w:themeColor="text1"/>
        </w:rPr>
        <w:t>3.</w:t>
      </w:r>
      <w:r w:rsidRPr="00687B52">
        <w:rPr>
          <w:rFonts w:hint="eastAsia"/>
          <w:color w:val="000000" w:themeColor="text1"/>
        </w:rPr>
        <w:t>序号</w:t>
      </w:r>
      <w:r w:rsidRPr="00687B52">
        <w:rPr>
          <w:rFonts w:hint="eastAsia"/>
          <w:color w:val="000000" w:themeColor="text1"/>
        </w:rPr>
        <w:t>16</w:t>
      </w:r>
      <w:r w:rsidRPr="00687B52">
        <w:rPr>
          <w:rFonts w:hint="eastAsia"/>
          <w:color w:val="000000" w:themeColor="text1"/>
        </w:rPr>
        <w:t>中，分子数字为用于装车作业的铁路线与建（构）筑物或设施的防火与建（构）筑物的防火距离，分母数字为采用油气回收设施的铁路罐车装卸设施与建（构）筑物或设施的防火距离。</w:t>
      </w:r>
    </w:p>
    <w:p w:rsidR="00D40D8D" w:rsidRPr="00687B52" w:rsidRDefault="00D40D8D" w:rsidP="00D40D8D">
      <w:pPr>
        <w:spacing w:line="260" w:lineRule="exact"/>
        <w:ind w:firstLine="420"/>
        <w:rPr>
          <w:color w:val="000000" w:themeColor="text1"/>
        </w:rPr>
      </w:pPr>
      <w:r w:rsidRPr="00687B52">
        <w:rPr>
          <w:rFonts w:hint="eastAsia"/>
          <w:color w:val="000000" w:themeColor="text1"/>
        </w:rPr>
        <w:t>4.</w:t>
      </w:r>
      <w:r w:rsidRPr="00687B52">
        <w:rPr>
          <w:rFonts w:hint="eastAsia"/>
          <w:color w:val="000000" w:themeColor="text1"/>
        </w:rPr>
        <w:t>序号</w:t>
      </w:r>
      <w:r w:rsidRPr="00687B52">
        <w:rPr>
          <w:rFonts w:hint="eastAsia"/>
          <w:color w:val="000000" w:themeColor="text1"/>
        </w:rPr>
        <w:t>14</w:t>
      </w:r>
      <w:r w:rsidRPr="00687B52">
        <w:rPr>
          <w:rFonts w:hint="eastAsia"/>
          <w:color w:val="000000" w:themeColor="text1"/>
        </w:rPr>
        <w:t>与序号</w:t>
      </w:r>
      <w:r w:rsidRPr="00687B52">
        <w:rPr>
          <w:rFonts w:hint="eastAsia"/>
          <w:color w:val="000000" w:themeColor="text1"/>
        </w:rPr>
        <w:t>16</w:t>
      </w:r>
      <w:r w:rsidRPr="00687B52">
        <w:rPr>
          <w:rFonts w:hint="eastAsia"/>
          <w:color w:val="000000" w:themeColor="text1"/>
        </w:rPr>
        <w:t>相交数字的分母，仅适用于相邻装车设施均采用油气回收设施的情况。</w:t>
      </w:r>
    </w:p>
    <w:p w:rsidR="00D40D8D" w:rsidRPr="00687B52" w:rsidRDefault="00D40D8D" w:rsidP="00D40D8D">
      <w:pPr>
        <w:spacing w:line="260" w:lineRule="exact"/>
        <w:ind w:firstLine="420"/>
        <w:rPr>
          <w:color w:val="000000" w:themeColor="text1"/>
        </w:rPr>
      </w:pPr>
      <w:r w:rsidRPr="00687B52">
        <w:rPr>
          <w:rFonts w:hint="eastAsia"/>
          <w:color w:val="000000" w:themeColor="text1"/>
        </w:rPr>
        <w:t>5.</w:t>
      </w:r>
      <w:r w:rsidRPr="00687B52">
        <w:rPr>
          <w:rFonts w:hint="eastAsia"/>
          <w:color w:val="000000" w:themeColor="text1"/>
        </w:rPr>
        <w:t>序号</w:t>
      </w:r>
      <w:r w:rsidRPr="00687B52">
        <w:rPr>
          <w:rFonts w:hint="eastAsia"/>
          <w:color w:val="000000" w:themeColor="text1"/>
        </w:rPr>
        <w:t>22</w:t>
      </w:r>
      <w:r w:rsidRPr="00687B52">
        <w:rPr>
          <w:rFonts w:hint="eastAsia"/>
          <w:color w:val="000000" w:themeColor="text1"/>
        </w:rPr>
        <w:t>、</w:t>
      </w:r>
      <w:r w:rsidRPr="00687B52">
        <w:rPr>
          <w:rFonts w:hint="eastAsia"/>
          <w:color w:val="000000" w:themeColor="text1"/>
        </w:rPr>
        <w:t>23</w:t>
      </w:r>
      <w:r w:rsidRPr="00687B52">
        <w:rPr>
          <w:rFonts w:hint="eastAsia"/>
          <w:color w:val="000000" w:themeColor="text1"/>
        </w:rPr>
        <w:t>中的隔油池，系指设置在罐组防火堤外的隔油池，其中分母数字为有盖板的密闭式隔油池与建（构）筑物或设施的防火距离，分子数字为无盖板的隔油池与建（构）筑物或设施的防火距离。</w:t>
      </w:r>
    </w:p>
    <w:p w:rsidR="00D40D8D" w:rsidRPr="00687B52" w:rsidRDefault="00D40D8D" w:rsidP="00D40D8D">
      <w:pPr>
        <w:spacing w:line="260" w:lineRule="exact"/>
        <w:ind w:firstLine="420"/>
        <w:rPr>
          <w:color w:val="000000" w:themeColor="text1"/>
        </w:rPr>
      </w:pPr>
      <w:r w:rsidRPr="00687B52">
        <w:rPr>
          <w:rFonts w:hint="eastAsia"/>
          <w:color w:val="000000" w:themeColor="text1"/>
        </w:rPr>
        <w:t>6.</w:t>
      </w:r>
      <w:r w:rsidRPr="00687B52">
        <w:rPr>
          <w:rFonts w:hint="eastAsia"/>
          <w:color w:val="000000" w:themeColor="text1"/>
        </w:rPr>
        <w:t>罐组专用变配电间和机柜与石油库内各建（构）筑物或设施的防火距离，应与易燃和可燃液体泵房相同，但变配电间和机柜间的门窗应位于易燃液体设备的爆炸危险区域之外。</w:t>
      </w:r>
    </w:p>
    <w:p w:rsidR="00D40D8D" w:rsidRPr="00687B52" w:rsidRDefault="00D40D8D" w:rsidP="00D40D8D">
      <w:pPr>
        <w:spacing w:line="260" w:lineRule="exact"/>
        <w:ind w:firstLine="420"/>
        <w:rPr>
          <w:color w:val="000000" w:themeColor="text1"/>
        </w:rPr>
      </w:pPr>
      <w:r w:rsidRPr="00687B52">
        <w:rPr>
          <w:rFonts w:hint="eastAsia"/>
          <w:color w:val="000000" w:themeColor="text1"/>
        </w:rPr>
        <w:t>7.</w:t>
      </w:r>
      <w:r w:rsidRPr="00687B52">
        <w:rPr>
          <w:rFonts w:hint="eastAsia"/>
          <w:color w:val="000000" w:themeColor="text1"/>
        </w:rPr>
        <w:t>焚烧式可燃气体回收装置应按有明火及散发火花的建（构）筑物及地点执行，其他形式的可燃气体回收处理装置应按甲、乙类液体泵房执行。</w:t>
      </w:r>
    </w:p>
    <w:p w:rsidR="00D40D8D" w:rsidRPr="00687B52" w:rsidRDefault="00D40D8D" w:rsidP="00D40D8D">
      <w:pPr>
        <w:spacing w:line="260" w:lineRule="exact"/>
        <w:ind w:firstLine="420"/>
        <w:rPr>
          <w:color w:val="000000" w:themeColor="text1"/>
        </w:rPr>
      </w:pPr>
      <w:r w:rsidRPr="00687B52">
        <w:rPr>
          <w:rFonts w:hint="eastAsia"/>
          <w:color w:val="000000" w:themeColor="text1"/>
        </w:rPr>
        <w:t>8.</w:t>
      </w:r>
      <w:r w:rsidR="003912E3" w:rsidRPr="00687B52">
        <w:rPr>
          <w:color w:val="000000" w:themeColor="text1"/>
        </w:rPr>
        <w:fldChar w:fldCharType="begin"/>
      </w:r>
      <w:r w:rsidR="003912E3" w:rsidRPr="00687B52">
        <w:rPr>
          <w:color w:val="000000" w:themeColor="text1"/>
        </w:rPr>
        <w:instrText xml:space="preserve"> = 1 \* ROMAN \* MERGEFORMAT </w:instrText>
      </w:r>
      <w:r w:rsidR="003912E3" w:rsidRPr="00687B52">
        <w:rPr>
          <w:color w:val="000000" w:themeColor="text1"/>
        </w:rPr>
        <w:fldChar w:fldCharType="separate"/>
      </w:r>
      <w:r w:rsidRPr="00687B52">
        <w:rPr>
          <w:color w:val="000000" w:themeColor="text1"/>
        </w:rPr>
        <w:t>I</w:t>
      </w:r>
      <w:r w:rsidR="003912E3" w:rsidRPr="00687B52">
        <w:rPr>
          <w:color w:val="000000" w:themeColor="text1"/>
        </w:rPr>
        <w:fldChar w:fldCharType="end"/>
      </w:r>
      <w:r w:rsidRPr="00687B52">
        <w:rPr>
          <w:rFonts w:hint="eastAsia"/>
          <w:color w:val="000000" w:themeColor="text1"/>
        </w:rPr>
        <w:t>、</w:t>
      </w:r>
      <w:r w:rsidR="003912E3" w:rsidRPr="00687B52">
        <w:rPr>
          <w:color w:val="000000" w:themeColor="text1"/>
        </w:rPr>
        <w:fldChar w:fldCharType="begin"/>
      </w:r>
      <w:r w:rsidR="003912E3" w:rsidRPr="00687B52">
        <w:rPr>
          <w:color w:val="000000" w:themeColor="text1"/>
        </w:rPr>
        <w:instrText xml:space="preserve"> = 2 \* ROMAN \* MERGEFORMAT </w:instrText>
      </w:r>
      <w:r w:rsidR="003912E3" w:rsidRPr="00687B52">
        <w:rPr>
          <w:color w:val="000000" w:themeColor="text1"/>
        </w:rPr>
        <w:fldChar w:fldCharType="separate"/>
      </w:r>
      <w:r w:rsidRPr="00687B52">
        <w:rPr>
          <w:color w:val="000000" w:themeColor="text1"/>
        </w:rPr>
        <w:t>II</w:t>
      </w:r>
      <w:r w:rsidR="003912E3" w:rsidRPr="00687B52">
        <w:rPr>
          <w:color w:val="000000" w:themeColor="text1"/>
        </w:rPr>
        <w:fldChar w:fldCharType="end"/>
      </w:r>
      <w:r w:rsidRPr="00687B52">
        <w:rPr>
          <w:rFonts w:hint="eastAsia"/>
          <w:color w:val="000000" w:themeColor="text1"/>
        </w:rPr>
        <w:t>级毒性液体储罐、设备和设施与石油库内其他建（构）筑物、设施之间的防火间距，应按相应火灾危险类别在本表规定的基础上增加</w:t>
      </w:r>
      <w:r w:rsidRPr="00687B52">
        <w:rPr>
          <w:rFonts w:hint="eastAsia"/>
          <w:color w:val="000000" w:themeColor="text1"/>
        </w:rPr>
        <w:t>20%</w:t>
      </w:r>
      <w:r w:rsidRPr="00687B52">
        <w:rPr>
          <w:rFonts w:hint="eastAsia"/>
          <w:color w:val="000000" w:themeColor="text1"/>
        </w:rPr>
        <w:t>。</w:t>
      </w:r>
    </w:p>
    <w:p w:rsidR="00481EDB" w:rsidRPr="00687B52" w:rsidRDefault="00D40D8D" w:rsidP="00D40D8D">
      <w:pPr>
        <w:spacing w:line="260" w:lineRule="exact"/>
        <w:ind w:firstLine="420"/>
        <w:rPr>
          <w:color w:val="000000" w:themeColor="text1"/>
        </w:rPr>
      </w:pPr>
      <w:r w:rsidRPr="00687B52">
        <w:rPr>
          <w:rFonts w:hint="eastAsia"/>
          <w:color w:val="000000" w:themeColor="text1"/>
        </w:rPr>
        <w:t>9.</w:t>
      </w:r>
      <w:r w:rsidRPr="00687B52">
        <w:rPr>
          <w:rFonts w:hint="eastAsia"/>
          <w:color w:val="000000" w:themeColor="text1"/>
        </w:rPr>
        <w:t>“</w:t>
      </w:r>
      <w:r w:rsidRPr="00687B52">
        <w:rPr>
          <w:rFonts w:hint="eastAsia"/>
          <w:color w:val="000000" w:themeColor="text1"/>
        </w:rPr>
        <w:t>--</w:t>
      </w:r>
      <w:r w:rsidRPr="00687B52">
        <w:rPr>
          <w:rFonts w:hint="eastAsia"/>
          <w:color w:val="000000" w:themeColor="text1"/>
        </w:rPr>
        <w:t>”表示没有防火距离要求。</w:t>
      </w:r>
    </w:p>
    <w:p w:rsidR="00470403" w:rsidRPr="00687B52" w:rsidRDefault="00470403" w:rsidP="00F25ED0">
      <w:pPr>
        <w:spacing w:afterLines="50" w:after="156"/>
        <w:jc w:val="center"/>
        <w:rPr>
          <w:rFonts w:ascii="宋体" w:eastAsia="宋体" w:hAnsi="宋体"/>
          <w:b/>
          <w:color w:val="000000" w:themeColor="text1"/>
          <w:w w:val="90"/>
          <w:sz w:val="28"/>
          <w:szCs w:val="28"/>
        </w:rPr>
        <w:sectPr w:rsidR="00470403" w:rsidRPr="00687B52" w:rsidSect="00B527D4">
          <w:pgSz w:w="16838" w:h="11906" w:orient="landscape"/>
          <w:pgMar w:top="1440" w:right="1797" w:bottom="1440" w:left="1797" w:header="851" w:footer="907" w:gutter="0"/>
          <w:cols w:space="425"/>
          <w:docGrid w:type="lines" w:linePitch="312"/>
        </w:sectPr>
      </w:pPr>
    </w:p>
    <w:p w:rsidR="00481EDB" w:rsidRPr="00687B52" w:rsidRDefault="00481EDB" w:rsidP="005B3166">
      <w:pPr>
        <w:pStyle w:val="afd"/>
        <w:rPr>
          <w:color w:val="000000" w:themeColor="text1"/>
          <w:szCs w:val="28"/>
        </w:rPr>
      </w:pPr>
      <w:bookmarkStart w:id="269" w:name="_Toc491870838"/>
      <w:bookmarkStart w:id="270" w:name="_Toc492563493"/>
      <w:bookmarkStart w:id="271" w:name="_Toc493857094"/>
      <w:r w:rsidRPr="00687B52">
        <w:rPr>
          <w:rFonts w:hint="eastAsia"/>
          <w:color w:val="000000" w:themeColor="text1"/>
        </w:rPr>
        <w:t>表</w:t>
      </w:r>
      <w:r w:rsidRPr="00687B52">
        <w:rPr>
          <w:rFonts w:hint="eastAsia"/>
          <w:color w:val="000000" w:themeColor="text1"/>
        </w:rPr>
        <w:t xml:space="preserve">6.1.5 </w:t>
      </w:r>
      <w:r w:rsidRPr="00687B52">
        <w:rPr>
          <w:rFonts w:hint="eastAsia"/>
          <w:color w:val="000000" w:themeColor="text1"/>
        </w:rPr>
        <w:t>地上储罐组内相邻储罐之间的防火距离</w:t>
      </w:r>
      <w:bookmarkEnd w:id="269"/>
      <w:bookmarkEnd w:id="270"/>
      <w:bookmarkEnd w:id="271"/>
    </w:p>
    <w:tbl>
      <w:tblPr>
        <w:tblStyle w:val="a6"/>
        <w:tblW w:w="5000" w:type="pct"/>
        <w:tblLook w:val="04A0" w:firstRow="1" w:lastRow="0" w:firstColumn="1" w:lastColumn="0" w:noHBand="0" w:noVBand="1"/>
      </w:tblPr>
      <w:tblGrid>
        <w:gridCol w:w="1358"/>
        <w:gridCol w:w="2098"/>
        <w:gridCol w:w="1189"/>
        <w:gridCol w:w="1006"/>
        <w:gridCol w:w="1079"/>
        <w:gridCol w:w="1536"/>
        <w:gridCol w:w="976"/>
      </w:tblGrid>
      <w:tr w:rsidR="00470403" w:rsidRPr="00687B52" w:rsidTr="00D25DE8">
        <w:tc>
          <w:tcPr>
            <w:tcW w:w="735" w:type="pct"/>
            <w:vMerge w:val="restart"/>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储存液体类别</w:t>
            </w:r>
          </w:p>
        </w:tc>
        <w:tc>
          <w:tcPr>
            <w:tcW w:w="1135" w:type="pct"/>
            <w:vMerge w:val="restart"/>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单罐容量不大于</w:t>
            </w:r>
            <w:r w:rsidRPr="00687B52">
              <w:rPr>
                <w:rFonts w:ascii="Times New Roman" w:eastAsia="宋体" w:hAnsi="Times New Roman" w:cs="Times New Roman" w:hint="eastAsia"/>
                <w:bCs/>
                <w:color w:val="000000" w:themeColor="text1"/>
                <w:sz w:val="24"/>
                <w:szCs w:val="24"/>
                <w:shd w:val="clear" w:color="auto" w:fill="FFFFFF"/>
                <w:lang w:val="zh-TW"/>
              </w:rPr>
              <w:t>300m</w:t>
            </w:r>
            <w:r w:rsidRPr="00687B52">
              <w:rPr>
                <w:rFonts w:ascii="Times New Roman" w:eastAsia="宋体" w:hAnsi="Times New Roman" w:cs="Times New Roman" w:hint="eastAsia"/>
                <w:bCs/>
                <w:color w:val="000000" w:themeColor="text1"/>
                <w:sz w:val="24"/>
                <w:szCs w:val="24"/>
                <w:shd w:val="clear" w:color="auto" w:fill="FFFFFF"/>
                <w:vertAlign w:val="superscript"/>
                <w:lang w:val="zh-TW"/>
              </w:rPr>
              <w:t>2</w:t>
            </w:r>
            <w:r w:rsidRPr="00687B52">
              <w:rPr>
                <w:rFonts w:ascii="Times New Roman" w:eastAsia="宋体" w:hAnsi="Times New Roman" w:cs="Times New Roman" w:hint="eastAsia"/>
                <w:bCs/>
                <w:color w:val="000000" w:themeColor="text1"/>
                <w:sz w:val="24"/>
                <w:szCs w:val="24"/>
                <w:shd w:val="clear" w:color="auto" w:fill="FFFFFF"/>
                <w:lang w:val="zh-TW"/>
              </w:rPr>
              <w:t>，且总容量不大于</w:t>
            </w:r>
            <w:r w:rsidRPr="00687B52">
              <w:rPr>
                <w:rFonts w:ascii="Times New Roman" w:eastAsia="宋体" w:hAnsi="Times New Roman" w:cs="Times New Roman" w:hint="eastAsia"/>
                <w:bCs/>
                <w:color w:val="000000" w:themeColor="text1"/>
                <w:sz w:val="24"/>
                <w:szCs w:val="24"/>
                <w:shd w:val="clear" w:color="auto" w:fill="FFFFFF"/>
                <w:lang w:val="zh-TW"/>
              </w:rPr>
              <w:t>1500m</w:t>
            </w:r>
            <w:r w:rsidRPr="00687B52">
              <w:rPr>
                <w:rFonts w:ascii="Times New Roman" w:eastAsia="宋体" w:hAnsi="Times New Roman" w:cs="Times New Roman" w:hint="eastAsia"/>
                <w:bCs/>
                <w:color w:val="000000" w:themeColor="text1"/>
                <w:sz w:val="24"/>
                <w:szCs w:val="24"/>
                <w:shd w:val="clear" w:color="auto" w:fill="FFFFFF"/>
                <w:vertAlign w:val="superscript"/>
                <w:lang w:val="zh-TW"/>
              </w:rPr>
              <w:t>2</w:t>
            </w:r>
            <w:r w:rsidRPr="00687B52">
              <w:rPr>
                <w:rFonts w:ascii="Times New Roman" w:eastAsia="宋体" w:hAnsi="Times New Roman" w:cs="Times New Roman" w:hint="eastAsia"/>
                <w:bCs/>
                <w:color w:val="000000" w:themeColor="text1"/>
                <w:sz w:val="24"/>
                <w:szCs w:val="24"/>
                <w:shd w:val="clear" w:color="auto" w:fill="FFFFFF"/>
                <w:lang w:val="zh-TW"/>
              </w:rPr>
              <w:t>的立式储罐组</w:t>
            </w:r>
          </w:p>
        </w:tc>
        <w:tc>
          <w:tcPr>
            <w:tcW w:w="1771" w:type="pct"/>
            <w:gridSpan w:val="3"/>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固定顶储罐（单罐总量）</w:t>
            </w:r>
          </w:p>
        </w:tc>
        <w:tc>
          <w:tcPr>
            <w:tcW w:w="831" w:type="pct"/>
            <w:vMerge w:val="restart"/>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外浮顶、内浮顶储罐</w:t>
            </w:r>
          </w:p>
        </w:tc>
        <w:tc>
          <w:tcPr>
            <w:tcW w:w="528" w:type="pct"/>
            <w:vMerge w:val="restart"/>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卧式储罐</w:t>
            </w:r>
          </w:p>
        </w:tc>
      </w:tr>
      <w:tr w:rsidR="00470403" w:rsidRPr="00687B52" w:rsidTr="00D25DE8">
        <w:tc>
          <w:tcPr>
            <w:tcW w:w="735" w:type="pct"/>
            <w:vMerge/>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p>
        </w:tc>
        <w:tc>
          <w:tcPr>
            <w:tcW w:w="1135" w:type="pct"/>
            <w:vMerge/>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p>
        </w:tc>
        <w:tc>
          <w:tcPr>
            <w:tcW w:w="643" w:type="pct"/>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w:t>
            </w:r>
            <w:r w:rsidRPr="00687B52">
              <w:rPr>
                <w:rFonts w:ascii="Times New Roman" w:eastAsia="宋体" w:hAnsi="Times New Roman" w:cs="Times New Roman" w:hint="eastAsia"/>
                <w:bCs/>
                <w:color w:val="000000" w:themeColor="text1"/>
                <w:sz w:val="24"/>
                <w:szCs w:val="24"/>
                <w:shd w:val="clear" w:color="auto" w:fill="FFFFFF"/>
                <w:lang w:val="zh-TW"/>
              </w:rPr>
              <w:t>1000m</w:t>
            </w:r>
            <w:r w:rsidRPr="00687B52">
              <w:rPr>
                <w:rFonts w:ascii="Times New Roman" w:eastAsia="宋体" w:hAnsi="Times New Roman" w:cs="Times New Roman" w:hint="eastAsia"/>
                <w:bCs/>
                <w:color w:val="000000" w:themeColor="text1"/>
                <w:sz w:val="24"/>
                <w:szCs w:val="24"/>
                <w:shd w:val="clear" w:color="auto" w:fill="FFFFFF"/>
                <w:vertAlign w:val="superscript"/>
                <w:lang w:val="zh-TW"/>
              </w:rPr>
              <w:t>3</w:t>
            </w:r>
          </w:p>
        </w:tc>
        <w:tc>
          <w:tcPr>
            <w:tcW w:w="544" w:type="pct"/>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vertAlign w:val="superscript"/>
                <w:lang w:val="zh-TW"/>
              </w:rPr>
            </w:pPr>
            <w:r w:rsidRPr="00687B52">
              <w:rPr>
                <w:rFonts w:ascii="Times New Roman" w:eastAsia="宋体" w:hAnsi="Times New Roman" w:cs="Times New Roman" w:hint="eastAsia"/>
                <w:bCs/>
                <w:color w:val="000000" w:themeColor="text1"/>
                <w:sz w:val="24"/>
                <w:szCs w:val="24"/>
                <w:shd w:val="clear" w:color="auto" w:fill="FFFFFF"/>
                <w:lang w:val="zh-TW"/>
              </w:rPr>
              <w:t>＞</w:t>
            </w:r>
            <w:r w:rsidRPr="00687B52">
              <w:rPr>
                <w:rFonts w:ascii="Times New Roman" w:eastAsia="宋体" w:hAnsi="Times New Roman" w:cs="Times New Roman" w:hint="eastAsia"/>
                <w:bCs/>
                <w:color w:val="000000" w:themeColor="text1"/>
                <w:sz w:val="24"/>
                <w:szCs w:val="24"/>
                <w:shd w:val="clear" w:color="auto" w:fill="FFFFFF"/>
                <w:lang w:val="zh-TW"/>
              </w:rPr>
              <w:t>1000m</w:t>
            </w:r>
            <w:r w:rsidRPr="00687B52">
              <w:rPr>
                <w:rFonts w:ascii="Times New Roman" w:eastAsia="宋体" w:hAnsi="Times New Roman" w:cs="Times New Roman" w:hint="eastAsia"/>
                <w:bCs/>
                <w:color w:val="000000" w:themeColor="text1"/>
                <w:sz w:val="24"/>
                <w:szCs w:val="24"/>
                <w:shd w:val="clear" w:color="auto" w:fill="FFFFFF"/>
                <w:vertAlign w:val="superscript"/>
                <w:lang w:val="zh-TW"/>
              </w:rPr>
              <w:t>3</w:t>
            </w:r>
          </w:p>
        </w:tc>
        <w:tc>
          <w:tcPr>
            <w:tcW w:w="584" w:type="pct"/>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w:t>
            </w:r>
            <w:r w:rsidRPr="00687B52">
              <w:rPr>
                <w:rFonts w:ascii="Times New Roman" w:eastAsia="宋体" w:hAnsi="Times New Roman" w:cs="Times New Roman" w:hint="eastAsia"/>
                <w:bCs/>
                <w:color w:val="000000" w:themeColor="text1"/>
                <w:sz w:val="24"/>
                <w:szCs w:val="24"/>
                <w:shd w:val="clear" w:color="auto" w:fill="FFFFFF"/>
                <w:lang w:val="zh-TW"/>
              </w:rPr>
              <w:t>5000m</w:t>
            </w:r>
            <w:r w:rsidRPr="00687B52">
              <w:rPr>
                <w:rFonts w:ascii="Times New Roman" w:eastAsia="宋体" w:hAnsi="Times New Roman" w:cs="Times New Roman" w:hint="eastAsia"/>
                <w:bCs/>
                <w:color w:val="000000" w:themeColor="text1"/>
                <w:sz w:val="24"/>
                <w:szCs w:val="24"/>
                <w:shd w:val="clear" w:color="auto" w:fill="FFFFFF"/>
                <w:vertAlign w:val="superscript"/>
                <w:lang w:val="zh-TW"/>
              </w:rPr>
              <w:t>3</w:t>
            </w:r>
          </w:p>
        </w:tc>
        <w:tc>
          <w:tcPr>
            <w:tcW w:w="831" w:type="pct"/>
            <w:vMerge/>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p>
        </w:tc>
        <w:tc>
          <w:tcPr>
            <w:tcW w:w="528" w:type="pct"/>
            <w:vMerge/>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p>
        </w:tc>
      </w:tr>
      <w:tr w:rsidR="00470403" w:rsidRPr="00687B52" w:rsidTr="00D25DE8">
        <w:tc>
          <w:tcPr>
            <w:tcW w:w="735" w:type="pct"/>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甲</w:t>
            </w:r>
            <w:r w:rsidRPr="00687B52">
              <w:rPr>
                <w:rFonts w:ascii="Times New Roman" w:eastAsia="宋体" w:hAnsi="Times New Roman" w:cs="Times New Roman" w:hint="eastAsia"/>
                <w:bCs/>
                <w:color w:val="000000" w:themeColor="text1"/>
                <w:sz w:val="24"/>
                <w:szCs w:val="24"/>
                <w:shd w:val="clear" w:color="auto" w:fill="FFFFFF"/>
                <w:lang w:val="zh-TW"/>
              </w:rPr>
              <w:t>B</w:t>
            </w:r>
            <w:r w:rsidRPr="00687B52">
              <w:rPr>
                <w:rFonts w:ascii="Times New Roman" w:eastAsia="宋体" w:hAnsi="Times New Roman" w:cs="Times New Roman" w:hint="eastAsia"/>
                <w:bCs/>
                <w:color w:val="000000" w:themeColor="text1"/>
                <w:sz w:val="24"/>
                <w:szCs w:val="24"/>
                <w:shd w:val="clear" w:color="auto" w:fill="FFFFFF"/>
                <w:lang w:val="zh-TW"/>
              </w:rPr>
              <w:t>、乙类</w:t>
            </w:r>
          </w:p>
        </w:tc>
        <w:tc>
          <w:tcPr>
            <w:tcW w:w="1135" w:type="pct"/>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2m</w:t>
            </w:r>
          </w:p>
        </w:tc>
        <w:tc>
          <w:tcPr>
            <w:tcW w:w="643" w:type="pct"/>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0.75D</w:t>
            </w:r>
          </w:p>
        </w:tc>
        <w:tc>
          <w:tcPr>
            <w:tcW w:w="1128" w:type="pct"/>
            <w:gridSpan w:val="2"/>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0.6D</w:t>
            </w:r>
          </w:p>
        </w:tc>
        <w:tc>
          <w:tcPr>
            <w:tcW w:w="831" w:type="pct"/>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0.4D</w:t>
            </w:r>
          </w:p>
        </w:tc>
        <w:tc>
          <w:tcPr>
            <w:tcW w:w="528" w:type="pct"/>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0.8m</w:t>
            </w:r>
          </w:p>
        </w:tc>
      </w:tr>
      <w:tr w:rsidR="00470403" w:rsidRPr="00687B52" w:rsidTr="00D25DE8">
        <w:tc>
          <w:tcPr>
            <w:tcW w:w="735" w:type="pct"/>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丙</w:t>
            </w:r>
            <w:r w:rsidRPr="00687B52">
              <w:rPr>
                <w:rFonts w:ascii="Times New Roman" w:eastAsia="宋体" w:hAnsi="Times New Roman" w:cs="Times New Roman" w:hint="eastAsia"/>
                <w:bCs/>
                <w:color w:val="000000" w:themeColor="text1"/>
                <w:sz w:val="24"/>
                <w:szCs w:val="24"/>
                <w:shd w:val="clear" w:color="auto" w:fill="FFFFFF"/>
                <w:lang w:val="zh-TW"/>
              </w:rPr>
              <w:t>A</w:t>
            </w:r>
            <w:r w:rsidRPr="00687B52">
              <w:rPr>
                <w:rFonts w:ascii="Times New Roman" w:eastAsia="宋体" w:hAnsi="Times New Roman" w:cs="Times New Roman" w:hint="eastAsia"/>
                <w:bCs/>
                <w:color w:val="000000" w:themeColor="text1"/>
                <w:sz w:val="24"/>
                <w:szCs w:val="24"/>
                <w:shd w:val="clear" w:color="auto" w:fill="FFFFFF"/>
                <w:lang w:val="zh-TW"/>
              </w:rPr>
              <w:t>类</w:t>
            </w:r>
          </w:p>
        </w:tc>
        <w:tc>
          <w:tcPr>
            <w:tcW w:w="1135" w:type="pct"/>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2m</w:t>
            </w:r>
          </w:p>
        </w:tc>
        <w:tc>
          <w:tcPr>
            <w:tcW w:w="1771" w:type="pct"/>
            <w:gridSpan w:val="3"/>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0.4D</w:t>
            </w:r>
          </w:p>
        </w:tc>
        <w:tc>
          <w:tcPr>
            <w:tcW w:w="831" w:type="pct"/>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0.4D</w:t>
            </w:r>
          </w:p>
        </w:tc>
        <w:tc>
          <w:tcPr>
            <w:tcW w:w="528" w:type="pct"/>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0.8m</w:t>
            </w:r>
          </w:p>
        </w:tc>
      </w:tr>
      <w:tr w:rsidR="00470403" w:rsidRPr="00687B52" w:rsidTr="00D25DE8">
        <w:tc>
          <w:tcPr>
            <w:tcW w:w="735" w:type="pct"/>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丙</w:t>
            </w:r>
            <w:r w:rsidRPr="00687B52">
              <w:rPr>
                <w:rFonts w:ascii="Times New Roman" w:eastAsia="宋体" w:hAnsi="Times New Roman" w:cs="Times New Roman" w:hint="eastAsia"/>
                <w:bCs/>
                <w:color w:val="000000" w:themeColor="text1"/>
                <w:sz w:val="24"/>
                <w:szCs w:val="24"/>
                <w:shd w:val="clear" w:color="auto" w:fill="FFFFFF"/>
                <w:lang w:val="zh-TW"/>
              </w:rPr>
              <w:t>B</w:t>
            </w:r>
            <w:r w:rsidRPr="00687B52">
              <w:rPr>
                <w:rFonts w:ascii="Times New Roman" w:eastAsia="宋体" w:hAnsi="Times New Roman" w:cs="Times New Roman" w:hint="eastAsia"/>
                <w:bCs/>
                <w:color w:val="000000" w:themeColor="text1"/>
                <w:sz w:val="24"/>
                <w:szCs w:val="24"/>
                <w:shd w:val="clear" w:color="auto" w:fill="FFFFFF"/>
                <w:lang w:val="zh-TW"/>
              </w:rPr>
              <w:t>类</w:t>
            </w:r>
          </w:p>
        </w:tc>
        <w:tc>
          <w:tcPr>
            <w:tcW w:w="1135" w:type="pct"/>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2m</w:t>
            </w:r>
          </w:p>
        </w:tc>
        <w:tc>
          <w:tcPr>
            <w:tcW w:w="643" w:type="pct"/>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2m</w:t>
            </w:r>
          </w:p>
        </w:tc>
        <w:tc>
          <w:tcPr>
            <w:tcW w:w="544" w:type="pct"/>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5m</w:t>
            </w:r>
          </w:p>
        </w:tc>
        <w:tc>
          <w:tcPr>
            <w:tcW w:w="584" w:type="pct"/>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0.4D</w:t>
            </w:r>
          </w:p>
        </w:tc>
        <w:tc>
          <w:tcPr>
            <w:tcW w:w="831" w:type="pct"/>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0.4D</w:t>
            </w:r>
            <w:r w:rsidRPr="00687B52">
              <w:rPr>
                <w:rFonts w:ascii="Times New Roman" w:eastAsia="宋体" w:hAnsi="Times New Roman" w:cs="Times New Roman" w:hint="eastAsia"/>
                <w:bCs/>
                <w:color w:val="000000" w:themeColor="text1"/>
                <w:sz w:val="24"/>
                <w:szCs w:val="24"/>
                <w:shd w:val="clear" w:color="auto" w:fill="FFFFFF"/>
                <w:lang w:val="zh-TW"/>
              </w:rPr>
              <w:t>与</w:t>
            </w:r>
            <w:r w:rsidRPr="00687B52">
              <w:rPr>
                <w:rFonts w:ascii="Times New Roman" w:eastAsia="宋体" w:hAnsi="Times New Roman" w:cs="Times New Roman" w:hint="eastAsia"/>
                <w:bCs/>
                <w:color w:val="000000" w:themeColor="text1"/>
                <w:sz w:val="24"/>
                <w:szCs w:val="24"/>
                <w:shd w:val="clear" w:color="auto" w:fill="FFFFFF"/>
                <w:lang w:val="zh-TW"/>
              </w:rPr>
              <w:t>15m</w:t>
            </w:r>
            <w:r w:rsidRPr="00687B52">
              <w:rPr>
                <w:rFonts w:ascii="Times New Roman" w:eastAsia="宋体" w:hAnsi="Times New Roman" w:cs="Times New Roman" w:hint="eastAsia"/>
                <w:bCs/>
                <w:color w:val="000000" w:themeColor="text1"/>
                <w:sz w:val="24"/>
                <w:szCs w:val="24"/>
                <w:shd w:val="clear" w:color="auto" w:fill="FFFFFF"/>
                <w:lang w:val="zh-TW"/>
              </w:rPr>
              <w:t>的较小值</w:t>
            </w:r>
          </w:p>
        </w:tc>
        <w:tc>
          <w:tcPr>
            <w:tcW w:w="528" w:type="pct"/>
            <w:vAlign w:val="center"/>
          </w:tcPr>
          <w:p w:rsidR="00470403" w:rsidRPr="00687B52" w:rsidRDefault="00470403" w:rsidP="005F5072">
            <w:pPr>
              <w:pStyle w:val="110"/>
              <w:shd w:val="clear" w:color="auto" w:fill="auto"/>
              <w:spacing w:before="0" w:line="240" w:lineRule="auto"/>
              <w:ind w:firstLine="0"/>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4"/>
                <w:szCs w:val="24"/>
                <w:shd w:val="clear" w:color="auto" w:fill="FFFFFF"/>
                <w:lang w:val="zh-TW"/>
              </w:rPr>
              <w:t>0.8m</w:t>
            </w:r>
          </w:p>
        </w:tc>
      </w:tr>
    </w:tbl>
    <w:p w:rsidR="00470403" w:rsidRPr="00687B52" w:rsidRDefault="00470403" w:rsidP="00470403">
      <w:pPr>
        <w:pStyle w:val="110"/>
        <w:shd w:val="clear" w:color="auto" w:fill="auto"/>
        <w:spacing w:before="0" w:line="240" w:lineRule="auto"/>
        <w:ind w:firstLine="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注：</w:t>
      </w:r>
      <w:r w:rsidRPr="00687B52">
        <w:rPr>
          <w:rFonts w:ascii="Times New Roman" w:eastAsia="宋体" w:hAnsi="Times New Roman" w:cs="Times New Roman" w:hint="eastAsia"/>
          <w:bCs/>
          <w:color w:val="000000" w:themeColor="text1"/>
          <w:sz w:val="21"/>
          <w:szCs w:val="21"/>
          <w:shd w:val="clear" w:color="auto" w:fill="FFFFFF"/>
          <w:lang w:val="zh-TW"/>
        </w:rPr>
        <w:t xml:space="preserve">1 </w:t>
      </w:r>
      <w:r w:rsidRPr="00687B52">
        <w:rPr>
          <w:rFonts w:ascii="Times New Roman" w:eastAsia="宋体" w:hAnsi="Times New Roman" w:cs="Times New Roman" w:hint="eastAsia"/>
          <w:bCs/>
          <w:color w:val="000000" w:themeColor="text1"/>
          <w:sz w:val="21"/>
          <w:szCs w:val="21"/>
          <w:shd w:val="clear" w:color="auto" w:fill="FFFFFF"/>
          <w:lang w:val="zh-TW"/>
        </w:rPr>
        <w:t>表中</w:t>
      </w:r>
      <w:r w:rsidRPr="00687B52">
        <w:rPr>
          <w:rFonts w:ascii="Times New Roman" w:eastAsia="宋体" w:hAnsi="Times New Roman" w:cs="Times New Roman" w:hint="eastAsia"/>
          <w:bCs/>
          <w:color w:val="000000" w:themeColor="text1"/>
          <w:sz w:val="21"/>
          <w:szCs w:val="21"/>
          <w:shd w:val="clear" w:color="auto" w:fill="FFFFFF"/>
          <w:lang w:val="zh-TW"/>
        </w:rPr>
        <w:t>D</w:t>
      </w:r>
      <w:r w:rsidRPr="00687B52">
        <w:rPr>
          <w:rFonts w:ascii="Times New Roman" w:eastAsia="宋体" w:hAnsi="Times New Roman" w:cs="Times New Roman" w:hint="eastAsia"/>
          <w:bCs/>
          <w:color w:val="000000" w:themeColor="text1"/>
          <w:sz w:val="21"/>
          <w:szCs w:val="21"/>
          <w:shd w:val="clear" w:color="auto" w:fill="FFFFFF"/>
          <w:lang w:val="zh-TW"/>
        </w:rPr>
        <w:t>为相邻储罐中较大储罐的直径。</w:t>
      </w:r>
    </w:p>
    <w:p w:rsidR="00470403" w:rsidRPr="00687B52" w:rsidRDefault="00470403" w:rsidP="00D25DE8">
      <w:pPr>
        <w:pStyle w:val="110"/>
        <w:shd w:val="clear" w:color="auto" w:fill="auto"/>
        <w:spacing w:before="0" w:line="240" w:lineRule="auto"/>
        <w:ind w:firstLineChars="200" w:firstLine="420"/>
        <w:jc w:val="left"/>
        <w:rPr>
          <w:rFonts w:ascii="Times New Roman" w:eastAsia="宋体" w:hAnsi="Times New Roman" w:cs="Times New Roman"/>
          <w:bCs/>
          <w:color w:val="000000" w:themeColor="text1"/>
          <w:sz w:val="24"/>
          <w:szCs w:val="24"/>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 xml:space="preserve">2 </w:t>
      </w:r>
      <w:r w:rsidRPr="00687B52">
        <w:rPr>
          <w:rFonts w:ascii="Times New Roman" w:eastAsia="宋体" w:hAnsi="Times New Roman" w:cs="Times New Roman" w:hint="eastAsia"/>
          <w:bCs/>
          <w:color w:val="000000" w:themeColor="text1"/>
          <w:sz w:val="21"/>
          <w:szCs w:val="21"/>
          <w:shd w:val="clear" w:color="auto" w:fill="FFFFFF"/>
          <w:lang w:val="zh-TW"/>
        </w:rPr>
        <w:t>储存不同类别液体的储罐、不同型式的储罐之间的防火距离，应采用较大者。</w:t>
      </w:r>
    </w:p>
    <w:p w:rsidR="00481EDB" w:rsidRPr="00687B52" w:rsidRDefault="00481EDB" w:rsidP="00856B6C">
      <w:pPr>
        <w:pStyle w:val="afd"/>
        <w:rPr>
          <w:color w:val="000000" w:themeColor="text1"/>
        </w:rPr>
      </w:pPr>
      <w:bookmarkStart w:id="272" w:name="_Toc491870839"/>
      <w:bookmarkStart w:id="273" w:name="_Toc492563494"/>
      <w:bookmarkStart w:id="274" w:name="_Toc493857095"/>
      <w:r w:rsidRPr="00687B52">
        <w:rPr>
          <w:rFonts w:hint="eastAsia"/>
          <w:color w:val="000000" w:themeColor="text1"/>
        </w:rPr>
        <w:t>表</w:t>
      </w:r>
      <w:r w:rsidRPr="00687B52">
        <w:rPr>
          <w:rFonts w:hint="eastAsia"/>
          <w:color w:val="000000" w:themeColor="text1"/>
        </w:rPr>
        <w:t xml:space="preserve">9.2.3 </w:t>
      </w:r>
      <w:r w:rsidRPr="00687B52">
        <w:rPr>
          <w:rFonts w:hint="eastAsia"/>
          <w:color w:val="000000" w:themeColor="text1"/>
        </w:rPr>
        <w:t>库外管道与相邻建（构）筑物或设施之间的距离</w:t>
      </w:r>
      <w:bookmarkEnd w:id="272"/>
      <w:bookmarkEnd w:id="273"/>
      <w:bookmarkEnd w:id="274"/>
    </w:p>
    <w:tbl>
      <w:tblPr>
        <w:tblStyle w:val="a6"/>
        <w:tblW w:w="5000" w:type="pct"/>
        <w:tblLook w:val="04A0" w:firstRow="1" w:lastRow="0" w:firstColumn="1" w:lastColumn="0" w:noHBand="0" w:noVBand="1"/>
      </w:tblPr>
      <w:tblGrid>
        <w:gridCol w:w="624"/>
        <w:gridCol w:w="1044"/>
        <w:gridCol w:w="1412"/>
        <w:gridCol w:w="1540"/>
        <w:gridCol w:w="1540"/>
        <w:gridCol w:w="1540"/>
        <w:gridCol w:w="1542"/>
      </w:tblGrid>
      <w:tr w:rsidR="00D25DE8" w:rsidRPr="00687B52" w:rsidTr="00D25DE8">
        <w:tc>
          <w:tcPr>
            <w:tcW w:w="338" w:type="pct"/>
            <w:vMerge w:val="restar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序号</w:t>
            </w:r>
          </w:p>
        </w:tc>
        <w:tc>
          <w:tcPr>
            <w:tcW w:w="1329" w:type="pct"/>
            <w:gridSpan w:val="2"/>
            <w:vMerge w:val="restar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相邻建（构）筑物</w:t>
            </w:r>
          </w:p>
        </w:tc>
        <w:tc>
          <w:tcPr>
            <w:tcW w:w="1666" w:type="pct"/>
            <w:gridSpan w:val="2"/>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液化烃等甲A类液体管道</w:t>
            </w:r>
          </w:p>
        </w:tc>
        <w:tc>
          <w:tcPr>
            <w:tcW w:w="1667" w:type="pct"/>
            <w:gridSpan w:val="2"/>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其他易燃和可燃液体管道</w:t>
            </w:r>
          </w:p>
        </w:tc>
      </w:tr>
      <w:tr w:rsidR="00D25DE8" w:rsidRPr="00687B52" w:rsidTr="00D25DE8">
        <w:tc>
          <w:tcPr>
            <w:tcW w:w="338" w:type="pct"/>
            <w:vMerge/>
            <w:vAlign w:val="center"/>
          </w:tcPr>
          <w:p w:rsidR="00D25DE8" w:rsidRPr="00687B52" w:rsidRDefault="00D25DE8" w:rsidP="003A290A">
            <w:pPr>
              <w:jc w:val="center"/>
              <w:rPr>
                <w:rFonts w:ascii="宋体" w:eastAsia="宋体" w:hAnsi="宋体" w:cs="宋体"/>
                <w:color w:val="000000" w:themeColor="text1"/>
                <w:sz w:val="24"/>
                <w:szCs w:val="24"/>
              </w:rPr>
            </w:pPr>
          </w:p>
        </w:tc>
        <w:tc>
          <w:tcPr>
            <w:tcW w:w="1329" w:type="pct"/>
            <w:gridSpan w:val="2"/>
            <w:vMerge/>
            <w:vAlign w:val="center"/>
          </w:tcPr>
          <w:p w:rsidR="00D25DE8" w:rsidRPr="00687B52" w:rsidRDefault="00D25DE8" w:rsidP="003A290A">
            <w:pPr>
              <w:jc w:val="center"/>
              <w:rPr>
                <w:rFonts w:ascii="宋体" w:eastAsia="宋体" w:hAnsi="宋体" w:cs="宋体"/>
                <w:color w:val="000000" w:themeColor="text1"/>
                <w:sz w:val="24"/>
                <w:szCs w:val="24"/>
              </w:rPr>
            </w:pP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埋地敷设</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地上架空</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埋地敷设</w:t>
            </w:r>
          </w:p>
        </w:tc>
        <w:tc>
          <w:tcPr>
            <w:tcW w:w="834"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地上架空</w:t>
            </w:r>
          </w:p>
        </w:tc>
      </w:tr>
      <w:tr w:rsidR="00D25DE8" w:rsidRPr="00687B52" w:rsidTr="00D25DE8">
        <w:tc>
          <w:tcPr>
            <w:tcW w:w="338"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1</w:t>
            </w:r>
          </w:p>
        </w:tc>
        <w:tc>
          <w:tcPr>
            <w:tcW w:w="1329" w:type="pct"/>
            <w:gridSpan w:val="2"/>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城镇居民点或独立的人群密集的房屋、工矿企业人员集中场所</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30</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40</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15</w:t>
            </w:r>
          </w:p>
        </w:tc>
        <w:tc>
          <w:tcPr>
            <w:tcW w:w="834"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25</w:t>
            </w:r>
          </w:p>
        </w:tc>
      </w:tr>
      <w:tr w:rsidR="00D25DE8" w:rsidRPr="00687B52" w:rsidTr="00D25DE8">
        <w:tc>
          <w:tcPr>
            <w:tcW w:w="338"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2</w:t>
            </w:r>
          </w:p>
        </w:tc>
        <w:tc>
          <w:tcPr>
            <w:tcW w:w="1329" w:type="pct"/>
            <w:gridSpan w:val="2"/>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工矿企业厂内生产设施</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20</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30</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10</w:t>
            </w:r>
          </w:p>
        </w:tc>
        <w:tc>
          <w:tcPr>
            <w:tcW w:w="834"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15</w:t>
            </w:r>
          </w:p>
        </w:tc>
      </w:tr>
      <w:tr w:rsidR="00D25DE8" w:rsidRPr="00687B52" w:rsidTr="00D25DE8">
        <w:tc>
          <w:tcPr>
            <w:tcW w:w="338" w:type="pct"/>
            <w:vMerge w:val="restar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3</w:t>
            </w:r>
          </w:p>
        </w:tc>
        <w:tc>
          <w:tcPr>
            <w:tcW w:w="565" w:type="pct"/>
            <w:vMerge w:val="restar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库外铁路线</w:t>
            </w:r>
          </w:p>
        </w:tc>
        <w:tc>
          <w:tcPr>
            <w:tcW w:w="764"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国家铁路线</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15</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25</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10</w:t>
            </w:r>
          </w:p>
        </w:tc>
        <w:tc>
          <w:tcPr>
            <w:tcW w:w="834"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15</w:t>
            </w:r>
          </w:p>
        </w:tc>
      </w:tr>
      <w:tr w:rsidR="00D25DE8" w:rsidRPr="00687B52" w:rsidTr="00D25DE8">
        <w:tc>
          <w:tcPr>
            <w:tcW w:w="338" w:type="pct"/>
            <w:vMerge/>
            <w:vAlign w:val="center"/>
          </w:tcPr>
          <w:p w:rsidR="00D25DE8" w:rsidRPr="00687B52" w:rsidRDefault="00D25DE8" w:rsidP="003A290A">
            <w:pPr>
              <w:jc w:val="center"/>
              <w:rPr>
                <w:rFonts w:ascii="宋体" w:eastAsia="宋体" w:hAnsi="宋体" w:cs="宋体"/>
                <w:color w:val="000000" w:themeColor="text1"/>
                <w:sz w:val="24"/>
                <w:szCs w:val="24"/>
              </w:rPr>
            </w:pPr>
          </w:p>
        </w:tc>
        <w:tc>
          <w:tcPr>
            <w:tcW w:w="565" w:type="pct"/>
            <w:vMerge/>
            <w:vAlign w:val="center"/>
          </w:tcPr>
          <w:p w:rsidR="00D25DE8" w:rsidRPr="00687B52" w:rsidRDefault="00D25DE8" w:rsidP="003A290A">
            <w:pPr>
              <w:jc w:val="center"/>
              <w:rPr>
                <w:rFonts w:ascii="宋体" w:eastAsia="宋体" w:hAnsi="宋体" w:cs="宋体"/>
                <w:color w:val="000000" w:themeColor="text1"/>
                <w:sz w:val="24"/>
                <w:szCs w:val="24"/>
              </w:rPr>
            </w:pPr>
          </w:p>
        </w:tc>
        <w:tc>
          <w:tcPr>
            <w:tcW w:w="764"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企业铁路线</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10</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15</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10</w:t>
            </w:r>
          </w:p>
        </w:tc>
        <w:tc>
          <w:tcPr>
            <w:tcW w:w="834"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10</w:t>
            </w:r>
          </w:p>
        </w:tc>
      </w:tr>
      <w:tr w:rsidR="00D25DE8" w:rsidRPr="00687B52" w:rsidTr="00D25DE8">
        <w:tc>
          <w:tcPr>
            <w:tcW w:w="338" w:type="pct"/>
            <w:vMerge w:val="restar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4</w:t>
            </w:r>
          </w:p>
        </w:tc>
        <w:tc>
          <w:tcPr>
            <w:tcW w:w="565" w:type="pct"/>
            <w:vMerge w:val="restar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库外公路</w:t>
            </w:r>
          </w:p>
        </w:tc>
        <w:tc>
          <w:tcPr>
            <w:tcW w:w="764"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高速公路、一级公路</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7.5</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12</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5</w:t>
            </w:r>
          </w:p>
        </w:tc>
        <w:tc>
          <w:tcPr>
            <w:tcW w:w="834"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7.5</w:t>
            </w:r>
          </w:p>
        </w:tc>
      </w:tr>
      <w:tr w:rsidR="00D25DE8" w:rsidRPr="00687B52" w:rsidTr="00D25DE8">
        <w:tc>
          <w:tcPr>
            <w:tcW w:w="338" w:type="pct"/>
            <w:vMerge/>
            <w:vAlign w:val="center"/>
          </w:tcPr>
          <w:p w:rsidR="00D25DE8" w:rsidRPr="00687B52" w:rsidRDefault="00D25DE8" w:rsidP="003A290A">
            <w:pPr>
              <w:jc w:val="center"/>
              <w:rPr>
                <w:rFonts w:ascii="宋体" w:eastAsia="宋体" w:hAnsi="宋体" w:cs="宋体"/>
                <w:color w:val="000000" w:themeColor="text1"/>
                <w:sz w:val="24"/>
                <w:szCs w:val="24"/>
              </w:rPr>
            </w:pPr>
          </w:p>
        </w:tc>
        <w:tc>
          <w:tcPr>
            <w:tcW w:w="565" w:type="pct"/>
            <w:vMerge/>
            <w:vAlign w:val="center"/>
          </w:tcPr>
          <w:p w:rsidR="00D25DE8" w:rsidRPr="00687B52" w:rsidRDefault="00D25DE8" w:rsidP="003A290A">
            <w:pPr>
              <w:jc w:val="center"/>
              <w:rPr>
                <w:rFonts w:ascii="宋体" w:eastAsia="宋体" w:hAnsi="宋体" w:cs="宋体"/>
                <w:color w:val="000000" w:themeColor="text1"/>
                <w:sz w:val="24"/>
                <w:szCs w:val="24"/>
              </w:rPr>
            </w:pPr>
          </w:p>
        </w:tc>
        <w:tc>
          <w:tcPr>
            <w:tcW w:w="764"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其他公路</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5</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7.5</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5</w:t>
            </w:r>
          </w:p>
        </w:tc>
        <w:tc>
          <w:tcPr>
            <w:tcW w:w="834"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7.5</w:t>
            </w:r>
          </w:p>
        </w:tc>
      </w:tr>
      <w:tr w:rsidR="00D25DE8" w:rsidRPr="00687B52" w:rsidTr="00D25DE8">
        <w:tc>
          <w:tcPr>
            <w:tcW w:w="338" w:type="pct"/>
            <w:vMerge w:val="restar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5</w:t>
            </w:r>
          </w:p>
        </w:tc>
        <w:tc>
          <w:tcPr>
            <w:tcW w:w="565" w:type="pct"/>
            <w:vMerge w:val="restar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工业园区内道路</w:t>
            </w:r>
          </w:p>
        </w:tc>
        <w:tc>
          <w:tcPr>
            <w:tcW w:w="764"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主要道路</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5</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5</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5</w:t>
            </w:r>
          </w:p>
        </w:tc>
        <w:tc>
          <w:tcPr>
            <w:tcW w:w="834"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5</w:t>
            </w:r>
          </w:p>
        </w:tc>
      </w:tr>
      <w:tr w:rsidR="00D25DE8" w:rsidRPr="00687B52" w:rsidTr="00D25DE8">
        <w:tc>
          <w:tcPr>
            <w:tcW w:w="338" w:type="pct"/>
            <w:vMerge/>
            <w:vAlign w:val="center"/>
          </w:tcPr>
          <w:p w:rsidR="00D25DE8" w:rsidRPr="00687B52" w:rsidRDefault="00D25DE8" w:rsidP="003A290A">
            <w:pPr>
              <w:jc w:val="center"/>
              <w:rPr>
                <w:rFonts w:ascii="宋体" w:eastAsia="宋体" w:hAnsi="宋体" w:cs="宋体"/>
                <w:color w:val="000000" w:themeColor="text1"/>
                <w:sz w:val="24"/>
                <w:szCs w:val="24"/>
              </w:rPr>
            </w:pPr>
          </w:p>
        </w:tc>
        <w:tc>
          <w:tcPr>
            <w:tcW w:w="565" w:type="pct"/>
            <w:vMerge/>
            <w:vAlign w:val="center"/>
          </w:tcPr>
          <w:p w:rsidR="00D25DE8" w:rsidRPr="00687B52" w:rsidRDefault="00D25DE8" w:rsidP="003A290A">
            <w:pPr>
              <w:jc w:val="center"/>
              <w:rPr>
                <w:rFonts w:ascii="宋体" w:eastAsia="宋体" w:hAnsi="宋体" w:cs="宋体"/>
                <w:color w:val="000000" w:themeColor="text1"/>
                <w:sz w:val="24"/>
                <w:szCs w:val="24"/>
              </w:rPr>
            </w:pPr>
          </w:p>
        </w:tc>
        <w:tc>
          <w:tcPr>
            <w:tcW w:w="764"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一般道路</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3</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3</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3</w:t>
            </w:r>
          </w:p>
        </w:tc>
        <w:tc>
          <w:tcPr>
            <w:tcW w:w="834"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3</w:t>
            </w:r>
          </w:p>
        </w:tc>
      </w:tr>
      <w:tr w:rsidR="00D25DE8" w:rsidRPr="00687B52" w:rsidTr="00D25DE8">
        <w:tc>
          <w:tcPr>
            <w:tcW w:w="338"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6</w:t>
            </w:r>
          </w:p>
        </w:tc>
        <w:tc>
          <w:tcPr>
            <w:tcW w:w="1329" w:type="pct"/>
            <w:gridSpan w:val="2"/>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架空电力、通信线路</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5</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一倍杆高，且不小于5m</w:t>
            </w:r>
          </w:p>
        </w:tc>
        <w:tc>
          <w:tcPr>
            <w:tcW w:w="833"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5</w:t>
            </w:r>
          </w:p>
        </w:tc>
        <w:tc>
          <w:tcPr>
            <w:tcW w:w="834" w:type="pct"/>
            <w:vAlign w:val="center"/>
          </w:tcPr>
          <w:p w:rsidR="00D25DE8" w:rsidRPr="00687B52" w:rsidRDefault="00D25DE8" w:rsidP="003A290A">
            <w:pPr>
              <w:jc w:val="center"/>
              <w:rPr>
                <w:rFonts w:ascii="宋体" w:eastAsia="宋体" w:hAnsi="宋体" w:cs="宋体"/>
                <w:color w:val="000000" w:themeColor="text1"/>
                <w:sz w:val="24"/>
                <w:szCs w:val="24"/>
              </w:rPr>
            </w:pPr>
            <w:r w:rsidRPr="00687B52">
              <w:rPr>
                <w:rFonts w:ascii="宋体" w:eastAsia="宋体" w:hAnsi="宋体" w:cs="宋体" w:hint="eastAsia"/>
                <w:color w:val="000000" w:themeColor="text1"/>
                <w:sz w:val="24"/>
                <w:szCs w:val="24"/>
              </w:rPr>
              <w:t>一倍杆高，且不小于5m</w:t>
            </w:r>
          </w:p>
        </w:tc>
      </w:tr>
    </w:tbl>
    <w:p w:rsidR="00D25DE8" w:rsidRPr="00687B52" w:rsidRDefault="00D25DE8" w:rsidP="00D25DE8">
      <w:pPr>
        <w:rPr>
          <w:color w:val="000000" w:themeColor="text1"/>
          <w:szCs w:val="21"/>
        </w:rPr>
      </w:pPr>
      <w:r w:rsidRPr="00687B52">
        <w:rPr>
          <w:rFonts w:hint="eastAsia"/>
          <w:color w:val="000000" w:themeColor="text1"/>
          <w:szCs w:val="21"/>
        </w:rPr>
        <w:t>注：</w:t>
      </w:r>
      <w:r w:rsidRPr="00687B52">
        <w:rPr>
          <w:rFonts w:hint="eastAsia"/>
          <w:color w:val="000000" w:themeColor="text1"/>
          <w:szCs w:val="21"/>
        </w:rPr>
        <w:t>1</w:t>
      </w:r>
      <w:r w:rsidRPr="00687B52">
        <w:rPr>
          <w:rFonts w:hint="eastAsia"/>
          <w:color w:val="000000" w:themeColor="text1"/>
          <w:szCs w:val="21"/>
        </w:rPr>
        <w:t>对于城镇居民点或独立的人群密集的房屋、工矿企业人员集中场所，由边缘建（构）筑物的外墙算起；对于学校、医院、工矿企业厂内生产设施等，由区域边界线算起。</w:t>
      </w:r>
    </w:p>
    <w:p w:rsidR="00D25DE8" w:rsidRPr="00687B52" w:rsidRDefault="00D25DE8" w:rsidP="00D25DE8">
      <w:pPr>
        <w:ind w:firstLine="420"/>
        <w:rPr>
          <w:color w:val="000000" w:themeColor="text1"/>
          <w:szCs w:val="21"/>
        </w:rPr>
      </w:pPr>
      <w:r w:rsidRPr="00687B52">
        <w:rPr>
          <w:rFonts w:hint="eastAsia"/>
          <w:color w:val="000000" w:themeColor="text1"/>
          <w:szCs w:val="21"/>
        </w:rPr>
        <w:t>2</w:t>
      </w:r>
      <w:r w:rsidRPr="00687B52">
        <w:rPr>
          <w:rFonts w:hint="eastAsia"/>
          <w:color w:val="000000" w:themeColor="text1"/>
          <w:szCs w:val="21"/>
        </w:rPr>
        <w:t>表中库外管道与库外铁路线、库外公路、工业园区内道路之间的距离系指两者平行敷设时的间距。</w:t>
      </w:r>
    </w:p>
    <w:p w:rsidR="00D25DE8" w:rsidRPr="00687B52" w:rsidRDefault="00D25DE8" w:rsidP="00D25DE8">
      <w:pPr>
        <w:ind w:firstLine="420"/>
        <w:rPr>
          <w:color w:val="000000" w:themeColor="text1"/>
          <w:szCs w:val="21"/>
        </w:rPr>
      </w:pPr>
      <w:r w:rsidRPr="00687B52">
        <w:rPr>
          <w:rFonts w:hint="eastAsia"/>
          <w:color w:val="000000" w:themeColor="text1"/>
          <w:szCs w:val="21"/>
        </w:rPr>
        <w:t>3</w:t>
      </w:r>
      <w:r w:rsidRPr="00687B52">
        <w:rPr>
          <w:rFonts w:hint="eastAsia"/>
          <w:color w:val="000000" w:themeColor="text1"/>
          <w:szCs w:val="21"/>
        </w:rPr>
        <w:t>当情况特殊或受地形及其他条件限制时，在采取加强安全保护措施后、序号</w:t>
      </w:r>
      <w:r w:rsidRPr="00687B52">
        <w:rPr>
          <w:rFonts w:hint="eastAsia"/>
          <w:color w:val="000000" w:themeColor="text1"/>
          <w:szCs w:val="21"/>
        </w:rPr>
        <w:t>1</w:t>
      </w:r>
      <w:r w:rsidRPr="00687B52">
        <w:rPr>
          <w:rFonts w:hint="eastAsia"/>
          <w:color w:val="000000" w:themeColor="text1"/>
          <w:szCs w:val="21"/>
        </w:rPr>
        <w:t>和</w:t>
      </w:r>
      <w:r w:rsidRPr="00687B52">
        <w:rPr>
          <w:rFonts w:hint="eastAsia"/>
          <w:color w:val="000000" w:themeColor="text1"/>
          <w:szCs w:val="21"/>
        </w:rPr>
        <w:t>2</w:t>
      </w:r>
      <w:r w:rsidRPr="00687B52">
        <w:rPr>
          <w:rFonts w:hint="eastAsia"/>
          <w:color w:val="000000" w:themeColor="text1"/>
          <w:szCs w:val="21"/>
        </w:rPr>
        <w:t>的距离可减少</w:t>
      </w:r>
      <w:r w:rsidRPr="00687B52">
        <w:rPr>
          <w:rFonts w:hint="eastAsia"/>
          <w:color w:val="000000" w:themeColor="text1"/>
          <w:szCs w:val="21"/>
        </w:rPr>
        <w:t>50%</w:t>
      </w:r>
      <w:r w:rsidRPr="00687B52">
        <w:rPr>
          <w:rFonts w:hint="eastAsia"/>
          <w:color w:val="000000" w:themeColor="text1"/>
          <w:szCs w:val="21"/>
        </w:rPr>
        <w:t>。对处于地形特殊困难地段与公路平行的局部管段，在采取</w:t>
      </w:r>
      <w:r w:rsidR="00D510A9" w:rsidRPr="00687B52">
        <w:rPr>
          <w:rFonts w:hint="eastAsia"/>
          <w:color w:val="000000" w:themeColor="text1"/>
          <w:szCs w:val="21"/>
        </w:rPr>
        <w:t>加强安全保护措施后，可埋设在公路路肩边线以外的公路用地范围以内。</w:t>
      </w:r>
    </w:p>
    <w:p w:rsidR="00D25DE8" w:rsidRPr="00687B52" w:rsidRDefault="00D25DE8" w:rsidP="00D25DE8">
      <w:pPr>
        <w:ind w:firstLine="420"/>
        <w:rPr>
          <w:color w:val="000000" w:themeColor="text1"/>
          <w:szCs w:val="21"/>
        </w:rPr>
      </w:pPr>
      <w:r w:rsidRPr="00687B52">
        <w:rPr>
          <w:rFonts w:hint="eastAsia"/>
          <w:color w:val="000000" w:themeColor="text1"/>
          <w:szCs w:val="21"/>
        </w:rPr>
        <w:t>4</w:t>
      </w:r>
      <w:r w:rsidRPr="00687B52">
        <w:rPr>
          <w:rFonts w:hint="eastAsia"/>
          <w:color w:val="000000" w:themeColor="text1"/>
          <w:szCs w:val="21"/>
        </w:rPr>
        <w:t>库外管道尚应位于铁路用地范围边线和公路用地范围边线外。</w:t>
      </w:r>
    </w:p>
    <w:p w:rsidR="00481EDB" w:rsidRPr="00687B52" w:rsidRDefault="00D25DE8" w:rsidP="00D25DE8">
      <w:pPr>
        <w:ind w:firstLineChars="200" w:firstLine="420"/>
        <w:rPr>
          <w:rFonts w:ascii="宋体" w:eastAsia="宋体" w:hAnsi="宋体"/>
          <w:b/>
          <w:color w:val="000000" w:themeColor="text1"/>
          <w:w w:val="90"/>
          <w:szCs w:val="21"/>
        </w:rPr>
      </w:pPr>
      <w:r w:rsidRPr="00687B52">
        <w:rPr>
          <w:rFonts w:hint="eastAsia"/>
          <w:color w:val="000000" w:themeColor="text1"/>
          <w:szCs w:val="21"/>
        </w:rPr>
        <w:t>5</w:t>
      </w:r>
      <w:r w:rsidRPr="00687B52">
        <w:rPr>
          <w:rFonts w:hint="eastAsia"/>
          <w:color w:val="000000" w:themeColor="text1"/>
          <w:szCs w:val="21"/>
        </w:rPr>
        <w:t>库外管道尚不应穿越与其无关的工矿企业，却有困难需要穿越时，应进行安全评估。</w:t>
      </w:r>
    </w:p>
    <w:p w:rsidR="00D25DE8" w:rsidRPr="00687B52" w:rsidRDefault="00D25DE8" w:rsidP="00481EDB">
      <w:pPr>
        <w:jc w:val="center"/>
        <w:rPr>
          <w:rFonts w:ascii="宋体" w:eastAsia="宋体" w:hAnsi="宋体"/>
          <w:b/>
          <w:color w:val="000000" w:themeColor="text1"/>
          <w:w w:val="90"/>
          <w:sz w:val="28"/>
          <w:szCs w:val="28"/>
        </w:rPr>
        <w:sectPr w:rsidR="00D25DE8" w:rsidRPr="00687B52" w:rsidSect="00D25DE8">
          <w:pgSz w:w="11906" w:h="16838"/>
          <w:pgMar w:top="1797" w:right="1440" w:bottom="1797" w:left="1440" w:header="851" w:footer="907" w:gutter="0"/>
          <w:cols w:space="425"/>
          <w:docGrid w:type="lines" w:linePitch="312"/>
        </w:sectPr>
      </w:pPr>
    </w:p>
    <w:p w:rsidR="00481EDB" w:rsidRPr="00687B52" w:rsidRDefault="00481EDB" w:rsidP="00763863">
      <w:pPr>
        <w:pStyle w:val="aff2"/>
        <w:ind w:firstLine="562"/>
        <w:rPr>
          <w:color w:val="000000" w:themeColor="text1"/>
        </w:rPr>
      </w:pPr>
      <w:bookmarkStart w:id="275" w:name="_Toc491870840"/>
      <w:bookmarkStart w:id="276" w:name="_Toc492555586"/>
      <w:bookmarkStart w:id="277" w:name="_Toc492557269"/>
      <w:bookmarkStart w:id="278" w:name="_Toc492557339"/>
      <w:bookmarkStart w:id="279" w:name="_Toc492557599"/>
      <w:bookmarkStart w:id="280" w:name="_Toc492557968"/>
      <w:bookmarkStart w:id="281" w:name="_Toc492559541"/>
      <w:bookmarkStart w:id="282" w:name="_Toc492563495"/>
      <w:bookmarkStart w:id="283" w:name="_Toc492564088"/>
      <w:bookmarkStart w:id="284" w:name="_Toc492634921"/>
      <w:bookmarkStart w:id="285" w:name="_Toc493857096"/>
      <w:r w:rsidRPr="00687B52">
        <w:rPr>
          <w:rFonts w:hint="eastAsia"/>
          <w:color w:val="000000" w:themeColor="text1"/>
        </w:rPr>
        <w:t>附</w:t>
      </w:r>
      <w:r w:rsidR="00980275" w:rsidRPr="00687B52">
        <w:rPr>
          <w:rFonts w:hint="eastAsia"/>
          <w:color w:val="000000" w:themeColor="text1"/>
        </w:rPr>
        <w:t>2</w:t>
      </w:r>
      <w:r w:rsidRPr="00687B52">
        <w:rPr>
          <w:rFonts w:hint="eastAsia"/>
          <w:color w:val="000000" w:themeColor="text1"/>
        </w:rPr>
        <w:t>.9</w:t>
      </w:r>
      <w:r w:rsidRPr="00687B52">
        <w:rPr>
          <w:rFonts w:hint="eastAsia"/>
          <w:color w:val="000000" w:themeColor="text1"/>
        </w:rPr>
        <w:t>《石油天然气工程设计防火规范》</w:t>
      </w:r>
      <w:r w:rsidRPr="00687B52">
        <w:rPr>
          <w:rFonts w:hint="eastAsia"/>
          <w:color w:val="000000" w:themeColor="text1"/>
        </w:rPr>
        <w:t>GB50183-2004</w:t>
      </w:r>
      <w:r w:rsidRPr="00687B52">
        <w:rPr>
          <w:rFonts w:hint="eastAsia"/>
          <w:color w:val="000000" w:themeColor="text1"/>
        </w:rPr>
        <w:t>有关要求</w:t>
      </w:r>
      <w:bookmarkEnd w:id="275"/>
      <w:bookmarkEnd w:id="276"/>
      <w:bookmarkEnd w:id="277"/>
      <w:bookmarkEnd w:id="278"/>
      <w:bookmarkEnd w:id="279"/>
      <w:bookmarkEnd w:id="280"/>
      <w:bookmarkEnd w:id="281"/>
      <w:bookmarkEnd w:id="282"/>
      <w:bookmarkEnd w:id="283"/>
      <w:bookmarkEnd w:id="284"/>
      <w:bookmarkEnd w:id="285"/>
    </w:p>
    <w:p w:rsidR="00481EDB" w:rsidRPr="00687B52" w:rsidRDefault="00481EDB" w:rsidP="00DB02C5">
      <w:pPr>
        <w:pStyle w:val="afd"/>
        <w:rPr>
          <w:color w:val="000000" w:themeColor="text1"/>
        </w:rPr>
      </w:pPr>
      <w:bookmarkStart w:id="286" w:name="_Toc491870841"/>
      <w:bookmarkStart w:id="287" w:name="_Toc492563496"/>
      <w:bookmarkStart w:id="288" w:name="_Toc493857097"/>
      <w:r w:rsidRPr="00687B52">
        <w:rPr>
          <w:rFonts w:hint="eastAsia"/>
          <w:color w:val="000000" w:themeColor="text1"/>
        </w:rPr>
        <w:t>表</w:t>
      </w:r>
      <w:r w:rsidRPr="00687B52">
        <w:rPr>
          <w:rFonts w:hint="eastAsia"/>
          <w:color w:val="000000" w:themeColor="text1"/>
        </w:rPr>
        <w:t xml:space="preserve">4.0.4 </w:t>
      </w:r>
      <w:r w:rsidRPr="00687B52">
        <w:rPr>
          <w:rFonts w:hint="eastAsia"/>
          <w:color w:val="000000" w:themeColor="text1"/>
        </w:rPr>
        <w:t>石油天然气站场区域布置防火间距</w:t>
      </w:r>
      <w:bookmarkEnd w:id="286"/>
      <w:bookmarkEnd w:id="287"/>
      <w:r w:rsidR="006A7807" w:rsidRPr="00687B52">
        <w:rPr>
          <w:rFonts w:hint="eastAsia"/>
          <w:color w:val="000000" w:themeColor="text1"/>
        </w:rPr>
        <w:t>（</w:t>
      </w:r>
      <w:r w:rsidR="006A7807" w:rsidRPr="00687B52">
        <w:rPr>
          <w:rFonts w:hint="eastAsia"/>
          <w:color w:val="000000" w:themeColor="text1"/>
        </w:rPr>
        <w:t>m</w:t>
      </w:r>
      <w:r w:rsidR="006A7807" w:rsidRPr="00687B52">
        <w:rPr>
          <w:rFonts w:hint="eastAsia"/>
          <w:color w:val="000000" w:themeColor="text1"/>
        </w:rPr>
        <w:t>）</w:t>
      </w:r>
      <w:bookmarkEnd w:id="288"/>
    </w:p>
    <w:tbl>
      <w:tblPr>
        <w:tblStyle w:val="a6"/>
        <w:tblW w:w="0" w:type="auto"/>
        <w:tblLayout w:type="fixed"/>
        <w:tblLook w:val="04A0" w:firstRow="1" w:lastRow="0" w:firstColumn="1" w:lastColumn="0" w:noHBand="0" w:noVBand="1"/>
      </w:tblPr>
      <w:tblGrid>
        <w:gridCol w:w="817"/>
        <w:gridCol w:w="709"/>
        <w:gridCol w:w="1417"/>
        <w:gridCol w:w="932"/>
        <w:gridCol w:w="628"/>
        <w:gridCol w:w="850"/>
        <w:gridCol w:w="992"/>
        <w:gridCol w:w="709"/>
        <w:gridCol w:w="709"/>
        <w:gridCol w:w="992"/>
        <w:gridCol w:w="1276"/>
        <w:gridCol w:w="709"/>
        <w:gridCol w:w="850"/>
        <w:gridCol w:w="851"/>
        <w:gridCol w:w="1019"/>
      </w:tblGrid>
      <w:tr w:rsidR="00F1377D" w:rsidRPr="00687B52" w:rsidTr="00F1377D">
        <w:tc>
          <w:tcPr>
            <w:tcW w:w="1526" w:type="dxa"/>
            <w:gridSpan w:val="2"/>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序号</w:t>
            </w:r>
          </w:p>
        </w:tc>
        <w:tc>
          <w:tcPr>
            <w:tcW w:w="1417"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w:t>
            </w:r>
          </w:p>
        </w:tc>
        <w:tc>
          <w:tcPr>
            <w:tcW w:w="93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w:t>
            </w:r>
          </w:p>
        </w:tc>
        <w:tc>
          <w:tcPr>
            <w:tcW w:w="628"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w:t>
            </w:r>
          </w:p>
        </w:tc>
        <w:tc>
          <w:tcPr>
            <w:tcW w:w="850"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7</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8</w:t>
            </w:r>
          </w:p>
        </w:tc>
        <w:tc>
          <w:tcPr>
            <w:tcW w:w="1276"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9</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10</w:t>
            </w:r>
          </w:p>
        </w:tc>
        <w:tc>
          <w:tcPr>
            <w:tcW w:w="850"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11</w:t>
            </w:r>
          </w:p>
        </w:tc>
        <w:tc>
          <w:tcPr>
            <w:tcW w:w="851"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12</w:t>
            </w:r>
          </w:p>
        </w:tc>
        <w:tc>
          <w:tcPr>
            <w:tcW w:w="101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13</w:t>
            </w:r>
          </w:p>
        </w:tc>
      </w:tr>
      <w:tr w:rsidR="00F1377D" w:rsidRPr="00687B52" w:rsidTr="00F1377D">
        <w:tc>
          <w:tcPr>
            <w:tcW w:w="1526" w:type="dxa"/>
            <w:gridSpan w:val="2"/>
            <w:vMerge w:val="restart"/>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名称</w:t>
            </w:r>
          </w:p>
        </w:tc>
        <w:tc>
          <w:tcPr>
            <w:tcW w:w="1417" w:type="dxa"/>
            <w:vMerge w:val="restart"/>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100</w:t>
            </w:r>
            <w:r w:rsidRPr="00687B52">
              <w:rPr>
                <w:rFonts w:ascii="Times New Roman" w:eastAsia="宋体" w:hAnsi="Times New Roman" w:cs="Times New Roman" w:hint="eastAsia"/>
                <w:bCs/>
                <w:color w:val="000000" w:themeColor="text1"/>
                <w:sz w:val="18"/>
                <w:szCs w:val="18"/>
                <w:shd w:val="clear" w:color="auto" w:fill="FFFFFF"/>
                <w:lang w:val="zh-TW"/>
              </w:rPr>
              <w:t>人以上的居住区、村镇、公共福利设施</w:t>
            </w:r>
          </w:p>
        </w:tc>
        <w:tc>
          <w:tcPr>
            <w:tcW w:w="932" w:type="dxa"/>
            <w:vMerge w:val="restart"/>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100</w:t>
            </w:r>
            <w:r w:rsidRPr="00687B52">
              <w:rPr>
                <w:rFonts w:ascii="Times New Roman" w:eastAsia="宋体" w:hAnsi="Times New Roman" w:cs="Times New Roman" w:hint="eastAsia"/>
                <w:bCs/>
                <w:color w:val="000000" w:themeColor="text1"/>
                <w:sz w:val="18"/>
                <w:szCs w:val="18"/>
                <w:shd w:val="clear" w:color="auto" w:fill="FFFFFF"/>
                <w:lang w:val="zh-TW"/>
              </w:rPr>
              <w:t>人以下的散居房屋</w:t>
            </w:r>
          </w:p>
        </w:tc>
        <w:tc>
          <w:tcPr>
            <w:tcW w:w="628" w:type="dxa"/>
            <w:vMerge w:val="restart"/>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相邻厂矿企业</w:t>
            </w:r>
          </w:p>
        </w:tc>
        <w:tc>
          <w:tcPr>
            <w:tcW w:w="1842" w:type="dxa"/>
            <w:gridSpan w:val="2"/>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铁路</w:t>
            </w:r>
          </w:p>
        </w:tc>
        <w:tc>
          <w:tcPr>
            <w:tcW w:w="1418" w:type="dxa"/>
            <w:gridSpan w:val="2"/>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公路</w:t>
            </w:r>
          </w:p>
        </w:tc>
        <w:tc>
          <w:tcPr>
            <w:tcW w:w="992" w:type="dxa"/>
            <w:vMerge w:val="restart"/>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35KV</w:t>
            </w:r>
            <w:r w:rsidRPr="00687B52">
              <w:rPr>
                <w:rFonts w:ascii="Times New Roman" w:eastAsia="宋体" w:hAnsi="Times New Roman" w:cs="Times New Roman" w:hint="eastAsia"/>
                <w:bCs/>
                <w:color w:val="000000" w:themeColor="text1"/>
                <w:sz w:val="18"/>
                <w:szCs w:val="18"/>
                <w:shd w:val="clear" w:color="auto" w:fill="FFFFFF"/>
                <w:lang w:val="zh-TW"/>
              </w:rPr>
              <w:t>以上独立变电所</w:t>
            </w:r>
          </w:p>
        </w:tc>
        <w:tc>
          <w:tcPr>
            <w:tcW w:w="1985" w:type="dxa"/>
            <w:gridSpan w:val="2"/>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架空电力线路</w:t>
            </w:r>
          </w:p>
        </w:tc>
        <w:tc>
          <w:tcPr>
            <w:tcW w:w="1701" w:type="dxa"/>
            <w:gridSpan w:val="2"/>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架空通信线路</w:t>
            </w:r>
          </w:p>
        </w:tc>
        <w:tc>
          <w:tcPr>
            <w:tcW w:w="1019" w:type="dxa"/>
            <w:vMerge w:val="restart"/>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爆炸作业场地（如采石场）</w:t>
            </w:r>
          </w:p>
        </w:tc>
      </w:tr>
      <w:tr w:rsidR="00F1377D" w:rsidRPr="00687B52" w:rsidTr="00F1377D">
        <w:tc>
          <w:tcPr>
            <w:tcW w:w="1526" w:type="dxa"/>
            <w:gridSpan w:val="2"/>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1417"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932"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628"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850"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国家铁路线</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工业企业铁路线</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高速公路</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其他公路</w:t>
            </w:r>
          </w:p>
        </w:tc>
        <w:tc>
          <w:tcPr>
            <w:tcW w:w="992"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1276"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35KV</w:t>
            </w:r>
            <w:r w:rsidRPr="00687B52">
              <w:rPr>
                <w:rFonts w:ascii="Times New Roman" w:eastAsia="宋体" w:hAnsi="Times New Roman" w:cs="Times New Roman" w:hint="eastAsia"/>
                <w:bCs/>
                <w:color w:val="000000" w:themeColor="text1"/>
                <w:sz w:val="18"/>
                <w:szCs w:val="18"/>
                <w:shd w:val="clear" w:color="auto" w:fill="FFFFFF"/>
                <w:lang w:val="zh-TW"/>
              </w:rPr>
              <w:t>以上</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35KV</w:t>
            </w:r>
            <w:r w:rsidRPr="00687B52">
              <w:rPr>
                <w:rFonts w:ascii="Times New Roman" w:eastAsia="宋体" w:hAnsi="Times New Roman" w:cs="Times New Roman" w:hint="eastAsia"/>
                <w:bCs/>
                <w:color w:val="000000" w:themeColor="text1"/>
                <w:sz w:val="18"/>
                <w:szCs w:val="18"/>
                <w:shd w:val="clear" w:color="auto" w:fill="FFFFFF"/>
                <w:lang w:val="zh-TW"/>
              </w:rPr>
              <w:t>以下</w:t>
            </w:r>
          </w:p>
        </w:tc>
        <w:tc>
          <w:tcPr>
            <w:tcW w:w="850"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国家Ⅰ、Ⅱ级</w:t>
            </w:r>
          </w:p>
        </w:tc>
        <w:tc>
          <w:tcPr>
            <w:tcW w:w="851"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其他通信线路</w:t>
            </w:r>
          </w:p>
        </w:tc>
        <w:tc>
          <w:tcPr>
            <w:tcW w:w="1019"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r>
      <w:tr w:rsidR="00F1377D" w:rsidRPr="00687B52" w:rsidTr="00F1377D">
        <w:tc>
          <w:tcPr>
            <w:tcW w:w="817" w:type="dxa"/>
            <w:vMerge w:val="restart"/>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油品站场、天然气站场</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一级</w:t>
            </w:r>
          </w:p>
        </w:tc>
        <w:tc>
          <w:tcPr>
            <w:tcW w:w="1417"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100</w:t>
            </w:r>
          </w:p>
        </w:tc>
        <w:tc>
          <w:tcPr>
            <w:tcW w:w="93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75</w:t>
            </w:r>
          </w:p>
        </w:tc>
        <w:tc>
          <w:tcPr>
            <w:tcW w:w="628"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70</w:t>
            </w:r>
          </w:p>
        </w:tc>
        <w:tc>
          <w:tcPr>
            <w:tcW w:w="850"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1276" w:type="dxa"/>
            <w:vMerge w:val="restart"/>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1.5</w:t>
            </w:r>
            <w:r w:rsidRPr="00687B52">
              <w:rPr>
                <w:rFonts w:ascii="Times New Roman" w:eastAsia="宋体" w:hAnsi="Times New Roman" w:cs="Times New Roman" w:hint="eastAsia"/>
                <w:bCs/>
                <w:color w:val="000000" w:themeColor="text1"/>
                <w:sz w:val="18"/>
                <w:szCs w:val="18"/>
                <w:shd w:val="clear" w:color="auto" w:fill="FFFFFF"/>
                <w:lang w:val="zh-TW"/>
              </w:rPr>
              <w:t>倍杆高且不小于</w:t>
            </w:r>
            <w:r w:rsidRPr="00687B52">
              <w:rPr>
                <w:rFonts w:ascii="Times New Roman" w:eastAsia="宋体" w:hAnsi="Times New Roman" w:cs="Times New Roman" w:hint="eastAsia"/>
                <w:bCs/>
                <w:color w:val="000000" w:themeColor="text1"/>
                <w:sz w:val="18"/>
                <w:szCs w:val="18"/>
                <w:shd w:val="clear" w:color="auto" w:fill="FFFFFF"/>
                <w:lang w:val="zh-TW"/>
              </w:rPr>
              <w:t>30m</w:t>
            </w:r>
          </w:p>
        </w:tc>
        <w:tc>
          <w:tcPr>
            <w:tcW w:w="709" w:type="dxa"/>
            <w:vMerge w:val="restart"/>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1.5</w:t>
            </w:r>
            <w:r w:rsidRPr="00687B52">
              <w:rPr>
                <w:rFonts w:ascii="Times New Roman" w:eastAsia="宋体" w:hAnsi="Times New Roman" w:cs="Times New Roman" w:hint="eastAsia"/>
                <w:bCs/>
                <w:color w:val="000000" w:themeColor="text1"/>
                <w:sz w:val="18"/>
                <w:szCs w:val="18"/>
                <w:shd w:val="clear" w:color="auto" w:fill="FFFFFF"/>
                <w:lang w:val="zh-TW"/>
              </w:rPr>
              <w:t>倍杆高</w:t>
            </w:r>
          </w:p>
        </w:tc>
        <w:tc>
          <w:tcPr>
            <w:tcW w:w="850" w:type="dxa"/>
            <w:vMerge w:val="restart"/>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851" w:type="dxa"/>
            <w:vMerge w:val="restart"/>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1.5</w:t>
            </w:r>
            <w:r w:rsidRPr="00687B52">
              <w:rPr>
                <w:rFonts w:ascii="Times New Roman" w:eastAsia="宋体" w:hAnsi="Times New Roman" w:cs="Times New Roman" w:hint="eastAsia"/>
                <w:bCs/>
                <w:color w:val="000000" w:themeColor="text1"/>
                <w:sz w:val="18"/>
                <w:szCs w:val="18"/>
                <w:shd w:val="clear" w:color="auto" w:fill="FFFFFF"/>
                <w:lang w:val="zh-TW"/>
              </w:rPr>
              <w:t>倍杆高</w:t>
            </w:r>
          </w:p>
        </w:tc>
        <w:tc>
          <w:tcPr>
            <w:tcW w:w="1019" w:type="dxa"/>
            <w:vMerge w:val="restart"/>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300</w:t>
            </w:r>
          </w:p>
        </w:tc>
      </w:tr>
      <w:tr w:rsidR="00F1377D" w:rsidRPr="00687B52" w:rsidTr="00F1377D">
        <w:tc>
          <w:tcPr>
            <w:tcW w:w="817"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二级</w:t>
            </w:r>
          </w:p>
        </w:tc>
        <w:tc>
          <w:tcPr>
            <w:tcW w:w="1417"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80</w:t>
            </w:r>
          </w:p>
        </w:tc>
        <w:tc>
          <w:tcPr>
            <w:tcW w:w="93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628"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850"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45</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1276"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709"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850"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851"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1019"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r>
      <w:tr w:rsidR="00F1377D" w:rsidRPr="00687B52" w:rsidTr="00F1377D">
        <w:tc>
          <w:tcPr>
            <w:tcW w:w="817"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三级</w:t>
            </w:r>
          </w:p>
        </w:tc>
        <w:tc>
          <w:tcPr>
            <w:tcW w:w="1417"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93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45</w:t>
            </w:r>
          </w:p>
        </w:tc>
        <w:tc>
          <w:tcPr>
            <w:tcW w:w="628"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850"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15</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1276"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709"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850"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851"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1019"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r>
      <w:tr w:rsidR="00F1377D" w:rsidRPr="00687B52" w:rsidTr="00F1377D">
        <w:tc>
          <w:tcPr>
            <w:tcW w:w="817"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四级</w:t>
            </w:r>
          </w:p>
        </w:tc>
        <w:tc>
          <w:tcPr>
            <w:tcW w:w="1417"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93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w:t>
            </w:r>
          </w:p>
        </w:tc>
        <w:tc>
          <w:tcPr>
            <w:tcW w:w="628"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850"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15</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1276"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709"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850" w:type="dxa"/>
            <w:vMerge w:val="restart"/>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1.5</w:t>
            </w:r>
            <w:r w:rsidRPr="00687B52">
              <w:rPr>
                <w:rFonts w:ascii="Times New Roman" w:eastAsia="宋体" w:hAnsi="Times New Roman" w:cs="Times New Roman" w:hint="eastAsia"/>
                <w:bCs/>
                <w:color w:val="000000" w:themeColor="text1"/>
                <w:sz w:val="18"/>
                <w:szCs w:val="18"/>
                <w:shd w:val="clear" w:color="auto" w:fill="FFFFFF"/>
                <w:lang w:val="zh-TW"/>
              </w:rPr>
              <w:t>倍杆高</w:t>
            </w:r>
          </w:p>
        </w:tc>
        <w:tc>
          <w:tcPr>
            <w:tcW w:w="851"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1019"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r>
      <w:tr w:rsidR="00F1377D" w:rsidRPr="00687B52" w:rsidTr="00F1377D">
        <w:tc>
          <w:tcPr>
            <w:tcW w:w="817"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五级</w:t>
            </w:r>
          </w:p>
        </w:tc>
        <w:tc>
          <w:tcPr>
            <w:tcW w:w="1417"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93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628"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850"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10</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1276"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1.5</w:t>
            </w:r>
            <w:r w:rsidRPr="00687B52">
              <w:rPr>
                <w:rFonts w:ascii="Times New Roman" w:eastAsia="宋体" w:hAnsi="Times New Roman" w:cs="Times New Roman" w:hint="eastAsia"/>
                <w:bCs/>
                <w:color w:val="000000" w:themeColor="text1"/>
                <w:sz w:val="18"/>
                <w:szCs w:val="18"/>
                <w:shd w:val="clear" w:color="auto" w:fill="FFFFFF"/>
                <w:lang w:val="zh-TW"/>
              </w:rPr>
              <w:t>倍杆高</w:t>
            </w:r>
          </w:p>
        </w:tc>
        <w:tc>
          <w:tcPr>
            <w:tcW w:w="709"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850"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851"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1019"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r>
      <w:tr w:rsidR="00F1377D" w:rsidRPr="00687B52" w:rsidTr="00F1377D">
        <w:tc>
          <w:tcPr>
            <w:tcW w:w="817" w:type="dxa"/>
            <w:vMerge w:val="restart"/>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液化石油气和天然气凝液站场</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一级</w:t>
            </w:r>
          </w:p>
        </w:tc>
        <w:tc>
          <w:tcPr>
            <w:tcW w:w="1417"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120</w:t>
            </w:r>
          </w:p>
        </w:tc>
        <w:tc>
          <w:tcPr>
            <w:tcW w:w="93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90</w:t>
            </w:r>
          </w:p>
        </w:tc>
        <w:tc>
          <w:tcPr>
            <w:tcW w:w="628"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120</w:t>
            </w:r>
          </w:p>
        </w:tc>
        <w:tc>
          <w:tcPr>
            <w:tcW w:w="850"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55</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80</w:t>
            </w:r>
          </w:p>
        </w:tc>
        <w:tc>
          <w:tcPr>
            <w:tcW w:w="1276" w:type="dxa"/>
            <w:vMerge w:val="restart"/>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709" w:type="dxa"/>
            <w:vMerge w:val="restart"/>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1.5</w:t>
            </w:r>
            <w:r w:rsidRPr="00687B52">
              <w:rPr>
                <w:rFonts w:ascii="Times New Roman" w:eastAsia="宋体" w:hAnsi="Times New Roman" w:cs="Times New Roman" w:hint="eastAsia"/>
                <w:bCs/>
                <w:color w:val="000000" w:themeColor="text1"/>
                <w:sz w:val="18"/>
                <w:szCs w:val="18"/>
                <w:shd w:val="clear" w:color="auto" w:fill="FFFFFF"/>
                <w:lang w:val="zh-TW"/>
              </w:rPr>
              <w:t>倍杆高</w:t>
            </w:r>
          </w:p>
        </w:tc>
        <w:tc>
          <w:tcPr>
            <w:tcW w:w="850" w:type="dxa"/>
            <w:vMerge w:val="restart"/>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851" w:type="dxa"/>
            <w:vMerge w:val="restart"/>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1.5</w:t>
            </w:r>
            <w:r w:rsidRPr="00687B52">
              <w:rPr>
                <w:rFonts w:ascii="Times New Roman" w:eastAsia="宋体" w:hAnsi="Times New Roman" w:cs="Times New Roman" w:hint="eastAsia"/>
                <w:bCs/>
                <w:color w:val="000000" w:themeColor="text1"/>
                <w:sz w:val="18"/>
                <w:szCs w:val="18"/>
                <w:shd w:val="clear" w:color="auto" w:fill="FFFFFF"/>
                <w:lang w:val="zh-TW"/>
              </w:rPr>
              <w:t>倍杆高</w:t>
            </w:r>
          </w:p>
        </w:tc>
        <w:tc>
          <w:tcPr>
            <w:tcW w:w="1019" w:type="dxa"/>
            <w:vMerge w:val="restart"/>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300</w:t>
            </w:r>
          </w:p>
        </w:tc>
      </w:tr>
      <w:tr w:rsidR="00F1377D" w:rsidRPr="00687B52" w:rsidTr="00F1377D">
        <w:tc>
          <w:tcPr>
            <w:tcW w:w="817"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二级</w:t>
            </w:r>
          </w:p>
        </w:tc>
        <w:tc>
          <w:tcPr>
            <w:tcW w:w="1417"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100</w:t>
            </w:r>
          </w:p>
        </w:tc>
        <w:tc>
          <w:tcPr>
            <w:tcW w:w="93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75</w:t>
            </w:r>
          </w:p>
        </w:tc>
        <w:tc>
          <w:tcPr>
            <w:tcW w:w="628"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100</w:t>
            </w:r>
          </w:p>
        </w:tc>
        <w:tc>
          <w:tcPr>
            <w:tcW w:w="850"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80</w:t>
            </w:r>
          </w:p>
        </w:tc>
        <w:tc>
          <w:tcPr>
            <w:tcW w:w="1276"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709"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850"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851"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1019"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r>
      <w:tr w:rsidR="00F1377D" w:rsidRPr="00687B52" w:rsidTr="00F1377D">
        <w:tc>
          <w:tcPr>
            <w:tcW w:w="817"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三级</w:t>
            </w:r>
          </w:p>
        </w:tc>
        <w:tc>
          <w:tcPr>
            <w:tcW w:w="1417"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80</w:t>
            </w:r>
          </w:p>
        </w:tc>
        <w:tc>
          <w:tcPr>
            <w:tcW w:w="93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628"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80</w:t>
            </w:r>
          </w:p>
        </w:tc>
        <w:tc>
          <w:tcPr>
            <w:tcW w:w="850"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45</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70</w:t>
            </w:r>
          </w:p>
        </w:tc>
        <w:tc>
          <w:tcPr>
            <w:tcW w:w="1276"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709"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850"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851"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1019"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r>
      <w:tr w:rsidR="00F1377D" w:rsidRPr="00687B52" w:rsidTr="00F1377D">
        <w:tc>
          <w:tcPr>
            <w:tcW w:w="817"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四级</w:t>
            </w:r>
          </w:p>
        </w:tc>
        <w:tc>
          <w:tcPr>
            <w:tcW w:w="1417"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93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628"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850"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1276"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1.5</w:t>
            </w:r>
            <w:r w:rsidRPr="00687B52">
              <w:rPr>
                <w:rFonts w:ascii="Times New Roman" w:eastAsia="宋体" w:hAnsi="Times New Roman" w:cs="Times New Roman" w:hint="eastAsia"/>
                <w:bCs/>
                <w:color w:val="000000" w:themeColor="text1"/>
                <w:sz w:val="18"/>
                <w:szCs w:val="18"/>
                <w:shd w:val="clear" w:color="auto" w:fill="FFFFFF"/>
                <w:lang w:val="zh-TW"/>
              </w:rPr>
              <w:t>倍杆高且不小于</w:t>
            </w:r>
            <w:r w:rsidRPr="00687B52">
              <w:rPr>
                <w:rFonts w:ascii="Times New Roman" w:eastAsia="宋体" w:hAnsi="Times New Roman" w:cs="Times New Roman" w:hint="eastAsia"/>
                <w:bCs/>
                <w:color w:val="000000" w:themeColor="text1"/>
                <w:sz w:val="18"/>
                <w:szCs w:val="18"/>
                <w:shd w:val="clear" w:color="auto" w:fill="FFFFFF"/>
                <w:lang w:val="zh-TW"/>
              </w:rPr>
              <w:t>30m</w:t>
            </w:r>
          </w:p>
        </w:tc>
        <w:tc>
          <w:tcPr>
            <w:tcW w:w="709"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850"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851"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1019"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r>
      <w:tr w:rsidR="00F1377D" w:rsidRPr="00687B52" w:rsidTr="00F1377D">
        <w:tc>
          <w:tcPr>
            <w:tcW w:w="817"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五级</w:t>
            </w:r>
          </w:p>
        </w:tc>
        <w:tc>
          <w:tcPr>
            <w:tcW w:w="1417"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93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45</w:t>
            </w:r>
          </w:p>
        </w:tc>
        <w:tc>
          <w:tcPr>
            <w:tcW w:w="628"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850"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1276"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1.5</w:t>
            </w:r>
            <w:r w:rsidRPr="00687B52">
              <w:rPr>
                <w:rFonts w:ascii="Times New Roman" w:eastAsia="宋体" w:hAnsi="Times New Roman" w:cs="Times New Roman" w:hint="eastAsia"/>
                <w:bCs/>
                <w:color w:val="000000" w:themeColor="text1"/>
                <w:sz w:val="18"/>
                <w:szCs w:val="18"/>
                <w:shd w:val="clear" w:color="auto" w:fill="FFFFFF"/>
                <w:lang w:val="zh-TW"/>
              </w:rPr>
              <w:t>倍杆高</w:t>
            </w:r>
          </w:p>
        </w:tc>
        <w:tc>
          <w:tcPr>
            <w:tcW w:w="709"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850"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851"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c>
          <w:tcPr>
            <w:tcW w:w="1019" w:type="dxa"/>
            <w:vMerge/>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p>
        </w:tc>
      </w:tr>
      <w:tr w:rsidR="00F1377D" w:rsidRPr="00687B52" w:rsidTr="00F1377D">
        <w:tc>
          <w:tcPr>
            <w:tcW w:w="1526" w:type="dxa"/>
            <w:gridSpan w:val="2"/>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可能携带可燃液体的火炬</w:t>
            </w:r>
          </w:p>
        </w:tc>
        <w:tc>
          <w:tcPr>
            <w:tcW w:w="1417"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120</w:t>
            </w:r>
          </w:p>
        </w:tc>
        <w:tc>
          <w:tcPr>
            <w:tcW w:w="93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120</w:t>
            </w:r>
          </w:p>
        </w:tc>
        <w:tc>
          <w:tcPr>
            <w:tcW w:w="628"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120</w:t>
            </w:r>
          </w:p>
        </w:tc>
        <w:tc>
          <w:tcPr>
            <w:tcW w:w="850"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80</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80</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80</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992"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120</w:t>
            </w:r>
          </w:p>
        </w:tc>
        <w:tc>
          <w:tcPr>
            <w:tcW w:w="1276"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80</w:t>
            </w:r>
          </w:p>
        </w:tc>
        <w:tc>
          <w:tcPr>
            <w:tcW w:w="70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80</w:t>
            </w:r>
          </w:p>
        </w:tc>
        <w:tc>
          <w:tcPr>
            <w:tcW w:w="850"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80</w:t>
            </w:r>
          </w:p>
        </w:tc>
        <w:tc>
          <w:tcPr>
            <w:tcW w:w="851"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1019" w:type="dxa"/>
            <w:vAlign w:val="center"/>
          </w:tcPr>
          <w:p w:rsidR="002E01DC" w:rsidRPr="00687B52" w:rsidRDefault="002E01DC" w:rsidP="00C2311F">
            <w:pPr>
              <w:pStyle w:val="110"/>
              <w:shd w:val="clear" w:color="auto" w:fill="auto"/>
              <w:spacing w:before="0" w:line="240" w:lineRule="auto"/>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300</w:t>
            </w:r>
          </w:p>
        </w:tc>
      </w:tr>
    </w:tbl>
    <w:p w:rsidR="002E01DC" w:rsidRPr="00687B52" w:rsidRDefault="002E01DC" w:rsidP="005F75B2">
      <w:pPr>
        <w:pStyle w:val="110"/>
        <w:shd w:val="clear" w:color="auto" w:fill="auto"/>
        <w:spacing w:before="0" w:line="260" w:lineRule="exact"/>
        <w:ind w:left="500" w:hangingChars="250" w:hanging="500"/>
        <w:jc w:val="left"/>
        <w:rPr>
          <w:rFonts w:ascii="Times New Roman" w:eastAsia="宋体" w:hAnsi="Times New Roman" w:cs="Times New Roman"/>
          <w:bCs/>
          <w:color w:val="000000" w:themeColor="text1"/>
          <w:sz w:val="20"/>
          <w:szCs w:val="20"/>
          <w:shd w:val="clear" w:color="auto" w:fill="FFFFFF"/>
          <w:lang w:val="zh-TW"/>
        </w:rPr>
      </w:pPr>
      <w:r w:rsidRPr="00687B52">
        <w:rPr>
          <w:rFonts w:ascii="Times New Roman" w:eastAsia="宋体" w:hAnsi="Times New Roman" w:cs="Times New Roman" w:hint="eastAsia"/>
          <w:bCs/>
          <w:color w:val="000000" w:themeColor="text1"/>
          <w:sz w:val="20"/>
          <w:szCs w:val="20"/>
          <w:shd w:val="clear" w:color="auto" w:fill="FFFFFF"/>
          <w:lang w:val="zh-TW"/>
        </w:rPr>
        <w:t>注：</w:t>
      </w:r>
      <w:r w:rsidRPr="00687B52">
        <w:rPr>
          <w:rFonts w:ascii="Times New Roman" w:eastAsia="宋体" w:hAnsi="Times New Roman" w:cs="Times New Roman" w:hint="eastAsia"/>
          <w:bCs/>
          <w:color w:val="000000" w:themeColor="text1"/>
          <w:sz w:val="20"/>
          <w:szCs w:val="20"/>
          <w:shd w:val="clear" w:color="auto" w:fill="FFFFFF"/>
          <w:lang w:val="zh-TW"/>
        </w:rPr>
        <w:t xml:space="preserve">1 </w:t>
      </w:r>
      <w:r w:rsidRPr="00687B52">
        <w:rPr>
          <w:rFonts w:ascii="Times New Roman" w:eastAsia="宋体" w:hAnsi="Times New Roman" w:cs="Times New Roman" w:hint="eastAsia"/>
          <w:bCs/>
          <w:color w:val="000000" w:themeColor="text1"/>
          <w:sz w:val="20"/>
          <w:szCs w:val="20"/>
          <w:shd w:val="clear" w:color="auto" w:fill="FFFFFF"/>
          <w:lang w:val="zh-TW"/>
        </w:rPr>
        <w:t>表中数值系指石油天然气站场内甲、乙类储罐外壁与周围居住区、相邻厂矿企业、交通线等的防火间距，油气处理设备、装卸区、容器、厂房与序号</w:t>
      </w:r>
      <w:r w:rsidRPr="00687B52">
        <w:rPr>
          <w:rFonts w:ascii="Times New Roman" w:eastAsia="宋体" w:hAnsi="Times New Roman" w:cs="Times New Roman" w:hint="eastAsia"/>
          <w:bCs/>
          <w:color w:val="000000" w:themeColor="text1"/>
          <w:sz w:val="20"/>
          <w:szCs w:val="20"/>
          <w:shd w:val="clear" w:color="auto" w:fill="FFFFFF"/>
          <w:lang w:val="zh-TW"/>
        </w:rPr>
        <w:t>1~8</w:t>
      </w:r>
      <w:r w:rsidRPr="00687B52">
        <w:rPr>
          <w:rFonts w:ascii="Times New Roman" w:eastAsia="宋体" w:hAnsi="Times New Roman" w:cs="Times New Roman" w:hint="eastAsia"/>
          <w:bCs/>
          <w:color w:val="000000" w:themeColor="text1"/>
          <w:sz w:val="20"/>
          <w:szCs w:val="20"/>
          <w:shd w:val="clear" w:color="auto" w:fill="FFFFFF"/>
          <w:lang w:val="zh-TW"/>
        </w:rPr>
        <w:t>的防火间距可按本表减少</w:t>
      </w:r>
      <w:r w:rsidRPr="00687B52">
        <w:rPr>
          <w:rFonts w:ascii="Times New Roman" w:eastAsia="宋体" w:hAnsi="Times New Roman" w:cs="Times New Roman" w:hint="eastAsia"/>
          <w:bCs/>
          <w:color w:val="000000" w:themeColor="text1"/>
          <w:sz w:val="20"/>
          <w:szCs w:val="20"/>
          <w:shd w:val="clear" w:color="auto" w:fill="FFFFFF"/>
          <w:lang w:val="zh-TW"/>
        </w:rPr>
        <w:t>25%</w:t>
      </w:r>
      <w:r w:rsidRPr="00687B52">
        <w:rPr>
          <w:rFonts w:ascii="Times New Roman" w:eastAsia="宋体" w:hAnsi="Times New Roman" w:cs="Times New Roman" w:hint="eastAsia"/>
          <w:bCs/>
          <w:color w:val="000000" w:themeColor="text1"/>
          <w:sz w:val="20"/>
          <w:szCs w:val="20"/>
          <w:shd w:val="clear" w:color="auto" w:fill="FFFFFF"/>
          <w:lang w:val="zh-TW"/>
        </w:rPr>
        <w:t>。单罐容量小于或等于</w:t>
      </w:r>
      <w:r w:rsidRPr="00687B52">
        <w:rPr>
          <w:rFonts w:ascii="Times New Roman" w:eastAsia="宋体" w:hAnsi="Times New Roman" w:cs="Times New Roman" w:hint="eastAsia"/>
          <w:bCs/>
          <w:color w:val="000000" w:themeColor="text1"/>
          <w:sz w:val="20"/>
          <w:szCs w:val="20"/>
          <w:shd w:val="clear" w:color="auto" w:fill="FFFFFF"/>
          <w:lang w:val="zh-TW"/>
        </w:rPr>
        <w:t>50m</w:t>
      </w:r>
      <w:r w:rsidRPr="00687B52">
        <w:rPr>
          <w:rFonts w:ascii="Times New Roman" w:eastAsia="宋体" w:hAnsi="Times New Roman" w:cs="Times New Roman" w:hint="eastAsia"/>
          <w:bCs/>
          <w:color w:val="000000" w:themeColor="text1"/>
          <w:sz w:val="20"/>
          <w:szCs w:val="20"/>
          <w:shd w:val="clear" w:color="auto" w:fill="FFFFFF"/>
          <w:vertAlign w:val="superscript"/>
          <w:lang w:val="zh-TW"/>
        </w:rPr>
        <w:t>3</w:t>
      </w:r>
      <w:r w:rsidRPr="00687B52">
        <w:rPr>
          <w:rFonts w:ascii="Times New Roman" w:eastAsia="宋体" w:hAnsi="Times New Roman" w:cs="Times New Roman" w:hint="eastAsia"/>
          <w:bCs/>
          <w:color w:val="000000" w:themeColor="text1"/>
          <w:sz w:val="20"/>
          <w:szCs w:val="20"/>
          <w:shd w:val="clear" w:color="auto" w:fill="FFFFFF"/>
          <w:lang w:val="zh-TW"/>
        </w:rPr>
        <w:t>的直埋卧式油罐与序号</w:t>
      </w:r>
      <w:r w:rsidRPr="00687B52">
        <w:rPr>
          <w:rFonts w:ascii="Times New Roman" w:eastAsia="宋体" w:hAnsi="Times New Roman" w:cs="Times New Roman" w:hint="eastAsia"/>
          <w:bCs/>
          <w:color w:val="000000" w:themeColor="text1"/>
          <w:sz w:val="20"/>
          <w:szCs w:val="20"/>
          <w:shd w:val="clear" w:color="auto" w:fill="FFFFFF"/>
          <w:lang w:val="zh-TW"/>
        </w:rPr>
        <w:t>1~12</w:t>
      </w:r>
      <w:r w:rsidRPr="00687B52">
        <w:rPr>
          <w:rFonts w:ascii="Times New Roman" w:eastAsia="宋体" w:hAnsi="Times New Roman" w:cs="Times New Roman" w:hint="eastAsia"/>
          <w:bCs/>
          <w:color w:val="000000" w:themeColor="text1"/>
          <w:sz w:val="20"/>
          <w:szCs w:val="20"/>
          <w:shd w:val="clear" w:color="auto" w:fill="FFFFFF"/>
          <w:lang w:val="zh-TW"/>
        </w:rPr>
        <w:t>的防火间距可减少</w:t>
      </w:r>
      <w:r w:rsidRPr="00687B52">
        <w:rPr>
          <w:rFonts w:ascii="Times New Roman" w:eastAsia="宋体" w:hAnsi="Times New Roman" w:cs="Times New Roman" w:hint="eastAsia"/>
          <w:bCs/>
          <w:color w:val="000000" w:themeColor="text1"/>
          <w:sz w:val="20"/>
          <w:szCs w:val="20"/>
          <w:shd w:val="clear" w:color="auto" w:fill="FFFFFF"/>
          <w:lang w:val="zh-TW"/>
        </w:rPr>
        <w:t>50%</w:t>
      </w:r>
      <w:r w:rsidRPr="00687B52">
        <w:rPr>
          <w:rFonts w:ascii="Times New Roman" w:eastAsia="宋体" w:hAnsi="Times New Roman" w:cs="Times New Roman" w:hint="eastAsia"/>
          <w:bCs/>
          <w:color w:val="000000" w:themeColor="text1"/>
          <w:sz w:val="20"/>
          <w:szCs w:val="20"/>
          <w:shd w:val="clear" w:color="auto" w:fill="FFFFFF"/>
          <w:lang w:val="zh-TW"/>
        </w:rPr>
        <w:t>，但不得小于</w:t>
      </w:r>
      <w:r w:rsidRPr="00687B52">
        <w:rPr>
          <w:rFonts w:ascii="Times New Roman" w:eastAsia="宋体" w:hAnsi="Times New Roman" w:cs="Times New Roman" w:hint="eastAsia"/>
          <w:bCs/>
          <w:color w:val="000000" w:themeColor="text1"/>
          <w:sz w:val="20"/>
          <w:szCs w:val="20"/>
          <w:shd w:val="clear" w:color="auto" w:fill="FFFFFF"/>
          <w:lang w:val="zh-TW"/>
        </w:rPr>
        <w:t>15m</w:t>
      </w:r>
      <w:r w:rsidRPr="00687B52">
        <w:rPr>
          <w:rFonts w:ascii="Times New Roman" w:eastAsia="宋体" w:hAnsi="Times New Roman" w:cs="Times New Roman" w:hint="eastAsia"/>
          <w:bCs/>
          <w:color w:val="000000" w:themeColor="text1"/>
          <w:sz w:val="20"/>
          <w:szCs w:val="20"/>
          <w:shd w:val="clear" w:color="auto" w:fill="FFFFFF"/>
          <w:lang w:val="zh-TW"/>
        </w:rPr>
        <w:t>（五级油品站场与其他公路的距离除外）。</w:t>
      </w:r>
    </w:p>
    <w:p w:rsidR="002E01DC" w:rsidRPr="00687B52" w:rsidRDefault="002E01DC" w:rsidP="005F75B2">
      <w:pPr>
        <w:pStyle w:val="110"/>
        <w:shd w:val="clear" w:color="auto" w:fill="auto"/>
        <w:spacing w:before="0" w:line="260" w:lineRule="exact"/>
        <w:ind w:leftChars="200" w:left="520" w:hangingChars="50" w:hanging="100"/>
        <w:jc w:val="left"/>
        <w:rPr>
          <w:rFonts w:ascii="Times New Roman" w:eastAsia="宋体" w:hAnsi="Times New Roman" w:cs="Times New Roman"/>
          <w:bCs/>
          <w:color w:val="000000" w:themeColor="text1"/>
          <w:sz w:val="20"/>
          <w:szCs w:val="20"/>
          <w:shd w:val="clear" w:color="auto" w:fill="FFFFFF"/>
          <w:lang w:val="zh-TW"/>
        </w:rPr>
      </w:pPr>
      <w:r w:rsidRPr="00687B52">
        <w:rPr>
          <w:rFonts w:ascii="Times New Roman" w:eastAsia="宋体" w:hAnsi="Times New Roman" w:cs="Times New Roman" w:hint="eastAsia"/>
          <w:bCs/>
          <w:color w:val="000000" w:themeColor="text1"/>
          <w:sz w:val="20"/>
          <w:szCs w:val="20"/>
          <w:shd w:val="clear" w:color="auto" w:fill="FFFFFF"/>
          <w:lang w:val="zh-TW"/>
        </w:rPr>
        <w:t xml:space="preserve">2 </w:t>
      </w:r>
      <w:r w:rsidRPr="00687B52">
        <w:rPr>
          <w:rFonts w:ascii="Times New Roman" w:eastAsia="宋体" w:hAnsi="Times New Roman" w:cs="Times New Roman" w:hint="eastAsia"/>
          <w:bCs/>
          <w:color w:val="000000" w:themeColor="text1"/>
          <w:sz w:val="20"/>
          <w:szCs w:val="20"/>
          <w:shd w:val="clear" w:color="auto" w:fill="FFFFFF"/>
          <w:lang w:val="zh-TW"/>
        </w:rPr>
        <w:t>油品站场当仅储存丙</w:t>
      </w:r>
      <w:r w:rsidRPr="00687B52">
        <w:rPr>
          <w:rFonts w:ascii="Times New Roman" w:eastAsia="宋体" w:hAnsi="Times New Roman" w:cs="Times New Roman" w:hint="eastAsia"/>
          <w:bCs/>
          <w:color w:val="000000" w:themeColor="text1"/>
          <w:sz w:val="20"/>
          <w:szCs w:val="20"/>
          <w:shd w:val="clear" w:color="auto" w:fill="FFFFFF"/>
          <w:vertAlign w:val="subscript"/>
          <w:lang w:val="zh-TW"/>
        </w:rPr>
        <w:t>A</w:t>
      </w:r>
      <w:r w:rsidRPr="00687B52">
        <w:rPr>
          <w:rFonts w:ascii="Times New Roman" w:eastAsia="宋体" w:hAnsi="Times New Roman" w:cs="Times New Roman" w:hint="eastAsia"/>
          <w:bCs/>
          <w:color w:val="000000" w:themeColor="text1"/>
          <w:sz w:val="20"/>
          <w:szCs w:val="20"/>
          <w:shd w:val="clear" w:color="auto" w:fill="FFFFFF"/>
          <w:lang w:val="zh-TW"/>
        </w:rPr>
        <w:t>、或丙</w:t>
      </w:r>
      <w:r w:rsidRPr="00687B52">
        <w:rPr>
          <w:rFonts w:ascii="Times New Roman" w:eastAsia="宋体" w:hAnsi="Times New Roman" w:cs="Times New Roman" w:hint="eastAsia"/>
          <w:bCs/>
          <w:color w:val="000000" w:themeColor="text1"/>
          <w:sz w:val="20"/>
          <w:szCs w:val="20"/>
          <w:shd w:val="clear" w:color="auto" w:fill="FFFFFF"/>
          <w:vertAlign w:val="subscript"/>
          <w:lang w:val="zh-TW"/>
        </w:rPr>
        <w:t>A</w:t>
      </w:r>
      <w:r w:rsidRPr="00687B52">
        <w:rPr>
          <w:rFonts w:ascii="Times New Roman" w:eastAsia="宋体" w:hAnsi="Times New Roman" w:cs="Times New Roman" w:hint="eastAsia"/>
          <w:bCs/>
          <w:color w:val="000000" w:themeColor="text1"/>
          <w:sz w:val="20"/>
          <w:szCs w:val="20"/>
          <w:shd w:val="clear" w:color="auto" w:fill="FFFFFF"/>
          <w:lang w:val="zh-TW"/>
        </w:rPr>
        <w:t>和丙</w:t>
      </w:r>
      <w:r w:rsidRPr="00687B52">
        <w:rPr>
          <w:rFonts w:ascii="Times New Roman" w:eastAsia="宋体" w:hAnsi="Times New Roman" w:cs="Times New Roman" w:hint="eastAsia"/>
          <w:bCs/>
          <w:color w:val="000000" w:themeColor="text1"/>
          <w:sz w:val="20"/>
          <w:szCs w:val="20"/>
          <w:shd w:val="clear" w:color="auto" w:fill="FFFFFF"/>
          <w:vertAlign w:val="subscript"/>
          <w:lang w:val="zh-TW"/>
        </w:rPr>
        <w:t>B</w:t>
      </w:r>
      <w:r w:rsidRPr="00687B52">
        <w:rPr>
          <w:rFonts w:ascii="Times New Roman" w:eastAsia="宋体" w:hAnsi="Times New Roman" w:cs="Times New Roman" w:hint="eastAsia"/>
          <w:bCs/>
          <w:color w:val="000000" w:themeColor="text1"/>
          <w:sz w:val="20"/>
          <w:szCs w:val="20"/>
          <w:shd w:val="clear" w:color="auto" w:fill="FFFFFF"/>
          <w:lang w:val="zh-TW"/>
        </w:rPr>
        <w:t>类油品时，序号</w:t>
      </w:r>
      <w:r w:rsidRPr="00687B52">
        <w:rPr>
          <w:rFonts w:ascii="Times New Roman" w:eastAsia="宋体" w:hAnsi="Times New Roman" w:cs="Times New Roman" w:hint="eastAsia"/>
          <w:bCs/>
          <w:color w:val="000000" w:themeColor="text1"/>
          <w:sz w:val="20"/>
          <w:szCs w:val="20"/>
          <w:shd w:val="clear" w:color="auto" w:fill="FFFFFF"/>
          <w:lang w:val="zh-TW"/>
        </w:rPr>
        <w:t>1</w:t>
      </w:r>
      <w:r w:rsidRPr="00687B52">
        <w:rPr>
          <w:rFonts w:ascii="Times New Roman" w:eastAsia="宋体" w:hAnsi="Times New Roman" w:cs="Times New Roman" w:hint="eastAsia"/>
          <w:bCs/>
          <w:color w:val="000000" w:themeColor="text1"/>
          <w:sz w:val="20"/>
          <w:szCs w:val="20"/>
          <w:shd w:val="clear" w:color="auto" w:fill="FFFFFF"/>
          <w:lang w:val="zh-TW"/>
        </w:rPr>
        <w:t>、</w:t>
      </w:r>
      <w:r w:rsidRPr="00687B52">
        <w:rPr>
          <w:rFonts w:ascii="Times New Roman" w:eastAsia="宋体" w:hAnsi="Times New Roman" w:cs="Times New Roman" w:hint="eastAsia"/>
          <w:bCs/>
          <w:color w:val="000000" w:themeColor="text1"/>
          <w:sz w:val="20"/>
          <w:szCs w:val="20"/>
          <w:shd w:val="clear" w:color="auto" w:fill="FFFFFF"/>
          <w:lang w:val="zh-TW"/>
        </w:rPr>
        <w:t>2</w:t>
      </w:r>
      <w:r w:rsidRPr="00687B52">
        <w:rPr>
          <w:rFonts w:ascii="Times New Roman" w:eastAsia="宋体" w:hAnsi="Times New Roman" w:cs="Times New Roman" w:hint="eastAsia"/>
          <w:bCs/>
          <w:color w:val="000000" w:themeColor="text1"/>
          <w:sz w:val="20"/>
          <w:szCs w:val="20"/>
          <w:shd w:val="clear" w:color="auto" w:fill="FFFFFF"/>
          <w:lang w:val="zh-TW"/>
        </w:rPr>
        <w:t>、</w:t>
      </w:r>
      <w:r w:rsidRPr="00687B52">
        <w:rPr>
          <w:rFonts w:ascii="Times New Roman" w:eastAsia="宋体" w:hAnsi="Times New Roman" w:cs="Times New Roman" w:hint="eastAsia"/>
          <w:bCs/>
          <w:color w:val="000000" w:themeColor="text1"/>
          <w:sz w:val="20"/>
          <w:szCs w:val="20"/>
          <w:shd w:val="clear" w:color="auto" w:fill="FFFFFF"/>
          <w:lang w:val="zh-TW"/>
        </w:rPr>
        <w:t>3</w:t>
      </w:r>
      <w:r w:rsidRPr="00687B52">
        <w:rPr>
          <w:rFonts w:ascii="Times New Roman" w:eastAsia="宋体" w:hAnsi="Times New Roman" w:cs="Times New Roman" w:hint="eastAsia"/>
          <w:bCs/>
          <w:color w:val="000000" w:themeColor="text1"/>
          <w:sz w:val="20"/>
          <w:szCs w:val="20"/>
          <w:shd w:val="clear" w:color="auto" w:fill="FFFFFF"/>
          <w:lang w:val="zh-TW"/>
        </w:rPr>
        <w:t>的距离可减少</w:t>
      </w:r>
      <w:r w:rsidRPr="00687B52">
        <w:rPr>
          <w:rFonts w:ascii="Times New Roman" w:eastAsia="宋体" w:hAnsi="Times New Roman" w:cs="Times New Roman" w:hint="eastAsia"/>
          <w:bCs/>
          <w:color w:val="000000" w:themeColor="text1"/>
          <w:sz w:val="20"/>
          <w:szCs w:val="20"/>
          <w:shd w:val="clear" w:color="auto" w:fill="FFFFFF"/>
          <w:lang w:val="zh-TW"/>
        </w:rPr>
        <w:t>25%</w:t>
      </w:r>
      <w:r w:rsidRPr="00687B52">
        <w:rPr>
          <w:rFonts w:ascii="Times New Roman" w:eastAsia="宋体" w:hAnsi="Times New Roman" w:cs="Times New Roman" w:hint="eastAsia"/>
          <w:bCs/>
          <w:color w:val="000000" w:themeColor="text1"/>
          <w:sz w:val="20"/>
          <w:szCs w:val="20"/>
          <w:shd w:val="clear" w:color="auto" w:fill="FFFFFF"/>
          <w:lang w:val="zh-TW"/>
        </w:rPr>
        <w:t>，当仅储存丙</w:t>
      </w:r>
      <w:r w:rsidRPr="00687B52">
        <w:rPr>
          <w:rFonts w:ascii="Times New Roman" w:eastAsia="宋体" w:hAnsi="Times New Roman" w:cs="Times New Roman" w:hint="eastAsia"/>
          <w:bCs/>
          <w:color w:val="000000" w:themeColor="text1"/>
          <w:sz w:val="20"/>
          <w:szCs w:val="20"/>
          <w:shd w:val="clear" w:color="auto" w:fill="FFFFFF"/>
          <w:vertAlign w:val="subscript"/>
          <w:lang w:val="zh-TW"/>
        </w:rPr>
        <w:t>B</w:t>
      </w:r>
      <w:r w:rsidRPr="00687B52">
        <w:rPr>
          <w:rFonts w:ascii="Times New Roman" w:eastAsia="宋体" w:hAnsi="Times New Roman" w:cs="Times New Roman" w:hint="eastAsia"/>
          <w:bCs/>
          <w:color w:val="000000" w:themeColor="text1"/>
          <w:sz w:val="20"/>
          <w:szCs w:val="20"/>
          <w:shd w:val="clear" w:color="auto" w:fill="FFFFFF"/>
          <w:lang w:val="zh-TW"/>
        </w:rPr>
        <w:t>类油品时，可不受本表限制。</w:t>
      </w:r>
    </w:p>
    <w:p w:rsidR="002E01DC" w:rsidRPr="00687B52" w:rsidRDefault="002E01DC" w:rsidP="005F75B2">
      <w:pPr>
        <w:pStyle w:val="110"/>
        <w:shd w:val="clear" w:color="auto" w:fill="auto"/>
        <w:spacing w:before="0" w:line="260" w:lineRule="exact"/>
        <w:ind w:leftChars="200" w:left="520" w:hangingChars="50" w:hanging="100"/>
        <w:jc w:val="left"/>
        <w:rPr>
          <w:rFonts w:ascii="Times New Roman" w:eastAsia="宋体" w:hAnsi="Times New Roman" w:cs="Times New Roman"/>
          <w:bCs/>
          <w:color w:val="000000" w:themeColor="text1"/>
          <w:sz w:val="20"/>
          <w:szCs w:val="20"/>
          <w:shd w:val="clear" w:color="auto" w:fill="FFFFFF"/>
          <w:lang w:val="zh-TW"/>
        </w:rPr>
      </w:pPr>
      <w:r w:rsidRPr="00687B52">
        <w:rPr>
          <w:rFonts w:ascii="Times New Roman" w:eastAsia="宋体" w:hAnsi="Times New Roman" w:cs="Times New Roman" w:hint="eastAsia"/>
          <w:bCs/>
          <w:color w:val="000000" w:themeColor="text1"/>
          <w:sz w:val="20"/>
          <w:szCs w:val="20"/>
          <w:shd w:val="clear" w:color="auto" w:fill="FFFFFF"/>
          <w:lang w:val="zh-TW"/>
        </w:rPr>
        <w:t xml:space="preserve">3 </w:t>
      </w:r>
      <w:r w:rsidRPr="00687B52">
        <w:rPr>
          <w:rFonts w:ascii="Times New Roman" w:eastAsia="宋体" w:hAnsi="Times New Roman" w:cs="Times New Roman" w:hint="eastAsia"/>
          <w:bCs/>
          <w:color w:val="000000" w:themeColor="text1"/>
          <w:sz w:val="20"/>
          <w:szCs w:val="20"/>
          <w:shd w:val="clear" w:color="auto" w:fill="FFFFFF"/>
          <w:lang w:val="zh-TW"/>
        </w:rPr>
        <w:t>表中</w:t>
      </w:r>
      <w:r w:rsidRPr="00687B52">
        <w:rPr>
          <w:rFonts w:ascii="Times New Roman" w:eastAsia="宋体" w:hAnsi="Times New Roman" w:cs="Times New Roman" w:hint="eastAsia"/>
          <w:bCs/>
          <w:color w:val="000000" w:themeColor="text1"/>
          <w:sz w:val="20"/>
          <w:szCs w:val="20"/>
          <w:shd w:val="clear" w:color="auto" w:fill="FFFFFF"/>
          <w:lang w:val="zh-TW"/>
        </w:rPr>
        <w:t>35KV</w:t>
      </w:r>
      <w:r w:rsidRPr="00687B52">
        <w:rPr>
          <w:rFonts w:ascii="Times New Roman" w:eastAsia="宋体" w:hAnsi="Times New Roman" w:cs="Times New Roman" w:hint="eastAsia"/>
          <w:bCs/>
          <w:color w:val="000000" w:themeColor="text1"/>
          <w:sz w:val="20"/>
          <w:szCs w:val="20"/>
          <w:shd w:val="clear" w:color="auto" w:fill="FFFFFF"/>
          <w:lang w:val="zh-TW"/>
        </w:rPr>
        <w:t>及以上独立变电所系指变电所内单台变压器容量在</w:t>
      </w:r>
      <w:r w:rsidRPr="00687B52">
        <w:rPr>
          <w:rFonts w:ascii="Times New Roman" w:eastAsia="宋体" w:hAnsi="Times New Roman" w:cs="Times New Roman" w:hint="eastAsia"/>
          <w:bCs/>
          <w:color w:val="000000" w:themeColor="text1"/>
          <w:sz w:val="20"/>
          <w:szCs w:val="20"/>
          <w:shd w:val="clear" w:color="auto" w:fill="FFFFFF"/>
          <w:lang w:val="zh-TW"/>
        </w:rPr>
        <w:t>10000KV</w:t>
      </w:r>
      <w:r w:rsidRPr="00687B52">
        <w:rPr>
          <w:rFonts w:ascii="Times New Roman" w:eastAsia="宋体" w:hAnsi="Times New Roman" w:cs="Times New Roman" w:hint="eastAsia"/>
          <w:bCs/>
          <w:color w:val="000000" w:themeColor="text1"/>
          <w:sz w:val="20"/>
          <w:szCs w:val="20"/>
          <w:shd w:val="clear" w:color="auto" w:fill="FFFFFF"/>
          <w:lang w:val="zh-TW"/>
        </w:rPr>
        <w:t>·</w:t>
      </w:r>
      <w:r w:rsidRPr="00687B52">
        <w:rPr>
          <w:rFonts w:ascii="Times New Roman" w:eastAsia="宋体" w:hAnsi="Times New Roman" w:cs="Times New Roman" w:hint="eastAsia"/>
          <w:bCs/>
          <w:color w:val="000000" w:themeColor="text1"/>
          <w:sz w:val="20"/>
          <w:szCs w:val="20"/>
          <w:shd w:val="clear" w:color="auto" w:fill="FFFFFF"/>
          <w:lang w:val="zh-TW"/>
        </w:rPr>
        <w:t>A</w:t>
      </w:r>
      <w:r w:rsidRPr="00687B52">
        <w:rPr>
          <w:rFonts w:ascii="Times New Roman" w:eastAsia="宋体" w:hAnsi="Times New Roman" w:cs="Times New Roman" w:hint="eastAsia"/>
          <w:bCs/>
          <w:color w:val="000000" w:themeColor="text1"/>
          <w:sz w:val="20"/>
          <w:szCs w:val="20"/>
          <w:shd w:val="clear" w:color="auto" w:fill="FFFFFF"/>
          <w:lang w:val="zh-TW"/>
        </w:rPr>
        <w:t>及以上的变电所，小于</w:t>
      </w:r>
      <w:r w:rsidRPr="00687B52">
        <w:rPr>
          <w:rFonts w:ascii="Times New Roman" w:eastAsia="宋体" w:hAnsi="Times New Roman" w:cs="Times New Roman" w:hint="eastAsia"/>
          <w:bCs/>
          <w:color w:val="000000" w:themeColor="text1"/>
          <w:sz w:val="20"/>
          <w:szCs w:val="20"/>
          <w:shd w:val="clear" w:color="auto" w:fill="FFFFFF"/>
          <w:lang w:val="zh-TW"/>
        </w:rPr>
        <w:t>10000KV</w:t>
      </w:r>
      <w:r w:rsidRPr="00687B52">
        <w:rPr>
          <w:rFonts w:ascii="Times New Roman" w:eastAsia="宋体" w:hAnsi="Times New Roman" w:cs="Times New Roman" w:hint="eastAsia"/>
          <w:bCs/>
          <w:color w:val="000000" w:themeColor="text1"/>
          <w:sz w:val="20"/>
          <w:szCs w:val="20"/>
          <w:shd w:val="clear" w:color="auto" w:fill="FFFFFF"/>
          <w:lang w:val="zh-TW"/>
        </w:rPr>
        <w:t>·</w:t>
      </w:r>
      <w:r w:rsidRPr="00687B52">
        <w:rPr>
          <w:rFonts w:ascii="Times New Roman" w:eastAsia="宋体" w:hAnsi="Times New Roman" w:cs="Times New Roman" w:hint="eastAsia"/>
          <w:bCs/>
          <w:color w:val="000000" w:themeColor="text1"/>
          <w:sz w:val="20"/>
          <w:szCs w:val="20"/>
          <w:shd w:val="clear" w:color="auto" w:fill="FFFFFF"/>
          <w:lang w:val="zh-TW"/>
        </w:rPr>
        <w:t>A</w:t>
      </w:r>
      <w:r w:rsidRPr="00687B52">
        <w:rPr>
          <w:rFonts w:ascii="Times New Roman" w:eastAsia="宋体" w:hAnsi="Times New Roman" w:cs="Times New Roman" w:hint="eastAsia"/>
          <w:bCs/>
          <w:color w:val="000000" w:themeColor="text1"/>
          <w:sz w:val="20"/>
          <w:szCs w:val="20"/>
          <w:shd w:val="clear" w:color="auto" w:fill="FFFFFF"/>
          <w:lang w:val="zh-TW"/>
        </w:rPr>
        <w:t>的</w:t>
      </w:r>
      <w:r w:rsidRPr="00687B52">
        <w:rPr>
          <w:rFonts w:ascii="Times New Roman" w:eastAsia="宋体" w:hAnsi="Times New Roman" w:cs="Times New Roman" w:hint="eastAsia"/>
          <w:bCs/>
          <w:color w:val="000000" w:themeColor="text1"/>
          <w:sz w:val="20"/>
          <w:szCs w:val="20"/>
          <w:shd w:val="clear" w:color="auto" w:fill="FFFFFF"/>
          <w:lang w:val="zh-TW"/>
        </w:rPr>
        <w:t>35KV</w:t>
      </w:r>
      <w:r w:rsidRPr="00687B52">
        <w:rPr>
          <w:rFonts w:ascii="Times New Roman" w:eastAsia="宋体" w:hAnsi="Times New Roman" w:cs="Times New Roman" w:hint="eastAsia"/>
          <w:bCs/>
          <w:color w:val="000000" w:themeColor="text1"/>
          <w:sz w:val="20"/>
          <w:szCs w:val="20"/>
          <w:shd w:val="clear" w:color="auto" w:fill="FFFFFF"/>
          <w:lang w:val="zh-TW"/>
        </w:rPr>
        <w:t>变电所防火间距可按本表减少</w:t>
      </w:r>
      <w:r w:rsidRPr="00687B52">
        <w:rPr>
          <w:rFonts w:ascii="Times New Roman" w:eastAsia="宋体" w:hAnsi="Times New Roman" w:cs="Times New Roman" w:hint="eastAsia"/>
          <w:bCs/>
          <w:color w:val="000000" w:themeColor="text1"/>
          <w:sz w:val="20"/>
          <w:szCs w:val="20"/>
          <w:shd w:val="clear" w:color="auto" w:fill="FFFFFF"/>
          <w:lang w:val="zh-TW"/>
        </w:rPr>
        <w:t>25%</w:t>
      </w:r>
      <w:r w:rsidRPr="00687B52">
        <w:rPr>
          <w:rFonts w:ascii="Times New Roman" w:eastAsia="宋体" w:hAnsi="Times New Roman" w:cs="Times New Roman" w:hint="eastAsia"/>
          <w:bCs/>
          <w:color w:val="000000" w:themeColor="text1"/>
          <w:sz w:val="20"/>
          <w:szCs w:val="20"/>
          <w:shd w:val="clear" w:color="auto" w:fill="FFFFFF"/>
          <w:lang w:val="zh-TW"/>
        </w:rPr>
        <w:t>。</w:t>
      </w:r>
    </w:p>
    <w:p w:rsidR="002E01DC" w:rsidRPr="00687B52" w:rsidRDefault="002E01DC" w:rsidP="005F75B2">
      <w:pPr>
        <w:pStyle w:val="110"/>
        <w:shd w:val="clear" w:color="auto" w:fill="auto"/>
        <w:spacing w:before="0" w:line="260" w:lineRule="exact"/>
        <w:ind w:leftChars="200" w:left="520" w:hangingChars="50" w:hanging="100"/>
        <w:jc w:val="left"/>
        <w:rPr>
          <w:rFonts w:ascii="Times New Roman" w:eastAsia="宋体" w:hAnsi="Times New Roman" w:cs="Times New Roman"/>
          <w:bCs/>
          <w:color w:val="000000" w:themeColor="text1"/>
          <w:sz w:val="20"/>
          <w:szCs w:val="20"/>
          <w:shd w:val="clear" w:color="auto" w:fill="FFFFFF"/>
          <w:lang w:val="zh-TW"/>
        </w:rPr>
      </w:pPr>
      <w:r w:rsidRPr="00687B52">
        <w:rPr>
          <w:rFonts w:ascii="Times New Roman" w:eastAsia="宋体" w:hAnsi="Times New Roman" w:cs="Times New Roman" w:hint="eastAsia"/>
          <w:bCs/>
          <w:color w:val="000000" w:themeColor="text1"/>
          <w:sz w:val="20"/>
          <w:szCs w:val="20"/>
          <w:shd w:val="clear" w:color="auto" w:fill="FFFFFF"/>
          <w:lang w:val="zh-TW"/>
        </w:rPr>
        <w:t xml:space="preserve">4 </w:t>
      </w:r>
      <w:r w:rsidRPr="00687B52">
        <w:rPr>
          <w:rFonts w:ascii="Times New Roman" w:eastAsia="宋体" w:hAnsi="Times New Roman" w:cs="Times New Roman" w:hint="eastAsia"/>
          <w:bCs/>
          <w:color w:val="000000" w:themeColor="text1"/>
          <w:sz w:val="20"/>
          <w:szCs w:val="20"/>
          <w:shd w:val="clear" w:color="auto" w:fill="FFFFFF"/>
          <w:lang w:val="zh-TW"/>
        </w:rPr>
        <w:t>注</w:t>
      </w:r>
      <w:r w:rsidRPr="00687B52">
        <w:rPr>
          <w:rFonts w:ascii="Times New Roman" w:eastAsia="宋体" w:hAnsi="Times New Roman" w:cs="Times New Roman" w:hint="eastAsia"/>
          <w:bCs/>
          <w:color w:val="000000" w:themeColor="text1"/>
          <w:sz w:val="20"/>
          <w:szCs w:val="20"/>
          <w:shd w:val="clear" w:color="auto" w:fill="FFFFFF"/>
          <w:lang w:val="zh-TW"/>
        </w:rPr>
        <w:t>1~</w:t>
      </w:r>
      <w:r w:rsidRPr="00687B52">
        <w:rPr>
          <w:rFonts w:ascii="Times New Roman" w:eastAsia="宋体" w:hAnsi="Times New Roman" w:cs="Times New Roman" w:hint="eastAsia"/>
          <w:bCs/>
          <w:color w:val="000000" w:themeColor="text1"/>
          <w:sz w:val="20"/>
          <w:szCs w:val="20"/>
          <w:shd w:val="clear" w:color="auto" w:fill="FFFFFF"/>
          <w:lang w:val="zh-TW"/>
        </w:rPr>
        <w:t>注</w:t>
      </w:r>
      <w:r w:rsidRPr="00687B52">
        <w:rPr>
          <w:rFonts w:ascii="Times New Roman" w:eastAsia="宋体" w:hAnsi="Times New Roman" w:cs="Times New Roman" w:hint="eastAsia"/>
          <w:bCs/>
          <w:color w:val="000000" w:themeColor="text1"/>
          <w:sz w:val="20"/>
          <w:szCs w:val="20"/>
          <w:shd w:val="clear" w:color="auto" w:fill="FFFFFF"/>
          <w:lang w:val="zh-TW"/>
        </w:rPr>
        <w:t>3</w:t>
      </w:r>
      <w:r w:rsidRPr="00687B52">
        <w:rPr>
          <w:rFonts w:ascii="Times New Roman" w:eastAsia="宋体" w:hAnsi="Times New Roman" w:cs="Times New Roman" w:hint="eastAsia"/>
          <w:bCs/>
          <w:color w:val="000000" w:themeColor="text1"/>
          <w:sz w:val="20"/>
          <w:szCs w:val="20"/>
          <w:shd w:val="clear" w:color="auto" w:fill="FFFFFF"/>
          <w:lang w:val="zh-TW"/>
        </w:rPr>
        <w:t>所述折减不得迭加。</w:t>
      </w:r>
    </w:p>
    <w:p w:rsidR="002E01DC" w:rsidRPr="00687B52" w:rsidRDefault="002E01DC" w:rsidP="005F75B2">
      <w:pPr>
        <w:pStyle w:val="110"/>
        <w:shd w:val="clear" w:color="auto" w:fill="auto"/>
        <w:spacing w:before="0" w:line="260" w:lineRule="exact"/>
        <w:ind w:leftChars="200" w:left="520" w:hangingChars="50" w:hanging="100"/>
        <w:jc w:val="left"/>
        <w:rPr>
          <w:rFonts w:ascii="Times New Roman" w:eastAsia="宋体" w:hAnsi="Times New Roman" w:cs="Times New Roman"/>
          <w:bCs/>
          <w:color w:val="000000" w:themeColor="text1"/>
          <w:sz w:val="20"/>
          <w:szCs w:val="20"/>
          <w:shd w:val="clear" w:color="auto" w:fill="FFFFFF"/>
          <w:lang w:val="zh-TW"/>
        </w:rPr>
      </w:pPr>
      <w:r w:rsidRPr="00687B52">
        <w:rPr>
          <w:rFonts w:ascii="Times New Roman" w:eastAsia="宋体" w:hAnsi="Times New Roman" w:cs="Times New Roman" w:hint="eastAsia"/>
          <w:bCs/>
          <w:color w:val="000000" w:themeColor="text1"/>
          <w:sz w:val="20"/>
          <w:szCs w:val="20"/>
          <w:shd w:val="clear" w:color="auto" w:fill="FFFFFF"/>
          <w:lang w:val="zh-TW"/>
        </w:rPr>
        <w:t xml:space="preserve">5 </w:t>
      </w:r>
      <w:r w:rsidRPr="00687B52">
        <w:rPr>
          <w:rFonts w:ascii="Times New Roman" w:eastAsia="宋体" w:hAnsi="Times New Roman" w:cs="Times New Roman" w:hint="eastAsia"/>
          <w:bCs/>
          <w:color w:val="000000" w:themeColor="text1"/>
          <w:sz w:val="20"/>
          <w:szCs w:val="20"/>
          <w:shd w:val="clear" w:color="auto" w:fill="FFFFFF"/>
          <w:lang w:val="zh-TW"/>
        </w:rPr>
        <w:t>放空管可按本表中可能携带可燃液体的火炬间距减少</w:t>
      </w:r>
      <w:r w:rsidRPr="00687B52">
        <w:rPr>
          <w:rFonts w:ascii="Times New Roman" w:eastAsia="宋体" w:hAnsi="Times New Roman" w:cs="Times New Roman" w:hint="eastAsia"/>
          <w:bCs/>
          <w:color w:val="000000" w:themeColor="text1"/>
          <w:sz w:val="20"/>
          <w:szCs w:val="20"/>
          <w:shd w:val="clear" w:color="auto" w:fill="FFFFFF"/>
          <w:lang w:val="zh-TW"/>
        </w:rPr>
        <w:t>50%</w:t>
      </w:r>
      <w:r w:rsidRPr="00687B52">
        <w:rPr>
          <w:rFonts w:ascii="Times New Roman" w:eastAsia="宋体" w:hAnsi="Times New Roman" w:cs="Times New Roman" w:hint="eastAsia"/>
          <w:bCs/>
          <w:color w:val="000000" w:themeColor="text1"/>
          <w:sz w:val="20"/>
          <w:szCs w:val="20"/>
          <w:shd w:val="clear" w:color="auto" w:fill="FFFFFF"/>
          <w:lang w:val="zh-TW"/>
        </w:rPr>
        <w:t>。</w:t>
      </w:r>
    </w:p>
    <w:p w:rsidR="002E01DC" w:rsidRPr="00687B52" w:rsidRDefault="002E01DC" w:rsidP="005F75B2">
      <w:pPr>
        <w:pStyle w:val="110"/>
        <w:shd w:val="clear" w:color="auto" w:fill="auto"/>
        <w:spacing w:before="0" w:line="260" w:lineRule="exact"/>
        <w:ind w:leftChars="200" w:left="520" w:hangingChars="50" w:hanging="100"/>
        <w:jc w:val="left"/>
        <w:rPr>
          <w:rFonts w:ascii="Times New Roman" w:eastAsia="宋体" w:hAnsi="Times New Roman" w:cs="Times New Roman"/>
          <w:bCs/>
          <w:color w:val="000000" w:themeColor="text1"/>
          <w:sz w:val="20"/>
          <w:szCs w:val="20"/>
          <w:shd w:val="clear" w:color="auto" w:fill="FFFFFF"/>
          <w:lang w:val="zh-TW"/>
        </w:rPr>
      </w:pPr>
      <w:r w:rsidRPr="00687B52">
        <w:rPr>
          <w:rFonts w:ascii="Times New Roman" w:eastAsia="宋体" w:hAnsi="Times New Roman" w:cs="Times New Roman" w:hint="eastAsia"/>
          <w:bCs/>
          <w:color w:val="000000" w:themeColor="text1"/>
          <w:sz w:val="20"/>
          <w:szCs w:val="20"/>
          <w:shd w:val="clear" w:color="auto" w:fill="FFFFFF"/>
          <w:lang w:val="zh-TW"/>
        </w:rPr>
        <w:t xml:space="preserve">6 </w:t>
      </w:r>
      <w:r w:rsidRPr="00687B52">
        <w:rPr>
          <w:rFonts w:ascii="Times New Roman" w:eastAsia="宋体" w:hAnsi="Times New Roman" w:cs="Times New Roman" w:hint="eastAsia"/>
          <w:bCs/>
          <w:color w:val="000000" w:themeColor="text1"/>
          <w:sz w:val="20"/>
          <w:szCs w:val="20"/>
          <w:shd w:val="clear" w:color="auto" w:fill="FFFFFF"/>
          <w:lang w:val="zh-TW"/>
        </w:rPr>
        <w:t>当油罐区按本规范</w:t>
      </w:r>
      <w:r w:rsidRPr="00687B52">
        <w:rPr>
          <w:rFonts w:ascii="Times New Roman" w:eastAsia="宋体" w:hAnsi="Times New Roman" w:cs="Times New Roman" w:hint="eastAsia"/>
          <w:bCs/>
          <w:color w:val="000000" w:themeColor="text1"/>
          <w:sz w:val="20"/>
          <w:szCs w:val="20"/>
          <w:shd w:val="clear" w:color="auto" w:fill="FFFFFF"/>
          <w:lang w:val="zh-TW"/>
        </w:rPr>
        <w:t>8.4.10</w:t>
      </w:r>
      <w:r w:rsidRPr="00687B52">
        <w:rPr>
          <w:rFonts w:ascii="Times New Roman" w:eastAsia="宋体" w:hAnsi="Times New Roman" w:cs="Times New Roman" w:hint="eastAsia"/>
          <w:bCs/>
          <w:color w:val="000000" w:themeColor="text1"/>
          <w:sz w:val="20"/>
          <w:szCs w:val="20"/>
          <w:shd w:val="clear" w:color="auto" w:fill="FFFFFF"/>
          <w:lang w:val="zh-TW"/>
        </w:rPr>
        <w:t>规定采用烟雾灭火时，四级油品站场的油罐区与</w:t>
      </w:r>
      <w:r w:rsidRPr="00687B52">
        <w:rPr>
          <w:rFonts w:ascii="Times New Roman" w:eastAsia="宋体" w:hAnsi="Times New Roman" w:cs="Times New Roman" w:hint="eastAsia"/>
          <w:bCs/>
          <w:color w:val="000000" w:themeColor="text1"/>
          <w:sz w:val="20"/>
          <w:szCs w:val="20"/>
          <w:shd w:val="clear" w:color="auto" w:fill="FFFFFF"/>
          <w:lang w:val="zh-TW"/>
        </w:rPr>
        <w:t>100</w:t>
      </w:r>
      <w:r w:rsidRPr="00687B52">
        <w:rPr>
          <w:rFonts w:ascii="Times New Roman" w:eastAsia="宋体" w:hAnsi="Times New Roman" w:cs="Times New Roman" w:hint="eastAsia"/>
          <w:bCs/>
          <w:color w:val="000000" w:themeColor="text1"/>
          <w:sz w:val="20"/>
          <w:szCs w:val="20"/>
          <w:shd w:val="clear" w:color="auto" w:fill="FFFFFF"/>
          <w:lang w:val="zh-TW"/>
        </w:rPr>
        <w:t>人以上的居住区、村镇、公共福利设施的防火间距不应小于</w:t>
      </w:r>
      <w:r w:rsidRPr="00687B52">
        <w:rPr>
          <w:rFonts w:ascii="Times New Roman" w:eastAsia="宋体" w:hAnsi="Times New Roman" w:cs="Times New Roman" w:hint="eastAsia"/>
          <w:bCs/>
          <w:color w:val="000000" w:themeColor="text1"/>
          <w:sz w:val="20"/>
          <w:szCs w:val="20"/>
          <w:shd w:val="clear" w:color="auto" w:fill="FFFFFF"/>
          <w:lang w:val="zh-TW"/>
        </w:rPr>
        <w:t>50m</w:t>
      </w:r>
      <w:r w:rsidRPr="00687B52">
        <w:rPr>
          <w:rFonts w:ascii="Times New Roman" w:eastAsia="宋体" w:hAnsi="Times New Roman" w:cs="Times New Roman" w:hint="eastAsia"/>
          <w:bCs/>
          <w:color w:val="000000" w:themeColor="text1"/>
          <w:sz w:val="20"/>
          <w:szCs w:val="20"/>
          <w:shd w:val="clear" w:color="auto" w:fill="FFFFFF"/>
          <w:lang w:val="zh-TW"/>
        </w:rPr>
        <w:t>。</w:t>
      </w:r>
    </w:p>
    <w:p w:rsidR="00481EDB" w:rsidRPr="00687B52" w:rsidRDefault="002E01DC" w:rsidP="005F75B2">
      <w:pPr>
        <w:widowControl/>
        <w:spacing w:line="260" w:lineRule="exact"/>
        <w:ind w:leftChars="200" w:left="520" w:hangingChars="50" w:hanging="100"/>
        <w:jc w:val="left"/>
        <w:rPr>
          <w:rFonts w:ascii="宋体" w:eastAsia="宋体" w:hAnsi="宋体" w:cs="宋体"/>
          <w:color w:val="000000" w:themeColor="text1"/>
          <w:kern w:val="0"/>
          <w:sz w:val="20"/>
          <w:szCs w:val="20"/>
        </w:rPr>
      </w:pPr>
      <w:r w:rsidRPr="00687B52">
        <w:rPr>
          <w:rFonts w:ascii="Times New Roman" w:eastAsia="宋体" w:hAnsi="Times New Roman" w:cs="Times New Roman" w:hint="eastAsia"/>
          <w:bCs/>
          <w:color w:val="000000" w:themeColor="text1"/>
          <w:sz w:val="20"/>
          <w:szCs w:val="20"/>
          <w:shd w:val="clear" w:color="auto" w:fill="FFFFFF"/>
          <w:lang w:val="zh-TW"/>
        </w:rPr>
        <w:t xml:space="preserve">7 </w:t>
      </w:r>
      <w:r w:rsidRPr="00687B52">
        <w:rPr>
          <w:rFonts w:ascii="Times New Roman" w:eastAsia="宋体" w:hAnsi="Times New Roman" w:cs="Times New Roman" w:hint="eastAsia"/>
          <w:bCs/>
          <w:color w:val="000000" w:themeColor="text1"/>
          <w:sz w:val="20"/>
          <w:szCs w:val="20"/>
          <w:shd w:val="clear" w:color="auto" w:fill="FFFFFF"/>
          <w:lang w:val="zh-TW"/>
        </w:rPr>
        <w:t>防火间距的起算点应按本规范附录</w:t>
      </w:r>
      <w:r w:rsidRPr="00687B52">
        <w:rPr>
          <w:rFonts w:ascii="Times New Roman" w:eastAsia="宋体" w:hAnsi="Times New Roman" w:cs="Times New Roman" w:hint="eastAsia"/>
          <w:bCs/>
          <w:color w:val="000000" w:themeColor="text1"/>
          <w:sz w:val="20"/>
          <w:szCs w:val="20"/>
          <w:shd w:val="clear" w:color="auto" w:fill="FFFFFF"/>
          <w:lang w:val="zh-TW"/>
        </w:rPr>
        <w:t>B</w:t>
      </w:r>
      <w:r w:rsidRPr="00687B52">
        <w:rPr>
          <w:rFonts w:ascii="Times New Roman" w:eastAsia="宋体" w:hAnsi="Times New Roman" w:cs="Times New Roman" w:hint="eastAsia"/>
          <w:bCs/>
          <w:color w:val="000000" w:themeColor="text1"/>
          <w:sz w:val="20"/>
          <w:szCs w:val="20"/>
          <w:shd w:val="clear" w:color="auto" w:fill="FFFFFF"/>
          <w:lang w:val="zh-TW"/>
        </w:rPr>
        <w:t>执行。</w:t>
      </w:r>
    </w:p>
    <w:p w:rsidR="00481EDB" w:rsidRPr="00687B52" w:rsidRDefault="00481EDB" w:rsidP="00DB02C5">
      <w:pPr>
        <w:pStyle w:val="afd"/>
        <w:rPr>
          <w:color w:val="000000" w:themeColor="text1"/>
        </w:rPr>
      </w:pPr>
      <w:bookmarkStart w:id="289" w:name="_Toc491870842"/>
      <w:bookmarkStart w:id="290" w:name="_Toc492563497"/>
      <w:bookmarkStart w:id="291" w:name="_Toc493857098"/>
      <w:r w:rsidRPr="00687B52">
        <w:rPr>
          <w:rFonts w:hint="eastAsia"/>
          <w:color w:val="000000" w:themeColor="text1"/>
        </w:rPr>
        <w:t>表</w:t>
      </w:r>
      <w:r w:rsidRPr="00687B52">
        <w:rPr>
          <w:rFonts w:hint="eastAsia"/>
          <w:color w:val="000000" w:themeColor="text1"/>
        </w:rPr>
        <w:t xml:space="preserve">5.2.1 </w:t>
      </w:r>
      <w:r w:rsidRPr="00687B52">
        <w:rPr>
          <w:rFonts w:hint="eastAsia"/>
          <w:color w:val="000000" w:themeColor="text1"/>
        </w:rPr>
        <w:t>一、二、三、四级油气站总平面布置防火间距</w:t>
      </w:r>
      <w:bookmarkEnd w:id="289"/>
      <w:bookmarkEnd w:id="290"/>
      <w:r w:rsidR="006A7807" w:rsidRPr="00687B52">
        <w:rPr>
          <w:rFonts w:hint="eastAsia"/>
          <w:color w:val="000000" w:themeColor="text1"/>
        </w:rPr>
        <w:t>（</w:t>
      </w:r>
      <w:r w:rsidR="006A7807" w:rsidRPr="00687B52">
        <w:rPr>
          <w:rFonts w:hint="eastAsia"/>
          <w:color w:val="000000" w:themeColor="text1"/>
        </w:rPr>
        <w:t>m</w:t>
      </w:r>
      <w:r w:rsidR="006A7807" w:rsidRPr="00687B52">
        <w:rPr>
          <w:rFonts w:hint="eastAsia"/>
          <w:color w:val="000000" w:themeColor="text1"/>
        </w:rPr>
        <w:t>）</w:t>
      </w:r>
      <w:bookmarkEnd w:id="291"/>
    </w:p>
    <w:tbl>
      <w:tblPr>
        <w:tblStyle w:val="a6"/>
        <w:tblW w:w="15005" w:type="dxa"/>
        <w:tblInd w:w="-859" w:type="dxa"/>
        <w:tblLayout w:type="fixed"/>
        <w:tblLook w:val="04A0" w:firstRow="1" w:lastRow="0" w:firstColumn="1" w:lastColumn="0" w:noHBand="0" w:noVBand="1"/>
      </w:tblPr>
      <w:tblGrid>
        <w:gridCol w:w="423"/>
        <w:gridCol w:w="287"/>
        <w:gridCol w:w="140"/>
        <w:gridCol w:w="141"/>
        <w:gridCol w:w="432"/>
        <w:gridCol w:w="567"/>
        <w:gridCol w:w="567"/>
        <w:gridCol w:w="567"/>
        <w:gridCol w:w="567"/>
        <w:gridCol w:w="567"/>
        <w:gridCol w:w="567"/>
        <w:gridCol w:w="567"/>
        <w:gridCol w:w="567"/>
        <w:gridCol w:w="567"/>
        <w:gridCol w:w="425"/>
        <w:gridCol w:w="425"/>
        <w:gridCol w:w="426"/>
        <w:gridCol w:w="425"/>
        <w:gridCol w:w="425"/>
        <w:gridCol w:w="425"/>
        <w:gridCol w:w="567"/>
        <w:gridCol w:w="567"/>
        <w:gridCol w:w="567"/>
        <w:gridCol w:w="567"/>
        <w:gridCol w:w="567"/>
        <w:gridCol w:w="426"/>
        <w:gridCol w:w="399"/>
        <w:gridCol w:w="284"/>
        <w:gridCol w:w="283"/>
        <w:gridCol w:w="284"/>
        <w:gridCol w:w="283"/>
        <w:gridCol w:w="284"/>
        <w:gridCol w:w="402"/>
        <w:gridCol w:w="448"/>
      </w:tblGrid>
      <w:tr w:rsidR="00717763" w:rsidRPr="00687B52" w:rsidTr="00717763">
        <w:trPr>
          <w:tblHeader/>
        </w:trPr>
        <w:tc>
          <w:tcPr>
            <w:tcW w:w="1423" w:type="dxa"/>
            <w:gridSpan w:val="5"/>
            <w:vMerge w:val="restart"/>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名称</w:t>
            </w:r>
          </w:p>
        </w:tc>
        <w:tc>
          <w:tcPr>
            <w:tcW w:w="5103" w:type="dxa"/>
            <w:gridSpan w:val="9"/>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地上油罐</w:t>
            </w:r>
            <w:r w:rsidRPr="00687B52">
              <w:rPr>
                <w:rFonts w:ascii="Times New Roman" w:eastAsia="宋体" w:hAnsi="Times New Roman" w:cs="Times New Roman"/>
                <w:bCs/>
                <w:color w:val="000000" w:themeColor="text1"/>
                <w:sz w:val="18"/>
                <w:szCs w:val="18"/>
                <w:shd w:val="clear" w:color="auto" w:fill="FFFFFF"/>
                <w:lang w:val="zh-TW"/>
              </w:rPr>
              <w:t xml:space="preserve"> </w:t>
            </w:r>
            <w:r w:rsidRPr="00687B52">
              <w:rPr>
                <w:rFonts w:ascii="Times New Roman" w:eastAsia="宋体" w:hAnsi="宋体" w:cs="Times New Roman"/>
                <w:bCs/>
                <w:color w:val="000000" w:themeColor="text1"/>
                <w:sz w:val="18"/>
                <w:szCs w:val="18"/>
                <w:shd w:val="clear" w:color="auto" w:fill="FFFFFF"/>
                <w:lang w:val="zh-TW"/>
              </w:rPr>
              <w:t>单罐容量（</w:t>
            </w:r>
            <w:r w:rsidRPr="00687B52">
              <w:rPr>
                <w:rFonts w:ascii="Times New Roman" w:eastAsia="宋体" w:hAnsi="Times New Roman" w:cs="Times New Roman"/>
                <w:bCs/>
                <w:color w:val="000000" w:themeColor="text1"/>
                <w:sz w:val="18"/>
                <w:szCs w:val="18"/>
                <w:shd w:val="clear" w:color="auto" w:fill="FFFFFF"/>
                <w:lang w:val="zh-TW"/>
              </w:rPr>
              <w:t>m</w:t>
            </w:r>
            <w:r w:rsidRPr="00687B52">
              <w:rPr>
                <w:rFonts w:ascii="Times New Roman" w:eastAsia="宋体" w:hAnsi="Times New Roman" w:cs="Times New Roman"/>
                <w:bCs/>
                <w:color w:val="000000" w:themeColor="text1"/>
                <w:sz w:val="18"/>
                <w:szCs w:val="18"/>
                <w:shd w:val="clear" w:color="auto" w:fill="FFFFFF"/>
                <w:vertAlign w:val="superscript"/>
                <w:lang w:val="zh-TW"/>
              </w:rPr>
              <w:t>3</w:t>
            </w:r>
            <w:r w:rsidRPr="00687B52">
              <w:rPr>
                <w:rFonts w:ascii="Times New Roman" w:eastAsia="宋体" w:hAnsi="宋体" w:cs="Times New Roman"/>
                <w:bCs/>
                <w:color w:val="000000" w:themeColor="text1"/>
                <w:sz w:val="18"/>
                <w:szCs w:val="18"/>
                <w:shd w:val="clear" w:color="auto" w:fill="FFFFFF"/>
                <w:lang w:val="zh-TW"/>
              </w:rPr>
              <w:t>）</w:t>
            </w:r>
          </w:p>
        </w:tc>
        <w:tc>
          <w:tcPr>
            <w:tcW w:w="2126" w:type="dxa"/>
            <w:gridSpan w:val="5"/>
            <w:vMerge w:val="restart"/>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全压力式天然气凝液、液化石油气储罐单罐容量（</w:t>
            </w:r>
            <w:r w:rsidRPr="00687B52">
              <w:rPr>
                <w:rFonts w:ascii="Times New Roman" w:eastAsia="宋体" w:hAnsi="Times New Roman" w:cs="Times New Roman"/>
                <w:bCs/>
                <w:color w:val="000000" w:themeColor="text1"/>
                <w:sz w:val="18"/>
                <w:szCs w:val="18"/>
                <w:shd w:val="clear" w:color="auto" w:fill="FFFFFF"/>
                <w:lang w:val="zh-TW"/>
              </w:rPr>
              <w:t>m</w:t>
            </w:r>
            <w:r w:rsidRPr="00687B52">
              <w:rPr>
                <w:rFonts w:ascii="Times New Roman" w:eastAsia="宋体" w:hAnsi="Times New Roman" w:cs="Times New Roman"/>
                <w:bCs/>
                <w:color w:val="000000" w:themeColor="text1"/>
                <w:sz w:val="18"/>
                <w:szCs w:val="18"/>
                <w:shd w:val="clear" w:color="auto" w:fill="FFFFFF"/>
                <w:vertAlign w:val="superscript"/>
                <w:lang w:val="zh-TW"/>
              </w:rPr>
              <w:t>3</w:t>
            </w:r>
            <w:r w:rsidRPr="00687B52">
              <w:rPr>
                <w:rFonts w:ascii="Times New Roman" w:eastAsia="宋体" w:hAnsi="宋体" w:cs="Times New Roman"/>
                <w:bCs/>
                <w:color w:val="000000" w:themeColor="text1"/>
                <w:sz w:val="18"/>
                <w:szCs w:val="18"/>
                <w:shd w:val="clear" w:color="auto" w:fill="FFFFFF"/>
                <w:lang w:val="zh-TW"/>
              </w:rPr>
              <w:t>）</w:t>
            </w:r>
          </w:p>
        </w:tc>
        <w:tc>
          <w:tcPr>
            <w:tcW w:w="425" w:type="dxa"/>
            <w:vMerge w:val="restart"/>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全冷冻式液化石油气储罐</w:t>
            </w:r>
          </w:p>
        </w:tc>
        <w:tc>
          <w:tcPr>
            <w:tcW w:w="1134" w:type="dxa"/>
            <w:gridSpan w:val="2"/>
            <w:vMerge w:val="restart"/>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天然气储罐总容量（</w:t>
            </w:r>
            <w:r w:rsidRPr="00687B52">
              <w:rPr>
                <w:rFonts w:ascii="Times New Roman" w:eastAsia="宋体" w:hAnsi="Times New Roman" w:cs="Times New Roman"/>
                <w:bCs/>
                <w:color w:val="000000" w:themeColor="text1"/>
                <w:sz w:val="18"/>
                <w:szCs w:val="18"/>
                <w:shd w:val="clear" w:color="auto" w:fill="FFFFFF"/>
                <w:lang w:val="zh-TW"/>
              </w:rPr>
              <w:t>m</w:t>
            </w:r>
            <w:r w:rsidRPr="00687B52">
              <w:rPr>
                <w:rFonts w:ascii="Times New Roman" w:eastAsia="宋体" w:hAnsi="Times New Roman" w:cs="Times New Roman"/>
                <w:bCs/>
                <w:color w:val="000000" w:themeColor="text1"/>
                <w:sz w:val="18"/>
                <w:szCs w:val="18"/>
                <w:shd w:val="clear" w:color="auto" w:fill="FFFFFF"/>
                <w:vertAlign w:val="superscript"/>
                <w:lang w:val="zh-TW"/>
              </w:rPr>
              <w:t>3</w:t>
            </w:r>
            <w:r w:rsidRPr="00687B52">
              <w:rPr>
                <w:rFonts w:ascii="Times New Roman" w:eastAsia="宋体" w:hAnsi="宋体" w:cs="Times New Roman"/>
                <w:bCs/>
                <w:color w:val="000000" w:themeColor="text1"/>
                <w:sz w:val="18"/>
                <w:szCs w:val="18"/>
                <w:shd w:val="clear" w:color="auto" w:fill="FFFFFF"/>
                <w:lang w:val="zh-TW"/>
              </w:rPr>
              <w:t>）</w:t>
            </w:r>
          </w:p>
        </w:tc>
        <w:tc>
          <w:tcPr>
            <w:tcW w:w="567" w:type="dxa"/>
            <w:vMerge w:val="restart"/>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甲、乙类厂房和密闭工艺装置（设备）</w:t>
            </w:r>
          </w:p>
        </w:tc>
        <w:tc>
          <w:tcPr>
            <w:tcW w:w="567" w:type="dxa"/>
            <w:vMerge w:val="restart"/>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有明火的密闭工艺设备及加热炉</w:t>
            </w:r>
          </w:p>
        </w:tc>
        <w:tc>
          <w:tcPr>
            <w:tcW w:w="567" w:type="dxa"/>
            <w:vMerge w:val="restart"/>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有明火或散发火花地点（含锅炉房）</w:t>
            </w:r>
          </w:p>
        </w:tc>
        <w:tc>
          <w:tcPr>
            <w:tcW w:w="825" w:type="dxa"/>
            <w:gridSpan w:val="2"/>
            <w:vMerge w:val="restart"/>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eastAsia="zh-TW"/>
              </w:rPr>
              <w:t>敞口容器和除油池（</w:t>
            </w:r>
            <w:r w:rsidRPr="00687B52">
              <w:rPr>
                <w:rFonts w:ascii="Times New Roman" w:eastAsia="宋体" w:hAnsi="Times New Roman" w:cs="Times New Roman"/>
                <w:bCs/>
                <w:color w:val="000000" w:themeColor="text1"/>
                <w:sz w:val="18"/>
                <w:szCs w:val="18"/>
                <w:shd w:val="clear" w:color="auto" w:fill="FFFFFF"/>
                <w:lang w:val="zh-TW" w:eastAsia="zh-TW"/>
              </w:rPr>
              <w:t>m</w:t>
            </w:r>
            <w:r w:rsidRPr="00687B52">
              <w:rPr>
                <w:rFonts w:ascii="Times New Roman" w:eastAsia="宋体" w:hAnsi="Times New Roman" w:cs="Times New Roman"/>
                <w:bCs/>
                <w:color w:val="000000" w:themeColor="text1"/>
                <w:sz w:val="18"/>
                <w:szCs w:val="18"/>
                <w:shd w:val="clear" w:color="auto" w:fill="FFFFFF"/>
                <w:vertAlign w:val="superscript"/>
                <w:lang w:val="zh-TW" w:eastAsia="zh-TW"/>
              </w:rPr>
              <w:t>3</w:t>
            </w:r>
            <w:r w:rsidRPr="00687B52">
              <w:rPr>
                <w:rFonts w:ascii="Times New Roman" w:eastAsia="宋体" w:hAnsi="宋体" w:cs="Times New Roman"/>
                <w:bCs/>
                <w:color w:val="000000" w:themeColor="text1"/>
                <w:sz w:val="18"/>
                <w:szCs w:val="18"/>
                <w:shd w:val="clear" w:color="auto" w:fill="FFFFFF"/>
                <w:lang w:val="zh-TW" w:eastAsia="zh-TW"/>
              </w:rPr>
              <w:t>）</w:t>
            </w:r>
          </w:p>
        </w:tc>
        <w:tc>
          <w:tcPr>
            <w:tcW w:w="284" w:type="dxa"/>
            <w:vMerge w:val="restart"/>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全厂性重要设施</w:t>
            </w:r>
          </w:p>
        </w:tc>
        <w:tc>
          <w:tcPr>
            <w:tcW w:w="283" w:type="dxa"/>
            <w:vMerge w:val="restart"/>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液化石油气灌装站</w:t>
            </w:r>
          </w:p>
        </w:tc>
        <w:tc>
          <w:tcPr>
            <w:tcW w:w="284" w:type="dxa"/>
            <w:vMerge w:val="restart"/>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火车装卸鹤管</w:t>
            </w:r>
          </w:p>
        </w:tc>
        <w:tc>
          <w:tcPr>
            <w:tcW w:w="283" w:type="dxa"/>
            <w:vMerge w:val="restart"/>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汽车装卸鹤管</w:t>
            </w:r>
          </w:p>
        </w:tc>
        <w:tc>
          <w:tcPr>
            <w:tcW w:w="284" w:type="dxa"/>
            <w:vMerge w:val="restart"/>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码头装卸油臂及泊位</w:t>
            </w:r>
          </w:p>
        </w:tc>
        <w:tc>
          <w:tcPr>
            <w:tcW w:w="402" w:type="dxa"/>
            <w:vMerge w:val="restart"/>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辅助生产厂房及辅助生产设施</w:t>
            </w:r>
          </w:p>
        </w:tc>
        <w:tc>
          <w:tcPr>
            <w:tcW w:w="448" w:type="dxa"/>
            <w:vMerge w:val="restart"/>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10KV</w:t>
            </w:r>
            <w:r w:rsidRPr="00687B52">
              <w:rPr>
                <w:rFonts w:ascii="Times New Roman" w:eastAsia="宋体" w:hAnsi="宋体" w:cs="Times New Roman"/>
                <w:bCs/>
                <w:color w:val="000000" w:themeColor="text1"/>
                <w:sz w:val="18"/>
                <w:szCs w:val="18"/>
                <w:shd w:val="clear" w:color="auto" w:fill="FFFFFF"/>
                <w:lang w:val="zh-TW"/>
              </w:rPr>
              <w:t>及以下户外变压器</w:t>
            </w:r>
          </w:p>
        </w:tc>
      </w:tr>
      <w:tr w:rsidR="00717763" w:rsidRPr="00687B52" w:rsidTr="00717763">
        <w:trPr>
          <w:tblHeader/>
        </w:trPr>
        <w:tc>
          <w:tcPr>
            <w:tcW w:w="1423" w:type="dxa"/>
            <w:gridSpan w:val="5"/>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268" w:type="dxa"/>
            <w:gridSpan w:val="4"/>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甲</w:t>
            </w:r>
            <w:r w:rsidRPr="00687B52">
              <w:rPr>
                <w:rFonts w:ascii="Times New Roman" w:eastAsia="宋体" w:hAnsi="Times New Roman" w:cs="Times New Roman"/>
                <w:bCs/>
                <w:color w:val="000000" w:themeColor="text1"/>
                <w:sz w:val="18"/>
                <w:szCs w:val="18"/>
                <w:shd w:val="clear" w:color="auto" w:fill="FFFFFF"/>
                <w:vertAlign w:val="subscript"/>
                <w:lang w:val="zh-TW"/>
              </w:rPr>
              <w:t>B</w:t>
            </w:r>
            <w:r w:rsidRPr="00687B52">
              <w:rPr>
                <w:rFonts w:ascii="Times New Roman" w:eastAsia="宋体" w:hAnsi="宋体" w:cs="Times New Roman"/>
                <w:bCs/>
                <w:color w:val="000000" w:themeColor="text1"/>
                <w:sz w:val="18"/>
                <w:szCs w:val="18"/>
                <w:shd w:val="clear" w:color="auto" w:fill="FFFFFF"/>
                <w:lang w:val="zh-TW"/>
              </w:rPr>
              <w:t>、乙类固定顶</w:t>
            </w:r>
          </w:p>
        </w:tc>
        <w:tc>
          <w:tcPr>
            <w:tcW w:w="2835" w:type="dxa"/>
            <w:gridSpan w:val="5"/>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浮顶或丙类固定顶</w:t>
            </w:r>
          </w:p>
        </w:tc>
        <w:tc>
          <w:tcPr>
            <w:tcW w:w="2126" w:type="dxa"/>
            <w:gridSpan w:val="5"/>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25" w:type="dxa"/>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1134" w:type="dxa"/>
            <w:gridSpan w:val="2"/>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825" w:type="dxa"/>
            <w:gridSpan w:val="2"/>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02" w:type="dxa"/>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48" w:type="dxa"/>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r>
      <w:tr w:rsidR="00717763" w:rsidRPr="00687B52" w:rsidTr="00717763">
        <w:trPr>
          <w:tblHeader/>
        </w:trPr>
        <w:tc>
          <w:tcPr>
            <w:tcW w:w="1423" w:type="dxa"/>
            <w:gridSpan w:val="5"/>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&gt;</w:t>
            </w:r>
          </w:p>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10000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w:t>
            </w:r>
          </w:p>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10000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w:t>
            </w:r>
          </w:p>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1000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≤500</w:t>
            </w:r>
            <w:r w:rsidRPr="00687B52">
              <w:rPr>
                <w:rFonts w:ascii="Times New Roman" w:eastAsia="宋体" w:hAnsi="宋体" w:cs="Times New Roman"/>
                <w:bCs/>
                <w:color w:val="000000" w:themeColor="text1"/>
                <w:sz w:val="18"/>
                <w:szCs w:val="18"/>
                <w:shd w:val="clear" w:color="auto" w:fill="FFFFFF"/>
                <w:lang w:val="zh-TW"/>
              </w:rPr>
              <w:t>或卧式罐</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w:t>
            </w:r>
          </w:p>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50000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&lt;</w:t>
            </w:r>
          </w:p>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50000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w:t>
            </w:r>
          </w:p>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10000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w:t>
            </w:r>
          </w:p>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1000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≤500</w:t>
            </w:r>
            <w:r w:rsidRPr="00687B52">
              <w:rPr>
                <w:rFonts w:ascii="Times New Roman" w:eastAsia="宋体" w:hAnsi="宋体" w:cs="Times New Roman"/>
                <w:bCs/>
                <w:color w:val="000000" w:themeColor="text1"/>
                <w:sz w:val="18"/>
                <w:szCs w:val="18"/>
                <w:shd w:val="clear" w:color="auto" w:fill="FFFFFF"/>
                <w:lang w:val="zh-TW"/>
              </w:rPr>
              <w:t>或卧式罐</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&gt;</w:t>
            </w:r>
          </w:p>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1000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w:t>
            </w:r>
          </w:p>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1000</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w:t>
            </w:r>
          </w:p>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400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w:t>
            </w:r>
          </w:p>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 xml:space="preserve">100 </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w:t>
            </w:r>
          </w:p>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50</w:t>
            </w:r>
          </w:p>
        </w:tc>
        <w:tc>
          <w:tcPr>
            <w:tcW w:w="425" w:type="dxa"/>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w:t>
            </w:r>
          </w:p>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10000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w:t>
            </w:r>
          </w:p>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50000</w:t>
            </w:r>
          </w:p>
        </w:tc>
        <w:tc>
          <w:tcPr>
            <w:tcW w:w="567" w:type="dxa"/>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399"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&gt;30</w:t>
            </w:r>
          </w:p>
        </w:tc>
        <w:tc>
          <w:tcPr>
            <w:tcW w:w="284" w:type="dxa"/>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02" w:type="dxa"/>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48" w:type="dxa"/>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r>
      <w:tr w:rsidR="00717763" w:rsidRPr="00687B52" w:rsidTr="00717763">
        <w:tc>
          <w:tcPr>
            <w:tcW w:w="850" w:type="dxa"/>
            <w:gridSpan w:val="3"/>
            <w:vMerge w:val="restart"/>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全压力式天然气凝液、液化石油气储罐单罐容量（</w:t>
            </w:r>
            <w:r w:rsidRPr="00687B52">
              <w:rPr>
                <w:rFonts w:ascii="Times New Roman" w:eastAsia="宋体" w:hAnsi="Times New Roman" w:cs="Times New Roman"/>
                <w:bCs/>
                <w:color w:val="000000" w:themeColor="text1"/>
                <w:sz w:val="18"/>
                <w:szCs w:val="18"/>
                <w:shd w:val="clear" w:color="auto" w:fill="FFFFFF"/>
                <w:lang w:val="zh-TW"/>
              </w:rPr>
              <w:t>m</w:t>
            </w:r>
            <w:r w:rsidRPr="00687B52">
              <w:rPr>
                <w:rFonts w:ascii="Times New Roman" w:eastAsia="宋体" w:hAnsi="Times New Roman" w:cs="Times New Roman"/>
                <w:bCs/>
                <w:color w:val="000000" w:themeColor="text1"/>
                <w:sz w:val="18"/>
                <w:szCs w:val="18"/>
                <w:shd w:val="clear" w:color="auto" w:fill="FFFFFF"/>
                <w:vertAlign w:val="superscript"/>
                <w:lang w:val="zh-TW"/>
              </w:rPr>
              <w:t>3</w:t>
            </w:r>
            <w:r w:rsidRPr="00687B52">
              <w:rPr>
                <w:rFonts w:ascii="Times New Roman" w:eastAsia="宋体" w:hAnsi="Times New Roman" w:cs="Times New Roman"/>
                <w:bCs/>
                <w:color w:val="000000" w:themeColor="text1"/>
                <w:sz w:val="18"/>
                <w:szCs w:val="18"/>
                <w:shd w:val="clear" w:color="auto" w:fill="FFFFFF"/>
                <w:lang w:val="zh-TW"/>
              </w:rPr>
              <w:t>）</w:t>
            </w:r>
          </w:p>
        </w:tc>
        <w:tc>
          <w:tcPr>
            <w:tcW w:w="573" w:type="dxa"/>
            <w:gridSpan w:val="2"/>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&gt;1000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60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50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40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vMerge w:val="restart"/>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45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37</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22</w:t>
            </w:r>
          </w:p>
        </w:tc>
        <w:tc>
          <w:tcPr>
            <w:tcW w:w="2126" w:type="dxa"/>
            <w:gridSpan w:val="5"/>
            <w:vMerge w:val="restart"/>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见</w:t>
            </w:r>
            <w:r w:rsidRPr="00687B52">
              <w:rPr>
                <w:rFonts w:ascii="Times New Roman" w:eastAsia="宋体" w:hAnsi="Times New Roman" w:cs="Times New Roman" w:hint="eastAsia"/>
                <w:bCs/>
                <w:color w:val="000000" w:themeColor="text1"/>
                <w:sz w:val="18"/>
                <w:szCs w:val="18"/>
                <w:shd w:val="clear" w:color="auto" w:fill="FFFFFF"/>
                <w:lang w:val="zh-TW"/>
              </w:rPr>
              <w:t>6.6</w:t>
            </w:r>
            <w:r w:rsidRPr="00687B52">
              <w:rPr>
                <w:rFonts w:ascii="Times New Roman" w:eastAsia="宋体" w:hAnsi="Times New Roman" w:cs="Times New Roman" w:hint="eastAsia"/>
                <w:bCs/>
                <w:color w:val="000000" w:themeColor="text1"/>
                <w:sz w:val="18"/>
                <w:szCs w:val="18"/>
                <w:shd w:val="clear" w:color="auto" w:fill="FFFFFF"/>
                <w:lang w:val="zh-TW"/>
              </w:rPr>
              <w:t>节</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399"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0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48"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r>
      <w:tr w:rsidR="00717763" w:rsidRPr="00687B52" w:rsidTr="00717763">
        <w:tc>
          <w:tcPr>
            <w:tcW w:w="850" w:type="dxa"/>
            <w:gridSpan w:val="3"/>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73" w:type="dxa"/>
            <w:gridSpan w:val="2"/>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≤1000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55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45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25</w:t>
            </w:r>
          </w:p>
        </w:tc>
        <w:tc>
          <w:tcPr>
            <w:tcW w:w="567" w:type="dxa"/>
            <w:vMerge/>
            <w:tcMar>
              <w:left w:w="0" w:type="dxa"/>
              <w:right w:w="0" w:type="dxa"/>
            </w:tcMar>
            <w:vAlign w:val="center"/>
          </w:tcPr>
          <w:p w:rsidR="00717763" w:rsidRPr="00687B52" w:rsidRDefault="00717763" w:rsidP="00C2311F">
            <w:pPr>
              <w:pStyle w:val="110"/>
              <w:spacing w:line="220" w:lineRule="exact"/>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41</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34</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26</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19</w:t>
            </w:r>
          </w:p>
        </w:tc>
        <w:tc>
          <w:tcPr>
            <w:tcW w:w="2126" w:type="dxa"/>
            <w:gridSpan w:val="5"/>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399"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0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48"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r>
      <w:tr w:rsidR="00717763" w:rsidRPr="00687B52" w:rsidTr="00717763">
        <w:tc>
          <w:tcPr>
            <w:tcW w:w="850" w:type="dxa"/>
            <w:gridSpan w:val="3"/>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73" w:type="dxa"/>
            <w:gridSpan w:val="2"/>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≤400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50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40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25</w:t>
            </w:r>
          </w:p>
        </w:tc>
        <w:tc>
          <w:tcPr>
            <w:tcW w:w="567" w:type="dxa"/>
            <w:vMerge/>
            <w:tcMar>
              <w:left w:w="0" w:type="dxa"/>
              <w:right w:w="0" w:type="dxa"/>
            </w:tcMar>
            <w:vAlign w:val="center"/>
          </w:tcPr>
          <w:p w:rsidR="00717763" w:rsidRPr="00687B52" w:rsidRDefault="00717763" w:rsidP="00C2311F">
            <w:pPr>
              <w:pStyle w:val="110"/>
              <w:spacing w:line="220" w:lineRule="exact"/>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37</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22</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19</w:t>
            </w:r>
          </w:p>
        </w:tc>
        <w:tc>
          <w:tcPr>
            <w:tcW w:w="2126" w:type="dxa"/>
            <w:gridSpan w:val="5"/>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399"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0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48"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r>
      <w:tr w:rsidR="00717763" w:rsidRPr="00687B52" w:rsidTr="00717763">
        <w:tc>
          <w:tcPr>
            <w:tcW w:w="850" w:type="dxa"/>
            <w:gridSpan w:val="3"/>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73" w:type="dxa"/>
            <w:gridSpan w:val="2"/>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≤100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40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567" w:type="dxa"/>
            <w:vMerge/>
            <w:tcMar>
              <w:left w:w="0" w:type="dxa"/>
              <w:right w:w="0" w:type="dxa"/>
            </w:tcMar>
            <w:vAlign w:val="center"/>
          </w:tcPr>
          <w:p w:rsidR="00717763" w:rsidRPr="00687B52" w:rsidRDefault="00717763" w:rsidP="00C2311F">
            <w:pPr>
              <w:pStyle w:val="110"/>
              <w:spacing w:line="220" w:lineRule="exact"/>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22</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19</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15</w:t>
            </w:r>
          </w:p>
        </w:tc>
        <w:tc>
          <w:tcPr>
            <w:tcW w:w="2126" w:type="dxa"/>
            <w:gridSpan w:val="5"/>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399"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0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48"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r>
      <w:tr w:rsidR="00717763" w:rsidRPr="00687B52" w:rsidTr="00717763">
        <w:tc>
          <w:tcPr>
            <w:tcW w:w="850" w:type="dxa"/>
            <w:gridSpan w:val="3"/>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73" w:type="dxa"/>
            <w:gridSpan w:val="2"/>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≤50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567" w:type="dxa"/>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26</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19</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15</w:t>
            </w:r>
          </w:p>
        </w:tc>
        <w:tc>
          <w:tcPr>
            <w:tcW w:w="2126" w:type="dxa"/>
            <w:gridSpan w:val="5"/>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399"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0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48"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r>
      <w:tr w:rsidR="00717763" w:rsidRPr="00687B52" w:rsidTr="00717763">
        <w:tc>
          <w:tcPr>
            <w:tcW w:w="1423" w:type="dxa"/>
            <w:gridSpan w:val="5"/>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全冷冻式液化石油气储罐</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399"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0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48"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r>
      <w:tr w:rsidR="00717763" w:rsidRPr="00687B52" w:rsidTr="00717763">
        <w:trPr>
          <w:trHeight w:val="461"/>
        </w:trPr>
        <w:tc>
          <w:tcPr>
            <w:tcW w:w="710" w:type="dxa"/>
            <w:gridSpan w:val="2"/>
            <w:vMerge w:val="restart"/>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天然气储罐总容量（</w:t>
            </w:r>
            <w:r w:rsidRPr="00687B52">
              <w:rPr>
                <w:rFonts w:ascii="Times New Roman" w:eastAsia="宋体" w:hAnsi="Times New Roman" w:cs="Times New Roman"/>
                <w:bCs/>
                <w:color w:val="000000" w:themeColor="text1"/>
                <w:sz w:val="18"/>
                <w:szCs w:val="18"/>
                <w:shd w:val="clear" w:color="auto" w:fill="FFFFFF"/>
                <w:lang w:val="zh-TW"/>
              </w:rPr>
              <w:t>m</w:t>
            </w:r>
            <w:r w:rsidRPr="00687B52">
              <w:rPr>
                <w:rFonts w:ascii="Times New Roman" w:eastAsia="宋体" w:hAnsi="Times New Roman" w:cs="Times New Roman"/>
                <w:bCs/>
                <w:color w:val="000000" w:themeColor="text1"/>
                <w:sz w:val="18"/>
                <w:szCs w:val="18"/>
                <w:shd w:val="clear" w:color="auto" w:fill="FFFFFF"/>
                <w:vertAlign w:val="superscript"/>
                <w:lang w:val="zh-TW"/>
              </w:rPr>
              <w:t>3</w:t>
            </w:r>
            <w:r w:rsidRPr="00687B52">
              <w:rPr>
                <w:rFonts w:ascii="Times New Roman" w:eastAsia="宋体" w:hAnsi="宋体" w:cs="Times New Roman"/>
                <w:bCs/>
                <w:color w:val="000000" w:themeColor="text1"/>
                <w:sz w:val="18"/>
                <w:szCs w:val="18"/>
                <w:shd w:val="clear" w:color="auto" w:fill="FFFFFF"/>
                <w:lang w:val="zh-TW"/>
              </w:rPr>
              <w:t>）</w:t>
            </w:r>
          </w:p>
        </w:tc>
        <w:tc>
          <w:tcPr>
            <w:tcW w:w="713" w:type="dxa"/>
            <w:gridSpan w:val="3"/>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≤10000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399"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0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48"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r>
      <w:tr w:rsidR="00717763" w:rsidRPr="00687B52" w:rsidTr="00717763">
        <w:tc>
          <w:tcPr>
            <w:tcW w:w="710" w:type="dxa"/>
            <w:gridSpan w:val="2"/>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713" w:type="dxa"/>
            <w:gridSpan w:val="3"/>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≤50000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40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399"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0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48"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r>
      <w:tr w:rsidR="00717763" w:rsidRPr="00687B52" w:rsidTr="00717763">
        <w:tc>
          <w:tcPr>
            <w:tcW w:w="1423" w:type="dxa"/>
            <w:gridSpan w:val="5"/>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宋体" w:cs="Times New Roman"/>
                <w:bCs/>
                <w:color w:val="000000" w:themeColor="text1"/>
                <w:sz w:val="18"/>
                <w:szCs w:val="18"/>
                <w:shd w:val="clear" w:color="auto" w:fill="FFFFFF"/>
                <w:lang w:val="zh-TW"/>
              </w:rPr>
              <w:t>甲、乙类厂房和密闭工艺装置（设备）</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15/12</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15</w:t>
            </w:r>
          </w:p>
        </w:tc>
        <w:tc>
          <w:tcPr>
            <w:tcW w:w="1134" w:type="dxa"/>
            <w:gridSpan w:val="2"/>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15/12</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399"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0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48"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r>
      <w:tr w:rsidR="00717763" w:rsidRPr="00687B52" w:rsidTr="00717763">
        <w:tc>
          <w:tcPr>
            <w:tcW w:w="1423" w:type="dxa"/>
            <w:gridSpan w:val="5"/>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宋体" w:cs="Times New Roman"/>
                <w:bCs/>
                <w:color w:val="000000" w:themeColor="text1"/>
                <w:sz w:val="18"/>
                <w:szCs w:val="18"/>
                <w:shd w:val="clear" w:color="auto" w:fill="FFFFFF"/>
                <w:lang w:val="zh-TW"/>
              </w:rPr>
              <w:t>有明火的密闭工艺设备及加热炉</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40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26</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22</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19</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85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75</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399"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0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48"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r>
      <w:tr w:rsidR="00717763" w:rsidRPr="00687B52" w:rsidTr="00717763">
        <w:tc>
          <w:tcPr>
            <w:tcW w:w="1423" w:type="dxa"/>
            <w:gridSpan w:val="5"/>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有明火或散发火花地点（含锅炉房）</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45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40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40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26</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22</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100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80</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70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399"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0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448"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r>
      <w:tr w:rsidR="00717763" w:rsidRPr="00687B52" w:rsidTr="00717763">
        <w:tc>
          <w:tcPr>
            <w:tcW w:w="991" w:type="dxa"/>
            <w:gridSpan w:val="4"/>
            <w:vMerge w:val="restart"/>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宋体" w:cs="Times New Roman"/>
                <w:bCs/>
                <w:color w:val="000000" w:themeColor="text1"/>
                <w:sz w:val="18"/>
                <w:szCs w:val="18"/>
                <w:shd w:val="clear" w:color="auto" w:fill="FFFFFF"/>
                <w:lang w:val="zh-TW" w:eastAsia="zh-TW"/>
              </w:rPr>
              <w:t>敞口容器和除油池（</w:t>
            </w:r>
            <w:r w:rsidRPr="00687B52">
              <w:rPr>
                <w:rFonts w:ascii="Times New Roman" w:eastAsia="宋体" w:hAnsi="Times New Roman" w:cs="Times New Roman"/>
                <w:bCs/>
                <w:color w:val="000000" w:themeColor="text1"/>
                <w:sz w:val="18"/>
                <w:szCs w:val="18"/>
                <w:shd w:val="clear" w:color="auto" w:fill="FFFFFF"/>
                <w:lang w:val="zh-TW" w:eastAsia="zh-TW"/>
              </w:rPr>
              <w:t>m</w:t>
            </w:r>
            <w:r w:rsidRPr="00687B52">
              <w:rPr>
                <w:rFonts w:ascii="Times New Roman" w:eastAsia="宋体" w:hAnsi="Times New Roman" w:cs="Times New Roman"/>
                <w:bCs/>
                <w:color w:val="000000" w:themeColor="text1"/>
                <w:sz w:val="18"/>
                <w:szCs w:val="18"/>
                <w:shd w:val="clear" w:color="auto" w:fill="FFFFFF"/>
                <w:vertAlign w:val="superscript"/>
                <w:lang w:val="zh-TW" w:eastAsia="zh-TW"/>
              </w:rPr>
              <w:t>3</w:t>
            </w:r>
            <w:r w:rsidRPr="00687B52">
              <w:rPr>
                <w:rFonts w:ascii="Times New Roman" w:eastAsia="宋体" w:hAnsi="宋体" w:cs="Times New Roman"/>
                <w:bCs/>
                <w:color w:val="000000" w:themeColor="text1"/>
                <w:sz w:val="18"/>
                <w:szCs w:val="18"/>
                <w:shd w:val="clear" w:color="auto" w:fill="FFFFFF"/>
                <w:lang w:val="zh-TW" w:eastAsia="zh-TW"/>
              </w:rPr>
              <w:t>）</w:t>
            </w:r>
          </w:p>
        </w:tc>
        <w:tc>
          <w:tcPr>
            <w:tcW w:w="43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28</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24</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16</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24</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18</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16</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12</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44</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36</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32</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399"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40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448"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r>
      <w:tr w:rsidR="00717763" w:rsidRPr="00687B52" w:rsidTr="00717763">
        <w:tc>
          <w:tcPr>
            <w:tcW w:w="991" w:type="dxa"/>
            <w:gridSpan w:val="4"/>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43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&gt;30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26</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22</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399"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40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448"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r>
      <w:tr w:rsidR="00717763" w:rsidRPr="00687B52" w:rsidTr="00717763">
        <w:tc>
          <w:tcPr>
            <w:tcW w:w="1423" w:type="dxa"/>
            <w:gridSpan w:val="5"/>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宋体" w:cs="Times New Roman"/>
                <w:bCs/>
                <w:color w:val="000000" w:themeColor="text1"/>
                <w:sz w:val="18"/>
                <w:szCs w:val="18"/>
                <w:shd w:val="clear" w:color="auto" w:fill="FFFFFF"/>
                <w:lang w:val="zh-TW"/>
              </w:rPr>
              <w:t>全厂性重要设施</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40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26</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22</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85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75</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70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hint="eastAsia"/>
                <w:bCs/>
                <w:color w:val="000000" w:themeColor="text1"/>
                <w:sz w:val="18"/>
                <w:szCs w:val="18"/>
                <w:shd w:val="clear" w:color="auto" w:fill="FFFFFF"/>
                <w:lang w:val="zh-TW"/>
              </w:rPr>
              <w:t>—</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399"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40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448"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r>
      <w:tr w:rsidR="00717763" w:rsidRPr="00687B52" w:rsidTr="00717763">
        <w:tc>
          <w:tcPr>
            <w:tcW w:w="1423" w:type="dxa"/>
            <w:gridSpan w:val="5"/>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液化石油气灌装站</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26</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22</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399"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40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448"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r>
      <w:tr w:rsidR="00717763" w:rsidRPr="00687B52" w:rsidTr="00717763">
        <w:tc>
          <w:tcPr>
            <w:tcW w:w="1423" w:type="dxa"/>
            <w:gridSpan w:val="5"/>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火车装卸鹤管</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w:t>
            </w:r>
            <w:r w:rsidRPr="00687B52">
              <w:rPr>
                <w:rFonts w:ascii="Times New Roman" w:eastAsia="宋体" w:hAnsi="Times New Roman" w:cs="Times New Roman" w:hint="eastAsia"/>
                <w:bCs/>
                <w:color w:val="000000" w:themeColor="text1"/>
                <w:sz w:val="18"/>
                <w:szCs w:val="18"/>
                <w:shd w:val="clear" w:color="auto" w:fill="FFFFFF"/>
                <w:lang w:val="zh-TW"/>
              </w:rPr>
              <w:t>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399"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40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448"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r>
      <w:tr w:rsidR="00717763" w:rsidRPr="00687B52" w:rsidTr="00717763">
        <w:tc>
          <w:tcPr>
            <w:tcW w:w="1423" w:type="dxa"/>
            <w:gridSpan w:val="5"/>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汽车装卸鹤管</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22</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12</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25/15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399"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40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448"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r>
      <w:tr w:rsidR="00717763" w:rsidRPr="00687B52" w:rsidTr="00717763">
        <w:tc>
          <w:tcPr>
            <w:tcW w:w="1423" w:type="dxa"/>
            <w:gridSpan w:val="5"/>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码头装卸油臂及泊位</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50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40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45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40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399"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40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448"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r>
      <w:tr w:rsidR="00717763" w:rsidRPr="00687B52" w:rsidTr="00717763">
        <w:tc>
          <w:tcPr>
            <w:tcW w:w="1423" w:type="dxa"/>
            <w:gridSpan w:val="5"/>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辅助生产厂房及辅助生产设施</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26</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22</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18</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399"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w:t>
            </w: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15</w:t>
            </w: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40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c>
          <w:tcPr>
            <w:tcW w:w="448"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r>
      <w:tr w:rsidR="00717763" w:rsidRPr="00687B52" w:rsidTr="00717763">
        <w:tc>
          <w:tcPr>
            <w:tcW w:w="1423" w:type="dxa"/>
            <w:gridSpan w:val="5"/>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10KV</w:t>
            </w:r>
            <w:r w:rsidRPr="00687B52">
              <w:rPr>
                <w:rFonts w:ascii="Times New Roman" w:eastAsia="宋体" w:hAnsi="宋体" w:cs="Times New Roman"/>
                <w:bCs/>
                <w:color w:val="000000" w:themeColor="text1"/>
                <w:sz w:val="18"/>
                <w:szCs w:val="18"/>
                <w:shd w:val="clear" w:color="auto" w:fill="FFFFFF"/>
                <w:lang w:val="zh-TW"/>
              </w:rPr>
              <w:t>及以下户外变压器</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26</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22</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18</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399"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w:t>
            </w: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w:t>
            </w: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40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w:t>
            </w:r>
          </w:p>
        </w:tc>
        <w:tc>
          <w:tcPr>
            <w:tcW w:w="448"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p>
        </w:tc>
      </w:tr>
      <w:tr w:rsidR="00717763" w:rsidRPr="00687B52" w:rsidTr="00717763">
        <w:tc>
          <w:tcPr>
            <w:tcW w:w="423" w:type="dxa"/>
            <w:vMerge w:val="restart"/>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仓库</w:t>
            </w:r>
          </w:p>
        </w:tc>
        <w:tc>
          <w:tcPr>
            <w:tcW w:w="1000" w:type="dxa"/>
            <w:gridSpan w:val="4"/>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硫磺及其他甲、乙类物品</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40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399"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35</w:t>
            </w: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40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448"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r>
      <w:tr w:rsidR="00717763" w:rsidRPr="00687B52" w:rsidTr="00717763">
        <w:tc>
          <w:tcPr>
            <w:tcW w:w="423" w:type="dxa"/>
            <w:vMerge/>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p>
        </w:tc>
        <w:tc>
          <w:tcPr>
            <w:tcW w:w="1000" w:type="dxa"/>
            <w:gridSpan w:val="4"/>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丙类物品</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30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15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40</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50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15</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25</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15</w:t>
            </w:r>
          </w:p>
        </w:tc>
        <w:tc>
          <w:tcPr>
            <w:tcW w:w="399"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30</w:t>
            </w: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15</w:t>
            </w: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c>
          <w:tcPr>
            <w:tcW w:w="40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15</w:t>
            </w:r>
          </w:p>
        </w:tc>
        <w:tc>
          <w:tcPr>
            <w:tcW w:w="448"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20</w:t>
            </w:r>
          </w:p>
        </w:tc>
      </w:tr>
      <w:tr w:rsidR="00717763" w:rsidRPr="00687B52" w:rsidTr="00717763">
        <w:tc>
          <w:tcPr>
            <w:tcW w:w="1423" w:type="dxa"/>
            <w:gridSpan w:val="5"/>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宋体" w:cs="Times New Roman"/>
                <w:bCs/>
                <w:color w:val="000000" w:themeColor="text1"/>
                <w:sz w:val="18"/>
                <w:szCs w:val="18"/>
                <w:shd w:val="clear" w:color="auto" w:fill="FFFFFF"/>
                <w:lang w:val="zh-TW"/>
              </w:rPr>
              <w:t>可能携带可燃液体的高架火炬</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bCs/>
                <w:color w:val="000000" w:themeColor="text1"/>
                <w:sz w:val="18"/>
                <w:szCs w:val="18"/>
                <w:shd w:val="clear" w:color="auto" w:fill="FFFFFF"/>
                <w:lang w:val="zh-TW"/>
              </w:rPr>
              <w:t>90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bCs/>
                <w:color w:val="000000" w:themeColor="text1"/>
                <w:sz w:val="18"/>
                <w:szCs w:val="18"/>
                <w:shd w:val="clear" w:color="auto" w:fill="FFFFFF"/>
                <w:lang w:val="zh-TW"/>
              </w:rPr>
              <w:t>90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bCs/>
                <w:color w:val="000000" w:themeColor="text1"/>
                <w:sz w:val="18"/>
                <w:szCs w:val="18"/>
                <w:shd w:val="clear" w:color="auto" w:fill="FFFFFF"/>
                <w:lang w:val="zh-TW"/>
              </w:rPr>
              <w:t>90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bCs/>
                <w:color w:val="000000" w:themeColor="text1"/>
                <w:sz w:val="18"/>
                <w:szCs w:val="18"/>
                <w:shd w:val="clear" w:color="auto" w:fill="FFFFFF"/>
                <w:lang w:val="zh-TW"/>
              </w:rPr>
              <w:t>90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bCs/>
                <w:color w:val="000000" w:themeColor="text1"/>
                <w:sz w:val="18"/>
                <w:szCs w:val="18"/>
                <w:shd w:val="clear" w:color="auto" w:fill="FFFFFF"/>
                <w:lang w:val="zh-TW"/>
              </w:rPr>
              <w:t>90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bCs/>
                <w:color w:val="000000" w:themeColor="text1"/>
                <w:sz w:val="18"/>
                <w:szCs w:val="18"/>
                <w:shd w:val="clear" w:color="auto" w:fill="FFFFFF"/>
                <w:lang w:val="zh-TW"/>
              </w:rPr>
              <w:t>90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bCs/>
                <w:color w:val="000000" w:themeColor="text1"/>
                <w:sz w:val="18"/>
                <w:szCs w:val="18"/>
                <w:shd w:val="clear" w:color="auto" w:fill="FFFFFF"/>
                <w:lang w:val="zh-TW"/>
              </w:rPr>
              <w:t>90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bCs/>
                <w:color w:val="000000" w:themeColor="text1"/>
                <w:sz w:val="18"/>
                <w:szCs w:val="18"/>
                <w:shd w:val="clear" w:color="auto" w:fill="FFFFFF"/>
                <w:lang w:val="zh-TW"/>
              </w:rPr>
              <w:t>90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bCs/>
                <w:color w:val="000000" w:themeColor="text1"/>
                <w:sz w:val="18"/>
                <w:szCs w:val="18"/>
                <w:shd w:val="clear" w:color="auto" w:fill="FFFFFF"/>
                <w:lang w:val="zh-TW"/>
              </w:rPr>
              <w:t>90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90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90</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hint="eastAsia"/>
                <w:bCs/>
                <w:color w:val="000000" w:themeColor="text1"/>
                <w:sz w:val="18"/>
                <w:szCs w:val="18"/>
                <w:shd w:val="clear" w:color="auto" w:fill="FFFFFF"/>
                <w:lang w:val="zh-TW"/>
              </w:rPr>
              <w:t>90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hint="eastAsia"/>
                <w:bCs/>
                <w:color w:val="000000" w:themeColor="text1"/>
                <w:sz w:val="18"/>
                <w:szCs w:val="18"/>
                <w:shd w:val="clear" w:color="auto" w:fill="FFFFFF"/>
                <w:lang w:val="zh-TW"/>
              </w:rPr>
              <w:t>90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hint="eastAsia"/>
                <w:bCs/>
                <w:color w:val="000000" w:themeColor="text1"/>
                <w:sz w:val="18"/>
                <w:szCs w:val="18"/>
                <w:shd w:val="clear" w:color="auto" w:fill="FFFFFF"/>
                <w:lang w:val="zh-TW"/>
              </w:rPr>
              <w:t>90</w:t>
            </w:r>
          </w:p>
        </w:tc>
        <w:tc>
          <w:tcPr>
            <w:tcW w:w="425"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hint="eastAsia"/>
                <w:bCs/>
                <w:color w:val="000000" w:themeColor="text1"/>
                <w:sz w:val="18"/>
                <w:szCs w:val="18"/>
                <w:shd w:val="clear" w:color="auto" w:fill="FFFFFF"/>
                <w:lang w:val="zh-TW"/>
              </w:rPr>
              <w:t>90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hint="eastAsia"/>
                <w:bCs/>
                <w:color w:val="000000" w:themeColor="text1"/>
                <w:sz w:val="18"/>
                <w:szCs w:val="18"/>
                <w:shd w:val="clear" w:color="auto" w:fill="FFFFFF"/>
                <w:lang w:val="zh-TW"/>
              </w:rPr>
              <w:t>90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hint="eastAsia"/>
                <w:bCs/>
                <w:color w:val="000000" w:themeColor="text1"/>
                <w:sz w:val="18"/>
                <w:szCs w:val="18"/>
                <w:shd w:val="clear" w:color="auto" w:fill="FFFFFF"/>
                <w:lang w:val="zh-TW"/>
              </w:rPr>
              <w:t>90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hint="eastAsia"/>
                <w:bCs/>
                <w:color w:val="000000" w:themeColor="text1"/>
                <w:sz w:val="18"/>
                <w:szCs w:val="18"/>
                <w:shd w:val="clear" w:color="auto" w:fill="FFFFFF"/>
                <w:lang w:val="zh-TW"/>
              </w:rPr>
              <w:t>90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567"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rPr>
            </w:pPr>
            <w:r w:rsidRPr="00687B52">
              <w:rPr>
                <w:rFonts w:ascii="Times New Roman" w:eastAsia="宋体" w:hAnsi="Times New Roman" w:cs="Times New Roman" w:hint="eastAsia"/>
                <w:bCs/>
                <w:color w:val="000000" w:themeColor="text1"/>
                <w:sz w:val="18"/>
                <w:szCs w:val="18"/>
                <w:shd w:val="clear" w:color="auto" w:fill="FFFFFF"/>
                <w:lang w:val="zh-TW"/>
              </w:rPr>
              <w:t>60</w:t>
            </w:r>
          </w:p>
        </w:tc>
        <w:tc>
          <w:tcPr>
            <w:tcW w:w="426"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hint="eastAsia"/>
                <w:bCs/>
                <w:color w:val="000000" w:themeColor="text1"/>
                <w:sz w:val="18"/>
                <w:szCs w:val="18"/>
                <w:shd w:val="clear" w:color="auto" w:fill="FFFFFF"/>
                <w:lang w:val="zh-TW"/>
              </w:rPr>
              <w:t>90</w:t>
            </w:r>
          </w:p>
        </w:tc>
        <w:tc>
          <w:tcPr>
            <w:tcW w:w="399"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hint="eastAsia"/>
                <w:bCs/>
                <w:color w:val="000000" w:themeColor="text1"/>
                <w:sz w:val="18"/>
                <w:szCs w:val="18"/>
                <w:shd w:val="clear" w:color="auto" w:fill="FFFFFF"/>
                <w:lang w:val="zh-TW"/>
              </w:rPr>
              <w:t>90</w:t>
            </w: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hint="eastAsia"/>
                <w:bCs/>
                <w:color w:val="000000" w:themeColor="text1"/>
                <w:sz w:val="18"/>
                <w:szCs w:val="18"/>
                <w:shd w:val="clear" w:color="auto" w:fill="FFFFFF"/>
                <w:lang w:val="zh-TW"/>
              </w:rPr>
              <w:t>90</w:t>
            </w: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hint="eastAsia"/>
                <w:bCs/>
                <w:color w:val="000000" w:themeColor="text1"/>
                <w:sz w:val="18"/>
                <w:szCs w:val="18"/>
                <w:shd w:val="clear" w:color="auto" w:fill="FFFFFF"/>
                <w:lang w:val="zh-TW"/>
              </w:rPr>
              <w:t>90</w:t>
            </w: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hint="eastAsia"/>
                <w:bCs/>
                <w:color w:val="000000" w:themeColor="text1"/>
                <w:sz w:val="18"/>
                <w:szCs w:val="18"/>
                <w:shd w:val="clear" w:color="auto" w:fill="FFFFFF"/>
                <w:lang w:val="zh-TW"/>
              </w:rPr>
              <w:t>90</w:t>
            </w:r>
          </w:p>
        </w:tc>
        <w:tc>
          <w:tcPr>
            <w:tcW w:w="283"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hint="eastAsia"/>
                <w:bCs/>
                <w:color w:val="000000" w:themeColor="text1"/>
                <w:sz w:val="18"/>
                <w:szCs w:val="18"/>
                <w:shd w:val="clear" w:color="auto" w:fill="FFFFFF"/>
                <w:lang w:val="zh-TW"/>
              </w:rPr>
              <w:t>90</w:t>
            </w:r>
          </w:p>
        </w:tc>
        <w:tc>
          <w:tcPr>
            <w:tcW w:w="284"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hint="eastAsia"/>
                <w:bCs/>
                <w:color w:val="000000" w:themeColor="text1"/>
                <w:sz w:val="18"/>
                <w:szCs w:val="18"/>
                <w:shd w:val="clear" w:color="auto" w:fill="FFFFFF"/>
                <w:lang w:val="zh-TW"/>
              </w:rPr>
              <w:t>90</w:t>
            </w:r>
          </w:p>
        </w:tc>
        <w:tc>
          <w:tcPr>
            <w:tcW w:w="402"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hint="eastAsia"/>
                <w:bCs/>
                <w:color w:val="000000" w:themeColor="text1"/>
                <w:sz w:val="18"/>
                <w:szCs w:val="18"/>
                <w:shd w:val="clear" w:color="auto" w:fill="FFFFFF"/>
                <w:lang w:val="zh-TW"/>
              </w:rPr>
              <w:t>90</w:t>
            </w:r>
          </w:p>
        </w:tc>
        <w:tc>
          <w:tcPr>
            <w:tcW w:w="448" w:type="dxa"/>
            <w:tcMar>
              <w:left w:w="0" w:type="dxa"/>
              <w:right w:w="0" w:type="dxa"/>
            </w:tcMar>
            <w:vAlign w:val="center"/>
          </w:tcPr>
          <w:p w:rsidR="00717763" w:rsidRPr="00687B52" w:rsidRDefault="00717763" w:rsidP="00C2311F">
            <w:pPr>
              <w:pStyle w:val="110"/>
              <w:shd w:val="clear" w:color="auto" w:fill="auto"/>
              <w:spacing w:before="0" w:line="220" w:lineRule="exact"/>
              <w:ind w:firstLine="0"/>
              <w:rPr>
                <w:rFonts w:ascii="Times New Roman" w:eastAsia="宋体" w:hAnsi="Times New Roman" w:cs="Times New Roman"/>
                <w:bCs/>
                <w:color w:val="000000" w:themeColor="text1"/>
                <w:sz w:val="18"/>
                <w:szCs w:val="18"/>
                <w:shd w:val="clear" w:color="auto" w:fill="FFFFFF"/>
                <w:lang w:val="zh-TW" w:eastAsia="zh-TW"/>
              </w:rPr>
            </w:pPr>
            <w:r w:rsidRPr="00687B52">
              <w:rPr>
                <w:rFonts w:ascii="Times New Roman" w:eastAsia="宋体" w:hAnsi="Times New Roman" w:cs="Times New Roman" w:hint="eastAsia"/>
                <w:bCs/>
                <w:color w:val="000000" w:themeColor="text1"/>
                <w:sz w:val="18"/>
                <w:szCs w:val="18"/>
                <w:shd w:val="clear" w:color="auto" w:fill="FFFFFF"/>
                <w:lang w:val="zh-TW"/>
              </w:rPr>
              <w:t>90</w:t>
            </w:r>
          </w:p>
        </w:tc>
      </w:tr>
    </w:tbl>
    <w:p w:rsidR="00717763" w:rsidRPr="00687B52" w:rsidRDefault="00717763" w:rsidP="00717763">
      <w:pPr>
        <w:pStyle w:val="110"/>
        <w:shd w:val="clear" w:color="auto" w:fill="auto"/>
        <w:spacing w:before="0" w:line="240" w:lineRule="exact"/>
        <w:ind w:firstLine="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注：</w:t>
      </w:r>
      <w:r w:rsidRPr="00687B52">
        <w:rPr>
          <w:rFonts w:ascii="Times New Roman" w:eastAsia="宋体" w:hAnsi="Times New Roman" w:cs="Times New Roman" w:hint="eastAsia"/>
          <w:bCs/>
          <w:color w:val="000000" w:themeColor="text1"/>
          <w:sz w:val="21"/>
          <w:szCs w:val="21"/>
          <w:shd w:val="clear" w:color="auto" w:fill="FFFFFF"/>
          <w:lang w:val="zh-TW"/>
        </w:rPr>
        <w:t xml:space="preserve">1 </w:t>
      </w:r>
      <w:r w:rsidRPr="00687B52">
        <w:rPr>
          <w:rFonts w:ascii="Times New Roman" w:eastAsia="宋体" w:hAnsi="Times New Roman" w:cs="Times New Roman" w:hint="eastAsia"/>
          <w:bCs/>
          <w:color w:val="000000" w:themeColor="text1"/>
          <w:sz w:val="21"/>
          <w:szCs w:val="21"/>
          <w:shd w:val="clear" w:color="auto" w:fill="FFFFFF"/>
          <w:lang w:val="zh-TW"/>
        </w:rPr>
        <w:t>两个丙类液体生产设施之间的防火间距，可按甲、乙类生产设施的防火间距减少</w:t>
      </w:r>
      <w:r w:rsidRPr="00687B52">
        <w:rPr>
          <w:rFonts w:ascii="Times New Roman" w:eastAsia="宋体" w:hAnsi="Times New Roman" w:cs="Times New Roman" w:hint="eastAsia"/>
          <w:bCs/>
          <w:color w:val="000000" w:themeColor="text1"/>
          <w:sz w:val="21"/>
          <w:szCs w:val="21"/>
          <w:shd w:val="clear" w:color="auto" w:fill="FFFFFF"/>
          <w:lang w:val="zh-TW"/>
        </w:rPr>
        <w:t>25%</w:t>
      </w:r>
      <w:r w:rsidRPr="00687B52">
        <w:rPr>
          <w:rFonts w:ascii="Times New Roman" w:eastAsia="宋体" w:hAnsi="Times New Roman" w:cs="Times New Roman" w:hint="eastAsia"/>
          <w:bCs/>
          <w:color w:val="000000" w:themeColor="text1"/>
          <w:sz w:val="21"/>
          <w:szCs w:val="21"/>
          <w:shd w:val="clear" w:color="auto" w:fill="FFFFFF"/>
          <w:lang w:val="zh-TW"/>
        </w:rPr>
        <w:t>。</w:t>
      </w:r>
    </w:p>
    <w:p w:rsidR="00717763" w:rsidRPr="00687B52" w:rsidRDefault="00717763" w:rsidP="00717763">
      <w:pPr>
        <w:pStyle w:val="110"/>
        <w:shd w:val="clear" w:color="auto" w:fill="auto"/>
        <w:spacing w:before="0" w:line="240" w:lineRule="exact"/>
        <w:ind w:firstLineChars="200" w:firstLine="42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 xml:space="preserve">2 </w:t>
      </w:r>
      <w:r w:rsidRPr="00687B52">
        <w:rPr>
          <w:rFonts w:ascii="Times New Roman" w:eastAsia="宋体" w:hAnsi="Times New Roman" w:cs="Times New Roman" w:hint="eastAsia"/>
          <w:bCs/>
          <w:color w:val="000000" w:themeColor="text1"/>
          <w:sz w:val="21"/>
          <w:szCs w:val="21"/>
          <w:shd w:val="clear" w:color="auto" w:fill="FFFFFF"/>
          <w:lang w:val="zh-TW"/>
        </w:rPr>
        <w:t>油田采出水处理设施内除油罐（沉降罐）、污油罐可按小于或等于</w:t>
      </w:r>
      <w:r w:rsidRPr="00687B52">
        <w:rPr>
          <w:rFonts w:ascii="Times New Roman" w:eastAsia="宋体" w:hAnsi="Times New Roman" w:cs="Times New Roman" w:hint="eastAsia"/>
          <w:bCs/>
          <w:color w:val="000000" w:themeColor="text1"/>
          <w:sz w:val="21"/>
          <w:szCs w:val="21"/>
          <w:shd w:val="clear" w:color="auto" w:fill="FFFFFF"/>
          <w:lang w:val="zh-TW"/>
        </w:rPr>
        <w:t>500m</w:t>
      </w:r>
      <w:r w:rsidRPr="00687B52">
        <w:rPr>
          <w:rFonts w:ascii="Times New Roman" w:eastAsia="宋体" w:hAnsi="Times New Roman" w:cs="Times New Roman" w:hint="eastAsia"/>
          <w:bCs/>
          <w:color w:val="000000" w:themeColor="text1"/>
          <w:sz w:val="21"/>
          <w:szCs w:val="21"/>
          <w:shd w:val="clear" w:color="auto" w:fill="FFFFFF"/>
          <w:vertAlign w:val="superscript"/>
          <w:lang w:val="zh-TW"/>
        </w:rPr>
        <w:t>3</w:t>
      </w:r>
      <w:r w:rsidRPr="00687B52">
        <w:rPr>
          <w:rFonts w:ascii="Times New Roman" w:eastAsia="宋体" w:hAnsi="Times New Roman" w:cs="Times New Roman" w:hint="eastAsia"/>
          <w:bCs/>
          <w:color w:val="000000" w:themeColor="text1"/>
          <w:sz w:val="21"/>
          <w:szCs w:val="21"/>
          <w:shd w:val="clear" w:color="auto" w:fill="FFFFFF"/>
          <w:lang w:val="zh-TW"/>
        </w:rPr>
        <w:t>的甲</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B</w:t>
      </w:r>
      <w:r w:rsidRPr="00687B52">
        <w:rPr>
          <w:rFonts w:ascii="Times New Roman" w:eastAsia="宋体" w:hAnsi="Times New Roman" w:cs="Times New Roman" w:hint="eastAsia"/>
          <w:bCs/>
          <w:color w:val="000000" w:themeColor="text1"/>
          <w:sz w:val="21"/>
          <w:szCs w:val="21"/>
          <w:shd w:val="clear" w:color="auto" w:fill="FFFFFF"/>
          <w:lang w:val="zh-TW"/>
        </w:rPr>
        <w:t>、乙类固定顶地上油罐的防火间距减少</w:t>
      </w:r>
      <w:r w:rsidRPr="00687B52">
        <w:rPr>
          <w:rFonts w:ascii="Times New Roman" w:eastAsia="宋体" w:hAnsi="Times New Roman" w:cs="Times New Roman" w:hint="eastAsia"/>
          <w:bCs/>
          <w:color w:val="000000" w:themeColor="text1"/>
          <w:sz w:val="21"/>
          <w:szCs w:val="21"/>
          <w:shd w:val="clear" w:color="auto" w:fill="FFFFFF"/>
          <w:lang w:val="zh-TW"/>
        </w:rPr>
        <w:t>25%</w:t>
      </w:r>
      <w:r w:rsidRPr="00687B52">
        <w:rPr>
          <w:rFonts w:ascii="Times New Roman" w:eastAsia="宋体" w:hAnsi="Times New Roman" w:cs="Times New Roman" w:hint="eastAsia"/>
          <w:bCs/>
          <w:color w:val="000000" w:themeColor="text1"/>
          <w:sz w:val="21"/>
          <w:szCs w:val="21"/>
          <w:shd w:val="clear" w:color="auto" w:fill="FFFFFF"/>
          <w:lang w:val="zh-TW"/>
        </w:rPr>
        <w:t>，污油泵（或泵房）的防火间距可按甲乙类厂房和密闭工艺装置（设备）减少</w:t>
      </w:r>
      <w:r w:rsidRPr="00687B52">
        <w:rPr>
          <w:rFonts w:ascii="Times New Roman" w:eastAsia="宋体" w:hAnsi="Times New Roman" w:cs="Times New Roman" w:hint="eastAsia"/>
          <w:bCs/>
          <w:color w:val="000000" w:themeColor="text1"/>
          <w:sz w:val="21"/>
          <w:szCs w:val="21"/>
          <w:shd w:val="clear" w:color="auto" w:fill="FFFFFF"/>
          <w:lang w:val="zh-TW"/>
        </w:rPr>
        <w:t>25%</w:t>
      </w:r>
      <w:r w:rsidRPr="00687B52">
        <w:rPr>
          <w:rFonts w:ascii="Times New Roman" w:eastAsia="宋体" w:hAnsi="Times New Roman" w:cs="Times New Roman" w:hint="eastAsia"/>
          <w:bCs/>
          <w:color w:val="000000" w:themeColor="text1"/>
          <w:sz w:val="21"/>
          <w:szCs w:val="21"/>
          <w:shd w:val="clear" w:color="auto" w:fill="FFFFFF"/>
          <w:lang w:val="zh-TW"/>
        </w:rPr>
        <w:t>。</w:t>
      </w:r>
    </w:p>
    <w:p w:rsidR="00717763" w:rsidRPr="00687B52" w:rsidRDefault="00717763" w:rsidP="00717763">
      <w:pPr>
        <w:pStyle w:val="110"/>
        <w:shd w:val="clear" w:color="auto" w:fill="auto"/>
        <w:spacing w:before="0" w:line="240" w:lineRule="exact"/>
        <w:ind w:firstLineChars="200" w:firstLine="42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 xml:space="preserve">3 </w:t>
      </w:r>
      <w:r w:rsidRPr="00687B52">
        <w:rPr>
          <w:rFonts w:ascii="Times New Roman" w:eastAsia="宋体" w:hAnsi="Times New Roman" w:cs="Times New Roman" w:hint="eastAsia"/>
          <w:bCs/>
          <w:color w:val="000000" w:themeColor="text1"/>
          <w:sz w:val="21"/>
          <w:szCs w:val="21"/>
          <w:shd w:val="clear" w:color="auto" w:fill="FFFFFF"/>
          <w:lang w:val="zh-TW"/>
        </w:rPr>
        <w:t>缓冲罐与泵，零位罐与泵，除油池与污油提升泵，塔与塔底泵、回流泵，压缩机与其直接相关的附属设备，泵与密封漏油回收容器的防火间距不限。</w:t>
      </w:r>
    </w:p>
    <w:p w:rsidR="00717763" w:rsidRPr="00687B52" w:rsidRDefault="00717763" w:rsidP="00717763">
      <w:pPr>
        <w:pStyle w:val="110"/>
        <w:shd w:val="clear" w:color="auto" w:fill="auto"/>
        <w:spacing w:before="0" w:line="240" w:lineRule="exact"/>
        <w:ind w:firstLineChars="200" w:firstLine="42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 xml:space="preserve">4 </w:t>
      </w:r>
      <w:r w:rsidRPr="00687B52">
        <w:rPr>
          <w:rFonts w:ascii="Times New Roman" w:eastAsia="宋体" w:hAnsi="Times New Roman" w:cs="Times New Roman" w:hint="eastAsia"/>
          <w:bCs/>
          <w:color w:val="000000" w:themeColor="text1"/>
          <w:sz w:val="21"/>
          <w:szCs w:val="21"/>
          <w:shd w:val="clear" w:color="auto" w:fill="FFFFFF"/>
          <w:lang w:val="zh-TW"/>
        </w:rPr>
        <w:t>全厂性重要设施系指集中控制室、马达控制中心、消防泵房和消防器材间、</w:t>
      </w:r>
      <w:r w:rsidRPr="00687B52">
        <w:rPr>
          <w:rFonts w:ascii="Times New Roman" w:eastAsia="宋体" w:hAnsi="Times New Roman" w:cs="Times New Roman" w:hint="eastAsia"/>
          <w:bCs/>
          <w:color w:val="000000" w:themeColor="text1"/>
          <w:sz w:val="21"/>
          <w:szCs w:val="21"/>
          <w:shd w:val="clear" w:color="auto" w:fill="FFFFFF"/>
          <w:lang w:val="zh-TW"/>
        </w:rPr>
        <w:t>35KV</w:t>
      </w:r>
      <w:r w:rsidRPr="00687B52">
        <w:rPr>
          <w:rFonts w:ascii="Times New Roman" w:eastAsia="宋体" w:hAnsi="Times New Roman" w:cs="Times New Roman" w:hint="eastAsia"/>
          <w:bCs/>
          <w:color w:val="000000" w:themeColor="text1"/>
          <w:sz w:val="21"/>
          <w:szCs w:val="21"/>
          <w:shd w:val="clear" w:color="auto" w:fill="FFFFFF"/>
          <w:lang w:val="zh-TW"/>
        </w:rPr>
        <w:t>及以上的变电所、自备电站、化验室、总机房和厂部办公室，空压站和空分装置。</w:t>
      </w:r>
    </w:p>
    <w:p w:rsidR="00717763" w:rsidRPr="00687B52" w:rsidRDefault="00717763" w:rsidP="00717763">
      <w:pPr>
        <w:pStyle w:val="110"/>
        <w:shd w:val="clear" w:color="auto" w:fill="auto"/>
        <w:spacing w:before="0" w:line="240" w:lineRule="exact"/>
        <w:ind w:firstLineChars="200" w:firstLine="42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 xml:space="preserve">5 </w:t>
      </w:r>
      <w:r w:rsidRPr="00687B52">
        <w:rPr>
          <w:rFonts w:ascii="Times New Roman" w:eastAsia="宋体" w:hAnsi="Times New Roman" w:cs="Times New Roman" w:hint="eastAsia"/>
          <w:bCs/>
          <w:color w:val="000000" w:themeColor="text1"/>
          <w:sz w:val="21"/>
          <w:szCs w:val="21"/>
          <w:shd w:val="clear" w:color="auto" w:fill="FFFFFF"/>
          <w:lang w:val="zh-TW"/>
        </w:rPr>
        <w:t>辅助生产厂房及辅助生产设施系指维修间、车间办公室、工具间、换热站、供注水泵房、深井泵房、排涝泵房、仪表控制间、应急发电设施、阴极保护间、循环水泵房、供水处理与污水处理等使用非防爆电气设备的厂房和设施。</w:t>
      </w:r>
    </w:p>
    <w:p w:rsidR="00717763" w:rsidRPr="00687B52" w:rsidRDefault="00717763" w:rsidP="00717763">
      <w:pPr>
        <w:pStyle w:val="110"/>
        <w:shd w:val="clear" w:color="auto" w:fill="auto"/>
        <w:spacing w:before="0" w:line="240" w:lineRule="exact"/>
        <w:ind w:firstLineChars="200" w:firstLine="42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 xml:space="preserve">6 </w:t>
      </w:r>
      <w:r w:rsidRPr="00687B52">
        <w:rPr>
          <w:rFonts w:ascii="Times New Roman" w:eastAsia="宋体" w:hAnsi="Times New Roman" w:cs="Times New Roman" w:hint="eastAsia"/>
          <w:bCs/>
          <w:color w:val="000000" w:themeColor="text1"/>
          <w:sz w:val="21"/>
          <w:szCs w:val="21"/>
          <w:shd w:val="clear" w:color="auto" w:fill="FFFFFF"/>
          <w:lang w:val="zh-TW"/>
        </w:rPr>
        <w:t>天然气储罐总容量按标准体积计算。大于</w:t>
      </w:r>
      <w:r w:rsidRPr="00687B52">
        <w:rPr>
          <w:rFonts w:ascii="Times New Roman" w:eastAsia="宋体" w:hAnsi="Times New Roman" w:cs="Times New Roman" w:hint="eastAsia"/>
          <w:bCs/>
          <w:color w:val="000000" w:themeColor="text1"/>
          <w:sz w:val="21"/>
          <w:szCs w:val="21"/>
          <w:shd w:val="clear" w:color="auto" w:fill="FFFFFF"/>
          <w:lang w:val="zh-TW"/>
        </w:rPr>
        <w:t>50000m</w:t>
      </w:r>
      <w:r w:rsidRPr="00687B52">
        <w:rPr>
          <w:rFonts w:ascii="Times New Roman" w:eastAsia="宋体" w:hAnsi="Times New Roman" w:cs="Times New Roman" w:hint="eastAsia"/>
          <w:bCs/>
          <w:color w:val="000000" w:themeColor="text1"/>
          <w:sz w:val="21"/>
          <w:szCs w:val="21"/>
          <w:shd w:val="clear" w:color="auto" w:fill="FFFFFF"/>
          <w:vertAlign w:val="superscript"/>
          <w:lang w:val="zh-TW"/>
        </w:rPr>
        <w:t>3</w:t>
      </w:r>
      <w:r w:rsidRPr="00687B52">
        <w:rPr>
          <w:rFonts w:ascii="Times New Roman" w:eastAsia="宋体" w:hAnsi="Times New Roman" w:cs="Times New Roman" w:hint="eastAsia"/>
          <w:bCs/>
          <w:color w:val="000000" w:themeColor="text1"/>
          <w:sz w:val="21"/>
          <w:szCs w:val="21"/>
          <w:shd w:val="clear" w:color="auto" w:fill="FFFFFF"/>
          <w:lang w:val="zh-TW"/>
        </w:rPr>
        <w:t>时，防火间距应按本表增加</w:t>
      </w:r>
      <w:r w:rsidRPr="00687B52">
        <w:rPr>
          <w:rFonts w:ascii="Times New Roman" w:eastAsia="宋体" w:hAnsi="Times New Roman" w:cs="Times New Roman" w:hint="eastAsia"/>
          <w:bCs/>
          <w:color w:val="000000" w:themeColor="text1"/>
          <w:sz w:val="21"/>
          <w:szCs w:val="21"/>
          <w:shd w:val="clear" w:color="auto" w:fill="FFFFFF"/>
          <w:lang w:val="zh-TW"/>
        </w:rPr>
        <w:t>25%</w:t>
      </w:r>
      <w:r w:rsidRPr="00687B52">
        <w:rPr>
          <w:rFonts w:ascii="Times New Roman" w:eastAsia="宋体" w:hAnsi="Times New Roman" w:cs="Times New Roman" w:hint="eastAsia"/>
          <w:bCs/>
          <w:color w:val="000000" w:themeColor="text1"/>
          <w:sz w:val="21"/>
          <w:szCs w:val="21"/>
          <w:shd w:val="clear" w:color="auto" w:fill="FFFFFF"/>
          <w:lang w:val="zh-TW"/>
        </w:rPr>
        <w:t>。</w:t>
      </w:r>
    </w:p>
    <w:p w:rsidR="00717763" w:rsidRPr="00687B52" w:rsidRDefault="00717763" w:rsidP="00717763">
      <w:pPr>
        <w:pStyle w:val="110"/>
        <w:shd w:val="clear" w:color="auto" w:fill="auto"/>
        <w:spacing w:before="0" w:line="240" w:lineRule="exact"/>
        <w:ind w:firstLineChars="200" w:firstLine="42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 xml:space="preserve">7 </w:t>
      </w:r>
      <w:r w:rsidRPr="00687B52">
        <w:rPr>
          <w:rFonts w:ascii="Times New Roman" w:eastAsia="宋体" w:hAnsi="Times New Roman" w:cs="Times New Roman" w:hint="eastAsia"/>
          <w:bCs/>
          <w:color w:val="000000" w:themeColor="text1"/>
          <w:sz w:val="21"/>
          <w:szCs w:val="21"/>
          <w:shd w:val="clear" w:color="auto" w:fill="FFFFFF"/>
          <w:lang w:val="zh-TW"/>
        </w:rPr>
        <w:t>可能携带可燃液体的高架火炬与相关设施的防火间距不得折减。</w:t>
      </w:r>
    </w:p>
    <w:p w:rsidR="00717763" w:rsidRPr="00687B52" w:rsidRDefault="00717763" w:rsidP="00717763">
      <w:pPr>
        <w:pStyle w:val="110"/>
        <w:shd w:val="clear" w:color="auto" w:fill="auto"/>
        <w:spacing w:before="0" w:line="240" w:lineRule="exact"/>
        <w:ind w:firstLineChars="200" w:firstLine="42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 xml:space="preserve">8 </w:t>
      </w:r>
      <w:r w:rsidRPr="00687B52">
        <w:rPr>
          <w:rFonts w:ascii="Times New Roman" w:eastAsia="宋体" w:hAnsi="Times New Roman" w:cs="Times New Roman" w:hint="eastAsia"/>
          <w:bCs/>
          <w:color w:val="000000" w:themeColor="text1"/>
          <w:sz w:val="21"/>
          <w:szCs w:val="21"/>
          <w:shd w:val="clear" w:color="auto" w:fill="FFFFFF"/>
          <w:lang w:val="zh-TW"/>
        </w:rPr>
        <w:t>表中数字分子表示甲</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A</w:t>
      </w:r>
      <w:r w:rsidRPr="00687B52">
        <w:rPr>
          <w:rFonts w:ascii="Times New Roman" w:eastAsia="宋体" w:hAnsi="Times New Roman" w:cs="Times New Roman" w:hint="eastAsia"/>
          <w:bCs/>
          <w:color w:val="000000" w:themeColor="text1"/>
          <w:sz w:val="21"/>
          <w:szCs w:val="21"/>
          <w:shd w:val="clear" w:color="auto" w:fill="FFFFFF"/>
          <w:lang w:val="zh-TW"/>
        </w:rPr>
        <w:t>类，分母表示甲</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B</w:t>
      </w:r>
      <w:r w:rsidRPr="00687B52">
        <w:rPr>
          <w:rFonts w:ascii="Times New Roman" w:eastAsia="宋体" w:hAnsi="Times New Roman" w:cs="Times New Roman" w:hint="eastAsia"/>
          <w:bCs/>
          <w:color w:val="000000" w:themeColor="text1"/>
          <w:sz w:val="21"/>
          <w:szCs w:val="21"/>
          <w:shd w:val="clear" w:color="auto" w:fill="FFFFFF"/>
          <w:lang w:val="zh-TW"/>
        </w:rPr>
        <w:t>、乙类厂房和密闭工艺装置（设施）防火间距。</w:t>
      </w:r>
    </w:p>
    <w:p w:rsidR="00717763" w:rsidRPr="00687B52" w:rsidRDefault="00717763" w:rsidP="00717763">
      <w:pPr>
        <w:pStyle w:val="110"/>
        <w:shd w:val="clear" w:color="auto" w:fill="auto"/>
        <w:spacing w:before="0" w:line="240" w:lineRule="exact"/>
        <w:ind w:firstLineChars="200" w:firstLine="42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 xml:space="preserve">9 </w:t>
      </w:r>
      <w:r w:rsidRPr="00687B52">
        <w:rPr>
          <w:rFonts w:ascii="Times New Roman" w:eastAsia="宋体" w:hAnsi="Times New Roman" w:cs="Times New Roman" w:hint="eastAsia"/>
          <w:bCs/>
          <w:color w:val="000000" w:themeColor="text1"/>
          <w:sz w:val="21"/>
          <w:szCs w:val="21"/>
          <w:shd w:val="clear" w:color="auto" w:fill="FFFFFF"/>
          <w:lang w:val="zh-TW"/>
        </w:rPr>
        <w:t>液化石油气灌装站系指进行液化石油气灌瓶、加压及其有关的附属生产设施；灌装站内部防火间距应按本规范</w:t>
      </w:r>
      <w:r w:rsidRPr="00687B52">
        <w:rPr>
          <w:rFonts w:ascii="Times New Roman" w:eastAsia="宋体" w:hAnsi="Times New Roman" w:cs="Times New Roman" w:hint="eastAsia"/>
          <w:bCs/>
          <w:color w:val="000000" w:themeColor="text1"/>
          <w:sz w:val="21"/>
          <w:szCs w:val="21"/>
          <w:shd w:val="clear" w:color="auto" w:fill="FFFFFF"/>
          <w:lang w:val="zh-TW"/>
        </w:rPr>
        <w:t>6.7</w:t>
      </w:r>
      <w:r w:rsidRPr="00687B52">
        <w:rPr>
          <w:rFonts w:ascii="Times New Roman" w:eastAsia="宋体" w:hAnsi="Times New Roman" w:cs="Times New Roman" w:hint="eastAsia"/>
          <w:bCs/>
          <w:color w:val="000000" w:themeColor="text1"/>
          <w:sz w:val="21"/>
          <w:szCs w:val="21"/>
          <w:shd w:val="clear" w:color="auto" w:fill="FFFFFF"/>
          <w:lang w:val="zh-TW"/>
        </w:rPr>
        <w:t>节执行；灌装站防火间距起算点，按灌装站内相邻面的设备、容器、建（构）筑物外缘算起。</w:t>
      </w:r>
    </w:p>
    <w:p w:rsidR="00717763" w:rsidRPr="00687B52" w:rsidRDefault="00717763" w:rsidP="00717763">
      <w:pPr>
        <w:pStyle w:val="110"/>
        <w:shd w:val="clear" w:color="auto" w:fill="auto"/>
        <w:spacing w:before="0" w:line="240" w:lineRule="exact"/>
        <w:ind w:firstLineChars="200" w:firstLine="42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 xml:space="preserve">10 </w:t>
      </w:r>
      <w:r w:rsidRPr="00687B52">
        <w:rPr>
          <w:rFonts w:ascii="Times New Roman" w:eastAsia="宋体" w:hAnsi="Times New Roman" w:cs="Times New Roman" w:hint="eastAsia"/>
          <w:bCs/>
          <w:color w:val="000000" w:themeColor="text1"/>
          <w:sz w:val="21"/>
          <w:szCs w:val="21"/>
          <w:shd w:val="clear" w:color="auto" w:fill="FFFFFF"/>
          <w:lang w:val="zh-TW"/>
        </w:rPr>
        <w:t>事故存液池的防火间距，可按敞口容器和除油池的规定执行。</w:t>
      </w:r>
    </w:p>
    <w:p w:rsidR="00717763" w:rsidRPr="00687B52" w:rsidRDefault="00717763" w:rsidP="00717763">
      <w:pPr>
        <w:pStyle w:val="110"/>
        <w:shd w:val="clear" w:color="auto" w:fill="auto"/>
        <w:spacing w:before="0" w:line="240" w:lineRule="exact"/>
        <w:ind w:firstLineChars="200" w:firstLine="42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 xml:space="preserve">11 </w:t>
      </w:r>
      <w:r w:rsidRPr="00687B52">
        <w:rPr>
          <w:rFonts w:ascii="Times New Roman" w:eastAsia="宋体" w:hAnsi="Times New Roman" w:cs="Times New Roman" w:hint="eastAsia"/>
          <w:bCs/>
          <w:color w:val="000000" w:themeColor="text1"/>
          <w:sz w:val="21"/>
          <w:szCs w:val="21"/>
          <w:shd w:val="clear" w:color="auto" w:fill="FFFFFF"/>
          <w:lang w:val="zh-TW"/>
        </w:rPr>
        <w:t>表中“—”表示设施之间的防火间距应符合现行国家标准《建筑设计防火规范》的规定或设施间距只需满足安装、操作及维修要求；表中“</w:t>
      </w:r>
      <w:r w:rsidRPr="00687B52">
        <w:rPr>
          <w:rFonts w:ascii="Times New Roman" w:eastAsia="宋体" w:hAnsi="Times New Roman" w:cs="Times New Roman" w:hint="eastAsia"/>
          <w:bCs/>
          <w:color w:val="000000" w:themeColor="text1"/>
          <w:sz w:val="21"/>
          <w:szCs w:val="21"/>
          <w:shd w:val="clear" w:color="auto" w:fill="FFFFFF"/>
          <w:lang w:val="zh-TW"/>
        </w:rPr>
        <w:t>*</w:t>
      </w:r>
      <w:r w:rsidRPr="00687B52">
        <w:rPr>
          <w:rFonts w:ascii="Times New Roman" w:eastAsia="宋体" w:hAnsi="Times New Roman" w:cs="Times New Roman" w:hint="eastAsia"/>
          <w:bCs/>
          <w:color w:val="000000" w:themeColor="text1"/>
          <w:sz w:val="21"/>
          <w:szCs w:val="21"/>
          <w:shd w:val="clear" w:color="auto" w:fill="FFFFFF"/>
          <w:lang w:val="zh-TW"/>
        </w:rPr>
        <w:t>”表示本规范未涉及的内容。</w:t>
      </w:r>
    </w:p>
    <w:p w:rsidR="006A7807" w:rsidRPr="00687B52" w:rsidRDefault="006A7807" w:rsidP="00717763">
      <w:pPr>
        <w:spacing w:line="240" w:lineRule="exact"/>
        <w:rPr>
          <w:rFonts w:ascii="宋体" w:eastAsia="宋体" w:hAnsi="宋体" w:cs="宋体"/>
          <w:color w:val="000000" w:themeColor="text1"/>
          <w:kern w:val="0"/>
          <w:sz w:val="24"/>
          <w:szCs w:val="24"/>
        </w:rPr>
        <w:sectPr w:rsidR="006A7807" w:rsidRPr="00687B52" w:rsidSect="00B527D4">
          <w:pgSz w:w="16838" w:h="11906" w:orient="landscape"/>
          <w:pgMar w:top="1440" w:right="1797" w:bottom="1440" w:left="1797" w:header="851" w:footer="907" w:gutter="0"/>
          <w:cols w:space="425"/>
          <w:docGrid w:type="lines" w:linePitch="312"/>
        </w:sectPr>
      </w:pPr>
    </w:p>
    <w:p w:rsidR="00A0580E" w:rsidRPr="00687B52" w:rsidRDefault="00481EDB" w:rsidP="00856B6C">
      <w:pPr>
        <w:pStyle w:val="afd"/>
        <w:rPr>
          <w:color w:val="000000" w:themeColor="text1"/>
        </w:rPr>
      </w:pPr>
      <w:bookmarkStart w:id="292" w:name="_Toc491870843"/>
      <w:bookmarkStart w:id="293" w:name="_Toc493857099"/>
      <w:bookmarkStart w:id="294" w:name="_Toc492563498"/>
      <w:r w:rsidRPr="00687B52">
        <w:rPr>
          <w:rFonts w:hint="eastAsia"/>
          <w:color w:val="000000" w:themeColor="text1"/>
        </w:rPr>
        <w:t>表</w:t>
      </w:r>
      <w:r w:rsidRPr="00687B52">
        <w:rPr>
          <w:rFonts w:hint="eastAsia"/>
          <w:color w:val="000000" w:themeColor="text1"/>
        </w:rPr>
        <w:t>5.2.2-1</w:t>
      </w:r>
      <w:r w:rsidRPr="00687B52">
        <w:rPr>
          <w:rFonts w:hint="eastAsia"/>
          <w:color w:val="000000" w:themeColor="text1"/>
        </w:rPr>
        <w:t>装置间的防火间距</w:t>
      </w:r>
      <w:bookmarkStart w:id="295" w:name="_Toc491870844"/>
      <w:bookmarkEnd w:id="292"/>
      <w:r w:rsidR="006A7807" w:rsidRPr="00687B52">
        <w:rPr>
          <w:rFonts w:hint="eastAsia"/>
          <w:color w:val="000000" w:themeColor="text1"/>
        </w:rPr>
        <w:t>（</w:t>
      </w:r>
      <w:r w:rsidR="006A7807" w:rsidRPr="00687B52">
        <w:rPr>
          <w:rFonts w:hint="eastAsia"/>
          <w:color w:val="000000" w:themeColor="text1"/>
        </w:rPr>
        <w:t>m</w:t>
      </w:r>
      <w:r w:rsidR="006A7807" w:rsidRPr="00687B52">
        <w:rPr>
          <w:rFonts w:hint="eastAsia"/>
          <w:color w:val="000000" w:themeColor="text1"/>
        </w:rPr>
        <w:t>）</w:t>
      </w:r>
      <w:bookmarkEnd w:id="293"/>
    </w:p>
    <w:tbl>
      <w:tblPr>
        <w:tblStyle w:val="a6"/>
        <w:tblW w:w="5000" w:type="pct"/>
        <w:tblLook w:val="04A0" w:firstRow="1" w:lastRow="0" w:firstColumn="1" w:lastColumn="0" w:noHBand="0" w:noVBand="1"/>
      </w:tblPr>
      <w:tblGrid>
        <w:gridCol w:w="2321"/>
        <w:gridCol w:w="2281"/>
        <w:gridCol w:w="2320"/>
        <w:gridCol w:w="2320"/>
      </w:tblGrid>
      <w:tr w:rsidR="006A7807" w:rsidRPr="00687B52" w:rsidTr="00575D1F">
        <w:tc>
          <w:tcPr>
            <w:tcW w:w="1256" w:type="pct"/>
            <w:vAlign w:val="center"/>
          </w:tcPr>
          <w:p w:rsidR="006A7807" w:rsidRPr="00687B52" w:rsidRDefault="006A7807"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火灾危险类别</w:t>
            </w:r>
          </w:p>
        </w:tc>
        <w:tc>
          <w:tcPr>
            <w:tcW w:w="1234" w:type="pct"/>
            <w:vAlign w:val="center"/>
          </w:tcPr>
          <w:p w:rsidR="006A7807" w:rsidRPr="00687B52" w:rsidRDefault="006A7807"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甲</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A</w:t>
            </w:r>
            <w:r w:rsidRPr="00687B52">
              <w:rPr>
                <w:rFonts w:ascii="Times New Roman" w:eastAsia="宋体" w:hAnsi="Times New Roman" w:cs="Times New Roman" w:hint="eastAsia"/>
                <w:bCs/>
                <w:color w:val="000000" w:themeColor="text1"/>
                <w:sz w:val="21"/>
                <w:szCs w:val="21"/>
                <w:shd w:val="clear" w:color="auto" w:fill="FFFFFF"/>
                <w:lang w:val="zh-TW"/>
              </w:rPr>
              <w:t>类</w:t>
            </w:r>
          </w:p>
        </w:tc>
        <w:tc>
          <w:tcPr>
            <w:tcW w:w="1255" w:type="pct"/>
            <w:vAlign w:val="center"/>
          </w:tcPr>
          <w:p w:rsidR="006A7807" w:rsidRPr="00687B52" w:rsidRDefault="006A7807"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甲</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B</w:t>
            </w:r>
            <w:r w:rsidRPr="00687B52">
              <w:rPr>
                <w:rFonts w:ascii="Times New Roman" w:eastAsia="宋体" w:hAnsi="Times New Roman" w:cs="Times New Roman" w:hint="eastAsia"/>
                <w:bCs/>
                <w:color w:val="000000" w:themeColor="text1"/>
                <w:sz w:val="21"/>
                <w:szCs w:val="21"/>
                <w:shd w:val="clear" w:color="auto" w:fill="FFFFFF"/>
                <w:lang w:val="zh-TW"/>
              </w:rPr>
              <w:t>、乙</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A</w:t>
            </w:r>
            <w:r w:rsidRPr="00687B52">
              <w:rPr>
                <w:rFonts w:ascii="Times New Roman" w:eastAsia="宋体" w:hAnsi="Times New Roman" w:cs="Times New Roman" w:hint="eastAsia"/>
                <w:bCs/>
                <w:color w:val="000000" w:themeColor="text1"/>
                <w:sz w:val="21"/>
                <w:szCs w:val="21"/>
                <w:shd w:val="clear" w:color="auto" w:fill="FFFFFF"/>
                <w:lang w:val="zh-TW"/>
              </w:rPr>
              <w:t>类</w:t>
            </w:r>
          </w:p>
        </w:tc>
        <w:tc>
          <w:tcPr>
            <w:tcW w:w="1255" w:type="pct"/>
            <w:vAlign w:val="center"/>
          </w:tcPr>
          <w:p w:rsidR="006A7807" w:rsidRPr="00687B52" w:rsidRDefault="006A7807"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乙</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B</w:t>
            </w:r>
            <w:r w:rsidRPr="00687B52">
              <w:rPr>
                <w:rFonts w:ascii="Times New Roman" w:eastAsia="宋体" w:hAnsi="Times New Roman" w:cs="Times New Roman" w:hint="eastAsia"/>
                <w:bCs/>
                <w:color w:val="000000" w:themeColor="text1"/>
                <w:sz w:val="21"/>
                <w:szCs w:val="21"/>
                <w:shd w:val="clear" w:color="auto" w:fill="FFFFFF"/>
                <w:lang w:val="zh-TW"/>
              </w:rPr>
              <w:t>、丙类</w:t>
            </w:r>
          </w:p>
        </w:tc>
      </w:tr>
      <w:tr w:rsidR="006A7807" w:rsidRPr="00687B52" w:rsidTr="00575D1F">
        <w:tc>
          <w:tcPr>
            <w:tcW w:w="1256" w:type="pct"/>
            <w:vAlign w:val="center"/>
          </w:tcPr>
          <w:p w:rsidR="006A7807" w:rsidRPr="00687B52" w:rsidRDefault="006A7807"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甲</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A</w:t>
            </w:r>
            <w:r w:rsidRPr="00687B52">
              <w:rPr>
                <w:rFonts w:ascii="Times New Roman" w:eastAsia="宋体" w:hAnsi="Times New Roman" w:cs="Times New Roman" w:hint="eastAsia"/>
                <w:bCs/>
                <w:color w:val="000000" w:themeColor="text1"/>
                <w:sz w:val="21"/>
                <w:szCs w:val="21"/>
                <w:shd w:val="clear" w:color="auto" w:fill="FFFFFF"/>
                <w:lang w:val="zh-TW"/>
              </w:rPr>
              <w:t>类</w:t>
            </w:r>
          </w:p>
        </w:tc>
        <w:tc>
          <w:tcPr>
            <w:tcW w:w="1234" w:type="pct"/>
            <w:vAlign w:val="center"/>
          </w:tcPr>
          <w:p w:rsidR="006A7807" w:rsidRPr="00687B52" w:rsidRDefault="006A7807"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25</w:t>
            </w:r>
          </w:p>
        </w:tc>
        <w:tc>
          <w:tcPr>
            <w:tcW w:w="1255" w:type="pct"/>
            <w:vAlign w:val="center"/>
          </w:tcPr>
          <w:p w:rsidR="006A7807" w:rsidRPr="00687B52" w:rsidRDefault="006A7807"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1255" w:type="pct"/>
            <w:vAlign w:val="center"/>
          </w:tcPr>
          <w:p w:rsidR="006A7807" w:rsidRPr="00687B52" w:rsidRDefault="006A7807"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r>
      <w:tr w:rsidR="006A7807" w:rsidRPr="00687B52" w:rsidTr="00575D1F">
        <w:tc>
          <w:tcPr>
            <w:tcW w:w="1256" w:type="pct"/>
            <w:vAlign w:val="center"/>
          </w:tcPr>
          <w:p w:rsidR="006A7807" w:rsidRPr="00687B52" w:rsidRDefault="006A7807"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甲</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B</w:t>
            </w:r>
            <w:r w:rsidRPr="00687B52">
              <w:rPr>
                <w:rFonts w:ascii="Times New Roman" w:eastAsia="宋体" w:hAnsi="Times New Roman" w:cs="Times New Roman" w:hint="eastAsia"/>
                <w:bCs/>
                <w:color w:val="000000" w:themeColor="text1"/>
                <w:sz w:val="21"/>
                <w:szCs w:val="21"/>
                <w:shd w:val="clear" w:color="auto" w:fill="FFFFFF"/>
                <w:lang w:val="zh-TW"/>
              </w:rPr>
              <w:t>、乙</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A</w:t>
            </w:r>
            <w:r w:rsidRPr="00687B52">
              <w:rPr>
                <w:rFonts w:ascii="Times New Roman" w:eastAsia="宋体" w:hAnsi="Times New Roman" w:cs="Times New Roman" w:hint="eastAsia"/>
                <w:bCs/>
                <w:color w:val="000000" w:themeColor="text1"/>
                <w:sz w:val="21"/>
                <w:szCs w:val="21"/>
                <w:shd w:val="clear" w:color="auto" w:fill="FFFFFF"/>
                <w:lang w:val="zh-TW"/>
              </w:rPr>
              <w:t>类</w:t>
            </w:r>
          </w:p>
        </w:tc>
        <w:tc>
          <w:tcPr>
            <w:tcW w:w="1234" w:type="pct"/>
            <w:vAlign w:val="center"/>
          </w:tcPr>
          <w:p w:rsidR="006A7807" w:rsidRPr="00687B52" w:rsidRDefault="006A7807"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20</w:t>
            </w:r>
          </w:p>
        </w:tc>
        <w:tc>
          <w:tcPr>
            <w:tcW w:w="1255" w:type="pct"/>
            <w:vAlign w:val="center"/>
          </w:tcPr>
          <w:p w:rsidR="006A7807" w:rsidRPr="00687B52" w:rsidRDefault="006A7807"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20</w:t>
            </w:r>
          </w:p>
        </w:tc>
        <w:tc>
          <w:tcPr>
            <w:tcW w:w="1255" w:type="pct"/>
            <w:vAlign w:val="center"/>
          </w:tcPr>
          <w:p w:rsidR="006A7807" w:rsidRPr="00687B52" w:rsidRDefault="006A7807"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r>
      <w:tr w:rsidR="006A7807" w:rsidRPr="00687B52" w:rsidTr="00575D1F">
        <w:tc>
          <w:tcPr>
            <w:tcW w:w="1256" w:type="pct"/>
            <w:vAlign w:val="center"/>
          </w:tcPr>
          <w:p w:rsidR="006A7807" w:rsidRPr="00687B52" w:rsidRDefault="006A7807"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乙</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B</w:t>
            </w:r>
            <w:r w:rsidRPr="00687B52">
              <w:rPr>
                <w:rFonts w:ascii="Times New Roman" w:eastAsia="宋体" w:hAnsi="Times New Roman" w:cs="Times New Roman" w:hint="eastAsia"/>
                <w:bCs/>
                <w:color w:val="000000" w:themeColor="text1"/>
                <w:sz w:val="21"/>
                <w:szCs w:val="21"/>
                <w:shd w:val="clear" w:color="auto" w:fill="FFFFFF"/>
                <w:lang w:val="zh-TW"/>
              </w:rPr>
              <w:t>、丙类</w:t>
            </w:r>
          </w:p>
        </w:tc>
        <w:tc>
          <w:tcPr>
            <w:tcW w:w="1234" w:type="pct"/>
            <w:vAlign w:val="center"/>
          </w:tcPr>
          <w:p w:rsidR="006A7807" w:rsidRPr="00687B52" w:rsidRDefault="006A7807"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1255" w:type="pct"/>
            <w:vAlign w:val="center"/>
          </w:tcPr>
          <w:p w:rsidR="006A7807" w:rsidRPr="00687B52" w:rsidRDefault="006A7807"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1255" w:type="pct"/>
            <w:vAlign w:val="center"/>
          </w:tcPr>
          <w:p w:rsidR="006A7807" w:rsidRPr="00687B52" w:rsidRDefault="006A7807"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10</w:t>
            </w:r>
          </w:p>
        </w:tc>
      </w:tr>
    </w:tbl>
    <w:p w:rsidR="006A7807" w:rsidRPr="00687B52" w:rsidRDefault="006A7807" w:rsidP="006A7807">
      <w:pPr>
        <w:pStyle w:val="110"/>
        <w:shd w:val="clear" w:color="auto" w:fill="auto"/>
        <w:spacing w:before="0" w:line="240" w:lineRule="auto"/>
        <w:ind w:firstLine="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注：表中数字为装置相邻面工艺设备或建（构）筑物的净距，工艺装置与工艺装置的明火加热炉相邻布置时，其防火间距应按与明火的防火间距确定。</w:t>
      </w:r>
    </w:p>
    <w:p w:rsidR="006A7807" w:rsidRPr="00687B52" w:rsidRDefault="006A7807" w:rsidP="006A7807">
      <w:pPr>
        <w:pStyle w:val="afd"/>
        <w:rPr>
          <w:color w:val="000000" w:themeColor="text1"/>
        </w:rPr>
      </w:pPr>
      <w:bookmarkStart w:id="296" w:name="_Toc493857100"/>
      <w:r w:rsidRPr="00687B52">
        <w:rPr>
          <w:rFonts w:hint="eastAsia"/>
          <w:color w:val="000000" w:themeColor="text1"/>
        </w:rPr>
        <w:t>表</w:t>
      </w:r>
      <w:r w:rsidRPr="00687B52">
        <w:rPr>
          <w:rFonts w:hint="eastAsia"/>
          <w:color w:val="000000" w:themeColor="text1"/>
        </w:rPr>
        <w:t xml:space="preserve">5.2.2-2 </w:t>
      </w:r>
      <w:r w:rsidRPr="00687B52">
        <w:rPr>
          <w:rFonts w:hint="eastAsia"/>
          <w:color w:val="000000" w:themeColor="text1"/>
        </w:rPr>
        <w:t>装置内部的防火间距（</w:t>
      </w:r>
      <w:r w:rsidRPr="00687B52">
        <w:rPr>
          <w:rFonts w:hint="eastAsia"/>
          <w:color w:val="000000" w:themeColor="text1"/>
        </w:rPr>
        <w:t>m</w:t>
      </w:r>
      <w:r w:rsidRPr="00687B52">
        <w:rPr>
          <w:rFonts w:hint="eastAsia"/>
          <w:color w:val="000000" w:themeColor="text1"/>
        </w:rPr>
        <w:t>）</w:t>
      </w:r>
      <w:bookmarkEnd w:id="296"/>
    </w:p>
    <w:tbl>
      <w:tblPr>
        <w:tblStyle w:val="a6"/>
        <w:tblW w:w="5000" w:type="pct"/>
        <w:tblLook w:val="04A0" w:firstRow="1" w:lastRow="0" w:firstColumn="1" w:lastColumn="0" w:noHBand="0" w:noVBand="1"/>
      </w:tblPr>
      <w:tblGrid>
        <w:gridCol w:w="1166"/>
        <w:gridCol w:w="1220"/>
        <w:gridCol w:w="1170"/>
        <w:gridCol w:w="1331"/>
        <w:gridCol w:w="1170"/>
        <w:gridCol w:w="1063"/>
        <w:gridCol w:w="1063"/>
        <w:gridCol w:w="1059"/>
      </w:tblGrid>
      <w:tr w:rsidR="00C72AC8" w:rsidRPr="00687B52" w:rsidTr="00575D1F">
        <w:tc>
          <w:tcPr>
            <w:tcW w:w="1291" w:type="pct"/>
            <w:gridSpan w:val="2"/>
            <w:vMerge w:val="restar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名称</w:t>
            </w:r>
          </w:p>
        </w:tc>
        <w:tc>
          <w:tcPr>
            <w:tcW w:w="633" w:type="pct"/>
            <w:vMerge w:val="restar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明火或散发火花的设备或场所</w:t>
            </w:r>
          </w:p>
        </w:tc>
        <w:tc>
          <w:tcPr>
            <w:tcW w:w="720" w:type="pct"/>
            <w:vMerge w:val="restar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eastAsia="zh-TW"/>
              </w:rPr>
            </w:pPr>
            <w:r w:rsidRPr="00687B52">
              <w:rPr>
                <w:rFonts w:ascii="Times New Roman" w:eastAsia="宋体" w:hAnsi="Times New Roman" w:cs="Times New Roman" w:hint="eastAsia"/>
                <w:bCs/>
                <w:color w:val="000000" w:themeColor="text1"/>
                <w:sz w:val="21"/>
                <w:szCs w:val="21"/>
                <w:shd w:val="clear" w:color="auto" w:fill="FFFFFF"/>
                <w:lang w:val="zh-TW"/>
              </w:rPr>
              <w:t>仪表控制间、</w:t>
            </w:r>
            <w:r w:rsidRPr="00687B52">
              <w:rPr>
                <w:rFonts w:ascii="Times New Roman" w:eastAsia="宋体" w:hAnsi="Times New Roman" w:cs="Times New Roman" w:hint="eastAsia"/>
                <w:bCs/>
                <w:color w:val="000000" w:themeColor="text1"/>
                <w:sz w:val="21"/>
                <w:szCs w:val="21"/>
                <w:shd w:val="clear" w:color="auto" w:fill="FFFFFF"/>
                <w:lang w:val="zh-TW"/>
              </w:rPr>
              <w:t>10KV</w:t>
            </w:r>
            <w:r w:rsidRPr="00687B52">
              <w:rPr>
                <w:rFonts w:ascii="Times New Roman" w:eastAsia="宋体" w:hAnsi="Times New Roman" w:cs="Times New Roman" w:hint="eastAsia"/>
                <w:bCs/>
                <w:color w:val="000000" w:themeColor="text1"/>
                <w:sz w:val="21"/>
                <w:szCs w:val="21"/>
                <w:shd w:val="clear" w:color="auto" w:fill="FFFFFF"/>
                <w:lang w:val="zh-TW"/>
              </w:rPr>
              <w:t>及以下的变配电室、化验室、办公室</w:t>
            </w:r>
          </w:p>
        </w:tc>
        <w:tc>
          <w:tcPr>
            <w:tcW w:w="633" w:type="pct"/>
            <w:vMerge w:val="restar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可燃气体压缩机或其厂房</w:t>
            </w:r>
          </w:p>
        </w:tc>
        <w:tc>
          <w:tcPr>
            <w:tcW w:w="1724" w:type="pct"/>
            <w:gridSpan w:val="3"/>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中间储罐</w:t>
            </w:r>
          </w:p>
        </w:tc>
      </w:tr>
      <w:tr w:rsidR="00C72AC8" w:rsidRPr="00687B52" w:rsidTr="00575D1F">
        <w:tc>
          <w:tcPr>
            <w:tcW w:w="1291" w:type="pct"/>
            <w:gridSpan w:val="2"/>
            <w:vMerge/>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633" w:type="pct"/>
            <w:vMerge/>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720" w:type="pct"/>
            <w:vMerge/>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633" w:type="pct"/>
            <w:vMerge/>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甲</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A</w:t>
            </w:r>
            <w:r w:rsidRPr="00687B52">
              <w:rPr>
                <w:rFonts w:ascii="Times New Roman" w:eastAsia="宋体" w:hAnsi="Times New Roman" w:cs="Times New Roman" w:hint="eastAsia"/>
                <w:bCs/>
                <w:color w:val="000000" w:themeColor="text1"/>
                <w:sz w:val="21"/>
                <w:szCs w:val="21"/>
                <w:shd w:val="clear" w:color="auto" w:fill="FFFFFF"/>
                <w:lang w:val="zh-TW"/>
              </w:rPr>
              <w:t>类</w:t>
            </w: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甲</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B</w:t>
            </w:r>
            <w:r w:rsidRPr="00687B52">
              <w:rPr>
                <w:rFonts w:ascii="Times New Roman" w:eastAsia="宋体" w:hAnsi="Times New Roman" w:cs="Times New Roman" w:hint="eastAsia"/>
                <w:bCs/>
                <w:color w:val="000000" w:themeColor="text1"/>
                <w:sz w:val="21"/>
                <w:szCs w:val="21"/>
                <w:shd w:val="clear" w:color="auto" w:fill="FFFFFF"/>
                <w:lang w:val="zh-TW"/>
              </w:rPr>
              <w:t>、乙</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A</w:t>
            </w:r>
            <w:r w:rsidRPr="00687B52">
              <w:rPr>
                <w:rFonts w:ascii="Times New Roman" w:eastAsia="宋体" w:hAnsi="Times New Roman" w:cs="Times New Roman" w:hint="eastAsia"/>
                <w:bCs/>
                <w:color w:val="000000" w:themeColor="text1"/>
                <w:sz w:val="21"/>
                <w:szCs w:val="21"/>
                <w:shd w:val="clear" w:color="auto" w:fill="FFFFFF"/>
                <w:lang w:val="zh-TW"/>
              </w:rPr>
              <w:t>类</w:t>
            </w: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乙</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B</w:t>
            </w:r>
            <w:r w:rsidRPr="00687B52">
              <w:rPr>
                <w:rFonts w:ascii="Times New Roman" w:eastAsia="宋体" w:hAnsi="Times New Roman" w:cs="Times New Roman" w:hint="eastAsia"/>
                <w:bCs/>
                <w:color w:val="000000" w:themeColor="text1"/>
                <w:sz w:val="21"/>
                <w:szCs w:val="21"/>
                <w:shd w:val="clear" w:color="auto" w:fill="FFFFFF"/>
                <w:lang w:val="zh-TW"/>
              </w:rPr>
              <w:t>、丙类</w:t>
            </w:r>
          </w:p>
        </w:tc>
      </w:tr>
      <w:tr w:rsidR="00C72AC8" w:rsidRPr="00687B52" w:rsidTr="00575D1F">
        <w:tc>
          <w:tcPr>
            <w:tcW w:w="1291" w:type="pct"/>
            <w:gridSpan w:val="2"/>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仪表控制间、</w:t>
            </w:r>
            <w:r w:rsidRPr="00687B52">
              <w:rPr>
                <w:rFonts w:ascii="Times New Roman" w:eastAsia="宋体" w:hAnsi="Times New Roman" w:cs="Times New Roman" w:hint="eastAsia"/>
                <w:bCs/>
                <w:color w:val="000000" w:themeColor="text1"/>
                <w:sz w:val="21"/>
                <w:szCs w:val="21"/>
                <w:shd w:val="clear" w:color="auto" w:fill="FFFFFF"/>
                <w:lang w:val="zh-TW"/>
              </w:rPr>
              <w:t>10KV</w:t>
            </w:r>
            <w:r w:rsidRPr="00687B52">
              <w:rPr>
                <w:rFonts w:ascii="Times New Roman" w:eastAsia="宋体" w:hAnsi="Times New Roman" w:cs="Times New Roman" w:hint="eastAsia"/>
                <w:bCs/>
                <w:color w:val="000000" w:themeColor="text1"/>
                <w:sz w:val="21"/>
                <w:szCs w:val="21"/>
                <w:shd w:val="clear" w:color="auto" w:fill="FFFFFF"/>
                <w:lang w:val="zh-TW"/>
              </w:rPr>
              <w:t>及以下的变配电室、化验室、办公室</w:t>
            </w:r>
          </w:p>
        </w:tc>
        <w:tc>
          <w:tcPr>
            <w:tcW w:w="633"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720"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633"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r>
      <w:tr w:rsidR="00C72AC8" w:rsidRPr="00687B52" w:rsidTr="00575D1F">
        <w:tc>
          <w:tcPr>
            <w:tcW w:w="1291" w:type="pct"/>
            <w:gridSpan w:val="2"/>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可燃气体压缩机或其厂房</w:t>
            </w:r>
          </w:p>
        </w:tc>
        <w:tc>
          <w:tcPr>
            <w:tcW w:w="633"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720"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633"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r>
      <w:tr w:rsidR="00C72AC8" w:rsidRPr="00687B52" w:rsidTr="00575D1F">
        <w:tc>
          <w:tcPr>
            <w:tcW w:w="631" w:type="pct"/>
            <w:vMerge w:val="restar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其他工艺设备及厂房</w:t>
            </w:r>
          </w:p>
        </w:tc>
        <w:tc>
          <w:tcPr>
            <w:tcW w:w="660"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甲</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A</w:t>
            </w:r>
            <w:r w:rsidRPr="00687B52">
              <w:rPr>
                <w:rFonts w:ascii="Times New Roman" w:eastAsia="宋体" w:hAnsi="Times New Roman" w:cs="Times New Roman" w:hint="eastAsia"/>
                <w:bCs/>
                <w:color w:val="000000" w:themeColor="text1"/>
                <w:sz w:val="21"/>
                <w:szCs w:val="21"/>
                <w:shd w:val="clear" w:color="auto" w:fill="FFFFFF"/>
                <w:lang w:val="zh-TW"/>
              </w:rPr>
              <w:t>类</w:t>
            </w:r>
          </w:p>
        </w:tc>
        <w:tc>
          <w:tcPr>
            <w:tcW w:w="633"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22.5</w:t>
            </w:r>
          </w:p>
        </w:tc>
        <w:tc>
          <w:tcPr>
            <w:tcW w:w="720"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633"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9</w:t>
            </w: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9</w:t>
            </w: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9</w:t>
            </w: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7.5</w:t>
            </w:r>
          </w:p>
        </w:tc>
      </w:tr>
      <w:tr w:rsidR="00C72AC8" w:rsidRPr="00687B52" w:rsidTr="00575D1F">
        <w:tc>
          <w:tcPr>
            <w:tcW w:w="631" w:type="pct"/>
            <w:vMerge/>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660"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甲</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B</w:t>
            </w:r>
            <w:r w:rsidRPr="00687B52">
              <w:rPr>
                <w:rFonts w:ascii="Times New Roman" w:eastAsia="宋体" w:hAnsi="Times New Roman" w:cs="Times New Roman" w:hint="eastAsia"/>
                <w:bCs/>
                <w:color w:val="000000" w:themeColor="text1"/>
                <w:sz w:val="21"/>
                <w:szCs w:val="21"/>
                <w:shd w:val="clear" w:color="auto" w:fill="FFFFFF"/>
                <w:lang w:val="zh-TW"/>
              </w:rPr>
              <w:t>、乙</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A</w:t>
            </w:r>
            <w:r w:rsidRPr="00687B52">
              <w:rPr>
                <w:rFonts w:ascii="Times New Roman" w:eastAsia="宋体" w:hAnsi="Times New Roman" w:cs="Times New Roman" w:hint="eastAsia"/>
                <w:bCs/>
                <w:color w:val="000000" w:themeColor="text1"/>
                <w:sz w:val="21"/>
                <w:szCs w:val="21"/>
                <w:shd w:val="clear" w:color="auto" w:fill="FFFFFF"/>
                <w:lang w:val="zh-TW"/>
              </w:rPr>
              <w:t>类</w:t>
            </w:r>
          </w:p>
        </w:tc>
        <w:tc>
          <w:tcPr>
            <w:tcW w:w="633"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720"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633"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9</w:t>
            </w: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9</w:t>
            </w: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9</w:t>
            </w: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7.5</w:t>
            </w:r>
          </w:p>
        </w:tc>
      </w:tr>
      <w:tr w:rsidR="00C72AC8" w:rsidRPr="00687B52" w:rsidTr="00575D1F">
        <w:tc>
          <w:tcPr>
            <w:tcW w:w="631" w:type="pct"/>
            <w:vMerge/>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660"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乙</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B</w:t>
            </w:r>
            <w:r w:rsidRPr="00687B52">
              <w:rPr>
                <w:rFonts w:ascii="Times New Roman" w:eastAsia="宋体" w:hAnsi="Times New Roman" w:cs="Times New Roman" w:hint="eastAsia"/>
                <w:bCs/>
                <w:color w:val="000000" w:themeColor="text1"/>
                <w:sz w:val="21"/>
                <w:szCs w:val="21"/>
                <w:shd w:val="clear" w:color="auto" w:fill="FFFFFF"/>
                <w:lang w:val="zh-TW"/>
              </w:rPr>
              <w:t>、丙类</w:t>
            </w:r>
          </w:p>
        </w:tc>
        <w:tc>
          <w:tcPr>
            <w:tcW w:w="633"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9</w:t>
            </w:r>
          </w:p>
        </w:tc>
        <w:tc>
          <w:tcPr>
            <w:tcW w:w="720"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9</w:t>
            </w:r>
          </w:p>
        </w:tc>
        <w:tc>
          <w:tcPr>
            <w:tcW w:w="633"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7.5</w:t>
            </w: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7.5</w:t>
            </w: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7.5</w:t>
            </w: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r>
      <w:tr w:rsidR="00C72AC8" w:rsidRPr="00687B52" w:rsidTr="00575D1F">
        <w:tc>
          <w:tcPr>
            <w:tcW w:w="631" w:type="pct"/>
            <w:vMerge w:val="restar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中间储罐</w:t>
            </w:r>
          </w:p>
        </w:tc>
        <w:tc>
          <w:tcPr>
            <w:tcW w:w="660"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甲</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A</w:t>
            </w:r>
            <w:r w:rsidRPr="00687B52">
              <w:rPr>
                <w:rFonts w:ascii="Times New Roman" w:eastAsia="宋体" w:hAnsi="Times New Roman" w:cs="Times New Roman" w:hint="eastAsia"/>
                <w:bCs/>
                <w:color w:val="000000" w:themeColor="text1"/>
                <w:sz w:val="21"/>
                <w:szCs w:val="21"/>
                <w:shd w:val="clear" w:color="auto" w:fill="FFFFFF"/>
                <w:lang w:val="zh-TW"/>
              </w:rPr>
              <w:t>类</w:t>
            </w:r>
          </w:p>
        </w:tc>
        <w:tc>
          <w:tcPr>
            <w:tcW w:w="633"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22.5</w:t>
            </w:r>
          </w:p>
        </w:tc>
        <w:tc>
          <w:tcPr>
            <w:tcW w:w="720"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22.5</w:t>
            </w:r>
          </w:p>
        </w:tc>
        <w:tc>
          <w:tcPr>
            <w:tcW w:w="633"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r>
      <w:tr w:rsidR="00C72AC8" w:rsidRPr="00687B52" w:rsidTr="00575D1F">
        <w:tc>
          <w:tcPr>
            <w:tcW w:w="631" w:type="pct"/>
            <w:vMerge/>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660"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甲</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B</w:t>
            </w:r>
            <w:r w:rsidRPr="00687B52">
              <w:rPr>
                <w:rFonts w:ascii="Times New Roman" w:eastAsia="宋体" w:hAnsi="Times New Roman" w:cs="Times New Roman" w:hint="eastAsia"/>
                <w:bCs/>
                <w:color w:val="000000" w:themeColor="text1"/>
                <w:sz w:val="21"/>
                <w:szCs w:val="21"/>
                <w:shd w:val="clear" w:color="auto" w:fill="FFFFFF"/>
                <w:lang w:val="zh-TW"/>
              </w:rPr>
              <w:t>、乙</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A</w:t>
            </w:r>
            <w:r w:rsidRPr="00687B52">
              <w:rPr>
                <w:rFonts w:ascii="Times New Roman" w:eastAsia="宋体" w:hAnsi="Times New Roman" w:cs="Times New Roman" w:hint="eastAsia"/>
                <w:bCs/>
                <w:color w:val="000000" w:themeColor="text1"/>
                <w:sz w:val="21"/>
                <w:szCs w:val="21"/>
                <w:shd w:val="clear" w:color="auto" w:fill="FFFFFF"/>
                <w:lang w:val="zh-TW"/>
              </w:rPr>
              <w:t>类</w:t>
            </w:r>
          </w:p>
        </w:tc>
        <w:tc>
          <w:tcPr>
            <w:tcW w:w="633"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720"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633"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9</w:t>
            </w: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r>
      <w:tr w:rsidR="00C72AC8" w:rsidRPr="00687B52" w:rsidTr="00575D1F">
        <w:tc>
          <w:tcPr>
            <w:tcW w:w="631" w:type="pct"/>
            <w:vMerge/>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660"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乙</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B</w:t>
            </w:r>
            <w:r w:rsidRPr="00687B52">
              <w:rPr>
                <w:rFonts w:ascii="Times New Roman" w:eastAsia="宋体" w:hAnsi="Times New Roman" w:cs="Times New Roman" w:hint="eastAsia"/>
                <w:bCs/>
                <w:color w:val="000000" w:themeColor="text1"/>
                <w:sz w:val="21"/>
                <w:szCs w:val="21"/>
                <w:shd w:val="clear" w:color="auto" w:fill="FFFFFF"/>
                <w:lang w:val="zh-TW"/>
              </w:rPr>
              <w:t>、丙类</w:t>
            </w:r>
          </w:p>
        </w:tc>
        <w:tc>
          <w:tcPr>
            <w:tcW w:w="633"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9</w:t>
            </w:r>
          </w:p>
        </w:tc>
        <w:tc>
          <w:tcPr>
            <w:tcW w:w="720"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9</w:t>
            </w:r>
          </w:p>
        </w:tc>
        <w:tc>
          <w:tcPr>
            <w:tcW w:w="633"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7.5</w:t>
            </w: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c>
          <w:tcPr>
            <w:tcW w:w="575" w:type="pct"/>
            <w:vAlign w:val="center"/>
          </w:tcPr>
          <w:p w:rsidR="00C72AC8" w:rsidRPr="00687B52" w:rsidRDefault="00C72AC8" w:rsidP="00C2311F">
            <w:pPr>
              <w:pStyle w:val="110"/>
              <w:shd w:val="clear" w:color="auto" w:fill="auto"/>
              <w:spacing w:before="0" w:line="240" w:lineRule="auto"/>
              <w:ind w:firstLine="0"/>
              <w:rPr>
                <w:rFonts w:ascii="Times New Roman" w:eastAsia="宋体" w:hAnsi="Times New Roman" w:cs="Times New Roman"/>
                <w:bCs/>
                <w:color w:val="000000" w:themeColor="text1"/>
                <w:sz w:val="21"/>
                <w:szCs w:val="21"/>
                <w:shd w:val="clear" w:color="auto" w:fill="FFFFFF"/>
                <w:lang w:val="zh-TW"/>
              </w:rPr>
            </w:pPr>
          </w:p>
        </w:tc>
      </w:tr>
    </w:tbl>
    <w:p w:rsidR="00C72AC8" w:rsidRPr="00687B52" w:rsidRDefault="00C72AC8" w:rsidP="00C72AC8">
      <w:pPr>
        <w:pStyle w:val="110"/>
        <w:shd w:val="clear" w:color="auto" w:fill="auto"/>
        <w:spacing w:before="0" w:line="240" w:lineRule="auto"/>
        <w:ind w:firstLine="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注：</w:t>
      </w:r>
      <w:r w:rsidRPr="00687B52">
        <w:rPr>
          <w:rFonts w:ascii="Times New Roman" w:eastAsia="宋体" w:hAnsi="Times New Roman" w:cs="Times New Roman" w:hint="eastAsia"/>
          <w:bCs/>
          <w:color w:val="000000" w:themeColor="text1"/>
          <w:sz w:val="21"/>
          <w:szCs w:val="21"/>
          <w:shd w:val="clear" w:color="auto" w:fill="FFFFFF"/>
          <w:lang w:val="zh-TW"/>
        </w:rPr>
        <w:t xml:space="preserve">1 </w:t>
      </w:r>
      <w:r w:rsidRPr="00687B52">
        <w:rPr>
          <w:rFonts w:ascii="Times New Roman" w:eastAsia="宋体" w:hAnsi="Times New Roman" w:cs="Times New Roman" w:hint="eastAsia"/>
          <w:bCs/>
          <w:color w:val="000000" w:themeColor="text1"/>
          <w:sz w:val="21"/>
          <w:szCs w:val="21"/>
          <w:shd w:val="clear" w:color="auto" w:fill="FFFFFF"/>
          <w:lang w:val="zh-TW"/>
        </w:rPr>
        <w:t>由燃气轮机或天然气发动机直接拖动的天然气压缩机对明火或散发火花的设备或场所、仪表控制间等的防火间距按本表可燃气体压缩机或其厂房确定；对其他工艺设备及厂房、中间储罐的防火间距按本表明火或散发火花的设备或场所确定。</w:t>
      </w:r>
    </w:p>
    <w:p w:rsidR="00C72AC8" w:rsidRPr="00687B52" w:rsidRDefault="00C72AC8" w:rsidP="00575D1F">
      <w:pPr>
        <w:pStyle w:val="110"/>
        <w:shd w:val="clear" w:color="auto" w:fill="auto"/>
        <w:spacing w:before="0" w:line="240" w:lineRule="auto"/>
        <w:ind w:firstLineChars="200" w:firstLine="42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 xml:space="preserve">2 </w:t>
      </w:r>
      <w:r w:rsidRPr="00687B52">
        <w:rPr>
          <w:rFonts w:ascii="Times New Roman" w:eastAsia="宋体" w:hAnsi="Times New Roman" w:cs="Times New Roman" w:hint="eastAsia"/>
          <w:bCs/>
          <w:color w:val="000000" w:themeColor="text1"/>
          <w:sz w:val="21"/>
          <w:szCs w:val="21"/>
          <w:shd w:val="clear" w:color="auto" w:fill="FFFFFF"/>
          <w:lang w:val="zh-TW"/>
        </w:rPr>
        <w:t>加热炉与分离器组成的合一设备、三甘醇火焰加热再生釜、溶液脱硫的直接火焰加热重沸器等带有直接火焰加热的设备，应按明火或散发火花的设备或场所确定防火间距。</w:t>
      </w:r>
    </w:p>
    <w:p w:rsidR="00C72AC8" w:rsidRPr="00687B52" w:rsidRDefault="00C72AC8" w:rsidP="00575D1F">
      <w:pPr>
        <w:pStyle w:val="110"/>
        <w:shd w:val="clear" w:color="auto" w:fill="auto"/>
        <w:spacing w:before="0" w:line="240" w:lineRule="auto"/>
        <w:ind w:firstLineChars="200" w:firstLine="42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 xml:space="preserve">3 </w:t>
      </w:r>
      <w:r w:rsidRPr="00687B52">
        <w:rPr>
          <w:rFonts w:ascii="Times New Roman" w:eastAsia="宋体" w:hAnsi="Times New Roman" w:cs="Times New Roman" w:hint="eastAsia"/>
          <w:bCs/>
          <w:color w:val="000000" w:themeColor="text1"/>
          <w:sz w:val="21"/>
          <w:szCs w:val="21"/>
          <w:shd w:val="clear" w:color="auto" w:fill="FFFFFF"/>
          <w:lang w:val="zh-TW"/>
        </w:rPr>
        <w:t>克劳斯硫磺回收工艺的燃烧炉、再生炉、在线燃烧器等正压燃烧炉，其防火间距按其他工艺设备和厂房确定。</w:t>
      </w:r>
    </w:p>
    <w:p w:rsidR="00190A00" w:rsidRPr="00687B52" w:rsidRDefault="00C72AC8" w:rsidP="00575D1F">
      <w:pPr>
        <w:pStyle w:val="110"/>
        <w:shd w:val="clear" w:color="auto" w:fill="auto"/>
        <w:spacing w:before="0" w:line="240" w:lineRule="auto"/>
        <w:ind w:firstLineChars="200" w:firstLine="42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 xml:space="preserve">4 </w:t>
      </w:r>
      <w:r w:rsidRPr="00687B52">
        <w:rPr>
          <w:rFonts w:ascii="Times New Roman" w:eastAsia="宋体" w:hAnsi="Times New Roman" w:cs="Times New Roman" w:hint="eastAsia"/>
          <w:bCs/>
          <w:color w:val="000000" w:themeColor="text1"/>
          <w:sz w:val="21"/>
          <w:szCs w:val="21"/>
          <w:shd w:val="clear" w:color="auto" w:fill="FFFFFF"/>
          <w:lang w:val="zh-TW"/>
        </w:rPr>
        <w:t>表中的中间储罐的总容量：全压力式天然气凝液、液化石油气储罐应小于或等于</w:t>
      </w:r>
      <w:r w:rsidRPr="00687B52">
        <w:rPr>
          <w:rFonts w:ascii="Times New Roman" w:eastAsia="宋体" w:hAnsi="Times New Roman" w:cs="Times New Roman" w:hint="eastAsia"/>
          <w:bCs/>
          <w:color w:val="000000" w:themeColor="text1"/>
          <w:sz w:val="21"/>
          <w:szCs w:val="21"/>
          <w:shd w:val="clear" w:color="auto" w:fill="FFFFFF"/>
          <w:lang w:val="zh-TW"/>
        </w:rPr>
        <w:t>100m</w:t>
      </w:r>
      <w:r w:rsidRPr="00687B52">
        <w:rPr>
          <w:rFonts w:ascii="Times New Roman" w:eastAsia="宋体" w:hAnsi="Times New Roman" w:cs="Times New Roman" w:hint="eastAsia"/>
          <w:bCs/>
          <w:color w:val="000000" w:themeColor="text1"/>
          <w:sz w:val="21"/>
          <w:szCs w:val="21"/>
          <w:shd w:val="clear" w:color="auto" w:fill="FFFFFF"/>
          <w:vertAlign w:val="superscript"/>
          <w:lang w:val="zh-TW"/>
        </w:rPr>
        <w:t>3</w:t>
      </w:r>
      <w:r w:rsidRPr="00687B52">
        <w:rPr>
          <w:rFonts w:ascii="Times New Roman" w:eastAsia="宋体" w:hAnsi="Times New Roman" w:cs="Times New Roman" w:hint="eastAsia"/>
          <w:bCs/>
          <w:color w:val="000000" w:themeColor="text1"/>
          <w:sz w:val="21"/>
          <w:szCs w:val="21"/>
          <w:shd w:val="clear" w:color="auto" w:fill="FFFFFF"/>
          <w:lang w:val="zh-TW"/>
        </w:rPr>
        <w:t>；甲</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B</w:t>
      </w:r>
      <w:r w:rsidRPr="00687B52">
        <w:rPr>
          <w:rFonts w:ascii="Times New Roman" w:eastAsia="宋体" w:hAnsi="Times New Roman" w:cs="Times New Roman" w:hint="eastAsia"/>
          <w:bCs/>
          <w:color w:val="000000" w:themeColor="text1"/>
          <w:sz w:val="21"/>
          <w:szCs w:val="21"/>
          <w:shd w:val="clear" w:color="auto" w:fill="FFFFFF"/>
          <w:lang w:val="zh-TW"/>
        </w:rPr>
        <w:t>、乙类液体储罐应小于或等于</w:t>
      </w:r>
      <w:r w:rsidRPr="00687B52">
        <w:rPr>
          <w:rFonts w:ascii="Times New Roman" w:eastAsia="宋体" w:hAnsi="Times New Roman" w:cs="Times New Roman" w:hint="eastAsia"/>
          <w:bCs/>
          <w:color w:val="000000" w:themeColor="text1"/>
          <w:sz w:val="21"/>
          <w:szCs w:val="21"/>
          <w:shd w:val="clear" w:color="auto" w:fill="FFFFFF"/>
          <w:lang w:val="zh-TW"/>
        </w:rPr>
        <w:t>1000m</w:t>
      </w:r>
      <w:r w:rsidRPr="00687B52">
        <w:rPr>
          <w:rFonts w:ascii="Times New Roman" w:eastAsia="宋体" w:hAnsi="Times New Roman" w:cs="Times New Roman" w:hint="eastAsia"/>
          <w:bCs/>
          <w:color w:val="000000" w:themeColor="text1"/>
          <w:sz w:val="21"/>
          <w:szCs w:val="21"/>
          <w:shd w:val="clear" w:color="auto" w:fill="FFFFFF"/>
          <w:vertAlign w:val="superscript"/>
          <w:lang w:val="zh-TW"/>
        </w:rPr>
        <w:t>3</w:t>
      </w:r>
      <w:r w:rsidRPr="00687B52">
        <w:rPr>
          <w:rFonts w:ascii="Times New Roman" w:eastAsia="宋体" w:hAnsi="Times New Roman" w:cs="Times New Roman" w:hint="eastAsia"/>
          <w:bCs/>
          <w:color w:val="000000" w:themeColor="text1"/>
          <w:sz w:val="21"/>
          <w:szCs w:val="21"/>
          <w:shd w:val="clear" w:color="auto" w:fill="FFFFFF"/>
          <w:lang w:val="zh-TW"/>
        </w:rPr>
        <w:t>。当单个全压力式天然气凝液、液化石油气储罐小于</w:t>
      </w:r>
      <w:r w:rsidRPr="00687B52">
        <w:rPr>
          <w:rFonts w:ascii="Times New Roman" w:eastAsia="宋体" w:hAnsi="Times New Roman" w:cs="Times New Roman" w:hint="eastAsia"/>
          <w:bCs/>
          <w:color w:val="000000" w:themeColor="text1"/>
          <w:sz w:val="21"/>
          <w:szCs w:val="21"/>
          <w:shd w:val="clear" w:color="auto" w:fill="FFFFFF"/>
          <w:lang w:val="zh-TW"/>
        </w:rPr>
        <w:t>50m</w:t>
      </w:r>
      <w:r w:rsidRPr="00687B52">
        <w:rPr>
          <w:rFonts w:ascii="Times New Roman" w:eastAsia="宋体" w:hAnsi="Times New Roman" w:cs="Times New Roman" w:hint="eastAsia"/>
          <w:bCs/>
          <w:color w:val="000000" w:themeColor="text1"/>
          <w:sz w:val="21"/>
          <w:szCs w:val="21"/>
          <w:shd w:val="clear" w:color="auto" w:fill="FFFFFF"/>
          <w:vertAlign w:val="superscript"/>
          <w:lang w:val="zh-TW"/>
        </w:rPr>
        <w:t>3</w:t>
      </w:r>
      <w:r w:rsidRPr="00687B52">
        <w:rPr>
          <w:rFonts w:ascii="Times New Roman" w:eastAsia="宋体" w:hAnsi="Times New Roman" w:cs="Times New Roman" w:hint="eastAsia"/>
          <w:bCs/>
          <w:color w:val="000000" w:themeColor="text1"/>
          <w:sz w:val="21"/>
          <w:szCs w:val="21"/>
          <w:shd w:val="clear" w:color="auto" w:fill="FFFFFF"/>
          <w:lang w:val="zh-TW"/>
        </w:rPr>
        <w:t>、甲</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B</w:t>
      </w:r>
      <w:r w:rsidRPr="00687B52">
        <w:rPr>
          <w:rFonts w:ascii="Times New Roman" w:eastAsia="宋体" w:hAnsi="Times New Roman" w:cs="Times New Roman" w:hint="eastAsia"/>
          <w:bCs/>
          <w:color w:val="000000" w:themeColor="text1"/>
          <w:sz w:val="21"/>
          <w:szCs w:val="21"/>
          <w:shd w:val="clear" w:color="auto" w:fill="FFFFFF"/>
          <w:lang w:val="zh-TW"/>
        </w:rPr>
        <w:t>、乙类液体储罐小于</w:t>
      </w:r>
      <w:r w:rsidRPr="00687B52">
        <w:rPr>
          <w:rFonts w:ascii="Times New Roman" w:eastAsia="宋体" w:hAnsi="Times New Roman" w:cs="Times New Roman" w:hint="eastAsia"/>
          <w:bCs/>
          <w:color w:val="000000" w:themeColor="text1"/>
          <w:sz w:val="21"/>
          <w:szCs w:val="21"/>
          <w:shd w:val="clear" w:color="auto" w:fill="FFFFFF"/>
          <w:lang w:val="zh-TW"/>
        </w:rPr>
        <w:t>100m</w:t>
      </w:r>
      <w:r w:rsidRPr="00687B52">
        <w:rPr>
          <w:rFonts w:ascii="Times New Roman" w:eastAsia="宋体" w:hAnsi="Times New Roman" w:cs="Times New Roman" w:hint="eastAsia"/>
          <w:bCs/>
          <w:color w:val="000000" w:themeColor="text1"/>
          <w:sz w:val="21"/>
          <w:szCs w:val="21"/>
          <w:shd w:val="clear" w:color="auto" w:fill="FFFFFF"/>
          <w:vertAlign w:val="superscript"/>
          <w:lang w:val="zh-TW"/>
        </w:rPr>
        <w:t>3</w:t>
      </w:r>
      <w:r w:rsidRPr="00687B52">
        <w:rPr>
          <w:rFonts w:ascii="Times New Roman" w:eastAsia="宋体" w:hAnsi="Times New Roman" w:cs="Times New Roman" w:hint="eastAsia"/>
          <w:bCs/>
          <w:color w:val="000000" w:themeColor="text1"/>
          <w:sz w:val="21"/>
          <w:szCs w:val="21"/>
          <w:shd w:val="clear" w:color="auto" w:fill="FFFFFF"/>
          <w:lang w:val="zh-TW"/>
        </w:rPr>
        <w:t>时，可按其他工艺设备对待。</w:t>
      </w:r>
    </w:p>
    <w:p w:rsidR="00C72AC8" w:rsidRPr="00687B52" w:rsidRDefault="00C72AC8" w:rsidP="00575D1F">
      <w:pPr>
        <w:pStyle w:val="110"/>
        <w:shd w:val="clear" w:color="auto" w:fill="auto"/>
        <w:spacing w:before="0" w:line="240" w:lineRule="auto"/>
        <w:ind w:firstLineChars="200" w:firstLine="42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 xml:space="preserve">5 </w:t>
      </w:r>
      <w:r w:rsidRPr="00687B52">
        <w:rPr>
          <w:rFonts w:ascii="Times New Roman" w:eastAsia="宋体" w:hAnsi="Times New Roman" w:cs="Times New Roman" w:hint="eastAsia"/>
          <w:bCs/>
          <w:color w:val="000000" w:themeColor="text1"/>
          <w:sz w:val="21"/>
          <w:szCs w:val="21"/>
          <w:shd w:val="clear" w:color="auto" w:fill="FFFFFF"/>
          <w:lang w:val="zh-TW"/>
        </w:rPr>
        <w:t>含可燃液体的水池、隔油池等，可按本表其他工艺设备对待。</w:t>
      </w:r>
    </w:p>
    <w:p w:rsidR="006A7807" w:rsidRPr="00687B52" w:rsidRDefault="00C72AC8" w:rsidP="00575D1F">
      <w:pPr>
        <w:pStyle w:val="110"/>
        <w:shd w:val="clear" w:color="auto" w:fill="auto"/>
        <w:spacing w:before="0" w:line="240" w:lineRule="auto"/>
        <w:ind w:firstLineChars="200" w:firstLine="42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 xml:space="preserve">6 </w:t>
      </w:r>
      <w:r w:rsidRPr="00687B52">
        <w:rPr>
          <w:rFonts w:ascii="Times New Roman" w:eastAsia="宋体" w:hAnsi="Times New Roman" w:cs="Times New Roman" w:hint="eastAsia"/>
          <w:bCs/>
          <w:color w:val="000000" w:themeColor="text1"/>
          <w:sz w:val="21"/>
          <w:szCs w:val="21"/>
          <w:shd w:val="clear" w:color="auto" w:fill="FFFFFF"/>
          <w:lang w:val="zh-TW"/>
        </w:rPr>
        <w:t>缓冲罐与泵，零位罐与泵，除油池与污油提升泵，塔与塔底泵、回流泵，压缩机与其直接相关的附属设备，泵与密封漏油回收容器的防火间距可不受本表限制。</w:t>
      </w:r>
    </w:p>
    <w:p w:rsidR="006A7807" w:rsidRPr="00687B52" w:rsidRDefault="006A7807" w:rsidP="006A7807">
      <w:pPr>
        <w:pStyle w:val="110"/>
        <w:shd w:val="clear" w:color="auto" w:fill="auto"/>
        <w:spacing w:before="0" w:line="240" w:lineRule="auto"/>
        <w:ind w:firstLine="0"/>
        <w:jc w:val="left"/>
        <w:rPr>
          <w:rFonts w:ascii="Times New Roman" w:eastAsia="宋体" w:hAnsi="Times New Roman" w:cs="Times New Roman"/>
          <w:bCs/>
          <w:color w:val="000000" w:themeColor="text1"/>
          <w:sz w:val="21"/>
          <w:szCs w:val="21"/>
          <w:shd w:val="clear" w:color="auto" w:fill="FFFFFF"/>
          <w:lang w:val="zh-TW"/>
        </w:rPr>
        <w:sectPr w:rsidR="006A7807" w:rsidRPr="00687B52" w:rsidSect="006A7807">
          <w:pgSz w:w="11906" w:h="16838"/>
          <w:pgMar w:top="1797" w:right="1440" w:bottom="1797" w:left="1440" w:header="851" w:footer="907" w:gutter="0"/>
          <w:cols w:space="425"/>
          <w:docGrid w:type="lines" w:linePitch="312"/>
        </w:sectPr>
      </w:pPr>
    </w:p>
    <w:p w:rsidR="00481EDB" w:rsidRPr="00687B52" w:rsidRDefault="00481EDB" w:rsidP="00856B6C">
      <w:pPr>
        <w:pStyle w:val="afd"/>
        <w:rPr>
          <w:color w:val="000000" w:themeColor="text1"/>
        </w:rPr>
      </w:pPr>
      <w:bookmarkStart w:id="297" w:name="_Toc491870845"/>
      <w:bookmarkStart w:id="298" w:name="_Toc492563499"/>
      <w:bookmarkStart w:id="299" w:name="_Toc493857101"/>
      <w:bookmarkEnd w:id="294"/>
      <w:bookmarkEnd w:id="295"/>
      <w:r w:rsidRPr="00687B52">
        <w:rPr>
          <w:rFonts w:hint="eastAsia"/>
          <w:color w:val="000000" w:themeColor="text1"/>
        </w:rPr>
        <w:t>表</w:t>
      </w:r>
      <w:r w:rsidRPr="00687B52">
        <w:rPr>
          <w:rFonts w:hint="eastAsia"/>
          <w:color w:val="000000" w:themeColor="text1"/>
        </w:rPr>
        <w:t xml:space="preserve">5.2.3 </w:t>
      </w:r>
      <w:r w:rsidRPr="00687B52">
        <w:rPr>
          <w:rFonts w:hint="eastAsia"/>
          <w:color w:val="000000" w:themeColor="text1"/>
        </w:rPr>
        <w:t>五级油气站场防火间距</w:t>
      </w:r>
      <w:bookmarkEnd w:id="297"/>
      <w:bookmarkEnd w:id="298"/>
      <w:r w:rsidR="00C72AC8" w:rsidRPr="00687B52">
        <w:rPr>
          <w:rFonts w:hint="eastAsia"/>
          <w:color w:val="000000" w:themeColor="text1"/>
        </w:rPr>
        <w:t>（</w:t>
      </w:r>
      <w:r w:rsidR="00C72AC8" w:rsidRPr="00687B52">
        <w:rPr>
          <w:rFonts w:hint="eastAsia"/>
          <w:color w:val="000000" w:themeColor="text1"/>
        </w:rPr>
        <w:t>m</w:t>
      </w:r>
      <w:r w:rsidR="00C72AC8" w:rsidRPr="00687B52">
        <w:rPr>
          <w:rFonts w:hint="eastAsia"/>
          <w:color w:val="000000" w:themeColor="text1"/>
        </w:rPr>
        <w:t>）</w:t>
      </w:r>
      <w:bookmarkEnd w:id="299"/>
    </w:p>
    <w:tbl>
      <w:tblPr>
        <w:tblStyle w:val="a6"/>
        <w:tblW w:w="14174" w:type="dxa"/>
        <w:tblLayout w:type="fixed"/>
        <w:tblLook w:val="04A0" w:firstRow="1" w:lastRow="0" w:firstColumn="1" w:lastColumn="0" w:noHBand="0" w:noVBand="1"/>
      </w:tblPr>
      <w:tblGrid>
        <w:gridCol w:w="959"/>
        <w:gridCol w:w="567"/>
        <w:gridCol w:w="709"/>
        <w:gridCol w:w="567"/>
        <w:gridCol w:w="708"/>
        <w:gridCol w:w="709"/>
        <w:gridCol w:w="851"/>
        <w:gridCol w:w="567"/>
        <w:gridCol w:w="567"/>
        <w:gridCol w:w="708"/>
        <w:gridCol w:w="709"/>
        <w:gridCol w:w="567"/>
        <w:gridCol w:w="992"/>
        <w:gridCol w:w="851"/>
        <w:gridCol w:w="709"/>
        <w:gridCol w:w="1275"/>
        <w:gridCol w:w="851"/>
        <w:gridCol w:w="736"/>
        <w:gridCol w:w="572"/>
      </w:tblGrid>
      <w:tr w:rsidR="00C2311F" w:rsidRPr="00687B52" w:rsidTr="00FA2850">
        <w:trPr>
          <w:tblHeader/>
        </w:trPr>
        <w:tc>
          <w:tcPr>
            <w:tcW w:w="2235" w:type="dxa"/>
            <w:gridSpan w:val="3"/>
            <w:vMerge w:val="restart"/>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名称</w:t>
            </w:r>
          </w:p>
        </w:tc>
        <w:tc>
          <w:tcPr>
            <w:tcW w:w="567" w:type="dxa"/>
            <w:vMerge w:val="restart"/>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油气井</w:t>
            </w:r>
          </w:p>
        </w:tc>
        <w:tc>
          <w:tcPr>
            <w:tcW w:w="708" w:type="dxa"/>
            <w:vMerge w:val="restart"/>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露天油气密闭设备及阀组</w:t>
            </w:r>
          </w:p>
        </w:tc>
        <w:tc>
          <w:tcPr>
            <w:tcW w:w="709" w:type="dxa"/>
            <w:vMerge w:val="restart"/>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可燃气体压缩机及压缩机房</w:t>
            </w:r>
          </w:p>
        </w:tc>
        <w:tc>
          <w:tcPr>
            <w:tcW w:w="851" w:type="dxa"/>
            <w:vMerge w:val="restart"/>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天然气凝液泵、油泵及其泵房、阀组间</w:t>
            </w:r>
          </w:p>
        </w:tc>
        <w:tc>
          <w:tcPr>
            <w:tcW w:w="567" w:type="dxa"/>
            <w:vMerge w:val="restart"/>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水套炉</w:t>
            </w:r>
          </w:p>
        </w:tc>
        <w:tc>
          <w:tcPr>
            <w:tcW w:w="567" w:type="dxa"/>
            <w:vMerge w:val="restart"/>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加热炉、锅炉房</w:t>
            </w:r>
          </w:p>
        </w:tc>
        <w:tc>
          <w:tcPr>
            <w:tcW w:w="708" w:type="dxa"/>
            <w:vMerge w:val="restart"/>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10KV</w:t>
            </w:r>
            <w:r w:rsidRPr="00687B52">
              <w:rPr>
                <w:rFonts w:ascii="Times New Roman" w:eastAsia="宋体" w:hAnsi="Times New Roman" w:cs="Times New Roman" w:hint="eastAsia"/>
                <w:bCs/>
                <w:color w:val="000000" w:themeColor="text1"/>
                <w:sz w:val="21"/>
                <w:szCs w:val="21"/>
                <w:shd w:val="clear" w:color="auto" w:fill="FFFFFF"/>
                <w:lang w:val="zh-TW"/>
              </w:rPr>
              <w:t>及以下户外变压器、配电间</w:t>
            </w:r>
          </w:p>
        </w:tc>
        <w:tc>
          <w:tcPr>
            <w:tcW w:w="1276" w:type="dxa"/>
            <w:gridSpan w:val="2"/>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隔油池、事故无污油池（罐）、卸油池（</w:t>
            </w:r>
            <w:r w:rsidRPr="00687B52">
              <w:rPr>
                <w:rFonts w:ascii="Times New Roman" w:eastAsia="宋体" w:hAnsi="Times New Roman" w:cs="Times New Roman" w:hint="eastAsia"/>
                <w:bCs/>
                <w:color w:val="000000" w:themeColor="text1"/>
                <w:sz w:val="21"/>
                <w:szCs w:val="21"/>
                <w:shd w:val="clear" w:color="auto" w:fill="FFFFFF"/>
                <w:lang w:val="zh-TW"/>
              </w:rPr>
              <w:t>m</w:t>
            </w:r>
            <w:r w:rsidRPr="00687B52">
              <w:rPr>
                <w:rFonts w:ascii="Times New Roman" w:eastAsia="宋体" w:hAnsi="Times New Roman" w:cs="Times New Roman" w:hint="eastAsia"/>
                <w:bCs/>
                <w:color w:val="000000" w:themeColor="text1"/>
                <w:sz w:val="21"/>
                <w:szCs w:val="21"/>
                <w:shd w:val="clear" w:color="auto" w:fill="FFFFFF"/>
                <w:vertAlign w:val="superscript"/>
                <w:lang w:val="zh-TW"/>
              </w:rPr>
              <w:t>3</w:t>
            </w: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992" w:type="dxa"/>
            <w:vMerge w:val="restart"/>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eastAsia="zh-TW"/>
              </w:rPr>
              <w:t>≤</w:t>
            </w:r>
            <w:r w:rsidRPr="00687B52">
              <w:rPr>
                <w:rFonts w:ascii="Times New Roman" w:eastAsia="宋体" w:hAnsi="Times New Roman" w:cs="Times New Roman" w:hint="eastAsia"/>
                <w:bCs/>
                <w:color w:val="000000" w:themeColor="text1"/>
                <w:sz w:val="21"/>
                <w:szCs w:val="21"/>
                <w:shd w:val="clear" w:color="auto" w:fill="FFFFFF"/>
                <w:lang w:val="zh-TW"/>
              </w:rPr>
              <w:t>500m</w:t>
            </w:r>
            <w:r w:rsidRPr="00687B52">
              <w:rPr>
                <w:rFonts w:ascii="Times New Roman" w:eastAsia="宋体" w:hAnsi="Times New Roman" w:cs="Times New Roman" w:hint="eastAsia"/>
                <w:bCs/>
                <w:color w:val="000000" w:themeColor="text1"/>
                <w:sz w:val="21"/>
                <w:szCs w:val="21"/>
                <w:shd w:val="clear" w:color="auto" w:fill="FFFFFF"/>
                <w:vertAlign w:val="superscript"/>
                <w:lang w:val="zh-TW"/>
              </w:rPr>
              <w:t>3</w:t>
            </w:r>
            <w:r w:rsidRPr="00687B52">
              <w:rPr>
                <w:rFonts w:ascii="Times New Roman" w:eastAsia="宋体" w:hAnsi="Times New Roman" w:cs="Times New Roman" w:hint="eastAsia"/>
                <w:bCs/>
                <w:color w:val="000000" w:themeColor="text1"/>
                <w:sz w:val="21"/>
                <w:szCs w:val="21"/>
                <w:shd w:val="clear" w:color="auto" w:fill="FFFFFF"/>
                <w:lang w:val="zh-TW"/>
              </w:rPr>
              <w:t>油罐（除甲</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A</w:t>
            </w:r>
            <w:r w:rsidRPr="00687B52">
              <w:rPr>
                <w:rFonts w:ascii="Times New Roman" w:eastAsia="宋体" w:hAnsi="Times New Roman" w:cs="Times New Roman" w:hint="eastAsia"/>
                <w:bCs/>
                <w:color w:val="000000" w:themeColor="text1"/>
                <w:sz w:val="21"/>
                <w:szCs w:val="21"/>
                <w:shd w:val="clear" w:color="auto" w:fill="FFFFFF"/>
                <w:lang w:val="zh-TW"/>
              </w:rPr>
              <w:t>类外）及装卸车鹤管</w:t>
            </w:r>
          </w:p>
        </w:tc>
        <w:tc>
          <w:tcPr>
            <w:tcW w:w="2835" w:type="dxa"/>
            <w:gridSpan w:val="3"/>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天然气凝液、液化石油气储罐（</w:t>
            </w:r>
            <w:r w:rsidRPr="00687B52">
              <w:rPr>
                <w:rFonts w:ascii="Times New Roman" w:eastAsia="宋体" w:hAnsi="Times New Roman" w:cs="Times New Roman" w:hint="eastAsia"/>
                <w:bCs/>
                <w:color w:val="000000" w:themeColor="text1"/>
                <w:sz w:val="21"/>
                <w:szCs w:val="21"/>
                <w:shd w:val="clear" w:color="auto" w:fill="FFFFFF"/>
                <w:lang w:val="zh-TW"/>
              </w:rPr>
              <w:t>m</w:t>
            </w:r>
            <w:r w:rsidRPr="00687B52">
              <w:rPr>
                <w:rFonts w:ascii="Times New Roman" w:eastAsia="宋体" w:hAnsi="Times New Roman" w:cs="Times New Roman" w:hint="eastAsia"/>
                <w:bCs/>
                <w:color w:val="000000" w:themeColor="text1"/>
                <w:sz w:val="21"/>
                <w:szCs w:val="21"/>
                <w:shd w:val="clear" w:color="auto" w:fill="FFFFFF"/>
                <w:vertAlign w:val="superscript"/>
                <w:lang w:val="zh-TW"/>
              </w:rPr>
              <w:t>3</w:t>
            </w: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851" w:type="dxa"/>
            <w:vMerge w:val="restart"/>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计量仪表间、值班室或配水间</w:t>
            </w:r>
          </w:p>
        </w:tc>
        <w:tc>
          <w:tcPr>
            <w:tcW w:w="736" w:type="dxa"/>
            <w:vMerge w:val="restart"/>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辅助生产厂房及辅助生产设施</w:t>
            </w:r>
          </w:p>
        </w:tc>
        <w:tc>
          <w:tcPr>
            <w:tcW w:w="572" w:type="dxa"/>
            <w:vMerge w:val="restart"/>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硫磺仓库</w:t>
            </w:r>
          </w:p>
        </w:tc>
      </w:tr>
      <w:tr w:rsidR="00C2311F" w:rsidRPr="00687B52" w:rsidTr="00FA2850">
        <w:trPr>
          <w:tblHeader/>
        </w:trPr>
        <w:tc>
          <w:tcPr>
            <w:tcW w:w="2235" w:type="dxa"/>
            <w:gridSpan w:val="3"/>
            <w:vMerge/>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67" w:type="dxa"/>
            <w:vMerge/>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8" w:type="dxa"/>
            <w:vMerge/>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vMerge/>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vMerge/>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67" w:type="dxa"/>
            <w:vMerge/>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67" w:type="dxa"/>
            <w:vMerge/>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8" w:type="dxa"/>
            <w:vMerge/>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eastAsia="zh-TW"/>
              </w:rPr>
              <w:t>≤</w:t>
            </w:r>
            <w:r w:rsidRPr="00687B52">
              <w:rPr>
                <w:rFonts w:ascii="Times New Roman" w:eastAsia="宋体" w:hAnsi="Times New Roman" w:cs="Times New Roman" w:hint="eastAsia"/>
                <w:bCs/>
                <w:color w:val="000000" w:themeColor="text1"/>
                <w:sz w:val="21"/>
                <w:szCs w:val="21"/>
                <w:shd w:val="clear" w:color="auto" w:fill="FFFFFF"/>
                <w:lang w:val="zh-TW"/>
              </w:rPr>
              <w:t>30</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eastAsia="zh-TW"/>
              </w:rPr>
              <w:t>＞</w:t>
            </w:r>
            <w:r w:rsidRPr="00687B52">
              <w:rPr>
                <w:rFonts w:ascii="Times New Roman" w:eastAsia="宋体" w:hAnsi="Times New Roman" w:cs="Times New Roman" w:hint="eastAsia"/>
                <w:bCs/>
                <w:color w:val="000000" w:themeColor="text1"/>
                <w:sz w:val="21"/>
                <w:szCs w:val="21"/>
                <w:shd w:val="clear" w:color="auto" w:fill="FFFFFF"/>
                <w:lang w:val="zh-TW"/>
              </w:rPr>
              <w:t>30</w:t>
            </w:r>
          </w:p>
        </w:tc>
        <w:tc>
          <w:tcPr>
            <w:tcW w:w="992" w:type="dxa"/>
            <w:vMerge/>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单罐且罐容量＜</w:t>
            </w:r>
            <w:r w:rsidRPr="00687B52">
              <w:rPr>
                <w:rFonts w:ascii="Times New Roman" w:eastAsia="宋体" w:hAnsi="Times New Roman" w:cs="Times New Roman" w:hint="eastAsia"/>
                <w:bCs/>
                <w:color w:val="000000" w:themeColor="text1"/>
                <w:sz w:val="21"/>
                <w:szCs w:val="21"/>
                <w:shd w:val="clear" w:color="auto" w:fill="FFFFFF"/>
                <w:lang w:val="zh-TW"/>
              </w:rPr>
              <w:t>50</w:t>
            </w:r>
            <w:r w:rsidRPr="00687B52">
              <w:rPr>
                <w:rFonts w:ascii="Times New Roman" w:eastAsia="宋体" w:hAnsi="Times New Roman" w:cs="Times New Roman" w:hint="eastAsia"/>
                <w:bCs/>
                <w:color w:val="000000" w:themeColor="text1"/>
                <w:sz w:val="21"/>
                <w:szCs w:val="21"/>
                <w:shd w:val="clear" w:color="auto" w:fill="FFFFFF"/>
                <w:lang w:val="zh-TW"/>
              </w:rPr>
              <w:t>时</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总容量</w:t>
            </w:r>
            <w:r w:rsidRPr="00687B52">
              <w:rPr>
                <w:rFonts w:ascii="Times New Roman" w:eastAsia="宋体" w:hAnsi="Times New Roman" w:cs="Times New Roman" w:hint="eastAsia"/>
                <w:bCs/>
                <w:color w:val="000000" w:themeColor="text1"/>
                <w:sz w:val="21"/>
                <w:szCs w:val="21"/>
                <w:shd w:val="clear" w:color="auto" w:fill="FFFFFF"/>
                <w:lang w:val="zh-TW" w:eastAsia="zh-TW"/>
              </w:rPr>
              <w:t>≤</w:t>
            </w:r>
            <w:r w:rsidRPr="00687B52">
              <w:rPr>
                <w:rFonts w:ascii="Times New Roman" w:eastAsia="宋体" w:hAnsi="Times New Roman" w:cs="Times New Roman" w:hint="eastAsia"/>
                <w:bCs/>
                <w:color w:val="000000" w:themeColor="text1"/>
                <w:sz w:val="21"/>
                <w:szCs w:val="21"/>
                <w:shd w:val="clear" w:color="auto" w:fill="FFFFFF"/>
                <w:lang w:val="zh-TW"/>
              </w:rPr>
              <w:t>100</w:t>
            </w:r>
          </w:p>
        </w:tc>
        <w:tc>
          <w:tcPr>
            <w:tcW w:w="1275"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100</w:t>
            </w:r>
            <w:r w:rsidRPr="00687B52">
              <w:rPr>
                <w:rFonts w:ascii="Times New Roman" w:eastAsia="宋体" w:hAnsi="Times New Roman" w:cs="Times New Roman" w:hint="eastAsia"/>
                <w:bCs/>
                <w:color w:val="000000" w:themeColor="text1"/>
                <w:sz w:val="21"/>
                <w:szCs w:val="21"/>
                <w:shd w:val="clear" w:color="auto" w:fill="FFFFFF"/>
                <w:lang w:val="zh-TW"/>
              </w:rPr>
              <w:t>＜总容量</w:t>
            </w:r>
            <w:r w:rsidRPr="00687B52">
              <w:rPr>
                <w:rFonts w:ascii="Times New Roman" w:eastAsia="宋体" w:hAnsi="Times New Roman" w:cs="Times New Roman" w:hint="eastAsia"/>
                <w:bCs/>
                <w:color w:val="000000" w:themeColor="text1"/>
                <w:sz w:val="21"/>
                <w:szCs w:val="21"/>
                <w:shd w:val="clear" w:color="auto" w:fill="FFFFFF"/>
                <w:lang w:val="zh-TW" w:eastAsia="zh-TW"/>
              </w:rPr>
              <w:t>≤</w:t>
            </w:r>
            <w:r w:rsidRPr="00687B52">
              <w:rPr>
                <w:rFonts w:ascii="Times New Roman" w:eastAsia="宋体" w:hAnsi="Times New Roman" w:cs="Times New Roman" w:hint="eastAsia"/>
                <w:bCs/>
                <w:color w:val="000000" w:themeColor="text1"/>
                <w:sz w:val="21"/>
                <w:szCs w:val="21"/>
                <w:shd w:val="clear" w:color="auto" w:fill="FFFFFF"/>
                <w:lang w:val="zh-TW"/>
              </w:rPr>
              <w:t>200.</w:t>
            </w:r>
            <w:r w:rsidRPr="00687B52">
              <w:rPr>
                <w:rFonts w:ascii="Times New Roman" w:eastAsia="宋体" w:hAnsi="Times New Roman" w:cs="Times New Roman" w:hint="eastAsia"/>
                <w:bCs/>
                <w:color w:val="000000" w:themeColor="text1"/>
                <w:sz w:val="21"/>
                <w:szCs w:val="21"/>
                <w:shd w:val="clear" w:color="auto" w:fill="FFFFFF"/>
                <w:lang w:val="zh-TW"/>
              </w:rPr>
              <w:t>单罐容量</w:t>
            </w:r>
            <w:r w:rsidRPr="00687B52">
              <w:rPr>
                <w:rFonts w:ascii="Times New Roman" w:eastAsia="宋体" w:hAnsi="Times New Roman" w:cs="Times New Roman" w:hint="eastAsia"/>
                <w:bCs/>
                <w:color w:val="000000" w:themeColor="text1"/>
                <w:sz w:val="21"/>
                <w:szCs w:val="21"/>
                <w:shd w:val="clear" w:color="auto" w:fill="FFFFFF"/>
                <w:lang w:val="zh-TW" w:eastAsia="zh-TW"/>
              </w:rPr>
              <w:t>≤</w:t>
            </w:r>
            <w:r w:rsidRPr="00687B52">
              <w:rPr>
                <w:rFonts w:ascii="Times New Roman" w:eastAsia="宋体" w:hAnsi="Times New Roman" w:cs="Times New Roman" w:hint="eastAsia"/>
                <w:bCs/>
                <w:color w:val="000000" w:themeColor="text1"/>
                <w:sz w:val="21"/>
                <w:szCs w:val="21"/>
                <w:shd w:val="clear" w:color="auto" w:fill="FFFFFF"/>
                <w:lang w:val="zh-TW"/>
              </w:rPr>
              <w:t>100</w:t>
            </w:r>
          </w:p>
        </w:tc>
        <w:tc>
          <w:tcPr>
            <w:tcW w:w="851" w:type="dxa"/>
            <w:vMerge/>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36" w:type="dxa"/>
            <w:vMerge/>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72" w:type="dxa"/>
            <w:vMerge/>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r>
      <w:tr w:rsidR="00C2311F" w:rsidRPr="00687B52" w:rsidTr="00C2311F">
        <w:tc>
          <w:tcPr>
            <w:tcW w:w="2235" w:type="dxa"/>
            <w:gridSpan w:val="3"/>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油气井</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99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1275"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36"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7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r>
      <w:tr w:rsidR="00C2311F" w:rsidRPr="00687B52" w:rsidTr="00C2311F">
        <w:tc>
          <w:tcPr>
            <w:tcW w:w="2235" w:type="dxa"/>
            <w:gridSpan w:val="3"/>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露天油气密闭设备及阀组</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5</w:t>
            </w: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99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1275"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36"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7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r>
      <w:tr w:rsidR="00C2311F" w:rsidRPr="00687B52" w:rsidTr="00C2311F">
        <w:tc>
          <w:tcPr>
            <w:tcW w:w="2235" w:type="dxa"/>
            <w:gridSpan w:val="3"/>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可燃气体压缩机及压缩机房</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20</w:t>
            </w: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99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1275"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36"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7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r>
      <w:tr w:rsidR="00C2311F" w:rsidRPr="00687B52" w:rsidTr="00C2311F">
        <w:tc>
          <w:tcPr>
            <w:tcW w:w="2235" w:type="dxa"/>
            <w:gridSpan w:val="3"/>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天然气凝液泵、油泵及其泵房、阀组间</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20</w:t>
            </w: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99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1275"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36"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7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r>
      <w:tr w:rsidR="00C2311F" w:rsidRPr="00687B52" w:rsidTr="00C2311F">
        <w:tc>
          <w:tcPr>
            <w:tcW w:w="2235" w:type="dxa"/>
            <w:gridSpan w:val="3"/>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水套炉</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9</w:t>
            </w: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5</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15/10</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99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1275"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36"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7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r>
      <w:tr w:rsidR="00C2311F" w:rsidRPr="00687B52" w:rsidTr="00C2311F">
        <w:tc>
          <w:tcPr>
            <w:tcW w:w="2235" w:type="dxa"/>
            <w:gridSpan w:val="3"/>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加热炉、锅炉房</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20</w:t>
            </w: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10</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22.5/15</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99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1275"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36"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7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r>
      <w:tr w:rsidR="00C2311F" w:rsidRPr="00687B52" w:rsidTr="00C2311F">
        <w:tc>
          <w:tcPr>
            <w:tcW w:w="2235" w:type="dxa"/>
            <w:gridSpan w:val="3"/>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10KV</w:t>
            </w:r>
            <w:r w:rsidRPr="00687B52">
              <w:rPr>
                <w:rFonts w:ascii="Times New Roman" w:eastAsia="宋体" w:hAnsi="Times New Roman" w:cs="Times New Roman" w:hint="eastAsia"/>
                <w:bCs/>
                <w:color w:val="000000" w:themeColor="text1"/>
                <w:sz w:val="21"/>
                <w:szCs w:val="21"/>
                <w:shd w:val="clear" w:color="auto" w:fill="FFFFFF"/>
                <w:lang w:val="zh-TW"/>
              </w:rPr>
              <w:t>及以下户外变压器、配电间</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10</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12</w:t>
            </w: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22.5/15</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99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1275"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36"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7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r>
      <w:tr w:rsidR="00C2311F" w:rsidRPr="00687B52" w:rsidTr="00C2311F">
        <w:tc>
          <w:tcPr>
            <w:tcW w:w="1526" w:type="dxa"/>
            <w:gridSpan w:val="2"/>
            <w:vMerge w:val="restart"/>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隔油池、事故无污油池（罐）、卸油池（</w:t>
            </w:r>
            <w:r w:rsidRPr="00687B52">
              <w:rPr>
                <w:rFonts w:ascii="Times New Roman" w:eastAsia="宋体" w:hAnsi="Times New Roman" w:cs="Times New Roman" w:hint="eastAsia"/>
                <w:bCs/>
                <w:color w:val="000000" w:themeColor="text1"/>
                <w:sz w:val="21"/>
                <w:szCs w:val="21"/>
                <w:shd w:val="clear" w:color="auto" w:fill="FFFFFF"/>
                <w:lang w:val="zh-TW"/>
              </w:rPr>
              <w:t>m</w:t>
            </w:r>
            <w:r w:rsidRPr="00687B52">
              <w:rPr>
                <w:rFonts w:ascii="Times New Roman" w:eastAsia="宋体" w:hAnsi="Times New Roman" w:cs="Times New Roman" w:hint="eastAsia"/>
                <w:bCs/>
                <w:color w:val="000000" w:themeColor="text1"/>
                <w:sz w:val="21"/>
                <w:szCs w:val="21"/>
                <w:shd w:val="clear" w:color="auto" w:fill="FFFFFF"/>
                <w:vertAlign w:val="superscript"/>
                <w:lang w:val="zh-TW"/>
              </w:rPr>
              <w:t>3</w:t>
            </w: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eastAsia="zh-TW"/>
              </w:rPr>
              <w:t>≤</w:t>
            </w:r>
            <w:r w:rsidRPr="00687B52">
              <w:rPr>
                <w:rFonts w:ascii="Times New Roman" w:eastAsia="宋体" w:hAnsi="Times New Roman" w:cs="Times New Roman" w:hint="eastAsia"/>
                <w:bCs/>
                <w:color w:val="000000" w:themeColor="text1"/>
                <w:sz w:val="21"/>
                <w:szCs w:val="21"/>
                <w:shd w:val="clear" w:color="auto" w:fill="FFFFFF"/>
                <w:lang w:val="zh-TW"/>
              </w:rPr>
              <w:t>30</w:t>
            </w:r>
          </w:p>
        </w:tc>
        <w:tc>
          <w:tcPr>
            <w:tcW w:w="567" w:type="dxa"/>
            <w:vMerge w:val="restart"/>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20</w:t>
            </w: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9</w:t>
            </w: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w:t>
            </w:r>
            <w:r w:rsidRPr="00687B52">
              <w:rPr>
                <w:rFonts w:ascii="Times New Roman" w:eastAsia="宋体" w:hAnsi="Times New Roman" w:cs="Times New Roman" w:hint="eastAsia"/>
                <w:bCs/>
                <w:color w:val="000000" w:themeColor="text1"/>
                <w:sz w:val="21"/>
                <w:szCs w:val="21"/>
                <w:shd w:val="clear" w:color="auto" w:fill="FFFFFF"/>
                <w:lang w:val="zh-TW"/>
              </w:rPr>
              <w:t>_</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99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1275"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36"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7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r>
      <w:tr w:rsidR="00C2311F" w:rsidRPr="00687B52" w:rsidTr="00C2311F">
        <w:tc>
          <w:tcPr>
            <w:tcW w:w="1526" w:type="dxa"/>
            <w:gridSpan w:val="2"/>
            <w:vMerge/>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eastAsia="zh-TW"/>
              </w:rPr>
            </w:pPr>
            <w:r w:rsidRPr="00687B52">
              <w:rPr>
                <w:rFonts w:ascii="Times New Roman" w:eastAsia="宋体" w:hAnsi="Times New Roman" w:cs="Times New Roman" w:hint="eastAsia"/>
                <w:bCs/>
                <w:color w:val="000000" w:themeColor="text1"/>
                <w:sz w:val="21"/>
                <w:szCs w:val="21"/>
                <w:shd w:val="clear" w:color="auto" w:fill="FFFFFF"/>
                <w:lang w:val="zh-TW" w:eastAsia="zh-TW"/>
              </w:rPr>
              <w:t>＞</w:t>
            </w:r>
            <w:r w:rsidRPr="00687B52">
              <w:rPr>
                <w:rFonts w:ascii="Times New Roman" w:eastAsia="宋体" w:hAnsi="Times New Roman" w:cs="Times New Roman" w:hint="eastAsia"/>
                <w:bCs/>
                <w:color w:val="000000" w:themeColor="text1"/>
                <w:sz w:val="21"/>
                <w:szCs w:val="21"/>
                <w:shd w:val="clear" w:color="auto" w:fill="FFFFFF"/>
                <w:lang w:val="zh-TW"/>
              </w:rPr>
              <w:t>30</w:t>
            </w:r>
          </w:p>
        </w:tc>
        <w:tc>
          <w:tcPr>
            <w:tcW w:w="567" w:type="dxa"/>
            <w:vMerge/>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12</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22.5</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22.5</w:t>
            </w: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99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1275"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36"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7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r>
      <w:tr w:rsidR="00C2311F" w:rsidRPr="00687B52" w:rsidTr="00C2311F">
        <w:tc>
          <w:tcPr>
            <w:tcW w:w="2235" w:type="dxa"/>
            <w:gridSpan w:val="3"/>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eastAsia="zh-TW"/>
              </w:rPr>
              <w:t>≤</w:t>
            </w:r>
            <w:r w:rsidRPr="00687B52">
              <w:rPr>
                <w:rFonts w:ascii="Times New Roman" w:eastAsia="宋体" w:hAnsi="Times New Roman" w:cs="Times New Roman" w:hint="eastAsia"/>
                <w:bCs/>
                <w:color w:val="000000" w:themeColor="text1"/>
                <w:sz w:val="21"/>
                <w:szCs w:val="21"/>
                <w:shd w:val="clear" w:color="auto" w:fill="FFFFFF"/>
                <w:lang w:val="zh-TW"/>
              </w:rPr>
              <w:t>500m</w:t>
            </w:r>
            <w:r w:rsidRPr="00687B52">
              <w:rPr>
                <w:rFonts w:ascii="Times New Roman" w:eastAsia="宋体" w:hAnsi="Times New Roman" w:cs="Times New Roman" w:hint="eastAsia"/>
                <w:bCs/>
                <w:color w:val="000000" w:themeColor="text1"/>
                <w:sz w:val="21"/>
                <w:szCs w:val="21"/>
                <w:shd w:val="clear" w:color="auto" w:fill="FFFFFF"/>
                <w:vertAlign w:val="superscript"/>
                <w:lang w:val="zh-TW"/>
              </w:rPr>
              <w:t>3</w:t>
            </w:r>
            <w:r w:rsidRPr="00687B52">
              <w:rPr>
                <w:rFonts w:ascii="Times New Roman" w:eastAsia="宋体" w:hAnsi="Times New Roman" w:cs="Times New Roman" w:hint="eastAsia"/>
                <w:bCs/>
                <w:color w:val="000000" w:themeColor="text1"/>
                <w:sz w:val="21"/>
                <w:szCs w:val="21"/>
                <w:shd w:val="clear" w:color="auto" w:fill="FFFFFF"/>
                <w:lang w:val="zh-TW"/>
              </w:rPr>
              <w:t>油罐（除甲</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A</w:t>
            </w:r>
            <w:r w:rsidRPr="00687B52">
              <w:rPr>
                <w:rFonts w:ascii="Times New Roman" w:eastAsia="宋体" w:hAnsi="Times New Roman" w:cs="Times New Roman" w:hint="eastAsia"/>
                <w:bCs/>
                <w:color w:val="000000" w:themeColor="text1"/>
                <w:sz w:val="21"/>
                <w:szCs w:val="21"/>
                <w:shd w:val="clear" w:color="auto" w:fill="FFFFFF"/>
                <w:lang w:val="zh-TW"/>
              </w:rPr>
              <w:t>类外）及装卸车鹤管</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10</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10</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20</w:t>
            </w: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99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1275"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36"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7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r>
      <w:tr w:rsidR="00C2311F" w:rsidRPr="00687B52" w:rsidTr="00C2311F">
        <w:tc>
          <w:tcPr>
            <w:tcW w:w="959" w:type="dxa"/>
            <w:vMerge w:val="restart"/>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天然气凝液、液化石油气储罐（</w:t>
            </w:r>
            <w:r w:rsidRPr="00687B52">
              <w:rPr>
                <w:rFonts w:ascii="Times New Roman" w:eastAsia="宋体" w:hAnsi="Times New Roman" w:cs="Times New Roman" w:hint="eastAsia"/>
                <w:bCs/>
                <w:color w:val="000000" w:themeColor="text1"/>
                <w:sz w:val="21"/>
                <w:szCs w:val="21"/>
                <w:shd w:val="clear" w:color="auto" w:fill="FFFFFF"/>
                <w:lang w:val="zh-TW"/>
              </w:rPr>
              <w:t>m</w:t>
            </w:r>
            <w:r w:rsidRPr="00687B52">
              <w:rPr>
                <w:rFonts w:ascii="Times New Roman" w:eastAsia="宋体" w:hAnsi="Times New Roman" w:cs="Times New Roman" w:hint="eastAsia"/>
                <w:bCs/>
                <w:color w:val="000000" w:themeColor="text1"/>
                <w:sz w:val="21"/>
                <w:szCs w:val="21"/>
                <w:shd w:val="clear" w:color="auto" w:fill="FFFFFF"/>
                <w:vertAlign w:val="superscript"/>
                <w:lang w:val="zh-TW"/>
              </w:rPr>
              <w:t>3</w:t>
            </w: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1276" w:type="dxa"/>
            <w:gridSpan w:val="2"/>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单罐且罐容量＜</w:t>
            </w:r>
            <w:r w:rsidRPr="00687B52">
              <w:rPr>
                <w:rFonts w:ascii="Times New Roman" w:eastAsia="宋体" w:hAnsi="Times New Roman" w:cs="Times New Roman" w:hint="eastAsia"/>
                <w:bCs/>
                <w:color w:val="000000" w:themeColor="text1"/>
                <w:sz w:val="21"/>
                <w:szCs w:val="21"/>
                <w:shd w:val="clear" w:color="auto" w:fill="FFFFFF"/>
                <w:lang w:val="zh-TW"/>
              </w:rPr>
              <w:t>50</w:t>
            </w:r>
            <w:r w:rsidRPr="00687B52">
              <w:rPr>
                <w:rFonts w:ascii="Times New Roman" w:eastAsia="宋体" w:hAnsi="Times New Roman" w:cs="Times New Roman" w:hint="eastAsia"/>
                <w:bCs/>
                <w:color w:val="000000" w:themeColor="text1"/>
                <w:sz w:val="21"/>
                <w:szCs w:val="21"/>
                <w:shd w:val="clear" w:color="auto" w:fill="FFFFFF"/>
                <w:lang w:val="zh-TW"/>
              </w:rPr>
              <w:t>时</w:t>
            </w:r>
          </w:p>
        </w:tc>
        <w:tc>
          <w:tcPr>
            <w:tcW w:w="567" w:type="dxa"/>
            <w:vMerge w:val="restart"/>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9</w:t>
            </w: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22.5</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22.5</w:t>
            </w: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30</w:t>
            </w:r>
          </w:p>
        </w:tc>
        <w:tc>
          <w:tcPr>
            <w:tcW w:w="99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25</w:t>
            </w: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1275"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36"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7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r>
      <w:tr w:rsidR="00C2311F" w:rsidRPr="00687B52" w:rsidTr="00C2311F">
        <w:tc>
          <w:tcPr>
            <w:tcW w:w="959" w:type="dxa"/>
            <w:vMerge/>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1276" w:type="dxa"/>
            <w:gridSpan w:val="2"/>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总容量</w:t>
            </w:r>
            <w:r w:rsidRPr="00687B52">
              <w:rPr>
                <w:rFonts w:ascii="Times New Roman" w:eastAsia="宋体" w:hAnsi="Times New Roman" w:cs="Times New Roman" w:hint="eastAsia"/>
                <w:bCs/>
                <w:color w:val="000000" w:themeColor="text1"/>
                <w:sz w:val="21"/>
                <w:szCs w:val="21"/>
                <w:shd w:val="clear" w:color="auto" w:fill="FFFFFF"/>
                <w:lang w:val="zh-TW" w:eastAsia="zh-TW"/>
              </w:rPr>
              <w:t>≤</w:t>
            </w:r>
            <w:r w:rsidRPr="00687B52">
              <w:rPr>
                <w:rFonts w:ascii="Times New Roman" w:eastAsia="宋体" w:hAnsi="Times New Roman" w:cs="Times New Roman" w:hint="eastAsia"/>
                <w:bCs/>
                <w:color w:val="000000" w:themeColor="text1"/>
                <w:sz w:val="21"/>
                <w:szCs w:val="21"/>
                <w:shd w:val="clear" w:color="auto" w:fill="FFFFFF"/>
                <w:lang w:val="zh-TW"/>
              </w:rPr>
              <w:t>100</w:t>
            </w:r>
          </w:p>
        </w:tc>
        <w:tc>
          <w:tcPr>
            <w:tcW w:w="567" w:type="dxa"/>
            <w:vMerge/>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10</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10</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30</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30</w:t>
            </w: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22.5</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30</w:t>
            </w:r>
          </w:p>
        </w:tc>
        <w:tc>
          <w:tcPr>
            <w:tcW w:w="99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25</w:t>
            </w: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1275"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36"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7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r>
      <w:tr w:rsidR="00C2311F" w:rsidRPr="00687B52" w:rsidTr="00C2311F">
        <w:tc>
          <w:tcPr>
            <w:tcW w:w="959" w:type="dxa"/>
            <w:vMerge/>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1276" w:type="dxa"/>
            <w:gridSpan w:val="2"/>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100</w:t>
            </w:r>
            <w:r w:rsidRPr="00687B52">
              <w:rPr>
                <w:rFonts w:ascii="Times New Roman" w:eastAsia="宋体" w:hAnsi="Times New Roman" w:cs="Times New Roman" w:hint="eastAsia"/>
                <w:bCs/>
                <w:color w:val="000000" w:themeColor="text1"/>
                <w:sz w:val="21"/>
                <w:szCs w:val="21"/>
                <w:shd w:val="clear" w:color="auto" w:fill="FFFFFF"/>
                <w:lang w:val="zh-TW"/>
              </w:rPr>
              <w:t>＜总容量</w:t>
            </w:r>
            <w:r w:rsidRPr="00687B52">
              <w:rPr>
                <w:rFonts w:ascii="Times New Roman" w:eastAsia="宋体" w:hAnsi="Times New Roman" w:cs="Times New Roman" w:hint="eastAsia"/>
                <w:bCs/>
                <w:color w:val="000000" w:themeColor="text1"/>
                <w:sz w:val="21"/>
                <w:szCs w:val="21"/>
                <w:shd w:val="clear" w:color="auto" w:fill="FFFFFF"/>
                <w:lang w:val="zh-TW" w:eastAsia="zh-TW"/>
              </w:rPr>
              <w:t>≤</w:t>
            </w:r>
            <w:r w:rsidRPr="00687B52">
              <w:rPr>
                <w:rFonts w:ascii="Times New Roman" w:eastAsia="宋体" w:hAnsi="Times New Roman" w:cs="Times New Roman" w:hint="eastAsia"/>
                <w:bCs/>
                <w:color w:val="000000" w:themeColor="text1"/>
                <w:sz w:val="21"/>
                <w:szCs w:val="21"/>
                <w:shd w:val="clear" w:color="auto" w:fill="FFFFFF"/>
                <w:lang w:val="zh-TW"/>
              </w:rPr>
              <w:t>200.</w:t>
            </w:r>
            <w:r w:rsidRPr="00687B52">
              <w:rPr>
                <w:rFonts w:ascii="Times New Roman" w:eastAsia="宋体" w:hAnsi="Times New Roman" w:cs="Times New Roman" w:hint="eastAsia"/>
                <w:bCs/>
                <w:color w:val="000000" w:themeColor="text1"/>
                <w:sz w:val="21"/>
                <w:szCs w:val="21"/>
                <w:shd w:val="clear" w:color="auto" w:fill="FFFFFF"/>
                <w:lang w:val="zh-TW"/>
              </w:rPr>
              <w:t>单罐容量</w:t>
            </w:r>
            <w:r w:rsidRPr="00687B52">
              <w:rPr>
                <w:rFonts w:ascii="Times New Roman" w:eastAsia="宋体" w:hAnsi="Times New Roman" w:cs="Times New Roman" w:hint="eastAsia"/>
                <w:bCs/>
                <w:color w:val="000000" w:themeColor="text1"/>
                <w:sz w:val="21"/>
                <w:szCs w:val="21"/>
                <w:shd w:val="clear" w:color="auto" w:fill="FFFFFF"/>
                <w:lang w:val="zh-TW" w:eastAsia="zh-TW"/>
              </w:rPr>
              <w:t>≤</w:t>
            </w:r>
            <w:r w:rsidRPr="00687B52">
              <w:rPr>
                <w:rFonts w:ascii="Times New Roman" w:eastAsia="宋体" w:hAnsi="Times New Roman" w:cs="Times New Roman" w:hint="eastAsia"/>
                <w:bCs/>
                <w:color w:val="000000" w:themeColor="text1"/>
                <w:sz w:val="21"/>
                <w:szCs w:val="21"/>
                <w:shd w:val="clear" w:color="auto" w:fill="FFFFFF"/>
                <w:lang w:val="zh-TW"/>
              </w:rPr>
              <w:t>100</w:t>
            </w:r>
          </w:p>
        </w:tc>
        <w:tc>
          <w:tcPr>
            <w:tcW w:w="567" w:type="dxa"/>
            <w:vMerge/>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30</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30</w:t>
            </w: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30</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40</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40</w:t>
            </w: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40</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30</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30</w:t>
            </w:r>
          </w:p>
        </w:tc>
        <w:tc>
          <w:tcPr>
            <w:tcW w:w="99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30</w:t>
            </w: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1275"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36"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7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r>
      <w:tr w:rsidR="00C2311F" w:rsidRPr="00687B52" w:rsidTr="00C2311F">
        <w:tc>
          <w:tcPr>
            <w:tcW w:w="2235" w:type="dxa"/>
            <w:gridSpan w:val="3"/>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计量仪表间、值班室或配水间</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9</w:t>
            </w: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5</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10</w:t>
            </w: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10</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10</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10</w:t>
            </w: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10</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99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22.5</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22.5</w:t>
            </w:r>
          </w:p>
        </w:tc>
        <w:tc>
          <w:tcPr>
            <w:tcW w:w="1275"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40</w:t>
            </w: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36"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7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r>
      <w:tr w:rsidR="00C2311F" w:rsidRPr="00687B52" w:rsidTr="00C2311F">
        <w:tc>
          <w:tcPr>
            <w:tcW w:w="2235" w:type="dxa"/>
            <w:gridSpan w:val="3"/>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辅助生产厂房及辅助生产设施</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20</w:t>
            </w: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12</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15/10</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22.5</w:t>
            </w:r>
          </w:p>
        </w:tc>
        <w:tc>
          <w:tcPr>
            <w:tcW w:w="99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22.5</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30</w:t>
            </w:r>
          </w:p>
        </w:tc>
        <w:tc>
          <w:tcPr>
            <w:tcW w:w="1275"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40</w:t>
            </w: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736"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57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r>
      <w:tr w:rsidR="00C2311F" w:rsidRPr="00687B52" w:rsidTr="00C2311F">
        <w:tc>
          <w:tcPr>
            <w:tcW w:w="2235" w:type="dxa"/>
            <w:gridSpan w:val="3"/>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硫磺仓库</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10</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10</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99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2835" w:type="dxa"/>
            <w:gridSpan w:val="3"/>
            <w:vMerge w:val="restart"/>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w:t>
            </w: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10</w:t>
            </w:r>
          </w:p>
        </w:tc>
        <w:tc>
          <w:tcPr>
            <w:tcW w:w="736"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15</w:t>
            </w:r>
          </w:p>
        </w:tc>
        <w:tc>
          <w:tcPr>
            <w:tcW w:w="57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r>
      <w:tr w:rsidR="00C2311F" w:rsidRPr="00687B52" w:rsidTr="00C2311F">
        <w:tc>
          <w:tcPr>
            <w:tcW w:w="2235" w:type="dxa"/>
            <w:gridSpan w:val="3"/>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污水池</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5</w:t>
            </w: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5</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5</w:t>
            </w: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5</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5</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5</w:t>
            </w:r>
          </w:p>
        </w:tc>
        <w:tc>
          <w:tcPr>
            <w:tcW w:w="708"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5</w:t>
            </w:r>
          </w:p>
        </w:tc>
        <w:tc>
          <w:tcPr>
            <w:tcW w:w="709"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5</w:t>
            </w:r>
          </w:p>
        </w:tc>
        <w:tc>
          <w:tcPr>
            <w:tcW w:w="567"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5</w:t>
            </w:r>
          </w:p>
        </w:tc>
        <w:tc>
          <w:tcPr>
            <w:tcW w:w="99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5</w:t>
            </w:r>
          </w:p>
        </w:tc>
        <w:tc>
          <w:tcPr>
            <w:tcW w:w="2835" w:type="dxa"/>
            <w:gridSpan w:val="3"/>
            <w:vMerge/>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p>
        </w:tc>
        <w:tc>
          <w:tcPr>
            <w:tcW w:w="851"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10</w:t>
            </w:r>
          </w:p>
        </w:tc>
        <w:tc>
          <w:tcPr>
            <w:tcW w:w="736"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10</w:t>
            </w:r>
          </w:p>
        </w:tc>
        <w:tc>
          <w:tcPr>
            <w:tcW w:w="572" w:type="dxa"/>
            <w:tcMar>
              <w:left w:w="28" w:type="dxa"/>
              <w:right w:w="28" w:type="dxa"/>
            </w:tcMar>
            <w:vAlign w:val="center"/>
          </w:tcPr>
          <w:p w:rsidR="00C2311F" w:rsidRPr="00687B52" w:rsidRDefault="00C2311F" w:rsidP="00C2311F">
            <w:pPr>
              <w:pStyle w:val="110"/>
              <w:shd w:val="clear" w:color="auto" w:fill="auto"/>
              <w:spacing w:before="0" w:line="240" w:lineRule="exact"/>
              <w:ind w:firstLine="0"/>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5</w:t>
            </w:r>
          </w:p>
        </w:tc>
      </w:tr>
    </w:tbl>
    <w:p w:rsidR="00C2311F" w:rsidRPr="00687B52" w:rsidRDefault="00C2311F" w:rsidP="00C2311F">
      <w:pPr>
        <w:pStyle w:val="110"/>
        <w:shd w:val="clear" w:color="auto" w:fill="auto"/>
        <w:spacing w:before="0" w:line="240" w:lineRule="auto"/>
        <w:ind w:firstLine="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注：</w:t>
      </w:r>
      <w:r w:rsidRPr="00687B52">
        <w:rPr>
          <w:rFonts w:ascii="Times New Roman" w:eastAsia="宋体" w:hAnsi="Times New Roman" w:cs="Times New Roman" w:hint="eastAsia"/>
          <w:bCs/>
          <w:color w:val="000000" w:themeColor="text1"/>
          <w:sz w:val="21"/>
          <w:szCs w:val="21"/>
          <w:shd w:val="clear" w:color="auto" w:fill="FFFFFF"/>
          <w:lang w:val="zh-TW"/>
        </w:rPr>
        <w:t xml:space="preserve">1 </w:t>
      </w:r>
      <w:r w:rsidRPr="00687B52">
        <w:rPr>
          <w:rFonts w:ascii="Times New Roman" w:eastAsia="宋体" w:hAnsi="Times New Roman" w:cs="Times New Roman" w:hint="eastAsia"/>
          <w:bCs/>
          <w:color w:val="000000" w:themeColor="text1"/>
          <w:sz w:val="21"/>
          <w:szCs w:val="21"/>
          <w:shd w:val="clear" w:color="auto" w:fill="FFFFFF"/>
          <w:lang w:val="zh-TW"/>
        </w:rPr>
        <w:t>油罐与装车鹤管之间的防火间距，当采用自流装车时不受本表的限制，当采用压力装车时不应小于</w:t>
      </w:r>
      <w:r w:rsidRPr="00687B52">
        <w:rPr>
          <w:rFonts w:ascii="Times New Roman" w:eastAsia="宋体" w:hAnsi="Times New Roman" w:cs="Times New Roman" w:hint="eastAsia"/>
          <w:bCs/>
          <w:color w:val="000000" w:themeColor="text1"/>
          <w:sz w:val="21"/>
          <w:szCs w:val="21"/>
          <w:shd w:val="clear" w:color="auto" w:fill="FFFFFF"/>
          <w:lang w:val="zh-TW"/>
        </w:rPr>
        <w:t>15m</w:t>
      </w:r>
      <w:r w:rsidRPr="00687B52">
        <w:rPr>
          <w:rFonts w:ascii="Times New Roman" w:eastAsia="宋体" w:hAnsi="Times New Roman" w:cs="Times New Roman" w:hint="eastAsia"/>
          <w:bCs/>
          <w:color w:val="000000" w:themeColor="text1"/>
          <w:sz w:val="21"/>
          <w:szCs w:val="21"/>
          <w:shd w:val="clear" w:color="auto" w:fill="FFFFFF"/>
          <w:lang w:val="zh-TW"/>
        </w:rPr>
        <w:t>。</w:t>
      </w:r>
    </w:p>
    <w:p w:rsidR="00C2311F" w:rsidRPr="00687B52" w:rsidRDefault="00C2311F" w:rsidP="00FA2850">
      <w:pPr>
        <w:pStyle w:val="110"/>
        <w:shd w:val="clear" w:color="auto" w:fill="auto"/>
        <w:spacing w:before="0" w:line="240" w:lineRule="auto"/>
        <w:ind w:firstLineChars="200" w:firstLine="42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 xml:space="preserve">2 </w:t>
      </w:r>
      <w:r w:rsidRPr="00687B52">
        <w:rPr>
          <w:rFonts w:ascii="Times New Roman" w:eastAsia="宋体" w:hAnsi="Times New Roman" w:cs="Times New Roman" w:hint="eastAsia"/>
          <w:bCs/>
          <w:color w:val="000000" w:themeColor="text1"/>
          <w:sz w:val="21"/>
          <w:szCs w:val="21"/>
          <w:shd w:val="clear" w:color="auto" w:fill="FFFFFF"/>
          <w:lang w:val="zh-TW"/>
        </w:rPr>
        <w:t>加热炉与分离器组成的合一设备、三甘醇火焰加热再生釜、溶液脱硫的直接火焰加热重沸器等带有直接火焰加热的设备，应按水套炉确定防火间距。</w:t>
      </w:r>
    </w:p>
    <w:p w:rsidR="00C2311F" w:rsidRPr="00687B52" w:rsidRDefault="00C2311F" w:rsidP="00FA2850">
      <w:pPr>
        <w:pStyle w:val="110"/>
        <w:shd w:val="clear" w:color="auto" w:fill="auto"/>
        <w:spacing w:before="0" w:line="240" w:lineRule="auto"/>
        <w:ind w:firstLineChars="200" w:firstLine="42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3</w:t>
      </w:r>
      <w:r w:rsidRPr="00687B52">
        <w:rPr>
          <w:rFonts w:ascii="Times New Roman" w:eastAsia="宋体" w:hAnsi="Times New Roman" w:cs="Times New Roman" w:hint="eastAsia"/>
          <w:bCs/>
          <w:color w:val="000000" w:themeColor="text1"/>
          <w:sz w:val="21"/>
          <w:szCs w:val="21"/>
          <w:shd w:val="clear" w:color="auto" w:fill="FFFFFF"/>
          <w:lang w:val="zh-TW"/>
        </w:rPr>
        <w:t>克劳斯硫磺回收工艺的燃烧炉、再生炉、在线燃烧器等正压燃烧炉，其防火间距可按露天油气密闭设备确定。</w:t>
      </w:r>
    </w:p>
    <w:p w:rsidR="00C2311F" w:rsidRPr="00687B52" w:rsidRDefault="00C2311F" w:rsidP="00C2311F">
      <w:pPr>
        <w:pStyle w:val="110"/>
        <w:shd w:val="clear" w:color="auto" w:fill="auto"/>
        <w:spacing w:before="0" w:line="240" w:lineRule="auto"/>
        <w:ind w:firstLine="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4 35KV</w:t>
      </w:r>
      <w:r w:rsidRPr="00687B52">
        <w:rPr>
          <w:rFonts w:ascii="Times New Roman" w:eastAsia="宋体" w:hAnsi="Times New Roman" w:cs="Times New Roman" w:hint="eastAsia"/>
          <w:bCs/>
          <w:color w:val="000000" w:themeColor="text1"/>
          <w:sz w:val="21"/>
          <w:szCs w:val="21"/>
          <w:shd w:val="clear" w:color="auto" w:fill="FFFFFF"/>
          <w:lang w:val="zh-TW"/>
        </w:rPr>
        <w:t>及以上的变配电所应按本规范表</w:t>
      </w:r>
      <w:r w:rsidRPr="00687B52">
        <w:rPr>
          <w:rFonts w:ascii="Times New Roman" w:eastAsia="宋体" w:hAnsi="Times New Roman" w:cs="Times New Roman" w:hint="eastAsia"/>
          <w:bCs/>
          <w:color w:val="000000" w:themeColor="text1"/>
          <w:sz w:val="21"/>
          <w:szCs w:val="21"/>
          <w:shd w:val="clear" w:color="auto" w:fill="FFFFFF"/>
          <w:lang w:val="zh-TW"/>
        </w:rPr>
        <w:t>5.2.1</w:t>
      </w:r>
      <w:r w:rsidRPr="00687B52">
        <w:rPr>
          <w:rFonts w:ascii="Times New Roman" w:eastAsia="宋体" w:hAnsi="Times New Roman" w:cs="Times New Roman" w:hint="eastAsia"/>
          <w:bCs/>
          <w:color w:val="000000" w:themeColor="text1"/>
          <w:sz w:val="21"/>
          <w:szCs w:val="21"/>
          <w:shd w:val="clear" w:color="auto" w:fill="FFFFFF"/>
          <w:lang w:val="zh-TW"/>
        </w:rPr>
        <w:t>的规定执行。</w:t>
      </w:r>
    </w:p>
    <w:p w:rsidR="00C2311F" w:rsidRPr="00687B52" w:rsidRDefault="00C2311F" w:rsidP="00FA2850">
      <w:pPr>
        <w:pStyle w:val="110"/>
        <w:shd w:val="clear" w:color="auto" w:fill="auto"/>
        <w:spacing w:before="0" w:line="240" w:lineRule="auto"/>
        <w:ind w:firstLineChars="200" w:firstLine="42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 xml:space="preserve">5 </w:t>
      </w:r>
      <w:r w:rsidRPr="00687B52">
        <w:rPr>
          <w:rFonts w:ascii="Times New Roman" w:eastAsia="宋体" w:hAnsi="Times New Roman" w:cs="Times New Roman" w:hint="eastAsia"/>
          <w:bCs/>
          <w:color w:val="000000" w:themeColor="text1"/>
          <w:sz w:val="21"/>
          <w:szCs w:val="21"/>
          <w:shd w:val="clear" w:color="auto" w:fill="FFFFFF"/>
          <w:lang w:val="zh-TW"/>
        </w:rPr>
        <w:t>辅助生产厂房系指发电机房及使用非防爆电气的厂房和设施，如：站内的维修间、化验间、工具间、供注水泵房、办公室、会议室、仪表控制间、药剂泵房、掺水泵房及掺水计量间、注汽设备、库房、空压机房、循环水泵房、空冷装置、污水泵房、卸药台等。</w:t>
      </w:r>
    </w:p>
    <w:p w:rsidR="00C2311F" w:rsidRPr="00687B52" w:rsidRDefault="00C2311F" w:rsidP="00FA2850">
      <w:pPr>
        <w:pStyle w:val="110"/>
        <w:shd w:val="clear" w:color="auto" w:fill="auto"/>
        <w:spacing w:before="0" w:line="240" w:lineRule="auto"/>
        <w:ind w:firstLineChars="200" w:firstLine="42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 xml:space="preserve">6 </w:t>
      </w:r>
      <w:r w:rsidRPr="00687B52">
        <w:rPr>
          <w:rFonts w:ascii="Times New Roman" w:eastAsia="宋体" w:hAnsi="Times New Roman" w:cs="Times New Roman" w:hint="eastAsia"/>
          <w:bCs/>
          <w:color w:val="000000" w:themeColor="text1"/>
          <w:sz w:val="21"/>
          <w:szCs w:val="21"/>
          <w:shd w:val="clear" w:color="auto" w:fill="FFFFFF"/>
          <w:lang w:val="zh-TW"/>
        </w:rPr>
        <w:t>计量仪表间系指油气井分井计量用计量仪表间。</w:t>
      </w:r>
    </w:p>
    <w:p w:rsidR="00C2311F" w:rsidRPr="00687B52" w:rsidRDefault="00C2311F" w:rsidP="00FA2850">
      <w:pPr>
        <w:pStyle w:val="110"/>
        <w:shd w:val="clear" w:color="auto" w:fill="auto"/>
        <w:spacing w:before="0" w:line="240" w:lineRule="auto"/>
        <w:ind w:firstLineChars="200" w:firstLine="42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7</w:t>
      </w:r>
      <w:r w:rsidRPr="00687B52">
        <w:rPr>
          <w:rFonts w:ascii="Times New Roman" w:eastAsia="宋体" w:hAnsi="Times New Roman" w:cs="Times New Roman" w:hint="eastAsia"/>
          <w:bCs/>
          <w:color w:val="000000" w:themeColor="text1"/>
          <w:sz w:val="21"/>
          <w:szCs w:val="21"/>
          <w:shd w:val="clear" w:color="auto" w:fill="FFFFFF"/>
          <w:lang w:val="zh-TW"/>
        </w:rPr>
        <w:t>缓冲罐与泵，零位罐与泵，除油池与污油提升泵，压缩机与其直接相关的附属设备，泵与密封漏油回收容器的防火间距不限。</w:t>
      </w:r>
    </w:p>
    <w:p w:rsidR="00C2311F" w:rsidRPr="00687B52" w:rsidRDefault="00C2311F" w:rsidP="00FA2850">
      <w:pPr>
        <w:pStyle w:val="110"/>
        <w:shd w:val="clear" w:color="auto" w:fill="auto"/>
        <w:spacing w:before="0" w:line="240" w:lineRule="auto"/>
        <w:ind w:firstLineChars="200" w:firstLine="42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 xml:space="preserve">8 </w:t>
      </w:r>
      <w:r w:rsidRPr="00687B52">
        <w:rPr>
          <w:rFonts w:ascii="Times New Roman" w:eastAsia="宋体" w:hAnsi="Times New Roman" w:cs="Times New Roman" w:hint="eastAsia"/>
          <w:bCs/>
          <w:color w:val="000000" w:themeColor="text1"/>
          <w:sz w:val="21"/>
          <w:szCs w:val="21"/>
          <w:shd w:val="clear" w:color="auto" w:fill="FFFFFF"/>
          <w:lang w:val="zh-TW"/>
        </w:rPr>
        <w:t>表中数字分子表示甲</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A</w:t>
      </w:r>
      <w:r w:rsidRPr="00687B52">
        <w:rPr>
          <w:rFonts w:ascii="Times New Roman" w:eastAsia="宋体" w:hAnsi="Times New Roman" w:cs="Times New Roman" w:hint="eastAsia"/>
          <w:bCs/>
          <w:color w:val="000000" w:themeColor="text1"/>
          <w:sz w:val="21"/>
          <w:szCs w:val="21"/>
          <w:shd w:val="clear" w:color="auto" w:fill="FFFFFF"/>
          <w:lang w:val="zh-TW"/>
        </w:rPr>
        <w:t>类，分母表示甲</w:t>
      </w:r>
      <w:r w:rsidRPr="00687B52">
        <w:rPr>
          <w:rFonts w:ascii="Times New Roman" w:eastAsia="宋体" w:hAnsi="Times New Roman" w:cs="Times New Roman" w:hint="eastAsia"/>
          <w:bCs/>
          <w:color w:val="000000" w:themeColor="text1"/>
          <w:sz w:val="21"/>
          <w:szCs w:val="21"/>
          <w:shd w:val="clear" w:color="auto" w:fill="FFFFFF"/>
          <w:vertAlign w:val="subscript"/>
          <w:lang w:val="zh-TW"/>
        </w:rPr>
        <w:t>B</w:t>
      </w:r>
      <w:r w:rsidRPr="00687B52">
        <w:rPr>
          <w:rFonts w:ascii="Times New Roman" w:eastAsia="宋体" w:hAnsi="Times New Roman" w:cs="Times New Roman" w:hint="eastAsia"/>
          <w:bCs/>
          <w:color w:val="000000" w:themeColor="text1"/>
          <w:sz w:val="21"/>
          <w:szCs w:val="21"/>
          <w:shd w:val="clear" w:color="auto" w:fill="FFFFFF"/>
          <w:lang w:val="zh-TW"/>
        </w:rPr>
        <w:t>、乙类设施的防火间距。</w:t>
      </w:r>
    </w:p>
    <w:p w:rsidR="00C2311F" w:rsidRPr="00687B52" w:rsidRDefault="00C2311F" w:rsidP="00FA2850">
      <w:pPr>
        <w:pStyle w:val="110"/>
        <w:shd w:val="clear" w:color="auto" w:fill="auto"/>
        <w:spacing w:before="0" w:line="240" w:lineRule="auto"/>
        <w:ind w:firstLineChars="200" w:firstLine="42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9</w:t>
      </w:r>
      <w:r w:rsidRPr="00687B52">
        <w:rPr>
          <w:rFonts w:ascii="Times New Roman" w:eastAsia="宋体" w:hAnsi="Times New Roman" w:cs="Times New Roman" w:hint="eastAsia"/>
          <w:bCs/>
          <w:color w:val="000000" w:themeColor="text1"/>
          <w:sz w:val="21"/>
          <w:szCs w:val="21"/>
          <w:shd w:val="clear" w:color="auto" w:fill="FFFFFF"/>
          <w:lang w:val="zh-TW"/>
        </w:rPr>
        <w:t>油田采出水处理设施内除油罐（沉降罐）、污油罐的防火间距（油气井除外）可按≤</w:t>
      </w:r>
      <w:r w:rsidRPr="00687B52">
        <w:rPr>
          <w:rFonts w:ascii="Times New Roman" w:eastAsia="宋体" w:hAnsi="Times New Roman" w:cs="Times New Roman" w:hint="eastAsia"/>
          <w:bCs/>
          <w:color w:val="000000" w:themeColor="text1"/>
          <w:sz w:val="21"/>
          <w:szCs w:val="21"/>
          <w:shd w:val="clear" w:color="auto" w:fill="FFFFFF"/>
          <w:lang w:val="zh-TW"/>
        </w:rPr>
        <w:t>500m</w:t>
      </w:r>
      <w:r w:rsidRPr="00687B52">
        <w:rPr>
          <w:rFonts w:ascii="Times New Roman" w:eastAsia="宋体" w:hAnsi="Times New Roman" w:cs="Times New Roman" w:hint="eastAsia"/>
          <w:bCs/>
          <w:color w:val="000000" w:themeColor="text1"/>
          <w:sz w:val="21"/>
          <w:szCs w:val="21"/>
          <w:shd w:val="clear" w:color="auto" w:fill="FFFFFF"/>
          <w:vertAlign w:val="superscript"/>
          <w:lang w:val="zh-TW"/>
        </w:rPr>
        <w:t>3</w:t>
      </w:r>
      <w:r w:rsidRPr="00687B52">
        <w:rPr>
          <w:rFonts w:ascii="Times New Roman" w:eastAsia="宋体" w:hAnsi="Times New Roman" w:cs="Times New Roman" w:hint="eastAsia"/>
          <w:bCs/>
          <w:color w:val="000000" w:themeColor="text1"/>
          <w:sz w:val="21"/>
          <w:szCs w:val="21"/>
          <w:shd w:val="clear" w:color="auto" w:fill="FFFFFF"/>
          <w:lang w:val="zh-TW"/>
        </w:rPr>
        <w:t>油罐及装卸车鹤管的间距减少</w:t>
      </w:r>
      <w:r w:rsidRPr="00687B52">
        <w:rPr>
          <w:rFonts w:ascii="Times New Roman" w:eastAsia="宋体" w:hAnsi="Times New Roman" w:cs="Times New Roman" w:hint="eastAsia"/>
          <w:bCs/>
          <w:color w:val="000000" w:themeColor="text1"/>
          <w:sz w:val="21"/>
          <w:szCs w:val="21"/>
          <w:shd w:val="clear" w:color="auto" w:fill="FFFFFF"/>
          <w:lang w:val="zh-TW"/>
        </w:rPr>
        <w:t>25%</w:t>
      </w:r>
      <w:r w:rsidRPr="00687B52">
        <w:rPr>
          <w:rFonts w:ascii="Times New Roman" w:eastAsia="宋体" w:hAnsi="Times New Roman" w:cs="Times New Roman" w:hint="eastAsia"/>
          <w:bCs/>
          <w:color w:val="000000" w:themeColor="text1"/>
          <w:sz w:val="21"/>
          <w:szCs w:val="21"/>
          <w:shd w:val="clear" w:color="auto" w:fill="FFFFFF"/>
          <w:lang w:val="zh-TW"/>
        </w:rPr>
        <w:t>，污油泵（或泵房）的防火间距可按油泵及油泵房间距减少</w:t>
      </w:r>
      <w:r w:rsidRPr="00687B52">
        <w:rPr>
          <w:rFonts w:ascii="Times New Roman" w:eastAsia="宋体" w:hAnsi="Times New Roman" w:cs="Times New Roman" w:hint="eastAsia"/>
          <w:bCs/>
          <w:color w:val="000000" w:themeColor="text1"/>
          <w:sz w:val="21"/>
          <w:szCs w:val="21"/>
          <w:shd w:val="clear" w:color="auto" w:fill="FFFFFF"/>
          <w:lang w:val="zh-TW"/>
        </w:rPr>
        <w:t>25%</w:t>
      </w:r>
      <w:r w:rsidRPr="00687B52">
        <w:rPr>
          <w:rFonts w:ascii="Times New Roman" w:eastAsia="宋体" w:hAnsi="Times New Roman" w:cs="Times New Roman" w:hint="eastAsia"/>
          <w:bCs/>
          <w:color w:val="000000" w:themeColor="text1"/>
          <w:sz w:val="21"/>
          <w:szCs w:val="21"/>
          <w:shd w:val="clear" w:color="auto" w:fill="FFFFFF"/>
          <w:lang w:val="zh-TW"/>
        </w:rPr>
        <w:t>，但不应小于</w:t>
      </w:r>
      <w:r w:rsidRPr="00687B52">
        <w:rPr>
          <w:rFonts w:ascii="Times New Roman" w:eastAsia="宋体" w:hAnsi="Times New Roman" w:cs="Times New Roman" w:hint="eastAsia"/>
          <w:bCs/>
          <w:color w:val="000000" w:themeColor="text1"/>
          <w:sz w:val="21"/>
          <w:szCs w:val="21"/>
          <w:shd w:val="clear" w:color="auto" w:fill="FFFFFF"/>
          <w:lang w:val="zh-TW"/>
        </w:rPr>
        <w:t>9m</w:t>
      </w:r>
      <w:r w:rsidRPr="00687B52">
        <w:rPr>
          <w:rFonts w:ascii="Times New Roman" w:eastAsia="宋体" w:hAnsi="Times New Roman" w:cs="Times New Roman" w:hint="eastAsia"/>
          <w:bCs/>
          <w:color w:val="000000" w:themeColor="text1"/>
          <w:sz w:val="21"/>
          <w:szCs w:val="21"/>
          <w:shd w:val="clear" w:color="auto" w:fill="FFFFFF"/>
          <w:lang w:val="zh-TW"/>
        </w:rPr>
        <w:t>。</w:t>
      </w:r>
    </w:p>
    <w:p w:rsidR="00C2311F" w:rsidRPr="00687B52" w:rsidRDefault="00C2311F" w:rsidP="00FA2850">
      <w:pPr>
        <w:pStyle w:val="110"/>
        <w:shd w:val="clear" w:color="auto" w:fill="auto"/>
        <w:spacing w:before="0" w:line="240" w:lineRule="auto"/>
        <w:ind w:firstLineChars="200" w:firstLine="420"/>
        <w:jc w:val="left"/>
        <w:rPr>
          <w:rFonts w:ascii="Times New Roman" w:eastAsia="宋体" w:hAnsi="Times New Roman" w:cs="Times New Roman"/>
          <w:bCs/>
          <w:color w:val="000000" w:themeColor="text1"/>
          <w:sz w:val="21"/>
          <w:szCs w:val="21"/>
          <w:shd w:val="clear" w:color="auto" w:fill="FFFFFF"/>
          <w:lang w:val="zh-TW"/>
        </w:rPr>
      </w:pPr>
      <w:r w:rsidRPr="00687B52">
        <w:rPr>
          <w:rFonts w:ascii="Times New Roman" w:eastAsia="宋体" w:hAnsi="Times New Roman" w:cs="Times New Roman" w:hint="eastAsia"/>
          <w:bCs/>
          <w:color w:val="000000" w:themeColor="text1"/>
          <w:sz w:val="21"/>
          <w:szCs w:val="21"/>
          <w:shd w:val="clear" w:color="auto" w:fill="FFFFFF"/>
          <w:lang w:val="zh-TW"/>
        </w:rPr>
        <w:t xml:space="preserve">10 </w:t>
      </w:r>
      <w:r w:rsidRPr="00687B52">
        <w:rPr>
          <w:rFonts w:ascii="Times New Roman" w:eastAsia="宋体" w:hAnsi="Times New Roman" w:cs="Times New Roman" w:hint="eastAsia"/>
          <w:bCs/>
          <w:color w:val="000000" w:themeColor="text1"/>
          <w:sz w:val="21"/>
          <w:szCs w:val="21"/>
          <w:shd w:val="clear" w:color="auto" w:fill="FFFFFF"/>
          <w:lang w:val="zh-TW"/>
        </w:rPr>
        <w:t>表中“—”表示设施之间的防火间距应符合现行国家标准《建筑设计防火规范》的规定或设施间距只需满足安装、操作及维修要求；表中“</w:t>
      </w:r>
      <w:r w:rsidRPr="00687B52">
        <w:rPr>
          <w:rFonts w:ascii="Times New Roman" w:eastAsia="宋体" w:hAnsi="Times New Roman" w:cs="Times New Roman" w:hint="eastAsia"/>
          <w:bCs/>
          <w:color w:val="000000" w:themeColor="text1"/>
          <w:sz w:val="21"/>
          <w:szCs w:val="21"/>
          <w:shd w:val="clear" w:color="auto" w:fill="FFFFFF"/>
          <w:lang w:val="zh-TW"/>
        </w:rPr>
        <w:t>*</w:t>
      </w:r>
      <w:r w:rsidRPr="00687B52">
        <w:rPr>
          <w:rFonts w:ascii="Times New Roman" w:eastAsia="宋体" w:hAnsi="Times New Roman" w:cs="Times New Roman" w:hint="eastAsia"/>
          <w:bCs/>
          <w:color w:val="000000" w:themeColor="text1"/>
          <w:sz w:val="21"/>
          <w:szCs w:val="21"/>
          <w:shd w:val="clear" w:color="auto" w:fill="FFFFFF"/>
          <w:lang w:val="zh-TW"/>
        </w:rPr>
        <w:t>”表示本规范未涉及的内容。</w:t>
      </w:r>
    </w:p>
    <w:p w:rsidR="00481EDB" w:rsidRPr="00687B52" w:rsidRDefault="00481EDB" w:rsidP="00481EDB">
      <w:pPr>
        <w:widowControl/>
        <w:jc w:val="left"/>
        <w:rPr>
          <w:rFonts w:ascii="宋体" w:eastAsia="宋体" w:hAnsi="宋体" w:cs="宋体"/>
          <w:color w:val="000000" w:themeColor="text1"/>
          <w:kern w:val="0"/>
          <w:sz w:val="24"/>
          <w:szCs w:val="24"/>
        </w:rPr>
      </w:pPr>
    </w:p>
    <w:p w:rsidR="00481EDB" w:rsidRPr="00687B52" w:rsidRDefault="00481EDB" w:rsidP="00481EDB">
      <w:pPr>
        <w:widowControl/>
        <w:jc w:val="left"/>
        <w:rPr>
          <w:rFonts w:ascii="宋体" w:eastAsia="宋体" w:hAnsi="宋体" w:cs="宋体"/>
          <w:color w:val="000000" w:themeColor="text1"/>
          <w:kern w:val="0"/>
          <w:sz w:val="24"/>
          <w:szCs w:val="24"/>
        </w:rPr>
      </w:pPr>
    </w:p>
    <w:p w:rsidR="00481EDB" w:rsidRPr="00687B52" w:rsidRDefault="00481EDB" w:rsidP="00481EDB">
      <w:pPr>
        <w:widowControl/>
        <w:jc w:val="left"/>
        <w:rPr>
          <w:rFonts w:ascii="宋体" w:eastAsia="宋体" w:hAnsi="宋体" w:cs="宋体"/>
          <w:color w:val="000000" w:themeColor="text1"/>
          <w:kern w:val="0"/>
          <w:sz w:val="24"/>
          <w:szCs w:val="24"/>
        </w:rPr>
      </w:pPr>
    </w:p>
    <w:p w:rsidR="00481EDB" w:rsidRPr="00687B52" w:rsidRDefault="00481EDB" w:rsidP="00481EDB">
      <w:pPr>
        <w:widowControl/>
        <w:jc w:val="left"/>
        <w:rPr>
          <w:rFonts w:ascii="宋体" w:eastAsia="宋体" w:hAnsi="宋体" w:cs="宋体"/>
          <w:color w:val="000000" w:themeColor="text1"/>
          <w:kern w:val="0"/>
          <w:sz w:val="24"/>
          <w:szCs w:val="24"/>
        </w:rPr>
      </w:pPr>
    </w:p>
    <w:p w:rsidR="00481EDB" w:rsidRPr="00687B52" w:rsidRDefault="00481EDB" w:rsidP="00481EDB">
      <w:pPr>
        <w:widowControl/>
        <w:jc w:val="left"/>
        <w:rPr>
          <w:rFonts w:ascii="宋体" w:eastAsia="宋体" w:hAnsi="宋体" w:cs="宋体"/>
          <w:color w:val="000000" w:themeColor="text1"/>
          <w:kern w:val="0"/>
          <w:sz w:val="24"/>
          <w:szCs w:val="24"/>
        </w:rPr>
      </w:pPr>
    </w:p>
    <w:p w:rsidR="00481EDB" w:rsidRPr="00687B52" w:rsidRDefault="00481EDB" w:rsidP="00481EDB">
      <w:pPr>
        <w:widowControl/>
        <w:jc w:val="left"/>
        <w:rPr>
          <w:rFonts w:ascii="宋体" w:eastAsia="宋体" w:hAnsi="宋体" w:cs="宋体"/>
          <w:color w:val="000000" w:themeColor="text1"/>
          <w:kern w:val="0"/>
          <w:sz w:val="24"/>
          <w:szCs w:val="24"/>
        </w:rPr>
      </w:pPr>
    </w:p>
    <w:p w:rsidR="00481EDB" w:rsidRPr="00687B52" w:rsidRDefault="00481EDB" w:rsidP="00481EDB">
      <w:pPr>
        <w:widowControl/>
        <w:jc w:val="left"/>
        <w:rPr>
          <w:rFonts w:ascii="宋体" w:eastAsia="宋体" w:hAnsi="宋体" w:cs="宋体"/>
          <w:color w:val="000000" w:themeColor="text1"/>
          <w:kern w:val="0"/>
          <w:sz w:val="24"/>
          <w:szCs w:val="24"/>
        </w:rPr>
      </w:pPr>
    </w:p>
    <w:p w:rsidR="00481EDB" w:rsidRPr="00687B52" w:rsidRDefault="00481EDB" w:rsidP="00481EDB">
      <w:pPr>
        <w:widowControl/>
        <w:jc w:val="left"/>
        <w:rPr>
          <w:rFonts w:ascii="宋体" w:eastAsia="宋体" w:hAnsi="宋体" w:cs="宋体"/>
          <w:color w:val="000000" w:themeColor="text1"/>
          <w:kern w:val="0"/>
          <w:sz w:val="24"/>
          <w:szCs w:val="24"/>
        </w:rPr>
      </w:pPr>
    </w:p>
    <w:p w:rsidR="00481EDB" w:rsidRPr="00687B52" w:rsidRDefault="00481EDB" w:rsidP="00763863">
      <w:pPr>
        <w:pStyle w:val="aff2"/>
        <w:ind w:firstLine="562"/>
        <w:rPr>
          <w:color w:val="000000" w:themeColor="text1"/>
        </w:rPr>
      </w:pPr>
      <w:bookmarkStart w:id="300" w:name="_Toc491870846"/>
      <w:bookmarkStart w:id="301" w:name="_Toc492555587"/>
      <w:bookmarkStart w:id="302" w:name="_Toc492557270"/>
      <w:bookmarkStart w:id="303" w:name="_Toc492557340"/>
      <w:bookmarkStart w:id="304" w:name="_Toc492557600"/>
      <w:bookmarkStart w:id="305" w:name="_Toc492557969"/>
      <w:bookmarkStart w:id="306" w:name="_Toc492559542"/>
      <w:bookmarkStart w:id="307" w:name="_Toc492563500"/>
      <w:bookmarkStart w:id="308" w:name="_Toc492564089"/>
      <w:bookmarkStart w:id="309" w:name="_Toc492634922"/>
      <w:bookmarkStart w:id="310" w:name="_Toc493857102"/>
      <w:r w:rsidRPr="00687B52">
        <w:rPr>
          <w:rFonts w:hint="eastAsia"/>
          <w:color w:val="000000" w:themeColor="text1"/>
        </w:rPr>
        <w:t>附</w:t>
      </w:r>
      <w:r w:rsidR="00963ECA" w:rsidRPr="00687B52">
        <w:rPr>
          <w:rFonts w:hint="eastAsia"/>
          <w:color w:val="000000" w:themeColor="text1"/>
        </w:rPr>
        <w:t>2</w:t>
      </w:r>
      <w:r w:rsidRPr="00687B52">
        <w:rPr>
          <w:rFonts w:hint="eastAsia"/>
          <w:color w:val="000000" w:themeColor="text1"/>
        </w:rPr>
        <w:t>.</w:t>
      </w:r>
      <w:r w:rsidR="00963ECA" w:rsidRPr="00687B52">
        <w:rPr>
          <w:rFonts w:hint="eastAsia"/>
          <w:color w:val="000000" w:themeColor="text1"/>
        </w:rPr>
        <w:t>10</w:t>
      </w:r>
      <w:r w:rsidRPr="00687B52">
        <w:rPr>
          <w:rFonts w:hint="eastAsia"/>
          <w:color w:val="000000" w:themeColor="text1"/>
        </w:rPr>
        <w:t>《氢气站设计规范》</w:t>
      </w:r>
      <w:r w:rsidRPr="00687B52">
        <w:rPr>
          <w:rFonts w:hint="eastAsia"/>
          <w:color w:val="000000" w:themeColor="text1"/>
        </w:rPr>
        <w:t>GB50177-2005</w:t>
      </w:r>
      <w:r w:rsidRPr="00687B52">
        <w:rPr>
          <w:rFonts w:hint="eastAsia"/>
          <w:color w:val="000000" w:themeColor="text1"/>
        </w:rPr>
        <w:t>有关要求</w:t>
      </w:r>
      <w:bookmarkEnd w:id="300"/>
      <w:bookmarkEnd w:id="301"/>
      <w:bookmarkEnd w:id="302"/>
      <w:bookmarkEnd w:id="303"/>
      <w:bookmarkEnd w:id="304"/>
      <w:bookmarkEnd w:id="305"/>
      <w:bookmarkEnd w:id="306"/>
      <w:bookmarkEnd w:id="307"/>
      <w:bookmarkEnd w:id="308"/>
      <w:bookmarkEnd w:id="309"/>
      <w:bookmarkEnd w:id="310"/>
    </w:p>
    <w:p w:rsidR="00481EDB" w:rsidRPr="00687B52" w:rsidRDefault="00481EDB" w:rsidP="00660585">
      <w:pPr>
        <w:pStyle w:val="ae"/>
        <w:ind w:firstLine="437"/>
        <w:jc w:val="both"/>
        <w:rPr>
          <w:rFonts w:ascii="宋体" w:hAnsi="宋体"/>
          <w:b/>
          <w:color w:val="000000" w:themeColor="text1"/>
          <w:w w:val="90"/>
          <w:sz w:val="24"/>
        </w:rPr>
      </w:pPr>
      <w:bookmarkStart w:id="311" w:name="_Toc491870847"/>
      <w:bookmarkStart w:id="312" w:name="_Toc492563501"/>
      <w:r w:rsidRPr="00687B52">
        <w:rPr>
          <w:rFonts w:ascii="宋体" w:hAnsi="宋体" w:hint="eastAsia"/>
          <w:b/>
          <w:color w:val="000000" w:themeColor="text1"/>
          <w:w w:val="90"/>
          <w:sz w:val="24"/>
        </w:rPr>
        <w:t>附录A氢气站爆炸危险区域的等级范围划分</w:t>
      </w:r>
      <w:bookmarkEnd w:id="311"/>
      <w:bookmarkEnd w:id="312"/>
    </w:p>
    <w:p w:rsidR="00481EDB" w:rsidRPr="00687B52" w:rsidRDefault="00481EDB" w:rsidP="00963ECA">
      <w:pPr>
        <w:pStyle w:val="ae"/>
        <w:ind w:firstLine="437"/>
        <w:jc w:val="both"/>
        <w:rPr>
          <w:color w:val="000000" w:themeColor="text1"/>
          <w:sz w:val="24"/>
        </w:rPr>
      </w:pPr>
      <w:r w:rsidRPr="00687B52">
        <w:rPr>
          <w:rFonts w:ascii="宋体" w:hAnsi="宋体" w:hint="eastAsia"/>
          <w:b/>
          <w:color w:val="000000" w:themeColor="text1"/>
          <w:w w:val="90"/>
          <w:sz w:val="24"/>
        </w:rPr>
        <w:t>A．0．2  氢气站厂房内爆炸危险区域的划分，应符合下列规定(图A．0．2)：</w:t>
      </w:r>
    </w:p>
    <w:p w:rsidR="00481EDB" w:rsidRPr="00687B52" w:rsidRDefault="00481EDB" w:rsidP="00F25ED0">
      <w:pPr>
        <w:pStyle w:val="11"/>
        <w:adjustRightInd w:val="0"/>
        <w:snapToGrid w:val="0"/>
        <w:spacing w:afterLines="50" w:after="156"/>
        <w:ind w:firstLineChars="0" w:firstLine="0"/>
        <w:jc w:val="center"/>
        <w:rPr>
          <w:rFonts w:ascii="宋体" w:hAnsi="宋体"/>
          <w:b/>
          <w:color w:val="000000" w:themeColor="text1"/>
          <w:w w:val="90"/>
          <w:sz w:val="28"/>
          <w:szCs w:val="28"/>
        </w:rPr>
      </w:pPr>
      <w:r w:rsidRPr="00687B52">
        <w:rPr>
          <w:noProof/>
          <w:color w:val="000000" w:themeColor="text1"/>
        </w:rPr>
        <w:drawing>
          <wp:inline distT="0" distB="0" distL="114300" distR="114300">
            <wp:extent cx="7315200" cy="4439257"/>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3" cstate="print"/>
                    <a:stretch>
                      <a:fillRect/>
                    </a:stretch>
                  </pic:blipFill>
                  <pic:spPr>
                    <a:xfrm>
                      <a:off x="0" y="0"/>
                      <a:ext cx="7314506" cy="4438836"/>
                    </a:xfrm>
                    <a:prstGeom prst="rect">
                      <a:avLst/>
                    </a:prstGeom>
                    <a:noFill/>
                    <a:ln w="9525">
                      <a:noFill/>
                    </a:ln>
                  </pic:spPr>
                </pic:pic>
              </a:graphicData>
            </a:graphic>
          </wp:inline>
        </w:drawing>
      </w:r>
    </w:p>
    <w:p w:rsidR="00481EDB" w:rsidRPr="00687B52" w:rsidRDefault="00C06454" w:rsidP="00A035E5">
      <w:pPr>
        <w:pStyle w:val="afd"/>
        <w:rPr>
          <w:color w:val="000000" w:themeColor="text1"/>
        </w:rPr>
      </w:pPr>
      <w:bookmarkStart w:id="313" w:name="_Toc493857103"/>
      <w:r w:rsidRPr="00687B52">
        <w:rPr>
          <w:rFonts w:hint="eastAsia"/>
          <w:color w:val="000000" w:themeColor="text1"/>
        </w:rPr>
        <w:t>图</w:t>
      </w:r>
      <w:r w:rsidRPr="00687B52">
        <w:rPr>
          <w:rFonts w:hint="eastAsia"/>
          <w:color w:val="000000" w:themeColor="text1"/>
        </w:rPr>
        <w:t xml:space="preserve">A.0.2 </w:t>
      </w:r>
      <w:r w:rsidRPr="00687B52">
        <w:rPr>
          <w:rFonts w:hint="eastAsia"/>
          <w:color w:val="000000" w:themeColor="text1"/>
        </w:rPr>
        <w:t>氢气站厂房内爆炸危险区域划分</w:t>
      </w:r>
      <w:bookmarkEnd w:id="313"/>
    </w:p>
    <w:p w:rsidR="00481EDB" w:rsidRPr="00687B52" w:rsidRDefault="00481EDB" w:rsidP="00481EDB">
      <w:pPr>
        <w:widowControl/>
        <w:spacing w:before="100" w:beforeAutospacing="1" w:after="100" w:afterAutospacing="1" w:line="330" w:lineRule="atLeast"/>
        <w:jc w:val="left"/>
        <w:rPr>
          <w:rFonts w:ascii="宋体" w:hAnsi="宋体" w:cs="宋体"/>
          <w:color w:val="000000" w:themeColor="text1"/>
          <w:kern w:val="0"/>
          <w:sz w:val="24"/>
          <w:szCs w:val="24"/>
        </w:rPr>
      </w:pPr>
      <w:r w:rsidRPr="00687B52">
        <w:rPr>
          <w:rFonts w:ascii="宋体" w:eastAsia="宋体" w:hAnsi="宋体" w:hint="eastAsia"/>
          <w:b/>
          <w:color w:val="000000" w:themeColor="text1"/>
          <w:w w:val="90"/>
          <w:sz w:val="24"/>
          <w:szCs w:val="24"/>
        </w:rPr>
        <w:t>A．O．3 氢气站内的室外制氢设备、氢气罐爆炸危险区域划分，应符合下列规定(图A．0．3)：</w:t>
      </w:r>
    </w:p>
    <w:p w:rsidR="00481EDB" w:rsidRPr="00687B52" w:rsidRDefault="00481EDB" w:rsidP="00F25ED0">
      <w:pPr>
        <w:pStyle w:val="11"/>
        <w:adjustRightInd w:val="0"/>
        <w:snapToGrid w:val="0"/>
        <w:spacing w:afterLines="50" w:after="156"/>
        <w:ind w:firstLineChars="0" w:firstLine="0"/>
        <w:jc w:val="center"/>
        <w:rPr>
          <w:rFonts w:ascii="宋体" w:hAnsi="宋体" w:cs="宋体"/>
          <w:color w:val="000000" w:themeColor="text1"/>
          <w:kern w:val="0"/>
          <w:sz w:val="22"/>
        </w:rPr>
      </w:pPr>
      <w:r w:rsidRPr="00687B52">
        <w:rPr>
          <w:rFonts w:ascii="宋体" w:hAnsi="宋体" w:cs="宋体"/>
          <w:noProof/>
          <w:color w:val="000000" w:themeColor="text1"/>
          <w:kern w:val="0"/>
          <w:sz w:val="22"/>
        </w:rPr>
        <w:drawing>
          <wp:inline distT="0" distB="0" distL="114300" distR="114300">
            <wp:extent cx="6010910" cy="3741420"/>
            <wp:effectExtent l="0" t="0" r="8890" b="11430"/>
            <wp:docPr id="19" name="图片 19" descr="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a"/>
                    <pic:cNvPicPr>
                      <a:picLocks noChangeAspect="1"/>
                    </pic:cNvPicPr>
                  </pic:nvPicPr>
                  <pic:blipFill>
                    <a:blip r:embed="rId124" cstate="print"/>
                    <a:stretch>
                      <a:fillRect/>
                    </a:stretch>
                  </pic:blipFill>
                  <pic:spPr>
                    <a:xfrm>
                      <a:off x="0" y="0"/>
                      <a:ext cx="6010910" cy="3741420"/>
                    </a:xfrm>
                    <a:prstGeom prst="rect">
                      <a:avLst/>
                    </a:prstGeom>
                    <a:noFill/>
                    <a:ln w="9525">
                      <a:noFill/>
                    </a:ln>
                  </pic:spPr>
                </pic:pic>
              </a:graphicData>
            </a:graphic>
          </wp:inline>
        </w:drawing>
      </w:r>
    </w:p>
    <w:p w:rsidR="00481EDB" w:rsidRPr="00687B52" w:rsidRDefault="00481EDB" w:rsidP="00481EDB">
      <w:pPr>
        <w:widowControl/>
        <w:spacing w:before="100" w:beforeAutospacing="1" w:after="100" w:afterAutospacing="1" w:line="330" w:lineRule="atLeast"/>
        <w:jc w:val="left"/>
        <w:rPr>
          <w:rFonts w:ascii="宋体" w:eastAsia="宋体" w:hAnsi="宋体"/>
          <w:b/>
          <w:color w:val="000000" w:themeColor="text1"/>
          <w:w w:val="90"/>
          <w:sz w:val="28"/>
          <w:szCs w:val="28"/>
        </w:rPr>
      </w:pPr>
      <w:r w:rsidRPr="00687B52">
        <w:rPr>
          <w:rFonts w:ascii="宋体" w:hAnsi="宋体" w:cs="宋体"/>
          <w:color w:val="000000" w:themeColor="text1"/>
          <w:kern w:val="0"/>
          <w:sz w:val="22"/>
        </w:rPr>
        <w:t>1 从室外制氢设备、氢气罐的边沿计算，距离为4.5m，顶部距离为7.5m的空间区域为2区；</w:t>
      </w:r>
      <w:r w:rsidRPr="00687B52">
        <w:rPr>
          <w:rFonts w:ascii="宋体" w:hAnsi="宋体" w:cs="宋体"/>
          <w:color w:val="000000" w:themeColor="text1"/>
          <w:kern w:val="0"/>
          <w:sz w:val="22"/>
        </w:rPr>
        <w:br/>
        <w:t>2 从氢气排放口计算，半径为4.5m的空间和顶部距离为7.5m的区域为2区。</w:t>
      </w:r>
    </w:p>
    <w:p w:rsidR="00481EDB" w:rsidRPr="00687B52" w:rsidRDefault="00C06454" w:rsidP="00C06454">
      <w:pPr>
        <w:pStyle w:val="afd"/>
        <w:rPr>
          <w:color w:val="000000" w:themeColor="text1"/>
          <w:w w:val="90"/>
        </w:rPr>
      </w:pPr>
      <w:bookmarkStart w:id="314" w:name="_Toc493857104"/>
      <w:r w:rsidRPr="00687B52">
        <w:rPr>
          <w:rFonts w:hint="eastAsia"/>
          <w:color w:val="000000" w:themeColor="text1"/>
          <w:w w:val="90"/>
        </w:rPr>
        <w:t>图</w:t>
      </w:r>
      <w:r w:rsidRPr="00687B52">
        <w:rPr>
          <w:rFonts w:hint="eastAsia"/>
          <w:color w:val="000000" w:themeColor="text1"/>
          <w:w w:val="90"/>
        </w:rPr>
        <w:t xml:space="preserve">A.0.3 </w:t>
      </w:r>
      <w:r w:rsidRPr="00687B52">
        <w:rPr>
          <w:rFonts w:hint="eastAsia"/>
          <w:color w:val="000000" w:themeColor="text1"/>
          <w:w w:val="90"/>
        </w:rPr>
        <w:t>氢气站内的室外制氢设备、氢气罐爆炸危险区域划分</w:t>
      </w:r>
      <w:bookmarkEnd w:id="314"/>
    </w:p>
    <w:p w:rsidR="00481EDB" w:rsidRPr="00687B52" w:rsidRDefault="00481EDB" w:rsidP="00F25ED0">
      <w:pPr>
        <w:pStyle w:val="Style2"/>
        <w:adjustRightInd w:val="0"/>
        <w:snapToGrid w:val="0"/>
        <w:spacing w:afterLines="50" w:after="156"/>
        <w:ind w:firstLineChars="0" w:firstLine="0"/>
        <w:jc w:val="center"/>
        <w:rPr>
          <w:rFonts w:ascii="宋体" w:eastAsia="宋体" w:hAnsi="宋体"/>
          <w:b/>
          <w:color w:val="000000" w:themeColor="text1"/>
          <w:w w:val="90"/>
          <w:sz w:val="28"/>
          <w:szCs w:val="28"/>
        </w:rPr>
      </w:pPr>
    </w:p>
    <w:p w:rsidR="00481EDB" w:rsidRPr="00687B52" w:rsidRDefault="00481EDB" w:rsidP="00660585">
      <w:pPr>
        <w:widowControl/>
        <w:spacing w:before="100" w:beforeAutospacing="1" w:after="100" w:afterAutospacing="1" w:line="330" w:lineRule="atLeast"/>
        <w:jc w:val="left"/>
        <w:rPr>
          <w:rFonts w:ascii="宋体" w:eastAsia="宋体" w:hAnsi="宋体"/>
          <w:b/>
          <w:color w:val="000000" w:themeColor="text1"/>
          <w:w w:val="90"/>
          <w:sz w:val="24"/>
          <w:szCs w:val="24"/>
        </w:rPr>
      </w:pPr>
      <w:bookmarkStart w:id="315" w:name="_Toc491870848"/>
      <w:bookmarkStart w:id="316" w:name="_Toc492563502"/>
      <w:r w:rsidRPr="00687B52">
        <w:rPr>
          <w:rFonts w:ascii="宋体" w:eastAsia="宋体" w:hAnsi="宋体" w:hint="eastAsia"/>
          <w:b/>
          <w:color w:val="000000" w:themeColor="text1"/>
          <w:w w:val="90"/>
          <w:sz w:val="24"/>
          <w:szCs w:val="24"/>
        </w:rPr>
        <w:t>附录C  厂区架空氢气管道与建筑物、构筑物之间的最小净距</w:t>
      </w:r>
      <w:bookmarkEnd w:id="315"/>
      <w:bookmarkEnd w:id="316"/>
    </w:p>
    <w:p w:rsidR="00660585" w:rsidRPr="00687B52" w:rsidRDefault="00660585" w:rsidP="00660585">
      <w:pPr>
        <w:pStyle w:val="afd"/>
        <w:rPr>
          <w:color w:val="000000" w:themeColor="text1"/>
        </w:rPr>
      </w:pPr>
      <w:bookmarkStart w:id="317" w:name="_Toc493857105"/>
      <w:r w:rsidRPr="00687B52">
        <w:rPr>
          <w:rFonts w:hint="eastAsia"/>
          <w:color w:val="000000" w:themeColor="text1"/>
        </w:rPr>
        <w:t>表</w:t>
      </w:r>
      <w:r w:rsidRPr="00687B52">
        <w:rPr>
          <w:rFonts w:hint="eastAsia"/>
          <w:color w:val="000000" w:themeColor="text1"/>
        </w:rPr>
        <w:t xml:space="preserve">C </w:t>
      </w:r>
      <w:r w:rsidRPr="00687B52">
        <w:rPr>
          <w:rFonts w:hint="eastAsia"/>
          <w:color w:val="000000" w:themeColor="text1"/>
        </w:rPr>
        <w:t>厂区架空氢气管道与建筑物、构筑物之间的最小净距（</w:t>
      </w:r>
      <w:r w:rsidRPr="00687B52">
        <w:rPr>
          <w:rFonts w:hint="eastAsia"/>
          <w:color w:val="000000" w:themeColor="text1"/>
        </w:rPr>
        <w:t>m</w:t>
      </w:r>
      <w:r w:rsidRPr="00687B52">
        <w:rPr>
          <w:rFonts w:hint="eastAsia"/>
          <w:color w:val="000000" w:themeColor="text1"/>
        </w:rPr>
        <w:t>）</w:t>
      </w:r>
      <w:bookmarkEnd w:id="317"/>
    </w:p>
    <w:p w:rsidR="00660585" w:rsidRPr="00687B52" w:rsidRDefault="00660585" w:rsidP="00660585">
      <w:pPr>
        <w:widowControl/>
        <w:jc w:val="center"/>
        <w:rPr>
          <w:rFonts w:ascii="宋体" w:eastAsia="宋体" w:hAnsi="宋体" w:cs="宋体"/>
          <w:color w:val="000000" w:themeColor="text1"/>
          <w:kern w:val="0"/>
          <w:sz w:val="24"/>
          <w:szCs w:val="24"/>
        </w:rPr>
      </w:pPr>
      <w:r w:rsidRPr="00687B52">
        <w:rPr>
          <w:rFonts w:ascii="宋体" w:eastAsia="宋体" w:hAnsi="宋体" w:cs="宋体"/>
          <w:noProof/>
          <w:color w:val="000000" w:themeColor="text1"/>
          <w:kern w:val="0"/>
          <w:sz w:val="24"/>
          <w:szCs w:val="24"/>
        </w:rPr>
        <w:drawing>
          <wp:inline distT="0" distB="0" distL="0" distR="0">
            <wp:extent cx="5190903" cy="3692782"/>
            <wp:effectExtent l="19050" t="0" r="0" b="0"/>
            <wp:docPr id="37" name="图片 7" descr="C:\Users\Administrator\AppData\Roaming\Tencent\Users\312547442\QQ\WinTemp\RichOle\8DRH6)@`NOIHY7VA43YXV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312547442\QQ\WinTemp\RichOle\8DRH6)@`NOIHY7VA43YXVAG.png"/>
                    <pic:cNvPicPr>
                      <a:picLocks noChangeAspect="1" noChangeArrowheads="1"/>
                    </pic:cNvPicPr>
                  </pic:nvPicPr>
                  <pic:blipFill>
                    <a:blip r:embed="rId125"/>
                    <a:srcRect/>
                    <a:stretch>
                      <a:fillRect/>
                    </a:stretch>
                  </pic:blipFill>
                  <pic:spPr bwMode="auto">
                    <a:xfrm>
                      <a:off x="0" y="0"/>
                      <a:ext cx="5199701" cy="3699041"/>
                    </a:xfrm>
                    <a:prstGeom prst="rect">
                      <a:avLst/>
                    </a:prstGeom>
                    <a:noFill/>
                    <a:ln w="9525">
                      <a:noFill/>
                      <a:miter lim="800000"/>
                      <a:headEnd/>
                      <a:tailEnd/>
                    </a:ln>
                  </pic:spPr>
                </pic:pic>
              </a:graphicData>
            </a:graphic>
          </wp:inline>
        </w:drawing>
      </w:r>
    </w:p>
    <w:p w:rsidR="00481EDB" w:rsidRPr="00687B52" w:rsidRDefault="00481EDB" w:rsidP="00F25ED0">
      <w:pPr>
        <w:pStyle w:val="11"/>
        <w:adjustRightInd w:val="0"/>
        <w:snapToGrid w:val="0"/>
        <w:spacing w:afterLines="50" w:after="156"/>
        <w:ind w:firstLineChars="0" w:firstLine="0"/>
        <w:jc w:val="center"/>
        <w:rPr>
          <w:rFonts w:ascii="宋体" w:hAnsi="宋体"/>
          <w:b/>
          <w:color w:val="000000" w:themeColor="text1"/>
          <w:w w:val="90"/>
          <w:sz w:val="28"/>
          <w:szCs w:val="28"/>
        </w:rPr>
      </w:pPr>
    </w:p>
    <w:p w:rsidR="00481EDB" w:rsidRPr="00687B52" w:rsidRDefault="00481EDB" w:rsidP="00481EDB">
      <w:pPr>
        <w:pStyle w:val="af8"/>
        <w:jc w:val="both"/>
        <w:rPr>
          <w:rFonts w:cstheme="minorBidi"/>
          <w:b/>
          <w:color w:val="000000" w:themeColor="text1"/>
          <w:w w:val="90"/>
          <w:kern w:val="2"/>
          <w:sz w:val="28"/>
          <w:szCs w:val="28"/>
        </w:rPr>
      </w:pPr>
    </w:p>
    <w:p w:rsidR="00481EDB" w:rsidRPr="00687B52" w:rsidRDefault="00481EDB" w:rsidP="00481EDB">
      <w:pPr>
        <w:pStyle w:val="af8"/>
        <w:jc w:val="both"/>
        <w:rPr>
          <w:rFonts w:cstheme="minorBidi"/>
          <w:b/>
          <w:color w:val="000000" w:themeColor="text1"/>
          <w:w w:val="90"/>
          <w:kern w:val="2"/>
          <w:sz w:val="28"/>
          <w:szCs w:val="28"/>
        </w:rPr>
      </w:pPr>
    </w:p>
    <w:p w:rsidR="00481EDB" w:rsidRPr="00687B52" w:rsidRDefault="00481EDB" w:rsidP="00660585">
      <w:pPr>
        <w:widowControl/>
        <w:spacing w:before="100" w:beforeAutospacing="1" w:after="100" w:afterAutospacing="1" w:line="330" w:lineRule="atLeast"/>
        <w:jc w:val="left"/>
        <w:rPr>
          <w:rFonts w:ascii="宋体" w:eastAsia="宋体" w:hAnsi="宋体"/>
          <w:b/>
          <w:color w:val="000000" w:themeColor="text1"/>
          <w:w w:val="90"/>
          <w:sz w:val="24"/>
          <w:szCs w:val="24"/>
        </w:rPr>
      </w:pPr>
      <w:bookmarkStart w:id="318" w:name="_Toc491870849"/>
      <w:bookmarkStart w:id="319" w:name="_Toc492563503"/>
      <w:r w:rsidRPr="00687B52">
        <w:rPr>
          <w:rFonts w:ascii="宋体" w:eastAsia="宋体" w:hAnsi="宋体" w:hint="eastAsia"/>
          <w:b/>
          <w:color w:val="000000" w:themeColor="text1"/>
          <w:w w:val="90"/>
          <w:sz w:val="24"/>
          <w:szCs w:val="24"/>
        </w:rPr>
        <w:t>附录D 厂区直接埋地氢气管道与其他埋地管线</w:t>
      </w:r>
      <w:hyperlink r:id="rId126" w:tgtFrame="_blank" w:history="1">
        <w:r w:rsidRPr="00687B52">
          <w:rPr>
            <w:rFonts w:ascii="宋体" w:eastAsia="宋体" w:hAnsi="宋体" w:hint="eastAsia"/>
            <w:b/>
            <w:color w:val="000000" w:themeColor="text1"/>
            <w:w w:val="90"/>
            <w:sz w:val="24"/>
            <w:szCs w:val="24"/>
          </w:rPr>
          <w:t>建筑</w:t>
        </w:r>
      </w:hyperlink>
      <w:r w:rsidRPr="00687B52">
        <w:rPr>
          <w:rFonts w:ascii="宋体" w:eastAsia="宋体" w:hAnsi="宋体" w:hint="eastAsia"/>
          <w:b/>
          <w:color w:val="000000" w:themeColor="text1"/>
          <w:w w:val="90"/>
          <w:sz w:val="24"/>
          <w:szCs w:val="24"/>
        </w:rPr>
        <w:t>物之间最小净距</w:t>
      </w:r>
      <w:bookmarkEnd w:id="318"/>
      <w:bookmarkEnd w:id="319"/>
    </w:p>
    <w:p w:rsidR="00660585" w:rsidRPr="00687B52" w:rsidRDefault="00660585" w:rsidP="00660585">
      <w:pPr>
        <w:pStyle w:val="afd"/>
        <w:rPr>
          <w:color w:val="000000" w:themeColor="text1"/>
        </w:rPr>
      </w:pPr>
      <w:bookmarkStart w:id="320" w:name="_Toc493857106"/>
      <w:r w:rsidRPr="00687B52">
        <w:rPr>
          <w:rFonts w:hint="eastAsia"/>
          <w:color w:val="000000" w:themeColor="text1"/>
        </w:rPr>
        <w:t>表</w:t>
      </w:r>
      <w:r w:rsidRPr="00687B52">
        <w:rPr>
          <w:rFonts w:hint="eastAsia"/>
          <w:color w:val="000000" w:themeColor="text1"/>
        </w:rPr>
        <w:t xml:space="preserve">D </w:t>
      </w:r>
      <w:r w:rsidRPr="00687B52">
        <w:rPr>
          <w:rFonts w:hint="eastAsia"/>
          <w:color w:val="000000" w:themeColor="text1"/>
        </w:rPr>
        <w:t>厂区直接埋地氢气管道与其他埋地管线之间的最小净距（</w:t>
      </w:r>
      <w:r w:rsidRPr="00687B52">
        <w:rPr>
          <w:rFonts w:hint="eastAsia"/>
          <w:color w:val="000000" w:themeColor="text1"/>
        </w:rPr>
        <w:t>m</w:t>
      </w:r>
      <w:r w:rsidRPr="00687B52">
        <w:rPr>
          <w:rFonts w:hint="eastAsia"/>
          <w:color w:val="000000" w:themeColor="text1"/>
        </w:rPr>
        <w:t>）</w:t>
      </w:r>
      <w:bookmarkEnd w:id="320"/>
    </w:p>
    <w:p w:rsidR="00660585" w:rsidRPr="00687B52" w:rsidRDefault="00660585" w:rsidP="00660585">
      <w:pPr>
        <w:jc w:val="center"/>
        <w:rPr>
          <w:color w:val="000000" w:themeColor="text1"/>
        </w:rPr>
      </w:pPr>
      <w:bookmarkStart w:id="321" w:name="_Toc491870850"/>
      <w:r w:rsidRPr="00687B52">
        <w:rPr>
          <w:rFonts w:ascii="宋体" w:eastAsia="宋体" w:hAnsi="宋体" w:cs="宋体"/>
          <w:noProof/>
          <w:color w:val="000000" w:themeColor="text1"/>
          <w:kern w:val="0"/>
          <w:sz w:val="24"/>
          <w:szCs w:val="24"/>
        </w:rPr>
        <w:drawing>
          <wp:inline distT="0" distB="0" distL="0" distR="0">
            <wp:extent cx="5307861" cy="4444410"/>
            <wp:effectExtent l="19050" t="0" r="7089" b="0"/>
            <wp:docPr id="36" name="图片 5" descr="C:\Users\Administrator\AppData\Roaming\Tencent\Users\312547442\QQ\WinTemp\RichOle\Y9GAO6NF%G$%`WD[T`)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312547442\QQ\WinTemp\RichOle\Y9GAO6NF%G$%`WD[T`)E040.png"/>
                    <pic:cNvPicPr>
                      <a:picLocks noChangeAspect="1" noChangeArrowheads="1"/>
                    </pic:cNvPicPr>
                  </pic:nvPicPr>
                  <pic:blipFill>
                    <a:blip r:embed="rId127"/>
                    <a:srcRect/>
                    <a:stretch>
                      <a:fillRect/>
                    </a:stretch>
                  </pic:blipFill>
                  <pic:spPr bwMode="auto">
                    <a:xfrm>
                      <a:off x="0" y="0"/>
                      <a:ext cx="5312357" cy="4448175"/>
                    </a:xfrm>
                    <a:prstGeom prst="rect">
                      <a:avLst/>
                    </a:prstGeom>
                    <a:noFill/>
                    <a:ln w="9525">
                      <a:noFill/>
                      <a:miter lim="800000"/>
                      <a:headEnd/>
                      <a:tailEnd/>
                    </a:ln>
                  </pic:spPr>
                </pic:pic>
              </a:graphicData>
            </a:graphic>
          </wp:inline>
        </w:drawing>
      </w:r>
    </w:p>
    <w:p w:rsidR="00856B6C" w:rsidRPr="00687B52" w:rsidRDefault="00856B6C" w:rsidP="00856B6C">
      <w:pPr>
        <w:pStyle w:val="afd"/>
        <w:jc w:val="left"/>
        <w:rPr>
          <w:color w:val="000000" w:themeColor="text1"/>
        </w:rPr>
      </w:pPr>
    </w:p>
    <w:p w:rsidR="00481EDB" w:rsidRPr="00687B52" w:rsidRDefault="00481EDB" w:rsidP="00660585">
      <w:pPr>
        <w:widowControl/>
        <w:spacing w:before="100" w:beforeAutospacing="1" w:after="100" w:afterAutospacing="1" w:line="330" w:lineRule="atLeast"/>
        <w:jc w:val="left"/>
        <w:rPr>
          <w:rFonts w:ascii="宋体" w:eastAsia="宋体" w:hAnsi="宋体"/>
          <w:b/>
          <w:color w:val="000000" w:themeColor="text1"/>
          <w:w w:val="90"/>
          <w:sz w:val="24"/>
          <w:szCs w:val="24"/>
        </w:rPr>
      </w:pPr>
      <w:bookmarkStart w:id="322" w:name="_Toc492563504"/>
      <w:r w:rsidRPr="00687B52">
        <w:rPr>
          <w:rFonts w:ascii="宋体" w:eastAsia="宋体" w:hAnsi="宋体" w:hint="eastAsia"/>
          <w:b/>
          <w:color w:val="000000" w:themeColor="text1"/>
          <w:w w:val="90"/>
          <w:sz w:val="24"/>
          <w:szCs w:val="24"/>
        </w:rPr>
        <w:t>附录E 厂区直接埋地氢气管道与建筑物、构筑物之间最小净距</w:t>
      </w:r>
      <w:bookmarkEnd w:id="321"/>
      <w:bookmarkEnd w:id="322"/>
    </w:p>
    <w:p w:rsidR="00660585" w:rsidRPr="00687B52" w:rsidRDefault="00660585" w:rsidP="00660585">
      <w:pPr>
        <w:pStyle w:val="afd"/>
        <w:rPr>
          <w:color w:val="000000" w:themeColor="text1"/>
        </w:rPr>
      </w:pPr>
      <w:bookmarkStart w:id="323" w:name="_Toc493857107"/>
      <w:r w:rsidRPr="00687B52">
        <w:rPr>
          <w:rFonts w:hint="eastAsia"/>
          <w:color w:val="000000" w:themeColor="text1"/>
        </w:rPr>
        <w:t>表</w:t>
      </w:r>
      <w:r w:rsidRPr="00687B52">
        <w:rPr>
          <w:rFonts w:hint="eastAsia"/>
          <w:color w:val="000000" w:themeColor="text1"/>
        </w:rPr>
        <w:t xml:space="preserve">E </w:t>
      </w:r>
      <w:r w:rsidRPr="00687B52">
        <w:rPr>
          <w:rFonts w:hint="eastAsia"/>
          <w:color w:val="000000" w:themeColor="text1"/>
        </w:rPr>
        <w:t>厂区直接埋地氢气管道与建筑物、构筑物之间的最小净距（</w:t>
      </w:r>
      <w:r w:rsidRPr="00687B52">
        <w:rPr>
          <w:rFonts w:hint="eastAsia"/>
          <w:color w:val="000000" w:themeColor="text1"/>
        </w:rPr>
        <w:t>m</w:t>
      </w:r>
      <w:r w:rsidRPr="00687B52">
        <w:rPr>
          <w:rFonts w:hint="eastAsia"/>
          <w:color w:val="000000" w:themeColor="text1"/>
        </w:rPr>
        <w:t>）</w:t>
      </w:r>
      <w:bookmarkEnd w:id="323"/>
    </w:p>
    <w:p w:rsidR="00660585" w:rsidRPr="00687B52" w:rsidRDefault="00660585" w:rsidP="00660585">
      <w:pPr>
        <w:widowControl/>
        <w:jc w:val="center"/>
        <w:rPr>
          <w:rFonts w:ascii="宋体" w:eastAsia="宋体" w:hAnsi="宋体" w:cs="宋体"/>
          <w:color w:val="000000" w:themeColor="text1"/>
          <w:kern w:val="0"/>
          <w:sz w:val="24"/>
          <w:szCs w:val="24"/>
        </w:rPr>
      </w:pPr>
      <w:r w:rsidRPr="00687B52">
        <w:rPr>
          <w:rFonts w:ascii="宋体" w:eastAsia="宋体" w:hAnsi="宋体" w:cs="宋体"/>
          <w:noProof/>
          <w:color w:val="000000" w:themeColor="text1"/>
          <w:kern w:val="0"/>
          <w:sz w:val="24"/>
          <w:szCs w:val="24"/>
        </w:rPr>
        <w:drawing>
          <wp:inline distT="0" distB="0" distL="0" distR="0">
            <wp:extent cx="5350392" cy="3729160"/>
            <wp:effectExtent l="19050" t="0" r="2658" b="0"/>
            <wp:docPr id="13" name="图片 3" descr="C:\Users\Administrator\AppData\Roaming\Tencent\Users\312547442\QQ\WinTemp\RichOle\]{([1RH}73(HV`6_4)E~IK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312547442\QQ\WinTemp\RichOle\]{([1RH}73(HV`6_4)E~IKX.png"/>
                    <pic:cNvPicPr>
                      <a:picLocks noChangeAspect="1" noChangeArrowheads="1"/>
                    </pic:cNvPicPr>
                  </pic:nvPicPr>
                  <pic:blipFill>
                    <a:blip r:embed="rId128"/>
                    <a:srcRect/>
                    <a:stretch>
                      <a:fillRect/>
                    </a:stretch>
                  </pic:blipFill>
                  <pic:spPr bwMode="auto">
                    <a:xfrm>
                      <a:off x="0" y="0"/>
                      <a:ext cx="5357049" cy="3733800"/>
                    </a:xfrm>
                    <a:prstGeom prst="rect">
                      <a:avLst/>
                    </a:prstGeom>
                    <a:noFill/>
                    <a:ln w="9525">
                      <a:noFill/>
                      <a:miter lim="800000"/>
                      <a:headEnd/>
                      <a:tailEnd/>
                    </a:ln>
                  </pic:spPr>
                </pic:pic>
              </a:graphicData>
            </a:graphic>
          </wp:inline>
        </w:drawing>
      </w:r>
    </w:p>
    <w:p w:rsidR="00660585" w:rsidRPr="00687B52" w:rsidRDefault="00660585" w:rsidP="00660585">
      <w:pPr>
        <w:widowControl/>
        <w:jc w:val="center"/>
        <w:rPr>
          <w:rFonts w:ascii="宋体" w:eastAsia="宋体" w:hAnsi="宋体" w:cs="宋体"/>
          <w:color w:val="000000" w:themeColor="text1"/>
          <w:kern w:val="0"/>
          <w:sz w:val="24"/>
          <w:szCs w:val="24"/>
        </w:rPr>
      </w:pPr>
    </w:p>
    <w:p w:rsidR="00660585" w:rsidRPr="00687B52" w:rsidRDefault="00660585" w:rsidP="00660585">
      <w:pPr>
        <w:widowControl/>
        <w:jc w:val="center"/>
        <w:rPr>
          <w:rFonts w:ascii="宋体" w:eastAsia="宋体" w:hAnsi="宋体" w:cs="宋体"/>
          <w:color w:val="000000" w:themeColor="text1"/>
          <w:kern w:val="0"/>
          <w:sz w:val="24"/>
          <w:szCs w:val="24"/>
        </w:rPr>
      </w:pPr>
    </w:p>
    <w:p w:rsidR="00660585" w:rsidRPr="00687B52" w:rsidRDefault="00660585" w:rsidP="00660585">
      <w:pPr>
        <w:widowControl/>
        <w:jc w:val="center"/>
        <w:rPr>
          <w:rFonts w:ascii="宋体" w:eastAsia="宋体" w:hAnsi="宋体" w:cs="宋体"/>
          <w:color w:val="000000" w:themeColor="text1"/>
          <w:kern w:val="0"/>
          <w:sz w:val="24"/>
          <w:szCs w:val="24"/>
        </w:rPr>
      </w:pPr>
    </w:p>
    <w:p w:rsidR="00660585" w:rsidRPr="00687B52" w:rsidRDefault="00660585" w:rsidP="00963ECA">
      <w:pPr>
        <w:pStyle w:val="ae"/>
        <w:ind w:firstLine="560"/>
        <w:rPr>
          <w:color w:val="000000" w:themeColor="text1"/>
        </w:rPr>
        <w:sectPr w:rsidR="00660585" w:rsidRPr="00687B52" w:rsidSect="00B527D4">
          <w:pgSz w:w="16838" w:h="11906" w:orient="landscape"/>
          <w:pgMar w:top="1440" w:right="1797" w:bottom="1440" w:left="1797" w:header="851" w:footer="907" w:gutter="0"/>
          <w:cols w:space="425"/>
          <w:docGrid w:type="lines" w:linePitch="312"/>
        </w:sectPr>
      </w:pPr>
    </w:p>
    <w:p w:rsidR="00481EDB" w:rsidRPr="00687B52" w:rsidRDefault="00481EDB" w:rsidP="00DF6475">
      <w:pPr>
        <w:pStyle w:val="aff2"/>
        <w:ind w:firstLine="562"/>
        <w:rPr>
          <w:color w:val="000000" w:themeColor="text1"/>
        </w:rPr>
      </w:pPr>
      <w:bookmarkStart w:id="324" w:name="_Toc491870851"/>
      <w:bookmarkStart w:id="325" w:name="_Toc492555588"/>
      <w:bookmarkStart w:id="326" w:name="_Toc492557271"/>
      <w:bookmarkStart w:id="327" w:name="_Toc492557341"/>
      <w:bookmarkStart w:id="328" w:name="_Toc492557601"/>
      <w:bookmarkStart w:id="329" w:name="_Toc492557970"/>
      <w:bookmarkStart w:id="330" w:name="_Toc492559543"/>
      <w:bookmarkStart w:id="331" w:name="_Toc492563505"/>
      <w:bookmarkStart w:id="332" w:name="_Toc492564090"/>
      <w:bookmarkStart w:id="333" w:name="_Toc492634923"/>
      <w:bookmarkStart w:id="334" w:name="_Toc493857108"/>
      <w:r w:rsidRPr="00687B52">
        <w:rPr>
          <w:rFonts w:hint="eastAsia"/>
          <w:color w:val="000000" w:themeColor="text1"/>
        </w:rPr>
        <w:t>附</w:t>
      </w:r>
      <w:r w:rsidR="00963ECA" w:rsidRPr="00687B52">
        <w:rPr>
          <w:rFonts w:hint="eastAsia"/>
          <w:color w:val="000000" w:themeColor="text1"/>
        </w:rPr>
        <w:t>2</w:t>
      </w:r>
      <w:r w:rsidRPr="00687B52">
        <w:rPr>
          <w:rFonts w:hint="eastAsia"/>
          <w:color w:val="000000" w:themeColor="text1"/>
        </w:rPr>
        <w:t>.11</w:t>
      </w:r>
      <w:r w:rsidRPr="00687B52">
        <w:rPr>
          <w:rFonts w:hint="eastAsia"/>
          <w:color w:val="000000" w:themeColor="text1"/>
        </w:rPr>
        <w:t>《氧气站设计规范》</w:t>
      </w:r>
      <w:r w:rsidRPr="00687B52">
        <w:rPr>
          <w:rFonts w:hint="eastAsia"/>
          <w:color w:val="000000" w:themeColor="text1"/>
        </w:rPr>
        <w:t>GB50030-2013</w:t>
      </w:r>
      <w:r w:rsidRPr="00687B52">
        <w:rPr>
          <w:rFonts w:hint="eastAsia"/>
          <w:color w:val="000000" w:themeColor="text1"/>
        </w:rPr>
        <w:t>有关要求</w:t>
      </w:r>
      <w:bookmarkEnd w:id="324"/>
      <w:bookmarkEnd w:id="325"/>
      <w:bookmarkEnd w:id="326"/>
      <w:bookmarkEnd w:id="327"/>
      <w:bookmarkEnd w:id="328"/>
      <w:bookmarkEnd w:id="329"/>
      <w:bookmarkEnd w:id="330"/>
      <w:bookmarkEnd w:id="331"/>
      <w:bookmarkEnd w:id="332"/>
      <w:bookmarkEnd w:id="333"/>
      <w:bookmarkEnd w:id="334"/>
    </w:p>
    <w:p w:rsidR="00660585" w:rsidRPr="00687B52" w:rsidRDefault="00481EDB" w:rsidP="00457CB7">
      <w:pPr>
        <w:pStyle w:val="afd"/>
        <w:rPr>
          <w:color w:val="000000" w:themeColor="text1"/>
        </w:rPr>
      </w:pPr>
      <w:bookmarkStart w:id="335" w:name="_Toc491870852"/>
      <w:bookmarkStart w:id="336" w:name="_Toc492563506"/>
      <w:bookmarkStart w:id="337" w:name="_Toc493857109"/>
      <w:r w:rsidRPr="00687B52">
        <w:rPr>
          <w:rFonts w:hint="eastAsia"/>
          <w:color w:val="000000" w:themeColor="text1"/>
        </w:rPr>
        <w:t>表</w:t>
      </w:r>
      <w:r w:rsidRPr="00687B52">
        <w:rPr>
          <w:rFonts w:hint="eastAsia"/>
          <w:color w:val="000000" w:themeColor="text1"/>
        </w:rPr>
        <w:t xml:space="preserve">3.0.4 </w:t>
      </w:r>
      <w:r w:rsidRPr="00687B52">
        <w:rPr>
          <w:rFonts w:hint="eastAsia"/>
          <w:color w:val="000000" w:themeColor="text1"/>
        </w:rPr>
        <w:t>氧气站火灾危险性为乙类的建筑物及氧气贮罐与其他各类建筑物、构筑物之间的防火间距</w:t>
      </w:r>
      <w:bookmarkEnd w:id="335"/>
      <w:bookmarkEnd w:id="336"/>
      <w:bookmarkEnd w:id="337"/>
    </w:p>
    <w:tbl>
      <w:tblPr>
        <w:tblW w:w="0" w:type="auto"/>
        <w:jc w:val="center"/>
        <w:tblLayout w:type="fixed"/>
        <w:tblCellMar>
          <w:left w:w="10" w:type="dxa"/>
          <w:right w:w="10" w:type="dxa"/>
        </w:tblCellMar>
        <w:tblLook w:val="0000" w:firstRow="0" w:lastRow="0" w:firstColumn="0" w:lastColumn="0" w:noHBand="0" w:noVBand="0"/>
      </w:tblPr>
      <w:tblGrid>
        <w:gridCol w:w="1991"/>
        <w:gridCol w:w="249"/>
        <w:gridCol w:w="1803"/>
        <w:gridCol w:w="1973"/>
        <w:gridCol w:w="1070"/>
        <w:gridCol w:w="1156"/>
        <w:gridCol w:w="1132"/>
      </w:tblGrid>
      <w:tr w:rsidR="00457CB7" w:rsidRPr="00687B52" w:rsidTr="00457CB7">
        <w:trPr>
          <w:trHeight w:val="397"/>
          <w:jc w:val="center"/>
        </w:trPr>
        <w:tc>
          <w:tcPr>
            <w:tcW w:w="4043" w:type="dxa"/>
            <w:gridSpan w:val="3"/>
            <w:vMerge w:val="restart"/>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建筑物、构筑物</w:t>
            </w:r>
          </w:p>
        </w:tc>
        <w:tc>
          <w:tcPr>
            <w:tcW w:w="1973" w:type="dxa"/>
            <w:vMerge w:val="restart"/>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氧气站的火灾危险性为乙类的建筑物</w:t>
            </w:r>
          </w:p>
        </w:tc>
        <w:tc>
          <w:tcPr>
            <w:tcW w:w="3358" w:type="dxa"/>
            <w:gridSpan w:val="3"/>
            <w:tcBorders>
              <w:top w:val="single" w:sz="4" w:space="0" w:color="auto"/>
              <w:left w:val="single" w:sz="4" w:space="0" w:color="auto"/>
              <w:righ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氧气贮罐总容积（</w:t>
            </w:r>
            <w:r w:rsidRPr="00687B52">
              <w:rPr>
                <w:rStyle w:val="7pt"/>
                <w:rFonts w:ascii="Times New Roman" w:eastAsia="宋体" w:hAnsi="Arial" w:cs="Arial"/>
                <w:color w:val="000000" w:themeColor="text1"/>
                <w:spacing w:val="0"/>
                <w:sz w:val="24"/>
                <w:szCs w:val="21"/>
                <w:lang w:val="en-US" w:bidi="ar-SA"/>
              </w:rPr>
              <w:t>m</w:t>
            </w:r>
            <w:r w:rsidRPr="00687B52">
              <w:rPr>
                <w:rStyle w:val="7pt"/>
                <w:rFonts w:ascii="Times New Roman" w:eastAsia="宋体" w:hAnsi="Arial" w:cs="Arial"/>
                <w:color w:val="000000" w:themeColor="text1"/>
                <w:spacing w:val="0"/>
                <w:sz w:val="24"/>
                <w:szCs w:val="21"/>
                <w:vertAlign w:val="superscript"/>
                <w:lang w:val="en-US" w:bidi="ar-SA"/>
              </w:rPr>
              <w:t>3</w:t>
            </w:r>
            <w:r w:rsidRPr="00687B52">
              <w:rPr>
                <w:rStyle w:val="7pt"/>
                <w:rFonts w:ascii="Times New Roman" w:eastAsia="宋体" w:hAnsi="Arial" w:cs="Arial"/>
                <w:color w:val="000000" w:themeColor="text1"/>
                <w:spacing w:val="0"/>
                <w:sz w:val="24"/>
                <w:szCs w:val="21"/>
                <w:lang w:val="en-US" w:bidi="ar-SA"/>
              </w:rPr>
              <w:t>)</w:t>
            </w:r>
          </w:p>
        </w:tc>
      </w:tr>
      <w:tr w:rsidR="00457CB7" w:rsidRPr="00687B52" w:rsidTr="00457CB7">
        <w:trPr>
          <w:trHeight w:val="397"/>
          <w:jc w:val="center"/>
        </w:trPr>
        <w:tc>
          <w:tcPr>
            <w:tcW w:w="4043" w:type="dxa"/>
            <w:gridSpan w:val="3"/>
            <w:vMerge/>
            <w:tcBorders>
              <w:left w:val="single" w:sz="4" w:space="0" w:color="auto"/>
            </w:tcBorders>
            <w:shd w:val="clear" w:color="auto" w:fill="FFFFFF"/>
            <w:vAlign w:val="center"/>
          </w:tcPr>
          <w:p w:rsidR="00457CB7" w:rsidRPr="00687B52" w:rsidRDefault="00457CB7" w:rsidP="00457CB7">
            <w:pPr>
              <w:pStyle w:val="a7"/>
              <w:rPr>
                <w:color w:val="000000" w:themeColor="text1"/>
              </w:rPr>
            </w:pPr>
          </w:p>
        </w:tc>
        <w:tc>
          <w:tcPr>
            <w:tcW w:w="1973" w:type="dxa"/>
            <w:vMerge/>
            <w:tcBorders>
              <w:left w:val="single" w:sz="4" w:space="0" w:color="auto"/>
            </w:tcBorders>
            <w:shd w:val="clear" w:color="auto" w:fill="FFFFFF"/>
            <w:vAlign w:val="center"/>
          </w:tcPr>
          <w:p w:rsidR="00457CB7" w:rsidRPr="00687B52" w:rsidRDefault="00457CB7" w:rsidP="00457CB7">
            <w:pPr>
              <w:pStyle w:val="a7"/>
              <w:rPr>
                <w:color w:val="000000" w:themeColor="text1"/>
              </w:rPr>
            </w:pPr>
          </w:p>
        </w:tc>
        <w:tc>
          <w:tcPr>
            <w:tcW w:w="1070"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hint="eastAsia"/>
                <w:color w:val="000000" w:themeColor="text1"/>
                <w:spacing w:val="0"/>
                <w:sz w:val="24"/>
                <w:szCs w:val="21"/>
                <w:lang w:val="en-US" w:bidi="ar-SA"/>
              </w:rPr>
              <w:t>≤</w:t>
            </w:r>
            <w:r w:rsidRPr="00687B52">
              <w:rPr>
                <w:rStyle w:val="7pt"/>
                <w:rFonts w:ascii="Times New Roman" w:eastAsia="宋体" w:hAnsi="Arial" w:cs="Arial"/>
                <w:color w:val="000000" w:themeColor="text1"/>
                <w:spacing w:val="0"/>
                <w:sz w:val="24"/>
                <w:szCs w:val="21"/>
                <w:lang w:val="en-US" w:bidi="ar-SA"/>
              </w:rPr>
              <w:t>1000</w:t>
            </w:r>
          </w:p>
        </w:tc>
        <w:tc>
          <w:tcPr>
            <w:tcW w:w="1156"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1000</w:t>
            </w:r>
            <w:r w:rsidRPr="00687B52">
              <w:rPr>
                <w:rStyle w:val="7pt"/>
                <w:rFonts w:ascii="Times New Roman" w:eastAsia="宋体" w:hAnsi="Arial" w:cs="Arial" w:hint="eastAsia"/>
                <w:color w:val="000000" w:themeColor="text1"/>
                <w:spacing w:val="0"/>
                <w:sz w:val="24"/>
                <w:szCs w:val="21"/>
                <w:lang w:val="en-US" w:bidi="ar-SA"/>
              </w:rPr>
              <w:t>-</w:t>
            </w:r>
            <w:r w:rsidRPr="00687B52">
              <w:rPr>
                <w:rStyle w:val="7pt"/>
                <w:rFonts w:ascii="Times New Roman" w:eastAsia="宋体" w:hAnsi="Arial" w:cs="Arial"/>
                <w:color w:val="000000" w:themeColor="text1"/>
                <w:spacing w:val="0"/>
                <w:sz w:val="24"/>
                <w:szCs w:val="21"/>
                <w:lang w:val="en-US" w:bidi="ar-SA"/>
              </w:rPr>
              <w:t>50000</w:t>
            </w:r>
          </w:p>
        </w:tc>
        <w:tc>
          <w:tcPr>
            <w:tcW w:w="1132"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hint="eastAsia"/>
                <w:color w:val="000000" w:themeColor="text1"/>
                <w:spacing w:val="0"/>
                <w:sz w:val="24"/>
                <w:szCs w:val="21"/>
                <w:lang w:val="en-US" w:bidi="ar-SA"/>
              </w:rPr>
              <w:t>＞</w:t>
            </w:r>
            <w:r w:rsidRPr="00687B52">
              <w:rPr>
                <w:rStyle w:val="7pt"/>
                <w:rFonts w:ascii="Times New Roman" w:eastAsia="宋体" w:hAnsi="Arial" w:cs="Arial"/>
                <w:color w:val="000000" w:themeColor="text1"/>
                <w:spacing w:val="0"/>
                <w:sz w:val="24"/>
                <w:szCs w:val="21"/>
                <w:lang w:val="en-US" w:bidi="ar-SA"/>
              </w:rPr>
              <w:t>50000</w:t>
            </w:r>
          </w:p>
        </w:tc>
      </w:tr>
      <w:tr w:rsidR="00457CB7" w:rsidRPr="00687B52" w:rsidTr="00457CB7">
        <w:trPr>
          <w:trHeight w:val="397"/>
          <w:jc w:val="center"/>
        </w:trPr>
        <w:tc>
          <w:tcPr>
            <w:tcW w:w="1991" w:type="dxa"/>
            <w:vMerge w:val="restart"/>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其他各类建筑物耐火等级</w:t>
            </w:r>
          </w:p>
        </w:tc>
        <w:tc>
          <w:tcPr>
            <w:tcW w:w="2052" w:type="dxa"/>
            <w:gridSpan w:val="2"/>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一、二级</w:t>
            </w:r>
          </w:p>
        </w:tc>
        <w:tc>
          <w:tcPr>
            <w:tcW w:w="1973"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10</w:t>
            </w:r>
          </w:p>
        </w:tc>
        <w:tc>
          <w:tcPr>
            <w:tcW w:w="1070"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10</w:t>
            </w:r>
          </w:p>
        </w:tc>
        <w:tc>
          <w:tcPr>
            <w:tcW w:w="1156"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12</w:t>
            </w:r>
          </w:p>
        </w:tc>
        <w:tc>
          <w:tcPr>
            <w:tcW w:w="1132"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14</w:t>
            </w:r>
          </w:p>
        </w:tc>
      </w:tr>
      <w:tr w:rsidR="00457CB7" w:rsidRPr="00687B52" w:rsidTr="00457CB7">
        <w:trPr>
          <w:trHeight w:val="397"/>
          <w:jc w:val="center"/>
        </w:trPr>
        <w:tc>
          <w:tcPr>
            <w:tcW w:w="1991" w:type="dxa"/>
            <w:vMerge/>
            <w:tcBorders>
              <w:left w:val="single" w:sz="4" w:space="0" w:color="auto"/>
            </w:tcBorders>
            <w:shd w:val="clear" w:color="auto" w:fill="FFFFFF"/>
            <w:vAlign w:val="center"/>
          </w:tcPr>
          <w:p w:rsidR="00457CB7" w:rsidRPr="00687B52" w:rsidRDefault="00457CB7" w:rsidP="00457CB7">
            <w:pPr>
              <w:pStyle w:val="a7"/>
              <w:rPr>
                <w:color w:val="000000" w:themeColor="text1"/>
              </w:rPr>
            </w:pPr>
          </w:p>
        </w:tc>
        <w:tc>
          <w:tcPr>
            <w:tcW w:w="2052" w:type="dxa"/>
            <w:gridSpan w:val="2"/>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三级</w:t>
            </w:r>
          </w:p>
        </w:tc>
        <w:tc>
          <w:tcPr>
            <w:tcW w:w="1973"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12</w:t>
            </w:r>
          </w:p>
        </w:tc>
        <w:tc>
          <w:tcPr>
            <w:tcW w:w="1070"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12</w:t>
            </w:r>
          </w:p>
        </w:tc>
        <w:tc>
          <w:tcPr>
            <w:tcW w:w="1156"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14</w:t>
            </w:r>
          </w:p>
        </w:tc>
        <w:tc>
          <w:tcPr>
            <w:tcW w:w="1132"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16</w:t>
            </w:r>
          </w:p>
        </w:tc>
      </w:tr>
      <w:tr w:rsidR="00457CB7" w:rsidRPr="00687B52" w:rsidTr="00457CB7">
        <w:trPr>
          <w:trHeight w:val="397"/>
          <w:jc w:val="center"/>
        </w:trPr>
        <w:tc>
          <w:tcPr>
            <w:tcW w:w="1991" w:type="dxa"/>
            <w:vMerge/>
            <w:tcBorders>
              <w:left w:val="single" w:sz="4" w:space="0" w:color="auto"/>
            </w:tcBorders>
            <w:shd w:val="clear" w:color="auto" w:fill="FFFFFF"/>
            <w:vAlign w:val="center"/>
          </w:tcPr>
          <w:p w:rsidR="00457CB7" w:rsidRPr="00687B52" w:rsidRDefault="00457CB7" w:rsidP="00457CB7">
            <w:pPr>
              <w:pStyle w:val="a7"/>
              <w:rPr>
                <w:color w:val="000000" w:themeColor="text1"/>
              </w:rPr>
            </w:pPr>
          </w:p>
        </w:tc>
        <w:tc>
          <w:tcPr>
            <w:tcW w:w="2052" w:type="dxa"/>
            <w:gridSpan w:val="2"/>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四级</w:t>
            </w:r>
          </w:p>
        </w:tc>
        <w:tc>
          <w:tcPr>
            <w:tcW w:w="1973"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14</w:t>
            </w:r>
          </w:p>
        </w:tc>
        <w:tc>
          <w:tcPr>
            <w:tcW w:w="1070"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14</w:t>
            </w:r>
          </w:p>
        </w:tc>
        <w:tc>
          <w:tcPr>
            <w:tcW w:w="1156"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16</w:t>
            </w:r>
          </w:p>
        </w:tc>
        <w:tc>
          <w:tcPr>
            <w:tcW w:w="1132"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18</w:t>
            </w:r>
          </w:p>
        </w:tc>
      </w:tr>
      <w:tr w:rsidR="00457CB7" w:rsidRPr="00687B52" w:rsidTr="00457CB7">
        <w:trPr>
          <w:trHeight w:val="397"/>
          <w:jc w:val="center"/>
        </w:trPr>
        <w:tc>
          <w:tcPr>
            <w:tcW w:w="4043" w:type="dxa"/>
            <w:gridSpan w:val="3"/>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民用建筑</w:t>
            </w:r>
          </w:p>
        </w:tc>
        <w:tc>
          <w:tcPr>
            <w:tcW w:w="1973"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25</w:t>
            </w:r>
          </w:p>
        </w:tc>
        <w:tc>
          <w:tcPr>
            <w:tcW w:w="1070"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18</w:t>
            </w:r>
          </w:p>
        </w:tc>
        <w:tc>
          <w:tcPr>
            <w:tcW w:w="1156"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20</w:t>
            </w:r>
          </w:p>
        </w:tc>
        <w:tc>
          <w:tcPr>
            <w:tcW w:w="1132"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25</w:t>
            </w:r>
          </w:p>
        </w:tc>
      </w:tr>
      <w:tr w:rsidR="00457CB7" w:rsidRPr="00687B52" w:rsidTr="00457CB7">
        <w:trPr>
          <w:trHeight w:val="397"/>
          <w:jc w:val="center"/>
        </w:trPr>
        <w:tc>
          <w:tcPr>
            <w:tcW w:w="4043" w:type="dxa"/>
            <w:gridSpan w:val="3"/>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明火或散发火花地点</w:t>
            </w:r>
          </w:p>
        </w:tc>
        <w:tc>
          <w:tcPr>
            <w:tcW w:w="1973"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25</w:t>
            </w:r>
          </w:p>
        </w:tc>
        <w:tc>
          <w:tcPr>
            <w:tcW w:w="1070"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25</w:t>
            </w:r>
          </w:p>
        </w:tc>
        <w:tc>
          <w:tcPr>
            <w:tcW w:w="1156"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30</w:t>
            </w:r>
          </w:p>
        </w:tc>
        <w:tc>
          <w:tcPr>
            <w:tcW w:w="1132"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35</w:t>
            </w:r>
          </w:p>
        </w:tc>
      </w:tr>
      <w:tr w:rsidR="00457CB7" w:rsidRPr="00687B52" w:rsidTr="00457CB7">
        <w:trPr>
          <w:trHeight w:val="397"/>
          <w:jc w:val="center"/>
        </w:trPr>
        <w:tc>
          <w:tcPr>
            <w:tcW w:w="4043" w:type="dxa"/>
            <w:gridSpan w:val="3"/>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重要公共建筑</w:t>
            </w:r>
          </w:p>
        </w:tc>
        <w:tc>
          <w:tcPr>
            <w:tcW w:w="1973"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50</w:t>
            </w:r>
          </w:p>
        </w:tc>
        <w:tc>
          <w:tcPr>
            <w:tcW w:w="3358" w:type="dxa"/>
            <w:gridSpan w:val="3"/>
            <w:tcBorders>
              <w:top w:val="single" w:sz="4" w:space="0" w:color="auto"/>
              <w:left w:val="single" w:sz="4" w:space="0" w:color="auto"/>
              <w:righ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50</w:t>
            </w:r>
          </w:p>
        </w:tc>
      </w:tr>
      <w:tr w:rsidR="00457CB7" w:rsidRPr="00687B52" w:rsidTr="00457CB7">
        <w:trPr>
          <w:trHeight w:val="397"/>
          <w:jc w:val="center"/>
        </w:trPr>
        <w:tc>
          <w:tcPr>
            <w:tcW w:w="4043" w:type="dxa"/>
            <w:gridSpan w:val="3"/>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室外变、配电站（</w:t>
            </w:r>
            <w:r w:rsidRPr="00687B52">
              <w:rPr>
                <w:rStyle w:val="7pt"/>
                <w:rFonts w:ascii="Times New Roman" w:eastAsia="宋体" w:hAnsi="Arial" w:cs="Arial"/>
                <w:color w:val="000000" w:themeColor="text1"/>
                <w:spacing w:val="0"/>
                <w:sz w:val="24"/>
                <w:szCs w:val="21"/>
                <w:lang w:val="en-US" w:bidi="ar-SA"/>
              </w:rPr>
              <w:t>35KV</w:t>
            </w:r>
            <w:r w:rsidRPr="00687B52">
              <w:rPr>
                <w:rStyle w:val="7pt"/>
                <w:rFonts w:ascii="Times New Roman" w:eastAsia="宋体" w:hAnsi="Arial" w:cs="Arial" w:hint="eastAsia"/>
                <w:color w:val="000000" w:themeColor="text1"/>
                <w:spacing w:val="0"/>
                <w:sz w:val="24"/>
                <w:szCs w:val="21"/>
                <w:lang w:val="en-US" w:bidi="ar-SA"/>
              </w:rPr>
              <w:t>-</w:t>
            </w:r>
            <w:r w:rsidRPr="00687B52">
              <w:rPr>
                <w:rStyle w:val="7pt"/>
                <w:rFonts w:ascii="Times New Roman" w:eastAsia="宋体" w:hAnsi="Arial" w:cs="Arial"/>
                <w:color w:val="000000" w:themeColor="text1"/>
                <w:spacing w:val="0"/>
                <w:sz w:val="24"/>
                <w:szCs w:val="21"/>
                <w:lang w:val="en-US" w:bidi="ar-SA"/>
              </w:rPr>
              <w:t>500KV</w:t>
            </w:r>
            <w:r w:rsidRPr="00687B52">
              <w:rPr>
                <w:rStyle w:val="7pt"/>
                <w:rFonts w:ascii="Times New Roman" w:eastAsia="宋体" w:hAnsi="Arial" w:cs="Arial"/>
                <w:color w:val="000000" w:themeColor="text1"/>
                <w:spacing w:val="0"/>
                <w:sz w:val="24"/>
                <w:szCs w:val="21"/>
                <w:lang w:val="en-US" w:bidi="ar-SA"/>
              </w:rPr>
              <w:t>，</w:t>
            </w:r>
          </w:p>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且每台变压器为</w:t>
            </w:r>
            <w:r w:rsidRPr="00687B52">
              <w:rPr>
                <w:rStyle w:val="7pt"/>
                <w:rFonts w:ascii="Times New Roman" w:eastAsia="宋体" w:hAnsi="Arial" w:cs="Arial"/>
                <w:color w:val="000000" w:themeColor="text1"/>
                <w:spacing w:val="0"/>
                <w:sz w:val="24"/>
                <w:szCs w:val="21"/>
                <w:lang w:val="en-US" w:bidi="ar-SA"/>
              </w:rPr>
              <w:t>10000KVA</w:t>
            </w:r>
            <w:r w:rsidRPr="00687B52">
              <w:rPr>
                <w:rStyle w:val="7pt"/>
                <w:rFonts w:ascii="Times New Roman" w:eastAsia="宋体" w:hAnsi="Arial" w:cs="Arial"/>
                <w:color w:val="000000" w:themeColor="text1"/>
                <w:spacing w:val="0"/>
                <w:sz w:val="24"/>
                <w:szCs w:val="21"/>
                <w:lang w:val="en-US" w:bidi="ar-SA"/>
              </w:rPr>
              <w:t>以上）以及总油量超过</w:t>
            </w:r>
            <w:r w:rsidRPr="00687B52">
              <w:rPr>
                <w:rStyle w:val="7pt"/>
                <w:rFonts w:ascii="Times New Roman" w:eastAsia="宋体" w:hAnsi="Arial" w:cs="Arial"/>
                <w:color w:val="000000" w:themeColor="text1"/>
                <w:spacing w:val="0"/>
                <w:sz w:val="24"/>
                <w:szCs w:val="21"/>
                <w:lang w:val="en-US" w:bidi="ar-SA"/>
              </w:rPr>
              <w:t>5t</w:t>
            </w:r>
            <w:r w:rsidRPr="00687B52">
              <w:rPr>
                <w:rStyle w:val="7pt"/>
                <w:rFonts w:ascii="Times New Roman" w:eastAsia="宋体" w:hAnsi="Arial" w:cs="Arial"/>
                <w:color w:val="000000" w:themeColor="text1"/>
                <w:spacing w:val="0"/>
                <w:sz w:val="24"/>
                <w:szCs w:val="21"/>
                <w:lang w:val="en-US" w:bidi="ar-SA"/>
              </w:rPr>
              <w:t>的总降压站</w:t>
            </w:r>
          </w:p>
        </w:tc>
        <w:tc>
          <w:tcPr>
            <w:tcW w:w="1973"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25</w:t>
            </w:r>
          </w:p>
        </w:tc>
        <w:tc>
          <w:tcPr>
            <w:tcW w:w="1070"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20</w:t>
            </w:r>
          </w:p>
        </w:tc>
        <w:tc>
          <w:tcPr>
            <w:tcW w:w="1156"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25</w:t>
            </w:r>
          </w:p>
        </w:tc>
        <w:tc>
          <w:tcPr>
            <w:tcW w:w="1132"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30</w:t>
            </w:r>
          </w:p>
        </w:tc>
      </w:tr>
      <w:tr w:rsidR="00457CB7" w:rsidRPr="00687B52" w:rsidTr="00457CB7">
        <w:trPr>
          <w:trHeight w:val="397"/>
          <w:jc w:val="center"/>
        </w:trPr>
        <w:tc>
          <w:tcPr>
            <w:tcW w:w="4043" w:type="dxa"/>
            <w:gridSpan w:val="3"/>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厂外铁路线中心线</w:t>
            </w:r>
          </w:p>
        </w:tc>
        <w:tc>
          <w:tcPr>
            <w:tcW w:w="1973"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25</w:t>
            </w:r>
          </w:p>
        </w:tc>
        <w:tc>
          <w:tcPr>
            <w:tcW w:w="3358" w:type="dxa"/>
            <w:gridSpan w:val="3"/>
            <w:tcBorders>
              <w:top w:val="single" w:sz="4" w:space="0" w:color="auto"/>
              <w:left w:val="single" w:sz="4" w:space="0" w:color="auto"/>
              <w:righ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25</w:t>
            </w:r>
          </w:p>
        </w:tc>
      </w:tr>
      <w:tr w:rsidR="00457CB7" w:rsidRPr="00687B52" w:rsidTr="00457CB7">
        <w:trPr>
          <w:trHeight w:val="397"/>
          <w:jc w:val="center"/>
        </w:trPr>
        <w:tc>
          <w:tcPr>
            <w:tcW w:w="4043" w:type="dxa"/>
            <w:gridSpan w:val="3"/>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厂内铁路线中心线（氧气站专用线除外</w:t>
            </w:r>
            <w:r w:rsidRPr="00687B52">
              <w:rPr>
                <w:rStyle w:val="7pt"/>
                <w:rFonts w:ascii="Times New Roman" w:eastAsia="宋体" w:hAnsi="Arial" w:cs="Arial" w:hint="eastAsia"/>
                <w:color w:val="000000" w:themeColor="text1"/>
                <w:spacing w:val="0"/>
                <w:sz w:val="24"/>
                <w:szCs w:val="21"/>
                <w:lang w:val="en-US" w:bidi="ar-SA"/>
              </w:rPr>
              <w:t>）</w:t>
            </w:r>
          </w:p>
        </w:tc>
        <w:tc>
          <w:tcPr>
            <w:tcW w:w="1973"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20</w:t>
            </w:r>
          </w:p>
        </w:tc>
        <w:tc>
          <w:tcPr>
            <w:tcW w:w="3358" w:type="dxa"/>
            <w:gridSpan w:val="3"/>
            <w:tcBorders>
              <w:top w:val="single" w:sz="4" w:space="0" w:color="auto"/>
              <w:left w:val="single" w:sz="4" w:space="0" w:color="auto"/>
              <w:righ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20</w:t>
            </w:r>
          </w:p>
        </w:tc>
      </w:tr>
      <w:tr w:rsidR="00457CB7" w:rsidRPr="00687B52" w:rsidTr="00457CB7">
        <w:trPr>
          <w:trHeight w:val="397"/>
          <w:jc w:val="center"/>
        </w:trPr>
        <w:tc>
          <w:tcPr>
            <w:tcW w:w="4043" w:type="dxa"/>
            <w:gridSpan w:val="3"/>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厂外道路（路边）</w:t>
            </w:r>
          </w:p>
        </w:tc>
        <w:tc>
          <w:tcPr>
            <w:tcW w:w="1973"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15</w:t>
            </w:r>
          </w:p>
        </w:tc>
        <w:tc>
          <w:tcPr>
            <w:tcW w:w="3358" w:type="dxa"/>
            <w:gridSpan w:val="3"/>
            <w:tcBorders>
              <w:top w:val="single" w:sz="4" w:space="0" w:color="auto"/>
              <w:left w:val="single" w:sz="4" w:space="0" w:color="auto"/>
              <w:righ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15</w:t>
            </w:r>
          </w:p>
        </w:tc>
      </w:tr>
      <w:tr w:rsidR="00457CB7" w:rsidRPr="00687B52" w:rsidTr="00457CB7">
        <w:trPr>
          <w:trHeight w:val="397"/>
          <w:jc w:val="center"/>
        </w:trPr>
        <w:tc>
          <w:tcPr>
            <w:tcW w:w="2240" w:type="dxa"/>
            <w:gridSpan w:val="2"/>
            <w:vMerge w:val="restart"/>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厂内道路（路边</w:t>
            </w:r>
            <w:r w:rsidRPr="00687B52">
              <w:rPr>
                <w:rStyle w:val="7pt"/>
                <w:rFonts w:ascii="Times New Roman" w:eastAsia="宋体" w:hAnsi="Arial" w:cs="Arial" w:hint="eastAsia"/>
                <w:color w:val="000000" w:themeColor="text1"/>
                <w:spacing w:val="0"/>
                <w:sz w:val="24"/>
                <w:szCs w:val="21"/>
                <w:lang w:val="en-US" w:bidi="ar-SA"/>
              </w:rPr>
              <w:t>）</w:t>
            </w:r>
          </w:p>
        </w:tc>
        <w:tc>
          <w:tcPr>
            <w:tcW w:w="1803"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主要</w:t>
            </w:r>
          </w:p>
        </w:tc>
        <w:tc>
          <w:tcPr>
            <w:tcW w:w="1973"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10</w:t>
            </w:r>
          </w:p>
        </w:tc>
        <w:tc>
          <w:tcPr>
            <w:tcW w:w="3358" w:type="dxa"/>
            <w:gridSpan w:val="3"/>
            <w:tcBorders>
              <w:top w:val="single" w:sz="4" w:space="0" w:color="auto"/>
              <w:left w:val="single" w:sz="4" w:space="0" w:color="auto"/>
              <w:righ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10</w:t>
            </w:r>
          </w:p>
        </w:tc>
      </w:tr>
      <w:tr w:rsidR="00457CB7" w:rsidRPr="00687B52" w:rsidTr="00457CB7">
        <w:trPr>
          <w:trHeight w:val="397"/>
          <w:jc w:val="center"/>
        </w:trPr>
        <w:tc>
          <w:tcPr>
            <w:tcW w:w="2240" w:type="dxa"/>
            <w:gridSpan w:val="2"/>
            <w:vMerge/>
            <w:tcBorders>
              <w:left w:val="single" w:sz="4" w:space="0" w:color="auto"/>
            </w:tcBorders>
            <w:shd w:val="clear" w:color="auto" w:fill="FFFFFF"/>
            <w:vAlign w:val="center"/>
          </w:tcPr>
          <w:p w:rsidR="00457CB7" w:rsidRPr="00687B52" w:rsidRDefault="00457CB7" w:rsidP="00457CB7">
            <w:pPr>
              <w:pStyle w:val="a7"/>
              <w:rPr>
                <w:color w:val="000000" w:themeColor="text1"/>
              </w:rPr>
            </w:pPr>
          </w:p>
        </w:tc>
        <w:tc>
          <w:tcPr>
            <w:tcW w:w="1803"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次要</w:t>
            </w:r>
          </w:p>
        </w:tc>
        <w:tc>
          <w:tcPr>
            <w:tcW w:w="1973" w:type="dxa"/>
            <w:tcBorders>
              <w:top w:val="single" w:sz="4" w:space="0" w:color="auto"/>
              <w:lef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5</w:t>
            </w:r>
          </w:p>
        </w:tc>
        <w:tc>
          <w:tcPr>
            <w:tcW w:w="3358" w:type="dxa"/>
            <w:gridSpan w:val="3"/>
            <w:tcBorders>
              <w:top w:val="single" w:sz="4" w:space="0" w:color="auto"/>
              <w:left w:val="single" w:sz="4" w:space="0" w:color="auto"/>
              <w:righ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5</w:t>
            </w:r>
          </w:p>
        </w:tc>
      </w:tr>
      <w:tr w:rsidR="00457CB7" w:rsidRPr="00687B52" w:rsidTr="00457CB7">
        <w:trPr>
          <w:trHeight w:val="397"/>
          <w:jc w:val="center"/>
        </w:trPr>
        <w:tc>
          <w:tcPr>
            <w:tcW w:w="4043" w:type="dxa"/>
            <w:gridSpan w:val="3"/>
            <w:tcBorders>
              <w:top w:val="single" w:sz="4" w:space="0" w:color="auto"/>
              <w:left w:val="single" w:sz="4" w:space="0" w:color="auto"/>
              <w:bottom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电力架空线</w:t>
            </w:r>
          </w:p>
        </w:tc>
        <w:tc>
          <w:tcPr>
            <w:tcW w:w="1973" w:type="dxa"/>
            <w:tcBorders>
              <w:top w:val="single" w:sz="4" w:space="0" w:color="auto"/>
              <w:left w:val="single" w:sz="4" w:space="0" w:color="auto"/>
              <w:bottom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1.5</w:t>
            </w:r>
            <w:r w:rsidRPr="00687B52">
              <w:rPr>
                <w:rStyle w:val="7pt"/>
                <w:rFonts w:ascii="Times New Roman" w:eastAsia="宋体" w:hAnsi="Arial" w:cs="Arial"/>
                <w:color w:val="000000" w:themeColor="text1"/>
                <w:spacing w:val="0"/>
                <w:sz w:val="24"/>
                <w:szCs w:val="21"/>
                <w:lang w:val="en-US" w:bidi="ar-SA"/>
              </w:rPr>
              <w:t>倍电杆高度</w:t>
            </w:r>
          </w:p>
        </w:tc>
        <w:tc>
          <w:tcPr>
            <w:tcW w:w="335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57CB7" w:rsidRPr="00687B52" w:rsidRDefault="00457CB7" w:rsidP="00457CB7">
            <w:pPr>
              <w:pStyle w:val="a7"/>
              <w:rPr>
                <w:color w:val="000000" w:themeColor="text1"/>
              </w:rPr>
            </w:pPr>
            <w:r w:rsidRPr="00687B52">
              <w:rPr>
                <w:rStyle w:val="7pt"/>
                <w:rFonts w:ascii="Times New Roman" w:eastAsia="宋体" w:hAnsi="Arial" w:cs="Arial"/>
                <w:color w:val="000000" w:themeColor="text1"/>
                <w:spacing w:val="0"/>
                <w:sz w:val="24"/>
                <w:szCs w:val="21"/>
                <w:lang w:val="en-US" w:bidi="ar-SA"/>
              </w:rPr>
              <w:t>1.5</w:t>
            </w:r>
            <w:r w:rsidRPr="00687B52">
              <w:rPr>
                <w:rStyle w:val="7pt"/>
                <w:rFonts w:ascii="Times New Roman" w:eastAsia="宋体" w:hAnsi="Arial" w:cs="Arial"/>
                <w:color w:val="000000" w:themeColor="text1"/>
                <w:spacing w:val="0"/>
                <w:sz w:val="24"/>
                <w:szCs w:val="21"/>
                <w:lang w:val="en-US" w:bidi="ar-SA"/>
              </w:rPr>
              <w:t>倍电杆高度</w:t>
            </w:r>
          </w:p>
        </w:tc>
      </w:tr>
    </w:tbl>
    <w:p w:rsidR="00481EDB" w:rsidRPr="00687B52" w:rsidRDefault="00457CB7" w:rsidP="00B918C2">
      <w:pPr>
        <w:pStyle w:val="a7"/>
        <w:ind w:firstLineChars="200" w:firstLine="480"/>
        <w:jc w:val="left"/>
        <w:rPr>
          <w:color w:val="000000" w:themeColor="text1"/>
        </w:rPr>
      </w:pPr>
      <w:r w:rsidRPr="00687B52">
        <w:rPr>
          <w:color w:val="000000" w:themeColor="text1"/>
        </w:rPr>
        <w:t>注：固定容积氧气贮罐的总容积按几何容置（</w:t>
      </w:r>
      <w:r w:rsidRPr="00687B52">
        <w:rPr>
          <w:color w:val="000000" w:themeColor="text1"/>
        </w:rPr>
        <w:t>m</w:t>
      </w:r>
      <w:r w:rsidRPr="00687B52">
        <w:rPr>
          <w:color w:val="000000" w:themeColor="text1"/>
          <w:vertAlign w:val="superscript"/>
        </w:rPr>
        <w:t>3</w:t>
      </w:r>
      <w:r w:rsidRPr="00687B52">
        <w:rPr>
          <w:color w:val="000000" w:themeColor="text1"/>
        </w:rPr>
        <w:t>)</w:t>
      </w:r>
      <w:r w:rsidRPr="00687B52">
        <w:rPr>
          <w:color w:val="000000" w:themeColor="text1"/>
        </w:rPr>
        <w:t>和设计压力（绝对压力为</w:t>
      </w:r>
      <w:r w:rsidRPr="00687B52">
        <w:rPr>
          <w:color w:val="000000" w:themeColor="text1"/>
        </w:rPr>
        <w:t>10</w:t>
      </w:r>
      <w:r w:rsidRPr="00687B52">
        <w:rPr>
          <w:color w:val="000000" w:themeColor="text1"/>
          <w:vertAlign w:val="superscript"/>
        </w:rPr>
        <w:t>5</w:t>
      </w:r>
      <w:r w:rsidRPr="00687B52">
        <w:rPr>
          <w:rFonts w:hint="eastAsia"/>
          <w:color w:val="000000" w:themeColor="text1"/>
        </w:rPr>
        <w:t>P</w:t>
      </w:r>
      <w:r w:rsidRPr="00687B52">
        <w:rPr>
          <w:color w:val="000000" w:themeColor="text1"/>
        </w:rPr>
        <w:t>a</w:t>
      </w:r>
      <w:r w:rsidRPr="00687B52">
        <w:rPr>
          <w:color w:val="000000" w:themeColor="text1"/>
        </w:rPr>
        <w:t>）的乘积计算。液氧贮罐以</w:t>
      </w:r>
      <w:r w:rsidRPr="00687B52">
        <w:rPr>
          <w:color w:val="000000" w:themeColor="text1"/>
        </w:rPr>
        <w:t>1m</w:t>
      </w:r>
      <w:r w:rsidRPr="00687B52">
        <w:rPr>
          <w:color w:val="000000" w:themeColor="text1"/>
          <w:vertAlign w:val="superscript"/>
        </w:rPr>
        <w:t>3</w:t>
      </w:r>
      <w:r w:rsidRPr="00687B52">
        <w:rPr>
          <w:color w:val="000000" w:themeColor="text1"/>
        </w:rPr>
        <w:t>液氧折合</w:t>
      </w:r>
      <w:r w:rsidRPr="00687B52">
        <w:rPr>
          <w:color w:val="000000" w:themeColor="text1"/>
        </w:rPr>
        <w:t>800m</w:t>
      </w:r>
      <w:r w:rsidRPr="00687B52">
        <w:rPr>
          <w:color w:val="000000" w:themeColor="text1"/>
          <w:vertAlign w:val="superscript"/>
        </w:rPr>
        <w:t>3</w:t>
      </w:r>
      <w:r w:rsidRPr="00687B52">
        <w:rPr>
          <w:color w:val="000000" w:themeColor="text1"/>
        </w:rPr>
        <w:t>标准状态气氧计算，按本表氧气贮罐相应贮设的规定确定防火间距。</w:t>
      </w:r>
    </w:p>
    <w:p w:rsidR="00457CB7" w:rsidRPr="00687B52" w:rsidRDefault="00457CB7" w:rsidP="004420CB">
      <w:pPr>
        <w:pStyle w:val="ae"/>
        <w:ind w:firstLine="482"/>
        <w:rPr>
          <w:b/>
          <w:color w:val="000000" w:themeColor="text1"/>
          <w:sz w:val="24"/>
        </w:rPr>
      </w:pPr>
      <w:r w:rsidRPr="00687B52">
        <w:rPr>
          <w:b/>
          <w:color w:val="000000" w:themeColor="text1"/>
          <w:sz w:val="24"/>
        </w:rPr>
        <w:t>附录</w:t>
      </w:r>
      <w:r w:rsidRPr="00687B52">
        <w:rPr>
          <w:b/>
          <w:color w:val="000000" w:themeColor="text1"/>
          <w:sz w:val="24"/>
        </w:rPr>
        <w:t>B</w:t>
      </w:r>
      <w:r w:rsidRPr="00687B52">
        <w:rPr>
          <w:b/>
          <w:color w:val="000000" w:themeColor="text1"/>
          <w:sz w:val="24"/>
        </w:rPr>
        <w:t>厂区架空氧气管道、管架与建筑物、构筑物、铁路、道路等之间的最小净距</w:t>
      </w:r>
    </w:p>
    <w:p w:rsidR="00457CB7" w:rsidRPr="00687B52" w:rsidRDefault="00457CB7" w:rsidP="004420CB">
      <w:pPr>
        <w:pStyle w:val="afd"/>
        <w:rPr>
          <w:color w:val="000000" w:themeColor="text1"/>
        </w:rPr>
      </w:pPr>
      <w:bookmarkStart w:id="338" w:name="_Toc493857110"/>
      <w:r w:rsidRPr="00687B52">
        <w:rPr>
          <w:color w:val="000000" w:themeColor="text1"/>
        </w:rPr>
        <w:t>表</w:t>
      </w:r>
      <w:r w:rsidRPr="00687B52">
        <w:rPr>
          <w:color w:val="000000" w:themeColor="text1"/>
        </w:rPr>
        <w:t>B</w:t>
      </w:r>
      <w:r w:rsidRPr="00687B52">
        <w:rPr>
          <w:color w:val="000000" w:themeColor="text1"/>
        </w:rPr>
        <w:t>厂区架空氧气管道、管架与建筑物、构筑物、铁路、道路等之间的最小净距（</w:t>
      </w:r>
      <w:r w:rsidRPr="00687B52">
        <w:rPr>
          <w:rFonts w:hint="eastAsia"/>
          <w:color w:val="000000" w:themeColor="text1"/>
        </w:rPr>
        <w:t>m</w:t>
      </w:r>
      <w:r w:rsidRPr="00687B52">
        <w:rPr>
          <w:rFonts w:hint="eastAsia"/>
          <w:color w:val="000000" w:themeColor="text1"/>
        </w:rPr>
        <w:t>）</w:t>
      </w:r>
      <w:bookmarkEnd w:id="338"/>
    </w:p>
    <w:tbl>
      <w:tblPr>
        <w:tblW w:w="0" w:type="auto"/>
        <w:jc w:val="center"/>
        <w:tblLayout w:type="fixed"/>
        <w:tblCellMar>
          <w:left w:w="10" w:type="dxa"/>
          <w:right w:w="10" w:type="dxa"/>
        </w:tblCellMar>
        <w:tblLook w:val="0000" w:firstRow="0" w:lastRow="0" w:firstColumn="0" w:lastColumn="0" w:noHBand="0" w:noVBand="0"/>
      </w:tblPr>
      <w:tblGrid>
        <w:gridCol w:w="4424"/>
        <w:gridCol w:w="2007"/>
        <w:gridCol w:w="1895"/>
      </w:tblGrid>
      <w:tr w:rsidR="00457CB7" w:rsidRPr="00687B52" w:rsidTr="002144E3">
        <w:trPr>
          <w:jc w:val="center"/>
        </w:trPr>
        <w:tc>
          <w:tcPr>
            <w:tcW w:w="4424"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名称</w:t>
            </w:r>
          </w:p>
        </w:tc>
        <w:tc>
          <w:tcPr>
            <w:tcW w:w="2007"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水平净距</w:t>
            </w:r>
          </w:p>
        </w:tc>
        <w:tc>
          <w:tcPr>
            <w:tcW w:w="1895"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垂直净距</w:t>
            </w:r>
          </w:p>
        </w:tc>
      </w:tr>
      <w:tr w:rsidR="00457CB7" w:rsidRPr="00687B52" w:rsidTr="002144E3">
        <w:trPr>
          <w:jc w:val="center"/>
        </w:trPr>
        <w:tc>
          <w:tcPr>
            <w:tcW w:w="4424"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建筑物有门窗的墙壁外边或突出部分外边</w:t>
            </w:r>
          </w:p>
        </w:tc>
        <w:tc>
          <w:tcPr>
            <w:tcW w:w="2007"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3.0</w:t>
            </w:r>
          </w:p>
        </w:tc>
        <w:tc>
          <w:tcPr>
            <w:tcW w:w="1895"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w:t>
            </w:r>
          </w:p>
        </w:tc>
      </w:tr>
      <w:tr w:rsidR="00457CB7" w:rsidRPr="00687B52" w:rsidTr="002144E3">
        <w:trPr>
          <w:jc w:val="center"/>
        </w:trPr>
        <w:tc>
          <w:tcPr>
            <w:tcW w:w="4424"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建筑物无门窗的墙壁外边或突出部分外边</w:t>
            </w:r>
          </w:p>
        </w:tc>
        <w:tc>
          <w:tcPr>
            <w:tcW w:w="2007"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1.5</w:t>
            </w:r>
          </w:p>
        </w:tc>
        <w:tc>
          <w:tcPr>
            <w:tcW w:w="1895"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420CB">
            <w:pPr>
              <w:pStyle w:val="a7"/>
              <w:rPr>
                <w:color w:val="000000" w:themeColor="text1"/>
                <w:szCs w:val="24"/>
              </w:rPr>
            </w:pPr>
          </w:p>
        </w:tc>
      </w:tr>
      <w:tr w:rsidR="00457CB7" w:rsidRPr="00687B52" w:rsidTr="002144E3">
        <w:trPr>
          <w:jc w:val="center"/>
        </w:trPr>
        <w:tc>
          <w:tcPr>
            <w:tcW w:w="4424"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非电气化铁路钢轨</w:t>
            </w:r>
          </w:p>
        </w:tc>
        <w:tc>
          <w:tcPr>
            <w:tcW w:w="2007"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3.0</w:t>
            </w:r>
          </w:p>
        </w:tc>
        <w:tc>
          <w:tcPr>
            <w:tcW w:w="1895"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5.5</w:t>
            </w:r>
          </w:p>
        </w:tc>
      </w:tr>
      <w:tr w:rsidR="00457CB7" w:rsidRPr="00687B52" w:rsidTr="002144E3">
        <w:trPr>
          <w:jc w:val="center"/>
        </w:trPr>
        <w:tc>
          <w:tcPr>
            <w:tcW w:w="4424"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电气化铁路钢轨</w:t>
            </w:r>
          </w:p>
        </w:tc>
        <w:tc>
          <w:tcPr>
            <w:tcW w:w="2007"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3.0</w:t>
            </w:r>
          </w:p>
        </w:tc>
        <w:tc>
          <w:tcPr>
            <w:tcW w:w="1895"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6.6</w:t>
            </w:r>
          </w:p>
        </w:tc>
      </w:tr>
      <w:tr w:rsidR="00457CB7" w:rsidRPr="00687B52" w:rsidTr="002144E3">
        <w:trPr>
          <w:jc w:val="center"/>
        </w:trPr>
        <w:tc>
          <w:tcPr>
            <w:tcW w:w="4424"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道路</w:t>
            </w:r>
          </w:p>
        </w:tc>
        <w:tc>
          <w:tcPr>
            <w:tcW w:w="2007"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1.0</w:t>
            </w:r>
          </w:p>
        </w:tc>
        <w:tc>
          <w:tcPr>
            <w:tcW w:w="1895"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5.0</w:t>
            </w:r>
          </w:p>
        </w:tc>
      </w:tr>
      <w:tr w:rsidR="00457CB7" w:rsidRPr="00687B52" w:rsidTr="002144E3">
        <w:trPr>
          <w:jc w:val="center"/>
        </w:trPr>
        <w:tc>
          <w:tcPr>
            <w:tcW w:w="4424"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人行道</w:t>
            </w:r>
          </w:p>
        </w:tc>
        <w:tc>
          <w:tcPr>
            <w:tcW w:w="2007"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0.5</w:t>
            </w:r>
          </w:p>
        </w:tc>
        <w:tc>
          <w:tcPr>
            <w:tcW w:w="1895"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2.5</w:t>
            </w:r>
          </w:p>
        </w:tc>
      </w:tr>
      <w:tr w:rsidR="00457CB7" w:rsidRPr="00687B52" w:rsidTr="002144E3">
        <w:trPr>
          <w:jc w:val="center"/>
        </w:trPr>
        <w:tc>
          <w:tcPr>
            <w:tcW w:w="4424"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厂区围墙（中心线）</w:t>
            </w:r>
          </w:p>
        </w:tc>
        <w:tc>
          <w:tcPr>
            <w:tcW w:w="2007"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1.0</w:t>
            </w:r>
          </w:p>
        </w:tc>
        <w:tc>
          <w:tcPr>
            <w:tcW w:w="1895"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w:t>
            </w:r>
          </w:p>
        </w:tc>
      </w:tr>
      <w:tr w:rsidR="00457CB7" w:rsidRPr="00687B52" w:rsidTr="002144E3">
        <w:trPr>
          <w:jc w:val="center"/>
        </w:trPr>
        <w:tc>
          <w:tcPr>
            <w:tcW w:w="4424"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照明、电信杆柱中心</w:t>
            </w:r>
          </w:p>
        </w:tc>
        <w:tc>
          <w:tcPr>
            <w:tcW w:w="2007"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1.0</w:t>
            </w:r>
          </w:p>
        </w:tc>
        <w:tc>
          <w:tcPr>
            <w:tcW w:w="1895"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w:t>
            </w:r>
          </w:p>
        </w:tc>
      </w:tr>
      <w:tr w:rsidR="00457CB7" w:rsidRPr="00687B52" w:rsidTr="002144E3">
        <w:trPr>
          <w:jc w:val="center"/>
        </w:trPr>
        <w:tc>
          <w:tcPr>
            <w:tcW w:w="4424" w:type="dxa"/>
            <w:tcBorders>
              <w:top w:val="single" w:sz="4" w:space="0" w:color="auto"/>
              <w:left w:val="single" w:sz="4" w:space="0" w:color="auto"/>
              <w:bottom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熔化金属地点和明火地点</w:t>
            </w:r>
          </w:p>
        </w:tc>
        <w:tc>
          <w:tcPr>
            <w:tcW w:w="2007" w:type="dxa"/>
            <w:tcBorders>
              <w:top w:val="single" w:sz="4" w:space="0" w:color="auto"/>
              <w:left w:val="single" w:sz="4" w:space="0" w:color="auto"/>
              <w:bottom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w:t>
            </w:r>
          </w:p>
        </w:tc>
      </w:tr>
    </w:tbl>
    <w:p w:rsidR="00457CB7" w:rsidRPr="00687B52" w:rsidRDefault="00457CB7" w:rsidP="00F25ED0">
      <w:pPr>
        <w:adjustRightInd w:val="0"/>
        <w:snapToGrid w:val="0"/>
        <w:spacing w:beforeLines="50" w:before="156" w:line="276" w:lineRule="auto"/>
        <w:rPr>
          <w:rFonts w:ascii="Segoe UI" w:hAnsi="Segoe UI" w:cs="Segoe UI"/>
          <w:color w:val="000000" w:themeColor="text1"/>
          <w:sz w:val="24"/>
          <w:szCs w:val="24"/>
        </w:rPr>
      </w:pPr>
      <w:r w:rsidRPr="00687B52">
        <w:rPr>
          <w:rFonts w:ascii="Segoe UI" w:hAnsi="Segoe UI" w:cs="Segoe UI"/>
          <w:color w:val="000000" w:themeColor="text1"/>
          <w:sz w:val="24"/>
          <w:szCs w:val="24"/>
        </w:rPr>
        <w:t>注：</w:t>
      </w:r>
      <w:r w:rsidRPr="00687B52">
        <w:rPr>
          <w:rFonts w:ascii="Segoe UI" w:hAnsi="Segoe UI" w:cs="Segoe UI"/>
          <w:color w:val="000000" w:themeColor="text1"/>
          <w:sz w:val="24"/>
          <w:szCs w:val="24"/>
        </w:rPr>
        <w:t>1</w:t>
      </w:r>
      <w:r w:rsidRPr="00687B52">
        <w:rPr>
          <w:rFonts w:ascii="Segoe UI" w:hAnsi="Segoe UI" w:cs="Segoe UI"/>
          <w:color w:val="000000" w:themeColor="text1"/>
          <w:sz w:val="24"/>
          <w:szCs w:val="24"/>
        </w:rPr>
        <w:t>表中水平距离：管架从最外边线算起；道路为城市型时，自路面边缘</w:t>
      </w:r>
      <w:r w:rsidRPr="00687B52">
        <w:rPr>
          <w:rFonts w:ascii="Segoe UI" w:hAnsi="Segoe UI" w:cs="Segoe UI" w:hint="eastAsia"/>
          <w:color w:val="000000" w:themeColor="text1"/>
          <w:sz w:val="24"/>
          <w:szCs w:val="24"/>
        </w:rPr>
        <w:t>算</w:t>
      </w:r>
      <w:r w:rsidRPr="00687B52">
        <w:rPr>
          <w:rFonts w:ascii="Segoe UI" w:hAnsi="Segoe UI" w:cs="Segoe UI"/>
          <w:color w:val="000000" w:themeColor="text1"/>
          <w:sz w:val="24"/>
          <w:szCs w:val="24"/>
        </w:rPr>
        <w:t>起</w:t>
      </w:r>
      <w:r w:rsidRPr="00687B52">
        <w:rPr>
          <w:rFonts w:ascii="Segoe UI" w:hAnsi="Segoe UI" w:cs="Segoe UI"/>
          <w:color w:val="000000" w:themeColor="text1"/>
          <w:sz w:val="24"/>
          <w:szCs w:val="24"/>
        </w:rPr>
        <w:t>;</w:t>
      </w:r>
      <w:r w:rsidRPr="00687B52">
        <w:rPr>
          <w:rFonts w:ascii="Segoe UI" w:hAnsi="Segoe UI" w:cs="Segoe UI"/>
          <w:color w:val="000000" w:themeColor="text1"/>
          <w:sz w:val="24"/>
          <w:szCs w:val="24"/>
        </w:rPr>
        <w:t>道路为公路型时，自路肩边缘算起</w:t>
      </w:r>
      <w:r w:rsidRPr="00687B52">
        <w:rPr>
          <w:rFonts w:ascii="Segoe UI" w:hAnsi="Segoe UI" w:cs="Segoe UI" w:hint="eastAsia"/>
          <w:color w:val="000000" w:themeColor="text1"/>
          <w:sz w:val="24"/>
          <w:szCs w:val="24"/>
        </w:rPr>
        <w:t>；</w:t>
      </w:r>
      <w:r w:rsidRPr="00687B52">
        <w:rPr>
          <w:rFonts w:ascii="Segoe UI" w:hAnsi="Segoe UI" w:cs="Segoe UI"/>
          <w:color w:val="000000" w:themeColor="text1"/>
          <w:sz w:val="24"/>
          <w:szCs w:val="24"/>
        </w:rPr>
        <w:t>铁路自轨外侧或按建筑界限</w:t>
      </w:r>
      <w:r w:rsidRPr="00687B52">
        <w:rPr>
          <w:rFonts w:ascii="Segoe UI" w:hAnsi="Segoe UI" w:cs="Segoe UI" w:hint="eastAsia"/>
          <w:color w:val="000000" w:themeColor="text1"/>
          <w:sz w:val="24"/>
          <w:szCs w:val="24"/>
        </w:rPr>
        <w:t>算</w:t>
      </w:r>
      <w:r w:rsidRPr="00687B52">
        <w:rPr>
          <w:rFonts w:ascii="Segoe UI" w:hAnsi="Segoe UI" w:cs="Segoe UI"/>
          <w:color w:val="000000" w:themeColor="text1"/>
          <w:sz w:val="24"/>
          <w:szCs w:val="24"/>
        </w:rPr>
        <w:t>起；人行道自外沿算起。</w:t>
      </w:r>
    </w:p>
    <w:p w:rsidR="00457CB7" w:rsidRPr="00687B52" w:rsidRDefault="00457CB7" w:rsidP="002144E3">
      <w:pPr>
        <w:adjustRightInd w:val="0"/>
        <w:snapToGrid w:val="0"/>
        <w:spacing w:line="276" w:lineRule="auto"/>
        <w:ind w:firstLineChars="200" w:firstLine="480"/>
        <w:rPr>
          <w:rFonts w:ascii="Segoe UI" w:hAnsi="Segoe UI" w:cs="Segoe UI"/>
          <w:color w:val="000000" w:themeColor="text1"/>
          <w:sz w:val="24"/>
          <w:szCs w:val="24"/>
        </w:rPr>
      </w:pPr>
      <w:r w:rsidRPr="00687B52">
        <w:rPr>
          <w:rFonts w:ascii="Segoe UI" w:hAnsi="Segoe UI" w:cs="Segoe UI"/>
          <w:color w:val="000000" w:themeColor="text1"/>
          <w:sz w:val="24"/>
          <w:szCs w:val="24"/>
        </w:rPr>
        <w:t>2</w:t>
      </w:r>
      <w:r w:rsidRPr="00687B52">
        <w:rPr>
          <w:rFonts w:ascii="Segoe UI" w:hAnsi="Segoe UI" w:cs="Segoe UI"/>
          <w:color w:val="000000" w:themeColor="text1"/>
          <w:sz w:val="24"/>
          <w:szCs w:val="24"/>
        </w:rPr>
        <w:t>表中垂直距离：管线自防护设施的外缘</w:t>
      </w:r>
      <w:r w:rsidRPr="00687B52">
        <w:rPr>
          <w:rFonts w:ascii="Segoe UI" w:hAnsi="Segoe UI" w:cs="Segoe UI" w:hint="eastAsia"/>
          <w:color w:val="000000" w:themeColor="text1"/>
          <w:sz w:val="24"/>
          <w:szCs w:val="24"/>
        </w:rPr>
        <w:t>算</w:t>
      </w:r>
      <w:r w:rsidRPr="00687B52">
        <w:rPr>
          <w:rFonts w:ascii="Segoe UI" w:hAnsi="Segoe UI" w:cs="Segoe UI"/>
          <w:color w:val="000000" w:themeColor="text1"/>
          <w:sz w:val="24"/>
          <w:szCs w:val="24"/>
        </w:rPr>
        <w:t>起，管架自</w:t>
      </w:r>
      <w:r w:rsidRPr="00687B52">
        <w:rPr>
          <w:rFonts w:ascii="Segoe UI" w:hAnsi="Segoe UI" w:cs="Segoe UI" w:hint="eastAsia"/>
          <w:color w:val="000000" w:themeColor="text1"/>
          <w:sz w:val="24"/>
          <w:szCs w:val="24"/>
        </w:rPr>
        <w:t>最</w:t>
      </w:r>
      <w:r w:rsidRPr="00687B52">
        <w:rPr>
          <w:rFonts w:ascii="Segoe UI" w:hAnsi="Segoe UI" w:cs="Segoe UI"/>
          <w:color w:val="000000" w:themeColor="text1"/>
          <w:sz w:val="24"/>
          <w:szCs w:val="24"/>
        </w:rPr>
        <w:t>低部分算起，铁路自轨面</w:t>
      </w:r>
      <w:r w:rsidRPr="00687B52">
        <w:rPr>
          <w:rFonts w:ascii="Segoe UI" w:hAnsi="Segoe UI" w:cs="Segoe UI" w:hint="eastAsia"/>
          <w:color w:val="000000" w:themeColor="text1"/>
          <w:sz w:val="24"/>
          <w:szCs w:val="24"/>
        </w:rPr>
        <w:t>算</w:t>
      </w:r>
      <w:r w:rsidRPr="00687B52">
        <w:rPr>
          <w:rFonts w:ascii="Segoe UI" w:hAnsi="Segoe UI" w:cs="Segoe UI"/>
          <w:color w:val="000000" w:themeColor="text1"/>
          <w:sz w:val="24"/>
          <w:szCs w:val="24"/>
        </w:rPr>
        <w:t>起，道路自路拱</w:t>
      </w:r>
      <w:r w:rsidRPr="00687B52">
        <w:rPr>
          <w:rFonts w:ascii="Segoe UI" w:hAnsi="Segoe UI" w:cs="Segoe UI" w:hint="eastAsia"/>
          <w:color w:val="000000" w:themeColor="text1"/>
          <w:sz w:val="24"/>
          <w:szCs w:val="24"/>
        </w:rPr>
        <w:t>算</w:t>
      </w:r>
      <w:r w:rsidRPr="00687B52">
        <w:rPr>
          <w:rFonts w:ascii="Segoe UI" w:hAnsi="Segoe UI" w:cs="Segoe UI"/>
          <w:color w:val="000000" w:themeColor="text1"/>
          <w:sz w:val="24"/>
          <w:szCs w:val="24"/>
        </w:rPr>
        <w:t>起，人行道自路面算起。</w:t>
      </w:r>
    </w:p>
    <w:p w:rsidR="00457CB7" w:rsidRPr="00687B52" w:rsidRDefault="00457CB7" w:rsidP="002144E3">
      <w:pPr>
        <w:adjustRightInd w:val="0"/>
        <w:snapToGrid w:val="0"/>
        <w:spacing w:line="276" w:lineRule="auto"/>
        <w:ind w:firstLineChars="200" w:firstLine="480"/>
        <w:rPr>
          <w:rFonts w:ascii="Segoe UI" w:hAnsi="Segoe UI" w:cs="Segoe UI"/>
          <w:color w:val="000000" w:themeColor="text1"/>
          <w:sz w:val="24"/>
          <w:szCs w:val="24"/>
        </w:rPr>
      </w:pPr>
      <w:r w:rsidRPr="00687B52">
        <w:rPr>
          <w:rFonts w:ascii="Segoe UI" w:hAnsi="Segoe UI" w:cs="Segoe UI"/>
          <w:color w:val="000000" w:themeColor="text1"/>
          <w:sz w:val="24"/>
          <w:szCs w:val="24"/>
        </w:rPr>
        <w:t>3</w:t>
      </w:r>
      <w:r w:rsidRPr="00687B52">
        <w:rPr>
          <w:rFonts w:ascii="Segoe UI" w:hAnsi="Segoe UI" w:cs="Segoe UI"/>
          <w:color w:val="000000" w:themeColor="text1"/>
          <w:sz w:val="24"/>
          <w:szCs w:val="24"/>
        </w:rPr>
        <w:t>当有大件运输要求或在检修期间有大型起吊设施通过的道路，其</w:t>
      </w:r>
      <w:r w:rsidRPr="00687B52">
        <w:rPr>
          <w:rFonts w:ascii="Segoe UI" w:hAnsi="Segoe UI" w:cs="Segoe UI" w:hint="eastAsia"/>
          <w:color w:val="000000" w:themeColor="text1"/>
          <w:sz w:val="24"/>
          <w:szCs w:val="24"/>
        </w:rPr>
        <w:t>最</w:t>
      </w:r>
      <w:r w:rsidRPr="00687B52">
        <w:rPr>
          <w:rFonts w:ascii="Segoe UI" w:hAnsi="Segoe UI" w:cs="Segoe UI"/>
          <w:color w:val="000000" w:themeColor="text1"/>
          <w:sz w:val="24"/>
          <w:szCs w:val="24"/>
        </w:rPr>
        <w:t>小垂直净距应根据</w:t>
      </w:r>
      <w:r w:rsidRPr="00687B52">
        <w:rPr>
          <w:rFonts w:ascii="Segoe UI" w:hAnsi="Segoe UI" w:cs="Segoe UI" w:hint="eastAsia"/>
          <w:color w:val="000000" w:themeColor="text1"/>
          <w:sz w:val="24"/>
          <w:szCs w:val="24"/>
        </w:rPr>
        <w:t>需</w:t>
      </w:r>
      <w:r w:rsidRPr="00687B52">
        <w:rPr>
          <w:rFonts w:ascii="Segoe UI" w:hAnsi="Segoe UI" w:cs="Segoe UI"/>
          <w:color w:val="000000" w:themeColor="text1"/>
          <w:sz w:val="24"/>
          <w:szCs w:val="24"/>
        </w:rPr>
        <w:t>要确定。</w:t>
      </w:r>
    </w:p>
    <w:p w:rsidR="00457CB7" w:rsidRPr="00687B52" w:rsidRDefault="00457CB7" w:rsidP="002144E3">
      <w:pPr>
        <w:adjustRightInd w:val="0"/>
        <w:snapToGrid w:val="0"/>
        <w:spacing w:line="276" w:lineRule="auto"/>
        <w:ind w:firstLineChars="200" w:firstLine="480"/>
        <w:rPr>
          <w:rFonts w:ascii="Segoe UI" w:hAnsi="Segoe UI" w:cs="Segoe UI"/>
          <w:color w:val="000000" w:themeColor="text1"/>
          <w:sz w:val="24"/>
          <w:szCs w:val="24"/>
        </w:rPr>
      </w:pPr>
      <w:r w:rsidRPr="00687B52">
        <w:rPr>
          <w:rFonts w:ascii="Segoe UI" w:hAnsi="Segoe UI" w:cs="Segoe UI"/>
          <w:color w:val="000000" w:themeColor="text1"/>
          <w:sz w:val="24"/>
          <w:szCs w:val="24"/>
        </w:rPr>
        <w:t>4</w:t>
      </w:r>
      <w:r w:rsidRPr="00687B52">
        <w:rPr>
          <w:rFonts w:ascii="Segoe UI" w:hAnsi="Segoe UI" w:cs="Segoe UI"/>
          <w:color w:val="000000" w:themeColor="text1"/>
          <w:sz w:val="24"/>
          <w:szCs w:val="24"/>
        </w:rPr>
        <w:t>表中与建筑物的</w:t>
      </w:r>
      <w:r w:rsidRPr="00687B52">
        <w:rPr>
          <w:rFonts w:ascii="Segoe UI" w:hAnsi="Segoe UI" w:cs="Segoe UI" w:hint="eastAsia"/>
          <w:color w:val="000000" w:themeColor="text1"/>
          <w:sz w:val="24"/>
          <w:szCs w:val="24"/>
        </w:rPr>
        <w:t>最</w:t>
      </w:r>
      <w:r w:rsidRPr="00687B52">
        <w:rPr>
          <w:rFonts w:ascii="Segoe UI" w:hAnsi="Segoe UI" w:cs="Segoe UI"/>
          <w:color w:val="000000" w:themeColor="text1"/>
          <w:sz w:val="24"/>
          <w:szCs w:val="24"/>
        </w:rPr>
        <w:t>小水平净距的规定，不适用于沿</w:t>
      </w:r>
      <w:r w:rsidRPr="00687B52">
        <w:rPr>
          <w:rFonts w:ascii="Segoe UI" w:hAnsi="Segoe UI" w:cs="Segoe UI" w:hint="eastAsia"/>
          <w:color w:val="000000" w:themeColor="text1"/>
          <w:sz w:val="24"/>
          <w:szCs w:val="24"/>
        </w:rPr>
        <w:t>氧</w:t>
      </w:r>
      <w:r w:rsidRPr="00687B52">
        <w:rPr>
          <w:rFonts w:ascii="Segoe UI" w:hAnsi="Segoe UI" w:cs="Segoe UI"/>
          <w:color w:val="000000" w:themeColor="text1"/>
          <w:sz w:val="24"/>
          <w:szCs w:val="24"/>
        </w:rPr>
        <w:t>气生产车间或</w:t>
      </w:r>
      <w:r w:rsidRPr="00687B52">
        <w:rPr>
          <w:rFonts w:ascii="Segoe UI" w:hAnsi="Segoe UI" w:cs="Segoe UI" w:hint="eastAsia"/>
          <w:color w:val="000000" w:themeColor="text1"/>
          <w:sz w:val="24"/>
          <w:szCs w:val="24"/>
        </w:rPr>
        <w:t>氧气</w:t>
      </w:r>
      <w:r w:rsidRPr="00687B52">
        <w:rPr>
          <w:rFonts w:ascii="Segoe UI" w:hAnsi="Segoe UI" w:cs="Segoe UI"/>
          <w:color w:val="000000" w:themeColor="text1"/>
          <w:sz w:val="24"/>
          <w:szCs w:val="24"/>
        </w:rPr>
        <w:t>用户车间建筑物外墙敷设的管道。</w:t>
      </w:r>
    </w:p>
    <w:p w:rsidR="00457CB7" w:rsidRPr="00687B52" w:rsidRDefault="00457CB7" w:rsidP="002144E3">
      <w:pPr>
        <w:adjustRightInd w:val="0"/>
        <w:snapToGrid w:val="0"/>
        <w:spacing w:line="276" w:lineRule="auto"/>
        <w:ind w:firstLineChars="200" w:firstLine="480"/>
        <w:rPr>
          <w:rFonts w:ascii="Segoe UI" w:hAnsi="Segoe UI" w:cs="Segoe UI"/>
          <w:color w:val="000000" w:themeColor="text1"/>
          <w:sz w:val="24"/>
          <w:szCs w:val="24"/>
        </w:rPr>
      </w:pPr>
      <w:r w:rsidRPr="00687B52">
        <w:rPr>
          <w:rFonts w:ascii="Segoe UI" w:hAnsi="Segoe UI" w:cs="Segoe UI"/>
          <w:color w:val="000000" w:themeColor="text1"/>
          <w:sz w:val="24"/>
          <w:szCs w:val="24"/>
        </w:rPr>
        <w:t>5</w:t>
      </w:r>
      <w:r w:rsidRPr="00687B52">
        <w:rPr>
          <w:rFonts w:ascii="Segoe UI" w:hAnsi="Segoe UI" w:cs="Segoe UI"/>
          <w:color w:val="000000" w:themeColor="text1"/>
          <w:sz w:val="24"/>
          <w:szCs w:val="24"/>
        </w:rPr>
        <w:t>与架空电力线路的距离应符合现行国家标准《</w:t>
      </w:r>
      <w:r w:rsidRPr="00687B52">
        <w:rPr>
          <w:rFonts w:ascii="Segoe UI" w:hAnsi="Segoe UI" w:cs="Segoe UI"/>
          <w:color w:val="000000" w:themeColor="text1"/>
          <w:sz w:val="24"/>
          <w:szCs w:val="24"/>
        </w:rPr>
        <w:t>66V</w:t>
      </w:r>
      <w:r w:rsidRPr="00687B52">
        <w:rPr>
          <w:rFonts w:ascii="Segoe UI" w:hAnsi="Segoe UI" w:cs="Segoe UI"/>
          <w:color w:val="000000" w:themeColor="text1"/>
          <w:sz w:val="24"/>
          <w:szCs w:val="24"/>
        </w:rPr>
        <w:t>及以下架空电力线路设计规范》</w:t>
      </w:r>
      <w:r w:rsidRPr="00687B52">
        <w:rPr>
          <w:rFonts w:ascii="Segoe UI" w:hAnsi="Segoe UI" w:cs="Segoe UI"/>
          <w:color w:val="000000" w:themeColor="text1"/>
          <w:sz w:val="24"/>
          <w:szCs w:val="24"/>
        </w:rPr>
        <w:t>GB50061</w:t>
      </w:r>
      <w:r w:rsidRPr="00687B52">
        <w:rPr>
          <w:rFonts w:ascii="Segoe UI" w:hAnsi="Segoe UI" w:cs="Segoe UI"/>
          <w:color w:val="000000" w:themeColor="text1"/>
          <w:sz w:val="24"/>
          <w:szCs w:val="24"/>
        </w:rPr>
        <w:t>的有关规定。</w:t>
      </w:r>
    </w:p>
    <w:p w:rsidR="00457CB7" w:rsidRPr="00687B52" w:rsidRDefault="00457CB7" w:rsidP="00457CB7">
      <w:pPr>
        <w:adjustRightInd w:val="0"/>
        <w:snapToGrid w:val="0"/>
        <w:spacing w:line="360" w:lineRule="auto"/>
        <w:ind w:firstLineChars="200" w:firstLine="420"/>
        <w:rPr>
          <w:rFonts w:ascii="Segoe UI" w:hAnsi="Segoe UI" w:cs="Segoe UI"/>
          <w:color w:val="000000" w:themeColor="text1"/>
          <w:szCs w:val="24"/>
        </w:rPr>
      </w:pPr>
    </w:p>
    <w:p w:rsidR="00457CB7" w:rsidRPr="00687B52" w:rsidRDefault="00457CB7" w:rsidP="00457CB7">
      <w:pPr>
        <w:adjustRightInd w:val="0"/>
        <w:snapToGrid w:val="0"/>
        <w:spacing w:line="360" w:lineRule="auto"/>
        <w:ind w:firstLineChars="200" w:firstLine="420"/>
        <w:rPr>
          <w:rFonts w:ascii="Segoe UI" w:hAnsi="Segoe UI" w:cs="Segoe UI"/>
          <w:color w:val="000000" w:themeColor="text1"/>
          <w:szCs w:val="24"/>
        </w:rPr>
      </w:pPr>
    </w:p>
    <w:p w:rsidR="00457CB7" w:rsidRPr="00687B52" w:rsidRDefault="00457CB7" w:rsidP="00457CB7">
      <w:pPr>
        <w:adjustRightInd w:val="0"/>
        <w:snapToGrid w:val="0"/>
        <w:spacing w:line="360" w:lineRule="auto"/>
        <w:ind w:firstLineChars="200" w:firstLine="420"/>
        <w:rPr>
          <w:rFonts w:ascii="Segoe UI" w:hAnsi="Segoe UI" w:cs="Segoe UI"/>
          <w:color w:val="000000" w:themeColor="text1"/>
          <w:szCs w:val="24"/>
        </w:rPr>
      </w:pPr>
    </w:p>
    <w:p w:rsidR="00457CB7" w:rsidRPr="00687B52" w:rsidRDefault="00457CB7" w:rsidP="00457CB7">
      <w:pPr>
        <w:adjustRightInd w:val="0"/>
        <w:snapToGrid w:val="0"/>
        <w:spacing w:line="360" w:lineRule="auto"/>
        <w:ind w:firstLineChars="200" w:firstLine="420"/>
        <w:rPr>
          <w:rFonts w:ascii="Segoe UI" w:hAnsi="Segoe UI" w:cs="Segoe UI"/>
          <w:color w:val="000000" w:themeColor="text1"/>
          <w:szCs w:val="24"/>
        </w:rPr>
      </w:pPr>
    </w:p>
    <w:p w:rsidR="00457CB7" w:rsidRPr="00687B52" w:rsidRDefault="00457CB7" w:rsidP="004420CB">
      <w:pPr>
        <w:pStyle w:val="ae"/>
        <w:ind w:firstLine="482"/>
        <w:rPr>
          <w:b/>
          <w:color w:val="000000" w:themeColor="text1"/>
          <w:sz w:val="24"/>
        </w:rPr>
      </w:pPr>
      <w:r w:rsidRPr="00687B52">
        <w:rPr>
          <w:b/>
          <w:color w:val="000000" w:themeColor="text1"/>
          <w:sz w:val="24"/>
        </w:rPr>
        <w:t>附录</w:t>
      </w:r>
      <w:r w:rsidRPr="00687B52">
        <w:rPr>
          <w:rFonts w:hint="eastAsia"/>
          <w:b/>
          <w:color w:val="000000" w:themeColor="text1"/>
          <w:sz w:val="24"/>
        </w:rPr>
        <w:t>C</w:t>
      </w:r>
      <w:r w:rsidRPr="00687B52">
        <w:rPr>
          <w:b/>
          <w:color w:val="000000" w:themeColor="text1"/>
          <w:sz w:val="24"/>
        </w:rPr>
        <w:t>厂区及车间架空氧气管道与其他架空管线之间的最小净距</w:t>
      </w:r>
    </w:p>
    <w:p w:rsidR="00457CB7" w:rsidRPr="00687B52" w:rsidRDefault="00457CB7" w:rsidP="004420CB">
      <w:pPr>
        <w:pStyle w:val="afd"/>
        <w:rPr>
          <w:color w:val="000000" w:themeColor="text1"/>
        </w:rPr>
      </w:pPr>
      <w:bookmarkStart w:id="339" w:name="_Toc493857111"/>
      <w:r w:rsidRPr="00687B52">
        <w:rPr>
          <w:color w:val="000000" w:themeColor="text1"/>
        </w:rPr>
        <w:t>表</w:t>
      </w:r>
      <w:r w:rsidRPr="00687B52">
        <w:rPr>
          <w:color w:val="000000" w:themeColor="text1"/>
        </w:rPr>
        <w:t>C</w:t>
      </w:r>
      <w:r w:rsidRPr="00687B52">
        <w:rPr>
          <w:color w:val="000000" w:themeColor="text1"/>
        </w:rPr>
        <w:t>厂区及车间架空氧气管道与其他架空管线之间的最小净距（</w:t>
      </w:r>
      <w:r w:rsidRPr="00687B52">
        <w:rPr>
          <w:color w:val="000000" w:themeColor="text1"/>
        </w:rPr>
        <w:t>m)</w:t>
      </w:r>
      <w:bookmarkEnd w:id="339"/>
    </w:p>
    <w:tbl>
      <w:tblPr>
        <w:tblW w:w="0" w:type="auto"/>
        <w:jc w:val="center"/>
        <w:tblLayout w:type="fixed"/>
        <w:tblCellMar>
          <w:left w:w="10" w:type="dxa"/>
          <w:right w:w="10" w:type="dxa"/>
        </w:tblCellMar>
        <w:tblLook w:val="0000" w:firstRow="0" w:lastRow="0" w:firstColumn="0" w:lastColumn="0" w:noHBand="0" w:noVBand="0"/>
      </w:tblPr>
      <w:tblGrid>
        <w:gridCol w:w="4025"/>
        <w:gridCol w:w="2166"/>
        <w:gridCol w:w="2135"/>
      </w:tblGrid>
      <w:tr w:rsidR="00457CB7" w:rsidRPr="00687B52" w:rsidTr="004420CB">
        <w:trPr>
          <w:trHeight w:val="397"/>
          <w:jc w:val="center"/>
        </w:trPr>
        <w:tc>
          <w:tcPr>
            <w:tcW w:w="4025"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名称</w:t>
            </w:r>
          </w:p>
        </w:tc>
        <w:tc>
          <w:tcPr>
            <w:tcW w:w="2166"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平行净距</w:t>
            </w:r>
          </w:p>
        </w:tc>
        <w:tc>
          <w:tcPr>
            <w:tcW w:w="2135"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交叉净距</w:t>
            </w:r>
          </w:p>
        </w:tc>
      </w:tr>
      <w:tr w:rsidR="00457CB7" w:rsidRPr="00687B52" w:rsidTr="004420CB">
        <w:trPr>
          <w:trHeight w:val="397"/>
          <w:jc w:val="center"/>
        </w:trPr>
        <w:tc>
          <w:tcPr>
            <w:tcW w:w="4025"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给水管、排水管</w:t>
            </w:r>
          </w:p>
        </w:tc>
        <w:tc>
          <w:tcPr>
            <w:tcW w:w="2166"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0.25</w:t>
            </w:r>
          </w:p>
        </w:tc>
        <w:tc>
          <w:tcPr>
            <w:tcW w:w="2135"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0.10</w:t>
            </w:r>
          </w:p>
        </w:tc>
      </w:tr>
      <w:tr w:rsidR="00457CB7" w:rsidRPr="00687B52" w:rsidTr="004420CB">
        <w:trPr>
          <w:trHeight w:val="397"/>
          <w:jc w:val="center"/>
        </w:trPr>
        <w:tc>
          <w:tcPr>
            <w:tcW w:w="4025"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热力管</w:t>
            </w:r>
          </w:p>
        </w:tc>
        <w:tc>
          <w:tcPr>
            <w:tcW w:w="2166"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0.25</w:t>
            </w:r>
          </w:p>
        </w:tc>
        <w:tc>
          <w:tcPr>
            <w:tcW w:w="2135"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0.10</w:t>
            </w:r>
          </w:p>
        </w:tc>
      </w:tr>
      <w:tr w:rsidR="00457CB7" w:rsidRPr="00687B52" w:rsidTr="004420CB">
        <w:trPr>
          <w:trHeight w:val="397"/>
          <w:jc w:val="center"/>
        </w:trPr>
        <w:tc>
          <w:tcPr>
            <w:tcW w:w="4025"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不燃气体管</w:t>
            </w:r>
          </w:p>
        </w:tc>
        <w:tc>
          <w:tcPr>
            <w:tcW w:w="2166"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0.25</w:t>
            </w:r>
          </w:p>
        </w:tc>
        <w:tc>
          <w:tcPr>
            <w:tcW w:w="2135"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0.10</w:t>
            </w:r>
          </w:p>
        </w:tc>
      </w:tr>
      <w:tr w:rsidR="00457CB7" w:rsidRPr="00687B52" w:rsidTr="004420CB">
        <w:trPr>
          <w:trHeight w:val="397"/>
          <w:jc w:val="center"/>
        </w:trPr>
        <w:tc>
          <w:tcPr>
            <w:tcW w:w="4025"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燃气管、燃油管</w:t>
            </w:r>
          </w:p>
        </w:tc>
        <w:tc>
          <w:tcPr>
            <w:tcW w:w="2166"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0.50</w:t>
            </w:r>
          </w:p>
        </w:tc>
        <w:tc>
          <w:tcPr>
            <w:tcW w:w="2135"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0.25</w:t>
            </w:r>
          </w:p>
        </w:tc>
      </w:tr>
      <w:tr w:rsidR="00457CB7" w:rsidRPr="00687B52" w:rsidTr="004420CB">
        <w:trPr>
          <w:trHeight w:val="397"/>
          <w:jc w:val="center"/>
        </w:trPr>
        <w:tc>
          <w:tcPr>
            <w:tcW w:w="4025"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hint="eastAsia"/>
                <w:color w:val="000000" w:themeColor="text1"/>
                <w:spacing w:val="0"/>
                <w:sz w:val="24"/>
                <w:lang w:val="en-US" w:bidi="ar-SA"/>
              </w:rPr>
              <w:t>滑</w:t>
            </w:r>
            <w:r w:rsidRPr="00687B52">
              <w:rPr>
                <w:rStyle w:val="7pt"/>
                <w:rFonts w:ascii="Times New Roman" w:eastAsia="宋体" w:hAnsi="Arial" w:cs="Arial"/>
                <w:color w:val="000000" w:themeColor="text1"/>
                <w:spacing w:val="0"/>
                <w:sz w:val="24"/>
                <w:lang w:val="en-US" w:bidi="ar-SA"/>
              </w:rPr>
              <w:t>触线</w:t>
            </w:r>
          </w:p>
        </w:tc>
        <w:tc>
          <w:tcPr>
            <w:tcW w:w="2166"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1.50</w:t>
            </w:r>
          </w:p>
        </w:tc>
        <w:tc>
          <w:tcPr>
            <w:tcW w:w="2135"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0.50</w:t>
            </w:r>
          </w:p>
        </w:tc>
      </w:tr>
      <w:tr w:rsidR="00457CB7" w:rsidRPr="00687B52" w:rsidTr="004420CB">
        <w:trPr>
          <w:trHeight w:val="397"/>
          <w:jc w:val="center"/>
        </w:trPr>
        <w:tc>
          <w:tcPr>
            <w:tcW w:w="4025"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裸导线</w:t>
            </w:r>
          </w:p>
        </w:tc>
        <w:tc>
          <w:tcPr>
            <w:tcW w:w="2166"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1.00</w:t>
            </w:r>
          </w:p>
        </w:tc>
        <w:tc>
          <w:tcPr>
            <w:tcW w:w="2135"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0.50</w:t>
            </w:r>
          </w:p>
        </w:tc>
      </w:tr>
      <w:tr w:rsidR="00457CB7" w:rsidRPr="00687B52" w:rsidTr="004420CB">
        <w:trPr>
          <w:trHeight w:val="397"/>
          <w:jc w:val="center"/>
        </w:trPr>
        <w:tc>
          <w:tcPr>
            <w:tcW w:w="4025"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绝缘导线或电缆</w:t>
            </w:r>
          </w:p>
        </w:tc>
        <w:tc>
          <w:tcPr>
            <w:tcW w:w="2166"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0.50</w:t>
            </w:r>
          </w:p>
        </w:tc>
        <w:tc>
          <w:tcPr>
            <w:tcW w:w="2135"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0.30</w:t>
            </w:r>
          </w:p>
        </w:tc>
      </w:tr>
      <w:tr w:rsidR="00457CB7" w:rsidRPr="00687B52" w:rsidTr="004420CB">
        <w:trPr>
          <w:trHeight w:val="397"/>
          <w:jc w:val="center"/>
        </w:trPr>
        <w:tc>
          <w:tcPr>
            <w:tcW w:w="4025"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穿有导线的电缆管</w:t>
            </w:r>
          </w:p>
        </w:tc>
        <w:tc>
          <w:tcPr>
            <w:tcW w:w="2166"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0.50</w:t>
            </w:r>
          </w:p>
        </w:tc>
        <w:tc>
          <w:tcPr>
            <w:tcW w:w="2135"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0.10</w:t>
            </w:r>
          </w:p>
        </w:tc>
      </w:tr>
      <w:tr w:rsidR="00457CB7" w:rsidRPr="00687B52" w:rsidTr="004420CB">
        <w:trPr>
          <w:trHeight w:val="397"/>
          <w:jc w:val="center"/>
        </w:trPr>
        <w:tc>
          <w:tcPr>
            <w:tcW w:w="4025"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插接式母线、悬挂式干线</w:t>
            </w:r>
          </w:p>
        </w:tc>
        <w:tc>
          <w:tcPr>
            <w:tcW w:w="2166" w:type="dxa"/>
            <w:tcBorders>
              <w:top w:val="single" w:sz="4" w:space="0" w:color="auto"/>
              <w:lef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1.50</w:t>
            </w:r>
          </w:p>
        </w:tc>
        <w:tc>
          <w:tcPr>
            <w:tcW w:w="2135" w:type="dxa"/>
            <w:tcBorders>
              <w:top w:val="single" w:sz="4" w:space="0" w:color="auto"/>
              <w:left w:val="single" w:sz="4" w:space="0" w:color="auto"/>
              <w:righ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0.50</w:t>
            </w:r>
          </w:p>
        </w:tc>
      </w:tr>
      <w:tr w:rsidR="00457CB7" w:rsidRPr="00687B52" w:rsidTr="004420CB">
        <w:trPr>
          <w:trHeight w:val="397"/>
          <w:jc w:val="center"/>
        </w:trPr>
        <w:tc>
          <w:tcPr>
            <w:tcW w:w="4025" w:type="dxa"/>
            <w:tcBorders>
              <w:top w:val="single" w:sz="4" w:space="0" w:color="auto"/>
              <w:left w:val="single" w:sz="4" w:space="0" w:color="auto"/>
              <w:bottom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非防爆开关、插座、配电箱</w:t>
            </w:r>
          </w:p>
        </w:tc>
        <w:tc>
          <w:tcPr>
            <w:tcW w:w="2166" w:type="dxa"/>
            <w:tcBorders>
              <w:top w:val="single" w:sz="4" w:space="0" w:color="auto"/>
              <w:left w:val="single" w:sz="4" w:space="0" w:color="auto"/>
              <w:bottom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1.50</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center"/>
          </w:tcPr>
          <w:p w:rsidR="00457CB7" w:rsidRPr="00687B52" w:rsidRDefault="00457CB7" w:rsidP="004420CB">
            <w:pPr>
              <w:pStyle w:val="a7"/>
              <w:rPr>
                <w:color w:val="000000" w:themeColor="text1"/>
                <w:szCs w:val="24"/>
              </w:rPr>
            </w:pPr>
            <w:r w:rsidRPr="00687B52">
              <w:rPr>
                <w:rStyle w:val="7pt"/>
                <w:rFonts w:ascii="Times New Roman" w:eastAsia="宋体" w:hAnsi="Arial" w:cs="Arial"/>
                <w:color w:val="000000" w:themeColor="text1"/>
                <w:spacing w:val="0"/>
                <w:sz w:val="24"/>
                <w:lang w:val="en-US" w:bidi="ar-SA"/>
              </w:rPr>
              <w:t>1.50</w:t>
            </w:r>
          </w:p>
        </w:tc>
      </w:tr>
    </w:tbl>
    <w:p w:rsidR="00457CB7" w:rsidRPr="00687B52" w:rsidRDefault="00457CB7" w:rsidP="00457CB7">
      <w:pPr>
        <w:adjustRightInd w:val="0"/>
        <w:snapToGrid w:val="0"/>
        <w:spacing w:line="276" w:lineRule="auto"/>
        <w:rPr>
          <w:rFonts w:ascii="Segoe UI" w:hAnsi="Segoe UI" w:cs="Segoe UI"/>
          <w:color w:val="000000" w:themeColor="text1"/>
          <w:szCs w:val="24"/>
        </w:rPr>
      </w:pPr>
      <w:r w:rsidRPr="00687B52">
        <w:rPr>
          <w:rFonts w:ascii="Segoe UI" w:hAnsi="Segoe UI" w:cs="Segoe UI"/>
          <w:color w:val="000000" w:themeColor="text1"/>
          <w:szCs w:val="24"/>
        </w:rPr>
        <w:t>注：</w:t>
      </w:r>
      <w:r w:rsidRPr="00687B52">
        <w:rPr>
          <w:rFonts w:ascii="Segoe UI" w:hAnsi="Segoe UI" w:cs="Segoe UI"/>
          <w:color w:val="000000" w:themeColor="text1"/>
          <w:szCs w:val="24"/>
        </w:rPr>
        <w:t>1</w:t>
      </w:r>
      <w:r w:rsidRPr="00687B52">
        <w:rPr>
          <w:rFonts w:ascii="Segoe UI" w:hAnsi="Segoe UI" w:cs="Segoe UI" w:hint="eastAsia"/>
          <w:color w:val="000000" w:themeColor="text1"/>
          <w:szCs w:val="24"/>
        </w:rPr>
        <w:t>氧气</w:t>
      </w:r>
      <w:r w:rsidRPr="00687B52">
        <w:rPr>
          <w:rFonts w:ascii="Segoe UI" w:hAnsi="Segoe UI" w:cs="Segoe UI"/>
          <w:color w:val="000000" w:themeColor="text1"/>
          <w:szCs w:val="24"/>
        </w:rPr>
        <w:t>管道与同一使用目的的燃气管道平行敷设时，</w:t>
      </w:r>
      <w:r w:rsidRPr="00687B52">
        <w:rPr>
          <w:rFonts w:ascii="Segoe UI" w:hAnsi="Segoe UI" w:cs="Segoe UI" w:hint="eastAsia"/>
          <w:color w:val="000000" w:themeColor="text1"/>
          <w:szCs w:val="24"/>
        </w:rPr>
        <w:t>最</w:t>
      </w:r>
      <w:r w:rsidRPr="00687B52">
        <w:rPr>
          <w:rFonts w:ascii="Segoe UI" w:hAnsi="Segoe UI" w:cs="Segoe UI"/>
          <w:color w:val="000000" w:themeColor="text1"/>
          <w:szCs w:val="24"/>
        </w:rPr>
        <w:t>小平行净距可减小到</w:t>
      </w:r>
      <w:r w:rsidRPr="00687B52">
        <w:rPr>
          <w:rFonts w:ascii="Segoe UI" w:hAnsi="Segoe UI" w:cs="Segoe UI"/>
          <w:color w:val="000000" w:themeColor="text1"/>
          <w:szCs w:val="24"/>
        </w:rPr>
        <w:t>0.25m</w:t>
      </w:r>
      <w:r w:rsidRPr="00687B52">
        <w:rPr>
          <w:rFonts w:ascii="Segoe UI" w:hAnsi="Segoe UI" w:cs="Segoe UI"/>
          <w:color w:val="000000" w:themeColor="text1"/>
          <w:szCs w:val="24"/>
        </w:rPr>
        <w:t>。</w:t>
      </w:r>
    </w:p>
    <w:p w:rsidR="00457CB7" w:rsidRPr="00687B52" w:rsidRDefault="00457CB7" w:rsidP="00457CB7">
      <w:pPr>
        <w:adjustRightInd w:val="0"/>
        <w:snapToGrid w:val="0"/>
        <w:spacing w:line="276" w:lineRule="auto"/>
        <w:ind w:firstLineChars="200" w:firstLine="420"/>
        <w:rPr>
          <w:rFonts w:ascii="Segoe UI" w:hAnsi="Segoe UI" w:cs="Segoe UI"/>
          <w:color w:val="000000" w:themeColor="text1"/>
          <w:szCs w:val="24"/>
        </w:rPr>
      </w:pPr>
      <w:r w:rsidRPr="00687B52">
        <w:rPr>
          <w:rFonts w:ascii="Segoe UI" w:hAnsi="Segoe UI" w:cs="Segoe UI"/>
          <w:color w:val="000000" w:themeColor="text1"/>
          <w:szCs w:val="24"/>
        </w:rPr>
        <w:t>2</w:t>
      </w:r>
      <w:r w:rsidRPr="00687B52">
        <w:rPr>
          <w:rFonts w:ascii="Segoe UI" w:hAnsi="Segoe UI" w:cs="Segoe UI" w:hint="eastAsia"/>
          <w:color w:val="000000" w:themeColor="text1"/>
          <w:szCs w:val="24"/>
        </w:rPr>
        <w:t>氧气</w:t>
      </w:r>
      <w:r w:rsidRPr="00687B52">
        <w:rPr>
          <w:rFonts w:ascii="Segoe UI" w:hAnsi="Segoe UI" w:cs="Segoe UI"/>
          <w:color w:val="000000" w:themeColor="text1"/>
          <w:szCs w:val="24"/>
        </w:rPr>
        <w:t>管道的阀门及管件接头与燃气、燃油管道上的阀门及管件接头，应沿管道轴线方向错开一定距离；当必须设</w:t>
      </w:r>
      <w:r w:rsidRPr="00687B52">
        <w:rPr>
          <w:rFonts w:ascii="Segoe UI" w:hAnsi="Segoe UI" w:cs="Segoe UI" w:hint="eastAsia"/>
          <w:color w:val="000000" w:themeColor="text1"/>
          <w:szCs w:val="24"/>
        </w:rPr>
        <w:t>置</w:t>
      </w:r>
      <w:r w:rsidRPr="00687B52">
        <w:rPr>
          <w:rFonts w:ascii="Segoe UI" w:hAnsi="Segoe UI" w:cs="Segoe UI"/>
          <w:color w:val="000000" w:themeColor="text1"/>
          <w:szCs w:val="24"/>
        </w:rPr>
        <w:t>在一处时，则应适当扩大管道之间的净距。</w:t>
      </w:r>
    </w:p>
    <w:p w:rsidR="00457CB7" w:rsidRPr="00687B52" w:rsidRDefault="00457CB7" w:rsidP="00457CB7">
      <w:pPr>
        <w:adjustRightInd w:val="0"/>
        <w:snapToGrid w:val="0"/>
        <w:spacing w:line="276" w:lineRule="auto"/>
        <w:ind w:firstLineChars="200" w:firstLine="420"/>
        <w:rPr>
          <w:rFonts w:ascii="Segoe UI" w:hAnsi="Segoe UI" w:cs="Segoe UI"/>
          <w:color w:val="000000" w:themeColor="text1"/>
          <w:szCs w:val="24"/>
        </w:rPr>
      </w:pPr>
      <w:r w:rsidRPr="00687B52">
        <w:rPr>
          <w:rFonts w:ascii="Segoe UI" w:hAnsi="Segoe UI" w:cs="Segoe UI"/>
          <w:color w:val="000000" w:themeColor="text1"/>
          <w:szCs w:val="24"/>
        </w:rPr>
        <w:t>3</w:t>
      </w:r>
      <w:r w:rsidRPr="00687B52">
        <w:rPr>
          <w:rFonts w:ascii="Segoe UI" w:hAnsi="Segoe UI" w:cs="Segoe UI"/>
          <w:color w:val="000000" w:themeColor="text1"/>
          <w:szCs w:val="24"/>
        </w:rPr>
        <w:t>电气设备与</w:t>
      </w:r>
      <w:r w:rsidRPr="00687B52">
        <w:rPr>
          <w:rFonts w:ascii="Segoe UI" w:hAnsi="Segoe UI" w:cs="Segoe UI" w:hint="eastAsia"/>
          <w:color w:val="000000" w:themeColor="text1"/>
          <w:szCs w:val="24"/>
        </w:rPr>
        <w:t>氧气</w:t>
      </w:r>
      <w:r w:rsidRPr="00687B52">
        <w:rPr>
          <w:rFonts w:ascii="Segoe UI" w:hAnsi="Segoe UI" w:cs="Segoe UI"/>
          <w:color w:val="000000" w:themeColor="text1"/>
          <w:szCs w:val="24"/>
        </w:rPr>
        <w:t>的引出口不能满足上述距离要求时</w:t>
      </w:r>
      <w:r w:rsidRPr="00687B52">
        <w:rPr>
          <w:rFonts w:ascii="Segoe UI" w:hAnsi="Segoe UI" w:cs="Segoe UI" w:hint="eastAsia"/>
          <w:color w:val="000000" w:themeColor="text1"/>
          <w:szCs w:val="24"/>
        </w:rPr>
        <w:t>，</w:t>
      </w:r>
      <w:r w:rsidRPr="00687B52">
        <w:rPr>
          <w:rFonts w:ascii="Segoe UI" w:hAnsi="Segoe UI" w:cs="Segoe UI"/>
          <w:color w:val="000000" w:themeColor="text1"/>
          <w:szCs w:val="24"/>
        </w:rPr>
        <w:t>可将两者安装在同一柱子的相对侧面；当为空腹柱子时，应在柱子上装设不燃烧体隔板局部隔开。</w:t>
      </w:r>
    </w:p>
    <w:p w:rsidR="00457CB7" w:rsidRPr="00687B52" w:rsidRDefault="00457CB7" w:rsidP="00457CB7">
      <w:pPr>
        <w:adjustRightInd w:val="0"/>
        <w:snapToGrid w:val="0"/>
        <w:spacing w:line="276" w:lineRule="auto"/>
        <w:ind w:firstLineChars="200" w:firstLine="420"/>
        <w:rPr>
          <w:rFonts w:ascii="Segoe UI" w:hAnsi="Segoe UI" w:cs="Segoe UI"/>
          <w:color w:val="000000" w:themeColor="text1"/>
          <w:szCs w:val="24"/>
        </w:rPr>
      </w:pPr>
      <w:r w:rsidRPr="00687B52">
        <w:rPr>
          <w:rFonts w:ascii="Segoe UI" w:hAnsi="Segoe UI" w:cs="Segoe UI"/>
          <w:color w:val="000000" w:themeColor="text1"/>
          <w:szCs w:val="24"/>
        </w:rPr>
        <w:t>4</w:t>
      </w:r>
      <w:r w:rsidRPr="00687B52">
        <w:rPr>
          <w:rFonts w:ascii="Segoe UI" w:hAnsi="Segoe UI" w:cs="Segoe UI"/>
          <w:color w:val="000000" w:themeColor="text1"/>
          <w:szCs w:val="24"/>
        </w:rPr>
        <w:t>公称直径小于或等于</w:t>
      </w:r>
      <w:r w:rsidRPr="00687B52">
        <w:rPr>
          <w:rFonts w:ascii="Segoe UI" w:hAnsi="Segoe UI" w:cs="Segoe UI"/>
          <w:color w:val="000000" w:themeColor="text1"/>
          <w:szCs w:val="24"/>
        </w:rPr>
        <w:t>80</w:t>
      </w:r>
      <w:r w:rsidRPr="00687B52">
        <w:rPr>
          <w:rFonts w:ascii="Segoe UI" w:hAnsi="Segoe UI" w:cs="Segoe UI" w:hint="eastAsia"/>
          <w:color w:val="000000" w:themeColor="text1"/>
          <w:szCs w:val="24"/>
        </w:rPr>
        <w:t>mm</w:t>
      </w:r>
      <w:r w:rsidRPr="00687B52">
        <w:rPr>
          <w:rFonts w:ascii="Segoe UI" w:hAnsi="Segoe UI" w:cs="Segoe UI"/>
          <w:color w:val="000000" w:themeColor="text1"/>
          <w:szCs w:val="24"/>
        </w:rPr>
        <w:t>的</w:t>
      </w:r>
      <w:r w:rsidRPr="00687B52">
        <w:rPr>
          <w:rFonts w:ascii="Segoe UI" w:hAnsi="Segoe UI" w:cs="Segoe UI" w:hint="eastAsia"/>
          <w:color w:val="000000" w:themeColor="text1"/>
          <w:szCs w:val="24"/>
        </w:rPr>
        <w:t>氧气</w:t>
      </w:r>
      <w:r w:rsidRPr="00687B52">
        <w:rPr>
          <w:rFonts w:ascii="Segoe UI" w:hAnsi="Segoe UI" w:cs="Segoe UI"/>
          <w:color w:val="000000" w:themeColor="text1"/>
          <w:szCs w:val="24"/>
        </w:rPr>
        <w:t>管道，与不燃介质管道的</w:t>
      </w:r>
      <w:r w:rsidRPr="00687B52">
        <w:rPr>
          <w:rFonts w:ascii="Segoe UI" w:hAnsi="Segoe UI" w:cs="Segoe UI" w:hint="eastAsia"/>
          <w:color w:val="000000" w:themeColor="text1"/>
          <w:szCs w:val="24"/>
        </w:rPr>
        <w:t>最</w:t>
      </w:r>
      <w:r w:rsidRPr="00687B52">
        <w:rPr>
          <w:rFonts w:ascii="Segoe UI" w:hAnsi="Segoe UI" w:cs="Segoe UI"/>
          <w:color w:val="000000" w:themeColor="text1"/>
          <w:szCs w:val="24"/>
        </w:rPr>
        <w:t>小平行净距可小于</w:t>
      </w:r>
      <w:r w:rsidRPr="00687B52">
        <w:rPr>
          <w:rFonts w:ascii="Segoe UI" w:hAnsi="Segoe UI" w:cs="Segoe UI"/>
          <w:color w:val="000000" w:themeColor="text1"/>
          <w:szCs w:val="24"/>
        </w:rPr>
        <w:t>0.25m</w:t>
      </w:r>
      <w:r w:rsidRPr="00687B52">
        <w:rPr>
          <w:rFonts w:ascii="Segoe UI" w:hAnsi="Segoe UI" w:cs="Segoe UI"/>
          <w:color w:val="000000" w:themeColor="text1"/>
          <w:szCs w:val="24"/>
        </w:rPr>
        <w:t>，但不得小于</w:t>
      </w:r>
      <w:r w:rsidRPr="00687B52">
        <w:rPr>
          <w:rFonts w:ascii="Segoe UI" w:hAnsi="Segoe UI" w:cs="Segoe UI"/>
          <w:color w:val="000000" w:themeColor="text1"/>
          <w:szCs w:val="24"/>
        </w:rPr>
        <w:t>0.15m</w:t>
      </w:r>
      <w:r w:rsidRPr="00687B52">
        <w:rPr>
          <w:rFonts w:ascii="Segoe UI" w:hAnsi="Segoe UI" w:cs="Segoe UI"/>
          <w:color w:val="000000" w:themeColor="text1"/>
          <w:szCs w:val="24"/>
        </w:rPr>
        <w:t>。</w:t>
      </w:r>
    </w:p>
    <w:p w:rsidR="004420CB" w:rsidRPr="00687B52" w:rsidRDefault="00457CB7" w:rsidP="004D0D1B">
      <w:pPr>
        <w:ind w:firstLineChars="200" w:firstLine="420"/>
        <w:rPr>
          <w:rFonts w:ascii="Segoe UI" w:hAnsi="Segoe UI" w:cs="Segoe UI"/>
          <w:color w:val="000000" w:themeColor="text1"/>
          <w:szCs w:val="24"/>
        </w:rPr>
      </w:pPr>
      <w:r w:rsidRPr="00687B52">
        <w:rPr>
          <w:rFonts w:ascii="Segoe UI" w:hAnsi="Segoe UI" w:cs="Segoe UI"/>
          <w:color w:val="000000" w:themeColor="text1"/>
          <w:szCs w:val="24"/>
        </w:rPr>
        <w:t>5</w:t>
      </w:r>
      <w:r w:rsidRPr="00687B52">
        <w:rPr>
          <w:rFonts w:ascii="Segoe UI" w:hAnsi="Segoe UI" w:cs="Segoe UI"/>
          <w:color w:val="000000" w:themeColor="text1"/>
          <w:szCs w:val="24"/>
        </w:rPr>
        <w:t>与滑触线的净距系指氧气管在其下方时的要求，此时在</w:t>
      </w:r>
      <w:r w:rsidRPr="00687B52">
        <w:rPr>
          <w:rFonts w:ascii="Segoe UI" w:hAnsi="Segoe UI" w:cs="Segoe UI" w:hint="eastAsia"/>
          <w:color w:val="000000" w:themeColor="text1"/>
          <w:szCs w:val="24"/>
        </w:rPr>
        <w:t>氧气</w:t>
      </w:r>
      <w:r w:rsidRPr="00687B52">
        <w:rPr>
          <w:rFonts w:ascii="Segoe UI" w:hAnsi="Segoe UI" w:cs="Segoe UI"/>
          <w:color w:val="000000" w:themeColor="text1"/>
          <w:szCs w:val="24"/>
        </w:rPr>
        <w:t>管及滑触线之间宜设隔离网。</w:t>
      </w:r>
    </w:p>
    <w:p w:rsidR="004420CB" w:rsidRPr="00687B52" w:rsidRDefault="004420CB" w:rsidP="00457CB7">
      <w:pPr>
        <w:rPr>
          <w:rFonts w:ascii="Segoe UI" w:hAnsi="Segoe UI" w:cs="Segoe UI"/>
          <w:color w:val="000000" w:themeColor="text1"/>
          <w:szCs w:val="24"/>
        </w:rPr>
      </w:pPr>
    </w:p>
    <w:p w:rsidR="004420CB" w:rsidRPr="00687B52" w:rsidRDefault="004420CB" w:rsidP="00457CB7">
      <w:pPr>
        <w:rPr>
          <w:rFonts w:ascii="Segoe UI" w:hAnsi="Segoe UI" w:cs="Segoe UI"/>
          <w:color w:val="000000" w:themeColor="text1"/>
          <w:szCs w:val="24"/>
        </w:rPr>
      </w:pPr>
    </w:p>
    <w:p w:rsidR="004420CB" w:rsidRPr="00687B52" w:rsidRDefault="004420CB" w:rsidP="00457CB7">
      <w:pPr>
        <w:rPr>
          <w:rFonts w:ascii="Segoe UI" w:hAnsi="Segoe UI" w:cs="Segoe UI"/>
          <w:color w:val="000000" w:themeColor="text1"/>
          <w:szCs w:val="24"/>
        </w:rPr>
      </w:pPr>
    </w:p>
    <w:p w:rsidR="004420CB" w:rsidRPr="00687B52" w:rsidRDefault="004420CB" w:rsidP="00457CB7">
      <w:pPr>
        <w:rPr>
          <w:rFonts w:ascii="Segoe UI" w:hAnsi="Segoe UI" w:cs="Segoe UI"/>
          <w:color w:val="000000" w:themeColor="text1"/>
          <w:szCs w:val="24"/>
        </w:rPr>
      </w:pPr>
    </w:p>
    <w:p w:rsidR="00481EDB" w:rsidRPr="00687B52" w:rsidRDefault="00481EDB" w:rsidP="004420CB">
      <w:pPr>
        <w:pStyle w:val="ae"/>
        <w:ind w:firstLine="482"/>
        <w:rPr>
          <w:b/>
          <w:color w:val="000000" w:themeColor="text1"/>
          <w:sz w:val="24"/>
        </w:rPr>
      </w:pPr>
      <w:r w:rsidRPr="00687B52">
        <w:rPr>
          <w:b/>
          <w:color w:val="000000" w:themeColor="text1"/>
          <w:sz w:val="24"/>
        </w:rPr>
        <w:t>附录</w:t>
      </w:r>
      <w:r w:rsidRPr="00687B52">
        <w:rPr>
          <w:b/>
          <w:color w:val="000000" w:themeColor="text1"/>
          <w:sz w:val="24"/>
        </w:rPr>
        <w:t>D</w:t>
      </w:r>
      <w:r w:rsidRPr="00687B52">
        <w:rPr>
          <w:b/>
          <w:color w:val="000000" w:themeColor="text1"/>
          <w:sz w:val="24"/>
        </w:rPr>
        <w:t>厂区地下氧气管道与建筑物、构筑物及其他地下管线之间的最小净距</w:t>
      </w:r>
    </w:p>
    <w:p w:rsidR="00481EDB" w:rsidRPr="00687B52" w:rsidRDefault="00481EDB" w:rsidP="00856B6C">
      <w:pPr>
        <w:pStyle w:val="afd"/>
        <w:rPr>
          <w:color w:val="000000" w:themeColor="text1"/>
        </w:rPr>
      </w:pPr>
      <w:bookmarkStart w:id="340" w:name="_Toc491870853"/>
      <w:bookmarkStart w:id="341" w:name="_Toc492563507"/>
      <w:bookmarkStart w:id="342" w:name="_Toc493857112"/>
      <w:r w:rsidRPr="00687B52">
        <w:rPr>
          <w:rFonts w:hint="eastAsia"/>
          <w:color w:val="000000" w:themeColor="text1"/>
        </w:rPr>
        <w:t>表</w:t>
      </w:r>
      <w:r w:rsidRPr="00687B52">
        <w:rPr>
          <w:rFonts w:hint="eastAsia"/>
          <w:color w:val="000000" w:themeColor="text1"/>
        </w:rPr>
        <w:t xml:space="preserve">D </w:t>
      </w:r>
      <w:r w:rsidRPr="00687B52">
        <w:rPr>
          <w:rFonts w:hint="eastAsia"/>
          <w:color w:val="000000" w:themeColor="text1"/>
        </w:rPr>
        <w:t>厂区地下氧气管道与建筑物、构筑物等及其他地下管线之间的最小净距（</w:t>
      </w:r>
      <w:r w:rsidRPr="00687B52">
        <w:rPr>
          <w:rFonts w:hint="eastAsia"/>
          <w:color w:val="000000" w:themeColor="text1"/>
        </w:rPr>
        <w:t>m</w:t>
      </w:r>
      <w:r w:rsidRPr="00687B52">
        <w:rPr>
          <w:rFonts w:hint="eastAsia"/>
          <w:color w:val="000000" w:themeColor="text1"/>
        </w:rPr>
        <w:t>）</w:t>
      </w:r>
      <w:bookmarkEnd w:id="340"/>
      <w:bookmarkEnd w:id="341"/>
      <w:bookmarkEnd w:id="342"/>
    </w:p>
    <w:tbl>
      <w:tblPr>
        <w:tblW w:w="11840" w:type="dxa"/>
        <w:jc w:val="center"/>
        <w:tblInd w:w="-2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755"/>
        <w:gridCol w:w="68"/>
        <w:gridCol w:w="180"/>
        <w:gridCol w:w="500"/>
        <w:gridCol w:w="543"/>
        <w:gridCol w:w="92"/>
        <w:gridCol w:w="678"/>
        <w:gridCol w:w="1127"/>
        <w:gridCol w:w="12"/>
        <w:gridCol w:w="2448"/>
        <w:gridCol w:w="2437"/>
      </w:tblGrid>
      <w:tr w:rsidR="00481EDB" w:rsidRPr="00687B52" w:rsidTr="00B527D4">
        <w:trPr>
          <w:trHeight w:val="340"/>
          <w:tblHeader/>
          <w:jc w:val="center"/>
        </w:trPr>
        <w:tc>
          <w:tcPr>
            <w:tcW w:w="6943" w:type="dxa"/>
            <w:gridSpan w:val="8"/>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名称</w:t>
            </w:r>
          </w:p>
        </w:tc>
        <w:tc>
          <w:tcPr>
            <w:tcW w:w="2460" w:type="dxa"/>
            <w:gridSpan w:val="2"/>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水平净距</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垂直净距</w:t>
            </w:r>
          </w:p>
        </w:tc>
      </w:tr>
      <w:tr w:rsidR="00481EDB" w:rsidRPr="00687B52" w:rsidTr="00B527D4">
        <w:trPr>
          <w:trHeight w:val="340"/>
          <w:jc w:val="center"/>
        </w:trPr>
        <w:tc>
          <w:tcPr>
            <w:tcW w:w="4503" w:type="dxa"/>
            <w:gridSpan w:val="4"/>
            <w:vMerge w:val="restart"/>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18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有地下室的建筑物基础或通行沟道的外沿</w:t>
            </w:r>
          </w:p>
        </w:tc>
        <w:tc>
          <w:tcPr>
            <w:tcW w:w="1313" w:type="dxa"/>
            <w:gridSpan w:val="3"/>
            <w:vMerge w:val="restart"/>
            <w:shd w:val="clear" w:color="auto" w:fill="FFFFFF"/>
            <w:vAlign w:val="center"/>
          </w:tcPr>
          <w:p w:rsidR="00481EDB" w:rsidRPr="00687B52" w:rsidRDefault="00481EDB" w:rsidP="00B527D4">
            <w:pPr>
              <w:pStyle w:val="21"/>
              <w:adjustRightInd w:val="0"/>
              <w:snapToGrid w:val="0"/>
              <w:spacing w:before="0" w:after="0" w:line="240" w:lineRule="auto"/>
              <w:jc w:val="center"/>
              <w:rPr>
                <w:rFonts w:ascii="Segoe UI" w:hAnsi="Segoe UI" w:cs="Segoe UI"/>
                <w:color w:val="000000" w:themeColor="text1"/>
                <w:sz w:val="21"/>
                <w:szCs w:val="21"/>
              </w:rPr>
            </w:pPr>
            <w:r w:rsidRPr="00687B52">
              <w:rPr>
                <w:rStyle w:val="7pt"/>
                <w:rFonts w:ascii="Segoe UI" w:eastAsia="宋体" w:hAnsi="Segoe UI" w:cs="Segoe UI"/>
                <w:color w:val="000000" w:themeColor="text1"/>
                <w:sz w:val="21"/>
                <w:szCs w:val="21"/>
              </w:rPr>
              <w:t>氧气压力</w:t>
            </w:r>
          </w:p>
        </w:tc>
        <w:tc>
          <w:tcPr>
            <w:tcW w:w="112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hint="eastAsia"/>
                <w:color w:val="000000" w:themeColor="text1"/>
                <w:sz w:val="21"/>
                <w:szCs w:val="21"/>
              </w:rPr>
              <w:t>≤</w:t>
            </w:r>
            <w:r w:rsidRPr="00687B52">
              <w:rPr>
                <w:rStyle w:val="7pt"/>
                <w:rFonts w:ascii="Segoe UI" w:eastAsia="宋体" w:hAnsi="Segoe UI" w:cs="Segoe UI"/>
                <w:color w:val="000000" w:themeColor="text1"/>
                <w:sz w:val="21"/>
                <w:szCs w:val="21"/>
              </w:rPr>
              <w:t>1.6</w:t>
            </w:r>
          </w:p>
        </w:tc>
        <w:tc>
          <w:tcPr>
            <w:tcW w:w="2460" w:type="dxa"/>
            <w:gridSpan w:val="2"/>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3.00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w:t>
            </w:r>
          </w:p>
        </w:tc>
      </w:tr>
      <w:tr w:rsidR="00481EDB" w:rsidRPr="00687B52" w:rsidTr="00B527D4">
        <w:trPr>
          <w:trHeight w:val="340"/>
          <w:jc w:val="center"/>
        </w:trPr>
        <w:tc>
          <w:tcPr>
            <w:tcW w:w="4503" w:type="dxa"/>
            <w:gridSpan w:val="4"/>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1313" w:type="dxa"/>
            <w:gridSpan w:val="3"/>
            <w:vMerge/>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p>
        </w:tc>
        <w:tc>
          <w:tcPr>
            <w:tcW w:w="112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hint="eastAsia"/>
                <w:color w:val="000000" w:themeColor="text1"/>
                <w:sz w:val="21"/>
                <w:szCs w:val="21"/>
              </w:rPr>
              <w:t>＞</w:t>
            </w:r>
            <w:r w:rsidRPr="00687B52">
              <w:rPr>
                <w:rStyle w:val="7pt"/>
                <w:rFonts w:ascii="Segoe UI" w:eastAsia="宋体" w:hAnsi="Segoe UI" w:cs="Segoe UI"/>
                <w:color w:val="000000" w:themeColor="text1"/>
                <w:sz w:val="21"/>
                <w:szCs w:val="21"/>
              </w:rPr>
              <w:t>1.6</w:t>
            </w:r>
          </w:p>
        </w:tc>
        <w:tc>
          <w:tcPr>
            <w:tcW w:w="2460" w:type="dxa"/>
            <w:gridSpan w:val="2"/>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5.00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w:t>
            </w:r>
          </w:p>
        </w:tc>
      </w:tr>
      <w:tr w:rsidR="00481EDB" w:rsidRPr="00687B52" w:rsidTr="00B527D4">
        <w:trPr>
          <w:trHeight w:val="340"/>
          <w:jc w:val="center"/>
        </w:trPr>
        <w:tc>
          <w:tcPr>
            <w:tcW w:w="4503" w:type="dxa"/>
            <w:gridSpan w:val="4"/>
            <w:vMerge w:val="restart"/>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18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无地下室的建筑</w:t>
            </w:r>
          </w:p>
          <w:p w:rsidR="00481EDB" w:rsidRPr="00687B52" w:rsidRDefault="00481EDB" w:rsidP="00B527D4">
            <w:pPr>
              <w:adjustRightInd w:val="0"/>
              <w:snapToGrid w:val="0"/>
              <w:jc w:val="center"/>
              <w:rPr>
                <w:rFonts w:ascii="Segoe UI" w:hAnsi="Segoe UI" w:cs="Segoe UI"/>
                <w:color w:val="000000" w:themeColor="text1"/>
                <w:szCs w:val="21"/>
              </w:rPr>
            </w:pPr>
            <w:r w:rsidRPr="00687B52">
              <w:rPr>
                <w:rStyle w:val="7pt"/>
                <w:rFonts w:ascii="Segoe UI" w:eastAsia="宋体" w:hAnsi="Segoe UI" w:cs="Segoe UI"/>
                <w:color w:val="000000" w:themeColor="text1"/>
                <w:szCs w:val="21"/>
              </w:rPr>
              <w:t>物基础外沿</w:t>
            </w:r>
          </w:p>
        </w:tc>
        <w:tc>
          <w:tcPr>
            <w:tcW w:w="1313" w:type="dxa"/>
            <w:gridSpan w:val="3"/>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112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hint="eastAsia"/>
                <w:color w:val="000000" w:themeColor="text1"/>
                <w:sz w:val="21"/>
                <w:szCs w:val="21"/>
              </w:rPr>
              <w:t>≤</w:t>
            </w:r>
            <w:r w:rsidRPr="00687B52">
              <w:rPr>
                <w:rStyle w:val="7pt"/>
                <w:rFonts w:ascii="Segoe UI" w:eastAsia="宋体" w:hAnsi="Segoe UI" w:cs="Segoe UI"/>
                <w:color w:val="000000" w:themeColor="text1"/>
                <w:sz w:val="21"/>
                <w:szCs w:val="21"/>
              </w:rPr>
              <w:t>1.6</w:t>
            </w:r>
          </w:p>
        </w:tc>
        <w:tc>
          <w:tcPr>
            <w:tcW w:w="2460" w:type="dxa"/>
            <w:gridSpan w:val="2"/>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2.50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w:t>
            </w:r>
          </w:p>
        </w:tc>
      </w:tr>
      <w:tr w:rsidR="00481EDB" w:rsidRPr="00687B52" w:rsidTr="00B527D4">
        <w:trPr>
          <w:trHeight w:val="340"/>
          <w:jc w:val="center"/>
        </w:trPr>
        <w:tc>
          <w:tcPr>
            <w:tcW w:w="4503" w:type="dxa"/>
            <w:gridSpan w:val="4"/>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1313" w:type="dxa"/>
            <w:gridSpan w:val="3"/>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112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w:t>
            </w:r>
            <w:r w:rsidRPr="00687B52">
              <w:rPr>
                <w:rStyle w:val="7pt"/>
                <w:rFonts w:ascii="Segoe UI" w:eastAsia="宋体" w:hAnsi="Segoe UI" w:cs="Segoe UI" w:hint="eastAsia"/>
                <w:color w:val="000000" w:themeColor="text1"/>
                <w:sz w:val="21"/>
                <w:szCs w:val="21"/>
              </w:rPr>
              <w:t>1.</w:t>
            </w:r>
            <w:r w:rsidRPr="00687B52">
              <w:rPr>
                <w:rStyle w:val="7pt"/>
                <w:rFonts w:ascii="Segoe UI" w:eastAsia="宋体" w:hAnsi="Segoe UI" w:cs="Segoe UI"/>
                <w:color w:val="000000" w:themeColor="text1"/>
                <w:sz w:val="21"/>
                <w:szCs w:val="21"/>
              </w:rPr>
              <w:t>6</w:t>
            </w:r>
          </w:p>
        </w:tc>
        <w:tc>
          <w:tcPr>
            <w:tcW w:w="2460" w:type="dxa"/>
            <w:gridSpan w:val="2"/>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3.00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w:t>
            </w:r>
          </w:p>
        </w:tc>
      </w:tr>
      <w:tr w:rsidR="00481EDB" w:rsidRPr="00687B52" w:rsidTr="00B527D4">
        <w:trPr>
          <w:trHeight w:val="340"/>
          <w:jc w:val="center"/>
        </w:trPr>
        <w:tc>
          <w:tcPr>
            <w:tcW w:w="6943" w:type="dxa"/>
            <w:gridSpan w:val="8"/>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铁路钢轨</w:t>
            </w:r>
          </w:p>
        </w:tc>
        <w:tc>
          <w:tcPr>
            <w:tcW w:w="2460" w:type="dxa"/>
            <w:gridSpan w:val="2"/>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2.50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1.20</w:t>
            </w:r>
          </w:p>
        </w:tc>
      </w:tr>
      <w:tr w:rsidR="00481EDB" w:rsidRPr="00687B52" w:rsidTr="00B527D4">
        <w:trPr>
          <w:trHeight w:val="340"/>
          <w:jc w:val="center"/>
        </w:trPr>
        <w:tc>
          <w:tcPr>
            <w:tcW w:w="6943" w:type="dxa"/>
            <w:gridSpan w:val="8"/>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排水沟外沿（</w:t>
            </w:r>
            <w:r w:rsidRPr="00687B52">
              <w:rPr>
                <w:rStyle w:val="7pt"/>
                <w:rFonts w:ascii="Segoe UI" w:eastAsia="宋体" w:hAnsi="Segoe UI" w:cs="Segoe UI" w:hint="eastAsia"/>
                <w:color w:val="000000" w:themeColor="text1"/>
                <w:sz w:val="21"/>
                <w:szCs w:val="21"/>
              </w:rPr>
              <w:t>开</w:t>
            </w:r>
            <w:r w:rsidRPr="00687B52">
              <w:rPr>
                <w:rStyle w:val="7pt"/>
                <w:rFonts w:ascii="Segoe UI" w:eastAsia="宋体" w:hAnsi="Segoe UI" w:cs="Segoe UI"/>
                <w:color w:val="000000" w:themeColor="text1"/>
                <w:sz w:val="21"/>
                <w:szCs w:val="21"/>
              </w:rPr>
              <w:t>口型号）</w:t>
            </w:r>
          </w:p>
        </w:tc>
        <w:tc>
          <w:tcPr>
            <w:tcW w:w="2460" w:type="dxa"/>
            <w:gridSpan w:val="2"/>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0.80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w:t>
            </w:r>
          </w:p>
        </w:tc>
      </w:tr>
      <w:tr w:rsidR="00481EDB" w:rsidRPr="00687B52" w:rsidTr="00B527D4">
        <w:trPr>
          <w:trHeight w:val="340"/>
          <w:jc w:val="center"/>
        </w:trPr>
        <w:tc>
          <w:tcPr>
            <w:tcW w:w="6943" w:type="dxa"/>
            <w:gridSpan w:val="8"/>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道路</w:t>
            </w:r>
          </w:p>
        </w:tc>
        <w:tc>
          <w:tcPr>
            <w:tcW w:w="2460" w:type="dxa"/>
            <w:gridSpan w:val="2"/>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0.80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0.50</w:t>
            </w:r>
          </w:p>
        </w:tc>
      </w:tr>
      <w:tr w:rsidR="00481EDB" w:rsidRPr="00687B52" w:rsidTr="00B527D4">
        <w:trPr>
          <w:trHeight w:val="340"/>
          <w:jc w:val="center"/>
        </w:trPr>
        <w:tc>
          <w:tcPr>
            <w:tcW w:w="4003" w:type="dxa"/>
            <w:gridSpan w:val="3"/>
            <w:vMerge w:val="restart"/>
            <w:shd w:val="clear" w:color="auto" w:fill="FFFFFF"/>
            <w:vAlign w:val="center"/>
          </w:tcPr>
          <w:p w:rsidR="00481EDB" w:rsidRPr="00687B52" w:rsidRDefault="00481EDB" w:rsidP="00B527D4">
            <w:pPr>
              <w:pStyle w:val="21"/>
              <w:adjustRightInd w:val="0"/>
              <w:snapToGrid w:val="0"/>
              <w:spacing w:before="0" w:after="0" w:line="240" w:lineRule="auto"/>
              <w:ind w:firstLine="0"/>
              <w:jc w:val="center"/>
              <w:rPr>
                <w:rFonts w:ascii="Segoe UI" w:hAnsi="Segoe UI" w:cs="Segoe UI"/>
                <w:color w:val="000000" w:themeColor="text1"/>
                <w:sz w:val="21"/>
                <w:szCs w:val="21"/>
              </w:rPr>
            </w:pPr>
            <w:r w:rsidRPr="00687B52">
              <w:rPr>
                <w:rStyle w:val="7pt"/>
                <w:rFonts w:ascii="Segoe UI" w:eastAsia="宋体" w:hAnsi="Segoe UI" w:cs="Segoe UI"/>
                <w:color w:val="000000" w:themeColor="text1"/>
                <w:sz w:val="21"/>
                <w:szCs w:val="21"/>
              </w:rPr>
              <w:t>照明电线</w:t>
            </w:r>
            <w:r w:rsidRPr="00687B52">
              <w:rPr>
                <w:rStyle w:val="7pt"/>
                <w:rFonts w:ascii="Segoe UI" w:eastAsia="宋体" w:hAnsi="Segoe UI" w:cs="Segoe UI" w:hint="eastAsia"/>
                <w:color w:val="000000" w:themeColor="text1"/>
                <w:sz w:val="21"/>
                <w:szCs w:val="21"/>
              </w:rPr>
              <w:t>、</w:t>
            </w:r>
            <w:r w:rsidRPr="00687B52">
              <w:rPr>
                <w:rStyle w:val="7pt"/>
                <w:rFonts w:ascii="Segoe UI" w:eastAsia="宋体" w:hAnsi="Segoe UI" w:cs="Segoe UI"/>
                <w:color w:val="000000" w:themeColor="text1"/>
                <w:sz w:val="21"/>
                <w:szCs w:val="21"/>
              </w:rPr>
              <w:t>电力</w:t>
            </w:r>
            <w:r w:rsidRPr="00687B52">
              <w:rPr>
                <w:rStyle w:val="7pt"/>
                <w:rFonts w:ascii="Segoe UI" w:eastAsia="宋体" w:hAnsi="Segoe UI" w:cs="Segoe UI" w:hint="eastAsia"/>
                <w:color w:val="000000" w:themeColor="text1"/>
                <w:sz w:val="21"/>
                <w:szCs w:val="21"/>
              </w:rPr>
              <w:t>、</w:t>
            </w:r>
            <w:r w:rsidRPr="00687B52">
              <w:rPr>
                <w:rStyle w:val="7pt"/>
                <w:rFonts w:ascii="Segoe UI" w:eastAsia="宋体" w:hAnsi="Segoe UI" w:cs="Segoe UI"/>
                <w:color w:val="000000" w:themeColor="text1"/>
                <w:sz w:val="21"/>
                <w:szCs w:val="21"/>
              </w:rPr>
              <w:t>电信杆柱</w:t>
            </w:r>
          </w:p>
        </w:tc>
        <w:tc>
          <w:tcPr>
            <w:tcW w:w="2940" w:type="dxa"/>
            <w:gridSpan w:val="5"/>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照明电线</w:t>
            </w:r>
          </w:p>
        </w:tc>
        <w:tc>
          <w:tcPr>
            <w:tcW w:w="2460" w:type="dxa"/>
            <w:gridSpan w:val="2"/>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0.80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w:t>
            </w:r>
          </w:p>
        </w:tc>
      </w:tr>
      <w:tr w:rsidR="00481EDB" w:rsidRPr="00687B52" w:rsidTr="00B527D4">
        <w:trPr>
          <w:trHeight w:val="340"/>
          <w:jc w:val="center"/>
        </w:trPr>
        <w:tc>
          <w:tcPr>
            <w:tcW w:w="4003" w:type="dxa"/>
            <w:gridSpan w:val="3"/>
            <w:vMerge/>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p>
        </w:tc>
        <w:tc>
          <w:tcPr>
            <w:tcW w:w="2940" w:type="dxa"/>
            <w:gridSpan w:val="5"/>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电力</w:t>
            </w:r>
            <w:r w:rsidRPr="00687B52">
              <w:rPr>
                <w:rStyle w:val="7pt"/>
                <w:rFonts w:ascii="Segoe UI" w:eastAsia="宋体" w:hAnsi="Segoe UI" w:cs="Segoe UI" w:hint="eastAsia"/>
                <w:color w:val="000000" w:themeColor="text1"/>
                <w:sz w:val="21"/>
                <w:szCs w:val="21"/>
              </w:rPr>
              <w:t>（</w:t>
            </w:r>
            <w:r w:rsidRPr="00687B52">
              <w:rPr>
                <w:rStyle w:val="7pt"/>
                <w:rFonts w:ascii="Segoe UI" w:eastAsia="宋体" w:hAnsi="Segoe UI" w:cs="Segoe UI" w:hint="eastAsia"/>
                <w:color w:val="000000" w:themeColor="text1"/>
                <w:sz w:val="21"/>
                <w:szCs w:val="21"/>
              </w:rPr>
              <w:t>220V</w:t>
            </w:r>
            <w:r w:rsidRPr="00687B52">
              <w:rPr>
                <w:rStyle w:val="7pt"/>
                <w:rFonts w:ascii="Segoe UI" w:eastAsia="宋体" w:hAnsi="Segoe UI" w:cs="Segoe UI" w:hint="eastAsia"/>
                <w:color w:val="000000" w:themeColor="text1"/>
                <w:sz w:val="21"/>
                <w:szCs w:val="21"/>
              </w:rPr>
              <w:t>、</w:t>
            </w:r>
            <w:r w:rsidRPr="00687B52">
              <w:rPr>
                <w:rStyle w:val="7pt"/>
                <w:rFonts w:ascii="Segoe UI" w:eastAsia="宋体" w:hAnsi="Segoe UI" w:cs="Segoe UI" w:hint="eastAsia"/>
                <w:color w:val="000000" w:themeColor="text1"/>
                <w:sz w:val="21"/>
                <w:szCs w:val="21"/>
              </w:rPr>
              <w:t>380V</w:t>
            </w:r>
            <w:r w:rsidRPr="00687B52">
              <w:rPr>
                <w:rStyle w:val="7pt"/>
                <w:rFonts w:ascii="Segoe UI" w:eastAsia="宋体" w:hAnsi="Segoe UI" w:cs="Segoe UI" w:hint="eastAsia"/>
                <w:color w:val="000000" w:themeColor="text1"/>
                <w:sz w:val="21"/>
                <w:szCs w:val="21"/>
              </w:rPr>
              <w:t>）</w:t>
            </w:r>
            <w:r w:rsidRPr="00687B52">
              <w:rPr>
                <w:rStyle w:val="7pt"/>
                <w:rFonts w:ascii="Segoe UI" w:eastAsia="宋体" w:hAnsi="Segoe UI" w:cs="Segoe UI"/>
                <w:color w:val="000000" w:themeColor="text1"/>
                <w:sz w:val="21"/>
                <w:szCs w:val="21"/>
              </w:rPr>
              <w:t>、电信</w:t>
            </w:r>
          </w:p>
        </w:tc>
        <w:tc>
          <w:tcPr>
            <w:tcW w:w="2460" w:type="dxa"/>
            <w:gridSpan w:val="2"/>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1.50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w:t>
            </w:r>
          </w:p>
        </w:tc>
      </w:tr>
      <w:tr w:rsidR="00481EDB" w:rsidRPr="00687B52" w:rsidTr="00B527D4">
        <w:trPr>
          <w:trHeight w:val="340"/>
          <w:jc w:val="center"/>
        </w:trPr>
        <w:tc>
          <w:tcPr>
            <w:tcW w:w="4003" w:type="dxa"/>
            <w:gridSpan w:val="3"/>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2940" w:type="dxa"/>
            <w:gridSpan w:val="5"/>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髙压电力、电信</w:t>
            </w:r>
          </w:p>
        </w:tc>
        <w:tc>
          <w:tcPr>
            <w:tcW w:w="2460" w:type="dxa"/>
            <w:gridSpan w:val="2"/>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2.00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w:t>
            </w:r>
          </w:p>
        </w:tc>
      </w:tr>
      <w:tr w:rsidR="00481EDB" w:rsidRPr="00687B52" w:rsidTr="00B527D4">
        <w:trPr>
          <w:trHeight w:val="340"/>
          <w:jc w:val="center"/>
        </w:trPr>
        <w:tc>
          <w:tcPr>
            <w:tcW w:w="6943" w:type="dxa"/>
            <w:gridSpan w:val="8"/>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管架基础外沿</w:t>
            </w:r>
          </w:p>
        </w:tc>
        <w:tc>
          <w:tcPr>
            <w:tcW w:w="2460" w:type="dxa"/>
            <w:gridSpan w:val="2"/>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0.80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w:t>
            </w:r>
          </w:p>
        </w:tc>
      </w:tr>
      <w:tr w:rsidR="00481EDB" w:rsidRPr="00687B52" w:rsidTr="00B527D4">
        <w:trPr>
          <w:trHeight w:val="340"/>
          <w:jc w:val="center"/>
        </w:trPr>
        <w:tc>
          <w:tcPr>
            <w:tcW w:w="6943" w:type="dxa"/>
            <w:gridSpan w:val="8"/>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围墙基础外沿</w:t>
            </w:r>
          </w:p>
        </w:tc>
        <w:tc>
          <w:tcPr>
            <w:tcW w:w="2460" w:type="dxa"/>
            <w:gridSpan w:val="2"/>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1.00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w:t>
            </w:r>
          </w:p>
        </w:tc>
      </w:tr>
      <w:tr w:rsidR="00481EDB" w:rsidRPr="00687B52" w:rsidTr="00B527D4">
        <w:trPr>
          <w:trHeight w:val="340"/>
          <w:jc w:val="center"/>
        </w:trPr>
        <w:tc>
          <w:tcPr>
            <w:tcW w:w="6943" w:type="dxa"/>
            <w:gridSpan w:val="8"/>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乔木中心</w:t>
            </w:r>
          </w:p>
        </w:tc>
        <w:tc>
          <w:tcPr>
            <w:tcW w:w="2460" w:type="dxa"/>
            <w:gridSpan w:val="2"/>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1.50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w:t>
            </w:r>
          </w:p>
        </w:tc>
      </w:tr>
      <w:tr w:rsidR="00481EDB" w:rsidRPr="00687B52" w:rsidTr="00B527D4">
        <w:trPr>
          <w:trHeight w:val="340"/>
          <w:jc w:val="center"/>
        </w:trPr>
        <w:tc>
          <w:tcPr>
            <w:tcW w:w="6943" w:type="dxa"/>
            <w:gridSpan w:val="8"/>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灌木中心</w:t>
            </w:r>
          </w:p>
        </w:tc>
        <w:tc>
          <w:tcPr>
            <w:tcW w:w="2460" w:type="dxa"/>
            <w:gridSpan w:val="2"/>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1.00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w:t>
            </w:r>
          </w:p>
        </w:tc>
      </w:tr>
      <w:tr w:rsidR="00481EDB" w:rsidRPr="00687B52" w:rsidTr="00B527D4">
        <w:trPr>
          <w:trHeight w:val="340"/>
          <w:jc w:val="center"/>
        </w:trPr>
        <w:tc>
          <w:tcPr>
            <w:tcW w:w="3755" w:type="dxa"/>
            <w:vMerge w:val="restart"/>
            <w:shd w:val="clear" w:color="auto" w:fill="FFFFFF"/>
            <w:vAlign w:val="center"/>
          </w:tcPr>
          <w:p w:rsidR="00481EDB" w:rsidRPr="00687B52" w:rsidRDefault="00481EDB" w:rsidP="00B527D4">
            <w:pPr>
              <w:pStyle w:val="21"/>
              <w:adjustRightInd w:val="0"/>
              <w:snapToGrid w:val="0"/>
              <w:spacing w:before="0" w:after="0" w:line="240" w:lineRule="auto"/>
              <w:jc w:val="center"/>
              <w:rPr>
                <w:rFonts w:ascii="Segoe UI" w:hAnsi="Segoe UI" w:cs="Segoe UI"/>
                <w:color w:val="000000" w:themeColor="text1"/>
                <w:sz w:val="21"/>
                <w:szCs w:val="21"/>
              </w:rPr>
            </w:pPr>
            <w:r w:rsidRPr="00687B52">
              <w:rPr>
                <w:rStyle w:val="7pt"/>
                <w:rFonts w:ascii="Segoe UI" w:eastAsia="宋体" w:hAnsi="Segoe UI" w:cs="Segoe UI"/>
                <w:color w:val="000000" w:themeColor="text1"/>
                <w:sz w:val="21"/>
                <w:szCs w:val="21"/>
              </w:rPr>
              <w:t>给水管</w:t>
            </w:r>
          </w:p>
        </w:tc>
        <w:tc>
          <w:tcPr>
            <w:tcW w:w="1291" w:type="dxa"/>
            <w:gridSpan w:val="4"/>
            <w:vMerge w:val="restart"/>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r w:rsidRPr="00687B52">
              <w:rPr>
                <w:rFonts w:ascii="Segoe UI" w:hAnsi="Segoe UI" w:cs="Segoe UI"/>
                <w:color w:val="000000" w:themeColor="text1"/>
                <w:szCs w:val="21"/>
              </w:rPr>
              <w:t>公称直径</w:t>
            </w:r>
            <w:r w:rsidRPr="00687B52">
              <w:rPr>
                <w:rFonts w:ascii="Segoe UI" w:hAnsi="Segoe UI" w:cs="Segoe UI" w:hint="eastAsia"/>
                <w:color w:val="000000" w:themeColor="text1"/>
                <w:szCs w:val="21"/>
              </w:rPr>
              <w:t>（</w:t>
            </w:r>
            <w:r w:rsidRPr="00687B52">
              <w:rPr>
                <w:rFonts w:ascii="Segoe UI" w:hAnsi="Segoe UI" w:cs="Segoe UI"/>
                <w:color w:val="000000" w:themeColor="text1"/>
                <w:szCs w:val="21"/>
              </w:rPr>
              <w:t>mm</w:t>
            </w:r>
            <w:r w:rsidRPr="00687B52">
              <w:rPr>
                <w:rFonts w:ascii="Segoe UI" w:hAnsi="Segoe UI" w:cs="Segoe UI" w:hint="eastAsia"/>
                <w:color w:val="000000" w:themeColor="text1"/>
                <w:szCs w:val="21"/>
              </w:rPr>
              <w:t>）</w:t>
            </w:r>
          </w:p>
        </w:tc>
        <w:tc>
          <w:tcPr>
            <w:tcW w:w="1897" w:type="dxa"/>
            <w:gridSpan w:val="3"/>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hint="eastAsia"/>
                <w:color w:val="000000" w:themeColor="text1"/>
                <w:sz w:val="21"/>
                <w:szCs w:val="21"/>
              </w:rPr>
              <w:t>＜</w:t>
            </w:r>
            <w:r w:rsidRPr="00687B52">
              <w:rPr>
                <w:rStyle w:val="7pt"/>
                <w:rFonts w:ascii="Segoe UI" w:eastAsia="宋体" w:hAnsi="Segoe UI" w:cs="Segoe UI"/>
                <w:color w:val="000000" w:themeColor="text1"/>
                <w:sz w:val="21"/>
                <w:szCs w:val="21"/>
              </w:rPr>
              <w:t>75</w:t>
            </w:r>
          </w:p>
        </w:tc>
        <w:tc>
          <w:tcPr>
            <w:tcW w:w="2460" w:type="dxa"/>
            <w:gridSpan w:val="2"/>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0.8</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0.15</w:t>
            </w:r>
          </w:p>
        </w:tc>
      </w:tr>
      <w:tr w:rsidR="00481EDB" w:rsidRPr="00687B52" w:rsidTr="00B527D4">
        <w:trPr>
          <w:trHeight w:val="340"/>
          <w:jc w:val="center"/>
        </w:trPr>
        <w:tc>
          <w:tcPr>
            <w:tcW w:w="3755" w:type="dxa"/>
            <w:vMerge/>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p>
        </w:tc>
        <w:tc>
          <w:tcPr>
            <w:tcW w:w="1291" w:type="dxa"/>
            <w:gridSpan w:val="4"/>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1897" w:type="dxa"/>
            <w:gridSpan w:val="3"/>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75</w:t>
            </w:r>
            <w:r w:rsidRPr="00687B52">
              <w:rPr>
                <w:rStyle w:val="7pt"/>
                <w:rFonts w:ascii="MS Mincho" w:eastAsia="宋体" w:hAnsi="MS Mincho" w:cs="MS Mincho"/>
                <w:color w:val="000000" w:themeColor="text1"/>
                <w:sz w:val="21"/>
                <w:szCs w:val="21"/>
              </w:rPr>
              <w:t>-</w:t>
            </w:r>
            <w:r w:rsidRPr="00687B52">
              <w:rPr>
                <w:rStyle w:val="7pt"/>
                <w:rFonts w:ascii="Segoe UI" w:eastAsia="宋体" w:hAnsi="Segoe UI" w:cs="Segoe UI"/>
                <w:color w:val="000000" w:themeColor="text1"/>
                <w:sz w:val="21"/>
                <w:szCs w:val="21"/>
              </w:rPr>
              <w:t>150</w:t>
            </w:r>
          </w:p>
        </w:tc>
        <w:tc>
          <w:tcPr>
            <w:tcW w:w="2460" w:type="dxa"/>
            <w:gridSpan w:val="2"/>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1.00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0.15</w:t>
            </w:r>
          </w:p>
        </w:tc>
      </w:tr>
      <w:tr w:rsidR="00481EDB" w:rsidRPr="00687B52" w:rsidTr="00B527D4">
        <w:trPr>
          <w:trHeight w:val="340"/>
          <w:jc w:val="center"/>
        </w:trPr>
        <w:tc>
          <w:tcPr>
            <w:tcW w:w="3755" w:type="dxa"/>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1291" w:type="dxa"/>
            <w:gridSpan w:val="4"/>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1897" w:type="dxa"/>
            <w:gridSpan w:val="3"/>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200</w:t>
            </w:r>
            <w:r w:rsidRPr="00687B52">
              <w:rPr>
                <w:rStyle w:val="7pt"/>
                <w:rFonts w:ascii="MS Mincho" w:eastAsia="宋体" w:hAnsi="MS Mincho" w:cs="MS Mincho"/>
                <w:color w:val="000000" w:themeColor="text1"/>
                <w:sz w:val="21"/>
                <w:szCs w:val="21"/>
              </w:rPr>
              <w:t>-</w:t>
            </w:r>
            <w:r w:rsidRPr="00687B52">
              <w:rPr>
                <w:rStyle w:val="7pt"/>
                <w:rFonts w:ascii="Segoe UI" w:eastAsia="宋体" w:hAnsi="Segoe UI" w:cs="Segoe UI"/>
                <w:color w:val="000000" w:themeColor="text1"/>
                <w:sz w:val="21"/>
                <w:szCs w:val="21"/>
              </w:rPr>
              <w:t>400</w:t>
            </w:r>
          </w:p>
        </w:tc>
        <w:tc>
          <w:tcPr>
            <w:tcW w:w="2460" w:type="dxa"/>
            <w:gridSpan w:val="2"/>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1.20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0.15</w:t>
            </w:r>
          </w:p>
        </w:tc>
      </w:tr>
      <w:tr w:rsidR="00481EDB" w:rsidRPr="00687B52" w:rsidTr="00B527D4">
        <w:trPr>
          <w:trHeight w:val="340"/>
          <w:jc w:val="center"/>
        </w:trPr>
        <w:tc>
          <w:tcPr>
            <w:tcW w:w="3755" w:type="dxa"/>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1291" w:type="dxa"/>
            <w:gridSpan w:val="4"/>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1897" w:type="dxa"/>
            <w:gridSpan w:val="3"/>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hint="eastAsia"/>
                <w:color w:val="000000" w:themeColor="text1"/>
                <w:sz w:val="21"/>
                <w:szCs w:val="21"/>
              </w:rPr>
              <w:t>＞</w:t>
            </w:r>
            <w:r w:rsidRPr="00687B52">
              <w:rPr>
                <w:rStyle w:val="7pt"/>
                <w:rFonts w:ascii="Segoe UI" w:eastAsia="宋体" w:hAnsi="Segoe UI" w:cs="Segoe UI"/>
                <w:color w:val="000000" w:themeColor="text1"/>
                <w:sz w:val="21"/>
                <w:szCs w:val="21"/>
              </w:rPr>
              <w:t>400</w:t>
            </w:r>
          </w:p>
        </w:tc>
        <w:tc>
          <w:tcPr>
            <w:tcW w:w="2460" w:type="dxa"/>
            <w:gridSpan w:val="2"/>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1.50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0.15</w:t>
            </w:r>
          </w:p>
        </w:tc>
      </w:tr>
      <w:tr w:rsidR="00481EDB" w:rsidRPr="00687B52" w:rsidTr="00B527D4">
        <w:trPr>
          <w:trHeight w:val="340"/>
          <w:jc w:val="center"/>
        </w:trPr>
        <w:tc>
          <w:tcPr>
            <w:tcW w:w="3755" w:type="dxa"/>
            <w:vMerge w:val="restart"/>
            <w:shd w:val="clear" w:color="auto" w:fill="FFFFFF"/>
            <w:vAlign w:val="center"/>
          </w:tcPr>
          <w:p w:rsidR="00481EDB" w:rsidRPr="00687B52" w:rsidRDefault="00481EDB" w:rsidP="00B527D4">
            <w:pPr>
              <w:pStyle w:val="21"/>
              <w:adjustRightInd w:val="0"/>
              <w:snapToGrid w:val="0"/>
              <w:spacing w:before="0" w:after="0" w:line="240" w:lineRule="auto"/>
              <w:jc w:val="center"/>
              <w:rPr>
                <w:rFonts w:ascii="Segoe UI" w:hAnsi="Segoe UI" w:cs="Segoe UI"/>
                <w:color w:val="000000" w:themeColor="text1"/>
                <w:sz w:val="21"/>
                <w:szCs w:val="21"/>
              </w:rPr>
            </w:pPr>
            <w:r w:rsidRPr="00687B52">
              <w:rPr>
                <w:rStyle w:val="7pt"/>
                <w:rFonts w:ascii="Segoe UI" w:eastAsia="宋体" w:hAnsi="Segoe UI" w:cs="Segoe UI"/>
                <w:color w:val="000000" w:themeColor="text1"/>
                <w:sz w:val="21"/>
                <w:szCs w:val="21"/>
              </w:rPr>
              <w:t>排水管</w:t>
            </w:r>
          </w:p>
        </w:tc>
        <w:tc>
          <w:tcPr>
            <w:tcW w:w="1291" w:type="dxa"/>
            <w:gridSpan w:val="4"/>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1897" w:type="dxa"/>
            <w:gridSpan w:val="3"/>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hint="eastAsia"/>
                <w:color w:val="000000" w:themeColor="text1"/>
                <w:sz w:val="21"/>
                <w:szCs w:val="21"/>
              </w:rPr>
              <w:t>≤</w:t>
            </w:r>
            <w:r w:rsidRPr="00687B52">
              <w:rPr>
                <w:rStyle w:val="7pt"/>
                <w:rFonts w:ascii="Segoe UI" w:eastAsia="宋体" w:hAnsi="Segoe UI" w:cs="Segoe UI"/>
                <w:color w:val="000000" w:themeColor="text1"/>
                <w:sz w:val="21"/>
                <w:szCs w:val="21"/>
              </w:rPr>
              <w:t>800</w:t>
            </w:r>
          </w:p>
        </w:tc>
        <w:tc>
          <w:tcPr>
            <w:tcW w:w="2460" w:type="dxa"/>
            <w:gridSpan w:val="2"/>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0.80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0.15</w:t>
            </w:r>
          </w:p>
        </w:tc>
      </w:tr>
      <w:tr w:rsidR="00481EDB" w:rsidRPr="00687B52" w:rsidTr="00B527D4">
        <w:trPr>
          <w:trHeight w:val="340"/>
          <w:jc w:val="center"/>
        </w:trPr>
        <w:tc>
          <w:tcPr>
            <w:tcW w:w="3755" w:type="dxa"/>
            <w:vMerge/>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p>
        </w:tc>
        <w:tc>
          <w:tcPr>
            <w:tcW w:w="1291" w:type="dxa"/>
            <w:gridSpan w:val="4"/>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1897" w:type="dxa"/>
            <w:gridSpan w:val="3"/>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hint="eastAsia"/>
                <w:color w:val="000000" w:themeColor="text1"/>
                <w:sz w:val="21"/>
                <w:szCs w:val="21"/>
              </w:rPr>
              <w:t>＞</w:t>
            </w:r>
            <w:r w:rsidRPr="00687B52">
              <w:rPr>
                <w:rStyle w:val="7pt"/>
                <w:rFonts w:ascii="Segoe UI" w:eastAsia="宋体" w:hAnsi="Segoe UI" w:cs="Segoe UI"/>
                <w:color w:val="000000" w:themeColor="text1"/>
                <w:sz w:val="21"/>
                <w:szCs w:val="21"/>
              </w:rPr>
              <w:t>800</w:t>
            </w:r>
            <w:r w:rsidRPr="00687B52">
              <w:rPr>
                <w:rStyle w:val="7pt"/>
                <w:rFonts w:ascii="Segoe UI" w:eastAsia="宋体" w:hAnsi="Segoe UI" w:cs="Segoe UI"/>
                <w:color w:val="000000" w:themeColor="text1"/>
                <w:sz w:val="21"/>
                <w:szCs w:val="21"/>
              </w:rPr>
              <w:t>且</w:t>
            </w:r>
            <w:r w:rsidRPr="00687B52">
              <w:rPr>
                <w:rStyle w:val="7pt"/>
                <w:rFonts w:ascii="Segoe UI" w:eastAsia="宋体" w:hAnsi="Segoe UI" w:cs="Segoe UI" w:hint="eastAsia"/>
                <w:color w:val="000000" w:themeColor="text1"/>
                <w:sz w:val="21"/>
                <w:szCs w:val="21"/>
              </w:rPr>
              <w:t>≤</w:t>
            </w:r>
            <w:r w:rsidRPr="00687B52">
              <w:rPr>
                <w:rStyle w:val="7pt"/>
                <w:rFonts w:ascii="Segoe UI" w:eastAsia="宋体" w:hAnsi="Segoe UI" w:cs="Segoe UI"/>
                <w:color w:val="000000" w:themeColor="text1"/>
                <w:sz w:val="21"/>
                <w:szCs w:val="21"/>
              </w:rPr>
              <w:t>1500</w:t>
            </w:r>
          </w:p>
        </w:tc>
        <w:tc>
          <w:tcPr>
            <w:tcW w:w="2460" w:type="dxa"/>
            <w:gridSpan w:val="2"/>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1.00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0.15</w:t>
            </w:r>
          </w:p>
        </w:tc>
      </w:tr>
      <w:tr w:rsidR="00481EDB" w:rsidRPr="00687B52" w:rsidTr="00B527D4">
        <w:trPr>
          <w:trHeight w:val="340"/>
          <w:jc w:val="center"/>
        </w:trPr>
        <w:tc>
          <w:tcPr>
            <w:tcW w:w="3755" w:type="dxa"/>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1291" w:type="dxa"/>
            <w:gridSpan w:val="4"/>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1897" w:type="dxa"/>
            <w:gridSpan w:val="3"/>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hint="eastAsia"/>
                <w:color w:val="000000" w:themeColor="text1"/>
                <w:sz w:val="21"/>
                <w:szCs w:val="21"/>
              </w:rPr>
              <w:t>＞</w:t>
            </w:r>
            <w:r w:rsidRPr="00687B52">
              <w:rPr>
                <w:rStyle w:val="7pt"/>
                <w:rFonts w:ascii="Segoe UI" w:eastAsia="宋体" w:hAnsi="Segoe UI" w:cs="Segoe UI"/>
                <w:color w:val="000000" w:themeColor="text1"/>
                <w:sz w:val="21"/>
                <w:szCs w:val="21"/>
              </w:rPr>
              <w:t>1500</w:t>
            </w:r>
          </w:p>
        </w:tc>
        <w:tc>
          <w:tcPr>
            <w:tcW w:w="2460" w:type="dxa"/>
            <w:gridSpan w:val="2"/>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1.20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0.15</w:t>
            </w:r>
          </w:p>
        </w:tc>
      </w:tr>
      <w:tr w:rsidR="00481EDB" w:rsidRPr="00687B52" w:rsidTr="00B527D4">
        <w:trPr>
          <w:trHeight w:val="340"/>
          <w:jc w:val="center"/>
        </w:trPr>
        <w:tc>
          <w:tcPr>
            <w:tcW w:w="6955" w:type="dxa"/>
            <w:gridSpan w:val="9"/>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热力管或不通行地沟外沿</w:t>
            </w:r>
          </w:p>
        </w:tc>
        <w:tc>
          <w:tcPr>
            <w:tcW w:w="2448"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1.50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0.25</w:t>
            </w:r>
          </w:p>
        </w:tc>
      </w:tr>
      <w:tr w:rsidR="00481EDB" w:rsidRPr="00687B52" w:rsidTr="00B527D4">
        <w:trPr>
          <w:trHeight w:val="340"/>
          <w:jc w:val="center"/>
        </w:trPr>
        <w:tc>
          <w:tcPr>
            <w:tcW w:w="6955" w:type="dxa"/>
            <w:gridSpan w:val="9"/>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燃气管（乙块等）</w:t>
            </w:r>
          </w:p>
        </w:tc>
        <w:tc>
          <w:tcPr>
            <w:tcW w:w="2448"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1.50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0.25</w:t>
            </w:r>
          </w:p>
        </w:tc>
      </w:tr>
      <w:tr w:rsidR="00481EDB" w:rsidRPr="00687B52" w:rsidTr="00B527D4">
        <w:trPr>
          <w:trHeight w:val="340"/>
          <w:jc w:val="center"/>
        </w:trPr>
        <w:tc>
          <w:tcPr>
            <w:tcW w:w="3823" w:type="dxa"/>
            <w:gridSpan w:val="2"/>
            <w:vMerge w:val="restart"/>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煤气管</w:t>
            </w:r>
          </w:p>
        </w:tc>
        <w:tc>
          <w:tcPr>
            <w:tcW w:w="1315" w:type="dxa"/>
            <w:gridSpan w:val="4"/>
            <w:vMerge w:val="restart"/>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煤气压力</w:t>
            </w:r>
            <w:r w:rsidRPr="00687B52">
              <w:rPr>
                <w:rStyle w:val="7pt"/>
                <w:rFonts w:ascii="Segoe UI" w:eastAsia="宋体" w:hAnsi="Segoe UI" w:cs="Segoe UI" w:hint="eastAsia"/>
                <w:color w:val="000000" w:themeColor="text1"/>
                <w:sz w:val="21"/>
                <w:szCs w:val="21"/>
              </w:rPr>
              <w:t>（</w:t>
            </w:r>
            <w:r w:rsidRPr="00687B52">
              <w:rPr>
                <w:rStyle w:val="7pt"/>
                <w:rFonts w:ascii="Segoe UI" w:eastAsia="宋体" w:hAnsi="Segoe UI" w:cs="Segoe UI" w:hint="eastAsia"/>
                <w:color w:val="000000" w:themeColor="text1"/>
                <w:sz w:val="21"/>
                <w:szCs w:val="21"/>
              </w:rPr>
              <w:t>MPa</w:t>
            </w:r>
            <w:r w:rsidRPr="00687B52">
              <w:rPr>
                <w:rStyle w:val="7pt"/>
                <w:rFonts w:ascii="Segoe UI" w:eastAsia="宋体" w:hAnsi="Segoe UI" w:cs="Segoe UI" w:hint="eastAsia"/>
                <w:color w:val="000000" w:themeColor="text1"/>
                <w:sz w:val="21"/>
                <w:szCs w:val="21"/>
              </w:rPr>
              <w:t>）</w:t>
            </w:r>
          </w:p>
        </w:tc>
        <w:tc>
          <w:tcPr>
            <w:tcW w:w="1817" w:type="dxa"/>
            <w:gridSpan w:val="3"/>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hint="eastAsia"/>
                <w:color w:val="000000" w:themeColor="text1"/>
                <w:sz w:val="21"/>
                <w:szCs w:val="21"/>
              </w:rPr>
              <w:t>≤</w:t>
            </w:r>
            <w:r w:rsidRPr="00687B52">
              <w:rPr>
                <w:rStyle w:val="7pt"/>
                <w:rFonts w:ascii="Segoe UI" w:eastAsia="宋体" w:hAnsi="Segoe UI" w:cs="Segoe UI"/>
                <w:color w:val="000000" w:themeColor="text1"/>
                <w:sz w:val="21"/>
                <w:szCs w:val="21"/>
              </w:rPr>
              <w:t>0.005</w:t>
            </w:r>
          </w:p>
        </w:tc>
        <w:tc>
          <w:tcPr>
            <w:tcW w:w="2448"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1.00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0.25</w:t>
            </w:r>
          </w:p>
        </w:tc>
      </w:tr>
      <w:tr w:rsidR="00481EDB" w:rsidRPr="00687B52" w:rsidTr="00B527D4">
        <w:trPr>
          <w:trHeight w:val="340"/>
          <w:jc w:val="center"/>
        </w:trPr>
        <w:tc>
          <w:tcPr>
            <w:tcW w:w="3823" w:type="dxa"/>
            <w:gridSpan w:val="2"/>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1315" w:type="dxa"/>
            <w:gridSpan w:val="4"/>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1817" w:type="dxa"/>
            <w:gridSpan w:val="3"/>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0.005</w:t>
            </w:r>
            <w:r w:rsidRPr="00687B52">
              <w:rPr>
                <w:rStyle w:val="7pt"/>
                <w:rFonts w:ascii="MS Mincho" w:eastAsia="宋体" w:hAnsi="MS Mincho" w:cs="MS Mincho"/>
                <w:color w:val="000000" w:themeColor="text1"/>
                <w:sz w:val="21"/>
                <w:szCs w:val="21"/>
              </w:rPr>
              <w:t>-</w:t>
            </w:r>
            <w:r w:rsidRPr="00687B52">
              <w:rPr>
                <w:rStyle w:val="7pt"/>
                <w:rFonts w:ascii="Segoe UI" w:eastAsia="宋体" w:hAnsi="Segoe UI" w:cs="Segoe UI"/>
                <w:color w:val="000000" w:themeColor="text1"/>
                <w:sz w:val="21"/>
                <w:szCs w:val="21"/>
              </w:rPr>
              <w:t>0.15</w:t>
            </w:r>
          </w:p>
        </w:tc>
        <w:tc>
          <w:tcPr>
            <w:tcW w:w="2448"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1.20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0.25</w:t>
            </w:r>
          </w:p>
        </w:tc>
      </w:tr>
      <w:tr w:rsidR="00481EDB" w:rsidRPr="00687B52" w:rsidTr="00B527D4">
        <w:trPr>
          <w:trHeight w:val="340"/>
          <w:jc w:val="center"/>
        </w:trPr>
        <w:tc>
          <w:tcPr>
            <w:tcW w:w="3823" w:type="dxa"/>
            <w:gridSpan w:val="2"/>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1315" w:type="dxa"/>
            <w:gridSpan w:val="4"/>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1817" w:type="dxa"/>
            <w:gridSpan w:val="3"/>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0.15</w:t>
            </w:r>
            <w:r w:rsidRPr="00687B52">
              <w:rPr>
                <w:rStyle w:val="7pt"/>
                <w:rFonts w:ascii="MS Mincho" w:eastAsia="宋体" w:hAnsi="MS Mincho" w:cs="MS Mincho"/>
                <w:color w:val="000000" w:themeColor="text1"/>
                <w:sz w:val="21"/>
                <w:szCs w:val="21"/>
              </w:rPr>
              <w:t>-</w:t>
            </w:r>
            <w:r w:rsidRPr="00687B52">
              <w:rPr>
                <w:rStyle w:val="7pt"/>
                <w:rFonts w:ascii="Segoe UI" w:eastAsia="宋体" w:hAnsi="Segoe UI" w:cs="Segoe UI"/>
                <w:color w:val="000000" w:themeColor="text1"/>
                <w:sz w:val="21"/>
                <w:szCs w:val="21"/>
              </w:rPr>
              <w:t>0.3</w:t>
            </w:r>
          </w:p>
        </w:tc>
        <w:tc>
          <w:tcPr>
            <w:tcW w:w="2448"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1.50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0.25</w:t>
            </w:r>
          </w:p>
        </w:tc>
      </w:tr>
      <w:tr w:rsidR="00481EDB" w:rsidRPr="00687B52" w:rsidTr="00B527D4">
        <w:trPr>
          <w:trHeight w:val="340"/>
          <w:jc w:val="center"/>
        </w:trPr>
        <w:tc>
          <w:tcPr>
            <w:tcW w:w="3823" w:type="dxa"/>
            <w:gridSpan w:val="2"/>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1315" w:type="dxa"/>
            <w:gridSpan w:val="4"/>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1817" w:type="dxa"/>
            <w:gridSpan w:val="3"/>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0.3</w:t>
            </w:r>
            <w:r w:rsidRPr="00687B52">
              <w:rPr>
                <w:rStyle w:val="7pt"/>
                <w:rFonts w:ascii="MS Mincho" w:eastAsia="宋体" w:hAnsi="MS Mincho" w:cs="MS Mincho"/>
                <w:color w:val="000000" w:themeColor="text1"/>
                <w:sz w:val="21"/>
                <w:szCs w:val="21"/>
              </w:rPr>
              <w:t>-</w:t>
            </w:r>
            <w:r w:rsidRPr="00687B52">
              <w:rPr>
                <w:rStyle w:val="7pt"/>
                <w:rFonts w:ascii="Segoe UI" w:eastAsia="宋体" w:hAnsi="Segoe UI" w:cs="Segoe UI"/>
                <w:color w:val="000000" w:themeColor="text1"/>
                <w:sz w:val="21"/>
                <w:szCs w:val="21"/>
              </w:rPr>
              <w:t>0.8</w:t>
            </w:r>
          </w:p>
        </w:tc>
        <w:tc>
          <w:tcPr>
            <w:tcW w:w="2448"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2.00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0.25</w:t>
            </w:r>
          </w:p>
        </w:tc>
      </w:tr>
      <w:tr w:rsidR="00481EDB" w:rsidRPr="00687B52" w:rsidTr="00B527D4">
        <w:trPr>
          <w:trHeight w:val="340"/>
          <w:jc w:val="center"/>
        </w:trPr>
        <w:tc>
          <w:tcPr>
            <w:tcW w:w="6955" w:type="dxa"/>
            <w:gridSpan w:val="9"/>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不燃气体管</w:t>
            </w:r>
            <w:r w:rsidRPr="00687B52">
              <w:rPr>
                <w:rStyle w:val="7pt"/>
                <w:rFonts w:ascii="Segoe UI" w:eastAsia="宋体" w:hAnsi="Segoe UI" w:cs="Segoe UI"/>
                <w:color w:val="000000" w:themeColor="text1"/>
                <w:sz w:val="21"/>
                <w:szCs w:val="21"/>
              </w:rPr>
              <w:t>(</w:t>
            </w:r>
            <w:r w:rsidRPr="00687B52">
              <w:rPr>
                <w:rStyle w:val="7pt"/>
                <w:rFonts w:ascii="Segoe UI" w:eastAsia="宋体" w:hAnsi="Segoe UI" w:cs="Segoe UI"/>
                <w:color w:val="000000" w:themeColor="text1"/>
                <w:sz w:val="21"/>
                <w:szCs w:val="21"/>
              </w:rPr>
              <w:t>压缩空气等〉</w:t>
            </w:r>
          </w:p>
        </w:tc>
        <w:tc>
          <w:tcPr>
            <w:tcW w:w="2448"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1.50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0.15</w:t>
            </w:r>
          </w:p>
        </w:tc>
      </w:tr>
      <w:tr w:rsidR="00481EDB" w:rsidRPr="00687B52" w:rsidTr="00B527D4">
        <w:trPr>
          <w:trHeight w:val="340"/>
          <w:jc w:val="center"/>
        </w:trPr>
        <w:tc>
          <w:tcPr>
            <w:tcW w:w="3823" w:type="dxa"/>
            <w:gridSpan w:val="2"/>
            <w:vMerge w:val="restart"/>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电力电缆</w:t>
            </w:r>
          </w:p>
        </w:tc>
        <w:tc>
          <w:tcPr>
            <w:tcW w:w="1315" w:type="dxa"/>
            <w:gridSpan w:val="4"/>
            <w:vMerge w:val="restart"/>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电压（</w:t>
            </w:r>
            <w:r w:rsidRPr="00687B52">
              <w:rPr>
                <w:rStyle w:val="7pt"/>
                <w:rFonts w:ascii="Segoe UI" w:eastAsia="宋体" w:hAnsi="Segoe UI" w:cs="Segoe UI" w:hint="eastAsia"/>
                <w:color w:val="000000" w:themeColor="text1"/>
                <w:sz w:val="21"/>
                <w:szCs w:val="21"/>
              </w:rPr>
              <w:t>K</w:t>
            </w:r>
            <w:r w:rsidRPr="00687B52">
              <w:rPr>
                <w:rStyle w:val="7pt"/>
                <w:rFonts w:ascii="Segoe UI" w:eastAsia="宋体" w:hAnsi="Segoe UI" w:cs="Segoe UI"/>
                <w:color w:val="000000" w:themeColor="text1"/>
                <w:sz w:val="21"/>
                <w:szCs w:val="21"/>
              </w:rPr>
              <w:t>V</w:t>
            </w:r>
            <w:r w:rsidRPr="00687B52">
              <w:rPr>
                <w:rStyle w:val="7pt"/>
                <w:rFonts w:ascii="Segoe UI" w:eastAsia="宋体" w:hAnsi="Segoe UI" w:cs="Segoe UI"/>
                <w:color w:val="000000" w:themeColor="text1"/>
                <w:sz w:val="21"/>
                <w:szCs w:val="21"/>
              </w:rPr>
              <w:t>）</w:t>
            </w:r>
          </w:p>
        </w:tc>
        <w:tc>
          <w:tcPr>
            <w:tcW w:w="1817" w:type="dxa"/>
            <w:gridSpan w:val="3"/>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r w:rsidRPr="00687B52">
              <w:rPr>
                <w:rFonts w:ascii="Segoe UI" w:hAnsi="Segoe UI" w:cs="Segoe UI"/>
                <w:color w:val="000000" w:themeColor="text1"/>
                <w:szCs w:val="21"/>
              </w:rPr>
              <w:t>＜</w:t>
            </w:r>
            <w:r w:rsidRPr="00687B52">
              <w:rPr>
                <w:rFonts w:ascii="Segoe UI" w:hAnsi="Segoe UI" w:cs="Segoe UI" w:hint="eastAsia"/>
                <w:color w:val="000000" w:themeColor="text1"/>
                <w:szCs w:val="21"/>
              </w:rPr>
              <w:t>1</w:t>
            </w:r>
          </w:p>
        </w:tc>
        <w:tc>
          <w:tcPr>
            <w:tcW w:w="2448"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0.80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0.50</w:t>
            </w:r>
          </w:p>
        </w:tc>
      </w:tr>
      <w:tr w:rsidR="00481EDB" w:rsidRPr="00687B52" w:rsidTr="00B527D4">
        <w:trPr>
          <w:trHeight w:val="340"/>
          <w:jc w:val="center"/>
        </w:trPr>
        <w:tc>
          <w:tcPr>
            <w:tcW w:w="3823" w:type="dxa"/>
            <w:gridSpan w:val="2"/>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1315" w:type="dxa"/>
            <w:gridSpan w:val="4"/>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1817" w:type="dxa"/>
            <w:gridSpan w:val="3"/>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1</w:t>
            </w:r>
            <w:r w:rsidRPr="00687B52">
              <w:rPr>
                <w:rStyle w:val="7pt"/>
                <w:rFonts w:ascii="MS Mincho" w:eastAsia="宋体" w:hAnsi="MS Mincho" w:cs="MS Mincho"/>
                <w:color w:val="000000" w:themeColor="text1"/>
                <w:sz w:val="21"/>
                <w:szCs w:val="21"/>
              </w:rPr>
              <w:t>-</w:t>
            </w:r>
            <w:r w:rsidRPr="00687B52">
              <w:rPr>
                <w:rStyle w:val="7pt"/>
                <w:rFonts w:ascii="Segoe UI" w:eastAsia="宋体" w:hAnsi="Segoe UI" w:cs="Segoe UI"/>
                <w:color w:val="000000" w:themeColor="text1"/>
                <w:sz w:val="21"/>
                <w:szCs w:val="21"/>
              </w:rPr>
              <w:t>10</w:t>
            </w:r>
          </w:p>
        </w:tc>
        <w:tc>
          <w:tcPr>
            <w:tcW w:w="2448"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0.80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0.50</w:t>
            </w:r>
          </w:p>
        </w:tc>
      </w:tr>
      <w:tr w:rsidR="00481EDB" w:rsidRPr="00687B52" w:rsidTr="00B527D4">
        <w:trPr>
          <w:trHeight w:val="340"/>
          <w:jc w:val="center"/>
        </w:trPr>
        <w:tc>
          <w:tcPr>
            <w:tcW w:w="3823" w:type="dxa"/>
            <w:gridSpan w:val="2"/>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1315" w:type="dxa"/>
            <w:gridSpan w:val="4"/>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1817" w:type="dxa"/>
            <w:gridSpan w:val="3"/>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hint="eastAsia"/>
                <w:color w:val="000000" w:themeColor="text1"/>
                <w:sz w:val="21"/>
                <w:szCs w:val="21"/>
              </w:rPr>
              <w:t>＞</w:t>
            </w:r>
            <w:r w:rsidRPr="00687B52">
              <w:rPr>
                <w:rStyle w:val="7pt"/>
                <w:rFonts w:ascii="Segoe UI" w:eastAsia="宋体" w:hAnsi="Segoe UI" w:cs="Segoe UI"/>
                <w:color w:val="000000" w:themeColor="text1"/>
                <w:sz w:val="21"/>
                <w:szCs w:val="21"/>
              </w:rPr>
              <w:t>10</w:t>
            </w:r>
            <w:r w:rsidRPr="00687B52">
              <w:rPr>
                <w:rStyle w:val="7pt"/>
                <w:rFonts w:ascii="Segoe UI" w:eastAsia="宋体" w:hAnsi="Segoe UI" w:cs="Segoe UI"/>
                <w:color w:val="000000" w:themeColor="text1"/>
                <w:sz w:val="21"/>
                <w:szCs w:val="21"/>
              </w:rPr>
              <w:t>且</w:t>
            </w:r>
            <w:r w:rsidRPr="00687B52">
              <w:rPr>
                <w:rStyle w:val="7pt"/>
                <w:rFonts w:ascii="Segoe UI" w:eastAsia="宋体" w:hAnsi="Segoe UI" w:cs="Segoe UI" w:hint="eastAsia"/>
                <w:color w:val="000000" w:themeColor="text1"/>
                <w:sz w:val="21"/>
                <w:szCs w:val="21"/>
              </w:rPr>
              <w:t>≤</w:t>
            </w:r>
            <w:r w:rsidRPr="00687B52">
              <w:rPr>
                <w:rStyle w:val="7pt"/>
                <w:rFonts w:ascii="Segoe UI" w:eastAsia="宋体" w:hAnsi="Segoe UI" w:cs="Segoe UI"/>
                <w:color w:val="000000" w:themeColor="text1"/>
                <w:sz w:val="21"/>
                <w:szCs w:val="21"/>
              </w:rPr>
              <w:t>35</w:t>
            </w:r>
          </w:p>
        </w:tc>
        <w:tc>
          <w:tcPr>
            <w:tcW w:w="2448"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1.00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0.50</w:t>
            </w:r>
          </w:p>
        </w:tc>
      </w:tr>
      <w:tr w:rsidR="00481EDB" w:rsidRPr="00687B52" w:rsidTr="00B527D4">
        <w:trPr>
          <w:trHeight w:val="340"/>
          <w:jc w:val="center"/>
        </w:trPr>
        <w:tc>
          <w:tcPr>
            <w:tcW w:w="3823" w:type="dxa"/>
            <w:gridSpan w:val="2"/>
            <w:vMerge w:val="restart"/>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电信电缆</w:t>
            </w:r>
          </w:p>
        </w:tc>
        <w:tc>
          <w:tcPr>
            <w:tcW w:w="3132" w:type="dxa"/>
            <w:gridSpan w:val="7"/>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直埋电缆</w:t>
            </w:r>
          </w:p>
        </w:tc>
        <w:tc>
          <w:tcPr>
            <w:tcW w:w="2448"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0.8</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0.50</w:t>
            </w:r>
          </w:p>
        </w:tc>
      </w:tr>
      <w:tr w:rsidR="00481EDB" w:rsidRPr="00687B52" w:rsidTr="00B527D4">
        <w:trPr>
          <w:trHeight w:val="340"/>
          <w:jc w:val="center"/>
        </w:trPr>
        <w:tc>
          <w:tcPr>
            <w:tcW w:w="3823" w:type="dxa"/>
            <w:gridSpan w:val="2"/>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3132" w:type="dxa"/>
            <w:gridSpan w:val="7"/>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电缆管道</w:t>
            </w:r>
          </w:p>
        </w:tc>
        <w:tc>
          <w:tcPr>
            <w:tcW w:w="2448"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1.00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0.15</w:t>
            </w:r>
          </w:p>
        </w:tc>
      </w:tr>
      <w:tr w:rsidR="00481EDB" w:rsidRPr="00687B52" w:rsidTr="00B527D4">
        <w:trPr>
          <w:trHeight w:val="340"/>
          <w:jc w:val="center"/>
        </w:trPr>
        <w:tc>
          <w:tcPr>
            <w:tcW w:w="3823" w:type="dxa"/>
            <w:gridSpan w:val="2"/>
            <w:vMerge/>
            <w:shd w:val="clear" w:color="auto" w:fill="FFFFFF"/>
            <w:vAlign w:val="center"/>
          </w:tcPr>
          <w:p w:rsidR="00481EDB" w:rsidRPr="00687B52" w:rsidRDefault="00481EDB" w:rsidP="00B527D4">
            <w:pPr>
              <w:adjustRightInd w:val="0"/>
              <w:snapToGrid w:val="0"/>
              <w:jc w:val="center"/>
              <w:rPr>
                <w:rFonts w:ascii="Segoe UI" w:hAnsi="Segoe UI" w:cs="Segoe UI"/>
                <w:color w:val="000000" w:themeColor="text1"/>
                <w:szCs w:val="21"/>
              </w:rPr>
            </w:pPr>
          </w:p>
        </w:tc>
        <w:tc>
          <w:tcPr>
            <w:tcW w:w="3132" w:type="dxa"/>
            <w:gridSpan w:val="7"/>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电缆沟</w:t>
            </w:r>
          </w:p>
        </w:tc>
        <w:tc>
          <w:tcPr>
            <w:tcW w:w="2448"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1.50</w:t>
            </w:r>
          </w:p>
        </w:tc>
        <w:tc>
          <w:tcPr>
            <w:tcW w:w="2437" w:type="dxa"/>
            <w:shd w:val="clear" w:color="auto" w:fill="FFFFFF"/>
            <w:vAlign w:val="center"/>
          </w:tcPr>
          <w:p w:rsidR="00481EDB" w:rsidRPr="00687B52" w:rsidRDefault="00481EDB" w:rsidP="00B527D4">
            <w:pPr>
              <w:pStyle w:val="21"/>
              <w:shd w:val="clear" w:color="auto" w:fill="auto"/>
              <w:adjustRightInd w:val="0"/>
              <w:snapToGrid w:val="0"/>
              <w:spacing w:before="0" w:after="0" w:line="240" w:lineRule="auto"/>
              <w:ind w:firstLine="0"/>
              <w:jc w:val="center"/>
              <w:rPr>
                <w:rFonts w:ascii="Segoe UI" w:eastAsia="宋体" w:hAnsi="Segoe UI" w:cs="Segoe UI"/>
                <w:color w:val="000000" w:themeColor="text1"/>
                <w:sz w:val="21"/>
                <w:szCs w:val="21"/>
              </w:rPr>
            </w:pPr>
            <w:r w:rsidRPr="00687B52">
              <w:rPr>
                <w:rStyle w:val="7pt"/>
                <w:rFonts w:ascii="Segoe UI" w:eastAsia="宋体" w:hAnsi="Segoe UI" w:cs="Segoe UI"/>
                <w:color w:val="000000" w:themeColor="text1"/>
                <w:sz w:val="21"/>
                <w:szCs w:val="21"/>
              </w:rPr>
              <w:t>0.25</w:t>
            </w:r>
          </w:p>
        </w:tc>
      </w:tr>
    </w:tbl>
    <w:p w:rsidR="00481EDB" w:rsidRPr="00687B52" w:rsidRDefault="00481EDB" w:rsidP="00481EDB">
      <w:pPr>
        <w:adjustRightInd w:val="0"/>
        <w:snapToGrid w:val="0"/>
        <w:spacing w:line="276" w:lineRule="auto"/>
        <w:rPr>
          <w:rFonts w:ascii="Segoe UI" w:hAnsi="Segoe UI" w:cs="Segoe UI"/>
          <w:color w:val="000000" w:themeColor="text1"/>
          <w:szCs w:val="24"/>
        </w:rPr>
      </w:pPr>
      <w:r w:rsidRPr="00687B52">
        <w:rPr>
          <w:rFonts w:ascii="Segoe UI" w:hAnsi="Segoe UI" w:cs="Segoe UI" w:hint="eastAsia"/>
          <w:color w:val="000000" w:themeColor="text1"/>
          <w:szCs w:val="24"/>
        </w:rPr>
        <w:t>注：</w:t>
      </w:r>
      <w:r w:rsidRPr="00687B52">
        <w:rPr>
          <w:rFonts w:ascii="Segoe UI" w:hAnsi="Segoe UI" w:cs="Segoe UI" w:hint="eastAsia"/>
          <w:color w:val="000000" w:themeColor="text1"/>
          <w:szCs w:val="24"/>
        </w:rPr>
        <w:t>1</w:t>
      </w:r>
      <w:r w:rsidRPr="00687B52">
        <w:rPr>
          <w:rFonts w:ascii="Segoe UI" w:hAnsi="Segoe UI" w:cs="Segoe UI" w:hint="eastAsia"/>
          <w:color w:val="000000" w:themeColor="text1"/>
          <w:szCs w:val="24"/>
        </w:rPr>
        <w:t>氧气管道与同一使用目的的燃气管道在同一水平敷设时，管道间水平净距可减少到</w:t>
      </w:r>
      <w:r w:rsidRPr="00687B52">
        <w:rPr>
          <w:rFonts w:ascii="Segoe UI" w:hAnsi="Segoe UI" w:cs="Segoe UI" w:hint="eastAsia"/>
          <w:color w:val="000000" w:themeColor="text1"/>
          <w:szCs w:val="24"/>
        </w:rPr>
        <w:t>0.25m</w:t>
      </w:r>
      <w:r w:rsidRPr="00687B52">
        <w:rPr>
          <w:rFonts w:ascii="Segoe UI" w:hAnsi="Segoe UI" w:cs="Segoe UI" w:hint="eastAsia"/>
          <w:color w:val="000000" w:themeColor="text1"/>
          <w:szCs w:val="24"/>
        </w:rPr>
        <w:t>，但在从沟底起直</w:t>
      </w:r>
      <w:r w:rsidRPr="00687B52">
        <w:rPr>
          <w:rFonts w:ascii="Segoe UI" w:hAnsi="Segoe UI" w:cs="Segoe UI"/>
          <w:color w:val="000000" w:themeColor="text1"/>
          <w:szCs w:val="24"/>
        </w:rPr>
        <w:t>至管顶以上</w:t>
      </w:r>
      <w:r w:rsidRPr="00687B52">
        <w:rPr>
          <w:rFonts w:ascii="Segoe UI" w:hAnsi="Segoe UI" w:cs="Segoe UI"/>
          <w:color w:val="000000" w:themeColor="text1"/>
          <w:szCs w:val="24"/>
        </w:rPr>
        <w:t>300m</w:t>
      </w:r>
      <w:r w:rsidRPr="00687B52">
        <w:rPr>
          <w:rFonts w:ascii="Segoe UI" w:hAnsi="Segoe UI" w:cs="Segoe UI" w:hint="eastAsia"/>
          <w:color w:val="000000" w:themeColor="text1"/>
          <w:szCs w:val="24"/>
        </w:rPr>
        <w:t>m</w:t>
      </w:r>
      <w:r w:rsidRPr="00687B52">
        <w:rPr>
          <w:rFonts w:ascii="Segoe UI" w:hAnsi="Segoe UI" w:cs="Segoe UI"/>
          <w:color w:val="000000" w:themeColor="text1"/>
          <w:szCs w:val="24"/>
        </w:rPr>
        <w:t>高的范围内，应用松散的土或砂填实后再回填土。</w:t>
      </w:r>
    </w:p>
    <w:p w:rsidR="00481EDB" w:rsidRPr="00687B52" w:rsidRDefault="00481EDB" w:rsidP="00481EDB">
      <w:pPr>
        <w:adjustRightInd w:val="0"/>
        <w:snapToGrid w:val="0"/>
        <w:spacing w:line="276" w:lineRule="auto"/>
        <w:ind w:firstLineChars="200" w:firstLine="420"/>
        <w:rPr>
          <w:rFonts w:ascii="Segoe UI" w:hAnsi="Segoe UI" w:cs="Segoe UI"/>
          <w:color w:val="000000" w:themeColor="text1"/>
          <w:szCs w:val="24"/>
        </w:rPr>
      </w:pPr>
      <w:r w:rsidRPr="00687B52">
        <w:rPr>
          <w:rFonts w:ascii="Segoe UI" w:hAnsi="Segoe UI" w:cs="Segoe UI"/>
          <w:color w:val="000000" w:themeColor="text1"/>
          <w:szCs w:val="24"/>
        </w:rPr>
        <w:t>2</w:t>
      </w:r>
      <w:r w:rsidRPr="00687B52">
        <w:rPr>
          <w:rFonts w:ascii="Segoe UI" w:hAnsi="Segoe UI" w:cs="Segoe UI"/>
          <w:color w:val="000000" w:themeColor="text1"/>
          <w:szCs w:val="24"/>
        </w:rPr>
        <w:t>氧气管道与穿管的电缆交叉时，交叉净距可减少到</w:t>
      </w:r>
      <w:r w:rsidRPr="00687B52">
        <w:rPr>
          <w:rFonts w:ascii="Segoe UI" w:hAnsi="Segoe UI" w:cs="Segoe UI"/>
          <w:color w:val="000000" w:themeColor="text1"/>
          <w:szCs w:val="24"/>
        </w:rPr>
        <w:t>0.25</w:t>
      </w:r>
      <w:r w:rsidRPr="00687B52">
        <w:rPr>
          <w:rFonts w:ascii="Segoe UI" w:hAnsi="Segoe UI" w:cs="Segoe UI" w:hint="eastAsia"/>
          <w:color w:val="000000" w:themeColor="text1"/>
          <w:szCs w:val="24"/>
        </w:rPr>
        <w:t>m</w:t>
      </w:r>
      <w:r w:rsidRPr="00687B52">
        <w:rPr>
          <w:rFonts w:ascii="Segoe UI" w:hAnsi="Segoe UI" w:cs="Segoe UI"/>
          <w:color w:val="000000" w:themeColor="text1"/>
          <w:szCs w:val="24"/>
        </w:rPr>
        <w:t>。</w:t>
      </w:r>
    </w:p>
    <w:p w:rsidR="00481EDB" w:rsidRPr="00687B52" w:rsidRDefault="00481EDB" w:rsidP="00481EDB">
      <w:pPr>
        <w:adjustRightInd w:val="0"/>
        <w:snapToGrid w:val="0"/>
        <w:spacing w:line="276" w:lineRule="auto"/>
        <w:ind w:firstLineChars="200" w:firstLine="420"/>
        <w:rPr>
          <w:rFonts w:ascii="Segoe UI" w:hAnsi="Segoe UI" w:cs="Segoe UI"/>
          <w:color w:val="000000" w:themeColor="text1"/>
          <w:szCs w:val="24"/>
        </w:rPr>
      </w:pPr>
      <w:r w:rsidRPr="00687B52">
        <w:rPr>
          <w:rFonts w:ascii="Segoe UI" w:hAnsi="Segoe UI" w:cs="Segoe UI"/>
          <w:color w:val="000000" w:themeColor="text1"/>
          <w:szCs w:val="24"/>
        </w:rPr>
        <w:t>3</w:t>
      </w:r>
      <w:r w:rsidRPr="00687B52">
        <w:rPr>
          <w:rFonts w:ascii="Segoe UI" w:hAnsi="Segoe UI" w:cs="Segoe UI"/>
          <w:color w:val="000000" w:themeColor="text1"/>
          <w:szCs w:val="24"/>
        </w:rPr>
        <w:t>本表建筑物基础的最小水平净距是指埋地管道与同一标高或其上的基础最外侧的最小水平净距。</w:t>
      </w:r>
    </w:p>
    <w:p w:rsidR="00481EDB" w:rsidRPr="00687B52" w:rsidRDefault="00481EDB" w:rsidP="00481EDB">
      <w:pPr>
        <w:adjustRightInd w:val="0"/>
        <w:snapToGrid w:val="0"/>
        <w:spacing w:line="276" w:lineRule="auto"/>
        <w:ind w:firstLineChars="200" w:firstLine="420"/>
        <w:rPr>
          <w:rFonts w:ascii="Segoe UI" w:hAnsi="Segoe UI" w:cs="Segoe UI"/>
          <w:color w:val="000000" w:themeColor="text1"/>
          <w:szCs w:val="24"/>
        </w:rPr>
      </w:pPr>
      <w:r w:rsidRPr="00687B52">
        <w:rPr>
          <w:rFonts w:ascii="Segoe UI" w:hAnsi="Segoe UI" w:cs="Segoe UI"/>
          <w:color w:val="000000" w:themeColor="text1"/>
          <w:szCs w:val="24"/>
        </w:rPr>
        <w:t>4</w:t>
      </w:r>
      <w:r w:rsidRPr="00687B52">
        <w:rPr>
          <w:rFonts w:ascii="Segoe UI" w:hAnsi="Segoe UI" w:cs="Segoe UI"/>
          <w:color w:val="000000" w:themeColor="text1"/>
          <w:szCs w:val="24"/>
        </w:rPr>
        <w:t>敷设在铁路及不便开挖的道路下面的管段，其加设的袞管两端伸出铁路路基或道路路边不应小于</w:t>
      </w:r>
      <w:r w:rsidRPr="00687B52">
        <w:rPr>
          <w:rFonts w:ascii="Segoe UI" w:hAnsi="Segoe UI" w:cs="Segoe UI"/>
          <w:color w:val="000000" w:themeColor="text1"/>
          <w:szCs w:val="24"/>
        </w:rPr>
        <w:t>1m</w:t>
      </w:r>
      <w:r w:rsidRPr="00687B52">
        <w:rPr>
          <w:rFonts w:ascii="Segoe UI" w:hAnsi="Segoe UI" w:cs="Segoe UI"/>
          <w:color w:val="000000" w:themeColor="text1"/>
          <w:szCs w:val="24"/>
        </w:rPr>
        <w:t>；路基或路边有排水沟时，应延伸出水沟沟边</w:t>
      </w:r>
      <w:r w:rsidRPr="00687B52">
        <w:rPr>
          <w:rFonts w:ascii="Segoe UI" w:hAnsi="Segoe UI" w:cs="Segoe UI"/>
          <w:color w:val="000000" w:themeColor="text1"/>
          <w:szCs w:val="24"/>
        </w:rPr>
        <w:t>1m</w:t>
      </w:r>
      <w:r w:rsidRPr="00687B52">
        <w:rPr>
          <w:rFonts w:ascii="Segoe UI" w:hAnsi="Segoe UI" w:cs="Segoe UI"/>
          <w:color w:val="000000" w:themeColor="text1"/>
          <w:szCs w:val="24"/>
        </w:rPr>
        <w:t>。套管内的管道应无焊缝。</w:t>
      </w:r>
    </w:p>
    <w:p w:rsidR="00481EDB" w:rsidRPr="00687B52" w:rsidRDefault="00481EDB" w:rsidP="00481EDB">
      <w:pPr>
        <w:adjustRightInd w:val="0"/>
        <w:snapToGrid w:val="0"/>
        <w:spacing w:line="276" w:lineRule="auto"/>
        <w:ind w:firstLineChars="200" w:firstLine="420"/>
        <w:rPr>
          <w:rFonts w:ascii="Segoe UI" w:hAnsi="Segoe UI" w:cs="Segoe UI"/>
          <w:color w:val="000000" w:themeColor="text1"/>
          <w:szCs w:val="24"/>
        </w:rPr>
      </w:pPr>
      <w:r w:rsidRPr="00687B52">
        <w:rPr>
          <w:rFonts w:ascii="Segoe UI" w:hAnsi="Segoe UI" w:cs="Segoe UI"/>
          <w:color w:val="000000" w:themeColor="text1"/>
          <w:szCs w:val="24"/>
        </w:rPr>
        <w:t>5</w:t>
      </w:r>
      <w:r w:rsidRPr="00687B52">
        <w:rPr>
          <w:rFonts w:ascii="Segoe UI" w:hAnsi="Segoe UI" w:cs="Segoe UI"/>
          <w:color w:val="000000" w:themeColor="text1"/>
          <w:szCs w:val="24"/>
        </w:rPr>
        <w:t>表中水平净距：管线均自管壁、沟壁或防护设施的外沿或</w:t>
      </w:r>
      <w:r w:rsidRPr="00687B52">
        <w:rPr>
          <w:rFonts w:ascii="Segoe UI" w:hAnsi="Segoe UI" w:cs="Segoe UI" w:hint="eastAsia"/>
          <w:color w:val="000000" w:themeColor="text1"/>
          <w:szCs w:val="24"/>
        </w:rPr>
        <w:t>最</w:t>
      </w:r>
      <w:r w:rsidRPr="00687B52">
        <w:rPr>
          <w:rFonts w:ascii="Segoe UI" w:hAnsi="Segoe UI" w:cs="Segoe UI"/>
          <w:color w:val="000000" w:themeColor="text1"/>
          <w:szCs w:val="24"/>
        </w:rPr>
        <w:t>外一根电缆算起；道路为城市型时，自路面边缘算起；道路为公路型时，自路肩边缘算起；铁路自轨外侧算起。</w:t>
      </w:r>
    </w:p>
    <w:p w:rsidR="00481EDB" w:rsidRPr="00687B52" w:rsidRDefault="00481EDB" w:rsidP="00481EDB">
      <w:pPr>
        <w:rPr>
          <w:rFonts w:ascii="Segoe UI" w:hAnsi="Segoe UI" w:cs="Segoe UI"/>
          <w:color w:val="000000" w:themeColor="text1"/>
          <w:szCs w:val="24"/>
        </w:rPr>
      </w:pPr>
      <w:r w:rsidRPr="00687B52">
        <w:rPr>
          <w:rFonts w:ascii="Segoe UI" w:hAnsi="Segoe UI" w:cs="Segoe UI"/>
          <w:color w:val="000000" w:themeColor="text1"/>
          <w:szCs w:val="24"/>
        </w:rPr>
        <w:t>6</w:t>
      </w:r>
      <w:r w:rsidRPr="00687B52">
        <w:rPr>
          <w:rFonts w:ascii="Segoe UI" w:hAnsi="Segoe UI" w:cs="Segoe UI"/>
          <w:color w:val="000000" w:themeColor="text1"/>
          <w:szCs w:val="24"/>
        </w:rPr>
        <w:t>表中管道、电缆和电缆沟</w:t>
      </w:r>
      <w:r w:rsidRPr="00687B52">
        <w:rPr>
          <w:rFonts w:ascii="Segoe UI" w:hAnsi="Segoe UI" w:cs="Segoe UI" w:hint="eastAsia"/>
          <w:color w:val="000000" w:themeColor="text1"/>
          <w:szCs w:val="24"/>
        </w:rPr>
        <w:t>最</w:t>
      </w:r>
      <w:r w:rsidRPr="00687B52">
        <w:rPr>
          <w:rFonts w:ascii="Segoe UI" w:hAnsi="Segoe UI" w:cs="Segoe UI"/>
          <w:color w:val="000000" w:themeColor="text1"/>
          <w:szCs w:val="24"/>
        </w:rPr>
        <w:t>小垂直净距的规定，均指下面管道或管沟外顶与上面管道管底或管沟基础底之间的净距。铁路钢轨和道路垂直净距的规定，铁路自轨底</w:t>
      </w:r>
      <w:r w:rsidRPr="00687B52">
        <w:rPr>
          <w:rFonts w:ascii="Segoe UI" w:hAnsi="Segoe UI" w:cs="Segoe UI" w:hint="eastAsia"/>
          <w:color w:val="000000" w:themeColor="text1"/>
          <w:szCs w:val="24"/>
        </w:rPr>
        <w:t>算</w:t>
      </w:r>
      <w:r w:rsidRPr="00687B52">
        <w:rPr>
          <w:rFonts w:ascii="Segoe UI" w:hAnsi="Segoe UI" w:cs="Segoe UI"/>
          <w:color w:val="000000" w:themeColor="text1"/>
          <w:szCs w:val="24"/>
        </w:rPr>
        <w:t>至管顶，道路自路面结构层底</w:t>
      </w:r>
      <w:r w:rsidRPr="00687B52">
        <w:rPr>
          <w:rFonts w:ascii="Segoe UI" w:hAnsi="Segoe UI" w:cs="Segoe UI" w:hint="eastAsia"/>
          <w:color w:val="000000" w:themeColor="text1"/>
          <w:szCs w:val="24"/>
        </w:rPr>
        <w:t>算</w:t>
      </w:r>
      <w:r w:rsidRPr="00687B52">
        <w:rPr>
          <w:rFonts w:ascii="Segoe UI" w:hAnsi="Segoe UI" w:cs="Segoe UI"/>
          <w:color w:val="000000" w:themeColor="text1"/>
          <w:szCs w:val="24"/>
        </w:rPr>
        <w:t>至管顶。</w:t>
      </w:r>
    </w:p>
    <w:p w:rsidR="00856B6C" w:rsidRPr="00687B52" w:rsidRDefault="00856B6C" w:rsidP="00481EDB">
      <w:pPr>
        <w:rPr>
          <w:rFonts w:ascii="Segoe UI" w:hAnsi="Segoe UI" w:cs="Segoe UI"/>
          <w:color w:val="000000" w:themeColor="text1"/>
          <w:szCs w:val="24"/>
        </w:rPr>
      </w:pPr>
    </w:p>
    <w:p w:rsidR="004D0D1B" w:rsidRPr="00687B52" w:rsidRDefault="004D0D1B" w:rsidP="00481EDB">
      <w:pPr>
        <w:rPr>
          <w:rFonts w:ascii="Segoe UI" w:hAnsi="Segoe UI" w:cs="Segoe UI"/>
          <w:color w:val="000000" w:themeColor="text1"/>
          <w:szCs w:val="24"/>
        </w:rPr>
      </w:pPr>
    </w:p>
    <w:p w:rsidR="00481EDB" w:rsidRPr="00687B52" w:rsidRDefault="00481EDB" w:rsidP="00763863">
      <w:pPr>
        <w:pStyle w:val="aff2"/>
        <w:ind w:firstLine="562"/>
        <w:rPr>
          <w:color w:val="000000" w:themeColor="text1"/>
        </w:rPr>
      </w:pPr>
      <w:bookmarkStart w:id="343" w:name="_Toc491870854"/>
      <w:bookmarkStart w:id="344" w:name="_Toc492555589"/>
      <w:bookmarkStart w:id="345" w:name="_Toc492557272"/>
      <w:bookmarkStart w:id="346" w:name="_Toc492557342"/>
      <w:bookmarkStart w:id="347" w:name="_Toc492557602"/>
      <w:bookmarkStart w:id="348" w:name="_Toc492557971"/>
      <w:bookmarkStart w:id="349" w:name="_Toc492559544"/>
      <w:bookmarkStart w:id="350" w:name="_Toc492563508"/>
      <w:bookmarkStart w:id="351" w:name="_Toc492564091"/>
      <w:bookmarkStart w:id="352" w:name="_Toc492634924"/>
      <w:bookmarkStart w:id="353" w:name="_Toc493857113"/>
      <w:r w:rsidRPr="00687B52">
        <w:rPr>
          <w:rFonts w:hint="eastAsia"/>
          <w:color w:val="000000" w:themeColor="text1"/>
        </w:rPr>
        <w:t>附</w:t>
      </w:r>
      <w:r w:rsidR="00963ECA" w:rsidRPr="00687B52">
        <w:rPr>
          <w:rFonts w:hint="eastAsia"/>
          <w:color w:val="000000" w:themeColor="text1"/>
        </w:rPr>
        <w:t>2</w:t>
      </w:r>
      <w:r w:rsidRPr="00687B52">
        <w:rPr>
          <w:rFonts w:hint="eastAsia"/>
          <w:color w:val="000000" w:themeColor="text1"/>
        </w:rPr>
        <w:t>.12</w:t>
      </w:r>
      <w:r w:rsidRPr="00687B52">
        <w:rPr>
          <w:rFonts w:hint="eastAsia"/>
          <w:color w:val="000000" w:themeColor="text1"/>
        </w:rPr>
        <w:t>《冷库设计规范》</w:t>
      </w:r>
      <w:r w:rsidRPr="00687B52">
        <w:rPr>
          <w:rFonts w:hint="eastAsia"/>
          <w:color w:val="000000" w:themeColor="text1"/>
        </w:rPr>
        <w:t>GB50072-2010</w:t>
      </w:r>
      <w:r w:rsidRPr="00687B52">
        <w:rPr>
          <w:rFonts w:hint="eastAsia"/>
          <w:color w:val="000000" w:themeColor="text1"/>
        </w:rPr>
        <w:t>有关要求</w:t>
      </w:r>
      <w:bookmarkEnd w:id="343"/>
      <w:bookmarkEnd w:id="344"/>
      <w:bookmarkEnd w:id="345"/>
      <w:bookmarkEnd w:id="346"/>
      <w:bookmarkEnd w:id="347"/>
      <w:bookmarkEnd w:id="348"/>
      <w:bookmarkEnd w:id="349"/>
      <w:bookmarkEnd w:id="350"/>
      <w:bookmarkEnd w:id="351"/>
      <w:bookmarkEnd w:id="352"/>
      <w:bookmarkEnd w:id="353"/>
    </w:p>
    <w:p w:rsidR="00481EDB" w:rsidRPr="00687B52" w:rsidRDefault="00481EDB" w:rsidP="00856B6C">
      <w:pPr>
        <w:pStyle w:val="afd"/>
        <w:rPr>
          <w:color w:val="000000" w:themeColor="text1"/>
          <w:szCs w:val="21"/>
        </w:rPr>
      </w:pPr>
      <w:bookmarkStart w:id="354" w:name="_Toc491870855"/>
      <w:bookmarkStart w:id="355" w:name="_Toc492563509"/>
      <w:bookmarkStart w:id="356" w:name="_Toc493857114"/>
      <w:r w:rsidRPr="00687B52">
        <w:rPr>
          <w:rFonts w:hint="eastAsia"/>
          <w:color w:val="000000" w:themeColor="text1"/>
        </w:rPr>
        <w:t>表</w:t>
      </w:r>
      <w:r w:rsidRPr="00687B52">
        <w:rPr>
          <w:rFonts w:hint="eastAsia"/>
          <w:color w:val="000000" w:themeColor="text1"/>
        </w:rPr>
        <w:t>4.2.2</w:t>
      </w:r>
      <w:r w:rsidRPr="00687B52">
        <w:rPr>
          <w:rFonts w:hint="eastAsia"/>
          <w:color w:val="000000" w:themeColor="text1"/>
        </w:rPr>
        <w:t>每座冷库冷藏间耐火等级、层数和面积（</w:t>
      </w:r>
      <w:r w:rsidRPr="00687B52">
        <w:rPr>
          <w:rFonts w:hint="eastAsia"/>
          <w:color w:val="000000" w:themeColor="text1"/>
        </w:rPr>
        <w:t>m2</w:t>
      </w:r>
      <w:r w:rsidRPr="00687B52">
        <w:rPr>
          <w:rFonts w:hint="eastAsia"/>
          <w:color w:val="000000" w:themeColor="text1"/>
        </w:rPr>
        <w:t>）</w:t>
      </w:r>
      <w:bookmarkEnd w:id="354"/>
      <w:bookmarkEnd w:id="355"/>
      <w:bookmarkEnd w:id="356"/>
    </w:p>
    <w:tbl>
      <w:tblPr>
        <w:tblStyle w:val="a6"/>
        <w:tblW w:w="8522" w:type="dxa"/>
        <w:jc w:val="center"/>
        <w:tblLayout w:type="fixed"/>
        <w:tblLook w:val="04A0" w:firstRow="1" w:lastRow="0" w:firstColumn="1" w:lastColumn="0" w:noHBand="0" w:noVBand="1"/>
      </w:tblPr>
      <w:tblGrid>
        <w:gridCol w:w="1101"/>
        <w:gridCol w:w="1134"/>
        <w:gridCol w:w="2437"/>
        <w:gridCol w:w="1515"/>
        <w:gridCol w:w="1273"/>
        <w:gridCol w:w="1062"/>
      </w:tblGrid>
      <w:tr w:rsidR="00481EDB" w:rsidRPr="00687B52" w:rsidTr="00B527D4">
        <w:trPr>
          <w:jc w:val="center"/>
        </w:trPr>
        <w:tc>
          <w:tcPr>
            <w:tcW w:w="1101" w:type="dxa"/>
            <w:vMerge w:val="restart"/>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冷藏间耐火等级</w:t>
            </w:r>
          </w:p>
        </w:tc>
        <w:tc>
          <w:tcPr>
            <w:tcW w:w="1134" w:type="dxa"/>
            <w:vMerge w:val="restart"/>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最多允许层数</w:t>
            </w:r>
          </w:p>
        </w:tc>
        <w:tc>
          <w:tcPr>
            <w:tcW w:w="6287" w:type="dxa"/>
            <w:gridSpan w:val="4"/>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冷藏间的最大允许占地面积和防火分区的最大允许建筑面积（m</w:t>
            </w:r>
            <w:r w:rsidRPr="00687B52">
              <w:rPr>
                <w:rFonts w:asciiTheme="minorEastAsia" w:hAnsiTheme="minorEastAsia" w:hint="eastAsia"/>
                <w:color w:val="000000" w:themeColor="text1"/>
                <w:sz w:val="24"/>
                <w:szCs w:val="24"/>
                <w:vertAlign w:val="superscript"/>
              </w:rPr>
              <w:t>2</w:t>
            </w:r>
            <w:r w:rsidRPr="00687B52">
              <w:rPr>
                <w:rFonts w:asciiTheme="minorEastAsia" w:hAnsiTheme="minorEastAsia" w:hint="eastAsia"/>
                <w:color w:val="000000" w:themeColor="text1"/>
                <w:sz w:val="24"/>
                <w:szCs w:val="24"/>
              </w:rPr>
              <w:t>）</w:t>
            </w:r>
          </w:p>
        </w:tc>
      </w:tr>
      <w:tr w:rsidR="00481EDB" w:rsidRPr="00687B52" w:rsidTr="00B527D4">
        <w:trPr>
          <w:jc w:val="center"/>
        </w:trPr>
        <w:tc>
          <w:tcPr>
            <w:tcW w:w="1101" w:type="dxa"/>
            <w:vMerge/>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p>
        </w:tc>
        <w:tc>
          <w:tcPr>
            <w:tcW w:w="1134" w:type="dxa"/>
            <w:vMerge/>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p>
        </w:tc>
        <w:tc>
          <w:tcPr>
            <w:tcW w:w="3952" w:type="dxa"/>
            <w:gridSpan w:val="2"/>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单层、多层</w:t>
            </w:r>
          </w:p>
        </w:tc>
        <w:tc>
          <w:tcPr>
            <w:tcW w:w="2335" w:type="dxa"/>
            <w:gridSpan w:val="2"/>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高层</w:t>
            </w:r>
          </w:p>
        </w:tc>
      </w:tr>
      <w:tr w:rsidR="00481EDB" w:rsidRPr="00687B52" w:rsidTr="00B527D4">
        <w:trPr>
          <w:jc w:val="center"/>
        </w:trPr>
        <w:tc>
          <w:tcPr>
            <w:tcW w:w="1101" w:type="dxa"/>
            <w:vMerge/>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p>
        </w:tc>
        <w:tc>
          <w:tcPr>
            <w:tcW w:w="1134" w:type="dxa"/>
            <w:vMerge/>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p>
        </w:tc>
        <w:tc>
          <w:tcPr>
            <w:tcW w:w="2437" w:type="dxa"/>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冷藏间占地</w:t>
            </w:r>
          </w:p>
        </w:tc>
        <w:tc>
          <w:tcPr>
            <w:tcW w:w="1515" w:type="dxa"/>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防火分区</w:t>
            </w:r>
          </w:p>
        </w:tc>
        <w:tc>
          <w:tcPr>
            <w:tcW w:w="1273" w:type="dxa"/>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冷藏间占地</w:t>
            </w:r>
          </w:p>
        </w:tc>
        <w:tc>
          <w:tcPr>
            <w:tcW w:w="1062" w:type="dxa"/>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防火分区</w:t>
            </w:r>
          </w:p>
        </w:tc>
      </w:tr>
      <w:tr w:rsidR="00481EDB" w:rsidRPr="00687B52" w:rsidTr="00B527D4">
        <w:trPr>
          <w:jc w:val="center"/>
        </w:trPr>
        <w:tc>
          <w:tcPr>
            <w:tcW w:w="1101" w:type="dxa"/>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一、二级</w:t>
            </w:r>
          </w:p>
        </w:tc>
        <w:tc>
          <w:tcPr>
            <w:tcW w:w="1134" w:type="dxa"/>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不限</w:t>
            </w:r>
          </w:p>
        </w:tc>
        <w:tc>
          <w:tcPr>
            <w:tcW w:w="2437" w:type="dxa"/>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7000</w:t>
            </w:r>
          </w:p>
        </w:tc>
        <w:tc>
          <w:tcPr>
            <w:tcW w:w="1515" w:type="dxa"/>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3500</w:t>
            </w:r>
          </w:p>
        </w:tc>
        <w:tc>
          <w:tcPr>
            <w:tcW w:w="1273" w:type="dxa"/>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5000</w:t>
            </w:r>
          </w:p>
        </w:tc>
        <w:tc>
          <w:tcPr>
            <w:tcW w:w="1062" w:type="dxa"/>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2500</w:t>
            </w:r>
          </w:p>
        </w:tc>
      </w:tr>
      <w:tr w:rsidR="00481EDB" w:rsidRPr="00687B52" w:rsidTr="00B527D4">
        <w:trPr>
          <w:jc w:val="center"/>
        </w:trPr>
        <w:tc>
          <w:tcPr>
            <w:tcW w:w="1101" w:type="dxa"/>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三级</w:t>
            </w:r>
          </w:p>
        </w:tc>
        <w:tc>
          <w:tcPr>
            <w:tcW w:w="1134" w:type="dxa"/>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3</w:t>
            </w:r>
          </w:p>
        </w:tc>
        <w:tc>
          <w:tcPr>
            <w:tcW w:w="2437" w:type="dxa"/>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1200</w:t>
            </w:r>
          </w:p>
        </w:tc>
        <w:tc>
          <w:tcPr>
            <w:tcW w:w="1515" w:type="dxa"/>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400</w:t>
            </w:r>
          </w:p>
        </w:tc>
        <w:tc>
          <w:tcPr>
            <w:tcW w:w="1273" w:type="dxa"/>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w:t>
            </w:r>
          </w:p>
        </w:tc>
        <w:tc>
          <w:tcPr>
            <w:tcW w:w="1062" w:type="dxa"/>
            <w:vAlign w:val="center"/>
          </w:tcPr>
          <w:p w:rsidR="00481EDB" w:rsidRPr="00687B52" w:rsidRDefault="00481EDB" w:rsidP="00B527D4">
            <w:pPr>
              <w:spacing w:line="24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w:t>
            </w:r>
          </w:p>
        </w:tc>
      </w:tr>
    </w:tbl>
    <w:p w:rsidR="00481EDB" w:rsidRPr="00687B52" w:rsidRDefault="00481EDB" w:rsidP="00763863">
      <w:pPr>
        <w:pStyle w:val="aff2"/>
        <w:ind w:firstLine="562"/>
        <w:rPr>
          <w:color w:val="000000" w:themeColor="text1"/>
        </w:rPr>
      </w:pPr>
      <w:bookmarkStart w:id="357" w:name="_Toc491870856"/>
      <w:bookmarkStart w:id="358" w:name="_Toc492555590"/>
      <w:bookmarkStart w:id="359" w:name="_Toc492557273"/>
      <w:bookmarkStart w:id="360" w:name="_Toc492557343"/>
      <w:bookmarkStart w:id="361" w:name="_Toc492557603"/>
      <w:bookmarkStart w:id="362" w:name="_Toc492557972"/>
      <w:bookmarkStart w:id="363" w:name="_Toc492559545"/>
      <w:bookmarkStart w:id="364" w:name="_Toc492563510"/>
      <w:bookmarkStart w:id="365" w:name="_Toc492564092"/>
      <w:bookmarkStart w:id="366" w:name="_Toc492634925"/>
      <w:bookmarkStart w:id="367" w:name="_Toc493857115"/>
      <w:r w:rsidRPr="00687B52">
        <w:rPr>
          <w:rFonts w:hint="eastAsia"/>
          <w:color w:val="000000" w:themeColor="text1"/>
        </w:rPr>
        <w:t>附</w:t>
      </w:r>
      <w:r w:rsidR="00963ECA" w:rsidRPr="00687B52">
        <w:rPr>
          <w:rFonts w:hint="eastAsia"/>
          <w:color w:val="000000" w:themeColor="text1"/>
        </w:rPr>
        <w:t>2</w:t>
      </w:r>
      <w:r w:rsidRPr="00687B52">
        <w:rPr>
          <w:rFonts w:hint="eastAsia"/>
          <w:color w:val="000000" w:themeColor="text1"/>
        </w:rPr>
        <w:t>.13</w:t>
      </w:r>
      <w:r w:rsidRPr="00687B52">
        <w:rPr>
          <w:rFonts w:hint="eastAsia"/>
          <w:color w:val="000000" w:themeColor="text1"/>
        </w:rPr>
        <w:t>《氯气安全规程》</w:t>
      </w:r>
      <w:r w:rsidRPr="00687B52">
        <w:rPr>
          <w:rFonts w:hint="eastAsia"/>
          <w:color w:val="000000" w:themeColor="text1"/>
        </w:rPr>
        <w:t>GB11984-2008</w:t>
      </w:r>
      <w:r w:rsidRPr="00687B52">
        <w:rPr>
          <w:rFonts w:hint="eastAsia"/>
          <w:color w:val="000000" w:themeColor="text1"/>
        </w:rPr>
        <w:t>有关要求</w:t>
      </w:r>
      <w:bookmarkEnd w:id="357"/>
      <w:bookmarkEnd w:id="358"/>
      <w:bookmarkEnd w:id="359"/>
      <w:bookmarkEnd w:id="360"/>
      <w:bookmarkEnd w:id="361"/>
      <w:bookmarkEnd w:id="362"/>
      <w:bookmarkEnd w:id="363"/>
      <w:bookmarkEnd w:id="364"/>
      <w:bookmarkEnd w:id="365"/>
      <w:bookmarkEnd w:id="366"/>
      <w:bookmarkEnd w:id="367"/>
    </w:p>
    <w:p w:rsidR="00481EDB" w:rsidRPr="00687B52" w:rsidRDefault="00481EDB" w:rsidP="00856B6C">
      <w:pPr>
        <w:pStyle w:val="afd"/>
        <w:rPr>
          <w:color w:val="000000" w:themeColor="text1"/>
        </w:rPr>
      </w:pPr>
      <w:bookmarkStart w:id="368" w:name="_Toc491870857"/>
      <w:bookmarkStart w:id="369" w:name="_Toc492563511"/>
      <w:bookmarkStart w:id="370" w:name="_Toc493857116"/>
      <w:r w:rsidRPr="00687B52">
        <w:rPr>
          <w:rFonts w:hint="eastAsia"/>
          <w:color w:val="000000" w:themeColor="text1"/>
        </w:rPr>
        <w:t>第</w:t>
      </w:r>
      <w:r w:rsidRPr="00687B52">
        <w:rPr>
          <w:rFonts w:hint="eastAsia"/>
          <w:color w:val="000000" w:themeColor="text1"/>
        </w:rPr>
        <w:t>3.8</w:t>
      </w:r>
      <w:r w:rsidRPr="00687B52">
        <w:rPr>
          <w:rFonts w:hint="eastAsia"/>
          <w:color w:val="000000" w:themeColor="text1"/>
        </w:rPr>
        <w:t>条常用防护用品表</w:t>
      </w:r>
      <w:bookmarkEnd w:id="368"/>
      <w:bookmarkEnd w:id="369"/>
      <w:bookmarkEnd w:id="370"/>
    </w:p>
    <w:tbl>
      <w:tblPr>
        <w:tblStyle w:val="a6"/>
        <w:tblW w:w="10980" w:type="dxa"/>
        <w:jc w:val="center"/>
        <w:tblLayout w:type="fixed"/>
        <w:tblLook w:val="04A0" w:firstRow="1" w:lastRow="0" w:firstColumn="1" w:lastColumn="0" w:noHBand="0" w:noVBand="1"/>
      </w:tblPr>
      <w:tblGrid>
        <w:gridCol w:w="2745"/>
        <w:gridCol w:w="2744"/>
        <w:gridCol w:w="2746"/>
        <w:gridCol w:w="2745"/>
      </w:tblGrid>
      <w:tr w:rsidR="00481EDB" w:rsidRPr="00687B52" w:rsidTr="00B527D4">
        <w:trPr>
          <w:trHeight w:val="332"/>
          <w:tblHeader/>
          <w:jc w:val="center"/>
        </w:trPr>
        <w:tc>
          <w:tcPr>
            <w:tcW w:w="2745" w:type="dxa"/>
            <w:vAlign w:val="center"/>
          </w:tcPr>
          <w:p w:rsidR="00481EDB" w:rsidRPr="00687B52" w:rsidRDefault="00481EDB" w:rsidP="00B527D4">
            <w:pPr>
              <w:jc w:val="center"/>
              <w:rPr>
                <w:color w:val="000000" w:themeColor="text1"/>
                <w:sz w:val="24"/>
                <w:szCs w:val="24"/>
              </w:rPr>
            </w:pPr>
            <w:r w:rsidRPr="00687B52">
              <w:rPr>
                <w:rFonts w:hint="eastAsia"/>
                <w:color w:val="000000" w:themeColor="text1"/>
                <w:sz w:val="24"/>
                <w:szCs w:val="24"/>
              </w:rPr>
              <w:t>名称</w:t>
            </w:r>
          </w:p>
        </w:tc>
        <w:tc>
          <w:tcPr>
            <w:tcW w:w="2744" w:type="dxa"/>
            <w:vAlign w:val="center"/>
          </w:tcPr>
          <w:p w:rsidR="00481EDB" w:rsidRPr="00687B52" w:rsidRDefault="00481EDB" w:rsidP="00B527D4">
            <w:pPr>
              <w:jc w:val="center"/>
              <w:rPr>
                <w:color w:val="000000" w:themeColor="text1"/>
                <w:sz w:val="24"/>
                <w:szCs w:val="24"/>
              </w:rPr>
            </w:pPr>
            <w:r w:rsidRPr="00687B52">
              <w:rPr>
                <w:rFonts w:hint="eastAsia"/>
                <w:color w:val="000000" w:themeColor="text1"/>
                <w:sz w:val="24"/>
                <w:szCs w:val="24"/>
              </w:rPr>
              <w:t>种类</w:t>
            </w:r>
          </w:p>
        </w:tc>
        <w:tc>
          <w:tcPr>
            <w:tcW w:w="2746" w:type="dxa"/>
            <w:vAlign w:val="center"/>
          </w:tcPr>
          <w:p w:rsidR="00481EDB" w:rsidRPr="00687B52" w:rsidRDefault="00481EDB" w:rsidP="00B527D4">
            <w:pPr>
              <w:jc w:val="center"/>
              <w:rPr>
                <w:color w:val="000000" w:themeColor="text1"/>
                <w:sz w:val="24"/>
                <w:szCs w:val="24"/>
              </w:rPr>
            </w:pPr>
            <w:r w:rsidRPr="00687B52">
              <w:rPr>
                <w:rFonts w:hint="eastAsia"/>
                <w:color w:val="000000" w:themeColor="text1"/>
                <w:sz w:val="24"/>
                <w:szCs w:val="24"/>
              </w:rPr>
              <w:t>常用数</w:t>
            </w:r>
          </w:p>
        </w:tc>
        <w:tc>
          <w:tcPr>
            <w:tcW w:w="2745" w:type="dxa"/>
            <w:vAlign w:val="center"/>
          </w:tcPr>
          <w:p w:rsidR="00481EDB" w:rsidRPr="00687B52" w:rsidRDefault="00481EDB" w:rsidP="00B527D4">
            <w:pPr>
              <w:jc w:val="center"/>
              <w:rPr>
                <w:color w:val="000000" w:themeColor="text1"/>
                <w:sz w:val="24"/>
                <w:szCs w:val="24"/>
              </w:rPr>
            </w:pPr>
          </w:p>
        </w:tc>
      </w:tr>
      <w:tr w:rsidR="00481EDB" w:rsidRPr="00687B52" w:rsidTr="00B527D4">
        <w:trPr>
          <w:trHeight w:val="332"/>
          <w:jc w:val="center"/>
        </w:trPr>
        <w:tc>
          <w:tcPr>
            <w:tcW w:w="2745" w:type="dxa"/>
            <w:vMerge w:val="restart"/>
            <w:vAlign w:val="center"/>
          </w:tcPr>
          <w:p w:rsidR="00481EDB" w:rsidRPr="00687B52" w:rsidRDefault="00481EDB" w:rsidP="00B527D4">
            <w:pPr>
              <w:jc w:val="center"/>
              <w:rPr>
                <w:color w:val="000000" w:themeColor="text1"/>
                <w:sz w:val="24"/>
                <w:szCs w:val="24"/>
              </w:rPr>
            </w:pPr>
            <w:r w:rsidRPr="00687B52">
              <w:rPr>
                <w:rFonts w:hint="eastAsia"/>
                <w:color w:val="000000" w:themeColor="text1"/>
                <w:sz w:val="24"/>
                <w:szCs w:val="24"/>
              </w:rPr>
              <w:t>过滤式防毒面具</w:t>
            </w:r>
          </w:p>
        </w:tc>
        <w:tc>
          <w:tcPr>
            <w:tcW w:w="2744" w:type="dxa"/>
            <w:vAlign w:val="center"/>
          </w:tcPr>
          <w:p w:rsidR="00481EDB" w:rsidRPr="00687B52" w:rsidRDefault="00481EDB" w:rsidP="00B527D4">
            <w:pPr>
              <w:jc w:val="center"/>
              <w:rPr>
                <w:color w:val="000000" w:themeColor="text1"/>
                <w:sz w:val="24"/>
                <w:szCs w:val="24"/>
              </w:rPr>
            </w:pPr>
            <w:r w:rsidRPr="00687B52">
              <w:rPr>
                <w:rFonts w:hint="eastAsia"/>
                <w:color w:val="000000" w:themeColor="text1"/>
                <w:sz w:val="24"/>
                <w:szCs w:val="24"/>
              </w:rPr>
              <w:t>防毒面具</w:t>
            </w:r>
          </w:p>
        </w:tc>
        <w:tc>
          <w:tcPr>
            <w:tcW w:w="2746" w:type="dxa"/>
            <w:vMerge w:val="restart"/>
            <w:vAlign w:val="center"/>
          </w:tcPr>
          <w:p w:rsidR="00481EDB" w:rsidRPr="00687B52" w:rsidRDefault="00481EDB" w:rsidP="00B527D4">
            <w:pPr>
              <w:jc w:val="center"/>
              <w:rPr>
                <w:color w:val="000000" w:themeColor="text1"/>
                <w:sz w:val="24"/>
                <w:szCs w:val="24"/>
              </w:rPr>
            </w:pPr>
            <w:r w:rsidRPr="00687B52">
              <w:rPr>
                <w:rFonts w:hint="eastAsia"/>
                <w:color w:val="000000" w:themeColor="text1"/>
                <w:sz w:val="24"/>
                <w:szCs w:val="24"/>
              </w:rPr>
              <w:t>与作业人数相同</w:t>
            </w:r>
          </w:p>
        </w:tc>
        <w:tc>
          <w:tcPr>
            <w:tcW w:w="2745" w:type="dxa"/>
            <w:vMerge w:val="restart"/>
            <w:vAlign w:val="center"/>
          </w:tcPr>
          <w:p w:rsidR="00481EDB" w:rsidRPr="00687B52" w:rsidRDefault="00481EDB" w:rsidP="00B527D4">
            <w:pPr>
              <w:jc w:val="center"/>
              <w:rPr>
                <w:color w:val="000000" w:themeColor="text1"/>
                <w:sz w:val="24"/>
                <w:szCs w:val="24"/>
              </w:rPr>
            </w:pPr>
            <w:r w:rsidRPr="00687B52">
              <w:rPr>
                <w:rFonts w:hint="eastAsia"/>
                <w:color w:val="000000" w:themeColor="text1"/>
                <w:sz w:val="24"/>
                <w:szCs w:val="24"/>
              </w:rPr>
              <w:t>2</w:t>
            </w:r>
            <w:r w:rsidRPr="00687B52">
              <w:rPr>
                <w:rFonts w:hint="eastAsia"/>
                <w:color w:val="000000" w:themeColor="text1"/>
                <w:sz w:val="24"/>
                <w:szCs w:val="24"/>
              </w:rPr>
              <w:t>套</w:t>
            </w:r>
          </w:p>
        </w:tc>
      </w:tr>
      <w:tr w:rsidR="00481EDB" w:rsidRPr="00687B52" w:rsidTr="00B527D4">
        <w:trPr>
          <w:trHeight w:val="332"/>
          <w:jc w:val="center"/>
        </w:trPr>
        <w:tc>
          <w:tcPr>
            <w:tcW w:w="2745" w:type="dxa"/>
            <w:vMerge/>
            <w:vAlign w:val="center"/>
          </w:tcPr>
          <w:p w:rsidR="00481EDB" w:rsidRPr="00687B52" w:rsidRDefault="00481EDB" w:rsidP="00B527D4">
            <w:pPr>
              <w:jc w:val="center"/>
              <w:rPr>
                <w:color w:val="000000" w:themeColor="text1"/>
                <w:sz w:val="24"/>
                <w:szCs w:val="24"/>
              </w:rPr>
            </w:pPr>
          </w:p>
        </w:tc>
        <w:tc>
          <w:tcPr>
            <w:tcW w:w="2744" w:type="dxa"/>
            <w:vAlign w:val="center"/>
          </w:tcPr>
          <w:p w:rsidR="00481EDB" w:rsidRPr="00687B52" w:rsidRDefault="00481EDB" w:rsidP="00B527D4">
            <w:pPr>
              <w:jc w:val="center"/>
              <w:rPr>
                <w:color w:val="000000" w:themeColor="text1"/>
                <w:sz w:val="24"/>
                <w:szCs w:val="24"/>
              </w:rPr>
            </w:pPr>
            <w:r w:rsidRPr="00687B52">
              <w:rPr>
                <w:rFonts w:hint="eastAsia"/>
                <w:color w:val="000000" w:themeColor="text1"/>
                <w:sz w:val="24"/>
                <w:szCs w:val="24"/>
              </w:rPr>
              <w:t>防毒口罩</w:t>
            </w:r>
          </w:p>
        </w:tc>
        <w:tc>
          <w:tcPr>
            <w:tcW w:w="2746" w:type="dxa"/>
            <w:vMerge/>
            <w:vAlign w:val="center"/>
          </w:tcPr>
          <w:p w:rsidR="00481EDB" w:rsidRPr="00687B52" w:rsidRDefault="00481EDB" w:rsidP="00B527D4">
            <w:pPr>
              <w:jc w:val="center"/>
              <w:rPr>
                <w:color w:val="000000" w:themeColor="text1"/>
                <w:sz w:val="24"/>
                <w:szCs w:val="24"/>
              </w:rPr>
            </w:pPr>
          </w:p>
        </w:tc>
        <w:tc>
          <w:tcPr>
            <w:tcW w:w="2745" w:type="dxa"/>
            <w:vMerge/>
            <w:vAlign w:val="center"/>
          </w:tcPr>
          <w:p w:rsidR="00481EDB" w:rsidRPr="00687B52" w:rsidRDefault="00481EDB" w:rsidP="00B527D4">
            <w:pPr>
              <w:jc w:val="center"/>
              <w:rPr>
                <w:color w:val="000000" w:themeColor="text1"/>
                <w:sz w:val="24"/>
                <w:szCs w:val="24"/>
              </w:rPr>
            </w:pPr>
          </w:p>
        </w:tc>
      </w:tr>
      <w:tr w:rsidR="00481EDB" w:rsidRPr="00687B52" w:rsidTr="00B527D4">
        <w:trPr>
          <w:trHeight w:val="332"/>
          <w:jc w:val="center"/>
        </w:trPr>
        <w:tc>
          <w:tcPr>
            <w:tcW w:w="2745" w:type="dxa"/>
            <w:vAlign w:val="center"/>
          </w:tcPr>
          <w:p w:rsidR="00481EDB" w:rsidRPr="00687B52" w:rsidRDefault="00481EDB" w:rsidP="00B527D4">
            <w:pPr>
              <w:jc w:val="center"/>
              <w:rPr>
                <w:color w:val="000000" w:themeColor="text1"/>
                <w:sz w:val="24"/>
                <w:szCs w:val="24"/>
              </w:rPr>
            </w:pPr>
            <w:r w:rsidRPr="00687B52">
              <w:rPr>
                <w:rFonts w:hint="eastAsia"/>
                <w:color w:val="000000" w:themeColor="text1"/>
                <w:sz w:val="24"/>
                <w:szCs w:val="24"/>
              </w:rPr>
              <w:t>呼吸器</w:t>
            </w:r>
          </w:p>
        </w:tc>
        <w:tc>
          <w:tcPr>
            <w:tcW w:w="2744" w:type="dxa"/>
            <w:vAlign w:val="center"/>
          </w:tcPr>
          <w:p w:rsidR="00481EDB" w:rsidRPr="00687B52" w:rsidRDefault="00481EDB" w:rsidP="00B527D4">
            <w:pPr>
              <w:jc w:val="center"/>
              <w:rPr>
                <w:color w:val="000000" w:themeColor="text1"/>
                <w:sz w:val="24"/>
                <w:szCs w:val="24"/>
              </w:rPr>
            </w:pPr>
            <w:r w:rsidRPr="00687B52">
              <w:rPr>
                <w:rFonts w:hint="eastAsia"/>
                <w:color w:val="000000" w:themeColor="text1"/>
                <w:sz w:val="24"/>
                <w:szCs w:val="24"/>
              </w:rPr>
              <w:t>正压式空（氧）气呼吸器</w:t>
            </w:r>
          </w:p>
        </w:tc>
        <w:tc>
          <w:tcPr>
            <w:tcW w:w="2746" w:type="dxa"/>
            <w:vAlign w:val="center"/>
          </w:tcPr>
          <w:p w:rsidR="00481EDB" w:rsidRPr="00687B52" w:rsidRDefault="00481EDB" w:rsidP="00B527D4">
            <w:pPr>
              <w:jc w:val="center"/>
              <w:rPr>
                <w:color w:val="000000" w:themeColor="text1"/>
                <w:sz w:val="24"/>
                <w:szCs w:val="24"/>
              </w:rPr>
            </w:pPr>
            <w:r w:rsidRPr="00687B52">
              <w:rPr>
                <w:rFonts w:hint="eastAsia"/>
                <w:color w:val="000000" w:themeColor="text1"/>
                <w:sz w:val="24"/>
                <w:szCs w:val="24"/>
              </w:rPr>
              <w:t>与紧急作业人数相同</w:t>
            </w:r>
          </w:p>
        </w:tc>
        <w:tc>
          <w:tcPr>
            <w:tcW w:w="2745" w:type="dxa"/>
            <w:vAlign w:val="center"/>
          </w:tcPr>
          <w:p w:rsidR="00481EDB" w:rsidRPr="00687B52" w:rsidRDefault="00481EDB" w:rsidP="00B527D4">
            <w:pPr>
              <w:jc w:val="center"/>
              <w:rPr>
                <w:color w:val="000000" w:themeColor="text1"/>
                <w:sz w:val="24"/>
                <w:szCs w:val="24"/>
              </w:rPr>
            </w:pPr>
            <w:r w:rsidRPr="00687B52">
              <w:rPr>
                <w:rFonts w:hint="eastAsia"/>
                <w:color w:val="000000" w:themeColor="text1"/>
                <w:sz w:val="24"/>
                <w:szCs w:val="24"/>
              </w:rPr>
              <w:t>1</w:t>
            </w:r>
            <w:r w:rsidRPr="00687B52">
              <w:rPr>
                <w:rFonts w:hint="eastAsia"/>
                <w:color w:val="000000" w:themeColor="text1"/>
                <w:sz w:val="24"/>
                <w:szCs w:val="24"/>
              </w:rPr>
              <w:t>套</w:t>
            </w:r>
          </w:p>
        </w:tc>
      </w:tr>
      <w:tr w:rsidR="00481EDB" w:rsidRPr="00687B52" w:rsidTr="00B527D4">
        <w:trPr>
          <w:trHeight w:val="343"/>
          <w:jc w:val="center"/>
        </w:trPr>
        <w:tc>
          <w:tcPr>
            <w:tcW w:w="2745" w:type="dxa"/>
            <w:vAlign w:val="center"/>
          </w:tcPr>
          <w:p w:rsidR="00481EDB" w:rsidRPr="00687B52" w:rsidRDefault="00481EDB" w:rsidP="00B527D4">
            <w:pPr>
              <w:jc w:val="center"/>
              <w:rPr>
                <w:color w:val="000000" w:themeColor="text1"/>
                <w:sz w:val="24"/>
                <w:szCs w:val="24"/>
              </w:rPr>
            </w:pPr>
            <w:r w:rsidRPr="00687B52">
              <w:rPr>
                <w:rFonts w:hint="eastAsia"/>
                <w:color w:val="000000" w:themeColor="text1"/>
                <w:sz w:val="24"/>
                <w:szCs w:val="24"/>
              </w:rPr>
              <w:t>防护服、防护手套、防护靴</w:t>
            </w:r>
          </w:p>
        </w:tc>
        <w:tc>
          <w:tcPr>
            <w:tcW w:w="2744" w:type="dxa"/>
            <w:vAlign w:val="center"/>
          </w:tcPr>
          <w:p w:rsidR="00481EDB" w:rsidRPr="00687B52" w:rsidRDefault="00481EDB" w:rsidP="00B527D4">
            <w:pPr>
              <w:jc w:val="center"/>
              <w:rPr>
                <w:color w:val="000000" w:themeColor="text1"/>
                <w:sz w:val="24"/>
                <w:szCs w:val="24"/>
              </w:rPr>
            </w:pPr>
            <w:r w:rsidRPr="00687B52">
              <w:rPr>
                <w:rFonts w:hint="eastAsia"/>
                <w:color w:val="000000" w:themeColor="text1"/>
                <w:sz w:val="24"/>
                <w:szCs w:val="24"/>
              </w:rPr>
              <w:t>橡胶或乙烯类聚合物材料</w:t>
            </w:r>
          </w:p>
        </w:tc>
        <w:tc>
          <w:tcPr>
            <w:tcW w:w="2746" w:type="dxa"/>
            <w:vAlign w:val="center"/>
          </w:tcPr>
          <w:p w:rsidR="00481EDB" w:rsidRPr="00687B52" w:rsidRDefault="00481EDB" w:rsidP="00B527D4">
            <w:pPr>
              <w:jc w:val="center"/>
              <w:rPr>
                <w:color w:val="000000" w:themeColor="text1"/>
                <w:sz w:val="24"/>
                <w:szCs w:val="24"/>
              </w:rPr>
            </w:pPr>
            <w:r w:rsidRPr="00687B52">
              <w:rPr>
                <w:rFonts w:hint="eastAsia"/>
                <w:color w:val="000000" w:themeColor="text1"/>
                <w:sz w:val="24"/>
                <w:szCs w:val="24"/>
              </w:rPr>
              <w:t>与作业人数相同</w:t>
            </w:r>
          </w:p>
        </w:tc>
        <w:tc>
          <w:tcPr>
            <w:tcW w:w="2745" w:type="dxa"/>
            <w:vAlign w:val="center"/>
          </w:tcPr>
          <w:p w:rsidR="00481EDB" w:rsidRPr="00687B52" w:rsidRDefault="00481EDB" w:rsidP="00B527D4">
            <w:pPr>
              <w:jc w:val="center"/>
              <w:rPr>
                <w:color w:val="000000" w:themeColor="text1"/>
                <w:sz w:val="24"/>
                <w:szCs w:val="24"/>
              </w:rPr>
            </w:pPr>
            <w:r w:rsidRPr="00687B52">
              <w:rPr>
                <w:rFonts w:hint="eastAsia"/>
                <w:color w:val="000000" w:themeColor="text1"/>
                <w:sz w:val="24"/>
                <w:szCs w:val="24"/>
              </w:rPr>
              <w:t>适量</w:t>
            </w:r>
          </w:p>
        </w:tc>
      </w:tr>
    </w:tbl>
    <w:p w:rsidR="00481EDB" w:rsidRPr="00687B52" w:rsidRDefault="00481EDB" w:rsidP="00763863">
      <w:pPr>
        <w:pStyle w:val="aff2"/>
        <w:ind w:firstLine="562"/>
        <w:rPr>
          <w:color w:val="000000" w:themeColor="text1"/>
        </w:rPr>
      </w:pPr>
      <w:bookmarkStart w:id="371" w:name="_Toc491870858"/>
      <w:bookmarkStart w:id="372" w:name="_Toc492555591"/>
      <w:bookmarkStart w:id="373" w:name="_Toc492557274"/>
      <w:bookmarkStart w:id="374" w:name="_Toc492557344"/>
      <w:bookmarkStart w:id="375" w:name="_Toc492557604"/>
      <w:bookmarkStart w:id="376" w:name="_Toc492557973"/>
      <w:bookmarkStart w:id="377" w:name="_Toc492559546"/>
      <w:bookmarkStart w:id="378" w:name="_Toc492563512"/>
      <w:bookmarkStart w:id="379" w:name="_Toc492564093"/>
      <w:bookmarkStart w:id="380" w:name="_Toc492634926"/>
      <w:bookmarkStart w:id="381" w:name="_Toc493857117"/>
      <w:r w:rsidRPr="00687B52">
        <w:rPr>
          <w:rFonts w:hint="eastAsia"/>
          <w:color w:val="000000" w:themeColor="text1"/>
        </w:rPr>
        <w:t>附</w:t>
      </w:r>
      <w:r w:rsidR="00963ECA" w:rsidRPr="00687B52">
        <w:rPr>
          <w:rFonts w:hint="eastAsia"/>
          <w:color w:val="000000" w:themeColor="text1"/>
        </w:rPr>
        <w:t>2</w:t>
      </w:r>
      <w:r w:rsidRPr="00687B52">
        <w:rPr>
          <w:rFonts w:hint="eastAsia"/>
          <w:color w:val="000000" w:themeColor="text1"/>
        </w:rPr>
        <w:t>.14</w:t>
      </w:r>
      <w:r w:rsidRPr="00687B52">
        <w:rPr>
          <w:rFonts w:hint="eastAsia"/>
          <w:color w:val="000000" w:themeColor="text1"/>
        </w:rPr>
        <w:t>《发生炉煤气站设计规范》</w:t>
      </w:r>
      <w:r w:rsidRPr="00687B52">
        <w:rPr>
          <w:rFonts w:hint="eastAsia"/>
          <w:color w:val="000000" w:themeColor="text1"/>
        </w:rPr>
        <w:t>GB50195-2013</w:t>
      </w:r>
      <w:r w:rsidRPr="00687B52">
        <w:rPr>
          <w:rFonts w:hint="eastAsia"/>
          <w:color w:val="000000" w:themeColor="text1"/>
        </w:rPr>
        <w:t>有关要求</w:t>
      </w:r>
      <w:bookmarkEnd w:id="371"/>
      <w:bookmarkEnd w:id="372"/>
      <w:bookmarkEnd w:id="373"/>
      <w:bookmarkEnd w:id="374"/>
      <w:bookmarkEnd w:id="375"/>
      <w:bookmarkEnd w:id="376"/>
      <w:bookmarkEnd w:id="377"/>
      <w:bookmarkEnd w:id="378"/>
      <w:bookmarkEnd w:id="379"/>
      <w:bookmarkEnd w:id="380"/>
      <w:bookmarkEnd w:id="381"/>
    </w:p>
    <w:p w:rsidR="00481EDB" w:rsidRPr="00687B52" w:rsidRDefault="00481EDB" w:rsidP="00856B6C">
      <w:pPr>
        <w:pStyle w:val="afd"/>
        <w:rPr>
          <w:color w:val="000000" w:themeColor="text1"/>
        </w:rPr>
      </w:pPr>
      <w:bookmarkStart w:id="382" w:name="_Toc491870859"/>
      <w:bookmarkStart w:id="383" w:name="_Toc492563513"/>
      <w:bookmarkStart w:id="384" w:name="_Toc493857118"/>
      <w:r w:rsidRPr="00687B52">
        <w:rPr>
          <w:rFonts w:hint="eastAsia"/>
          <w:color w:val="000000" w:themeColor="text1"/>
        </w:rPr>
        <w:t>第</w:t>
      </w:r>
      <w:r w:rsidRPr="00687B52">
        <w:rPr>
          <w:rFonts w:hint="eastAsia"/>
          <w:color w:val="000000" w:themeColor="text1"/>
        </w:rPr>
        <w:t>11.0.5</w:t>
      </w:r>
      <w:r w:rsidRPr="00687B52">
        <w:rPr>
          <w:rFonts w:hint="eastAsia"/>
          <w:color w:val="000000" w:themeColor="text1"/>
        </w:rPr>
        <w:t>条煤气发生炉贮煤斗的有效贮量</w:t>
      </w:r>
      <w:bookmarkEnd w:id="382"/>
      <w:bookmarkEnd w:id="383"/>
      <w:bookmarkEnd w:id="384"/>
    </w:p>
    <w:tbl>
      <w:tblPr>
        <w:tblStyle w:val="a6"/>
        <w:tblW w:w="8522" w:type="dxa"/>
        <w:jc w:val="center"/>
        <w:tblLayout w:type="fixed"/>
        <w:tblLook w:val="04A0" w:firstRow="1" w:lastRow="0" w:firstColumn="1" w:lastColumn="0" w:noHBand="0" w:noVBand="1"/>
      </w:tblPr>
      <w:tblGrid>
        <w:gridCol w:w="4261"/>
        <w:gridCol w:w="4261"/>
      </w:tblGrid>
      <w:tr w:rsidR="00481EDB" w:rsidRPr="00687B52" w:rsidTr="00B527D4">
        <w:trPr>
          <w:jc w:val="center"/>
        </w:trPr>
        <w:tc>
          <w:tcPr>
            <w:tcW w:w="4261" w:type="dxa"/>
          </w:tcPr>
          <w:p w:rsidR="00481EDB" w:rsidRPr="00687B52" w:rsidRDefault="00481EDB" w:rsidP="00BF59CF">
            <w:pPr>
              <w:spacing w:line="32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运煤工作班制</w:t>
            </w:r>
          </w:p>
        </w:tc>
        <w:tc>
          <w:tcPr>
            <w:tcW w:w="4261" w:type="dxa"/>
          </w:tcPr>
          <w:p w:rsidR="00481EDB" w:rsidRPr="00687B52" w:rsidRDefault="00481EDB" w:rsidP="00BF59CF">
            <w:pPr>
              <w:spacing w:line="32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有效贮量</w:t>
            </w:r>
          </w:p>
        </w:tc>
      </w:tr>
      <w:tr w:rsidR="00481EDB" w:rsidRPr="00687B52" w:rsidTr="00B527D4">
        <w:trPr>
          <w:jc w:val="center"/>
        </w:trPr>
        <w:tc>
          <w:tcPr>
            <w:tcW w:w="4261" w:type="dxa"/>
          </w:tcPr>
          <w:p w:rsidR="00481EDB" w:rsidRPr="00687B52" w:rsidRDefault="00481EDB" w:rsidP="00BF59CF">
            <w:pPr>
              <w:spacing w:line="32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一班制</w:t>
            </w:r>
          </w:p>
        </w:tc>
        <w:tc>
          <w:tcPr>
            <w:tcW w:w="4261" w:type="dxa"/>
          </w:tcPr>
          <w:p w:rsidR="00481EDB" w:rsidRPr="00687B52" w:rsidRDefault="00481EDB" w:rsidP="00BF59CF">
            <w:pPr>
              <w:spacing w:line="32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煤气发生炉18h-20h的入炉煤量</w:t>
            </w:r>
          </w:p>
        </w:tc>
      </w:tr>
      <w:tr w:rsidR="00481EDB" w:rsidRPr="00687B52" w:rsidTr="00B527D4">
        <w:trPr>
          <w:jc w:val="center"/>
        </w:trPr>
        <w:tc>
          <w:tcPr>
            <w:tcW w:w="4261" w:type="dxa"/>
          </w:tcPr>
          <w:p w:rsidR="00481EDB" w:rsidRPr="00687B52" w:rsidRDefault="00481EDB" w:rsidP="00BF59CF">
            <w:pPr>
              <w:spacing w:line="32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二班制</w:t>
            </w:r>
          </w:p>
        </w:tc>
        <w:tc>
          <w:tcPr>
            <w:tcW w:w="4261" w:type="dxa"/>
          </w:tcPr>
          <w:p w:rsidR="00481EDB" w:rsidRPr="00687B52" w:rsidRDefault="00481EDB" w:rsidP="00BF59CF">
            <w:pPr>
              <w:spacing w:line="32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煤气发生炉12h-14h的入炉煤量</w:t>
            </w:r>
          </w:p>
        </w:tc>
      </w:tr>
      <w:tr w:rsidR="00481EDB" w:rsidRPr="00687B52" w:rsidTr="00B527D4">
        <w:trPr>
          <w:jc w:val="center"/>
        </w:trPr>
        <w:tc>
          <w:tcPr>
            <w:tcW w:w="4261" w:type="dxa"/>
          </w:tcPr>
          <w:p w:rsidR="00481EDB" w:rsidRPr="00687B52" w:rsidRDefault="00481EDB" w:rsidP="00BF59CF">
            <w:pPr>
              <w:spacing w:line="32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三班制</w:t>
            </w:r>
          </w:p>
        </w:tc>
        <w:tc>
          <w:tcPr>
            <w:tcW w:w="4261" w:type="dxa"/>
          </w:tcPr>
          <w:p w:rsidR="00481EDB" w:rsidRPr="00687B52" w:rsidRDefault="00481EDB" w:rsidP="00BF59CF">
            <w:pPr>
              <w:spacing w:line="320" w:lineRule="exact"/>
              <w:jc w:val="center"/>
              <w:rPr>
                <w:rFonts w:asciiTheme="minorEastAsia" w:hAnsiTheme="minorEastAsia"/>
                <w:color w:val="000000" w:themeColor="text1"/>
                <w:sz w:val="24"/>
                <w:szCs w:val="24"/>
              </w:rPr>
            </w:pPr>
            <w:r w:rsidRPr="00687B52">
              <w:rPr>
                <w:rFonts w:asciiTheme="minorEastAsia" w:hAnsiTheme="minorEastAsia" w:hint="eastAsia"/>
                <w:color w:val="000000" w:themeColor="text1"/>
                <w:sz w:val="24"/>
                <w:szCs w:val="24"/>
              </w:rPr>
              <w:t>煤气发生炉6h的入炉煤量</w:t>
            </w:r>
          </w:p>
        </w:tc>
      </w:tr>
    </w:tbl>
    <w:p w:rsidR="00481EDB" w:rsidRPr="00687B52" w:rsidRDefault="00481EDB" w:rsidP="00481EDB">
      <w:pPr>
        <w:widowControl/>
        <w:jc w:val="left"/>
        <w:rPr>
          <w:color w:val="000000" w:themeColor="text1"/>
        </w:rPr>
        <w:sectPr w:rsidR="00481EDB" w:rsidRPr="00687B52" w:rsidSect="00B527D4">
          <w:pgSz w:w="16838" w:h="11906" w:orient="landscape"/>
          <w:pgMar w:top="1440" w:right="1797" w:bottom="1440" w:left="1797" w:header="851" w:footer="907" w:gutter="0"/>
          <w:cols w:space="425"/>
          <w:docGrid w:type="lines" w:linePitch="312"/>
        </w:sectPr>
      </w:pPr>
    </w:p>
    <w:p w:rsidR="00481EDB" w:rsidRPr="00687B52" w:rsidRDefault="00481EDB" w:rsidP="00763863">
      <w:pPr>
        <w:pStyle w:val="aff2"/>
        <w:ind w:firstLine="562"/>
        <w:rPr>
          <w:color w:val="000000" w:themeColor="text1"/>
        </w:rPr>
      </w:pPr>
      <w:bookmarkStart w:id="385" w:name="_Toc489"/>
      <w:bookmarkStart w:id="386" w:name="_Toc491870860"/>
      <w:bookmarkStart w:id="387" w:name="_Toc492555592"/>
      <w:bookmarkStart w:id="388" w:name="_Toc492557275"/>
      <w:bookmarkStart w:id="389" w:name="_Toc492557345"/>
      <w:bookmarkStart w:id="390" w:name="_Toc492557605"/>
      <w:bookmarkStart w:id="391" w:name="_Toc492557974"/>
      <w:bookmarkStart w:id="392" w:name="_Toc492559547"/>
      <w:bookmarkStart w:id="393" w:name="_Toc492563514"/>
      <w:bookmarkStart w:id="394" w:name="_Toc492564094"/>
      <w:bookmarkStart w:id="395" w:name="_Toc492634927"/>
      <w:bookmarkStart w:id="396" w:name="_Toc493857119"/>
      <w:r w:rsidRPr="00687B52">
        <w:rPr>
          <w:rFonts w:hint="eastAsia"/>
          <w:color w:val="000000" w:themeColor="text1"/>
        </w:rPr>
        <w:t>附</w:t>
      </w:r>
      <w:r w:rsidR="00963ECA" w:rsidRPr="00687B52">
        <w:rPr>
          <w:rFonts w:hint="eastAsia"/>
          <w:color w:val="000000" w:themeColor="text1"/>
        </w:rPr>
        <w:t>2</w:t>
      </w:r>
      <w:r w:rsidRPr="00687B52">
        <w:rPr>
          <w:rFonts w:hint="eastAsia"/>
          <w:color w:val="000000" w:themeColor="text1"/>
        </w:rPr>
        <w:t>.15</w:t>
      </w:r>
      <w:r w:rsidRPr="00687B52">
        <w:rPr>
          <w:rFonts w:hint="eastAsia"/>
          <w:color w:val="000000" w:themeColor="text1"/>
        </w:rPr>
        <w:t>《建筑设计防火规范》</w:t>
      </w:r>
      <w:bookmarkEnd w:id="385"/>
      <w:r w:rsidRPr="00687B52">
        <w:rPr>
          <w:rFonts w:hint="eastAsia"/>
          <w:color w:val="000000" w:themeColor="text1"/>
        </w:rPr>
        <w:t>GB50016-2014</w:t>
      </w:r>
      <w:r w:rsidRPr="00687B52">
        <w:rPr>
          <w:rFonts w:hint="eastAsia"/>
          <w:color w:val="000000" w:themeColor="text1"/>
        </w:rPr>
        <w:t>有关要求</w:t>
      </w:r>
      <w:bookmarkEnd w:id="386"/>
      <w:bookmarkEnd w:id="387"/>
      <w:bookmarkEnd w:id="388"/>
      <w:bookmarkEnd w:id="389"/>
      <w:bookmarkEnd w:id="390"/>
      <w:bookmarkEnd w:id="391"/>
      <w:bookmarkEnd w:id="392"/>
      <w:bookmarkEnd w:id="393"/>
      <w:bookmarkEnd w:id="394"/>
      <w:bookmarkEnd w:id="395"/>
      <w:bookmarkEnd w:id="396"/>
    </w:p>
    <w:p w:rsidR="00481EDB" w:rsidRPr="00687B52" w:rsidRDefault="00481EDB" w:rsidP="00856B6C">
      <w:pPr>
        <w:pStyle w:val="afd"/>
        <w:rPr>
          <w:color w:val="000000" w:themeColor="text1"/>
        </w:rPr>
      </w:pPr>
      <w:bookmarkStart w:id="397" w:name="_Toc491870861"/>
      <w:bookmarkStart w:id="398" w:name="_Toc492563515"/>
      <w:bookmarkStart w:id="399" w:name="_Toc493857120"/>
      <w:r w:rsidRPr="00687B52">
        <w:rPr>
          <w:rFonts w:hint="eastAsia"/>
          <w:color w:val="000000" w:themeColor="text1"/>
        </w:rPr>
        <w:t>表</w:t>
      </w:r>
      <w:r w:rsidRPr="00687B52">
        <w:rPr>
          <w:rFonts w:hint="eastAsia"/>
          <w:color w:val="000000" w:themeColor="text1"/>
        </w:rPr>
        <w:t xml:space="preserve">3.2.1 </w:t>
      </w:r>
      <w:r w:rsidRPr="00687B52">
        <w:rPr>
          <w:rFonts w:hint="eastAsia"/>
          <w:color w:val="000000" w:themeColor="text1"/>
        </w:rPr>
        <w:t>不同耐火等级厂房和仓库建筑构件的燃烧性能和耐火极限</w:t>
      </w:r>
      <w:bookmarkEnd w:id="397"/>
      <w:bookmarkEnd w:id="398"/>
      <w:bookmarkEnd w:id="399"/>
    </w:p>
    <w:tbl>
      <w:tblPr>
        <w:tblW w:w="5000" w:type="pct"/>
        <w:tblCellMar>
          <w:left w:w="10" w:type="dxa"/>
          <w:right w:w="10" w:type="dxa"/>
        </w:tblCellMar>
        <w:tblLook w:val="04A0" w:firstRow="1" w:lastRow="0" w:firstColumn="1" w:lastColumn="0" w:noHBand="0" w:noVBand="1"/>
      </w:tblPr>
      <w:tblGrid>
        <w:gridCol w:w="769"/>
        <w:gridCol w:w="2444"/>
        <w:gridCol w:w="1456"/>
        <w:gridCol w:w="1453"/>
        <w:gridCol w:w="1536"/>
        <w:gridCol w:w="1388"/>
      </w:tblGrid>
      <w:tr w:rsidR="00744D22" w:rsidRPr="00687B52" w:rsidTr="00744D22">
        <w:tc>
          <w:tcPr>
            <w:tcW w:w="1775" w:type="pct"/>
            <w:gridSpan w:val="2"/>
            <w:vMerge w:val="restar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构件名称</w:t>
            </w:r>
          </w:p>
        </w:tc>
        <w:tc>
          <w:tcPr>
            <w:tcW w:w="3225" w:type="pct"/>
            <w:gridSpan w:val="4"/>
            <w:tcBorders>
              <w:top w:val="single" w:sz="4" w:space="0" w:color="auto"/>
              <w:left w:val="single" w:sz="4" w:space="0" w:color="auto"/>
              <w:righ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耐火等级</w:t>
            </w:r>
          </w:p>
        </w:tc>
      </w:tr>
      <w:tr w:rsidR="00744D22" w:rsidRPr="00687B52" w:rsidTr="00744D22">
        <w:tc>
          <w:tcPr>
            <w:tcW w:w="1775" w:type="pct"/>
            <w:gridSpan w:val="2"/>
            <w:vMerge/>
            <w:tcBorders>
              <w:left w:val="single" w:sz="4" w:space="0" w:color="auto"/>
            </w:tcBorders>
            <w:shd w:val="clear" w:color="auto" w:fill="FFFFFF"/>
            <w:vAlign w:val="center"/>
          </w:tcPr>
          <w:p w:rsidR="00744D22" w:rsidRPr="00687B52" w:rsidRDefault="00744D22" w:rsidP="005F5072">
            <w:pPr>
              <w:jc w:val="center"/>
              <w:rPr>
                <w:rFonts w:ascii="Times New Roman" w:eastAsia="宋体" w:hAnsi="Times New Roman" w:cs="Times New Roman"/>
                <w:color w:val="000000" w:themeColor="text1"/>
              </w:rPr>
            </w:pPr>
          </w:p>
        </w:tc>
        <w:tc>
          <w:tcPr>
            <w:tcW w:w="805"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一级</w:t>
            </w:r>
          </w:p>
        </w:tc>
        <w:tc>
          <w:tcPr>
            <w:tcW w:w="803"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二级</w:t>
            </w:r>
          </w:p>
        </w:tc>
        <w:tc>
          <w:tcPr>
            <w:tcW w:w="849"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三级</w:t>
            </w:r>
          </w:p>
        </w:tc>
        <w:tc>
          <w:tcPr>
            <w:tcW w:w="768" w:type="pct"/>
            <w:tcBorders>
              <w:top w:val="single" w:sz="4" w:space="0" w:color="auto"/>
              <w:left w:val="single" w:sz="4" w:space="0" w:color="auto"/>
              <w:righ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四级</w:t>
            </w:r>
          </w:p>
        </w:tc>
      </w:tr>
      <w:tr w:rsidR="00744D22" w:rsidRPr="00687B52" w:rsidTr="00744D22">
        <w:tc>
          <w:tcPr>
            <w:tcW w:w="425" w:type="pct"/>
            <w:vMerge w:val="restar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hint="eastAsia"/>
                <w:color w:val="000000" w:themeColor="text1"/>
                <w:sz w:val="24"/>
                <w:szCs w:val="24"/>
              </w:rPr>
              <w:t>墙</w:t>
            </w:r>
          </w:p>
        </w:tc>
        <w:tc>
          <w:tcPr>
            <w:tcW w:w="1351"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防火墙</w:t>
            </w:r>
          </w:p>
        </w:tc>
        <w:tc>
          <w:tcPr>
            <w:tcW w:w="805"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3.00</w:t>
            </w:r>
          </w:p>
        </w:tc>
        <w:tc>
          <w:tcPr>
            <w:tcW w:w="803"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3.00</w:t>
            </w:r>
          </w:p>
        </w:tc>
        <w:tc>
          <w:tcPr>
            <w:tcW w:w="849"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3.00</w:t>
            </w:r>
          </w:p>
        </w:tc>
        <w:tc>
          <w:tcPr>
            <w:tcW w:w="768" w:type="pct"/>
            <w:tcBorders>
              <w:top w:val="single" w:sz="4" w:space="0" w:color="auto"/>
              <w:left w:val="single" w:sz="4" w:space="0" w:color="auto"/>
              <w:righ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3.00</w:t>
            </w:r>
          </w:p>
        </w:tc>
      </w:tr>
      <w:tr w:rsidR="00744D22" w:rsidRPr="00687B52" w:rsidTr="00744D22">
        <w:tc>
          <w:tcPr>
            <w:tcW w:w="425" w:type="pct"/>
            <w:vMerge/>
            <w:tcBorders>
              <w:left w:val="single" w:sz="4" w:space="0" w:color="auto"/>
            </w:tcBorders>
            <w:shd w:val="clear" w:color="auto" w:fill="FFFFFF"/>
            <w:vAlign w:val="center"/>
          </w:tcPr>
          <w:p w:rsidR="00744D22" w:rsidRPr="00687B52" w:rsidRDefault="00744D22" w:rsidP="005F5072">
            <w:pPr>
              <w:jc w:val="center"/>
              <w:rPr>
                <w:rFonts w:ascii="Times New Roman" w:eastAsia="宋体" w:hAnsi="Times New Roman" w:cs="Times New Roman"/>
                <w:color w:val="000000" w:themeColor="text1"/>
              </w:rPr>
            </w:pPr>
          </w:p>
        </w:tc>
        <w:tc>
          <w:tcPr>
            <w:tcW w:w="1351"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承重墙</w:t>
            </w:r>
          </w:p>
        </w:tc>
        <w:tc>
          <w:tcPr>
            <w:tcW w:w="805"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3.00</w:t>
            </w:r>
          </w:p>
        </w:tc>
        <w:tc>
          <w:tcPr>
            <w:tcW w:w="803"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2.50</w:t>
            </w:r>
          </w:p>
        </w:tc>
        <w:tc>
          <w:tcPr>
            <w:tcW w:w="849"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2.00</w:t>
            </w:r>
          </w:p>
        </w:tc>
        <w:tc>
          <w:tcPr>
            <w:tcW w:w="768" w:type="pct"/>
            <w:tcBorders>
              <w:top w:val="single" w:sz="4" w:space="0" w:color="auto"/>
              <w:left w:val="single" w:sz="4" w:space="0" w:color="auto"/>
              <w:righ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难燃性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0.50</w:t>
            </w:r>
          </w:p>
        </w:tc>
      </w:tr>
      <w:tr w:rsidR="00744D22" w:rsidRPr="00687B52" w:rsidTr="00744D22">
        <w:tc>
          <w:tcPr>
            <w:tcW w:w="425" w:type="pct"/>
            <w:vMerge/>
            <w:tcBorders>
              <w:left w:val="single" w:sz="4" w:space="0" w:color="auto"/>
            </w:tcBorders>
            <w:shd w:val="clear" w:color="auto" w:fill="FFFFFF"/>
            <w:vAlign w:val="center"/>
          </w:tcPr>
          <w:p w:rsidR="00744D22" w:rsidRPr="00687B52" w:rsidRDefault="00744D22" w:rsidP="005F5072">
            <w:pPr>
              <w:jc w:val="center"/>
              <w:rPr>
                <w:rFonts w:ascii="Times New Roman" w:eastAsia="宋体" w:hAnsi="Times New Roman" w:cs="Times New Roman"/>
                <w:color w:val="000000" w:themeColor="text1"/>
              </w:rPr>
            </w:pPr>
          </w:p>
        </w:tc>
        <w:tc>
          <w:tcPr>
            <w:tcW w:w="1351"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hAnsi="宋体" w:cs="Times New Roman"/>
                <w:color w:val="000000" w:themeColor="text1"/>
                <w:sz w:val="24"/>
                <w:szCs w:val="24"/>
              </w:rPr>
            </w:pPr>
            <w:r w:rsidRPr="00687B52">
              <w:rPr>
                <w:rFonts w:ascii="Times New Roman" w:eastAsia="宋体" w:hAnsi="宋体" w:cs="Times New Roman"/>
                <w:color w:val="000000" w:themeColor="text1"/>
                <w:sz w:val="24"/>
                <w:szCs w:val="24"/>
              </w:rPr>
              <w:t>楼梯间和前室的墙</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电梯井的墙</w:t>
            </w:r>
          </w:p>
        </w:tc>
        <w:tc>
          <w:tcPr>
            <w:tcW w:w="805"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2,00</w:t>
            </w:r>
          </w:p>
        </w:tc>
        <w:tc>
          <w:tcPr>
            <w:tcW w:w="803"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2.00</w:t>
            </w:r>
          </w:p>
        </w:tc>
        <w:tc>
          <w:tcPr>
            <w:tcW w:w="849"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1.50</w:t>
            </w:r>
          </w:p>
        </w:tc>
        <w:tc>
          <w:tcPr>
            <w:tcW w:w="768" w:type="pct"/>
            <w:tcBorders>
              <w:top w:val="single" w:sz="4" w:space="0" w:color="auto"/>
              <w:left w:val="single" w:sz="4" w:space="0" w:color="auto"/>
              <w:righ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难燃性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0.50</w:t>
            </w:r>
          </w:p>
        </w:tc>
      </w:tr>
      <w:tr w:rsidR="00744D22" w:rsidRPr="00687B52" w:rsidTr="00744D22">
        <w:tc>
          <w:tcPr>
            <w:tcW w:w="425" w:type="pct"/>
            <w:vMerge/>
            <w:tcBorders>
              <w:left w:val="single" w:sz="4" w:space="0" w:color="auto"/>
            </w:tcBorders>
            <w:shd w:val="clear" w:color="auto" w:fill="FFFFFF"/>
            <w:vAlign w:val="center"/>
          </w:tcPr>
          <w:p w:rsidR="00744D22" w:rsidRPr="00687B52" w:rsidRDefault="00744D22" w:rsidP="005F5072">
            <w:pPr>
              <w:jc w:val="center"/>
              <w:rPr>
                <w:rFonts w:ascii="Times New Roman" w:eastAsia="宋体" w:hAnsi="Times New Roman" w:cs="Times New Roman"/>
                <w:color w:val="000000" w:themeColor="text1"/>
              </w:rPr>
            </w:pPr>
          </w:p>
        </w:tc>
        <w:tc>
          <w:tcPr>
            <w:tcW w:w="1351"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疏散走道两侧的隔墙</w:t>
            </w:r>
          </w:p>
        </w:tc>
        <w:tc>
          <w:tcPr>
            <w:tcW w:w="805"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1.00</w:t>
            </w:r>
          </w:p>
        </w:tc>
        <w:tc>
          <w:tcPr>
            <w:tcW w:w="803"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1.00</w:t>
            </w:r>
          </w:p>
        </w:tc>
        <w:tc>
          <w:tcPr>
            <w:tcW w:w="849"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0.50</w:t>
            </w:r>
          </w:p>
        </w:tc>
        <w:tc>
          <w:tcPr>
            <w:tcW w:w="768" w:type="pct"/>
            <w:tcBorders>
              <w:top w:val="single" w:sz="4" w:space="0" w:color="auto"/>
              <w:left w:val="single" w:sz="4" w:space="0" w:color="auto"/>
              <w:righ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难燃性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0.25</w:t>
            </w:r>
          </w:p>
        </w:tc>
      </w:tr>
      <w:tr w:rsidR="00744D22" w:rsidRPr="00687B52" w:rsidTr="00744D22">
        <w:tc>
          <w:tcPr>
            <w:tcW w:w="425" w:type="pct"/>
            <w:vMerge/>
            <w:tcBorders>
              <w:left w:val="single" w:sz="4" w:space="0" w:color="auto"/>
            </w:tcBorders>
            <w:shd w:val="clear" w:color="auto" w:fill="FFFFFF"/>
            <w:vAlign w:val="center"/>
          </w:tcPr>
          <w:p w:rsidR="00744D22" w:rsidRPr="00687B52" w:rsidRDefault="00744D22" w:rsidP="005F5072">
            <w:pPr>
              <w:jc w:val="center"/>
              <w:rPr>
                <w:rFonts w:ascii="Times New Roman" w:eastAsia="宋体" w:hAnsi="Times New Roman" w:cs="Times New Roman"/>
                <w:color w:val="000000" w:themeColor="text1"/>
              </w:rPr>
            </w:pPr>
          </w:p>
        </w:tc>
        <w:tc>
          <w:tcPr>
            <w:tcW w:w="1351"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非承重外墙</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房间隔墙</w:t>
            </w:r>
          </w:p>
        </w:tc>
        <w:tc>
          <w:tcPr>
            <w:tcW w:w="805"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0.75</w:t>
            </w:r>
          </w:p>
        </w:tc>
        <w:tc>
          <w:tcPr>
            <w:tcW w:w="803"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0.50</w:t>
            </w:r>
          </w:p>
        </w:tc>
        <w:tc>
          <w:tcPr>
            <w:tcW w:w="849"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难燃性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0.50</w:t>
            </w:r>
          </w:p>
        </w:tc>
        <w:tc>
          <w:tcPr>
            <w:tcW w:w="768" w:type="pct"/>
            <w:tcBorders>
              <w:top w:val="single" w:sz="4" w:space="0" w:color="auto"/>
              <w:left w:val="single" w:sz="4" w:space="0" w:color="auto"/>
              <w:righ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难燃性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0.25</w:t>
            </w:r>
          </w:p>
        </w:tc>
      </w:tr>
      <w:tr w:rsidR="00744D22" w:rsidRPr="00687B52" w:rsidTr="00744D22">
        <w:tc>
          <w:tcPr>
            <w:tcW w:w="1775" w:type="pct"/>
            <w:gridSpan w:val="2"/>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柱</w:t>
            </w:r>
          </w:p>
        </w:tc>
        <w:tc>
          <w:tcPr>
            <w:tcW w:w="805"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3.00</w:t>
            </w:r>
          </w:p>
        </w:tc>
        <w:tc>
          <w:tcPr>
            <w:tcW w:w="803"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2.50</w:t>
            </w:r>
          </w:p>
        </w:tc>
        <w:tc>
          <w:tcPr>
            <w:tcW w:w="849"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2.00</w:t>
            </w:r>
          </w:p>
        </w:tc>
        <w:tc>
          <w:tcPr>
            <w:tcW w:w="768" w:type="pct"/>
            <w:tcBorders>
              <w:top w:val="single" w:sz="4" w:space="0" w:color="auto"/>
              <w:left w:val="single" w:sz="4" w:space="0" w:color="auto"/>
              <w:righ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难燃性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0.50</w:t>
            </w:r>
          </w:p>
        </w:tc>
      </w:tr>
      <w:tr w:rsidR="00744D22" w:rsidRPr="00687B52" w:rsidTr="00744D22">
        <w:tc>
          <w:tcPr>
            <w:tcW w:w="1775" w:type="pct"/>
            <w:gridSpan w:val="2"/>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梁</w:t>
            </w:r>
          </w:p>
        </w:tc>
        <w:tc>
          <w:tcPr>
            <w:tcW w:w="805"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2.00</w:t>
            </w:r>
          </w:p>
        </w:tc>
        <w:tc>
          <w:tcPr>
            <w:tcW w:w="803"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1.50</w:t>
            </w:r>
          </w:p>
        </w:tc>
        <w:tc>
          <w:tcPr>
            <w:tcW w:w="849"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1.00</w:t>
            </w:r>
          </w:p>
        </w:tc>
        <w:tc>
          <w:tcPr>
            <w:tcW w:w="768" w:type="pct"/>
            <w:tcBorders>
              <w:top w:val="single" w:sz="4" w:space="0" w:color="auto"/>
              <w:left w:val="single" w:sz="4" w:space="0" w:color="auto"/>
              <w:righ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难燃性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0.50</w:t>
            </w:r>
          </w:p>
        </w:tc>
      </w:tr>
      <w:tr w:rsidR="00744D22" w:rsidRPr="00687B52" w:rsidTr="00744D22">
        <w:tc>
          <w:tcPr>
            <w:tcW w:w="1775" w:type="pct"/>
            <w:gridSpan w:val="2"/>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楼板</w:t>
            </w:r>
          </w:p>
        </w:tc>
        <w:tc>
          <w:tcPr>
            <w:tcW w:w="805"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1.50</w:t>
            </w:r>
          </w:p>
        </w:tc>
        <w:tc>
          <w:tcPr>
            <w:tcW w:w="803"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1.00</w:t>
            </w:r>
          </w:p>
        </w:tc>
        <w:tc>
          <w:tcPr>
            <w:tcW w:w="849"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0.75</w:t>
            </w:r>
          </w:p>
        </w:tc>
        <w:tc>
          <w:tcPr>
            <w:tcW w:w="768" w:type="pct"/>
            <w:tcBorders>
              <w:top w:val="single" w:sz="4" w:space="0" w:color="auto"/>
              <w:left w:val="single" w:sz="4" w:space="0" w:color="auto"/>
              <w:righ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难燃性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0.50</w:t>
            </w:r>
          </w:p>
        </w:tc>
      </w:tr>
      <w:tr w:rsidR="00744D22" w:rsidRPr="00687B52" w:rsidTr="00744D22">
        <w:tc>
          <w:tcPr>
            <w:tcW w:w="1775" w:type="pct"/>
            <w:gridSpan w:val="2"/>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屋顶承重构件</w:t>
            </w:r>
          </w:p>
        </w:tc>
        <w:tc>
          <w:tcPr>
            <w:tcW w:w="805"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1.50</w:t>
            </w:r>
          </w:p>
        </w:tc>
        <w:tc>
          <w:tcPr>
            <w:tcW w:w="803"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1.00</w:t>
            </w:r>
          </w:p>
        </w:tc>
        <w:tc>
          <w:tcPr>
            <w:tcW w:w="849"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难燃性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0.50</w:t>
            </w:r>
          </w:p>
        </w:tc>
        <w:tc>
          <w:tcPr>
            <w:tcW w:w="768" w:type="pct"/>
            <w:tcBorders>
              <w:top w:val="single" w:sz="4" w:space="0" w:color="auto"/>
              <w:left w:val="single" w:sz="4" w:space="0" w:color="auto"/>
              <w:righ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可燃性</w:t>
            </w:r>
          </w:p>
        </w:tc>
      </w:tr>
      <w:tr w:rsidR="00744D22" w:rsidRPr="00687B52" w:rsidTr="00744D22">
        <w:tc>
          <w:tcPr>
            <w:tcW w:w="1775" w:type="pct"/>
            <w:gridSpan w:val="2"/>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疏散楼梯</w:t>
            </w:r>
          </w:p>
        </w:tc>
        <w:tc>
          <w:tcPr>
            <w:tcW w:w="805"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1.50</w:t>
            </w:r>
          </w:p>
        </w:tc>
        <w:tc>
          <w:tcPr>
            <w:tcW w:w="803"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1.00</w:t>
            </w:r>
          </w:p>
        </w:tc>
        <w:tc>
          <w:tcPr>
            <w:tcW w:w="849" w:type="pct"/>
            <w:tcBorders>
              <w:top w:val="single" w:sz="4" w:space="0" w:color="auto"/>
              <w:lef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0.75</w:t>
            </w:r>
          </w:p>
        </w:tc>
        <w:tc>
          <w:tcPr>
            <w:tcW w:w="768" w:type="pct"/>
            <w:tcBorders>
              <w:top w:val="single" w:sz="4" w:space="0" w:color="auto"/>
              <w:left w:val="single" w:sz="4" w:space="0" w:color="auto"/>
              <w:righ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可燃性</w:t>
            </w:r>
          </w:p>
        </w:tc>
      </w:tr>
      <w:tr w:rsidR="00744D22" w:rsidRPr="00687B52" w:rsidTr="00744D22">
        <w:tc>
          <w:tcPr>
            <w:tcW w:w="1775" w:type="pct"/>
            <w:gridSpan w:val="2"/>
            <w:tcBorders>
              <w:top w:val="single" w:sz="4" w:space="0" w:color="auto"/>
              <w:left w:val="single" w:sz="4" w:space="0" w:color="auto"/>
              <w:bottom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吊顶（包括吊顶搁栅）</w:t>
            </w:r>
          </w:p>
        </w:tc>
        <w:tc>
          <w:tcPr>
            <w:tcW w:w="805" w:type="pct"/>
            <w:tcBorders>
              <w:top w:val="single" w:sz="4" w:space="0" w:color="auto"/>
              <w:left w:val="single" w:sz="4" w:space="0" w:color="auto"/>
              <w:bottom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不燃性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0.25</w:t>
            </w:r>
          </w:p>
        </w:tc>
        <w:tc>
          <w:tcPr>
            <w:tcW w:w="803" w:type="pct"/>
            <w:tcBorders>
              <w:top w:val="single" w:sz="4" w:space="0" w:color="auto"/>
              <w:left w:val="single" w:sz="4" w:space="0" w:color="auto"/>
              <w:bottom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难燃性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0.25</w:t>
            </w:r>
          </w:p>
        </w:tc>
        <w:tc>
          <w:tcPr>
            <w:tcW w:w="849" w:type="pct"/>
            <w:tcBorders>
              <w:top w:val="single" w:sz="4" w:space="0" w:color="auto"/>
              <w:left w:val="single" w:sz="4" w:space="0" w:color="auto"/>
              <w:bottom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难燃性</w:t>
            </w:r>
          </w:p>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Style w:val="31"/>
                <w:rFonts w:ascii="Times New Roman" w:eastAsia="宋体" w:hAnsi="Times New Roman" w:cs="Times New Roman"/>
                <w:color w:val="000000" w:themeColor="text1"/>
                <w:sz w:val="24"/>
                <w:szCs w:val="24"/>
              </w:rPr>
              <w:t>0.15</w:t>
            </w:r>
          </w:p>
        </w:tc>
        <w:tc>
          <w:tcPr>
            <w:tcW w:w="768" w:type="pct"/>
            <w:tcBorders>
              <w:top w:val="single" w:sz="4" w:space="0" w:color="auto"/>
              <w:left w:val="single" w:sz="4" w:space="0" w:color="auto"/>
              <w:bottom w:val="single" w:sz="4" w:space="0" w:color="auto"/>
              <w:right w:val="single" w:sz="4" w:space="0" w:color="auto"/>
            </w:tcBorders>
            <w:shd w:val="clear" w:color="auto" w:fill="FFFFFF"/>
            <w:vAlign w:val="center"/>
          </w:tcPr>
          <w:p w:rsidR="00744D22" w:rsidRPr="00687B52" w:rsidRDefault="00744D22" w:rsidP="005F5072">
            <w:pPr>
              <w:pStyle w:val="110"/>
              <w:shd w:val="clear" w:color="auto" w:fill="auto"/>
              <w:spacing w:before="0" w:line="240" w:lineRule="auto"/>
              <w:ind w:firstLine="0"/>
              <w:rPr>
                <w:rFonts w:ascii="Times New Roman" w:eastAsia="宋体" w:hAnsi="Times New Roman" w:cs="Times New Roman"/>
                <w:color w:val="000000" w:themeColor="text1"/>
                <w:sz w:val="24"/>
                <w:szCs w:val="24"/>
              </w:rPr>
            </w:pPr>
            <w:r w:rsidRPr="00687B52">
              <w:rPr>
                <w:rFonts w:ascii="Times New Roman" w:eastAsia="宋体" w:hAnsi="宋体" w:cs="Times New Roman"/>
                <w:color w:val="000000" w:themeColor="text1"/>
                <w:sz w:val="24"/>
                <w:szCs w:val="24"/>
              </w:rPr>
              <w:t>可燃性</w:t>
            </w:r>
          </w:p>
        </w:tc>
      </w:tr>
    </w:tbl>
    <w:p w:rsidR="00744D22" w:rsidRPr="00687B52" w:rsidRDefault="00744D22" w:rsidP="00744D22">
      <w:pPr>
        <w:widowControl/>
        <w:rPr>
          <w:rFonts w:ascii="宋体" w:eastAsia="宋体" w:hAnsi="宋体" w:cs="宋体"/>
          <w:color w:val="000000" w:themeColor="text1"/>
          <w:kern w:val="0"/>
          <w:sz w:val="24"/>
          <w:szCs w:val="24"/>
        </w:rPr>
      </w:pPr>
    </w:p>
    <w:p w:rsidR="00481EDB" w:rsidRPr="00687B52" w:rsidRDefault="00481EDB" w:rsidP="00744D22">
      <w:pPr>
        <w:widowControl/>
        <w:ind w:firstLineChars="200" w:firstLine="480"/>
        <w:rPr>
          <w:rFonts w:ascii="宋体" w:eastAsia="宋体" w:hAnsi="宋体" w:cs="宋体"/>
          <w:color w:val="000000" w:themeColor="text1"/>
          <w:kern w:val="0"/>
          <w:sz w:val="24"/>
          <w:szCs w:val="24"/>
        </w:rPr>
      </w:pPr>
      <w:r w:rsidRPr="00687B52">
        <w:rPr>
          <w:rFonts w:ascii="宋体" w:eastAsia="宋体" w:hAnsi="宋体" w:cs="宋体" w:hint="eastAsia"/>
          <w:color w:val="000000" w:themeColor="text1"/>
          <w:kern w:val="0"/>
          <w:sz w:val="24"/>
          <w:szCs w:val="24"/>
        </w:rPr>
        <w:t>注:二级耐火等级建筑内采用不燃材料的吊顶，其耐火等级不限。</w:t>
      </w:r>
    </w:p>
    <w:p w:rsidR="00481EDB" w:rsidRPr="00687B52" w:rsidRDefault="00481EDB" w:rsidP="00481EDB">
      <w:pPr>
        <w:widowControl/>
        <w:jc w:val="center"/>
        <w:rPr>
          <w:rFonts w:ascii="宋体" w:eastAsia="宋体" w:hAnsi="宋体" w:cs="宋体"/>
          <w:color w:val="000000" w:themeColor="text1"/>
          <w:kern w:val="0"/>
          <w:sz w:val="24"/>
          <w:szCs w:val="24"/>
        </w:rPr>
      </w:pPr>
    </w:p>
    <w:p w:rsidR="00481EDB" w:rsidRPr="00687B52" w:rsidRDefault="00481EDB" w:rsidP="00481EDB">
      <w:pPr>
        <w:widowControl/>
        <w:jc w:val="center"/>
        <w:rPr>
          <w:rFonts w:ascii="宋体" w:eastAsia="宋体" w:hAnsi="宋体" w:cs="宋体"/>
          <w:color w:val="000000" w:themeColor="text1"/>
          <w:kern w:val="0"/>
          <w:sz w:val="24"/>
          <w:szCs w:val="24"/>
        </w:rPr>
      </w:pPr>
    </w:p>
    <w:p w:rsidR="00744D22" w:rsidRPr="00687B52" w:rsidRDefault="00744D22" w:rsidP="00481EDB">
      <w:pPr>
        <w:widowControl/>
        <w:jc w:val="center"/>
        <w:rPr>
          <w:rFonts w:ascii="宋体" w:eastAsia="宋体" w:hAnsi="宋体" w:cs="宋体"/>
          <w:color w:val="000000" w:themeColor="text1"/>
          <w:kern w:val="0"/>
          <w:sz w:val="24"/>
          <w:szCs w:val="24"/>
        </w:rPr>
      </w:pPr>
    </w:p>
    <w:p w:rsidR="00744D22" w:rsidRPr="00687B52" w:rsidRDefault="00744D22" w:rsidP="00481EDB">
      <w:pPr>
        <w:widowControl/>
        <w:jc w:val="center"/>
        <w:rPr>
          <w:rFonts w:ascii="宋体" w:eastAsia="宋体" w:hAnsi="宋体" w:cs="宋体"/>
          <w:color w:val="000000" w:themeColor="text1"/>
          <w:kern w:val="0"/>
          <w:sz w:val="24"/>
          <w:szCs w:val="24"/>
        </w:rPr>
      </w:pPr>
    </w:p>
    <w:p w:rsidR="00744D22" w:rsidRPr="00687B52" w:rsidRDefault="00744D22" w:rsidP="00481EDB">
      <w:pPr>
        <w:widowControl/>
        <w:jc w:val="center"/>
        <w:rPr>
          <w:rFonts w:ascii="宋体" w:eastAsia="宋体" w:hAnsi="宋体" w:cs="宋体"/>
          <w:color w:val="000000" w:themeColor="text1"/>
          <w:kern w:val="0"/>
          <w:sz w:val="24"/>
          <w:szCs w:val="24"/>
        </w:rPr>
      </w:pPr>
    </w:p>
    <w:p w:rsidR="00744D22" w:rsidRPr="00687B52" w:rsidRDefault="00744D22" w:rsidP="00481EDB">
      <w:pPr>
        <w:widowControl/>
        <w:jc w:val="center"/>
        <w:rPr>
          <w:rFonts w:ascii="宋体" w:eastAsia="宋体" w:hAnsi="宋体" w:cs="宋体"/>
          <w:color w:val="000000" w:themeColor="text1"/>
          <w:kern w:val="0"/>
          <w:sz w:val="24"/>
          <w:szCs w:val="24"/>
        </w:rPr>
      </w:pPr>
    </w:p>
    <w:p w:rsidR="00744D22" w:rsidRPr="00687B52" w:rsidRDefault="00744D22" w:rsidP="00481EDB">
      <w:pPr>
        <w:widowControl/>
        <w:jc w:val="center"/>
        <w:rPr>
          <w:rFonts w:ascii="宋体" w:eastAsia="宋体" w:hAnsi="宋体" w:cs="宋体"/>
          <w:color w:val="000000" w:themeColor="text1"/>
          <w:kern w:val="0"/>
          <w:sz w:val="24"/>
          <w:szCs w:val="24"/>
        </w:rPr>
        <w:sectPr w:rsidR="00744D22" w:rsidRPr="00687B52" w:rsidSect="00B527D4">
          <w:pgSz w:w="11906" w:h="16838"/>
          <w:pgMar w:top="1797" w:right="1440" w:bottom="1797" w:left="1440" w:header="851" w:footer="907" w:gutter="0"/>
          <w:cols w:space="425"/>
          <w:docGrid w:type="lines" w:linePitch="312"/>
        </w:sectPr>
      </w:pPr>
    </w:p>
    <w:p w:rsidR="00481EDB" w:rsidRPr="00687B52" w:rsidRDefault="00481EDB" w:rsidP="00856B6C">
      <w:pPr>
        <w:pStyle w:val="afd"/>
        <w:rPr>
          <w:color w:val="000000" w:themeColor="text1"/>
        </w:rPr>
      </w:pPr>
      <w:bookmarkStart w:id="400" w:name="_Toc491870862"/>
      <w:bookmarkStart w:id="401" w:name="_Toc492563516"/>
      <w:bookmarkStart w:id="402" w:name="_Toc493857121"/>
      <w:r w:rsidRPr="00687B52">
        <w:rPr>
          <w:rFonts w:hint="eastAsia"/>
          <w:color w:val="000000" w:themeColor="text1"/>
        </w:rPr>
        <w:t>表</w:t>
      </w:r>
      <w:r w:rsidRPr="00687B52">
        <w:rPr>
          <w:rFonts w:hint="eastAsia"/>
          <w:color w:val="000000" w:themeColor="text1"/>
        </w:rPr>
        <w:t xml:space="preserve">3.3.1 </w:t>
      </w:r>
      <w:r w:rsidRPr="00687B52">
        <w:rPr>
          <w:rFonts w:hint="eastAsia"/>
          <w:color w:val="000000" w:themeColor="text1"/>
        </w:rPr>
        <w:t>厂房的层数和每个防火分区的最大允许建筑面积</w:t>
      </w:r>
      <w:bookmarkEnd w:id="400"/>
      <w:bookmarkEnd w:id="401"/>
      <w:bookmarkEnd w:id="402"/>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64"/>
        <w:gridCol w:w="9"/>
        <w:gridCol w:w="1125"/>
        <w:gridCol w:w="8"/>
        <w:gridCol w:w="1413"/>
        <w:gridCol w:w="983"/>
        <w:gridCol w:w="996"/>
        <w:gridCol w:w="996"/>
        <w:gridCol w:w="2345"/>
        <w:gridCol w:w="8"/>
      </w:tblGrid>
      <w:tr w:rsidR="00BF59CF" w:rsidRPr="00687B52" w:rsidTr="005F5072">
        <w:trPr>
          <w:gridAfter w:val="1"/>
          <w:wAfter w:w="8" w:type="dxa"/>
        </w:trPr>
        <w:tc>
          <w:tcPr>
            <w:tcW w:w="1164" w:type="dxa"/>
            <w:vMerge w:val="restart"/>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生产的火灾危险性 类别</w:t>
            </w:r>
          </w:p>
        </w:tc>
        <w:tc>
          <w:tcPr>
            <w:tcW w:w="1134" w:type="dxa"/>
            <w:gridSpan w:val="2"/>
            <w:vMerge w:val="restart"/>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厂房的耐火等级</w:t>
            </w:r>
          </w:p>
        </w:tc>
        <w:tc>
          <w:tcPr>
            <w:tcW w:w="1421" w:type="dxa"/>
            <w:gridSpan w:val="2"/>
            <w:vMerge w:val="restart"/>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最多允许层数</w:t>
            </w:r>
          </w:p>
        </w:tc>
        <w:tc>
          <w:tcPr>
            <w:tcW w:w="5320" w:type="dxa"/>
            <w:gridSpan w:val="4"/>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每个防火分区的最大允许建筑面积（</w:t>
            </w:r>
            <w:r w:rsidRPr="00687B52">
              <w:rPr>
                <w:rStyle w:val="9pt"/>
                <w:rFonts w:asciiTheme="minorEastAsia" w:eastAsiaTheme="minorEastAsia" w:hAnsiTheme="minorEastAsia" w:cs="Times New Roman"/>
                <w:color w:val="000000" w:themeColor="text1"/>
                <w:sz w:val="24"/>
                <w:szCs w:val="24"/>
              </w:rPr>
              <w:t>m</w:t>
            </w:r>
            <w:r w:rsidRPr="00687B52">
              <w:rPr>
                <w:rStyle w:val="9pt"/>
                <w:rFonts w:asciiTheme="minorEastAsia" w:eastAsiaTheme="minorEastAsia" w:hAnsiTheme="minorEastAsia" w:cs="Times New Roman"/>
                <w:color w:val="000000" w:themeColor="text1"/>
                <w:sz w:val="24"/>
                <w:szCs w:val="24"/>
                <w:vertAlign w:val="superscript"/>
              </w:rPr>
              <w:t>2</w:t>
            </w:r>
            <w:r w:rsidRPr="00687B52">
              <w:rPr>
                <w:rStyle w:val="9pt"/>
                <w:rFonts w:asciiTheme="minorEastAsia" w:eastAsiaTheme="minorEastAsia" w:hAnsiTheme="minorEastAsia" w:cs="Times New Roman"/>
                <w:color w:val="000000" w:themeColor="text1"/>
                <w:sz w:val="24"/>
                <w:szCs w:val="24"/>
              </w:rPr>
              <w:t>)</w:t>
            </w:r>
          </w:p>
        </w:tc>
      </w:tr>
      <w:tr w:rsidR="00BF59CF" w:rsidRPr="00687B52" w:rsidTr="005F5072">
        <w:trPr>
          <w:gridAfter w:val="1"/>
          <w:wAfter w:w="8" w:type="dxa"/>
        </w:trPr>
        <w:tc>
          <w:tcPr>
            <w:tcW w:w="1164" w:type="dxa"/>
            <w:vMerge/>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p>
        </w:tc>
        <w:tc>
          <w:tcPr>
            <w:tcW w:w="1134" w:type="dxa"/>
            <w:gridSpan w:val="2"/>
            <w:vMerge/>
            <w:shd w:val="clear" w:color="auto" w:fill="FFFFFF"/>
            <w:vAlign w:val="center"/>
          </w:tcPr>
          <w:p w:rsidR="00BF59CF" w:rsidRPr="00687B52" w:rsidRDefault="00BF59CF" w:rsidP="005F5072">
            <w:pPr>
              <w:jc w:val="center"/>
              <w:rPr>
                <w:rFonts w:asciiTheme="minorEastAsia" w:hAnsiTheme="minorEastAsia" w:cs="Times New Roman"/>
                <w:color w:val="000000" w:themeColor="text1"/>
                <w:sz w:val="24"/>
                <w:szCs w:val="24"/>
              </w:rPr>
            </w:pPr>
          </w:p>
        </w:tc>
        <w:tc>
          <w:tcPr>
            <w:tcW w:w="1421" w:type="dxa"/>
            <w:gridSpan w:val="2"/>
            <w:vMerge/>
            <w:shd w:val="clear" w:color="auto" w:fill="FFFFFF"/>
            <w:vAlign w:val="center"/>
          </w:tcPr>
          <w:p w:rsidR="00BF59CF" w:rsidRPr="00687B52" w:rsidRDefault="00BF59CF" w:rsidP="005F5072">
            <w:pPr>
              <w:jc w:val="center"/>
              <w:rPr>
                <w:rFonts w:asciiTheme="minorEastAsia" w:hAnsiTheme="minorEastAsia" w:cs="Times New Roman"/>
                <w:color w:val="000000" w:themeColor="text1"/>
                <w:sz w:val="24"/>
                <w:szCs w:val="24"/>
              </w:rPr>
            </w:pPr>
          </w:p>
        </w:tc>
        <w:tc>
          <w:tcPr>
            <w:tcW w:w="983" w:type="dxa"/>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单层</w:t>
            </w:r>
          </w:p>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厂房</w:t>
            </w:r>
          </w:p>
        </w:tc>
        <w:tc>
          <w:tcPr>
            <w:tcW w:w="996" w:type="dxa"/>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多层</w:t>
            </w:r>
          </w:p>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厂房</w:t>
            </w:r>
          </w:p>
        </w:tc>
        <w:tc>
          <w:tcPr>
            <w:tcW w:w="996" w:type="dxa"/>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高层</w:t>
            </w:r>
          </w:p>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厂房</w:t>
            </w:r>
          </w:p>
        </w:tc>
        <w:tc>
          <w:tcPr>
            <w:tcW w:w="2345" w:type="dxa"/>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lang w:eastAsia="zh-TW"/>
              </w:rPr>
            </w:pPr>
            <w:r w:rsidRPr="00687B52">
              <w:rPr>
                <w:rStyle w:val="MingLiU"/>
                <w:rFonts w:asciiTheme="minorEastAsia" w:eastAsiaTheme="minorEastAsia" w:hAnsiTheme="minorEastAsia" w:cs="Times New Roman"/>
                <w:b w:val="0"/>
                <w:color w:val="000000" w:themeColor="text1"/>
                <w:sz w:val="24"/>
                <w:szCs w:val="24"/>
                <w:lang w:eastAsia="zh-TW"/>
              </w:rPr>
              <w:t>地下或半地下厂房（包 括地下或半地下室）</w:t>
            </w:r>
          </w:p>
        </w:tc>
      </w:tr>
      <w:tr w:rsidR="00BF59CF" w:rsidRPr="00687B52" w:rsidTr="005F5072">
        <w:trPr>
          <w:gridAfter w:val="1"/>
          <w:wAfter w:w="8" w:type="dxa"/>
        </w:trPr>
        <w:tc>
          <w:tcPr>
            <w:tcW w:w="1164" w:type="dxa"/>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甲</w:t>
            </w:r>
          </w:p>
        </w:tc>
        <w:tc>
          <w:tcPr>
            <w:tcW w:w="1134" w:type="dxa"/>
            <w:gridSpan w:val="2"/>
            <w:tcBorders>
              <w:bottom w:val="single" w:sz="4" w:space="0" w:color="auto"/>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MingLiU"/>
                <w:rFonts w:asciiTheme="minorEastAsia" w:eastAsiaTheme="minorEastAsia" w:hAnsiTheme="minorEastAsia" w:cs="Times New Roman" w:hint="eastAsia"/>
                <w:b w:val="0"/>
                <w:color w:val="000000" w:themeColor="text1"/>
                <w:sz w:val="24"/>
              </w:rPr>
              <w:t>一</w:t>
            </w:r>
            <w:r w:rsidRPr="00687B52">
              <w:rPr>
                <w:rStyle w:val="MingLiU"/>
                <w:rFonts w:asciiTheme="minorEastAsia" w:eastAsiaTheme="minorEastAsia" w:hAnsiTheme="minorEastAsia" w:cs="Times New Roman"/>
                <w:b w:val="0"/>
                <w:color w:val="000000" w:themeColor="text1"/>
                <w:sz w:val="24"/>
                <w:szCs w:val="24"/>
              </w:rPr>
              <w:t>级</w:t>
            </w:r>
          </w:p>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二级</w:t>
            </w:r>
          </w:p>
        </w:tc>
        <w:tc>
          <w:tcPr>
            <w:tcW w:w="1421" w:type="dxa"/>
            <w:gridSpan w:val="2"/>
            <w:tcBorders>
              <w:bottom w:val="single" w:sz="4" w:space="0" w:color="auto"/>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宜采用单层</w:t>
            </w:r>
          </w:p>
        </w:tc>
        <w:tc>
          <w:tcPr>
            <w:tcW w:w="983" w:type="dxa"/>
            <w:tcBorders>
              <w:bottom w:val="single" w:sz="4" w:space="0" w:color="auto"/>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9pt"/>
                <w:rFonts w:asciiTheme="minorEastAsia" w:eastAsiaTheme="minorEastAsia" w:hAnsiTheme="minorEastAsia" w:cs="Times New Roman"/>
                <w:color w:val="000000" w:themeColor="text1"/>
                <w:sz w:val="24"/>
                <w:szCs w:val="24"/>
              </w:rPr>
              <w:t>4000</w:t>
            </w:r>
          </w:p>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9pt"/>
                <w:rFonts w:asciiTheme="minorEastAsia" w:eastAsiaTheme="minorEastAsia" w:hAnsiTheme="minorEastAsia" w:cs="Times New Roman"/>
                <w:color w:val="000000" w:themeColor="text1"/>
                <w:sz w:val="24"/>
                <w:szCs w:val="24"/>
              </w:rPr>
              <w:t>3000</w:t>
            </w:r>
          </w:p>
        </w:tc>
        <w:tc>
          <w:tcPr>
            <w:tcW w:w="996" w:type="dxa"/>
            <w:tcBorders>
              <w:bottom w:val="single" w:sz="4" w:space="0" w:color="auto"/>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9pt"/>
                <w:rFonts w:asciiTheme="minorEastAsia" w:eastAsiaTheme="minorEastAsia" w:hAnsiTheme="minorEastAsia" w:cs="Times New Roman"/>
                <w:color w:val="000000" w:themeColor="text1"/>
                <w:sz w:val="24"/>
                <w:szCs w:val="24"/>
              </w:rPr>
              <w:t>3000</w:t>
            </w:r>
          </w:p>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9pt"/>
                <w:rFonts w:asciiTheme="minorEastAsia" w:eastAsiaTheme="minorEastAsia" w:hAnsiTheme="minorEastAsia" w:cs="Times New Roman"/>
                <w:color w:val="000000" w:themeColor="text1"/>
                <w:sz w:val="24"/>
                <w:szCs w:val="24"/>
              </w:rPr>
              <w:t>2000</w:t>
            </w:r>
          </w:p>
        </w:tc>
        <w:tc>
          <w:tcPr>
            <w:tcW w:w="996" w:type="dxa"/>
            <w:tcBorders>
              <w:bottom w:val="single" w:sz="4" w:space="0" w:color="auto"/>
            </w:tcBorders>
            <w:shd w:val="clear" w:color="auto" w:fill="FFFFFF"/>
            <w:vAlign w:val="center"/>
          </w:tcPr>
          <w:p w:rsidR="00BF59CF" w:rsidRPr="00687B52" w:rsidRDefault="00BF59CF" w:rsidP="005F5072">
            <w:pPr>
              <w:pStyle w:val="110"/>
              <w:shd w:val="clear" w:color="auto" w:fill="auto"/>
              <w:spacing w:before="0" w:line="240" w:lineRule="auto"/>
              <w:ind w:firstLine="0"/>
              <w:rPr>
                <w:rStyle w:val="4pt"/>
                <w:rFonts w:asciiTheme="minorEastAsia" w:eastAsiaTheme="minorEastAsia" w:hAnsiTheme="minorEastAsia" w:cs="Times New Roman"/>
                <w:color w:val="000000" w:themeColor="text1"/>
                <w:sz w:val="24"/>
              </w:rPr>
            </w:pPr>
            <w:r w:rsidRPr="00687B52">
              <w:rPr>
                <w:rStyle w:val="4pt"/>
                <w:rFonts w:asciiTheme="minorEastAsia" w:eastAsiaTheme="minorEastAsia" w:hAnsiTheme="minorEastAsia" w:cs="Times New Roman"/>
                <w:color w:val="000000" w:themeColor="text1"/>
                <w:sz w:val="24"/>
                <w:szCs w:val="24"/>
              </w:rPr>
              <w:t>—</w:t>
            </w:r>
          </w:p>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shd w:val="clear" w:color="auto" w:fill="FFFFFF"/>
              </w:rPr>
            </w:pPr>
            <w:r w:rsidRPr="00687B52">
              <w:rPr>
                <w:rStyle w:val="4pt"/>
                <w:rFonts w:asciiTheme="minorEastAsia" w:eastAsiaTheme="minorEastAsia" w:hAnsiTheme="minorEastAsia" w:cs="Times New Roman"/>
                <w:color w:val="000000" w:themeColor="text1"/>
                <w:sz w:val="24"/>
                <w:szCs w:val="24"/>
              </w:rPr>
              <w:t>—</w:t>
            </w:r>
          </w:p>
        </w:tc>
        <w:tc>
          <w:tcPr>
            <w:tcW w:w="2345" w:type="dxa"/>
            <w:tcBorders>
              <w:bottom w:val="single" w:sz="4" w:space="0" w:color="auto"/>
            </w:tcBorders>
            <w:shd w:val="clear" w:color="auto" w:fill="FFFFFF"/>
            <w:vAlign w:val="center"/>
          </w:tcPr>
          <w:p w:rsidR="00BF59CF" w:rsidRPr="00687B52" w:rsidRDefault="00BF59CF" w:rsidP="005F5072">
            <w:pPr>
              <w:pStyle w:val="110"/>
              <w:shd w:val="clear" w:color="auto" w:fill="auto"/>
              <w:spacing w:before="0" w:line="240" w:lineRule="auto"/>
              <w:ind w:firstLine="0"/>
              <w:rPr>
                <w:rStyle w:val="4pt"/>
                <w:rFonts w:asciiTheme="minorEastAsia" w:eastAsiaTheme="minorEastAsia" w:hAnsiTheme="minorEastAsia" w:cs="Times New Roman"/>
                <w:color w:val="000000" w:themeColor="text1"/>
                <w:sz w:val="24"/>
              </w:rPr>
            </w:pPr>
            <w:r w:rsidRPr="00687B52">
              <w:rPr>
                <w:rStyle w:val="4pt"/>
                <w:rFonts w:asciiTheme="minorEastAsia" w:eastAsiaTheme="minorEastAsia" w:hAnsiTheme="minorEastAsia" w:cs="Times New Roman"/>
                <w:color w:val="000000" w:themeColor="text1"/>
                <w:sz w:val="24"/>
                <w:szCs w:val="24"/>
              </w:rPr>
              <w:t>—</w:t>
            </w:r>
          </w:p>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shd w:val="clear" w:color="auto" w:fill="FFFFFF"/>
              </w:rPr>
            </w:pPr>
            <w:r w:rsidRPr="00687B52">
              <w:rPr>
                <w:rStyle w:val="4pt"/>
                <w:rFonts w:asciiTheme="minorEastAsia" w:eastAsiaTheme="minorEastAsia" w:hAnsiTheme="minorEastAsia" w:cs="Times New Roman"/>
                <w:color w:val="000000" w:themeColor="text1"/>
                <w:sz w:val="24"/>
                <w:szCs w:val="24"/>
              </w:rPr>
              <w:t>—</w:t>
            </w:r>
          </w:p>
        </w:tc>
      </w:tr>
      <w:tr w:rsidR="00BF59CF" w:rsidRPr="00687B52" w:rsidTr="005F5072">
        <w:trPr>
          <w:gridAfter w:val="1"/>
          <w:wAfter w:w="8" w:type="dxa"/>
        </w:trPr>
        <w:tc>
          <w:tcPr>
            <w:tcW w:w="1164" w:type="dxa"/>
            <w:vMerge w:val="restart"/>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乙</w:t>
            </w:r>
          </w:p>
        </w:tc>
        <w:tc>
          <w:tcPr>
            <w:tcW w:w="1134" w:type="dxa"/>
            <w:gridSpan w:val="2"/>
            <w:tcBorders>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MingLiU"/>
                <w:rFonts w:asciiTheme="minorEastAsia" w:eastAsiaTheme="minorEastAsia" w:hAnsiTheme="minorEastAsia" w:cs="Times New Roman" w:hint="eastAsia"/>
                <w:b w:val="0"/>
                <w:color w:val="000000" w:themeColor="text1"/>
                <w:sz w:val="24"/>
              </w:rPr>
              <w:t>一</w:t>
            </w:r>
            <w:r w:rsidRPr="00687B52">
              <w:rPr>
                <w:rStyle w:val="MingLiU"/>
                <w:rFonts w:asciiTheme="minorEastAsia" w:eastAsiaTheme="minorEastAsia" w:hAnsiTheme="minorEastAsia" w:cs="Times New Roman"/>
                <w:b w:val="0"/>
                <w:color w:val="000000" w:themeColor="text1"/>
                <w:sz w:val="24"/>
                <w:szCs w:val="24"/>
              </w:rPr>
              <w:t>级</w:t>
            </w:r>
          </w:p>
        </w:tc>
        <w:tc>
          <w:tcPr>
            <w:tcW w:w="1421" w:type="dxa"/>
            <w:gridSpan w:val="2"/>
            <w:tcBorders>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不限</w:t>
            </w:r>
          </w:p>
        </w:tc>
        <w:tc>
          <w:tcPr>
            <w:tcW w:w="983" w:type="dxa"/>
            <w:tcBorders>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9pt"/>
                <w:rFonts w:asciiTheme="minorEastAsia" w:eastAsiaTheme="minorEastAsia" w:hAnsiTheme="minorEastAsia" w:cs="Times New Roman"/>
                <w:color w:val="000000" w:themeColor="text1"/>
                <w:sz w:val="24"/>
                <w:szCs w:val="24"/>
              </w:rPr>
              <w:t>5000</w:t>
            </w:r>
          </w:p>
        </w:tc>
        <w:tc>
          <w:tcPr>
            <w:tcW w:w="996" w:type="dxa"/>
            <w:tcBorders>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9pt"/>
                <w:rFonts w:asciiTheme="minorEastAsia" w:eastAsiaTheme="minorEastAsia" w:hAnsiTheme="minorEastAsia" w:cs="Times New Roman"/>
                <w:color w:val="000000" w:themeColor="text1"/>
                <w:sz w:val="24"/>
                <w:szCs w:val="24"/>
              </w:rPr>
              <w:t>4000</w:t>
            </w:r>
          </w:p>
        </w:tc>
        <w:tc>
          <w:tcPr>
            <w:tcW w:w="996" w:type="dxa"/>
            <w:tcBorders>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9pt"/>
                <w:rFonts w:asciiTheme="minorEastAsia" w:eastAsiaTheme="minorEastAsia" w:hAnsiTheme="minorEastAsia" w:cs="Times New Roman"/>
                <w:color w:val="000000" w:themeColor="text1"/>
                <w:sz w:val="24"/>
                <w:szCs w:val="24"/>
              </w:rPr>
              <w:t>2000</w:t>
            </w:r>
          </w:p>
        </w:tc>
        <w:tc>
          <w:tcPr>
            <w:tcW w:w="2345" w:type="dxa"/>
            <w:tcBorders>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4pt"/>
                <w:rFonts w:asciiTheme="minorEastAsia" w:eastAsiaTheme="minorEastAsia" w:hAnsiTheme="minorEastAsia" w:cs="Times New Roman"/>
                <w:color w:val="000000" w:themeColor="text1"/>
                <w:sz w:val="24"/>
                <w:szCs w:val="24"/>
              </w:rPr>
              <w:t>—</w:t>
            </w:r>
          </w:p>
        </w:tc>
      </w:tr>
      <w:tr w:rsidR="00BF59CF" w:rsidRPr="00687B52" w:rsidTr="005F5072">
        <w:trPr>
          <w:gridAfter w:val="1"/>
          <w:wAfter w:w="8" w:type="dxa"/>
        </w:trPr>
        <w:tc>
          <w:tcPr>
            <w:tcW w:w="1164" w:type="dxa"/>
            <w:vMerge/>
            <w:shd w:val="clear" w:color="auto" w:fill="FFFFFF"/>
            <w:vAlign w:val="center"/>
          </w:tcPr>
          <w:p w:rsidR="00BF59CF" w:rsidRPr="00687B52" w:rsidRDefault="00BF59CF" w:rsidP="005F5072">
            <w:pPr>
              <w:jc w:val="center"/>
              <w:rPr>
                <w:rFonts w:asciiTheme="minorEastAsia" w:hAnsiTheme="minorEastAsia" w:cs="Times New Roman"/>
                <w:color w:val="000000" w:themeColor="text1"/>
                <w:sz w:val="24"/>
                <w:szCs w:val="24"/>
              </w:rPr>
            </w:pPr>
          </w:p>
        </w:tc>
        <w:tc>
          <w:tcPr>
            <w:tcW w:w="1134" w:type="dxa"/>
            <w:gridSpan w:val="2"/>
            <w:tcBorders>
              <w:top w:val="nil"/>
              <w:bottom w:val="single" w:sz="4" w:space="0" w:color="auto"/>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二级</w:t>
            </w:r>
          </w:p>
        </w:tc>
        <w:tc>
          <w:tcPr>
            <w:tcW w:w="1421" w:type="dxa"/>
            <w:gridSpan w:val="2"/>
            <w:tcBorders>
              <w:top w:val="nil"/>
              <w:bottom w:val="single" w:sz="4" w:space="0" w:color="auto"/>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9pt"/>
                <w:rFonts w:asciiTheme="minorEastAsia" w:eastAsiaTheme="minorEastAsia" w:hAnsiTheme="minorEastAsia" w:cs="Times New Roman"/>
                <w:color w:val="000000" w:themeColor="text1"/>
                <w:sz w:val="24"/>
                <w:szCs w:val="24"/>
              </w:rPr>
              <w:t>6</w:t>
            </w:r>
          </w:p>
        </w:tc>
        <w:tc>
          <w:tcPr>
            <w:tcW w:w="983" w:type="dxa"/>
            <w:tcBorders>
              <w:top w:val="nil"/>
              <w:bottom w:val="single" w:sz="4" w:space="0" w:color="auto"/>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9pt"/>
                <w:rFonts w:asciiTheme="minorEastAsia" w:eastAsiaTheme="minorEastAsia" w:hAnsiTheme="minorEastAsia" w:cs="Times New Roman"/>
                <w:color w:val="000000" w:themeColor="text1"/>
                <w:sz w:val="24"/>
                <w:szCs w:val="24"/>
              </w:rPr>
              <w:t>4000</w:t>
            </w:r>
          </w:p>
        </w:tc>
        <w:tc>
          <w:tcPr>
            <w:tcW w:w="996" w:type="dxa"/>
            <w:tcBorders>
              <w:top w:val="nil"/>
              <w:bottom w:val="single" w:sz="4" w:space="0" w:color="auto"/>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9pt"/>
                <w:rFonts w:asciiTheme="minorEastAsia" w:eastAsiaTheme="minorEastAsia" w:hAnsiTheme="minorEastAsia" w:cs="Times New Roman"/>
                <w:color w:val="000000" w:themeColor="text1"/>
                <w:sz w:val="24"/>
                <w:szCs w:val="24"/>
              </w:rPr>
              <w:t>3000</w:t>
            </w:r>
          </w:p>
        </w:tc>
        <w:tc>
          <w:tcPr>
            <w:tcW w:w="996" w:type="dxa"/>
            <w:tcBorders>
              <w:top w:val="nil"/>
              <w:bottom w:val="single" w:sz="4" w:space="0" w:color="auto"/>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9pt"/>
                <w:rFonts w:asciiTheme="minorEastAsia" w:eastAsiaTheme="minorEastAsia" w:hAnsiTheme="minorEastAsia" w:cs="Times New Roman"/>
                <w:color w:val="000000" w:themeColor="text1"/>
                <w:sz w:val="24"/>
                <w:szCs w:val="24"/>
              </w:rPr>
              <w:t>1500</w:t>
            </w:r>
          </w:p>
        </w:tc>
        <w:tc>
          <w:tcPr>
            <w:tcW w:w="2345" w:type="dxa"/>
            <w:tcBorders>
              <w:top w:val="nil"/>
              <w:bottom w:val="single" w:sz="4" w:space="0" w:color="auto"/>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4pt"/>
                <w:rFonts w:asciiTheme="minorEastAsia" w:eastAsiaTheme="minorEastAsia" w:hAnsiTheme="minorEastAsia" w:cs="Times New Roman"/>
                <w:color w:val="000000" w:themeColor="text1"/>
                <w:sz w:val="24"/>
                <w:szCs w:val="24"/>
              </w:rPr>
              <w:t>—</w:t>
            </w:r>
          </w:p>
        </w:tc>
      </w:tr>
      <w:tr w:rsidR="00BF59CF" w:rsidRPr="00687B52" w:rsidTr="005F5072">
        <w:trPr>
          <w:gridAfter w:val="1"/>
          <w:wAfter w:w="8" w:type="dxa"/>
        </w:trPr>
        <w:tc>
          <w:tcPr>
            <w:tcW w:w="1164" w:type="dxa"/>
            <w:vMerge w:val="restart"/>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丙</w:t>
            </w:r>
          </w:p>
        </w:tc>
        <w:tc>
          <w:tcPr>
            <w:tcW w:w="1134" w:type="dxa"/>
            <w:gridSpan w:val="2"/>
            <w:tcBorders>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color w:val="000000" w:themeColor="text1"/>
                <w:sz w:val="24"/>
                <w:szCs w:val="24"/>
              </w:rPr>
            </w:pPr>
            <w:r w:rsidRPr="00687B52">
              <w:rPr>
                <w:rStyle w:val="MingLiU"/>
                <w:rFonts w:asciiTheme="minorEastAsia" w:eastAsiaTheme="minorEastAsia" w:hAnsiTheme="minorEastAsia" w:cs="Times New Roman" w:hint="eastAsia"/>
                <w:b w:val="0"/>
                <w:color w:val="000000" w:themeColor="text1"/>
                <w:sz w:val="24"/>
              </w:rPr>
              <w:t>一</w:t>
            </w:r>
            <w:r w:rsidRPr="00687B52">
              <w:rPr>
                <w:rStyle w:val="MingLiU"/>
                <w:rFonts w:asciiTheme="minorEastAsia" w:eastAsiaTheme="minorEastAsia" w:hAnsiTheme="minorEastAsia" w:cs="Times New Roman"/>
                <w:b w:val="0"/>
                <w:color w:val="000000" w:themeColor="text1"/>
                <w:sz w:val="24"/>
                <w:szCs w:val="24"/>
              </w:rPr>
              <w:t>级</w:t>
            </w:r>
          </w:p>
        </w:tc>
        <w:tc>
          <w:tcPr>
            <w:tcW w:w="1421" w:type="dxa"/>
            <w:gridSpan w:val="2"/>
            <w:tcBorders>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不限</w:t>
            </w:r>
          </w:p>
        </w:tc>
        <w:tc>
          <w:tcPr>
            <w:tcW w:w="983" w:type="dxa"/>
            <w:tcBorders>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不限</w:t>
            </w:r>
          </w:p>
        </w:tc>
        <w:tc>
          <w:tcPr>
            <w:tcW w:w="996" w:type="dxa"/>
            <w:tcBorders>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9pt"/>
                <w:rFonts w:asciiTheme="minorEastAsia" w:eastAsiaTheme="minorEastAsia" w:hAnsiTheme="minorEastAsia" w:cs="Times New Roman"/>
                <w:color w:val="000000" w:themeColor="text1"/>
                <w:sz w:val="24"/>
                <w:szCs w:val="24"/>
              </w:rPr>
              <w:t>6000</w:t>
            </w:r>
          </w:p>
        </w:tc>
        <w:tc>
          <w:tcPr>
            <w:tcW w:w="996" w:type="dxa"/>
            <w:tcBorders>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9pt"/>
                <w:rFonts w:asciiTheme="minorEastAsia" w:eastAsiaTheme="minorEastAsia" w:hAnsiTheme="minorEastAsia" w:cs="Times New Roman"/>
                <w:color w:val="000000" w:themeColor="text1"/>
                <w:sz w:val="24"/>
                <w:szCs w:val="24"/>
              </w:rPr>
              <w:t>3000</w:t>
            </w:r>
          </w:p>
        </w:tc>
        <w:tc>
          <w:tcPr>
            <w:tcW w:w="2345" w:type="dxa"/>
            <w:tcBorders>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9pt"/>
                <w:rFonts w:asciiTheme="minorEastAsia" w:eastAsiaTheme="minorEastAsia" w:hAnsiTheme="minorEastAsia" w:cs="Times New Roman"/>
                <w:color w:val="000000" w:themeColor="text1"/>
                <w:sz w:val="24"/>
                <w:szCs w:val="24"/>
              </w:rPr>
              <w:t>500</w:t>
            </w:r>
          </w:p>
        </w:tc>
      </w:tr>
      <w:tr w:rsidR="00BF59CF" w:rsidRPr="00687B52" w:rsidTr="005F5072">
        <w:trPr>
          <w:gridAfter w:val="1"/>
          <w:wAfter w:w="8" w:type="dxa"/>
        </w:trPr>
        <w:tc>
          <w:tcPr>
            <w:tcW w:w="1164" w:type="dxa"/>
            <w:vMerge/>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color w:val="000000" w:themeColor="text1"/>
                <w:sz w:val="24"/>
                <w:szCs w:val="24"/>
              </w:rPr>
            </w:pPr>
          </w:p>
        </w:tc>
        <w:tc>
          <w:tcPr>
            <w:tcW w:w="1134" w:type="dxa"/>
            <w:gridSpan w:val="2"/>
            <w:tcBorders>
              <w:top w:val="nil"/>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二级</w:t>
            </w:r>
          </w:p>
        </w:tc>
        <w:tc>
          <w:tcPr>
            <w:tcW w:w="1421" w:type="dxa"/>
            <w:gridSpan w:val="2"/>
            <w:tcBorders>
              <w:top w:val="nil"/>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不限</w:t>
            </w:r>
          </w:p>
        </w:tc>
        <w:tc>
          <w:tcPr>
            <w:tcW w:w="983" w:type="dxa"/>
            <w:tcBorders>
              <w:top w:val="nil"/>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9pt"/>
                <w:rFonts w:asciiTheme="minorEastAsia" w:eastAsiaTheme="minorEastAsia" w:hAnsiTheme="minorEastAsia" w:cs="Times New Roman"/>
                <w:color w:val="000000" w:themeColor="text1"/>
                <w:sz w:val="24"/>
                <w:szCs w:val="24"/>
              </w:rPr>
              <w:t>8000</w:t>
            </w:r>
          </w:p>
        </w:tc>
        <w:tc>
          <w:tcPr>
            <w:tcW w:w="996" w:type="dxa"/>
            <w:tcBorders>
              <w:top w:val="nil"/>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9pt"/>
                <w:rFonts w:asciiTheme="minorEastAsia" w:eastAsiaTheme="minorEastAsia" w:hAnsiTheme="minorEastAsia" w:cs="Times New Roman"/>
                <w:color w:val="000000" w:themeColor="text1"/>
                <w:sz w:val="24"/>
                <w:szCs w:val="24"/>
              </w:rPr>
              <w:t>4000</w:t>
            </w:r>
          </w:p>
        </w:tc>
        <w:tc>
          <w:tcPr>
            <w:tcW w:w="996" w:type="dxa"/>
            <w:tcBorders>
              <w:top w:val="nil"/>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9pt"/>
                <w:rFonts w:asciiTheme="minorEastAsia" w:eastAsiaTheme="minorEastAsia" w:hAnsiTheme="minorEastAsia" w:cs="Times New Roman"/>
                <w:color w:val="000000" w:themeColor="text1"/>
                <w:sz w:val="24"/>
                <w:szCs w:val="24"/>
              </w:rPr>
              <w:t>2000</w:t>
            </w:r>
          </w:p>
        </w:tc>
        <w:tc>
          <w:tcPr>
            <w:tcW w:w="2345" w:type="dxa"/>
            <w:tcBorders>
              <w:top w:val="nil"/>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rPr>
            </w:pPr>
            <w:r w:rsidRPr="00687B52">
              <w:rPr>
                <w:rStyle w:val="9pt"/>
                <w:rFonts w:asciiTheme="minorEastAsia" w:eastAsiaTheme="minorEastAsia" w:hAnsiTheme="minorEastAsia" w:cs="Times New Roman"/>
                <w:color w:val="000000" w:themeColor="text1"/>
                <w:sz w:val="24"/>
                <w:szCs w:val="24"/>
              </w:rPr>
              <w:t>500</w:t>
            </w:r>
          </w:p>
        </w:tc>
      </w:tr>
      <w:tr w:rsidR="00BF59CF" w:rsidRPr="00687B52" w:rsidTr="005F5072">
        <w:trPr>
          <w:gridAfter w:val="1"/>
          <w:wAfter w:w="8" w:type="dxa"/>
        </w:trPr>
        <w:tc>
          <w:tcPr>
            <w:tcW w:w="1164" w:type="dxa"/>
            <w:vMerge/>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color w:val="000000" w:themeColor="text1"/>
                <w:sz w:val="24"/>
                <w:szCs w:val="24"/>
              </w:rPr>
            </w:pPr>
          </w:p>
        </w:tc>
        <w:tc>
          <w:tcPr>
            <w:tcW w:w="1134" w:type="dxa"/>
            <w:gridSpan w:val="2"/>
            <w:tcBorders>
              <w:top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Cs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三级</w:t>
            </w:r>
          </w:p>
        </w:tc>
        <w:tc>
          <w:tcPr>
            <w:tcW w:w="1421" w:type="dxa"/>
            <w:gridSpan w:val="2"/>
            <w:tcBorders>
              <w:top w:val="nil"/>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bCs/>
                <w:color w:val="000000" w:themeColor="text1"/>
                <w:sz w:val="24"/>
                <w:szCs w:val="24"/>
                <w:shd w:val="clear" w:color="auto" w:fill="FFFFFF"/>
                <w:lang w:val="zh-TW"/>
              </w:rPr>
            </w:pPr>
            <w:r w:rsidRPr="00687B52">
              <w:rPr>
                <w:rStyle w:val="9pt"/>
                <w:rFonts w:asciiTheme="minorEastAsia" w:eastAsiaTheme="minorEastAsia" w:hAnsiTheme="minorEastAsia" w:cs="Times New Roman"/>
                <w:bCs/>
                <w:color w:val="000000" w:themeColor="text1"/>
                <w:sz w:val="24"/>
                <w:szCs w:val="24"/>
              </w:rPr>
              <w:t>2</w:t>
            </w:r>
          </w:p>
        </w:tc>
        <w:tc>
          <w:tcPr>
            <w:tcW w:w="983" w:type="dxa"/>
            <w:tcBorders>
              <w:top w:val="nil"/>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bCs/>
                <w:color w:val="000000" w:themeColor="text1"/>
                <w:sz w:val="24"/>
                <w:szCs w:val="24"/>
                <w:shd w:val="clear" w:color="auto" w:fill="FFFFFF"/>
                <w:lang w:val="zh-TW"/>
              </w:rPr>
            </w:pPr>
            <w:r w:rsidRPr="00687B52">
              <w:rPr>
                <w:rStyle w:val="9pt"/>
                <w:rFonts w:asciiTheme="minorEastAsia" w:eastAsiaTheme="minorEastAsia" w:hAnsiTheme="minorEastAsia" w:cs="Times New Roman"/>
                <w:bCs/>
                <w:color w:val="000000" w:themeColor="text1"/>
                <w:sz w:val="24"/>
                <w:szCs w:val="24"/>
              </w:rPr>
              <w:t>3000</w:t>
            </w:r>
          </w:p>
        </w:tc>
        <w:tc>
          <w:tcPr>
            <w:tcW w:w="996" w:type="dxa"/>
            <w:tcBorders>
              <w:top w:val="nil"/>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bCs/>
                <w:color w:val="000000" w:themeColor="text1"/>
                <w:sz w:val="24"/>
                <w:szCs w:val="24"/>
                <w:shd w:val="clear" w:color="auto" w:fill="FFFFFF"/>
                <w:lang w:val="zh-TW"/>
              </w:rPr>
            </w:pPr>
            <w:r w:rsidRPr="00687B52">
              <w:rPr>
                <w:rStyle w:val="9pt"/>
                <w:rFonts w:asciiTheme="minorEastAsia" w:eastAsiaTheme="minorEastAsia" w:hAnsiTheme="minorEastAsia" w:cs="Times New Roman"/>
                <w:bCs/>
                <w:color w:val="000000" w:themeColor="text1"/>
                <w:sz w:val="24"/>
                <w:szCs w:val="24"/>
              </w:rPr>
              <w:t>2000</w:t>
            </w:r>
          </w:p>
        </w:tc>
        <w:tc>
          <w:tcPr>
            <w:tcW w:w="996" w:type="dxa"/>
            <w:tcBorders>
              <w:top w:val="nil"/>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shd w:val="clear" w:color="auto" w:fill="FFFFFF"/>
                <w:lang w:val="zh-TW"/>
              </w:rPr>
            </w:pPr>
            <w:r w:rsidRPr="00687B52">
              <w:rPr>
                <w:rStyle w:val="4pt"/>
                <w:rFonts w:asciiTheme="minorEastAsia" w:eastAsiaTheme="minorEastAsia" w:hAnsiTheme="minorEastAsia" w:cs="Times New Roman"/>
                <w:color w:val="000000" w:themeColor="text1"/>
                <w:sz w:val="24"/>
                <w:szCs w:val="24"/>
                <w:lang w:val="zh-TW"/>
              </w:rPr>
              <w:t>—</w:t>
            </w:r>
          </w:p>
        </w:tc>
        <w:tc>
          <w:tcPr>
            <w:tcW w:w="2345" w:type="dxa"/>
            <w:tcBorders>
              <w:top w:val="nil"/>
            </w:tcBorders>
            <w:shd w:val="clear" w:color="auto" w:fill="FFFFFF"/>
            <w:vAlign w:val="center"/>
          </w:tcPr>
          <w:p w:rsidR="00BF59CF" w:rsidRPr="00687B52" w:rsidRDefault="00BF59CF" w:rsidP="005F5072">
            <w:pPr>
              <w:pStyle w:val="110"/>
              <w:shd w:val="clear" w:color="auto" w:fill="auto"/>
              <w:spacing w:before="0" w:line="240" w:lineRule="auto"/>
              <w:ind w:firstLine="0"/>
              <w:rPr>
                <w:rFonts w:asciiTheme="minorEastAsia" w:eastAsiaTheme="minorEastAsia" w:hAnsiTheme="minorEastAsia" w:cs="Times New Roman"/>
                <w:color w:val="000000" w:themeColor="text1"/>
                <w:sz w:val="24"/>
                <w:szCs w:val="24"/>
                <w:shd w:val="clear" w:color="auto" w:fill="FFFFFF"/>
                <w:lang w:val="zh-TW"/>
              </w:rPr>
            </w:pPr>
            <w:r w:rsidRPr="00687B52">
              <w:rPr>
                <w:rStyle w:val="4pt"/>
                <w:rFonts w:asciiTheme="minorEastAsia" w:eastAsiaTheme="minorEastAsia" w:hAnsiTheme="minorEastAsia" w:cs="Times New Roman"/>
                <w:color w:val="000000" w:themeColor="text1"/>
                <w:sz w:val="24"/>
                <w:szCs w:val="24"/>
                <w:lang w:val="zh-TW"/>
              </w:rPr>
              <w:t>—</w:t>
            </w:r>
          </w:p>
        </w:tc>
      </w:tr>
      <w:tr w:rsidR="00BF59CF" w:rsidRPr="00687B52" w:rsidTr="005F5072">
        <w:tc>
          <w:tcPr>
            <w:tcW w:w="1173" w:type="dxa"/>
            <w:gridSpan w:val="2"/>
            <w:vMerge w:val="restart"/>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丁</w:t>
            </w:r>
          </w:p>
        </w:tc>
        <w:tc>
          <w:tcPr>
            <w:tcW w:w="1133" w:type="dxa"/>
            <w:gridSpan w:val="2"/>
            <w:tcBorders>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—、二级</w:t>
            </w:r>
          </w:p>
        </w:tc>
        <w:tc>
          <w:tcPr>
            <w:tcW w:w="1413" w:type="dxa"/>
            <w:tcBorders>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不限</w:t>
            </w:r>
          </w:p>
        </w:tc>
        <w:tc>
          <w:tcPr>
            <w:tcW w:w="983" w:type="dxa"/>
            <w:tcBorders>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不限</w:t>
            </w:r>
          </w:p>
        </w:tc>
        <w:tc>
          <w:tcPr>
            <w:tcW w:w="996" w:type="dxa"/>
            <w:tcBorders>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不限</w:t>
            </w:r>
          </w:p>
        </w:tc>
        <w:tc>
          <w:tcPr>
            <w:tcW w:w="996" w:type="dxa"/>
            <w:tcBorders>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4000</w:t>
            </w:r>
          </w:p>
        </w:tc>
        <w:tc>
          <w:tcPr>
            <w:tcW w:w="2353" w:type="dxa"/>
            <w:gridSpan w:val="2"/>
            <w:tcBorders>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1000</w:t>
            </w:r>
          </w:p>
        </w:tc>
      </w:tr>
      <w:tr w:rsidR="00BF59CF" w:rsidRPr="00687B52" w:rsidTr="005F5072">
        <w:tc>
          <w:tcPr>
            <w:tcW w:w="1173" w:type="dxa"/>
            <w:gridSpan w:val="2"/>
            <w:vMerge/>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p>
        </w:tc>
        <w:tc>
          <w:tcPr>
            <w:tcW w:w="1133" w:type="dxa"/>
            <w:gridSpan w:val="2"/>
            <w:tcBorders>
              <w:top w:val="nil"/>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三级</w:t>
            </w:r>
          </w:p>
        </w:tc>
        <w:tc>
          <w:tcPr>
            <w:tcW w:w="1413" w:type="dxa"/>
            <w:tcBorders>
              <w:top w:val="nil"/>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3</w:t>
            </w:r>
          </w:p>
        </w:tc>
        <w:tc>
          <w:tcPr>
            <w:tcW w:w="983" w:type="dxa"/>
            <w:tcBorders>
              <w:top w:val="nil"/>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4000</w:t>
            </w:r>
          </w:p>
        </w:tc>
        <w:tc>
          <w:tcPr>
            <w:tcW w:w="996" w:type="dxa"/>
            <w:tcBorders>
              <w:top w:val="nil"/>
              <w:bottom w:val="nil"/>
            </w:tcBorders>
            <w:shd w:val="clear" w:color="auto" w:fill="FFFFFF"/>
            <w:vAlign w:val="center"/>
          </w:tcPr>
          <w:p w:rsidR="00BF59CF" w:rsidRPr="00687B52" w:rsidRDefault="00BF59CF" w:rsidP="005F5072">
            <w:pPr>
              <w:pStyle w:val="110"/>
              <w:shd w:val="clear" w:color="auto" w:fill="auto"/>
              <w:spacing w:before="0" w:line="240" w:lineRule="auto"/>
              <w:ind w:firstLineChars="100" w:firstLine="240"/>
              <w:jc w:val="left"/>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2000</w:t>
            </w:r>
          </w:p>
        </w:tc>
        <w:tc>
          <w:tcPr>
            <w:tcW w:w="996" w:type="dxa"/>
            <w:tcBorders>
              <w:top w:val="nil"/>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w:t>
            </w:r>
          </w:p>
        </w:tc>
        <w:tc>
          <w:tcPr>
            <w:tcW w:w="2353" w:type="dxa"/>
            <w:gridSpan w:val="2"/>
            <w:tcBorders>
              <w:top w:val="nil"/>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w:t>
            </w:r>
          </w:p>
        </w:tc>
      </w:tr>
      <w:tr w:rsidR="00BF59CF" w:rsidRPr="00687B52" w:rsidTr="005F5072">
        <w:tc>
          <w:tcPr>
            <w:tcW w:w="1173" w:type="dxa"/>
            <w:gridSpan w:val="2"/>
            <w:vMerge/>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p>
        </w:tc>
        <w:tc>
          <w:tcPr>
            <w:tcW w:w="1133" w:type="dxa"/>
            <w:gridSpan w:val="2"/>
            <w:tcBorders>
              <w:top w:val="nil"/>
              <w:bottom w:val="single" w:sz="4" w:space="0" w:color="auto"/>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四级</w:t>
            </w:r>
          </w:p>
        </w:tc>
        <w:tc>
          <w:tcPr>
            <w:tcW w:w="1413" w:type="dxa"/>
            <w:tcBorders>
              <w:top w:val="nil"/>
              <w:bottom w:val="single" w:sz="4" w:space="0" w:color="auto"/>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1</w:t>
            </w:r>
          </w:p>
        </w:tc>
        <w:tc>
          <w:tcPr>
            <w:tcW w:w="983" w:type="dxa"/>
            <w:tcBorders>
              <w:top w:val="nil"/>
              <w:bottom w:val="single" w:sz="4" w:space="0" w:color="auto"/>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1000</w:t>
            </w:r>
          </w:p>
        </w:tc>
        <w:tc>
          <w:tcPr>
            <w:tcW w:w="996" w:type="dxa"/>
            <w:tcBorders>
              <w:top w:val="nil"/>
              <w:bottom w:val="single" w:sz="4" w:space="0" w:color="auto"/>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w:t>
            </w:r>
          </w:p>
        </w:tc>
        <w:tc>
          <w:tcPr>
            <w:tcW w:w="996" w:type="dxa"/>
            <w:tcBorders>
              <w:top w:val="nil"/>
              <w:bottom w:val="single" w:sz="4" w:space="0" w:color="auto"/>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w:t>
            </w:r>
          </w:p>
        </w:tc>
        <w:tc>
          <w:tcPr>
            <w:tcW w:w="2353" w:type="dxa"/>
            <w:gridSpan w:val="2"/>
            <w:tcBorders>
              <w:top w:val="nil"/>
              <w:bottom w:val="single" w:sz="4" w:space="0" w:color="auto"/>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w:t>
            </w:r>
          </w:p>
        </w:tc>
      </w:tr>
      <w:tr w:rsidR="00BF59CF" w:rsidRPr="00687B52" w:rsidTr="005F5072">
        <w:tc>
          <w:tcPr>
            <w:tcW w:w="1173" w:type="dxa"/>
            <w:gridSpan w:val="2"/>
            <w:vMerge w:val="restart"/>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戊</w:t>
            </w:r>
          </w:p>
        </w:tc>
        <w:tc>
          <w:tcPr>
            <w:tcW w:w="1133" w:type="dxa"/>
            <w:gridSpan w:val="2"/>
            <w:tcBorders>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hint="eastAsia"/>
                <w:b w:val="0"/>
                <w:color w:val="000000" w:themeColor="text1"/>
                <w:sz w:val="24"/>
              </w:rPr>
              <w:t>一</w:t>
            </w:r>
            <w:r w:rsidRPr="00687B52">
              <w:rPr>
                <w:rStyle w:val="MingLiU"/>
                <w:rFonts w:asciiTheme="minorEastAsia" w:eastAsiaTheme="minorEastAsia" w:hAnsiTheme="minorEastAsia" w:cs="Times New Roman"/>
                <w:b w:val="0"/>
                <w:color w:val="000000" w:themeColor="text1"/>
                <w:sz w:val="24"/>
                <w:szCs w:val="24"/>
              </w:rPr>
              <w:t>、二级</w:t>
            </w:r>
          </w:p>
        </w:tc>
        <w:tc>
          <w:tcPr>
            <w:tcW w:w="1413" w:type="dxa"/>
            <w:tcBorders>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不限</w:t>
            </w:r>
          </w:p>
        </w:tc>
        <w:tc>
          <w:tcPr>
            <w:tcW w:w="983" w:type="dxa"/>
            <w:tcBorders>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不限</w:t>
            </w:r>
          </w:p>
        </w:tc>
        <w:tc>
          <w:tcPr>
            <w:tcW w:w="996" w:type="dxa"/>
            <w:tcBorders>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不限</w:t>
            </w:r>
          </w:p>
        </w:tc>
        <w:tc>
          <w:tcPr>
            <w:tcW w:w="996" w:type="dxa"/>
            <w:tcBorders>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6000</w:t>
            </w:r>
          </w:p>
        </w:tc>
        <w:tc>
          <w:tcPr>
            <w:tcW w:w="2353" w:type="dxa"/>
            <w:gridSpan w:val="2"/>
            <w:tcBorders>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1000</w:t>
            </w:r>
          </w:p>
        </w:tc>
      </w:tr>
      <w:tr w:rsidR="00BF59CF" w:rsidRPr="00687B52" w:rsidTr="005F5072">
        <w:tc>
          <w:tcPr>
            <w:tcW w:w="1173" w:type="dxa"/>
            <w:gridSpan w:val="2"/>
            <w:vMerge/>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p>
        </w:tc>
        <w:tc>
          <w:tcPr>
            <w:tcW w:w="1133" w:type="dxa"/>
            <w:gridSpan w:val="2"/>
            <w:tcBorders>
              <w:top w:val="nil"/>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三级</w:t>
            </w:r>
          </w:p>
        </w:tc>
        <w:tc>
          <w:tcPr>
            <w:tcW w:w="1413" w:type="dxa"/>
            <w:tcBorders>
              <w:top w:val="nil"/>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3</w:t>
            </w:r>
          </w:p>
        </w:tc>
        <w:tc>
          <w:tcPr>
            <w:tcW w:w="983" w:type="dxa"/>
            <w:tcBorders>
              <w:top w:val="nil"/>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5000</w:t>
            </w:r>
          </w:p>
        </w:tc>
        <w:tc>
          <w:tcPr>
            <w:tcW w:w="996" w:type="dxa"/>
            <w:tcBorders>
              <w:top w:val="nil"/>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3000</w:t>
            </w:r>
          </w:p>
        </w:tc>
        <w:tc>
          <w:tcPr>
            <w:tcW w:w="996" w:type="dxa"/>
            <w:tcBorders>
              <w:top w:val="nil"/>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w:t>
            </w:r>
          </w:p>
        </w:tc>
        <w:tc>
          <w:tcPr>
            <w:tcW w:w="2353" w:type="dxa"/>
            <w:gridSpan w:val="2"/>
            <w:tcBorders>
              <w:top w:val="nil"/>
              <w:bottom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w:t>
            </w:r>
          </w:p>
        </w:tc>
      </w:tr>
      <w:tr w:rsidR="00BF59CF" w:rsidRPr="00687B52" w:rsidTr="005F5072">
        <w:tc>
          <w:tcPr>
            <w:tcW w:w="1173" w:type="dxa"/>
            <w:gridSpan w:val="2"/>
            <w:vMerge/>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p>
        </w:tc>
        <w:tc>
          <w:tcPr>
            <w:tcW w:w="1133" w:type="dxa"/>
            <w:gridSpan w:val="2"/>
            <w:tcBorders>
              <w:top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四级</w:t>
            </w:r>
          </w:p>
        </w:tc>
        <w:tc>
          <w:tcPr>
            <w:tcW w:w="1413" w:type="dxa"/>
            <w:tcBorders>
              <w:top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1</w:t>
            </w:r>
          </w:p>
        </w:tc>
        <w:tc>
          <w:tcPr>
            <w:tcW w:w="983" w:type="dxa"/>
            <w:tcBorders>
              <w:top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1500</w:t>
            </w:r>
          </w:p>
        </w:tc>
        <w:tc>
          <w:tcPr>
            <w:tcW w:w="996" w:type="dxa"/>
            <w:tcBorders>
              <w:top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w:t>
            </w:r>
          </w:p>
        </w:tc>
        <w:tc>
          <w:tcPr>
            <w:tcW w:w="996" w:type="dxa"/>
            <w:tcBorders>
              <w:top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w:t>
            </w:r>
          </w:p>
        </w:tc>
        <w:tc>
          <w:tcPr>
            <w:tcW w:w="2353" w:type="dxa"/>
            <w:gridSpan w:val="2"/>
            <w:tcBorders>
              <w:top w:val="nil"/>
            </w:tcBorders>
            <w:shd w:val="clear" w:color="auto" w:fill="FFFFFF"/>
            <w:vAlign w:val="center"/>
          </w:tcPr>
          <w:p w:rsidR="00BF59CF" w:rsidRPr="00687B52" w:rsidRDefault="00BF59CF"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4"/>
                <w:szCs w:val="24"/>
              </w:rPr>
            </w:pPr>
            <w:r w:rsidRPr="00687B52">
              <w:rPr>
                <w:rStyle w:val="MingLiU"/>
                <w:rFonts w:asciiTheme="minorEastAsia" w:eastAsiaTheme="minorEastAsia" w:hAnsiTheme="minorEastAsia" w:cs="Times New Roman"/>
                <w:b w:val="0"/>
                <w:color w:val="000000" w:themeColor="text1"/>
                <w:sz w:val="24"/>
                <w:szCs w:val="24"/>
              </w:rPr>
              <w:t>—</w:t>
            </w:r>
          </w:p>
        </w:tc>
      </w:tr>
    </w:tbl>
    <w:p w:rsidR="00BF59CF" w:rsidRPr="00687B52" w:rsidRDefault="00BF59CF" w:rsidP="00744D22">
      <w:pPr>
        <w:ind w:firstLineChars="150" w:firstLine="360"/>
        <w:rPr>
          <w:rFonts w:ascii="Times New Roman" w:eastAsia="宋体" w:hAnsi="宋体" w:cs="Times New Roman"/>
          <w:b/>
          <w:color w:val="000000" w:themeColor="text1"/>
        </w:rPr>
      </w:pPr>
      <w:r w:rsidRPr="00687B52">
        <w:rPr>
          <w:rStyle w:val="4ArialUnicodeMS"/>
          <w:rFonts w:ascii="Times New Roman" w:eastAsia="宋体" w:hAnsi="Times New Roman" w:cs="Times New Roman"/>
          <w:b w:val="0"/>
          <w:color w:val="000000" w:themeColor="text1"/>
          <w:sz w:val="24"/>
          <w:szCs w:val="24"/>
          <w:lang w:val="zh-TW"/>
        </w:rPr>
        <w:t>注：</w:t>
      </w:r>
    </w:p>
    <w:p w:rsidR="00BF59CF" w:rsidRPr="00687B52" w:rsidRDefault="00BF59CF" w:rsidP="00D9787F">
      <w:pPr>
        <w:pStyle w:val="221"/>
        <w:numPr>
          <w:ilvl w:val="0"/>
          <w:numId w:val="135"/>
        </w:numPr>
        <w:shd w:val="clear" w:color="auto" w:fill="auto"/>
        <w:tabs>
          <w:tab w:val="left" w:pos="851"/>
        </w:tabs>
        <w:spacing w:line="320" w:lineRule="exact"/>
        <w:ind w:leftChars="200" w:left="840" w:hangingChars="200" w:hanging="420"/>
        <w:jc w:val="both"/>
        <w:rPr>
          <w:rFonts w:ascii="Times New Roman" w:eastAsia="宋体" w:hAnsi="宋体" w:cs="Times New Roman"/>
          <w:b w:val="0"/>
          <w:color w:val="000000" w:themeColor="text1"/>
          <w:sz w:val="21"/>
          <w:szCs w:val="21"/>
        </w:rPr>
      </w:pPr>
      <w:r w:rsidRPr="00687B52">
        <w:rPr>
          <w:rFonts w:ascii="Times New Roman" w:eastAsia="宋体" w:hAnsi="宋体" w:cs="Times New Roman"/>
          <w:b w:val="0"/>
          <w:color w:val="000000" w:themeColor="text1"/>
          <w:sz w:val="21"/>
          <w:szCs w:val="21"/>
        </w:rPr>
        <w:t>防火分区之间应采用防火墙分隔。除甲类厂房外的一、二级耐火等级厂房，当其防火分区的建筑面积大于本表规定，且设置防火墙确有困难时，可采用防火卷帘或防火分隔水幕分隔。采用防火卷帘时，应符合本规范第</w:t>
      </w:r>
      <w:r w:rsidRPr="00687B52">
        <w:rPr>
          <w:rFonts w:ascii="Times New Roman" w:eastAsia="宋体" w:hAnsi="宋体" w:cs="Times New Roman"/>
          <w:b w:val="0"/>
          <w:color w:val="000000" w:themeColor="text1"/>
          <w:sz w:val="21"/>
          <w:szCs w:val="21"/>
        </w:rPr>
        <w:t>6.5.3</w:t>
      </w:r>
      <w:r w:rsidRPr="00687B52">
        <w:rPr>
          <w:rFonts w:ascii="Times New Roman" w:eastAsia="宋体" w:hAnsi="宋体" w:cs="Times New Roman"/>
          <w:b w:val="0"/>
          <w:color w:val="000000" w:themeColor="text1"/>
          <w:sz w:val="21"/>
          <w:szCs w:val="21"/>
        </w:rPr>
        <w:t>条的规定；采用防火分隔水幕时，应符合现行国家标准《自动喷水灭火系统设计规范》</w:t>
      </w:r>
      <w:r w:rsidRPr="00687B52">
        <w:rPr>
          <w:rFonts w:ascii="Times New Roman" w:eastAsia="宋体" w:hAnsi="宋体" w:cs="Times New Roman"/>
          <w:b w:val="0"/>
          <w:color w:val="000000" w:themeColor="text1"/>
          <w:sz w:val="21"/>
          <w:szCs w:val="21"/>
        </w:rPr>
        <w:t>GB 50084</w:t>
      </w:r>
      <w:r w:rsidRPr="00687B52">
        <w:rPr>
          <w:rFonts w:ascii="Times New Roman" w:eastAsia="宋体" w:hAnsi="宋体" w:cs="Times New Roman"/>
          <w:b w:val="0"/>
          <w:color w:val="000000" w:themeColor="text1"/>
          <w:sz w:val="21"/>
          <w:szCs w:val="21"/>
        </w:rPr>
        <w:t>的规定。</w:t>
      </w:r>
    </w:p>
    <w:p w:rsidR="00BF59CF" w:rsidRPr="00687B52" w:rsidRDefault="00BF59CF" w:rsidP="00D9787F">
      <w:pPr>
        <w:pStyle w:val="221"/>
        <w:numPr>
          <w:ilvl w:val="0"/>
          <w:numId w:val="135"/>
        </w:numPr>
        <w:shd w:val="clear" w:color="auto" w:fill="auto"/>
        <w:tabs>
          <w:tab w:val="left" w:pos="851"/>
        </w:tabs>
        <w:spacing w:line="320" w:lineRule="exact"/>
        <w:ind w:leftChars="200" w:left="840" w:hangingChars="200" w:hanging="420"/>
        <w:jc w:val="both"/>
        <w:rPr>
          <w:rFonts w:ascii="Times New Roman" w:eastAsia="宋体" w:hAnsi="宋体" w:cs="Times New Roman"/>
          <w:b w:val="0"/>
          <w:color w:val="000000" w:themeColor="text1"/>
          <w:sz w:val="21"/>
          <w:szCs w:val="21"/>
        </w:rPr>
      </w:pPr>
      <w:r w:rsidRPr="00687B52">
        <w:rPr>
          <w:rFonts w:ascii="Times New Roman" w:eastAsia="宋体" w:hAnsi="宋体" w:cs="Times New Roman"/>
          <w:b w:val="0"/>
          <w:color w:val="000000" w:themeColor="text1"/>
          <w:sz w:val="21"/>
          <w:szCs w:val="21"/>
        </w:rPr>
        <w:t>除麻纺厂房外，一级耐火等级的多层纺织厂房和二级耐火等级的单、多层纺织厂房，其每个防火分区的最大允许建筑面积可按本表的规定増加</w:t>
      </w:r>
      <w:r w:rsidRPr="00687B52">
        <w:rPr>
          <w:rFonts w:hAnsi="宋体"/>
          <w:b w:val="0"/>
          <w:color w:val="000000" w:themeColor="text1"/>
          <w:sz w:val="21"/>
          <w:szCs w:val="21"/>
        </w:rPr>
        <w:t>0.5</w:t>
      </w:r>
      <w:r w:rsidRPr="00687B52">
        <w:rPr>
          <w:rFonts w:ascii="Times New Roman" w:eastAsia="宋体" w:hAnsi="宋体" w:cs="Times New Roman"/>
          <w:b w:val="0"/>
          <w:color w:val="000000" w:themeColor="text1"/>
          <w:sz w:val="21"/>
          <w:szCs w:val="21"/>
        </w:rPr>
        <w:t>倍，但厂房内的原棉开包、清花</w:t>
      </w:r>
      <w:r w:rsidRPr="00687B52">
        <w:rPr>
          <w:rFonts w:ascii="Times New Roman" w:eastAsia="宋体" w:hAnsi="宋体" w:cs="Times New Roman"/>
          <w:b w:val="0"/>
          <w:color w:val="000000" w:themeColor="text1"/>
          <w:sz w:val="21"/>
          <w:szCs w:val="21"/>
        </w:rPr>
        <w:t xml:space="preserve"> </w:t>
      </w:r>
      <w:r w:rsidRPr="00687B52">
        <w:rPr>
          <w:rFonts w:ascii="Times New Roman" w:eastAsia="宋体" w:hAnsi="宋体" w:cs="Times New Roman"/>
          <w:b w:val="0"/>
          <w:color w:val="000000" w:themeColor="text1"/>
          <w:sz w:val="21"/>
          <w:szCs w:val="21"/>
        </w:rPr>
        <w:t>车间与厂房内其他部位之间均应采用耐火极限不低于</w:t>
      </w:r>
      <w:r w:rsidRPr="00687B52">
        <w:rPr>
          <w:rFonts w:hAnsi="宋体"/>
          <w:b w:val="0"/>
          <w:color w:val="000000" w:themeColor="text1"/>
          <w:sz w:val="21"/>
          <w:szCs w:val="21"/>
        </w:rPr>
        <w:t>2.50h</w:t>
      </w:r>
      <w:r w:rsidRPr="00687B52">
        <w:rPr>
          <w:rFonts w:ascii="Times New Roman" w:eastAsia="宋体" w:hAnsi="宋体" w:cs="Times New Roman"/>
          <w:b w:val="0"/>
          <w:color w:val="000000" w:themeColor="text1"/>
          <w:sz w:val="21"/>
          <w:szCs w:val="21"/>
        </w:rPr>
        <w:t>的防火隔墙分隔，需要开设门、窗、洞口时，应设置甲级防火门、窗。</w:t>
      </w:r>
    </w:p>
    <w:p w:rsidR="00BF59CF" w:rsidRPr="00687B52" w:rsidRDefault="00BF59CF" w:rsidP="00D9787F">
      <w:pPr>
        <w:pStyle w:val="221"/>
        <w:numPr>
          <w:ilvl w:val="0"/>
          <w:numId w:val="135"/>
        </w:numPr>
        <w:shd w:val="clear" w:color="auto" w:fill="auto"/>
        <w:tabs>
          <w:tab w:val="left" w:pos="851"/>
        </w:tabs>
        <w:spacing w:line="320" w:lineRule="exact"/>
        <w:ind w:leftChars="200" w:left="840" w:hangingChars="200" w:hanging="420"/>
        <w:jc w:val="both"/>
        <w:rPr>
          <w:rFonts w:ascii="Times New Roman" w:eastAsia="宋体" w:hAnsi="Times New Roman" w:cs="Times New Roman"/>
          <w:b w:val="0"/>
          <w:color w:val="000000" w:themeColor="text1"/>
          <w:sz w:val="21"/>
          <w:szCs w:val="21"/>
        </w:rPr>
      </w:pPr>
      <w:r w:rsidRPr="00687B52">
        <w:rPr>
          <w:rFonts w:ascii="Times New Roman" w:eastAsia="宋体" w:hAnsi="宋体" w:cs="Times New Roman"/>
          <w:b w:val="0"/>
          <w:color w:val="000000" w:themeColor="text1"/>
          <w:sz w:val="21"/>
          <w:szCs w:val="21"/>
        </w:rPr>
        <w:t>一、二级耐火等级的单、多层造纸生产联合厂房，其每个防火分区的最大允许建筑面积可按本表的规定增加</w:t>
      </w:r>
      <w:r w:rsidRPr="00687B52">
        <w:rPr>
          <w:rStyle w:val="4ArialUnicodeMS"/>
          <w:rFonts w:ascii="Times New Roman" w:eastAsia="宋体" w:hAnsi="Times New Roman" w:cs="Times New Roman"/>
          <w:color w:val="000000" w:themeColor="text1"/>
          <w:sz w:val="21"/>
          <w:szCs w:val="21"/>
        </w:rPr>
        <w:t>1.5</w:t>
      </w:r>
      <w:r w:rsidRPr="00687B52">
        <w:rPr>
          <w:rFonts w:ascii="Times New Roman" w:eastAsia="宋体" w:hAnsi="宋体" w:cs="Times New Roman"/>
          <w:b w:val="0"/>
          <w:color w:val="000000" w:themeColor="text1"/>
          <w:sz w:val="21"/>
          <w:szCs w:val="21"/>
        </w:rPr>
        <w:t>倍。一、二级耐火等级的湿式造纸联合厂房，当纸机烘缸罩内设置自动灭火系统，完成工段设置有效灭火设施保护时，其每个防火分区的最大允许建筑面积可按工艺要求确定。</w:t>
      </w:r>
    </w:p>
    <w:p w:rsidR="00BF59CF" w:rsidRPr="00687B52" w:rsidRDefault="00BF59CF" w:rsidP="00D9787F">
      <w:pPr>
        <w:pStyle w:val="221"/>
        <w:numPr>
          <w:ilvl w:val="0"/>
          <w:numId w:val="135"/>
        </w:numPr>
        <w:shd w:val="clear" w:color="auto" w:fill="auto"/>
        <w:tabs>
          <w:tab w:val="left" w:pos="848"/>
        </w:tabs>
        <w:spacing w:line="320" w:lineRule="exact"/>
        <w:ind w:leftChars="200" w:left="840" w:hangingChars="200" w:hanging="420"/>
        <w:jc w:val="both"/>
        <w:rPr>
          <w:rFonts w:ascii="Times New Roman" w:eastAsia="宋体" w:hAnsi="Times New Roman" w:cs="Times New Roman"/>
          <w:b w:val="0"/>
          <w:color w:val="000000" w:themeColor="text1"/>
          <w:sz w:val="21"/>
          <w:szCs w:val="21"/>
        </w:rPr>
      </w:pPr>
      <w:r w:rsidRPr="00687B52">
        <w:rPr>
          <w:rStyle w:val="4ArialUnicodeMS"/>
          <w:rFonts w:ascii="Times New Roman" w:eastAsia="宋体" w:hAnsi="宋体" w:cs="Times New Roman"/>
          <w:color w:val="000000" w:themeColor="text1"/>
          <w:sz w:val="21"/>
          <w:szCs w:val="21"/>
        </w:rPr>
        <w:t>一、</w:t>
      </w:r>
      <w:r w:rsidRPr="00687B52">
        <w:rPr>
          <w:rFonts w:ascii="Times New Roman" w:eastAsia="宋体" w:hAnsi="宋体" w:cs="Times New Roman"/>
          <w:b w:val="0"/>
          <w:color w:val="000000" w:themeColor="text1"/>
          <w:sz w:val="21"/>
          <w:szCs w:val="21"/>
        </w:rPr>
        <w:t>二级耐火等级的谷物筒仓工作塔，当每层工作人数不超过</w:t>
      </w:r>
      <w:r w:rsidRPr="00687B52">
        <w:rPr>
          <w:rStyle w:val="4ArialUnicodeMS"/>
          <w:rFonts w:ascii="Times New Roman" w:eastAsia="宋体" w:hAnsi="Times New Roman" w:cs="Times New Roman"/>
          <w:color w:val="000000" w:themeColor="text1"/>
          <w:sz w:val="21"/>
          <w:szCs w:val="21"/>
          <w:lang w:val="zh-TW"/>
        </w:rPr>
        <w:t>2</w:t>
      </w:r>
      <w:r w:rsidRPr="00687B52">
        <w:rPr>
          <w:rFonts w:ascii="Times New Roman" w:eastAsia="宋体" w:hAnsi="宋体" w:cs="Times New Roman"/>
          <w:b w:val="0"/>
          <w:color w:val="000000" w:themeColor="text1"/>
          <w:sz w:val="21"/>
          <w:szCs w:val="21"/>
        </w:rPr>
        <w:t>人时，其层数不限。</w:t>
      </w:r>
    </w:p>
    <w:p w:rsidR="00BF59CF" w:rsidRPr="00687B52" w:rsidRDefault="00BF59CF" w:rsidP="00D9787F">
      <w:pPr>
        <w:pStyle w:val="221"/>
        <w:numPr>
          <w:ilvl w:val="0"/>
          <w:numId w:val="135"/>
        </w:numPr>
        <w:shd w:val="clear" w:color="auto" w:fill="auto"/>
        <w:tabs>
          <w:tab w:val="left" w:pos="851"/>
        </w:tabs>
        <w:spacing w:line="320" w:lineRule="exact"/>
        <w:ind w:leftChars="200" w:left="840" w:hangingChars="200" w:hanging="420"/>
        <w:jc w:val="both"/>
        <w:rPr>
          <w:rFonts w:ascii="Times New Roman" w:eastAsia="宋体" w:hAnsi="Times New Roman" w:cs="Times New Roman"/>
          <w:b w:val="0"/>
          <w:color w:val="000000" w:themeColor="text1"/>
          <w:sz w:val="21"/>
          <w:szCs w:val="21"/>
        </w:rPr>
      </w:pPr>
      <w:r w:rsidRPr="00687B52">
        <w:rPr>
          <w:rStyle w:val="4ArialUnicodeMS"/>
          <w:rFonts w:ascii="Times New Roman" w:eastAsia="宋体" w:hAnsi="Times New Roman" w:cs="Times New Roman"/>
          <w:color w:val="000000" w:themeColor="text1"/>
          <w:sz w:val="21"/>
          <w:szCs w:val="21"/>
        </w:rPr>
        <w:t>—</w:t>
      </w:r>
      <w:r w:rsidRPr="00687B52">
        <w:rPr>
          <w:rFonts w:ascii="Times New Roman" w:eastAsia="宋体" w:hAnsi="宋体" w:cs="Times New Roman"/>
          <w:b w:val="0"/>
          <w:color w:val="000000" w:themeColor="text1"/>
          <w:sz w:val="21"/>
          <w:szCs w:val="21"/>
        </w:rPr>
        <w:t>、二级耐火等级卷烟生产联合厂房内的原料、备料及成组配方、制丝、储丝和卷接包、辅料周转、成品暂存、二氧化碳膨胀烟丝等生产用房应划分独立的防火分隔单元，当工艺条件许可时，应采用防火墙进行分隔。其中制丝、储丝和卷接包车间可划分为一个防火分区，且每个防火分区的最大允许建筑面积可按工艺要求确定，但制丝、储丝及卷接包车间</w:t>
      </w:r>
      <w:r w:rsidRPr="00687B52">
        <w:rPr>
          <w:rFonts w:ascii="Times New Roman" w:eastAsia="宋体" w:hAnsi="Times New Roman" w:cs="Times New Roman"/>
          <w:b w:val="0"/>
          <w:color w:val="000000" w:themeColor="text1"/>
          <w:sz w:val="21"/>
          <w:szCs w:val="21"/>
        </w:rPr>
        <w:t xml:space="preserve"> </w:t>
      </w:r>
      <w:r w:rsidRPr="00687B52">
        <w:rPr>
          <w:rFonts w:ascii="Times New Roman" w:eastAsia="宋体" w:hAnsi="宋体" w:cs="Times New Roman"/>
          <w:b w:val="0"/>
          <w:color w:val="000000" w:themeColor="text1"/>
          <w:sz w:val="21"/>
          <w:szCs w:val="21"/>
        </w:rPr>
        <w:t>之间应采用耐火极限不低于</w:t>
      </w:r>
      <w:r w:rsidRPr="00687B52">
        <w:rPr>
          <w:rStyle w:val="4ArialUnicodeMS"/>
          <w:rFonts w:ascii="Times New Roman" w:eastAsia="宋体" w:hAnsi="Times New Roman" w:cs="Times New Roman"/>
          <w:color w:val="000000" w:themeColor="text1"/>
          <w:sz w:val="21"/>
          <w:szCs w:val="21"/>
        </w:rPr>
        <w:t>2.00h</w:t>
      </w:r>
      <w:r w:rsidRPr="00687B52">
        <w:rPr>
          <w:rFonts w:ascii="Times New Roman" w:eastAsia="宋体" w:hAnsi="宋体" w:cs="Times New Roman"/>
          <w:b w:val="0"/>
          <w:color w:val="000000" w:themeColor="text1"/>
          <w:sz w:val="21"/>
          <w:szCs w:val="21"/>
        </w:rPr>
        <w:t>的防火隔墙和</w:t>
      </w:r>
      <w:r w:rsidRPr="00687B52">
        <w:rPr>
          <w:rStyle w:val="4ArialUnicodeMS"/>
          <w:rFonts w:ascii="Times New Roman" w:eastAsia="宋体" w:hAnsi="Times New Roman" w:cs="Times New Roman"/>
          <w:color w:val="000000" w:themeColor="text1"/>
          <w:sz w:val="21"/>
          <w:szCs w:val="21"/>
        </w:rPr>
        <w:t>I00h</w:t>
      </w:r>
      <w:r w:rsidRPr="00687B52">
        <w:rPr>
          <w:rFonts w:ascii="Times New Roman" w:eastAsia="宋体" w:hAnsi="宋体" w:cs="Times New Roman"/>
          <w:b w:val="0"/>
          <w:color w:val="000000" w:themeColor="text1"/>
          <w:sz w:val="21"/>
          <w:szCs w:val="21"/>
        </w:rPr>
        <w:t>的楼板进行分隔。厂房内各水平和竖向防火分隔之间的开口应采取防止火灾蔓延的措施。</w:t>
      </w:r>
    </w:p>
    <w:p w:rsidR="00BF59CF" w:rsidRPr="00687B52" w:rsidRDefault="00BF59CF" w:rsidP="00D9787F">
      <w:pPr>
        <w:pStyle w:val="221"/>
        <w:numPr>
          <w:ilvl w:val="0"/>
          <w:numId w:val="135"/>
        </w:numPr>
        <w:shd w:val="clear" w:color="auto" w:fill="auto"/>
        <w:tabs>
          <w:tab w:val="left" w:pos="851"/>
        </w:tabs>
        <w:spacing w:line="320" w:lineRule="exact"/>
        <w:ind w:leftChars="200" w:left="840" w:hangingChars="200" w:hanging="420"/>
        <w:jc w:val="both"/>
        <w:rPr>
          <w:rStyle w:val="4ArialUnicodeMS"/>
          <w:rFonts w:ascii="Times New Roman" w:eastAsia="宋体" w:hAnsi="Times New Roman" w:cs="Times New Roman"/>
          <w:color w:val="000000" w:themeColor="text1"/>
          <w:sz w:val="21"/>
          <w:szCs w:val="21"/>
        </w:rPr>
      </w:pPr>
      <w:r w:rsidRPr="00687B52">
        <w:rPr>
          <w:rStyle w:val="4ArialUnicodeMS"/>
          <w:rFonts w:ascii="Times New Roman" w:eastAsia="宋体" w:hAnsi="Times New Roman" w:cs="Times New Roman"/>
          <w:color w:val="000000" w:themeColor="text1"/>
          <w:sz w:val="21"/>
          <w:szCs w:val="21"/>
        </w:rPr>
        <w:t>厂房内的操作平台、检修平台，当使用人数少于</w:t>
      </w:r>
      <w:r w:rsidRPr="00687B52">
        <w:rPr>
          <w:rStyle w:val="4ArialUnicodeMS"/>
          <w:rFonts w:ascii="Times New Roman" w:eastAsia="宋体" w:hAnsi="Times New Roman" w:cs="Times New Roman"/>
          <w:color w:val="000000" w:themeColor="text1"/>
          <w:sz w:val="21"/>
          <w:szCs w:val="21"/>
        </w:rPr>
        <w:t>10</w:t>
      </w:r>
      <w:r w:rsidRPr="00687B52">
        <w:rPr>
          <w:rStyle w:val="4ArialUnicodeMS"/>
          <w:rFonts w:ascii="Times New Roman" w:eastAsia="宋体" w:hAnsi="Times New Roman" w:cs="Times New Roman"/>
          <w:color w:val="000000" w:themeColor="text1"/>
          <w:sz w:val="21"/>
          <w:szCs w:val="21"/>
        </w:rPr>
        <w:t>人时，平台的面积可不计入所在防火分</w:t>
      </w:r>
      <w:r w:rsidRPr="00687B52">
        <w:rPr>
          <w:rStyle w:val="4ArialUnicodeMS"/>
          <w:rFonts w:ascii="Times New Roman" w:eastAsia="宋体" w:hAnsi="Times New Roman" w:cs="Times New Roman"/>
          <w:color w:val="000000" w:themeColor="text1"/>
          <w:sz w:val="21"/>
          <w:szCs w:val="21"/>
        </w:rPr>
        <w:t xml:space="preserve"> </w:t>
      </w:r>
      <w:r w:rsidRPr="00687B52">
        <w:rPr>
          <w:rStyle w:val="4ArialUnicodeMS"/>
          <w:rFonts w:ascii="Times New Roman" w:eastAsia="宋体" w:hAnsi="Times New Roman" w:cs="Times New Roman"/>
          <w:color w:val="000000" w:themeColor="text1"/>
          <w:sz w:val="21"/>
          <w:szCs w:val="21"/>
        </w:rPr>
        <w:t>区的建筑面积内。</w:t>
      </w:r>
    </w:p>
    <w:p w:rsidR="00BF59CF" w:rsidRPr="00687B52" w:rsidRDefault="00BF59CF" w:rsidP="00D9787F">
      <w:pPr>
        <w:pStyle w:val="221"/>
        <w:numPr>
          <w:ilvl w:val="0"/>
          <w:numId w:val="135"/>
        </w:numPr>
        <w:shd w:val="clear" w:color="auto" w:fill="auto"/>
        <w:tabs>
          <w:tab w:val="left" w:pos="851"/>
        </w:tabs>
        <w:spacing w:line="320" w:lineRule="exact"/>
        <w:ind w:leftChars="200" w:left="840" w:hangingChars="200" w:hanging="420"/>
        <w:jc w:val="both"/>
        <w:rPr>
          <w:rFonts w:ascii="Times New Roman" w:eastAsia="宋体" w:hAnsi="Times New Roman" w:cs="Times New Roman"/>
          <w:b w:val="0"/>
          <w:color w:val="000000" w:themeColor="text1"/>
          <w:sz w:val="21"/>
          <w:szCs w:val="21"/>
          <w:shd w:val="clear" w:color="auto" w:fill="FFFFFF"/>
        </w:rPr>
      </w:pPr>
      <w:r w:rsidRPr="00687B52">
        <w:rPr>
          <w:rStyle w:val="4ArialUnicodeMS"/>
          <w:rFonts w:ascii="Times New Roman" w:eastAsia="宋体" w:hAnsi="Times New Roman" w:cs="Times New Roman"/>
          <w:color w:val="000000" w:themeColor="text1"/>
          <w:sz w:val="21"/>
          <w:szCs w:val="21"/>
        </w:rPr>
        <w:t>“</w:t>
      </w:r>
      <w:r w:rsidRPr="00687B52">
        <w:rPr>
          <w:rStyle w:val="4ArialUnicodeMS"/>
          <w:rFonts w:ascii="Times New Roman" w:eastAsia="宋体" w:hAnsi="Times New Roman" w:cs="Times New Roman"/>
          <w:color w:val="000000" w:themeColor="text1"/>
          <w:sz w:val="21"/>
          <w:szCs w:val="21"/>
        </w:rPr>
        <w:t>一</w:t>
      </w:r>
      <w:r w:rsidRPr="00687B52">
        <w:rPr>
          <w:rStyle w:val="4ArialUnicodeMS"/>
          <w:rFonts w:ascii="Times New Roman" w:eastAsia="宋体" w:hAnsi="Times New Roman" w:cs="Times New Roman"/>
          <w:color w:val="000000" w:themeColor="text1"/>
          <w:sz w:val="21"/>
          <w:szCs w:val="21"/>
        </w:rPr>
        <w:t>”</w:t>
      </w:r>
      <w:r w:rsidRPr="00687B52">
        <w:rPr>
          <w:rStyle w:val="4ArialUnicodeMS"/>
          <w:rFonts w:ascii="Times New Roman" w:eastAsia="宋体" w:hAnsi="Times New Roman" w:cs="Times New Roman"/>
          <w:color w:val="000000" w:themeColor="text1"/>
          <w:sz w:val="21"/>
          <w:szCs w:val="21"/>
        </w:rPr>
        <w:t>表示不允许。</w:t>
      </w:r>
    </w:p>
    <w:p w:rsidR="00481EDB" w:rsidRPr="00687B52" w:rsidRDefault="00481EDB" w:rsidP="00856B6C">
      <w:pPr>
        <w:pStyle w:val="afd"/>
        <w:rPr>
          <w:color w:val="000000" w:themeColor="text1"/>
        </w:rPr>
      </w:pPr>
      <w:bookmarkStart w:id="403" w:name="_Toc491870863"/>
      <w:bookmarkStart w:id="404" w:name="_Toc492563517"/>
      <w:bookmarkStart w:id="405" w:name="_Toc493857122"/>
      <w:r w:rsidRPr="00687B52">
        <w:rPr>
          <w:rFonts w:hint="eastAsia"/>
          <w:color w:val="000000" w:themeColor="text1"/>
        </w:rPr>
        <w:t>表</w:t>
      </w:r>
      <w:r w:rsidRPr="00687B52">
        <w:rPr>
          <w:rFonts w:hint="eastAsia"/>
          <w:color w:val="000000" w:themeColor="text1"/>
        </w:rPr>
        <w:t xml:space="preserve">3.3.2 </w:t>
      </w:r>
      <w:r w:rsidRPr="00687B52">
        <w:rPr>
          <w:rFonts w:hint="eastAsia"/>
          <w:color w:val="000000" w:themeColor="text1"/>
        </w:rPr>
        <w:t>仓库的层数和面积</w:t>
      </w:r>
      <w:bookmarkEnd w:id="403"/>
      <w:bookmarkEnd w:id="404"/>
      <w:bookmarkEnd w:id="4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9"/>
        <w:gridCol w:w="1406"/>
        <w:gridCol w:w="995"/>
        <w:gridCol w:w="612"/>
        <w:gridCol w:w="637"/>
        <w:gridCol w:w="650"/>
        <w:gridCol w:w="736"/>
        <w:gridCol w:w="640"/>
        <w:gridCol w:w="736"/>
        <w:gridCol w:w="651"/>
        <w:gridCol w:w="1514"/>
      </w:tblGrid>
      <w:tr w:rsidR="002734B9" w:rsidRPr="00687B52" w:rsidTr="002734B9">
        <w:tc>
          <w:tcPr>
            <w:tcW w:w="1035" w:type="pct"/>
            <w:gridSpan w:val="2"/>
            <w:vMerge w:val="restar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储存物品的火灾危险性类别</w:t>
            </w:r>
          </w:p>
        </w:tc>
        <w:tc>
          <w:tcPr>
            <w:tcW w:w="550" w:type="pct"/>
            <w:vMerge w:val="restar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仓库的耐火等级</w:t>
            </w:r>
          </w:p>
        </w:tc>
        <w:tc>
          <w:tcPr>
            <w:tcW w:w="338" w:type="pct"/>
            <w:vMerge w:val="restar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hint="eastAsia"/>
                <w:color w:val="000000" w:themeColor="text1"/>
              </w:rPr>
              <w:t>最</w:t>
            </w:r>
            <w:r w:rsidRPr="00687B52">
              <w:rPr>
                <w:rStyle w:val="MingLiU"/>
                <w:rFonts w:ascii="Times New Roman" w:eastAsia="宋体" w:hAnsi="宋体" w:cs="Times New Roman"/>
                <w:b w:val="0"/>
                <w:color w:val="000000" w:themeColor="text1"/>
                <w:sz w:val="21"/>
                <w:szCs w:val="21"/>
              </w:rPr>
              <w:t>多</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允许</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层数</w:t>
            </w:r>
          </w:p>
        </w:tc>
        <w:tc>
          <w:tcPr>
            <w:tcW w:w="3077" w:type="pct"/>
            <w:gridSpan w:val="7"/>
            <w:shd w:val="clear" w:color="auto" w:fill="FFFFFF"/>
            <w:vAlign w:val="center"/>
          </w:tcPr>
          <w:p w:rsidR="002734B9" w:rsidRPr="00687B52" w:rsidRDefault="002734B9" w:rsidP="005F5072">
            <w:pPr>
              <w:pStyle w:val="110"/>
              <w:shd w:val="clear" w:color="auto" w:fill="auto"/>
              <w:spacing w:before="0" w:line="240" w:lineRule="auto"/>
              <w:ind w:firstLine="0"/>
              <w:rPr>
                <w:rStyle w:val="SimSun"/>
                <w:rFonts w:ascii="Times New Roman" w:hAnsi="Times New Roman" w:cs="Times New Roman"/>
                <w:color w:val="000000" w:themeColor="text1"/>
              </w:rPr>
            </w:pPr>
            <w:r w:rsidRPr="00687B52">
              <w:rPr>
                <w:rStyle w:val="SimSun"/>
                <w:rFonts w:ascii="Times New Roman" w:cs="Times New Roman"/>
                <w:color w:val="000000" w:themeColor="text1"/>
              </w:rPr>
              <w:t>每座仓库的最大允许占地面积和</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每个防火分区的最大允许建筑面积</w:t>
            </w:r>
            <w:r w:rsidRPr="00687B52">
              <w:rPr>
                <w:rStyle w:val="SimSun"/>
                <w:rFonts w:ascii="Times New Roman" w:cs="Times New Roman" w:hint="eastAsia"/>
                <w:color w:val="000000" w:themeColor="text1"/>
              </w:rPr>
              <w:t>（</w:t>
            </w:r>
            <w:r w:rsidRPr="00687B52">
              <w:rPr>
                <w:rStyle w:val="9pt"/>
                <w:rFonts w:ascii="Times New Roman" w:eastAsia="宋体" w:hAnsi="Times New Roman" w:cs="Times New Roman"/>
                <w:color w:val="000000" w:themeColor="text1"/>
                <w:sz w:val="21"/>
                <w:szCs w:val="21"/>
              </w:rPr>
              <w:t>m</w:t>
            </w:r>
            <w:r w:rsidRPr="00687B52">
              <w:rPr>
                <w:rStyle w:val="9pt"/>
                <w:rFonts w:ascii="Times New Roman" w:eastAsia="宋体" w:hAnsi="Times New Roman" w:cs="Times New Roman"/>
                <w:color w:val="000000" w:themeColor="text1"/>
                <w:sz w:val="21"/>
                <w:szCs w:val="21"/>
                <w:vertAlign w:val="superscript"/>
              </w:rPr>
              <w:t>2</w:t>
            </w:r>
            <w:r w:rsidRPr="00687B52">
              <w:rPr>
                <w:rStyle w:val="SimSun"/>
                <w:rFonts w:ascii="Times New Roman" w:cs="Times New Roman" w:hint="eastAsia"/>
                <w:color w:val="000000" w:themeColor="text1"/>
              </w:rPr>
              <w:t>）</w:t>
            </w:r>
          </w:p>
        </w:tc>
      </w:tr>
      <w:tr w:rsidR="002734B9" w:rsidRPr="00687B52" w:rsidTr="002734B9">
        <w:tc>
          <w:tcPr>
            <w:tcW w:w="1035" w:type="pct"/>
            <w:gridSpan w:val="2"/>
            <w:vMerge/>
            <w:shd w:val="clear" w:color="auto" w:fill="FFFFFF"/>
            <w:vAlign w:val="center"/>
          </w:tcPr>
          <w:p w:rsidR="002734B9" w:rsidRPr="00687B52" w:rsidRDefault="002734B9" w:rsidP="005F5072">
            <w:pPr>
              <w:jc w:val="center"/>
              <w:rPr>
                <w:rFonts w:ascii="Times New Roman" w:eastAsia="宋体" w:hAnsi="Times New Roman" w:cs="Times New Roman"/>
                <w:color w:val="000000" w:themeColor="text1"/>
                <w:szCs w:val="21"/>
              </w:rPr>
            </w:pPr>
          </w:p>
        </w:tc>
        <w:tc>
          <w:tcPr>
            <w:tcW w:w="550" w:type="pct"/>
            <w:vMerge/>
            <w:shd w:val="clear" w:color="auto" w:fill="FFFFFF"/>
            <w:vAlign w:val="center"/>
          </w:tcPr>
          <w:p w:rsidR="002734B9" w:rsidRPr="00687B52" w:rsidRDefault="002734B9" w:rsidP="005F5072">
            <w:pPr>
              <w:jc w:val="center"/>
              <w:rPr>
                <w:rFonts w:ascii="Times New Roman" w:eastAsia="宋体" w:hAnsi="Times New Roman" w:cs="Times New Roman"/>
                <w:color w:val="000000" w:themeColor="text1"/>
                <w:szCs w:val="21"/>
              </w:rPr>
            </w:pPr>
          </w:p>
        </w:tc>
        <w:tc>
          <w:tcPr>
            <w:tcW w:w="338" w:type="pct"/>
            <w:vMerge/>
            <w:shd w:val="clear" w:color="auto" w:fill="FFFFFF"/>
            <w:vAlign w:val="center"/>
          </w:tcPr>
          <w:p w:rsidR="002734B9" w:rsidRPr="00687B52" w:rsidRDefault="002734B9" w:rsidP="005F5072">
            <w:pPr>
              <w:jc w:val="center"/>
              <w:rPr>
                <w:rFonts w:ascii="Times New Roman" w:eastAsia="宋体" w:hAnsi="Times New Roman" w:cs="Times New Roman"/>
                <w:color w:val="000000" w:themeColor="text1"/>
                <w:szCs w:val="21"/>
              </w:rPr>
            </w:pPr>
          </w:p>
        </w:tc>
        <w:tc>
          <w:tcPr>
            <w:tcW w:w="710" w:type="pct"/>
            <w:gridSpan w:val="2"/>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单层仓库</w:t>
            </w:r>
          </w:p>
        </w:tc>
        <w:tc>
          <w:tcPr>
            <w:tcW w:w="761" w:type="pct"/>
            <w:gridSpan w:val="2"/>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多层仓库</w:t>
            </w:r>
          </w:p>
        </w:tc>
        <w:tc>
          <w:tcPr>
            <w:tcW w:w="767" w:type="pct"/>
            <w:gridSpan w:val="2"/>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高层仓库</w:t>
            </w:r>
          </w:p>
        </w:tc>
        <w:tc>
          <w:tcPr>
            <w:tcW w:w="840"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imes New Roman" w:eastAsia="宋体" w:hAnsi="宋体" w:cs="Times New Roman"/>
                <w:b w:val="0"/>
                <w:color w:val="000000" w:themeColor="text1"/>
                <w:sz w:val="21"/>
                <w:szCs w:val="21"/>
              </w:rPr>
              <w:t>地下或半地下仓库（包括地下或半地下室）</w:t>
            </w:r>
          </w:p>
        </w:tc>
      </w:tr>
      <w:tr w:rsidR="002734B9" w:rsidRPr="00687B52" w:rsidTr="002734B9">
        <w:tc>
          <w:tcPr>
            <w:tcW w:w="1035" w:type="pct"/>
            <w:gridSpan w:val="2"/>
            <w:vMerge/>
            <w:shd w:val="clear" w:color="auto" w:fill="FFFFFF"/>
            <w:vAlign w:val="center"/>
          </w:tcPr>
          <w:p w:rsidR="002734B9" w:rsidRPr="00687B52" w:rsidRDefault="002734B9" w:rsidP="005F5072">
            <w:pPr>
              <w:jc w:val="center"/>
              <w:rPr>
                <w:rFonts w:ascii="Times New Roman" w:eastAsia="宋体" w:hAnsi="Times New Roman" w:cs="Times New Roman"/>
                <w:color w:val="000000" w:themeColor="text1"/>
                <w:szCs w:val="21"/>
              </w:rPr>
            </w:pPr>
          </w:p>
        </w:tc>
        <w:tc>
          <w:tcPr>
            <w:tcW w:w="550" w:type="pct"/>
            <w:vMerge/>
            <w:shd w:val="clear" w:color="auto" w:fill="FFFFFF"/>
            <w:vAlign w:val="center"/>
          </w:tcPr>
          <w:p w:rsidR="002734B9" w:rsidRPr="00687B52" w:rsidRDefault="002734B9" w:rsidP="005F5072">
            <w:pPr>
              <w:jc w:val="center"/>
              <w:rPr>
                <w:rFonts w:ascii="Times New Roman" w:eastAsia="宋体" w:hAnsi="Times New Roman" w:cs="Times New Roman"/>
                <w:color w:val="000000" w:themeColor="text1"/>
                <w:szCs w:val="21"/>
              </w:rPr>
            </w:pPr>
          </w:p>
        </w:tc>
        <w:tc>
          <w:tcPr>
            <w:tcW w:w="338" w:type="pct"/>
            <w:vMerge/>
            <w:shd w:val="clear" w:color="auto" w:fill="FFFFFF"/>
            <w:vAlign w:val="center"/>
          </w:tcPr>
          <w:p w:rsidR="002734B9" w:rsidRPr="00687B52" w:rsidRDefault="002734B9" w:rsidP="005F5072">
            <w:pPr>
              <w:jc w:val="center"/>
              <w:rPr>
                <w:rFonts w:ascii="Times New Roman" w:eastAsia="宋体" w:hAnsi="Times New Roman" w:cs="Times New Roman"/>
                <w:color w:val="000000" w:themeColor="text1"/>
                <w:szCs w:val="21"/>
              </w:rPr>
            </w:pPr>
          </w:p>
        </w:tc>
        <w:tc>
          <w:tcPr>
            <w:tcW w:w="352"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每座</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仓库</w:t>
            </w:r>
          </w:p>
        </w:tc>
        <w:tc>
          <w:tcPr>
            <w:tcW w:w="359"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防火</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分区</w:t>
            </w:r>
          </w:p>
        </w:tc>
        <w:tc>
          <w:tcPr>
            <w:tcW w:w="407"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每座</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仓库</w:t>
            </w:r>
          </w:p>
        </w:tc>
        <w:tc>
          <w:tcPr>
            <w:tcW w:w="354"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防火</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分区</w:t>
            </w:r>
          </w:p>
        </w:tc>
        <w:tc>
          <w:tcPr>
            <w:tcW w:w="407"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每座</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仓库</w:t>
            </w:r>
          </w:p>
        </w:tc>
        <w:tc>
          <w:tcPr>
            <w:tcW w:w="359"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防火</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分区</w:t>
            </w:r>
          </w:p>
        </w:tc>
        <w:tc>
          <w:tcPr>
            <w:tcW w:w="840"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防火</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分区</w:t>
            </w:r>
          </w:p>
        </w:tc>
      </w:tr>
      <w:tr w:rsidR="002734B9" w:rsidRPr="00687B52" w:rsidTr="002734B9">
        <w:tc>
          <w:tcPr>
            <w:tcW w:w="259"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hint="eastAsia"/>
                <w:color w:val="000000" w:themeColor="text1"/>
              </w:rPr>
              <w:t>甲</w:t>
            </w:r>
          </w:p>
        </w:tc>
        <w:tc>
          <w:tcPr>
            <w:tcW w:w="777" w:type="pct"/>
            <w:shd w:val="clear" w:color="auto" w:fill="FFFFFF"/>
            <w:vAlign w:val="center"/>
          </w:tcPr>
          <w:p w:rsidR="002734B9" w:rsidRPr="00687B52" w:rsidRDefault="002734B9" w:rsidP="005F5072">
            <w:pPr>
              <w:pStyle w:val="110"/>
              <w:shd w:val="clear" w:color="auto" w:fill="auto"/>
              <w:spacing w:before="0" w:line="240" w:lineRule="auto"/>
              <w:ind w:firstLine="0"/>
              <w:rPr>
                <w:rStyle w:val="SimSun"/>
                <w:rFonts w:ascii="Times New Roman" w:cs="Times New Roman"/>
                <w:color w:val="000000" w:themeColor="text1"/>
              </w:rPr>
            </w:pPr>
            <w:r w:rsidRPr="00687B52">
              <w:rPr>
                <w:rStyle w:val="9pt"/>
                <w:rFonts w:ascii="Times New Roman" w:eastAsia="宋体" w:hAnsi="Times New Roman" w:cs="Times New Roman"/>
                <w:color w:val="000000" w:themeColor="text1"/>
                <w:sz w:val="21"/>
                <w:szCs w:val="21"/>
              </w:rPr>
              <w:t>3</w:t>
            </w:r>
            <w:r w:rsidRPr="00687B52">
              <w:rPr>
                <w:rStyle w:val="SimSun"/>
                <w:rFonts w:ascii="Times New Roman" w:cs="Times New Roman"/>
                <w:color w:val="000000" w:themeColor="text1"/>
              </w:rPr>
              <w:t>、</w:t>
            </w:r>
            <w:r w:rsidRPr="00687B52">
              <w:rPr>
                <w:rStyle w:val="9pt"/>
                <w:rFonts w:ascii="Times New Roman" w:eastAsia="宋体" w:hAnsi="Times New Roman" w:cs="Times New Roman"/>
                <w:color w:val="000000" w:themeColor="text1"/>
                <w:sz w:val="21"/>
                <w:szCs w:val="21"/>
              </w:rPr>
              <w:t>4</w:t>
            </w:r>
            <w:r w:rsidRPr="00687B52">
              <w:rPr>
                <w:rStyle w:val="SimSun"/>
                <w:rFonts w:ascii="Times New Roman" w:cs="Times New Roman"/>
                <w:color w:val="000000" w:themeColor="text1"/>
              </w:rPr>
              <w:t>项</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1</w:t>
            </w:r>
            <w:r w:rsidRPr="00687B52">
              <w:rPr>
                <w:rStyle w:val="SimSun"/>
                <w:rFonts w:ascii="Times New Roman" w:cs="Times New Roman"/>
                <w:color w:val="000000" w:themeColor="text1"/>
              </w:rPr>
              <w:t>、</w:t>
            </w:r>
            <w:r w:rsidRPr="00687B52">
              <w:rPr>
                <w:rStyle w:val="9pt"/>
                <w:rFonts w:ascii="Times New Roman" w:eastAsia="宋体" w:hAnsi="Times New Roman" w:cs="Times New Roman"/>
                <w:color w:val="000000" w:themeColor="text1"/>
                <w:sz w:val="21"/>
                <w:szCs w:val="21"/>
              </w:rPr>
              <w:t>2</w:t>
            </w:r>
            <w:r w:rsidRPr="00687B52">
              <w:rPr>
                <w:rStyle w:val="SimSun"/>
                <w:rFonts w:ascii="Times New Roman" w:cs="Times New Roman"/>
                <w:color w:val="000000" w:themeColor="text1"/>
              </w:rPr>
              <w:t>、</w:t>
            </w:r>
            <w:r w:rsidRPr="00687B52">
              <w:rPr>
                <w:rStyle w:val="9pt"/>
                <w:rFonts w:ascii="Times New Roman" w:eastAsia="宋体" w:hAnsi="Times New Roman" w:cs="Times New Roman"/>
                <w:color w:val="000000" w:themeColor="text1"/>
                <w:sz w:val="21"/>
                <w:szCs w:val="21"/>
              </w:rPr>
              <w:t>5</w:t>
            </w:r>
            <w:r w:rsidRPr="00687B52">
              <w:rPr>
                <w:rStyle w:val="SimSun"/>
                <w:rFonts w:ascii="Times New Roman" w:cs="Times New Roman"/>
                <w:color w:val="000000" w:themeColor="text1"/>
              </w:rPr>
              <w:t>、</w:t>
            </w:r>
            <w:r w:rsidRPr="00687B52">
              <w:rPr>
                <w:rStyle w:val="9pt"/>
                <w:rFonts w:ascii="Times New Roman" w:eastAsia="宋体" w:hAnsi="Times New Roman" w:cs="Times New Roman"/>
                <w:color w:val="000000" w:themeColor="text1"/>
                <w:sz w:val="21"/>
                <w:szCs w:val="21"/>
              </w:rPr>
              <w:t>6</w:t>
            </w:r>
            <w:r w:rsidRPr="00687B52">
              <w:rPr>
                <w:rStyle w:val="SimSun"/>
                <w:rFonts w:ascii="Times New Roman" w:cs="Times New Roman"/>
                <w:color w:val="000000" w:themeColor="text1"/>
              </w:rPr>
              <w:t>项</w:t>
            </w:r>
          </w:p>
        </w:tc>
        <w:tc>
          <w:tcPr>
            <w:tcW w:w="550" w:type="pct"/>
            <w:shd w:val="clear" w:color="auto" w:fill="FFFFFF"/>
            <w:vAlign w:val="center"/>
          </w:tcPr>
          <w:p w:rsidR="002734B9" w:rsidRPr="00687B52" w:rsidRDefault="002734B9" w:rsidP="005F5072">
            <w:pPr>
              <w:pStyle w:val="110"/>
              <w:shd w:val="clear" w:color="auto" w:fill="auto"/>
              <w:spacing w:before="0" w:line="240" w:lineRule="auto"/>
              <w:ind w:firstLine="0"/>
              <w:rPr>
                <w:rStyle w:val="SimSun"/>
                <w:rFonts w:ascii="Times New Roman" w:hAnsi="Times New Roman" w:cs="Times New Roman"/>
                <w:color w:val="000000" w:themeColor="text1"/>
              </w:rPr>
            </w:pPr>
            <w:r w:rsidRPr="00687B52">
              <w:rPr>
                <w:rStyle w:val="SimSun"/>
                <w:rFonts w:ascii="Times New Roman" w:cs="Times New Roman"/>
                <w:color w:val="000000" w:themeColor="text1"/>
              </w:rPr>
              <w:t>一级</w:t>
            </w:r>
            <w:r w:rsidRPr="00687B52">
              <w:rPr>
                <w:rStyle w:val="SimSun"/>
                <w:rFonts w:ascii="Times New Roman" w:hAnsi="Times New Roman" w:cs="Times New Roman"/>
                <w:color w:val="000000" w:themeColor="text1"/>
              </w:rPr>
              <w:t xml:space="preserve"> </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imes New Roman" w:eastAsia="宋体" w:hAnsi="Times New Roman" w:cs="Times New Roman"/>
                <w:b w:val="0"/>
                <w:color w:val="000000" w:themeColor="text1"/>
                <w:sz w:val="21"/>
                <w:szCs w:val="21"/>
              </w:rPr>
              <w:t>―</w:t>
            </w:r>
            <w:r w:rsidRPr="00687B52">
              <w:rPr>
                <w:rStyle w:val="MingLiU"/>
                <w:rFonts w:ascii="Times New Roman" w:eastAsia="宋体" w:hAnsi="宋体" w:cs="Times New Roman"/>
                <w:b w:val="0"/>
                <w:color w:val="000000" w:themeColor="text1"/>
                <w:sz w:val="21"/>
                <w:szCs w:val="21"/>
              </w:rPr>
              <w:t>、</w:t>
            </w:r>
            <w:r w:rsidRPr="00687B52">
              <w:rPr>
                <w:rStyle w:val="SimSun"/>
                <w:rFonts w:ascii="Times New Roman" w:cs="Times New Roman"/>
                <w:color w:val="000000" w:themeColor="text1"/>
              </w:rPr>
              <w:t>二级</w:t>
            </w:r>
          </w:p>
        </w:tc>
        <w:tc>
          <w:tcPr>
            <w:tcW w:w="338"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1</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1</w:t>
            </w:r>
          </w:p>
        </w:tc>
        <w:tc>
          <w:tcPr>
            <w:tcW w:w="352"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180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750</w:t>
            </w:r>
          </w:p>
        </w:tc>
        <w:tc>
          <w:tcPr>
            <w:tcW w:w="359"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60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250</w:t>
            </w:r>
          </w:p>
        </w:tc>
        <w:tc>
          <w:tcPr>
            <w:tcW w:w="407" w:type="pct"/>
            <w:shd w:val="clear" w:color="auto" w:fill="FFFFFF"/>
            <w:vAlign w:val="center"/>
          </w:tcPr>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tc>
        <w:tc>
          <w:tcPr>
            <w:tcW w:w="354" w:type="pct"/>
            <w:shd w:val="clear" w:color="auto" w:fill="FFFFFF"/>
            <w:vAlign w:val="center"/>
          </w:tcPr>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p w:rsidR="002734B9" w:rsidRPr="00687B52" w:rsidRDefault="002734B9" w:rsidP="005F5072">
            <w:pPr>
              <w:jc w:val="center"/>
              <w:rPr>
                <w:rFonts w:ascii="Times New Roman" w:eastAsia="宋体" w:hAnsi="Times New Roman" w:cs="Times New Roman"/>
                <w:color w:val="000000" w:themeColor="text1"/>
                <w:szCs w:val="21"/>
              </w:rPr>
            </w:pPr>
            <w:r w:rsidRPr="00687B52">
              <w:rPr>
                <w:rStyle w:val="MingLiU"/>
                <w:rFonts w:asciiTheme="minorEastAsia" w:eastAsiaTheme="minorEastAsia" w:hAnsiTheme="minorEastAsia" w:cs="Times New Roman"/>
                <w:b w:val="0"/>
                <w:color w:val="000000" w:themeColor="text1"/>
                <w:sz w:val="21"/>
                <w:szCs w:val="21"/>
              </w:rPr>
              <w:t>—</w:t>
            </w:r>
          </w:p>
        </w:tc>
        <w:tc>
          <w:tcPr>
            <w:tcW w:w="407" w:type="pct"/>
            <w:shd w:val="clear" w:color="auto" w:fill="FFFFFF"/>
            <w:vAlign w:val="center"/>
          </w:tcPr>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p w:rsidR="002734B9" w:rsidRPr="00687B52" w:rsidRDefault="002734B9" w:rsidP="005F5072">
            <w:pPr>
              <w:jc w:val="center"/>
              <w:rPr>
                <w:rFonts w:ascii="Times New Roman" w:eastAsia="宋体" w:hAnsi="Times New Roman" w:cs="Times New Roman"/>
                <w:color w:val="000000" w:themeColor="text1"/>
                <w:szCs w:val="21"/>
              </w:rPr>
            </w:pPr>
            <w:r w:rsidRPr="00687B52">
              <w:rPr>
                <w:rStyle w:val="MingLiU"/>
                <w:rFonts w:asciiTheme="minorEastAsia" w:eastAsiaTheme="minorEastAsia" w:hAnsiTheme="minorEastAsia" w:cs="Times New Roman"/>
                <w:b w:val="0"/>
                <w:color w:val="000000" w:themeColor="text1"/>
                <w:sz w:val="21"/>
                <w:szCs w:val="21"/>
              </w:rPr>
              <w:t>—</w:t>
            </w:r>
          </w:p>
        </w:tc>
        <w:tc>
          <w:tcPr>
            <w:tcW w:w="359" w:type="pct"/>
            <w:shd w:val="clear" w:color="auto" w:fill="FFFFFF"/>
            <w:vAlign w:val="center"/>
          </w:tcPr>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p w:rsidR="002734B9" w:rsidRPr="00687B52" w:rsidRDefault="002734B9" w:rsidP="005F5072">
            <w:pPr>
              <w:jc w:val="center"/>
              <w:rPr>
                <w:rFonts w:ascii="Times New Roman" w:eastAsia="宋体" w:hAnsi="Times New Roman" w:cs="Times New Roman"/>
                <w:color w:val="000000" w:themeColor="text1"/>
                <w:szCs w:val="21"/>
              </w:rPr>
            </w:pPr>
            <w:r w:rsidRPr="00687B52">
              <w:rPr>
                <w:rStyle w:val="MingLiU"/>
                <w:rFonts w:asciiTheme="minorEastAsia" w:eastAsiaTheme="minorEastAsia" w:hAnsiTheme="minorEastAsia" w:cs="Times New Roman"/>
                <w:b w:val="0"/>
                <w:color w:val="000000" w:themeColor="text1"/>
                <w:sz w:val="21"/>
                <w:szCs w:val="21"/>
              </w:rPr>
              <w:t>—</w:t>
            </w:r>
          </w:p>
        </w:tc>
        <w:tc>
          <w:tcPr>
            <w:tcW w:w="840" w:type="pct"/>
            <w:shd w:val="clear" w:color="auto" w:fill="FFFFFF"/>
            <w:vAlign w:val="center"/>
          </w:tcPr>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p w:rsidR="002734B9" w:rsidRPr="00687B52" w:rsidRDefault="002734B9" w:rsidP="005F5072">
            <w:pPr>
              <w:jc w:val="center"/>
              <w:rPr>
                <w:rFonts w:ascii="Times New Roman" w:eastAsia="宋体" w:hAnsi="Times New Roman" w:cs="Times New Roman"/>
                <w:color w:val="000000" w:themeColor="text1"/>
                <w:szCs w:val="21"/>
              </w:rPr>
            </w:pPr>
            <w:r w:rsidRPr="00687B52">
              <w:rPr>
                <w:rStyle w:val="MingLiU"/>
                <w:rFonts w:asciiTheme="minorEastAsia" w:eastAsiaTheme="minorEastAsia" w:hAnsiTheme="minorEastAsia" w:cs="Times New Roman"/>
                <w:b w:val="0"/>
                <w:color w:val="000000" w:themeColor="text1"/>
                <w:sz w:val="21"/>
                <w:szCs w:val="21"/>
              </w:rPr>
              <w:t>—</w:t>
            </w:r>
          </w:p>
        </w:tc>
      </w:tr>
      <w:tr w:rsidR="002734B9" w:rsidRPr="00687B52" w:rsidTr="002734B9">
        <w:tc>
          <w:tcPr>
            <w:tcW w:w="259" w:type="pct"/>
            <w:vMerge w:val="restar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乙</w:t>
            </w:r>
          </w:p>
        </w:tc>
        <w:tc>
          <w:tcPr>
            <w:tcW w:w="777"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1</w:t>
            </w:r>
            <w:r w:rsidRPr="00687B52">
              <w:rPr>
                <w:rStyle w:val="SimSun"/>
                <w:rFonts w:ascii="Times New Roman" w:cs="Times New Roman"/>
                <w:color w:val="000000" w:themeColor="text1"/>
              </w:rPr>
              <w:t>、</w:t>
            </w:r>
            <w:r w:rsidRPr="00687B52">
              <w:rPr>
                <w:rStyle w:val="9pt"/>
                <w:rFonts w:ascii="Times New Roman" w:eastAsia="宋体" w:hAnsi="Times New Roman" w:cs="Times New Roman"/>
                <w:color w:val="000000" w:themeColor="text1"/>
                <w:sz w:val="21"/>
                <w:szCs w:val="21"/>
              </w:rPr>
              <w:t>3</w:t>
            </w:r>
            <w:r w:rsidRPr="00687B52">
              <w:rPr>
                <w:rStyle w:val="SimSun"/>
                <w:rFonts w:ascii="Times New Roman" w:cs="Times New Roman"/>
                <w:color w:val="000000" w:themeColor="text1"/>
              </w:rPr>
              <w:t>、</w:t>
            </w:r>
            <w:r w:rsidRPr="00687B52">
              <w:rPr>
                <w:rStyle w:val="9pt"/>
                <w:rFonts w:ascii="Times New Roman" w:eastAsia="宋体" w:hAnsi="Times New Roman" w:cs="Times New Roman"/>
                <w:color w:val="000000" w:themeColor="text1"/>
                <w:sz w:val="21"/>
                <w:szCs w:val="21"/>
              </w:rPr>
              <w:t>4</w:t>
            </w:r>
            <w:r w:rsidRPr="00687B52">
              <w:rPr>
                <w:rStyle w:val="SimSun"/>
                <w:rFonts w:ascii="Times New Roman" w:cs="Times New Roman"/>
                <w:color w:val="000000" w:themeColor="text1"/>
              </w:rPr>
              <w:t>项</w:t>
            </w:r>
          </w:p>
        </w:tc>
        <w:tc>
          <w:tcPr>
            <w:tcW w:w="550"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imes New Roman" w:eastAsia="宋体" w:hAnsi="Times New Roman" w:cs="Times New Roman"/>
                <w:b w:val="0"/>
                <w:color w:val="000000" w:themeColor="text1"/>
                <w:sz w:val="21"/>
                <w:szCs w:val="21"/>
              </w:rPr>
              <w:t>―</w:t>
            </w:r>
            <w:r w:rsidRPr="00687B52">
              <w:rPr>
                <w:rStyle w:val="MingLiU"/>
                <w:rFonts w:ascii="Times New Roman" w:eastAsia="宋体" w:hAnsi="宋体" w:cs="Times New Roman"/>
                <w:b w:val="0"/>
                <w:color w:val="000000" w:themeColor="text1"/>
                <w:sz w:val="21"/>
                <w:szCs w:val="21"/>
              </w:rPr>
              <w:t>、</w:t>
            </w:r>
            <w:r w:rsidRPr="00687B52">
              <w:rPr>
                <w:rStyle w:val="SimSun"/>
                <w:rFonts w:ascii="Times New Roman" w:cs="Times New Roman"/>
                <w:color w:val="000000" w:themeColor="text1"/>
              </w:rPr>
              <w:t>二级</w:t>
            </w:r>
            <w:r w:rsidRPr="00687B52">
              <w:rPr>
                <w:rStyle w:val="SimSun"/>
                <w:rFonts w:ascii="Times New Roman" w:hAnsi="Times New Roman" w:cs="Times New Roman"/>
                <w:color w:val="000000" w:themeColor="text1"/>
              </w:rPr>
              <w:t xml:space="preserve"> </w:t>
            </w:r>
            <w:r w:rsidRPr="00687B52">
              <w:rPr>
                <w:rStyle w:val="SimSun"/>
                <w:rFonts w:ascii="Times New Roman" w:cs="Times New Roman"/>
                <w:color w:val="000000" w:themeColor="text1"/>
              </w:rPr>
              <w:t>三级</w:t>
            </w:r>
          </w:p>
        </w:tc>
        <w:tc>
          <w:tcPr>
            <w:tcW w:w="338"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3</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1</w:t>
            </w:r>
          </w:p>
        </w:tc>
        <w:tc>
          <w:tcPr>
            <w:tcW w:w="352"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2000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500</w:t>
            </w:r>
          </w:p>
        </w:tc>
        <w:tc>
          <w:tcPr>
            <w:tcW w:w="359"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500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250</w:t>
            </w:r>
          </w:p>
        </w:tc>
        <w:tc>
          <w:tcPr>
            <w:tcW w:w="407" w:type="pct"/>
            <w:shd w:val="clear" w:color="auto" w:fill="FFFFFF"/>
            <w:vAlign w:val="center"/>
          </w:tcPr>
          <w:p w:rsidR="002734B9" w:rsidRPr="00687B52" w:rsidRDefault="002734B9" w:rsidP="005F5072">
            <w:pPr>
              <w:pStyle w:val="110"/>
              <w:shd w:val="clear" w:color="auto" w:fill="auto"/>
              <w:spacing w:before="0" w:line="240" w:lineRule="auto"/>
              <w:ind w:firstLine="0"/>
              <w:rPr>
                <w:rStyle w:val="9pt"/>
                <w:rFonts w:ascii="Times New Roman" w:eastAsia="宋体" w:hAnsi="Times New Roman" w:cs="Times New Roman"/>
                <w:bCs/>
                <w:color w:val="000000" w:themeColor="text1"/>
                <w:sz w:val="21"/>
                <w:szCs w:val="21"/>
              </w:rPr>
            </w:pPr>
            <w:r w:rsidRPr="00687B52">
              <w:rPr>
                <w:rStyle w:val="9pt"/>
                <w:rFonts w:ascii="Times New Roman" w:eastAsia="宋体" w:hAnsi="Times New Roman" w:cs="Times New Roman" w:hint="eastAsia"/>
                <w:bCs/>
                <w:color w:val="000000" w:themeColor="text1"/>
                <w:sz w:val="21"/>
                <w:szCs w:val="21"/>
              </w:rPr>
              <w:t>900</w:t>
            </w:r>
          </w:p>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MingLiU"/>
                <w:rFonts w:asciiTheme="minorEastAsia" w:eastAsiaTheme="minorEastAsia" w:hAnsiTheme="minorEastAsia" w:cs="Times New Roman"/>
                <w:bCs w:val="0"/>
                <w:color w:val="000000" w:themeColor="text1"/>
                <w:sz w:val="21"/>
                <w:szCs w:val="21"/>
              </w:rPr>
              <w:t>—</w:t>
            </w:r>
          </w:p>
        </w:tc>
        <w:tc>
          <w:tcPr>
            <w:tcW w:w="354" w:type="pct"/>
            <w:shd w:val="clear" w:color="auto" w:fill="FFFFFF"/>
            <w:vAlign w:val="center"/>
          </w:tcPr>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9pt"/>
                <w:rFonts w:ascii="Times New Roman" w:eastAsia="宋体" w:hAnsi="Times New Roman" w:cs="Times New Roman"/>
                <w:color w:val="000000" w:themeColor="text1"/>
                <w:sz w:val="21"/>
                <w:szCs w:val="21"/>
              </w:rPr>
              <w:t>300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tc>
        <w:tc>
          <w:tcPr>
            <w:tcW w:w="407" w:type="pct"/>
            <w:shd w:val="clear" w:color="auto" w:fill="FFFFFF"/>
            <w:vAlign w:val="center"/>
          </w:tcPr>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tc>
        <w:tc>
          <w:tcPr>
            <w:tcW w:w="359" w:type="pct"/>
            <w:shd w:val="clear" w:color="auto" w:fill="FFFFFF"/>
            <w:vAlign w:val="center"/>
          </w:tcPr>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tc>
        <w:tc>
          <w:tcPr>
            <w:tcW w:w="840" w:type="pct"/>
            <w:shd w:val="clear" w:color="auto" w:fill="FFFFFF"/>
            <w:vAlign w:val="center"/>
          </w:tcPr>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tc>
      </w:tr>
      <w:tr w:rsidR="002734B9" w:rsidRPr="00687B52" w:rsidTr="002734B9">
        <w:tc>
          <w:tcPr>
            <w:tcW w:w="259" w:type="pct"/>
            <w:vMerge/>
            <w:shd w:val="clear" w:color="auto" w:fill="FFFFFF"/>
            <w:vAlign w:val="center"/>
          </w:tcPr>
          <w:p w:rsidR="002734B9" w:rsidRPr="00687B52" w:rsidRDefault="002734B9" w:rsidP="005F5072">
            <w:pPr>
              <w:jc w:val="center"/>
              <w:rPr>
                <w:rFonts w:ascii="Times New Roman" w:eastAsia="宋体" w:hAnsi="Times New Roman" w:cs="Times New Roman"/>
                <w:color w:val="000000" w:themeColor="text1"/>
                <w:szCs w:val="21"/>
              </w:rPr>
            </w:pPr>
          </w:p>
        </w:tc>
        <w:tc>
          <w:tcPr>
            <w:tcW w:w="777"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2</w:t>
            </w:r>
            <w:r w:rsidRPr="00687B52">
              <w:rPr>
                <w:rStyle w:val="SimSun"/>
                <w:rFonts w:ascii="Times New Roman" w:cs="Times New Roman"/>
                <w:color w:val="000000" w:themeColor="text1"/>
              </w:rPr>
              <w:t>、</w:t>
            </w:r>
            <w:r w:rsidRPr="00687B52">
              <w:rPr>
                <w:rStyle w:val="9pt"/>
                <w:rFonts w:ascii="Times New Roman" w:eastAsia="宋体" w:hAnsi="Times New Roman" w:cs="Times New Roman"/>
                <w:color w:val="000000" w:themeColor="text1"/>
                <w:sz w:val="21"/>
                <w:szCs w:val="21"/>
              </w:rPr>
              <w:t>5</w:t>
            </w:r>
            <w:r w:rsidRPr="00687B52">
              <w:rPr>
                <w:rStyle w:val="SimSun"/>
                <w:rFonts w:ascii="Times New Roman" w:cs="Times New Roman"/>
                <w:color w:val="000000" w:themeColor="text1"/>
              </w:rPr>
              <w:t>、</w:t>
            </w:r>
            <w:r w:rsidRPr="00687B52">
              <w:rPr>
                <w:rStyle w:val="9pt"/>
                <w:rFonts w:ascii="Times New Roman" w:eastAsia="宋体" w:hAnsi="Times New Roman" w:cs="Times New Roman"/>
                <w:color w:val="000000" w:themeColor="text1"/>
                <w:sz w:val="21"/>
                <w:szCs w:val="21"/>
              </w:rPr>
              <w:t>6</w:t>
            </w:r>
            <w:r w:rsidRPr="00687B52">
              <w:rPr>
                <w:rStyle w:val="SimSun"/>
                <w:rFonts w:ascii="Times New Roman" w:cs="Times New Roman"/>
                <w:color w:val="000000" w:themeColor="text1"/>
              </w:rPr>
              <w:t>项</w:t>
            </w:r>
          </w:p>
        </w:tc>
        <w:tc>
          <w:tcPr>
            <w:tcW w:w="550"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hAnsi="Times New Roman" w:cs="Times New Roman"/>
                <w:color w:val="000000" w:themeColor="text1"/>
              </w:rPr>
              <w:t>―</w:t>
            </w:r>
            <w:r w:rsidRPr="00687B52">
              <w:rPr>
                <w:rStyle w:val="SimSun"/>
                <w:rFonts w:ascii="Times New Roman" w:cs="Times New Roman"/>
                <w:color w:val="000000" w:themeColor="text1"/>
              </w:rPr>
              <w:t>、二级</w:t>
            </w:r>
            <w:r w:rsidRPr="00687B52">
              <w:rPr>
                <w:rStyle w:val="SimSun"/>
                <w:rFonts w:ascii="Times New Roman" w:hAnsi="Times New Roman" w:cs="Times New Roman"/>
                <w:color w:val="000000" w:themeColor="text1"/>
              </w:rPr>
              <w:t xml:space="preserve"> </w:t>
            </w:r>
            <w:r w:rsidRPr="00687B52">
              <w:rPr>
                <w:rStyle w:val="SimSun"/>
                <w:rFonts w:ascii="Times New Roman" w:cs="Times New Roman"/>
                <w:color w:val="000000" w:themeColor="text1"/>
              </w:rPr>
              <w:t>三级</w:t>
            </w:r>
          </w:p>
        </w:tc>
        <w:tc>
          <w:tcPr>
            <w:tcW w:w="338"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5</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1</w:t>
            </w:r>
          </w:p>
        </w:tc>
        <w:tc>
          <w:tcPr>
            <w:tcW w:w="352"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2800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900</w:t>
            </w:r>
          </w:p>
        </w:tc>
        <w:tc>
          <w:tcPr>
            <w:tcW w:w="359"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700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300</w:t>
            </w:r>
          </w:p>
        </w:tc>
        <w:tc>
          <w:tcPr>
            <w:tcW w:w="407"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heme="minorEastAsia" w:eastAsiaTheme="minorEastAsia" w:hAnsiTheme="minorEastAsia" w:cs="Times New Roman"/>
                <w:bCs/>
                <w:color w:val="000000" w:themeColor="text1"/>
                <w:sz w:val="21"/>
                <w:szCs w:val="21"/>
                <w:shd w:val="clear" w:color="auto" w:fill="FFFFFF"/>
                <w:lang w:val="zh-TW"/>
              </w:rPr>
            </w:pPr>
            <w:r w:rsidRPr="00687B52">
              <w:rPr>
                <w:rStyle w:val="9pt"/>
                <w:rFonts w:ascii="Times New Roman" w:eastAsia="宋体" w:hAnsi="Times New Roman" w:cs="Times New Roman"/>
                <w:color w:val="000000" w:themeColor="text1"/>
                <w:sz w:val="21"/>
                <w:szCs w:val="21"/>
              </w:rPr>
              <w:t>1500</w:t>
            </w:r>
            <w:r w:rsidRPr="00687B52">
              <w:rPr>
                <w:rStyle w:val="MingLiU"/>
                <w:rFonts w:asciiTheme="minorEastAsia" w:eastAsiaTheme="minorEastAsia" w:hAnsiTheme="minorEastAsia" w:cs="Times New Roman"/>
                <w:b w:val="0"/>
                <w:color w:val="000000" w:themeColor="text1"/>
                <w:sz w:val="21"/>
                <w:szCs w:val="21"/>
              </w:rPr>
              <w:t>—</w:t>
            </w:r>
          </w:p>
        </w:tc>
        <w:tc>
          <w:tcPr>
            <w:tcW w:w="354" w:type="pct"/>
            <w:shd w:val="clear" w:color="auto" w:fill="FFFFFF"/>
            <w:vAlign w:val="center"/>
          </w:tcPr>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9pt"/>
                <w:rFonts w:ascii="Times New Roman" w:eastAsia="宋体" w:hAnsi="Times New Roman" w:cs="Times New Roman"/>
                <w:color w:val="000000" w:themeColor="text1"/>
                <w:sz w:val="21"/>
                <w:szCs w:val="21"/>
              </w:rPr>
              <w:t>500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tc>
        <w:tc>
          <w:tcPr>
            <w:tcW w:w="407" w:type="pct"/>
            <w:shd w:val="clear" w:color="auto" w:fill="FFFFFF"/>
            <w:vAlign w:val="center"/>
          </w:tcPr>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tc>
        <w:tc>
          <w:tcPr>
            <w:tcW w:w="359" w:type="pct"/>
            <w:shd w:val="clear" w:color="auto" w:fill="FFFFFF"/>
            <w:vAlign w:val="center"/>
          </w:tcPr>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tc>
        <w:tc>
          <w:tcPr>
            <w:tcW w:w="840" w:type="pct"/>
            <w:shd w:val="clear" w:color="auto" w:fill="FFFFFF"/>
            <w:vAlign w:val="center"/>
          </w:tcPr>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tc>
      </w:tr>
      <w:tr w:rsidR="002734B9" w:rsidRPr="00687B52" w:rsidTr="002734B9">
        <w:tc>
          <w:tcPr>
            <w:tcW w:w="259" w:type="pct"/>
            <w:vMerge w:val="restar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丙</w:t>
            </w:r>
          </w:p>
        </w:tc>
        <w:tc>
          <w:tcPr>
            <w:tcW w:w="777"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1</w:t>
            </w:r>
            <w:r w:rsidRPr="00687B52">
              <w:rPr>
                <w:rStyle w:val="SimSun"/>
                <w:rFonts w:ascii="Times New Roman" w:cs="Times New Roman"/>
                <w:color w:val="000000" w:themeColor="text1"/>
              </w:rPr>
              <w:t>项</w:t>
            </w:r>
          </w:p>
        </w:tc>
        <w:tc>
          <w:tcPr>
            <w:tcW w:w="550"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一、二级</w:t>
            </w:r>
            <w:r w:rsidRPr="00687B52">
              <w:rPr>
                <w:rStyle w:val="SimSun"/>
                <w:rFonts w:ascii="Times New Roman" w:hAnsi="Times New Roman" w:cs="Times New Roman"/>
                <w:color w:val="000000" w:themeColor="text1"/>
              </w:rPr>
              <w:t xml:space="preserve"> </w:t>
            </w:r>
            <w:r w:rsidRPr="00687B52">
              <w:rPr>
                <w:rStyle w:val="SimSun"/>
                <w:rFonts w:ascii="Times New Roman" w:cs="Times New Roman"/>
                <w:color w:val="000000" w:themeColor="text1"/>
              </w:rPr>
              <w:t>三级</w:t>
            </w:r>
          </w:p>
        </w:tc>
        <w:tc>
          <w:tcPr>
            <w:tcW w:w="338"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5</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1</w:t>
            </w:r>
          </w:p>
        </w:tc>
        <w:tc>
          <w:tcPr>
            <w:tcW w:w="352"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4000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1200</w:t>
            </w:r>
          </w:p>
        </w:tc>
        <w:tc>
          <w:tcPr>
            <w:tcW w:w="359"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1000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400</w:t>
            </w:r>
          </w:p>
        </w:tc>
        <w:tc>
          <w:tcPr>
            <w:tcW w:w="407"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heme="minorEastAsia" w:eastAsiaTheme="minorEastAsia" w:hAnsiTheme="minorEastAsia" w:cs="Times New Roman"/>
                <w:bCs/>
                <w:color w:val="000000" w:themeColor="text1"/>
                <w:sz w:val="21"/>
                <w:szCs w:val="21"/>
                <w:shd w:val="clear" w:color="auto" w:fill="FFFFFF"/>
                <w:lang w:val="zh-TW"/>
              </w:rPr>
            </w:pPr>
            <w:r w:rsidRPr="00687B52">
              <w:rPr>
                <w:rStyle w:val="9pt"/>
                <w:rFonts w:ascii="Times New Roman" w:eastAsia="宋体" w:hAnsi="Times New Roman" w:cs="Times New Roman"/>
                <w:color w:val="000000" w:themeColor="text1"/>
                <w:sz w:val="21"/>
                <w:szCs w:val="21"/>
              </w:rPr>
              <w:t>2800</w:t>
            </w:r>
            <w:r w:rsidRPr="00687B52">
              <w:rPr>
                <w:rStyle w:val="MingLiU"/>
                <w:rFonts w:asciiTheme="minorEastAsia" w:eastAsiaTheme="minorEastAsia" w:hAnsiTheme="minorEastAsia" w:cs="Times New Roman"/>
                <w:b w:val="0"/>
                <w:color w:val="000000" w:themeColor="text1"/>
                <w:sz w:val="21"/>
                <w:szCs w:val="21"/>
              </w:rPr>
              <w:t>—</w:t>
            </w:r>
          </w:p>
        </w:tc>
        <w:tc>
          <w:tcPr>
            <w:tcW w:w="354" w:type="pct"/>
            <w:shd w:val="clear" w:color="auto" w:fill="FFFFFF"/>
            <w:vAlign w:val="center"/>
          </w:tcPr>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9pt"/>
                <w:rFonts w:ascii="Times New Roman" w:eastAsia="宋体" w:hAnsi="Times New Roman" w:cs="Times New Roman"/>
                <w:color w:val="000000" w:themeColor="text1"/>
                <w:sz w:val="21"/>
                <w:szCs w:val="21"/>
              </w:rPr>
              <w:t>700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tc>
        <w:tc>
          <w:tcPr>
            <w:tcW w:w="407" w:type="pct"/>
            <w:shd w:val="clear" w:color="auto" w:fill="FFFFFF"/>
            <w:vAlign w:val="center"/>
          </w:tcPr>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tc>
        <w:tc>
          <w:tcPr>
            <w:tcW w:w="359" w:type="pct"/>
            <w:shd w:val="clear" w:color="auto" w:fill="FFFFFF"/>
            <w:vAlign w:val="center"/>
          </w:tcPr>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tc>
        <w:tc>
          <w:tcPr>
            <w:tcW w:w="840" w:type="pct"/>
            <w:shd w:val="clear" w:color="auto" w:fill="FFFFFF"/>
            <w:vAlign w:val="center"/>
          </w:tcPr>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9pt"/>
                <w:rFonts w:ascii="Times New Roman" w:eastAsia="宋体" w:hAnsi="Times New Roman" w:cs="Times New Roman"/>
                <w:color w:val="000000" w:themeColor="text1"/>
                <w:sz w:val="21"/>
                <w:szCs w:val="21"/>
              </w:rPr>
              <w:t>150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tc>
      </w:tr>
      <w:tr w:rsidR="002734B9" w:rsidRPr="00687B52" w:rsidTr="002734B9">
        <w:tc>
          <w:tcPr>
            <w:tcW w:w="259" w:type="pct"/>
            <w:vMerge/>
            <w:shd w:val="clear" w:color="auto" w:fill="FFFFFF"/>
            <w:vAlign w:val="center"/>
          </w:tcPr>
          <w:p w:rsidR="002734B9" w:rsidRPr="00687B52" w:rsidRDefault="002734B9" w:rsidP="005F5072">
            <w:pPr>
              <w:jc w:val="center"/>
              <w:rPr>
                <w:rFonts w:ascii="Times New Roman" w:eastAsia="宋体" w:hAnsi="Times New Roman" w:cs="Times New Roman"/>
                <w:color w:val="000000" w:themeColor="text1"/>
                <w:szCs w:val="21"/>
              </w:rPr>
            </w:pPr>
          </w:p>
        </w:tc>
        <w:tc>
          <w:tcPr>
            <w:tcW w:w="777"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2</w:t>
            </w:r>
            <w:r w:rsidRPr="00687B52">
              <w:rPr>
                <w:rStyle w:val="SimSun"/>
                <w:rFonts w:ascii="Times New Roman" w:cs="Times New Roman"/>
                <w:color w:val="000000" w:themeColor="text1"/>
              </w:rPr>
              <w:t>项</w:t>
            </w:r>
          </w:p>
        </w:tc>
        <w:tc>
          <w:tcPr>
            <w:tcW w:w="550"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hAnsi="Times New Roman" w:cs="Times New Roman"/>
                <w:color w:val="000000" w:themeColor="text1"/>
              </w:rPr>
              <w:t>―</w:t>
            </w:r>
            <w:r w:rsidRPr="00687B52">
              <w:rPr>
                <w:rStyle w:val="SimSun"/>
                <w:rFonts w:ascii="Times New Roman" w:cs="Times New Roman"/>
                <w:color w:val="000000" w:themeColor="text1"/>
              </w:rPr>
              <w:t>、二级</w:t>
            </w:r>
            <w:r w:rsidRPr="00687B52">
              <w:rPr>
                <w:rStyle w:val="SimSun"/>
                <w:rFonts w:ascii="Times New Roman" w:hAnsi="Times New Roman" w:cs="Times New Roman"/>
                <w:color w:val="000000" w:themeColor="text1"/>
              </w:rPr>
              <w:t xml:space="preserve"> </w:t>
            </w:r>
            <w:r w:rsidRPr="00687B52">
              <w:rPr>
                <w:rStyle w:val="SimSun"/>
                <w:rFonts w:ascii="Times New Roman" w:cs="Times New Roman"/>
                <w:color w:val="000000" w:themeColor="text1"/>
              </w:rPr>
              <w:t>三级</w:t>
            </w:r>
          </w:p>
        </w:tc>
        <w:tc>
          <w:tcPr>
            <w:tcW w:w="338"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不限</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3</w:t>
            </w:r>
          </w:p>
        </w:tc>
        <w:tc>
          <w:tcPr>
            <w:tcW w:w="352"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6000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2100</w:t>
            </w:r>
          </w:p>
        </w:tc>
        <w:tc>
          <w:tcPr>
            <w:tcW w:w="359"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1500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700</w:t>
            </w:r>
          </w:p>
        </w:tc>
        <w:tc>
          <w:tcPr>
            <w:tcW w:w="407"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4800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1200</w:t>
            </w:r>
          </w:p>
        </w:tc>
        <w:tc>
          <w:tcPr>
            <w:tcW w:w="354"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1200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400</w:t>
            </w:r>
          </w:p>
        </w:tc>
        <w:tc>
          <w:tcPr>
            <w:tcW w:w="407"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heme="minorEastAsia" w:eastAsiaTheme="minorEastAsia" w:hAnsiTheme="minorEastAsia" w:cs="Times New Roman"/>
                <w:bCs/>
                <w:color w:val="000000" w:themeColor="text1"/>
                <w:sz w:val="21"/>
                <w:szCs w:val="21"/>
                <w:shd w:val="clear" w:color="auto" w:fill="FFFFFF"/>
                <w:lang w:val="zh-TW"/>
              </w:rPr>
            </w:pPr>
            <w:r w:rsidRPr="00687B52">
              <w:rPr>
                <w:rStyle w:val="9pt"/>
                <w:rFonts w:ascii="Times New Roman" w:eastAsia="宋体" w:hAnsi="Times New Roman" w:cs="Times New Roman"/>
                <w:color w:val="000000" w:themeColor="text1"/>
                <w:sz w:val="21"/>
                <w:szCs w:val="21"/>
              </w:rPr>
              <w:t>4000</w:t>
            </w:r>
            <w:r w:rsidRPr="00687B52">
              <w:rPr>
                <w:rStyle w:val="MingLiU"/>
                <w:rFonts w:asciiTheme="minorEastAsia" w:eastAsiaTheme="minorEastAsia" w:hAnsiTheme="minorEastAsia" w:cs="Times New Roman"/>
                <w:b w:val="0"/>
                <w:color w:val="000000" w:themeColor="text1"/>
                <w:sz w:val="21"/>
                <w:szCs w:val="21"/>
              </w:rPr>
              <w:t>—</w:t>
            </w:r>
          </w:p>
        </w:tc>
        <w:tc>
          <w:tcPr>
            <w:tcW w:w="359"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heme="minorEastAsia" w:eastAsiaTheme="minorEastAsia" w:hAnsiTheme="minorEastAsia" w:cs="Times New Roman"/>
                <w:bCs/>
                <w:color w:val="000000" w:themeColor="text1"/>
                <w:sz w:val="21"/>
                <w:szCs w:val="21"/>
                <w:shd w:val="clear" w:color="auto" w:fill="FFFFFF"/>
                <w:lang w:val="zh-TW"/>
              </w:rPr>
            </w:pPr>
            <w:r w:rsidRPr="00687B52">
              <w:rPr>
                <w:rStyle w:val="9pt"/>
                <w:rFonts w:ascii="Times New Roman" w:eastAsia="宋体" w:hAnsi="Times New Roman" w:cs="Times New Roman"/>
                <w:color w:val="000000" w:themeColor="text1"/>
                <w:sz w:val="21"/>
                <w:szCs w:val="21"/>
              </w:rPr>
              <w:t>1000</w:t>
            </w:r>
            <w:r w:rsidRPr="00687B52">
              <w:rPr>
                <w:rStyle w:val="MingLiU"/>
                <w:rFonts w:asciiTheme="minorEastAsia" w:eastAsiaTheme="minorEastAsia" w:hAnsiTheme="minorEastAsia" w:cs="Times New Roman"/>
                <w:b w:val="0"/>
                <w:color w:val="000000" w:themeColor="text1"/>
                <w:sz w:val="21"/>
                <w:szCs w:val="21"/>
              </w:rPr>
              <w:t>—</w:t>
            </w:r>
          </w:p>
        </w:tc>
        <w:tc>
          <w:tcPr>
            <w:tcW w:w="840" w:type="pct"/>
            <w:shd w:val="clear" w:color="auto" w:fill="FFFFFF"/>
            <w:vAlign w:val="center"/>
          </w:tcPr>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9pt"/>
                <w:rFonts w:ascii="Times New Roman" w:eastAsia="宋体" w:hAnsi="Times New Roman" w:cs="Times New Roman"/>
                <w:color w:val="000000" w:themeColor="text1"/>
                <w:sz w:val="21"/>
                <w:szCs w:val="21"/>
              </w:rPr>
              <w:t>300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tc>
      </w:tr>
      <w:tr w:rsidR="002734B9" w:rsidRPr="00687B52" w:rsidTr="002734B9">
        <w:tc>
          <w:tcPr>
            <w:tcW w:w="1035" w:type="pct"/>
            <w:gridSpan w:val="2"/>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丁</w:t>
            </w:r>
          </w:p>
        </w:tc>
        <w:tc>
          <w:tcPr>
            <w:tcW w:w="550" w:type="pct"/>
            <w:shd w:val="clear" w:color="auto" w:fill="FFFFFF"/>
            <w:vAlign w:val="center"/>
          </w:tcPr>
          <w:p w:rsidR="002734B9" w:rsidRPr="00687B52" w:rsidRDefault="002734B9" w:rsidP="005F5072">
            <w:pPr>
              <w:pStyle w:val="110"/>
              <w:shd w:val="clear" w:color="auto" w:fill="auto"/>
              <w:spacing w:before="0" w:line="240" w:lineRule="auto"/>
              <w:ind w:firstLine="0"/>
              <w:rPr>
                <w:rStyle w:val="SimSun"/>
                <w:rFonts w:ascii="Times New Roman" w:cs="Times New Roman"/>
                <w:color w:val="000000" w:themeColor="text1"/>
              </w:rPr>
            </w:pPr>
            <w:r w:rsidRPr="00687B52">
              <w:rPr>
                <w:rStyle w:val="SimSun"/>
                <w:rFonts w:ascii="Times New Roman" w:cs="Times New Roman"/>
                <w:color w:val="000000" w:themeColor="text1"/>
              </w:rPr>
              <w:t>一、二级</w:t>
            </w:r>
            <w:r w:rsidRPr="00687B52">
              <w:rPr>
                <w:rStyle w:val="SimSun"/>
                <w:rFonts w:ascii="Times New Roman" w:hAnsi="Times New Roman" w:cs="Times New Roman"/>
                <w:color w:val="000000" w:themeColor="text1"/>
              </w:rPr>
              <w:t xml:space="preserve"> </w:t>
            </w:r>
            <w:r w:rsidRPr="00687B52">
              <w:rPr>
                <w:rStyle w:val="SimSun"/>
                <w:rFonts w:ascii="Times New Roman" w:cs="Times New Roman"/>
                <w:color w:val="000000" w:themeColor="text1"/>
              </w:rPr>
              <w:t>三级</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四级</w:t>
            </w:r>
          </w:p>
        </w:tc>
        <w:tc>
          <w:tcPr>
            <w:tcW w:w="338"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不限</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3</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1</w:t>
            </w:r>
          </w:p>
        </w:tc>
        <w:tc>
          <w:tcPr>
            <w:tcW w:w="352"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不限</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3000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2100</w:t>
            </w:r>
          </w:p>
        </w:tc>
        <w:tc>
          <w:tcPr>
            <w:tcW w:w="359"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3000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1000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700</w:t>
            </w:r>
          </w:p>
        </w:tc>
        <w:tc>
          <w:tcPr>
            <w:tcW w:w="407"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不限</w:t>
            </w:r>
          </w:p>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9pt"/>
                <w:rFonts w:ascii="Times New Roman" w:eastAsia="宋体" w:hAnsi="Times New Roman" w:cs="Times New Roman"/>
                <w:color w:val="000000" w:themeColor="text1"/>
                <w:sz w:val="21"/>
                <w:szCs w:val="21"/>
              </w:rPr>
              <w:t>1500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tc>
        <w:tc>
          <w:tcPr>
            <w:tcW w:w="354"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1500</w:t>
            </w:r>
          </w:p>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9pt"/>
                <w:rFonts w:ascii="Times New Roman" w:eastAsia="宋体" w:hAnsi="Times New Roman" w:cs="Times New Roman"/>
                <w:color w:val="000000" w:themeColor="text1"/>
                <w:sz w:val="21"/>
                <w:szCs w:val="21"/>
              </w:rPr>
              <w:t>500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tc>
        <w:tc>
          <w:tcPr>
            <w:tcW w:w="407" w:type="pct"/>
            <w:shd w:val="clear" w:color="auto" w:fill="FFFFFF"/>
            <w:vAlign w:val="center"/>
          </w:tcPr>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9pt"/>
                <w:rFonts w:ascii="Times New Roman" w:eastAsia="宋体" w:hAnsi="Times New Roman" w:cs="Times New Roman"/>
                <w:color w:val="000000" w:themeColor="text1"/>
                <w:sz w:val="21"/>
                <w:szCs w:val="21"/>
              </w:rPr>
              <w:t>4800</w:t>
            </w:r>
            <w:r w:rsidRPr="00687B52">
              <w:rPr>
                <w:rStyle w:val="MingLiU"/>
                <w:rFonts w:asciiTheme="minorEastAsia" w:eastAsiaTheme="minorEastAsia" w:hAnsiTheme="minorEastAsia" w:cs="Times New Roman"/>
                <w:b w:val="0"/>
                <w:color w:val="000000" w:themeColor="text1"/>
                <w:sz w:val="21"/>
                <w:szCs w:val="21"/>
              </w:rPr>
              <w:t>—</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tc>
        <w:tc>
          <w:tcPr>
            <w:tcW w:w="359" w:type="pct"/>
            <w:shd w:val="clear" w:color="auto" w:fill="FFFFFF"/>
            <w:vAlign w:val="center"/>
          </w:tcPr>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9pt"/>
                <w:rFonts w:ascii="Times New Roman" w:eastAsia="宋体" w:hAnsi="Times New Roman" w:cs="Times New Roman"/>
                <w:color w:val="000000" w:themeColor="text1"/>
                <w:sz w:val="21"/>
                <w:szCs w:val="21"/>
              </w:rPr>
              <w:t>1200</w:t>
            </w:r>
            <w:r w:rsidRPr="00687B52">
              <w:rPr>
                <w:rStyle w:val="MingLiU"/>
                <w:rFonts w:asciiTheme="minorEastAsia" w:eastAsiaTheme="minorEastAsia" w:hAnsiTheme="minorEastAsia" w:cs="Times New Roman"/>
                <w:b w:val="0"/>
                <w:color w:val="000000" w:themeColor="text1"/>
                <w:sz w:val="21"/>
                <w:szCs w:val="21"/>
              </w:rPr>
              <w:t>—</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tc>
        <w:tc>
          <w:tcPr>
            <w:tcW w:w="840" w:type="pct"/>
            <w:shd w:val="clear" w:color="auto" w:fill="FFFFFF"/>
            <w:vAlign w:val="center"/>
          </w:tcPr>
          <w:p w:rsidR="002734B9" w:rsidRPr="00687B52" w:rsidRDefault="002734B9" w:rsidP="005F5072">
            <w:pPr>
              <w:pStyle w:val="110"/>
              <w:shd w:val="clear" w:color="auto" w:fill="auto"/>
              <w:spacing w:before="0" w:line="240" w:lineRule="auto"/>
              <w:ind w:firstLine="0"/>
              <w:rPr>
                <w:rStyle w:val="9pt"/>
                <w:rFonts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500</w:t>
            </w:r>
          </w:p>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tc>
      </w:tr>
      <w:tr w:rsidR="002734B9" w:rsidRPr="00687B52" w:rsidTr="002734B9">
        <w:tc>
          <w:tcPr>
            <w:tcW w:w="1035" w:type="pct"/>
            <w:gridSpan w:val="2"/>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戊</w:t>
            </w:r>
          </w:p>
        </w:tc>
        <w:tc>
          <w:tcPr>
            <w:tcW w:w="550" w:type="pct"/>
            <w:shd w:val="clear" w:color="auto" w:fill="FFFFFF"/>
            <w:vAlign w:val="center"/>
          </w:tcPr>
          <w:p w:rsidR="002734B9" w:rsidRPr="00687B52" w:rsidRDefault="002734B9" w:rsidP="005F5072">
            <w:pPr>
              <w:pStyle w:val="110"/>
              <w:shd w:val="clear" w:color="auto" w:fill="auto"/>
              <w:spacing w:before="0" w:line="240" w:lineRule="auto"/>
              <w:ind w:firstLine="0"/>
              <w:rPr>
                <w:rStyle w:val="SimSun"/>
                <w:rFonts w:ascii="Times New Roman" w:cs="Times New Roman"/>
                <w:color w:val="000000" w:themeColor="text1"/>
              </w:rPr>
            </w:pPr>
            <w:r w:rsidRPr="00687B52">
              <w:rPr>
                <w:rStyle w:val="SimSun"/>
                <w:rFonts w:ascii="Times New Roman" w:cs="Times New Roman"/>
                <w:color w:val="000000" w:themeColor="text1"/>
              </w:rPr>
              <w:t>一、二级</w:t>
            </w:r>
            <w:r w:rsidRPr="00687B52">
              <w:rPr>
                <w:rStyle w:val="SimSun"/>
                <w:rFonts w:ascii="Times New Roman" w:hAnsi="Times New Roman" w:cs="Times New Roman"/>
                <w:color w:val="000000" w:themeColor="text1"/>
              </w:rPr>
              <w:t xml:space="preserve"> </w:t>
            </w:r>
            <w:r w:rsidRPr="00687B52">
              <w:rPr>
                <w:rStyle w:val="SimSun"/>
                <w:rFonts w:ascii="Times New Roman" w:cs="Times New Roman"/>
                <w:color w:val="000000" w:themeColor="text1"/>
              </w:rPr>
              <w:t>三级</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四级</w:t>
            </w:r>
          </w:p>
        </w:tc>
        <w:tc>
          <w:tcPr>
            <w:tcW w:w="338"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不限</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3</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1</w:t>
            </w:r>
          </w:p>
        </w:tc>
        <w:tc>
          <w:tcPr>
            <w:tcW w:w="352"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不限</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3000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2100</w:t>
            </w:r>
          </w:p>
        </w:tc>
        <w:tc>
          <w:tcPr>
            <w:tcW w:w="359"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不限</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1000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700</w:t>
            </w:r>
          </w:p>
        </w:tc>
        <w:tc>
          <w:tcPr>
            <w:tcW w:w="407"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SimSun"/>
                <w:rFonts w:ascii="Times New Roman" w:cs="Times New Roman"/>
                <w:color w:val="000000" w:themeColor="text1"/>
              </w:rPr>
              <w:t>不限</w:t>
            </w:r>
          </w:p>
          <w:p w:rsidR="002734B9" w:rsidRPr="00687B52" w:rsidRDefault="002734B9" w:rsidP="005F5072">
            <w:pPr>
              <w:pStyle w:val="110"/>
              <w:shd w:val="clear" w:color="auto" w:fill="auto"/>
              <w:spacing w:before="0" w:line="240" w:lineRule="auto"/>
              <w:ind w:firstLine="0"/>
              <w:rPr>
                <w:rFonts w:asciiTheme="minorEastAsia" w:eastAsiaTheme="minorEastAsia" w:hAnsiTheme="minorEastAsia" w:cs="Times New Roman"/>
                <w:bCs/>
                <w:color w:val="000000" w:themeColor="text1"/>
                <w:sz w:val="21"/>
                <w:szCs w:val="21"/>
                <w:shd w:val="clear" w:color="auto" w:fill="FFFFFF"/>
                <w:lang w:val="zh-TW"/>
              </w:rPr>
            </w:pPr>
            <w:r w:rsidRPr="00687B52">
              <w:rPr>
                <w:rStyle w:val="9pt"/>
                <w:rFonts w:ascii="Times New Roman" w:eastAsia="宋体" w:hAnsi="Times New Roman" w:cs="Times New Roman"/>
                <w:color w:val="000000" w:themeColor="text1"/>
                <w:sz w:val="21"/>
                <w:szCs w:val="21"/>
              </w:rPr>
              <w:t>2100</w:t>
            </w:r>
            <w:r w:rsidRPr="00687B52">
              <w:rPr>
                <w:rStyle w:val="MingLiU"/>
                <w:rFonts w:asciiTheme="minorEastAsia" w:eastAsiaTheme="minorEastAsia" w:hAnsiTheme="minorEastAsia" w:cs="Times New Roman"/>
                <w:b w:val="0"/>
                <w:color w:val="000000" w:themeColor="text1"/>
                <w:sz w:val="21"/>
                <w:szCs w:val="21"/>
              </w:rPr>
              <w:t>—</w:t>
            </w:r>
          </w:p>
        </w:tc>
        <w:tc>
          <w:tcPr>
            <w:tcW w:w="354" w:type="pct"/>
            <w:shd w:val="clear" w:color="auto" w:fill="FFFFFF"/>
            <w:vAlign w:val="center"/>
          </w:tcPr>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2000</w:t>
            </w:r>
          </w:p>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9pt"/>
                <w:rFonts w:ascii="Times New Roman" w:eastAsia="宋体" w:hAnsi="Times New Roman" w:cs="Times New Roman"/>
                <w:color w:val="000000" w:themeColor="text1"/>
                <w:sz w:val="21"/>
                <w:szCs w:val="21"/>
              </w:rPr>
              <w:t>700</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tc>
        <w:tc>
          <w:tcPr>
            <w:tcW w:w="407" w:type="pct"/>
            <w:shd w:val="clear" w:color="auto" w:fill="FFFFFF"/>
            <w:vAlign w:val="center"/>
          </w:tcPr>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9pt"/>
                <w:rFonts w:ascii="Times New Roman" w:eastAsia="宋体" w:hAnsi="Times New Roman" w:cs="Times New Roman"/>
                <w:color w:val="000000" w:themeColor="text1"/>
                <w:sz w:val="21"/>
                <w:szCs w:val="21"/>
              </w:rPr>
              <w:t>6000</w:t>
            </w:r>
            <w:r w:rsidRPr="00687B52">
              <w:rPr>
                <w:rStyle w:val="MingLiU"/>
                <w:rFonts w:asciiTheme="minorEastAsia" w:eastAsiaTheme="minorEastAsia" w:hAnsiTheme="minorEastAsia" w:cs="Times New Roman"/>
                <w:b w:val="0"/>
                <w:color w:val="000000" w:themeColor="text1"/>
                <w:sz w:val="21"/>
                <w:szCs w:val="21"/>
              </w:rPr>
              <w:t>—</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tc>
        <w:tc>
          <w:tcPr>
            <w:tcW w:w="359" w:type="pct"/>
            <w:shd w:val="clear" w:color="auto" w:fill="FFFFFF"/>
            <w:vAlign w:val="center"/>
          </w:tcPr>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9pt"/>
                <w:rFonts w:ascii="Times New Roman" w:eastAsia="宋体" w:hAnsi="Times New Roman" w:cs="Times New Roman"/>
                <w:color w:val="000000" w:themeColor="text1"/>
                <w:sz w:val="21"/>
                <w:szCs w:val="21"/>
              </w:rPr>
              <w:t>1500</w:t>
            </w:r>
            <w:r w:rsidRPr="00687B52">
              <w:rPr>
                <w:rStyle w:val="MingLiU"/>
                <w:rFonts w:asciiTheme="minorEastAsia" w:eastAsiaTheme="minorEastAsia" w:hAnsiTheme="minorEastAsia" w:cs="Times New Roman"/>
                <w:b w:val="0"/>
                <w:color w:val="000000" w:themeColor="text1"/>
                <w:sz w:val="21"/>
                <w:szCs w:val="21"/>
              </w:rPr>
              <w:t>—</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tc>
        <w:tc>
          <w:tcPr>
            <w:tcW w:w="840" w:type="pct"/>
            <w:shd w:val="clear" w:color="auto" w:fill="FFFFFF"/>
            <w:vAlign w:val="center"/>
          </w:tcPr>
          <w:p w:rsidR="002734B9" w:rsidRPr="00687B52" w:rsidRDefault="002734B9" w:rsidP="005F5072">
            <w:pPr>
              <w:pStyle w:val="110"/>
              <w:shd w:val="clear" w:color="auto" w:fill="auto"/>
              <w:spacing w:before="0" w:line="240" w:lineRule="auto"/>
              <w:ind w:firstLine="0"/>
              <w:rPr>
                <w:rStyle w:val="9pt"/>
                <w:rFonts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1000</w:t>
            </w:r>
          </w:p>
          <w:p w:rsidR="002734B9" w:rsidRPr="00687B52" w:rsidRDefault="002734B9" w:rsidP="005F5072">
            <w:pPr>
              <w:pStyle w:val="110"/>
              <w:shd w:val="clear" w:color="auto" w:fill="auto"/>
              <w:spacing w:before="0" w:line="240" w:lineRule="auto"/>
              <w:ind w:firstLine="0"/>
              <w:rPr>
                <w:rStyle w:val="MingLiU"/>
                <w:rFonts w:asciiTheme="minorEastAsia" w:eastAsiaTheme="minorEastAsia" w:hAnsiTheme="minorEastAsia" w:cs="Times New Roman"/>
                <w:b w:val="0"/>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p w:rsidR="002734B9" w:rsidRPr="00687B52" w:rsidRDefault="002734B9" w:rsidP="005F5072">
            <w:pPr>
              <w:pStyle w:val="110"/>
              <w:shd w:val="clear" w:color="auto" w:fill="auto"/>
              <w:spacing w:before="0" w:line="240" w:lineRule="auto"/>
              <w:ind w:firstLine="0"/>
              <w:rPr>
                <w:rFonts w:ascii="Times New Roman" w:eastAsia="宋体" w:hAnsi="Times New Roman" w:cs="Times New Roman"/>
                <w:color w:val="000000" w:themeColor="text1"/>
                <w:sz w:val="21"/>
                <w:szCs w:val="21"/>
              </w:rPr>
            </w:pPr>
            <w:r w:rsidRPr="00687B52">
              <w:rPr>
                <w:rStyle w:val="MingLiU"/>
                <w:rFonts w:asciiTheme="minorEastAsia" w:eastAsiaTheme="minorEastAsia" w:hAnsiTheme="minorEastAsia" w:cs="Times New Roman"/>
                <w:b w:val="0"/>
                <w:color w:val="000000" w:themeColor="text1"/>
                <w:sz w:val="21"/>
                <w:szCs w:val="21"/>
              </w:rPr>
              <w:t>—</w:t>
            </w:r>
          </w:p>
        </w:tc>
      </w:tr>
    </w:tbl>
    <w:p w:rsidR="002734B9" w:rsidRPr="00687B52" w:rsidRDefault="002734B9" w:rsidP="00C00705">
      <w:pPr>
        <w:pStyle w:val="221"/>
        <w:shd w:val="clear" w:color="auto" w:fill="auto"/>
        <w:tabs>
          <w:tab w:val="left" w:pos="851"/>
        </w:tabs>
        <w:spacing w:line="320" w:lineRule="exact"/>
        <w:ind w:leftChars="22" w:left="571" w:hangingChars="250" w:hanging="525"/>
        <w:jc w:val="both"/>
        <w:rPr>
          <w:rFonts w:asciiTheme="minorEastAsia" w:eastAsiaTheme="minorEastAsia" w:hAnsiTheme="minorEastAsia" w:cs="Times New Roman"/>
          <w:b w:val="0"/>
          <w:color w:val="000000" w:themeColor="text1"/>
          <w:sz w:val="21"/>
          <w:szCs w:val="21"/>
        </w:rPr>
      </w:pPr>
      <w:r w:rsidRPr="00687B52">
        <w:rPr>
          <w:rFonts w:ascii="Times New Roman" w:eastAsia="宋体" w:hAnsi="宋体" w:cs="Times New Roman"/>
          <w:b w:val="0"/>
          <w:color w:val="000000" w:themeColor="text1"/>
          <w:sz w:val="21"/>
          <w:szCs w:val="21"/>
        </w:rPr>
        <w:t>注：</w:t>
      </w:r>
      <w:r w:rsidRPr="00687B52">
        <w:rPr>
          <w:rFonts w:asciiTheme="minorEastAsia" w:eastAsiaTheme="minorEastAsia" w:hAnsiTheme="minorEastAsia"/>
          <w:b w:val="0"/>
          <w:color w:val="000000" w:themeColor="text1"/>
          <w:sz w:val="21"/>
          <w:szCs w:val="21"/>
        </w:rPr>
        <w:t>1</w:t>
      </w:r>
      <w:r w:rsidRPr="00687B52">
        <w:rPr>
          <w:rFonts w:asciiTheme="minorEastAsia" w:eastAsiaTheme="minorEastAsia" w:hAnsiTheme="minorEastAsia" w:hint="eastAsia"/>
          <w:b w:val="0"/>
          <w:color w:val="000000" w:themeColor="text1"/>
          <w:sz w:val="21"/>
          <w:szCs w:val="21"/>
        </w:rPr>
        <w:t xml:space="preserve"> </w:t>
      </w:r>
      <w:r w:rsidRPr="00687B52">
        <w:rPr>
          <w:rFonts w:asciiTheme="minorEastAsia" w:eastAsiaTheme="minorEastAsia" w:hAnsiTheme="minorEastAsia" w:cs="Times New Roman"/>
          <w:b w:val="0"/>
          <w:color w:val="000000" w:themeColor="text1"/>
          <w:sz w:val="21"/>
          <w:szCs w:val="21"/>
        </w:rPr>
        <w:t>仓库内的防火分区之间必须采用防火墙分隔，甲、乙类仓库内防火分区之间的防火墙不应开设门、窗、洞口；地下或半地下仓库（包括地下或半地下室）的最大允许占地面积，不应大于相应类别地上仓库的最大允许占地面积。</w:t>
      </w:r>
    </w:p>
    <w:p w:rsidR="002734B9" w:rsidRPr="00687B52" w:rsidRDefault="002734B9" w:rsidP="002734B9">
      <w:pPr>
        <w:pStyle w:val="221"/>
        <w:shd w:val="clear" w:color="auto" w:fill="auto"/>
        <w:tabs>
          <w:tab w:val="left" w:pos="851"/>
        </w:tabs>
        <w:spacing w:line="320" w:lineRule="exact"/>
        <w:ind w:leftChars="200" w:left="630" w:hangingChars="100" w:hanging="210"/>
        <w:jc w:val="both"/>
        <w:rPr>
          <w:rFonts w:asciiTheme="minorEastAsia" w:eastAsiaTheme="minorEastAsia" w:hAnsiTheme="minorEastAsia" w:cs="Times New Roman"/>
          <w:b w:val="0"/>
          <w:color w:val="000000" w:themeColor="text1"/>
          <w:sz w:val="21"/>
          <w:szCs w:val="21"/>
        </w:rPr>
      </w:pPr>
      <w:r w:rsidRPr="00687B52">
        <w:rPr>
          <w:rFonts w:asciiTheme="minorEastAsia" w:eastAsiaTheme="minorEastAsia" w:hAnsiTheme="minorEastAsia" w:cs="Times New Roman" w:hint="eastAsia"/>
          <w:b w:val="0"/>
          <w:color w:val="000000" w:themeColor="text1"/>
          <w:sz w:val="21"/>
          <w:szCs w:val="21"/>
        </w:rPr>
        <w:t xml:space="preserve">2 </w:t>
      </w:r>
      <w:r w:rsidRPr="00687B52">
        <w:rPr>
          <w:rFonts w:asciiTheme="minorEastAsia" w:eastAsiaTheme="minorEastAsia" w:hAnsiTheme="minorEastAsia" w:cs="Times New Roman"/>
          <w:b w:val="0"/>
          <w:color w:val="000000" w:themeColor="text1"/>
          <w:sz w:val="21"/>
          <w:szCs w:val="21"/>
        </w:rPr>
        <w:t>石油库区内的桶装油品仓库应符合现行国家标准《石油库设计规范</w:t>
      </w:r>
      <w:r w:rsidRPr="00687B52">
        <w:rPr>
          <w:rFonts w:asciiTheme="minorEastAsia" w:eastAsiaTheme="minorEastAsia" w:hAnsiTheme="minorEastAsia"/>
          <w:b w:val="0"/>
          <w:color w:val="000000" w:themeColor="text1"/>
          <w:sz w:val="21"/>
          <w:szCs w:val="21"/>
        </w:rPr>
        <w:t>》GB 50074</w:t>
      </w:r>
      <w:r w:rsidRPr="00687B52">
        <w:rPr>
          <w:rFonts w:asciiTheme="minorEastAsia" w:eastAsiaTheme="minorEastAsia" w:hAnsiTheme="minorEastAsia" w:cs="Times New Roman"/>
          <w:b w:val="0"/>
          <w:color w:val="000000" w:themeColor="text1"/>
          <w:sz w:val="21"/>
          <w:szCs w:val="21"/>
        </w:rPr>
        <w:t>的规定。</w:t>
      </w:r>
    </w:p>
    <w:p w:rsidR="002734B9" w:rsidRPr="00687B52" w:rsidRDefault="002734B9" w:rsidP="002734B9">
      <w:pPr>
        <w:pStyle w:val="221"/>
        <w:shd w:val="clear" w:color="auto" w:fill="auto"/>
        <w:tabs>
          <w:tab w:val="left" w:pos="851"/>
        </w:tabs>
        <w:spacing w:line="320" w:lineRule="exact"/>
        <w:ind w:leftChars="200" w:left="630" w:hangingChars="100" w:hanging="210"/>
        <w:jc w:val="both"/>
        <w:rPr>
          <w:rFonts w:asciiTheme="minorEastAsia" w:eastAsiaTheme="minorEastAsia" w:hAnsiTheme="minorEastAsia" w:cs="Times New Roman"/>
          <w:b w:val="0"/>
          <w:color w:val="000000" w:themeColor="text1"/>
          <w:sz w:val="21"/>
          <w:szCs w:val="21"/>
        </w:rPr>
      </w:pPr>
      <w:r w:rsidRPr="00687B52">
        <w:rPr>
          <w:rFonts w:asciiTheme="minorEastAsia" w:eastAsiaTheme="minorEastAsia" w:hAnsiTheme="minorEastAsia" w:cs="Times New Roman" w:hint="eastAsia"/>
          <w:b w:val="0"/>
          <w:color w:val="000000" w:themeColor="text1"/>
          <w:sz w:val="21"/>
          <w:szCs w:val="21"/>
        </w:rPr>
        <w:t xml:space="preserve">3 </w:t>
      </w:r>
      <w:r w:rsidRPr="00687B52">
        <w:rPr>
          <w:rFonts w:asciiTheme="minorEastAsia" w:eastAsiaTheme="minorEastAsia" w:hAnsiTheme="minorEastAsia"/>
          <w:b w:val="0"/>
          <w:color w:val="000000" w:themeColor="text1"/>
          <w:sz w:val="21"/>
          <w:szCs w:val="21"/>
        </w:rPr>
        <w:t>—、</w:t>
      </w:r>
      <w:r w:rsidRPr="00687B52">
        <w:rPr>
          <w:rFonts w:asciiTheme="minorEastAsia" w:eastAsiaTheme="minorEastAsia" w:hAnsiTheme="minorEastAsia" w:cs="Times New Roman"/>
          <w:b w:val="0"/>
          <w:color w:val="000000" w:themeColor="text1"/>
          <w:sz w:val="21"/>
          <w:szCs w:val="21"/>
        </w:rPr>
        <w:t>二级耐火等级的煤均化库，每个防火分区的最大允许建筑面积不应大于</w:t>
      </w:r>
      <w:r w:rsidRPr="00687B52">
        <w:rPr>
          <w:rFonts w:asciiTheme="minorEastAsia" w:eastAsiaTheme="minorEastAsia" w:hAnsiTheme="minorEastAsia"/>
          <w:b w:val="0"/>
          <w:color w:val="000000" w:themeColor="text1"/>
          <w:sz w:val="21"/>
          <w:szCs w:val="21"/>
        </w:rPr>
        <w:t>12000m</w:t>
      </w:r>
      <w:r w:rsidRPr="00687B52">
        <w:rPr>
          <w:rFonts w:asciiTheme="minorEastAsia" w:eastAsiaTheme="minorEastAsia" w:hAnsiTheme="minorEastAsia"/>
          <w:b w:val="0"/>
          <w:color w:val="000000" w:themeColor="text1"/>
          <w:sz w:val="21"/>
          <w:szCs w:val="21"/>
          <w:vertAlign w:val="superscript"/>
        </w:rPr>
        <w:t>2</w:t>
      </w:r>
      <w:r w:rsidRPr="00687B52">
        <w:rPr>
          <w:rFonts w:asciiTheme="minorEastAsia" w:eastAsiaTheme="minorEastAsia" w:hAnsiTheme="minorEastAsia"/>
          <w:b w:val="0"/>
          <w:color w:val="000000" w:themeColor="text1"/>
          <w:sz w:val="21"/>
          <w:szCs w:val="21"/>
        </w:rPr>
        <w:t>。</w:t>
      </w:r>
    </w:p>
    <w:p w:rsidR="002734B9" w:rsidRPr="00687B52" w:rsidRDefault="002734B9" w:rsidP="002734B9">
      <w:pPr>
        <w:pStyle w:val="221"/>
        <w:shd w:val="clear" w:color="auto" w:fill="auto"/>
        <w:tabs>
          <w:tab w:val="left" w:pos="851"/>
        </w:tabs>
        <w:spacing w:line="320" w:lineRule="exact"/>
        <w:ind w:leftChars="200" w:left="630" w:hangingChars="100" w:hanging="210"/>
        <w:jc w:val="both"/>
        <w:rPr>
          <w:rFonts w:asciiTheme="minorEastAsia" w:eastAsiaTheme="minorEastAsia" w:hAnsiTheme="minorEastAsia" w:cs="Times New Roman"/>
          <w:b w:val="0"/>
          <w:color w:val="000000" w:themeColor="text1"/>
          <w:sz w:val="21"/>
          <w:szCs w:val="21"/>
        </w:rPr>
      </w:pPr>
      <w:r w:rsidRPr="00687B52">
        <w:rPr>
          <w:rFonts w:asciiTheme="minorEastAsia" w:eastAsiaTheme="minorEastAsia" w:hAnsiTheme="minorEastAsia" w:cs="Times New Roman" w:hint="eastAsia"/>
          <w:b w:val="0"/>
          <w:color w:val="000000" w:themeColor="text1"/>
          <w:sz w:val="21"/>
          <w:szCs w:val="21"/>
        </w:rPr>
        <w:t xml:space="preserve">4 </w:t>
      </w:r>
      <w:r w:rsidRPr="00687B52">
        <w:rPr>
          <w:rFonts w:asciiTheme="minorEastAsia" w:eastAsiaTheme="minorEastAsia" w:hAnsiTheme="minorEastAsia" w:cs="Times New Roman"/>
          <w:b w:val="0"/>
          <w:color w:val="000000" w:themeColor="text1"/>
          <w:sz w:val="21"/>
          <w:szCs w:val="21"/>
        </w:rPr>
        <w:t>独立建造的硝酸铵仓库、电石仓库、聚乙烯等高分子制品仓库、尿素仓库、配煤仓库、造纸厂的独立成品仓库，当建筑的耐火等级不低于二级时，每座仓库的最大允许占地面积和每个防火分区的最大允许建筑面积可按本表的规定增加</w:t>
      </w:r>
      <w:r w:rsidRPr="00687B52">
        <w:rPr>
          <w:rFonts w:asciiTheme="minorEastAsia" w:eastAsiaTheme="minorEastAsia" w:hAnsiTheme="minorEastAsia"/>
          <w:b w:val="0"/>
          <w:color w:val="000000" w:themeColor="text1"/>
          <w:sz w:val="21"/>
          <w:szCs w:val="21"/>
        </w:rPr>
        <w:t>1</w:t>
      </w:r>
      <w:r w:rsidRPr="00687B52">
        <w:rPr>
          <w:rFonts w:asciiTheme="minorEastAsia" w:eastAsiaTheme="minorEastAsia" w:hAnsiTheme="minorEastAsia" w:hint="eastAsia"/>
          <w:b w:val="0"/>
          <w:color w:val="000000" w:themeColor="text1"/>
          <w:sz w:val="21"/>
          <w:szCs w:val="21"/>
        </w:rPr>
        <w:t>.</w:t>
      </w:r>
      <w:r w:rsidRPr="00687B52">
        <w:rPr>
          <w:rFonts w:asciiTheme="minorEastAsia" w:eastAsiaTheme="minorEastAsia" w:hAnsiTheme="minorEastAsia"/>
          <w:b w:val="0"/>
          <w:color w:val="000000" w:themeColor="text1"/>
          <w:sz w:val="21"/>
          <w:szCs w:val="21"/>
        </w:rPr>
        <w:t>0</w:t>
      </w:r>
      <w:r w:rsidRPr="00687B52">
        <w:rPr>
          <w:rFonts w:asciiTheme="minorEastAsia" w:eastAsiaTheme="minorEastAsia" w:hAnsiTheme="minorEastAsia" w:cs="Times New Roman"/>
          <w:b w:val="0"/>
          <w:color w:val="000000" w:themeColor="text1"/>
          <w:sz w:val="21"/>
          <w:szCs w:val="21"/>
        </w:rPr>
        <w:t>倍。</w:t>
      </w:r>
    </w:p>
    <w:p w:rsidR="002734B9" w:rsidRPr="00687B52" w:rsidRDefault="002734B9" w:rsidP="002734B9">
      <w:pPr>
        <w:pStyle w:val="221"/>
        <w:shd w:val="clear" w:color="auto" w:fill="auto"/>
        <w:tabs>
          <w:tab w:val="left" w:pos="851"/>
        </w:tabs>
        <w:spacing w:line="320" w:lineRule="exact"/>
        <w:ind w:leftChars="200" w:left="630" w:hangingChars="100" w:hanging="210"/>
        <w:jc w:val="both"/>
        <w:rPr>
          <w:rFonts w:asciiTheme="minorEastAsia" w:eastAsiaTheme="minorEastAsia" w:hAnsiTheme="minorEastAsia" w:cs="Times New Roman"/>
          <w:b w:val="0"/>
          <w:color w:val="000000" w:themeColor="text1"/>
          <w:sz w:val="21"/>
          <w:szCs w:val="21"/>
        </w:rPr>
      </w:pPr>
      <w:r w:rsidRPr="00687B52">
        <w:rPr>
          <w:rFonts w:asciiTheme="minorEastAsia" w:eastAsiaTheme="minorEastAsia" w:hAnsiTheme="minorEastAsia" w:cs="Times New Roman" w:hint="eastAsia"/>
          <w:b w:val="0"/>
          <w:color w:val="000000" w:themeColor="text1"/>
          <w:sz w:val="21"/>
          <w:szCs w:val="21"/>
        </w:rPr>
        <w:t xml:space="preserve">5 </w:t>
      </w:r>
      <w:r w:rsidRPr="00687B52">
        <w:rPr>
          <w:rFonts w:asciiTheme="minorEastAsia" w:eastAsiaTheme="minorEastAsia" w:hAnsiTheme="minorEastAsia"/>
          <w:b w:val="0"/>
          <w:color w:val="000000" w:themeColor="text1"/>
          <w:sz w:val="21"/>
          <w:szCs w:val="21"/>
        </w:rPr>
        <w:t>—</w:t>
      </w:r>
      <w:r w:rsidRPr="00687B52">
        <w:rPr>
          <w:rFonts w:asciiTheme="minorEastAsia" w:eastAsiaTheme="minorEastAsia" w:hAnsiTheme="minorEastAsia" w:cs="Times New Roman"/>
          <w:b w:val="0"/>
          <w:color w:val="000000" w:themeColor="text1"/>
          <w:sz w:val="21"/>
          <w:szCs w:val="21"/>
        </w:rPr>
        <w:t>、二级耐火等级粮食平房仓的最大允许占地面积不应大于</w:t>
      </w:r>
      <w:r w:rsidRPr="00687B52">
        <w:rPr>
          <w:rFonts w:asciiTheme="minorEastAsia" w:eastAsiaTheme="minorEastAsia" w:hAnsiTheme="minorEastAsia"/>
          <w:b w:val="0"/>
          <w:color w:val="000000" w:themeColor="text1"/>
          <w:sz w:val="21"/>
          <w:szCs w:val="21"/>
        </w:rPr>
        <w:t>12000m</w:t>
      </w:r>
      <w:r w:rsidRPr="00687B52">
        <w:rPr>
          <w:rFonts w:asciiTheme="minorEastAsia" w:eastAsiaTheme="minorEastAsia" w:hAnsiTheme="minorEastAsia" w:cs="Times New Roman"/>
          <w:b w:val="0"/>
          <w:color w:val="000000" w:themeColor="text1"/>
          <w:sz w:val="21"/>
          <w:szCs w:val="21"/>
          <w:vertAlign w:val="superscript"/>
        </w:rPr>
        <w:t>2</w:t>
      </w:r>
      <w:r w:rsidRPr="00687B52">
        <w:rPr>
          <w:rFonts w:asciiTheme="minorEastAsia" w:eastAsiaTheme="minorEastAsia" w:hAnsiTheme="minorEastAsia" w:cs="Times New Roman"/>
          <w:b w:val="0"/>
          <w:color w:val="000000" w:themeColor="text1"/>
          <w:sz w:val="21"/>
          <w:szCs w:val="21"/>
        </w:rPr>
        <w:t>，每个防火分区的最大允许建筑面积不应大于</w:t>
      </w:r>
      <w:r w:rsidRPr="00687B52">
        <w:rPr>
          <w:rFonts w:asciiTheme="minorEastAsia" w:eastAsiaTheme="minorEastAsia" w:hAnsiTheme="minorEastAsia"/>
          <w:b w:val="0"/>
          <w:color w:val="000000" w:themeColor="text1"/>
          <w:sz w:val="21"/>
          <w:szCs w:val="21"/>
        </w:rPr>
        <w:t>3000m</w:t>
      </w:r>
      <w:r w:rsidRPr="00687B52">
        <w:rPr>
          <w:rFonts w:asciiTheme="minorEastAsia" w:eastAsiaTheme="minorEastAsia" w:hAnsiTheme="minorEastAsia" w:cs="Times New Roman"/>
          <w:b w:val="0"/>
          <w:color w:val="000000" w:themeColor="text1"/>
          <w:sz w:val="21"/>
          <w:szCs w:val="21"/>
          <w:vertAlign w:val="superscript"/>
        </w:rPr>
        <w:t>2</w:t>
      </w:r>
      <w:r w:rsidRPr="00687B52">
        <w:rPr>
          <w:rFonts w:asciiTheme="minorEastAsia" w:eastAsiaTheme="minorEastAsia" w:hAnsiTheme="minorEastAsia" w:cs="Times New Roman" w:hint="eastAsia"/>
          <w:b w:val="0"/>
          <w:color w:val="000000" w:themeColor="text1"/>
          <w:sz w:val="21"/>
          <w:szCs w:val="21"/>
        </w:rPr>
        <w:t>；</w:t>
      </w:r>
      <w:r w:rsidRPr="00687B52">
        <w:rPr>
          <w:rFonts w:asciiTheme="minorEastAsia" w:eastAsiaTheme="minorEastAsia" w:hAnsiTheme="minorEastAsia" w:cs="Times New Roman"/>
          <w:b w:val="0"/>
          <w:color w:val="000000" w:themeColor="text1"/>
          <w:sz w:val="21"/>
          <w:szCs w:val="21"/>
        </w:rPr>
        <w:t>三级耐火等级粮食平房仓的最大允许占地面积不应大于</w:t>
      </w:r>
      <w:r w:rsidRPr="00687B52">
        <w:rPr>
          <w:rFonts w:asciiTheme="minorEastAsia" w:eastAsiaTheme="minorEastAsia" w:hAnsiTheme="minorEastAsia"/>
          <w:b w:val="0"/>
          <w:color w:val="000000" w:themeColor="text1"/>
          <w:sz w:val="21"/>
          <w:szCs w:val="21"/>
        </w:rPr>
        <w:t>3000m</w:t>
      </w:r>
      <w:r w:rsidRPr="00687B52">
        <w:rPr>
          <w:rFonts w:asciiTheme="minorEastAsia" w:eastAsiaTheme="minorEastAsia" w:hAnsiTheme="minorEastAsia"/>
          <w:b w:val="0"/>
          <w:color w:val="000000" w:themeColor="text1"/>
          <w:sz w:val="21"/>
          <w:szCs w:val="21"/>
          <w:vertAlign w:val="superscript"/>
        </w:rPr>
        <w:t>2</w:t>
      </w:r>
      <w:r w:rsidRPr="00687B52">
        <w:rPr>
          <w:rFonts w:asciiTheme="minorEastAsia" w:eastAsiaTheme="minorEastAsia" w:hAnsiTheme="minorEastAsia" w:cs="Times New Roman"/>
          <w:b w:val="0"/>
          <w:color w:val="000000" w:themeColor="text1"/>
          <w:sz w:val="21"/>
          <w:szCs w:val="21"/>
        </w:rPr>
        <w:t>，每个防火分区的最大允许建筑面积不应大于</w:t>
      </w:r>
      <w:r w:rsidRPr="00687B52">
        <w:rPr>
          <w:rFonts w:asciiTheme="minorEastAsia" w:eastAsiaTheme="minorEastAsia" w:hAnsiTheme="minorEastAsia"/>
          <w:b w:val="0"/>
          <w:color w:val="000000" w:themeColor="text1"/>
          <w:sz w:val="21"/>
          <w:szCs w:val="21"/>
        </w:rPr>
        <w:t>1000m</w:t>
      </w:r>
      <w:r w:rsidRPr="00687B52">
        <w:rPr>
          <w:rFonts w:asciiTheme="minorEastAsia" w:eastAsiaTheme="minorEastAsia" w:hAnsiTheme="minorEastAsia" w:cs="Times New Roman"/>
          <w:b w:val="0"/>
          <w:color w:val="000000" w:themeColor="text1"/>
          <w:sz w:val="21"/>
          <w:szCs w:val="21"/>
          <w:vertAlign w:val="superscript"/>
        </w:rPr>
        <w:t>2</w:t>
      </w:r>
      <w:r w:rsidRPr="00687B52">
        <w:rPr>
          <w:rFonts w:asciiTheme="minorEastAsia" w:eastAsiaTheme="minorEastAsia" w:hAnsiTheme="minorEastAsia" w:cs="Times New Roman"/>
          <w:b w:val="0"/>
          <w:color w:val="000000" w:themeColor="text1"/>
          <w:sz w:val="21"/>
          <w:szCs w:val="21"/>
        </w:rPr>
        <w:t>。</w:t>
      </w:r>
    </w:p>
    <w:p w:rsidR="002734B9" w:rsidRPr="00687B52" w:rsidRDefault="002734B9" w:rsidP="002734B9">
      <w:pPr>
        <w:pStyle w:val="221"/>
        <w:shd w:val="clear" w:color="auto" w:fill="auto"/>
        <w:tabs>
          <w:tab w:val="left" w:pos="851"/>
        </w:tabs>
        <w:spacing w:line="320" w:lineRule="exact"/>
        <w:ind w:leftChars="200" w:left="630" w:hangingChars="100" w:hanging="210"/>
        <w:jc w:val="both"/>
        <w:rPr>
          <w:rFonts w:asciiTheme="minorEastAsia" w:eastAsiaTheme="minorEastAsia" w:hAnsiTheme="minorEastAsia" w:cs="Times New Roman"/>
          <w:b w:val="0"/>
          <w:color w:val="000000" w:themeColor="text1"/>
          <w:sz w:val="21"/>
          <w:szCs w:val="21"/>
        </w:rPr>
      </w:pPr>
      <w:r w:rsidRPr="00687B52">
        <w:rPr>
          <w:rFonts w:asciiTheme="minorEastAsia" w:eastAsiaTheme="minorEastAsia" w:hAnsiTheme="minorEastAsia" w:cs="Times New Roman" w:hint="eastAsia"/>
          <w:b w:val="0"/>
          <w:color w:val="000000" w:themeColor="text1"/>
          <w:sz w:val="21"/>
          <w:szCs w:val="21"/>
        </w:rPr>
        <w:t>6</w:t>
      </w:r>
      <w:r w:rsidRPr="00687B52">
        <w:rPr>
          <w:rFonts w:asciiTheme="minorEastAsia" w:eastAsiaTheme="minorEastAsia" w:hAnsiTheme="minorEastAsia"/>
          <w:b w:val="0"/>
          <w:color w:val="000000" w:themeColor="text1"/>
          <w:sz w:val="21"/>
          <w:szCs w:val="21"/>
        </w:rPr>
        <w:t xml:space="preserve"> —</w:t>
      </w:r>
      <w:r w:rsidRPr="00687B52">
        <w:rPr>
          <w:rFonts w:asciiTheme="minorEastAsia" w:eastAsiaTheme="minorEastAsia" w:hAnsiTheme="minorEastAsia" w:cs="Times New Roman"/>
          <w:b w:val="0"/>
          <w:color w:val="000000" w:themeColor="text1"/>
          <w:sz w:val="21"/>
          <w:szCs w:val="21"/>
        </w:rPr>
        <w:t>、二级耐火等级且占地面积不大于</w:t>
      </w:r>
      <w:r w:rsidRPr="00687B52">
        <w:rPr>
          <w:rFonts w:asciiTheme="minorEastAsia" w:eastAsiaTheme="minorEastAsia" w:hAnsiTheme="minorEastAsia"/>
          <w:b w:val="0"/>
          <w:color w:val="000000" w:themeColor="text1"/>
          <w:sz w:val="21"/>
          <w:szCs w:val="21"/>
        </w:rPr>
        <w:t>2000m</w:t>
      </w:r>
      <w:r w:rsidRPr="00687B52">
        <w:rPr>
          <w:rFonts w:asciiTheme="minorEastAsia" w:eastAsiaTheme="minorEastAsia" w:hAnsiTheme="minorEastAsia"/>
          <w:b w:val="0"/>
          <w:color w:val="000000" w:themeColor="text1"/>
          <w:sz w:val="21"/>
          <w:szCs w:val="21"/>
          <w:vertAlign w:val="superscript"/>
        </w:rPr>
        <w:t>2</w:t>
      </w:r>
      <w:r w:rsidRPr="00687B52">
        <w:rPr>
          <w:rFonts w:asciiTheme="minorEastAsia" w:eastAsiaTheme="minorEastAsia" w:hAnsiTheme="minorEastAsia" w:cs="Times New Roman"/>
          <w:b w:val="0"/>
          <w:color w:val="000000" w:themeColor="text1"/>
          <w:sz w:val="21"/>
          <w:szCs w:val="21"/>
        </w:rPr>
        <w:t>的单层棉花库房，其防火分区的最大允许建筑面积不应大于</w:t>
      </w:r>
      <w:r w:rsidRPr="00687B52">
        <w:rPr>
          <w:rFonts w:asciiTheme="minorEastAsia" w:eastAsiaTheme="minorEastAsia" w:hAnsiTheme="minorEastAsia"/>
          <w:b w:val="0"/>
          <w:color w:val="000000" w:themeColor="text1"/>
          <w:sz w:val="21"/>
          <w:szCs w:val="21"/>
        </w:rPr>
        <w:t>2000m</w:t>
      </w:r>
      <w:r w:rsidRPr="00687B52">
        <w:rPr>
          <w:rFonts w:asciiTheme="minorEastAsia" w:eastAsiaTheme="minorEastAsia" w:hAnsiTheme="minorEastAsia" w:cs="Times New Roman"/>
          <w:b w:val="0"/>
          <w:color w:val="000000" w:themeColor="text1"/>
          <w:sz w:val="21"/>
          <w:szCs w:val="21"/>
          <w:vertAlign w:val="superscript"/>
        </w:rPr>
        <w:t>2</w:t>
      </w:r>
      <w:r w:rsidRPr="00687B52">
        <w:rPr>
          <w:rFonts w:asciiTheme="minorEastAsia" w:eastAsiaTheme="minorEastAsia" w:hAnsiTheme="minorEastAsia" w:cs="Times New Roman"/>
          <w:b w:val="0"/>
          <w:color w:val="000000" w:themeColor="text1"/>
          <w:sz w:val="21"/>
          <w:szCs w:val="21"/>
        </w:rPr>
        <w:t>。</w:t>
      </w:r>
    </w:p>
    <w:p w:rsidR="002734B9" w:rsidRPr="00687B52" w:rsidRDefault="002734B9" w:rsidP="002734B9">
      <w:pPr>
        <w:pStyle w:val="221"/>
        <w:shd w:val="clear" w:color="auto" w:fill="auto"/>
        <w:tabs>
          <w:tab w:val="left" w:pos="851"/>
        </w:tabs>
        <w:spacing w:line="320" w:lineRule="exact"/>
        <w:ind w:leftChars="200" w:left="630" w:hangingChars="100" w:hanging="210"/>
        <w:jc w:val="both"/>
        <w:rPr>
          <w:rFonts w:asciiTheme="minorEastAsia" w:eastAsiaTheme="minorEastAsia" w:hAnsiTheme="minorEastAsia" w:cs="Times New Roman"/>
          <w:b w:val="0"/>
          <w:color w:val="000000" w:themeColor="text1"/>
          <w:sz w:val="21"/>
          <w:szCs w:val="21"/>
        </w:rPr>
      </w:pPr>
      <w:r w:rsidRPr="00687B52">
        <w:rPr>
          <w:rFonts w:asciiTheme="minorEastAsia" w:eastAsiaTheme="minorEastAsia" w:hAnsiTheme="minorEastAsia" w:cs="Times New Roman" w:hint="eastAsia"/>
          <w:b w:val="0"/>
          <w:color w:val="000000" w:themeColor="text1"/>
          <w:sz w:val="21"/>
          <w:szCs w:val="21"/>
        </w:rPr>
        <w:t>7 一、二级耐火等级冷库的最大允许占地面积和防火分区的最大允许建筑面积，应符合现行国家标准</w:t>
      </w:r>
      <w:r w:rsidRPr="00687B52">
        <w:rPr>
          <w:rFonts w:asciiTheme="minorEastAsia" w:eastAsiaTheme="minorEastAsia" w:hAnsiTheme="minorEastAsia" w:cs="Times New Roman"/>
          <w:b w:val="0"/>
          <w:color w:val="000000" w:themeColor="text1"/>
          <w:sz w:val="21"/>
          <w:szCs w:val="21"/>
        </w:rPr>
        <w:t>《冷库设计规范</w:t>
      </w:r>
      <w:r w:rsidRPr="00687B52">
        <w:rPr>
          <w:rFonts w:asciiTheme="minorEastAsia" w:eastAsiaTheme="minorEastAsia" w:hAnsiTheme="minorEastAsia"/>
          <w:b w:val="0"/>
          <w:color w:val="000000" w:themeColor="text1"/>
          <w:sz w:val="21"/>
          <w:szCs w:val="21"/>
        </w:rPr>
        <w:t>》GB 50072</w:t>
      </w:r>
      <w:r w:rsidRPr="00687B52">
        <w:rPr>
          <w:rFonts w:asciiTheme="minorEastAsia" w:eastAsiaTheme="minorEastAsia" w:hAnsiTheme="minorEastAsia" w:cs="Times New Roman"/>
          <w:b w:val="0"/>
          <w:color w:val="000000" w:themeColor="text1"/>
          <w:sz w:val="21"/>
          <w:szCs w:val="21"/>
        </w:rPr>
        <w:t>的规定。</w:t>
      </w:r>
    </w:p>
    <w:p w:rsidR="002734B9" w:rsidRPr="00687B52" w:rsidRDefault="002734B9" w:rsidP="002734B9">
      <w:pPr>
        <w:pStyle w:val="221"/>
        <w:shd w:val="clear" w:color="auto" w:fill="auto"/>
        <w:tabs>
          <w:tab w:val="left" w:pos="851"/>
        </w:tabs>
        <w:spacing w:line="320" w:lineRule="exact"/>
        <w:ind w:leftChars="200" w:left="630" w:hangingChars="100" w:hanging="210"/>
        <w:jc w:val="both"/>
        <w:rPr>
          <w:rFonts w:asciiTheme="minorEastAsia" w:eastAsiaTheme="minorEastAsia" w:hAnsiTheme="minorEastAsia" w:cs="Times New Roman"/>
          <w:b w:val="0"/>
          <w:color w:val="000000" w:themeColor="text1"/>
          <w:sz w:val="21"/>
          <w:szCs w:val="21"/>
        </w:rPr>
      </w:pPr>
      <w:r w:rsidRPr="00687B52">
        <w:rPr>
          <w:rFonts w:asciiTheme="minorEastAsia" w:eastAsiaTheme="minorEastAsia" w:hAnsiTheme="minorEastAsia" w:cs="Times New Roman" w:hint="eastAsia"/>
          <w:b w:val="0"/>
          <w:color w:val="000000" w:themeColor="text1"/>
          <w:sz w:val="21"/>
          <w:szCs w:val="21"/>
        </w:rPr>
        <w:t>8</w:t>
      </w:r>
      <w:r w:rsidRPr="00687B52">
        <w:rPr>
          <w:rFonts w:asciiTheme="minorEastAsia" w:eastAsiaTheme="minorEastAsia" w:hAnsiTheme="minorEastAsia" w:cs="Times New Roman"/>
          <w:b w:val="0"/>
          <w:color w:val="000000" w:themeColor="text1"/>
          <w:sz w:val="21"/>
          <w:szCs w:val="21"/>
        </w:rPr>
        <w:t>“一”表示不允许。</w:t>
      </w:r>
    </w:p>
    <w:p w:rsidR="00481EDB" w:rsidRPr="00687B52" w:rsidRDefault="00481EDB" w:rsidP="009554EE">
      <w:pPr>
        <w:widowControl/>
        <w:rPr>
          <w:rFonts w:ascii="宋体" w:eastAsia="宋体" w:hAnsi="宋体" w:cs="宋体"/>
          <w:color w:val="000000" w:themeColor="text1"/>
          <w:kern w:val="0"/>
          <w:sz w:val="24"/>
          <w:szCs w:val="24"/>
        </w:rPr>
        <w:sectPr w:rsidR="00481EDB" w:rsidRPr="00687B52" w:rsidSect="00B527D4">
          <w:pgSz w:w="11906" w:h="16838"/>
          <w:pgMar w:top="1797" w:right="1440" w:bottom="1797" w:left="1440" w:header="851" w:footer="907" w:gutter="0"/>
          <w:cols w:space="425"/>
          <w:docGrid w:type="lines" w:linePitch="312"/>
        </w:sectPr>
      </w:pPr>
    </w:p>
    <w:p w:rsidR="00481EDB" w:rsidRPr="00687B52" w:rsidRDefault="00481EDB" w:rsidP="00856B6C">
      <w:pPr>
        <w:pStyle w:val="afd"/>
        <w:rPr>
          <w:color w:val="000000" w:themeColor="text1"/>
        </w:rPr>
      </w:pPr>
      <w:bookmarkStart w:id="406" w:name="_Toc491870864"/>
      <w:bookmarkStart w:id="407" w:name="_Toc492563518"/>
      <w:bookmarkStart w:id="408" w:name="_Toc493857123"/>
      <w:r w:rsidRPr="00687B52">
        <w:rPr>
          <w:rFonts w:hint="eastAsia"/>
          <w:color w:val="000000" w:themeColor="text1"/>
        </w:rPr>
        <w:t>表</w:t>
      </w:r>
      <w:r w:rsidRPr="00687B52">
        <w:rPr>
          <w:rFonts w:hint="eastAsia"/>
          <w:color w:val="000000" w:themeColor="text1"/>
        </w:rPr>
        <w:t>3.4.1</w:t>
      </w:r>
      <w:r w:rsidRPr="00687B52">
        <w:rPr>
          <w:rFonts w:hint="eastAsia"/>
          <w:color w:val="000000" w:themeColor="text1"/>
        </w:rPr>
        <w:t>厂房之间及与乙、丙、丁、戊类仓库、民用建筑等的防火间距（</w:t>
      </w:r>
      <w:r w:rsidRPr="00687B52">
        <w:rPr>
          <w:rFonts w:hint="eastAsia"/>
          <w:color w:val="000000" w:themeColor="text1"/>
        </w:rPr>
        <w:t>m</w:t>
      </w:r>
      <w:r w:rsidRPr="00687B52">
        <w:rPr>
          <w:rFonts w:hint="eastAsia"/>
          <w:color w:val="000000" w:themeColor="text1"/>
        </w:rPr>
        <w:t>）</w:t>
      </w:r>
      <w:bookmarkEnd w:id="406"/>
      <w:bookmarkEnd w:id="407"/>
      <w:bookmarkEnd w:id="408"/>
    </w:p>
    <w:tbl>
      <w:tblPr>
        <w:tblStyle w:val="a6"/>
        <w:tblW w:w="14348" w:type="dxa"/>
        <w:tblInd w:w="-520" w:type="dxa"/>
        <w:tblLayout w:type="fixed"/>
        <w:tblLook w:val="04A0" w:firstRow="1" w:lastRow="0" w:firstColumn="1" w:lastColumn="0" w:noHBand="0" w:noVBand="1"/>
      </w:tblPr>
      <w:tblGrid>
        <w:gridCol w:w="1165"/>
        <w:gridCol w:w="852"/>
        <w:gridCol w:w="1277"/>
        <w:gridCol w:w="1136"/>
        <w:gridCol w:w="990"/>
        <w:gridCol w:w="709"/>
        <w:gridCol w:w="993"/>
        <w:gridCol w:w="993"/>
        <w:gridCol w:w="709"/>
        <w:gridCol w:w="715"/>
        <w:gridCol w:w="993"/>
        <w:gridCol w:w="993"/>
        <w:gridCol w:w="709"/>
        <w:gridCol w:w="717"/>
        <w:gridCol w:w="700"/>
        <w:gridCol w:w="697"/>
      </w:tblGrid>
      <w:tr w:rsidR="00481EDB" w:rsidRPr="00687B52" w:rsidTr="00963ECA">
        <w:trPr>
          <w:trHeight w:hRule="exact" w:val="312"/>
          <w:tblHeader/>
        </w:trPr>
        <w:tc>
          <w:tcPr>
            <w:tcW w:w="3294" w:type="dxa"/>
            <w:gridSpan w:val="3"/>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名称</w:t>
            </w:r>
          </w:p>
        </w:tc>
        <w:tc>
          <w:tcPr>
            <w:tcW w:w="113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甲类厂房</w:t>
            </w:r>
          </w:p>
        </w:tc>
        <w:tc>
          <w:tcPr>
            <w:tcW w:w="2692" w:type="dxa"/>
            <w:gridSpan w:val="3"/>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乙类厂房（仓库）</w:t>
            </w:r>
          </w:p>
        </w:tc>
        <w:tc>
          <w:tcPr>
            <w:tcW w:w="3410" w:type="dxa"/>
            <w:gridSpan w:val="4"/>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丙、丁、戊类厂房（仓库）</w:t>
            </w:r>
          </w:p>
        </w:tc>
        <w:tc>
          <w:tcPr>
            <w:tcW w:w="3816" w:type="dxa"/>
            <w:gridSpan w:val="5"/>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民用建筑</w:t>
            </w:r>
          </w:p>
        </w:tc>
      </w:tr>
      <w:tr w:rsidR="00481EDB" w:rsidRPr="00687B52" w:rsidTr="00963ECA">
        <w:trPr>
          <w:trHeight w:hRule="exact" w:val="312"/>
          <w:tblHeader/>
        </w:trPr>
        <w:tc>
          <w:tcPr>
            <w:tcW w:w="3294" w:type="dxa"/>
            <w:gridSpan w:val="3"/>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13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单、多层</w:t>
            </w:r>
          </w:p>
        </w:tc>
        <w:tc>
          <w:tcPr>
            <w:tcW w:w="1699" w:type="dxa"/>
            <w:gridSpan w:val="2"/>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单、多层</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高层</w:t>
            </w:r>
          </w:p>
        </w:tc>
        <w:tc>
          <w:tcPr>
            <w:tcW w:w="2417" w:type="dxa"/>
            <w:gridSpan w:val="3"/>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单、多层</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高层</w:t>
            </w:r>
          </w:p>
        </w:tc>
        <w:tc>
          <w:tcPr>
            <w:tcW w:w="2419" w:type="dxa"/>
            <w:gridSpan w:val="3"/>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裙房，单、多层</w:t>
            </w:r>
          </w:p>
        </w:tc>
        <w:tc>
          <w:tcPr>
            <w:tcW w:w="1397" w:type="dxa"/>
            <w:gridSpan w:val="2"/>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高层</w:t>
            </w:r>
          </w:p>
        </w:tc>
      </w:tr>
      <w:tr w:rsidR="00481EDB" w:rsidRPr="00687B52" w:rsidTr="00963ECA">
        <w:trPr>
          <w:trHeight w:hRule="exact" w:val="312"/>
          <w:tblHeader/>
        </w:trPr>
        <w:tc>
          <w:tcPr>
            <w:tcW w:w="3294" w:type="dxa"/>
            <w:gridSpan w:val="3"/>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13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一、二级</w:t>
            </w:r>
          </w:p>
        </w:tc>
        <w:tc>
          <w:tcPr>
            <w:tcW w:w="990"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一、二级</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三级</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一、二级</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一、二级</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三级</w:t>
            </w:r>
          </w:p>
        </w:tc>
        <w:tc>
          <w:tcPr>
            <w:tcW w:w="71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四级</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一、二级</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一、二级</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三级</w:t>
            </w:r>
          </w:p>
        </w:tc>
        <w:tc>
          <w:tcPr>
            <w:tcW w:w="71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四级</w:t>
            </w:r>
          </w:p>
        </w:tc>
        <w:tc>
          <w:tcPr>
            <w:tcW w:w="700"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一类</w:t>
            </w:r>
          </w:p>
        </w:tc>
        <w:tc>
          <w:tcPr>
            <w:tcW w:w="69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二类</w:t>
            </w:r>
          </w:p>
        </w:tc>
      </w:tr>
      <w:tr w:rsidR="00481EDB" w:rsidRPr="00687B52" w:rsidTr="00963ECA">
        <w:trPr>
          <w:trHeight w:hRule="exact" w:val="312"/>
        </w:trPr>
        <w:tc>
          <w:tcPr>
            <w:tcW w:w="116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甲类厂房</w:t>
            </w:r>
          </w:p>
        </w:tc>
        <w:tc>
          <w:tcPr>
            <w:tcW w:w="852"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单、多层</w:t>
            </w:r>
          </w:p>
        </w:tc>
        <w:tc>
          <w:tcPr>
            <w:tcW w:w="127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一、二级</w:t>
            </w:r>
          </w:p>
        </w:tc>
        <w:tc>
          <w:tcPr>
            <w:tcW w:w="113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990"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71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16</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2419" w:type="dxa"/>
            <w:gridSpan w:val="3"/>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25</w:t>
            </w:r>
          </w:p>
        </w:tc>
        <w:tc>
          <w:tcPr>
            <w:tcW w:w="1397" w:type="dxa"/>
            <w:gridSpan w:val="2"/>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50</w:t>
            </w:r>
          </w:p>
        </w:tc>
      </w:tr>
      <w:tr w:rsidR="00481EDB" w:rsidRPr="00687B52" w:rsidTr="00963ECA">
        <w:trPr>
          <w:trHeight w:hRule="exact" w:val="312"/>
        </w:trPr>
        <w:tc>
          <w:tcPr>
            <w:tcW w:w="1165"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乙类厂房</w:t>
            </w:r>
          </w:p>
        </w:tc>
        <w:tc>
          <w:tcPr>
            <w:tcW w:w="852"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单、多层</w:t>
            </w:r>
          </w:p>
        </w:tc>
        <w:tc>
          <w:tcPr>
            <w:tcW w:w="127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一、二级</w:t>
            </w:r>
          </w:p>
        </w:tc>
        <w:tc>
          <w:tcPr>
            <w:tcW w:w="113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990"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10</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10</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1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2419" w:type="dxa"/>
            <w:gridSpan w:val="3"/>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397" w:type="dxa"/>
            <w:gridSpan w:val="2"/>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r>
      <w:tr w:rsidR="00481EDB" w:rsidRPr="00687B52" w:rsidTr="00963ECA">
        <w:trPr>
          <w:trHeight w:hRule="exact" w:val="312"/>
        </w:trPr>
        <w:tc>
          <w:tcPr>
            <w:tcW w:w="1165"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852"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27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三级</w:t>
            </w:r>
          </w:p>
        </w:tc>
        <w:tc>
          <w:tcPr>
            <w:tcW w:w="113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990"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71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16</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2419" w:type="dxa"/>
            <w:gridSpan w:val="3"/>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397" w:type="dxa"/>
            <w:gridSpan w:val="2"/>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r>
      <w:tr w:rsidR="00481EDB" w:rsidRPr="00687B52" w:rsidTr="00963ECA">
        <w:trPr>
          <w:trHeight w:hRule="exact" w:val="312"/>
        </w:trPr>
        <w:tc>
          <w:tcPr>
            <w:tcW w:w="1165"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852"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高层</w:t>
            </w:r>
          </w:p>
        </w:tc>
        <w:tc>
          <w:tcPr>
            <w:tcW w:w="127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一、二级</w:t>
            </w:r>
          </w:p>
        </w:tc>
        <w:tc>
          <w:tcPr>
            <w:tcW w:w="113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990"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71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17</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2419" w:type="dxa"/>
            <w:gridSpan w:val="3"/>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397" w:type="dxa"/>
            <w:gridSpan w:val="2"/>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r>
      <w:tr w:rsidR="00481EDB" w:rsidRPr="00687B52" w:rsidTr="00963ECA">
        <w:trPr>
          <w:trHeight w:hRule="exact" w:val="312"/>
        </w:trPr>
        <w:tc>
          <w:tcPr>
            <w:tcW w:w="1165"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丙类厂房</w:t>
            </w:r>
          </w:p>
        </w:tc>
        <w:tc>
          <w:tcPr>
            <w:tcW w:w="852"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单、多层</w:t>
            </w:r>
          </w:p>
        </w:tc>
        <w:tc>
          <w:tcPr>
            <w:tcW w:w="127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一、二级</w:t>
            </w:r>
          </w:p>
        </w:tc>
        <w:tc>
          <w:tcPr>
            <w:tcW w:w="113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990"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10</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10</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1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10</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1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700"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c>
          <w:tcPr>
            <w:tcW w:w="69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25</w:t>
            </w:r>
          </w:p>
        </w:tc>
      </w:tr>
      <w:tr w:rsidR="00481EDB" w:rsidRPr="00687B52" w:rsidTr="00963ECA">
        <w:trPr>
          <w:trHeight w:hRule="exact" w:val="312"/>
        </w:trPr>
        <w:tc>
          <w:tcPr>
            <w:tcW w:w="1165"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852"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27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三级</w:t>
            </w:r>
          </w:p>
        </w:tc>
        <w:tc>
          <w:tcPr>
            <w:tcW w:w="113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990"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71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16</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71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16</w:t>
            </w:r>
          </w:p>
        </w:tc>
        <w:tc>
          <w:tcPr>
            <w:tcW w:w="700"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25</w:t>
            </w:r>
          </w:p>
        </w:tc>
        <w:tc>
          <w:tcPr>
            <w:tcW w:w="697"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r>
      <w:tr w:rsidR="00481EDB" w:rsidRPr="00687B52" w:rsidTr="00963ECA">
        <w:trPr>
          <w:trHeight w:hRule="exact" w:val="312"/>
        </w:trPr>
        <w:tc>
          <w:tcPr>
            <w:tcW w:w="1165"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852"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27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四级</w:t>
            </w:r>
          </w:p>
        </w:tc>
        <w:tc>
          <w:tcPr>
            <w:tcW w:w="113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16</w:t>
            </w:r>
          </w:p>
        </w:tc>
        <w:tc>
          <w:tcPr>
            <w:tcW w:w="990"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16</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17</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16</w:t>
            </w:r>
          </w:p>
        </w:tc>
        <w:tc>
          <w:tcPr>
            <w:tcW w:w="71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18</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17</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16</w:t>
            </w:r>
          </w:p>
        </w:tc>
        <w:tc>
          <w:tcPr>
            <w:tcW w:w="71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18</w:t>
            </w:r>
          </w:p>
        </w:tc>
        <w:tc>
          <w:tcPr>
            <w:tcW w:w="700"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697"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r>
      <w:tr w:rsidR="00481EDB" w:rsidRPr="00687B52" w:rsidTr="00963ECA">
        <w:trPr>
          <w:trHeight w:hRule="exact" w:val="312"/>
        </w:trPr>
        <w:tc>
          <w:tcPr>
            <w:tcW w:w="1165"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852"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高层</w:t>
            </w:r>
          </w:p>
        </w:tc>
        <w:tc>
          <w:tcPr>
            <w:tcW w:w="127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一、二级</w:t>
            </w:r>
          </w:p>
        </w:tc>
        <w:tc>
          <w:tcPr>
            <w:tcW w:w="113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990"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71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17</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71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17</w:t>
            </w:r>
          </w:p>
        </w:tc>
        <w:tc>
          <w:tcPr>
            <w:tcW w:w="700"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c>
          <w:tcPr>
            <w:tcW w:w="69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r>
      <w:tr w:rsidR="00481EDB" w:rsidRPr="00687B52" w:rsidTr="00963ECA">
        <w:trPr>
          <w:trHeight w:hRule="exact" w:val="312"/>
        </w:trPr>
        <w:tc>
          <w:tcPr>
            <w:tcW w:w="1165"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丁、戊类厂房</w:t>
            </w:r>
          </w:p>
        </w:tc>
        <w:tc>
          <w:tcPr>
            <w:tcW w:w="852"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单、多层</w:t>
            </w:r>
          </w:p>
        </w:tc>
        <w:tc>
          <w:tcPr>
            <w:tcW w:w="127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一、二级</w:t>
            </w:r>
          </w:p>
        </w:tc>
        <w:tc>
          <w:tcPr>
            <w:tcW w:w="113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990"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10</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10</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1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10</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1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700"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69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r>
      <w:tr w:rsidR="00481EDB" w:rsidRPr="00687B52" w:rsidTr="00963ECA">
        <w:trPr>
          <w:trHeight w:hRule="exact" w:val="312"/>
        </w:trPr>
        <w:tc>
          <w:tcPr>
            <w:tcW w:w="1165"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852"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27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三级</w:t>
            </w:r>
          </w:p>
        </w:tc>
        <w:tc>
          <w:tcPr>
            <w:tcW w:w="113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990"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71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16</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71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16</w:t>
            </w:r>
          </w:p>
        </w:tc>
        <w:tc>
          <w:tcPr>
            <w:tcW w:w="700"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18</w:t>
            </w:r>
          </w:p>
        </w:tc>
        <w:tc>
          <w:tcPr>
            <w:tcW w:w="697"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r>
      <w:tr w:rsidR="00481EDB" w:rsidRPr="00687B52" w:rsidTr="00963ECA">
        <w:trPr>
          <w:trHeight w:hRule="exact" w:val="312"/>
        </w:trPr>
        <w:tc>
          <w:tcPr>
            <w:tcW w:w="1165"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852"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27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四级</w:t>
            </w:r>
          </w:p>
        </w:tc>
        <w:tc>
          <w:tcPr>
            <w:tcW w:w="113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16</w:t>
            </w:r>
          </w:p>
        </w:tc>
        <w:tc>
          <w:tcPr>
            <w:tcW w:w="990"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16</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17</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16</w:t>
            </w:r>
          </w:p>
        </w:tc>
        <w:tc>
          <w:tcPr>
            <w:tcW w:w="71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18</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17</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16</w:t>
            </w:r>
          </w:p>
        </w:tc>
        <w:tc>
          <w:tcPr>
            <w:tcW w:w="71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18</w:t>
            </w:r>
          </w:p>
        </w:tc>
        <w:tc>
          <w:tcPr>
            <w:tcW w:w="700"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697"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r>
      <w:tr w:rsidR="00481EDB" w:rsidRPr="00687B52" w:rsidTr="00963ECA">
        <w:trPr>
          <w:trHeight w:hRule="exact" w:val="312"/>
        </w:trPr>
        <w:tc>
          <w:tcPr>
            <w:tcW w:w="1165"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852"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高层</w:t>
            </w:r>
          </w:p>
        </w:tc>
        <w:tc>
          <w:tcPr>
            <w:tcW w:w="127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一、二级</w:t>
            </w:r>
          </w:p>
        </w:tc>
        <w:tc>
          <w:tcPr>
            <w:tcW w:w="113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990"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71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17</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71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17</w:t>
            </w:r>
          </w:p>
        </w:tc>
        <w:tc>
          <w:tcPr>
            <w:tcW w:w="700"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69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r>
      <w:tr w:rsidR="00481EDB" w:rsidRPr="00687B52" w:rsidTr="00963ECA">
        <w:trPr>
          <w:trHeight w:hRule="exact" w:val="312"/>
        </w:trPr>
        <w:tc>
          <w:tcPr>
            <w:tcW w:w="1165"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室外变、配电站</w:t>
            </w:r>
          </w:p>
        </w:tc>
        <w:tc>
          <w:tcPr>
            <w:tcW w:w="852"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变压器总油量（</w:t>
            </w:r>
            <w:r w:rsidRPr="00687B52">
              <w:rPr>
                <w:rFonts w:ascii="Times New Roman" w:hAnsi="Times New Roman"/>
                <w:color w:val="000000" w:themeColor="text1"/>
                <w:szCs w:val="21"/>
              </w:rPr>
              <w:t>t</w:t>
            </w:r>
            <w:r w:rsidRPr="00687B52">
              <w:rPr>
                <w:rFonts w:ascii="Times New Roman" w:hAnsi="Times New Roman"/>
                <w:color w:val="000000" w:themeColor="text1"/>
                <w:szCs w:val="21"/>
              </w:rPr>
              <w:t>）</w:t>
            </w:r>
          </w:p>
        </w:tc>
        <w:tc>
          <w:tcPr>
            <w:tcW w:w="127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≥5</w:t>
            </w:r>
            <w:r w:rsidRPr="00687B52">
              <w:rPr>
                <w:rFonts w:ascii="Times New Roman" w:hAnsi="Times New Roman"/>
                <w:color w:val="000000" w:themeColor="text1"/>
                <w:szCs w:val="21"/>
              </w:rPr>
              <w:t>，</w:t>
            </w:r>
            <w:r w:rsidRPr="00687B52">
              <w:rPr>
                <w:rFonts w:ascii="Times New Roman" w:hAnsi="Times New Roman"/>
                <w:color w:val="000000" w:themeColor="text1"/>
                <w:szCs w:val="21"/>
              </w:rPr>
              <w:t>≤10</w:t>
            </w:r>
          </w:p>
        </w:tc>
        <w:tc>
          <w:tcPr>
            <w:tcW w:w="1136"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25</w:t>
            </w:r>
          </w:p>
        </w:tc>
        <w:tc>
          <w:tcPr>
            <w:tcW w:w="990"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25</w:t>
            </w:r>
          </w:p>
        </w:tc>
        <w:tc>
          <w:tcPr>
            <w:tcW w:w="709"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25</w:t>
            </w:r>
          </w:p>
        </w:tc>
        <w:tc>
          <w:tcPr>
            <w:tcW w:w="993"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25</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71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c>
          <w:tcPr>
            <w:tcW w:w="71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25</w:t>
            </w:r>
          </w:p>
        </w:tc>
        <w:tc>
          <w:tcPr>
            <w:tcW w:w="1397" w:type="dxa"/>
            <w:gridSpan w:val="2"/>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r>
      <w:tr w:rsidR="00481EDB" w:rsidRPr="00687B52" w:rsidTr="00963ECA">
        <w:trPr>
          <w:trHeight w:hRule="exact" w:val="312"/>
        </w:trPr>
        <w:tc>
          <w:tcPr>
            <w:tcW w:w="1165"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852"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27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w:t>
            </w:r>
            <w:r w:rsidRPr="00687B52">
              <w:rPr>
                <w:rFonts w:ascii="Times New Roman" w:hAnsi="Times New Roman"/>
                <w:color w:val="000000" w:themeColor="text1"/>
                <w:szCs w:val="21"/>
              </w:rPr>
              <w:t>10</w:t>
            </w:r>
            <w:r w:rsidRPr="00687B52">
              <w:rPr>
                <w:rFonts w:ascii="Times New Roman" w:hAnsi="Times New Roman"/>
                <w:color w:val="000000" w:themeColor="text1"/>
                <w:szCs w:val="21"/>
              </w:rPr>
              <w:t>，</w:t>
            </w:r>
            <w:r w:rsidRPr="00687B52">
              <w:rPr>
                <w:rFonts w:ascii="Times New Roman" w:hAnsi="Times New Roman"/>
                <w:color w:val="000000" w:themeColor="text1"/>
                <w:szCs w:val="21"/>
              </w:rPr>
              <w:t>≤50</w:t>
            </w:r>
          </w:p>
        </w:tc>
        <w:tc>
          <w:tcPr>
            <w:tcW w:w="1136"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990"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709"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993"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c>
          <w:tcPr>
            <w:tcW w:w="71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25</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25</w:t>
            </w:r>
          </w:p>
        </w:tc>
        <w:tc>
          <w:tcPr>
            <w:tcW w:w="71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30</w:t>
            </w:r>
          </w:p>
        </w:tc>
        <w:tc>
          <w:tcPr>
            <w:tcW w:w="1397" w:type="dxa"/>
            <w:gridSpan w:val="2"/>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25</w:t>
            </w:r>
          </w:p>
        </w:tc>
      </w:tr>
      <w:tr w:rsidR="00481EDB" w:rsidRPr="00687B52" w:rsidTr="00963ECA">
        <w:trPr>
          <w:trHeight w:hRule="exact" w:val="312"/>
        </w:trPr>
        <w:tc>
          <w:tcPr>
            <w:tcW w:w="1165"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852"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27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w:t>
            </w:r>
            <w:r w:rsidRPr="00687B52">
              <w:rPr>
                <w:rFonts w:ascii="Times New Roman" w:hAnsi="Times New Roman"/>
                <w:color w:val="000000" w:themeColor="text1"/>
                <w:szCs w:val="21"/>
              </w:rPr>
              <w:t>50</w:t>
            </w:r>
          </w:p>
        </w:tc>
        <w:tc>
          <w:tcPr>
            <w:tcW w:w="1136"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990"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709"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993"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25</w:t>
            </w:r>
          </w:p>
        </w:tc>
        <w:tc>
          <w:tcPr>
            <w:tcW w:w="71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30</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c>
          <w:tcPr>
            <w:tcW w:w="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25</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30</w:t>
            </w:r>
          </w:p>
        </w:tc>
        <w:tc>
          <w:tcPr>
            <w:tcW w:w="71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35</w:t>
            </w:r>
          </w:p>
        </w:tc>
        <w:tc>
          <w:tcPr>
            <w:tcW w:w="1397" w:type="dxa"/>
            <w:gridSpan w:val="2"/>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30</w:t>
            </w:r>
          </w:p>
        </w:tc>
      </w:tr>
    </w:tbl>
    <w:p w:rsidR="00481EDB" w:rsidRPr="00687B52" w:rsidRDefault="00481EDB" w:rsidP="00481EDB">
      <w:pPr>
        <w:adjustRightInd w:val="0"/>
        <w:snapToGrid w:val="0"/>
        <w:spacing w:line="260" w:lineRule="exact"/>
        <w:jc w:val="left"/>
        <w:rPr>
          <w:rFonts w:ascii="Times New Roman" w:hAnsi="Times New Roman" w:cs="Times New Roman"/>
          <w:color w:val="000000" w:themeColor="text1"/>
          <w:sz w:val="18"/>
          <w:szCs w:val="18"/>
        </w:rPr>
      </w:pPr>
      <w:r w:rsidRPr="00687B52">
        <w:rPr>
          <w:rFonts w:ascii="Times New Roman" w:hAnsi="Times New Roman" w:cs="Times New Roman"/>
          <w:color w:val="000000" w:themeColor="text1"/>
          <w:sz w:val="18"/>
          <w:szCs w:val="18"/>
        </w:rPr>
        <w:t>注：</w:t>
      </w:r>
      <w:r w:rsidRPr="00687B52">
        <w:rPr>
          <w:rFonts w:ascii="Times New Roman" w:hAnsi="Times New Roman" w:cs="Times New Roman"/>
          <w:color w:val="000000" w:themeColor="text1"/>
          <w:sz w:val="18"/>
          <w:szCs w:val="18"/>
        </w:rPr>
        <w:t>1</w:t>
      </w:r>
      <w:r w:rsidRPr="00687B52">
        <w:rPr>
          <w:rFonts w:ascii="Times New Roman" w:hAnsi="Times New Roman" w:cs="Times New Roman"/>
          <w:color w:val="000000" w:themeColor="text1"/>
          <w:sz w:val="18"/>
          <w:szCs w:val="18"/>
        </w:rPr>
        <w:t>乙类厂房与重要公共建筑的防火间距不宜小于</w:t>
      </w:r>
      <w:r w:rsidRPr="00687B52">
        <w:rPr>
          <w:rFonts w:ascii="Times New Roman" w:hAnsi="Times New Roman" w:cs="Times New Roman"/>
          <w:color w:val="000000" w:themeColor="text1"/>
          <w:sz w:val="18"/>
          <w:szCs w:val="18"/>
        </w:rPr>
        <w:t xml:space="preserve"> 50m;</w:t>
      </w:r>
      <w:r w:rsidRPr="00687B52">
        <w:rPr>
          <w:rFonts w:ascii="Times New Roman" w:hAnsi="Times New Roman" w:cs="Times New Roman"/>
          <w:color w:val="000000" w:themeColor="text1"/>
          <w:sz w:val="18"/>
          <w:szCs w:val="18"/>
        </w:rPr>
        <w:t>与明火或散发火花地点</w:t>
      </w:r>
      <w:r w:rsidRPr="00687B52">
        <w:rPr>
          <w:rFonts w:ascii="Times New Roman" w:hAnsi="Times New Roman" w:cs="Times New Roman"/>
          <w:color w:val="000000" w:themeColor="text1"/>
          <w:sz w:val="18"/>
          <w:szCs w:val="18"/>
        </w:rPr>
        <w:t>,</w:t>
      </w:r>
      <w:r w:rsidRPr="00687B52">
        <w:rPr>
          <w:rFonts w:ascii="Times New Roman" w:hAnsi="Times New Roman" w:cs="Times New Roman"/>
          <w:color w:val="000000" w:themeColor="text1"/>
          <w:sz w:val="18"/>
          <w:szCs w:val="18"/>
        </w:rPr>
        <w:t>不宜小于</w:t>
      </w:r>
      <w:r w:rsidRPr="00687B52">
        <w:rPr>
          <w:rFonts w:ascii="Times New Roman" w:hAnsi="Times New Roman" w:cs="Times New Roman"/>
          <w:color w:val="000000" w:themeColor="text1"/>
          <w:sz w:val="18"/>
          <w:szCs w:val="18"/>
        </w:rPr>
        <w:t>30m</w:t>
      </w:r>
      <w:r w:rsidRPr="00687B52">
        <w:rPr>
          <w:rFonts w:ascii="Times New Roman" w:hAnsi="Times New Roman" w:cs="Times New Roman"/>
          <w:color w:val="000000" w:themeColor="text1"/>
          <w:sz w:val="18"/>
          <w:szCs w:val="18"/>
        </w:rPr>
        <w:t>。单、多层戊类厂房之间及与戊类仓库的防火间距可按本表的规定减少</w:t>
      </w:r>
      <w:r w:rsidRPr="00687B52">
        <w:rPr>
          <w:rFonts w:ascii="Times New Roman" w:hAnsi="Times New Roman" w:cs="Times New Roman"/>
          <w:color w:val="000000" w:themeColor="text1"/>
          <w:sz w:val="18"/>
          <w:szCs w:val="18"/>
        </w:rPr>
        <w:t>2m</w:t>
      </w:r>
      <w:r w:rsidRPr="00687B52">
        <w:rPr>
          <w:rFonts w:ascii="Times New Roman" w:hAnsi="Times New Roman" w:cs="Times New Roman"/>
          <w:color w:val="000000" w:themeColor="text1"/>
          <w:sz w:val="18"/>
          <w:szCs w:val="18"/>
        </w:rPr>
        <w:t>，与民用建筑的防火间距可将戊类厂房等同民用建筑按本规范第</w:t>
      </w:r>
      <w:r w:rsidRPr="00687B52">
        <w:rPr>
          <w:rFonts w:ascii="Times New Roman" w:hAnsi="Times New Roman" w:cs="Times New Roman"/>
          <w:color w:val="000000" w:themeColor="text1"/>
          <w:sz w:val="18"/>
          <w:szCs w:val="18"/>
        </w:rPr>
        <w:t xml:space="preserve"> 5.2.2</w:t>
      </w:r>
      <w:r w:rsidRPr="00687B52">
        <w:rPr>
          <w:rFonts w:ascii="Times New Roman" w:hAnsi="Times New Roman" w:cs="Times New Roman"/>
          <w:color w:val="000000" w:themeColor="text1"/>
          <w:sz w:val="18"/>
          <w:szCs w:val="18"/>
        </w:rPr>
        <w:t>条的规定执行。为丙、丁、戊类厂房服务而单独设置的生活用房应按民用建筑确定</w:t>
      </w:r>
      <w:r w:rsidRPr="00687B52">
        <w:rPr>
          <w:rFonts w:ascii="Times New Roman" w:hAnsi="Times New Roman" w:cs="Times New Roman"/>
          <w:color w:val="000000" w:themeColor="text1"/>
          <w:sz w:val="18"/>
          <w:szCs w:val="18"/>
        </w:rPr>
        <w:t>,</w:t>
      </w:r>
      <w:r w:rsidRPr="00687B52">
        <w:rPr>
          <w:rFonts w:ascii="Times New Roman" w:hAnsi="Times New Roman" w:cs="Times New Roman"/>
          <w:color w:val="000000" w:themeColor="text1"/>
          <w:sz w:val="18"/>
          <w:szCs w:val="18"/>
        </w:rPr>
        <w:t>与所属厂房的防火间距不应小于</w:t>
      </w:r>
      <w:r w:rsidRPr="00687B52">
        <w:rPr>
          <w:rFonts w:ascii="Times New Roman" w:hAnsi="Times New Roman" w:cs="Times New Roman"/>
          <w:color w:val="000000" w:themeColor="text1"/>
          <w:sz w:val="18"/>
          <w:szCs w:val="18"/>
        </w:rPr>
        <w:t xml:space="preserve"> 6m</w:t>
      </w:r>
      <w:r w:rsidRPr="00687B52">
        <w:rPr>
          <w:rFonts w:ascii="Times New Roman" w:hAnsi="Times New Roman" w:cs="Times New Roman"/>
          <w:color w:val="000000" w:themeColor="text1"/>
          <w:sz w:val="18"/>
          <w:szCs w:val="18"/>
        </w:rPr>
        <w:t>。确需相邻布置时</w:t>
      </w:r>
      <w:r w:rsidRPr="00687B52">
        <w:rPr>
          <w:rFonts w:ascii="Times New Roman" w:hAnsi="Times New Roman" w:cs="Times New Roman"/>
          <w:color w:val="000000" w:themeColor="text1"/>
          <w:sz w:val="18"/>
          <w:szCs w:val="18"/>
        </w:rPr>
        <w:t>,</w:t>
      </w:r>
      <w:r w:rsidRPr="00687B52">
        <w:rPr>
          <w:rFonts w:ascii="Times New Roman" w:hAnsi="Times New Roman" w:cs="Times New Roman"/>
          <w:color w:val="000000" w:themeColor="text1"/>
          <w:sz w:val="18"/>
          <w:szCs w:val="18"/>
        </w:rPr>
        <w:t>应符合本表注</w:t>
      </w:r>
      <w:r w:rsidRPr="00687B52">
        <w:rPr>
          <w:rFonts w:ascii="Times New Roman" w:hAnsi="Times New Roman" w:cs="Times New Roman"/>
          <w:color w:val="000000" w:themeColor="text1"/>
          <w:sz w:val="18"/>
          <w:szCs w:val="18"/>
        </w:rPr>
        <w:t xml:space="preserve"> 2</w:t>
      </w:r>
      <w:r w:rsidRPr="00687B52">
        <w:rPr>
          <w:rFonts w:ascii="Times New Roman" w:hAnsi="Times New Roman" w:cs="Times New Roman"/>
          <w:color w:val="000000" w:themeColor="text1"/>
          <w:sz w:val="18"/>
          <w:szCs w:val="18"/>
        </w:rPr>
        <w:t>、</w:t>
      </w:r>
      <w:r w:rsidRPr="00687B52">
        <w:rPr>
          <w:rFonts w:ascii="Times New Roman" w:hAnsi="Times New Roman" w:cs="Times New Roman"/>
          <w:color w:val="000000" w:themeColor="text1"/>
          <w:sz w:val="18"/>
          <w:szCs w:val="18"/>
        </w:rPr>
        <w:t>3</w:t>
      </w:r>
      <w:r w:rsidRPr="00687B52">
        <w:rPr>
          <w:rFonts w:ascii="Times New Roman" w:hAnsi="Times New Roman" w:cs="Times New Roman"/>
          <w:color w:val="000000" w:themeColor="text1"/>
          <w:sz w:val="18"/>
          <w:szCs w:val="18"/>
        </w:rPr>
        <w:t>的规定。</w:t>
      </w:r>
    </w:p>
    <w:p w:rsidR="00481EDB" w:rsidRPr="00687B52" w:rsidRDefault="00481EDB" w:rsidP="00481EDB">
      <w:pPr>
        <w:adjustRightInd w:val="0"/>
        <w:snapToGrid w:val="0"/>
        <w:spacing w:line="260" w:lineRule="exact"/>
        <w:jc w:val="left"/>
        <w:rPr>
          <w:rFonts w:ascii="Times New Roman" w:hAnsi="Times New Roman" w:cs="Times New Roman"/>
          <w:color w:val="000000" w:themeColor="text1"/>
          <w:sz w:val="18"/>
          <w:szCs w:val="18"/>
        </w:rPr>
      </w:pPr>
      <w:r w:rsidRPr="00687B52">
        <w:rPr>
          <w:rFonts w:ascii="Times New Roman" w:hAnsi="Times New Roman" w:cs="Times New Roman"/>
          <w:color w:val="000000" w:themeColor="text1"/>
          <w:sz w:val="18"/>
          <w:szCs w:val="18"/>
        </w:rPr>
        <w:t xml:space="preserve">2 </w:t>
      </w:r>
      <w:r w:rsidRPr="00687B52">
        <w:rPr>
          <w:rFonts w:ascii="Times New Roman" w:hAnsi="Times New Roman" w:cs="Times New Roman"/>
          <w:color w:val="000000" w:themeColor="text1"/>
          <w:sz w:val="18"/>
          <w:szCs w:val="18"/>
        </w:rPr>
        <w:t>两座厂房相邻较高一面外墙为防火墙，或相邻两座高度相同的一、二级耐火等级建筑中相邻任一侧外墙为防火墙且屋顶的耐火极限不低于</w:t>
      </w:r>
      <w:r w:rsidRPr="00687B52">
        <w:rPr>
          <w:rFonts w:ascii="Times New Roman" w:hAnsi="Times New Roman" w:cs="Times New Roman"/>
          <w:color w:val="000000" w:themeColor="text1"/>
          <w:sz w:val="18"/>
          <w:szCs w:val="18"/>
        </w:rPr>
        <w:t>1.00h</w:t>
      </w:r>
      <w:r w:rsidRPr="00687B52">
        <w:rPr>
          <w:rFonts w:ascii="Times New Roman" w:hAnsi="Times New Roman" w:cs="Times New Roman"/>
          <w:color w:val="000000" w:themeColor="text1"/>
          <w:sz w:val="18"/>
          <w:szCs w:val="18"/>
        </w:rPr>
        <w:t>时，其防火间距不限</w:t>
      </w:r>
      <w:r w:rsidRPr="00687B52">
        <w:rPr>
          <w:rFonts w:ascii="Times New Roman" w:hAnsi="Times New Roman" w:cs="Times New Roman"/>
          <w:color w:val="000000" w:themeColor="text1"/>
          <w:sz w:val="18"/>
          <w:szCs w:val="18"/>
        </w:rPr>
        <w:t>,</w:t>
      </w:r>
      <w:r w:rsidRPr="00687B52">
        <w:rPr>
          <w:rFonts w:ascii="Times New Roman" w:hAnsi="Times New Roman" w:cs="Times New Roman"/>
          <w:color w:val="000000" w:themeColor="text1"/>
          <w:sz w:val="18"/>
          <w:szCs w:val="18"/>
        </w:rPr>
        <w:t>但甲类厂房之间不应小于</w:t>
      </w:r>
      <w:r w:rsidRPr="00687B52">
        <w:rPr>
          <w:rFonts w:ascii="Times New Roman" w:hAnsi="Times New Roman" w:cs="Times New Roman"/>
          <w:color w:val="000000" w:themeColor="text1"/>
          <w:sz w:val="18"/>
          <w:szCs w:val="18"/>
        </w:rPr>
        <w:t xml:space="preserve">4m </w:t>
      </w:r>
      <w:r w:rsidRPr="00687B52">
        <w:rPr>
          <w:rFonts w:ascii="Times New Roman" w:hAnsi="Times New Roman" w:cs="Times New Roman"/>
          <w:color w:val="000000" w:themeColor="text1"/>
          <w:sz w:val="18"/>
          <w:szCs w:val="18"/>
        </w:rPr>
        <w:t>。两座丙、丁、戊类厂房相邻两面外墙均为不燃性墙体</w:t>
      </w:r>
      <w:r w:rsidRPr="00687B52">
        <w:rPr>
          <w:rFonts w:ascii="Times New Roman" w:hAnsi="Times New Roman" w:cs="Times New Roman" w:hint="eastAsia"/>
          <w:color w:val="000000" w:themeColor="text1"/>
          <w:sz w:val="18"/>
          <w:szCs w:val="18"/>
        </w:rPr>
        <w:t>，</w:t>
      </w:r>
      <w:r w:rsidRPr="00687B52">
        <w:rPr>
          <w:rFonts w:ascii="Times New Roman" w:hAnsi="Times New Roman" w:cs="Times New Roman"/>
          <w:color w:val="000000" w:themeColor="text1"/>
          <w:sz w:val="18"/>
          <w:szCs w:val="18"/>
        </w:rPr>
        <w:t>当无外露的可燃性屋檐</w:t>
      </w:r>
      <w:r w:rsidRPr="00687B52">
        <w:rPr>
          <w:rFonts w:ascii="Times New Roman" w:hAnsi="Times New Roman" w:cs="Times New Roman"/>
          <w:color w:val="000000" w:themeColor="text1"/>
          <w:sz w:val="18"/>
          <w:szCs w:val="18"/>
        </w:rPr>
        <w:t>,</w:t>
      </w:r>
      <w:r w:rsidRPr="00687B52">
        <w:rPr>
          <w:rFonts w:ascii="Times New Roman" w:hAnsi="Times New Roman" w:cs="Times New Roman"/>
          <w:color w:val="000000" w:themeColor="text1"/>
          <w:sz w:val="18"/>
          <w:szCs w:val="18"/>
        </w:rPr>
        <w:t>每面外墙上的门、窗、洞口面积之和各不大于外墙面积的</w:t>
      </w:r>
      <w:r w:rsidRPr="00687B52">
        <w:rPr>
          <w:rFonts w:ascii="Times New Roman" w:hAnsi="Times New Roman" w:cs="Times New Roman"/>
          <w:color w:val="000000" w:themeColor="text1"/>
          <w:sz w:val="18"/>
          <w:szCs w:val="18"/>
        </w:rPr>
        <w:t>5%</w:t>
      </w:r>
      <w:r w:rsidRPr="00687B52">
        <w:rPr>
          <w:rFonts w:ascii="Times New Roman" w:hAnsi="Times New Roman" w:cs="Times New Roman" w:hint="eastAsia"/>
          <w:color w:val="000000" w:themeColor="text1"/>
          <w:sz w:val="18"/>
          <w:szCs w:val="18"/>
        </w:rPr>
        <w:t>，</w:t>
      </w:r>
      <w:r w:rsidRPr="00687B52">
        <w:rPr>
          <w:rFonts w:ascii="Times New Roman" w:hAnsi="Times New Roman" w:cs="Times New Roman"/>
          <w:color w:val="000000" w:themeColor="text1"/>
          <w:sz w:val="18"/>
          <w:szCs w:val="18"/>
        </w:rPr>
        <w:t>且门、窗、洞口不正对开设时</w:t>
      </w:r>
      <w:r w:rsidRPr="00687B52">
        <w:rPr>
          <w:rFonts w:ascii="Times New Roman" w:hAnsi="Times New Roman" w:cs="Times New Roman"/>
          <w:color w:val="000000" w:themeColor="text1"/>
          <w:sz w:val="18"/>
          <w:szCs w:val="18"/>
        </w:rPr>
        <w:t>,</w:t>
      </w:r>
      <w:r w:rsidRPr="00687B52">
        <w:rPr>
          <w:rFonts w:ascii="Times New Roman" w:hAnsi="Times New Roman" w:cs="Times New Roman"/>
          <w:color w:val="000000" w:themeColor="text1"/>
          <w:sz w:val="18"/>
          <w:szCs w:val="18"/>
        </w:rPr>
        <w:t>其防火间距可按本表的规定减少</w:t>
      </w:r>
      <w:r w:rsidRPr="00687B52">
        <w:rPr>
          <w:rFonts w:ascii="Times New Roman" w:hAnsi="Times New Roman" w:cs="Times New Roman"/>
          <w:color w:val="000000" w:themeColor="text1"/>
          <w:sz w:val="18"/>
          <w:szCs w:val="18"/>
        </w:rPr>
        <w:t xml:space="preserve"> 25%</w:t>
      </w:r>
      <w:r w:rsidRPr="00687B52">
        <w:rPr>
          <w:rFonts w:ascii="Times New Roman" w:hAnsi="Times New Roman" w:cs="Times New Roman"/>
          <w:color w:val="000000" w:themeColor="text1"/>
          <w:sz w:val="18"/>
          <w:szCs w:val="18"/>
        </w:rPr>
        <w:t>。甲、乙类厂房</w:t>
      </w:r>
      <w:r w:rsidRPr="00687B52">
        <w:rPr>
          <w:rFonts w:ascii="Times New Roman" w:hAnsi="Times New Roman" w:cs="Times New Roman"/>
          <w:color w:val="000000" w:themeColor="text1"/>
          <w:sz w:val="18"/>
          <w:szCs w:val="18"/>
        </w:rPr>
        <w:t xml:space="preserve"> (</w:t>
      </w:r>
      <w:r w:rsidRPr="00687B52">
        <w:rPr>
          <w:rFonts w:ascii="Times New Roman" w:hAnsi="Times New Roman" w:cs="Times New Roman"/>
          <w:color w:val="000000" w:themeColor="text1"/>
          <w:sz w:val="18"/>
          <w:szCs w:val="18"/>
        </w:rPr>
        <w:t>仓库</w:t>
      </w:r>
      <w:r w:rsidRPr="00687B52">
        <w:rPr>
          <w:rFonts w:ascii="Times New Roman" w:hAnsi="Times New Roman" w:cs="Times New Roman"/>
          <w:color w:val="000000" w:themeColor="text1"/>
          <w:sz w:val="18"/>
          <w:szCs w:val="18"/>
        </w:rPr>
        <w:t xml:space="preserve"> )</w:t>
      </w:r>
      <w:r w:rsidRPr="00687B52">
        <w:rPr>
          <w:rFonts w:ascii="Times New Roman" w:hAnsi="Times New Roman" w:cs="Times New Roman"/>
          <w:color w:val="000000" w:themeColor="text1"/>
          <w:sz w:val="18"/>
          <w:szCs w:val="18"/>
        </w:rPr>
        <w:t>不应与本规范第</w:t>
      </w:r>
      <w:r w:rsidRPr="00687B52">
        <w:rPr>
          <w:rFonts w:ascii="Times New Roman" w:hAnsi="Times New Roman" w:cs="Times New Roman"/>
          <w:color w:val="000000" w:themeColor="text1"/>
          <w:sz w:val="18"/>
          <w:szCs w:val="18"/>
        </w:rPr>
        <w:t xml:space="preserve"> 3.3.5</w:t>
      </w:r>
      <w:r w:rsidRPr="00687B52">
        <w:rPr>
          <w:rFonts w:ascii="Times New Roman" w:hAnsi="Times New Roman" w:cs="Times New Roman"/>
          <w:color w:val="000000" w:themeColor="text1"/>
          <w:sz w:val="18"/>
          <w:szCs w:val="18"/>
        </w:rPr>
        <w:t>条规定外的其他建筑贴邻。</w:t>
      </w:r>
    </w:p>
    <w:p w:rsidR="00481EDB" w:rsidRPr="00687B52" w:rsidRDefault="00481EDB" w:rsidP="00481EDB">
      <w:pPr>
        <w:adjustRightInd w:val="0"/>
        <w:snapToGrid w:val="0"/>
        <w:spacing w:line="260" w:lineRule="exact"/>
        <w:jc w:val="left"/>
        <w:rPr>
          <w:rFonts w:ascii="Times New Roman" w:hAnsi="Times New Roman" w:cs="Times New Roman"/>
          <w:color w:val="000000" w:themeColor="text1"/>
          <w:sz w:val="18"/>
          <w:szCs w:val="18"/>
        </w:rPr>
      </w:pPr>
      <w:r w:rsidRPr="00687B52">
        <w:rPr>
          <w:rFonts w:ascii="Times New Roman" w:hAnsi="Times New Roman" w:cs="Times New Roman"/>
          <w:color w:val="000000" w:themeColor="text1"/>
          <w:sz w:val="18"/>
          <w:szCs w:val="18"/>
        </w:rPr>
        <w:t xml:space="preserve">3 </w:t>
      </w:r>
      <w:r w:rsidRPr="00687B52">
        <w:rPr>
          <w:rFonts w:ascii="Times New Roman" w:hAnsi="Times New Roman" w:cs="Times New Roman"/>
          <w:color w:val="000000" w:themeColor="text1"/>
          <w:sz w:val="18"/>
          <w:szCs w:val="18"/>
        </w:rPr>
        <w:t>两座一、二级耐火等级的厂房</w:t>
      </w:r>
      <w:r w:rsidRPr="00687B52">
        <w:rPr>
          <w:rFonts w:ascii="Times New Roman" w:hAnsi="Times New Roman" w:cs="Times New Roman" w:hint="eastAsia"/>
          <w:color w:val="000000" w:themeColor="text1"/>
          <w:sz w:val="18"/>
          <w:szCs w:val="18"/>
        </w:rPr>
        <w:t>，</w:t>
      </w:r>
      <w:r w:rsidRPr="00687B52">
        <w:rPr>
          <w:rFonts w:ascii="Times New Roman" w:hAnsi="Times New Roman" w:cs="Times New Roman"/>
          <w:color w:val="000000" w:themeColor="text1"/>
          <w:sz w:val="18"/>
          <w:szCs w:val="18"/>
        </w:rPr>
        <w:t>当相邻较低一面外墙为防火墙且较低一座厂房的屋顶无天窗</w:t>
      </w:r>
      <w:r w:rsidRPr="00687B52">
        <w:rPr>
          <w:rFonts w:ascii="Times New Roman" w:hAnsi="Times New Roman" w:cs="Times New Roman" w:hint="eastAsia"/>
          <w:color w:val="000000" w:themeColor="text1"/>
          <w:sz w:val="18"/>
          <w:szCs w:val="18"/>
        </w:rPr>
        <w:t>，</w:t>
      </w:r>
      <w:r w:rsidRPr="00687B52">
        <w:rPr>
          <w:rFonts w:ascii="Times New Roman" w:hAnsi="Times New Roman" w:cs="Times New Roman"/>
          <w:color w:val="000000" w:themeColor="text1"/>
          <w:sz w:val="18"/>
          <w:szCs w:val="18"/>
        </w:rPr>
        <w:t>屋顶的耐火极限不低于</w:t>
      </w:r>
      <w:r w:rsidRPr="00687B52">
        <w:rPr>
          <w:rFonts w:ascii="Times New Roman" w:hAnsi="Times New Roman" w:cs="Times New Roman"/>
          <w:color w:val="000000" w:themeColor="text1"/>
          <w:sz w:val="18"/>
          <w:szCs w:val="18"/>
        </w:rPr>
        <w:t xml:space="preserve"> 1,0</w:t>
      </w:r>
      <w:r w:rsidRPr="00687B52">
        <w:rPr>
          <w:rFonts w:ascii="Times New Roman" w:hAnsi="Times New Roman" w:cs="Times New Roman" w:hint="eastAsia"/>
          <w:color w:val="000000" w:themeColor="text1"/>
          <w:sz w:val="18"/>
          <w:szCs w:val="18"/>
        </w:rPr>
        <w:t>0</w:t>
      </w:r>
      <w:r w:rsidRPr="00687B52">
        <w:rPr>
          <w:rFonts w:ascii="Times New Roman" w:hAnsi="Times New Roman" w:cs="Times New Roman"/>
          <w:color w:val="000000" w:themeColor="text1"/>
          <w:sz w:val="18"/>
          <w:szCs w:val="18"/>
        </w:rPr>
        <w:t>h,</w:t>
      </w:r>
      <w:r w:rsidRPr="00687B52">
        <w:rPr>
          <w:rFonts w:ascii="Times New Roman" w:hAnsi="Times New Roman" w:cs="Times New Roman"/>
          <w:color w:val="000000" w:themeColor="text1"/>
          <w:sz w:val="18"/>
          <w:szCs w:val="18"/>
        </w:rPr>
        <w:t>或相邻较高一面外墙的门、窗等开口部位设置甲级防火门、窗或防火分隔水幕或按本规范第</w:t>
      </w:r>
      <w:r w:rsidRPr="00687B52">
        <w:rPr>
          <w:rFonts w:ascii="Times New Roman" w:hAnsi="Times New Roman" w:cs="Times New Roman"/>
          <w:color w:val="000000" w:themeColor="text1"/>
          <w:sz w:val="18"/>
          <w:szCs w:val="18"/>
        </w:rPr>
        <w:t xml:space="preserve"> 6.5.3</w:t>
      </w:r>
      <w:r w:rsidRPr="00687B52">
        <w:rPr>
          <w:rFonts w:ascii="Times New Roman" w:hAnsi="Times New Roman" w:cs="Times New Roman"/>
          <w:color w:val="000000" w:themeColor="text1"/>
          <w:sz w:val="18"/>
          <w:szCs w:val="18"/>
        </w:rPr>
        <w:t>条的规定设置防火卷帘时</w:t>
      </w:r>
      <w:r w:rsidRPr="00687B52">
        <w:rPr>
          <w:rFonts w:ascii="Times New Roman" w:hAnsi="Times New Roman" w:cs="Times New Roman"/>
          <w:color w:val="000000" w:themeColor="text1"/>
          <w:sz w:val="18"/>
          <w:szCs w:val="18"/>
        </w:rPr>
        <w:t>,</w:t>
      </w:r>
      <w:r w:rsidRPr="00687B52">
        <w:rPr>
          <w:rFonts w:ascii="Times New Roman" w:hAnsi="Times New Roman" w:cs="Times New Roman"/>
          <w:color w:val="000000" w:themeColor="text1"/>
          <w:sz w:val="18"/>
          <w:szCs w:val="18"/>
        </w:rPr>
        <w:t>甲、乙类厂房之间的防火间距不应小于</w:t>
      </w:r>
      <w:r w:rsidRPr="00687B52">
        <w:rPr>
          <w:rFonts w:ascii="Times New Roman" w:hAnsi="Times New Roman" w:cs="Times New Roman"/>
          <w:color w:val="000000" w:themeColor="text1"/>
          <w:sz w:val="18"/>
          <w:szCs w:val="18"/>
        </w:rPr>
        <w:t>6m</w:t>
      </w:r>
      <w:r w:rsidRPr="00687B52">
        <w:rPr>
          <w:rFonts w:ascii="Times New Roman" w:hAnsi="Times New Roman" w:cs="Times New Roman"/>
          <w:color w:val="000000" w:themeColor="text1"/>
          <w:sz w:val="18"/>
          <w:szCs w:val="18"/>
        </w:rPr>
        <w:t>；丙、丁、戊类厂房之间的防火间距不应小于</w:t>
      </w:r>
      <w:r w:rsidRPr="00687B52">
        <w:rPr>
          <w:rFonts w:ascii="Times New Roman" w:hAnsi="Times New Roman" w:cs="Times New Roman"/>
          <w:color w:val="000000" w:themeColor="text1"/>
          <w:sz w:val="18"/>
          <w:szCs w:val="18"/>
        </w:rPr>
        <w:t>4m</w:t>
      </w:r>
      <w:r w:rsidRPr="00687B52">
        <w:rPr>
          <w:rFonts w:ascii="Times New Roman" w:hAnsi="Times New Roman" w:cs="Times New Roman"/>
          <w:color w:val="000000" w:themeColor="text1"/>
          <w:sz w:val="18"/>
          <w:szCs w:val="18"/>
        </w:rPr>
        <w:t>。</w:t>
      </w:r>
    </w:p>
    <w:p w:rsidR="00481EDB" w:rsidRPr="00687B52" w:rsidRDefault="00481EDB" w:rsidP="00481EDB">
      <w:pPr>
        <w:adjustRightInd w:val="0"/>
        <w:snapToGrid w:val="0"/>
        <w:spacing w:line="260" w:lineRule="exact"/>
        <w:jc w:val="left"/>
        <w:rPr>
          <w:rFonts w:ascii="Times New Roman" w:hAnsi="Times New Roman" w:cs="Times New Roman"/>
          <w:color w:val="000000" w:themeColor="text1"/>
          <w:sz w:val="18"/>
          <w:szCs w:val="18"/>
        </w:rPr>
      </w:pPr>
      <w:r w:rsidRPr="00687B52">
        <w:rPr>
          <w:rFonts w:ascii="Times New Roman" w:hAnsi="Times New Roman" w:cs="Times New Roman"/>
          <w:color w:val="000000" w:themeColor="text1"/>
          <w:sz w:val="18"/>
          <w:szCs w:val="18"/>
        </w:rPr>
        <w:t xml:space="preserve">4 </w:t>
      </w:r>
      <w:r w:rsidRPr="00687B52">
        <w:rPr>
          <w:rFonts w:ascii="Times New Roman" w:hAnsi="Times New Roman" w:cs="Times New Roman"/>
          <w:color w:val="000000" w:themeColor="text1"/>
          <w:sz w:val="18"/>
          <w:szCs w:val="18"/>
        </w:rPr>
        <w:t>发电厂内的主变压器</w:t>
      </w:r>
      <w:r w:rsidRPr="00687B52">
        <w:rPr>
          <w:rFonts w:ascii="Times New Roman" w:hAnsi="Times New Roman" w:cs="Times New Roman"/>
          <w:color w:val="000000" w:themeColor="text1"/>
          <w:sz w:val="18"/>
          <w:szCs w:val="18"/>
        </w:rPr>
        <w:t>,</w:t>
      </w:r>
      <w:r w:rsidRPr="00687B52">
        <w:rPr>
          <w:rFonts w:ascii="Times New Roman" w:hAnsi="Times New Roman" w:cs="Times New Roman"/>
          <w:color w:val="000000" w:themeColor="text1"/>
          <w:sz w:val="18"/>
          <w:szCs w:val="18"/>
        </w:rPr>
        <w:t>其油量可按单台确定。</w:t>
      </w:r>
    </w:p>
    <w:p w:rsidR="00481EDB" w:rsidRPr="00687B52" w:rsidRDefault="00481EDB" w:rsidP="00F25ED0">
      <w:pPr>
        <w:pStyle w:val="11"/>
        <w:adjustRightInd w:val="0"/>
        <w:snapToGrid w:val="0"/>
        <w:spacing w:beforeLines="100" w:before="312"/>
        <w:ind w:firstLineChars="0" w:firstLine="0"/>
        <w:jc w:val="left"/>
        <w:rPr>
          <w:rFonts w:ascii="Times New Roman" w:hAnsi="Times New Roman"/>
          <w:color w:val="000000" w:themeColor="text1"/>
          <w:sz w:val="18"/>
          <w:szCs w:val="18"/>
        </w:rPr>
      </w:pPr>
      <w:r w:rsidRPr="00687B52">
        <w:rPr>
          <w:rFonts w:ascii="Times New Roman" w:hAnsi="Times New Roman"/>
          <w:color w:val="000000" w:themeColor="text1"/>
          <w:sz w:val="18"/>
          <w:szCs w:val="18"/>
        </w:rPr>
        <w:t xml:space="preserve">5 </w:t>
      </w:r>
      <w:r w:rsidRPr="00687B52">
        <w:rPr>
          <w:rFonts w:ascii="Times New Roman" w:hAnsi="Times New Roman"/>
          <w:color w:val="000000" w:themeColor="text1"/>
          <w:sz w:val="18"/>
          <w:szCs w:val="18"/>
        </w:rPr>
        <w:t>耐火等级低于四级的既有厂房</w:t>
      </w:r>
      <w:r w:rsidRPr="00687B52">
        <w:rPr>
          <w:rFonts w:ascii="Times New Roman" w:hAnsi="Times New Roman"/>
          <w:color w:val="000000" w:themeColor="text1"/>
          <w:sz w:val="18"/>
          <w:szCs w:val="18"/>
        </w:rPr>
        <w:t>,</w:t>
      </w:r>
      <w:r w:rsidRPr="00687B52">
        <w:rPr>
          <w:rFonts w:ascii="Times New Roman" w:hAnsi="Times New Roman"/>
          <w:color w:val="000000" w:themeColor="text1"/>
          <w:sz w:val="18"/>
          <w:szCs w:val="18"/>
        </w:rPr>
        <w:t>其耐火等级可按四级确定。</w:t>
      </w:r>
      <w:r w:rsidRPr="00687B52">
        <w:rPr>
          <w:rFonts w:ascii="Times New Roman" w:hAnsi="Times New Roman"/>
          <w:color w:val="000000" w:themeColor="text1"/>
          <w:sz w:val="18"/>
          <w:szCs w:val="18"/>
        </w:rPr>
        <w:t xml:space="preserve">6 </w:t>
      </w:r>
      <w:r w:rsidRPr="00687B52">
        <w:rPr>
          <w:rFonts w:ascii="Times New Roman" w:hAnsi="Times New Roman"/>
          <w:color w:val="000000" w:themeColor="text1"/>
          <w:sz w:val="18"/>
          <w:szCs w:val="18"/>
        </w:rPr>
        <w:t>当丙、丁、戊类厂房与丙、丁、戊类仓库相邻是，应符合本表注</w:t>
      </w:r>
      <w:r w:rsidRPr="00687B52">
        <w:rPr>
          <w:rFonts w:ascii="Times New Roman" w:hAnsi="Times New Roman"/>
          <w:color w:val="000000" w:themeColor="text1"/>
          <w:sz w:val="18"/>
          <w:szCs w:val="18"/>
        </w:rPr>
        <w:t>2/3</w:t>
      </w:r>
      <w:r w:rsidRPr="00687B52">
        <w:rPr>
          <w:rFonts w:ascii="Times New Roman" w:hAnsi="Times New Roman"/>
          <w:color w:val="000000" w:themeColor="text1"/>
          <w:sz w:val="18"/>
          <w:szCs w:val="18"/>
        </w:rPr>
        <w:t>的规定。</w:t>
      </w:r>
    </w:p>
    <w:p w:rsidR="00481EDB" w:rsidRPr="00687B52" w:rsidRDefault="00481EDB" w:rsidP="00963ECA">
      <w:pPr>
        <w:pStyle w:val="afd"/>
        <w:rPr>
          <w:color w:val="000000" w:themeColor="text1"/>
          <w:szCs w:val="21"/>
        </w:rPr>
      </w:pPr>
      <w:bookmarkStart w:id="409" w:name="_Toc491870865"/>
      <w:bookmarkStart w:id="410" w:name="_Toc492563519"/>
      <w:bookmarkStart w:id="411" w:name="_Toc493857124"/>
      <w:r w:rsidRPr="00687B52">
        <w:rPr>
          <w:rFonts w:hint="eastAsia"/>
          <w:color w:val="000000" w:themeColor="text1"/>
        </w:rPr>
        <w:t>表</w:t>
      </w:r>
      <w:r w:rsidRPr="00687B52">
        <w:rPr>
          <w:rFonts w:hint="eastAsia"/>
          <w:color w:val="000000" w:themeColor="text1"/>
        </w:rPr>
        <w:t>3.4.3</w:t>
      </w:r>
      <w:r w:rsidRPr="00687B52">
        <w:rPr>
          <w:rFonts w:hint="eastAsia"/>
          <w:color w:val="000000" w:themeColor="text1"/>
        </w:rPr>
        <w:t>散发可燃气体、可燃蒸汽的甲类厂房与铁路、道路等的防火间距（</w:t>
      </w:r>
      <w:r w:rsidRPr="00687B52">
        <w:rPr>
          <w:rFonts w:hint="eastAsia"/>
          <w:color w:val="000000" w:themeColor="text1"/>
        </w:rPr>
        <w:t>m</w:t>
      </w:r>
      <w:r w:rsidRPr="00687B52">
        <w:rPr>
          <w:rFonts w:hint="eastAsia"/>
          <w:color w:val="000000" w:themeColor="text1"/>
        </w:rPr>
        <w:t>）</w:t>
      </w:r>
      <w:bookmarkEnd w:id="409"/>
      <w:bookmarkEnd w:id="410"/>
      <w:bookmarkEnd w:id="411"/>
    </w:p>
    <w:tbl>
      <w:tblPr>
        <w:tblStyle w:val="a6"/>
        <w:tblW w:w="8505" w:type="dxa"/>
        <w:tblLayout w:type="fixed"/>
        <w:tblLook w:val="04A0" w:firstRow="1" w:lastRow="0" w:firstColumn="1" w:lastColumn="0" w:noHBand="0" w:noVBand="1"/>
      </w:tblPr>
      <w:tblGrid>
        <w:gridCol w:w="1243"/>
        <w:gridCol w:w="2017"/>
        <w:gridCol w:w="1985"/>
        <w:gridCol w:w="1559"/>
        <w:gridCol w:w="850"/>
        <w:gridCol w:w="851"/>
      </w:tblGrid>
      <w:tr w:rsidR="00481EDB" w:rsidRPr="00687B52" w:rsidTr="00963ECA">
        <w:tc>
          <w:tcPr>
            <w:tcW w:w="1243"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名称</w:t>
            </w:r>
          </w:p>
        </w:tc>
        <w:tc>
          <w:tcPr>
            <w:tcW w:w="2017"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厂外铁路线中心线</w:t>
            </w:r>
          </w:p>
        </w:tc>
        <w:tc>
          <w:tcPr>
            <w:tcW w:w="1985"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厂内铁路线中心线</w:t>
            </w:r>
          </w:p>
        </w:tc>
        <w:tc>
          <w:tcPr>
            <w:tcW w:w="1559"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厂外道路路边</w:t>
            </w:r>
          </w:p>
        </w:tc>
        <w:tc>
          <w:tcPr>
            <w:tcW w:w="1701" w:type="dxa"/>
            <w:gridSpan w:val="2"/>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场内道路路边</w:t>
            </w:r>
          </w:p>
        </w:tc>
      </w:tr>
      <w:tr w:rsidR="00481EDB" w:rsidRPr="00687B52" w:rsidTr="00963ECA">
        <w:tc>
          <w:tcPr>
            <w:tcW w:w="1243"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2017"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985"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559"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850"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主要</w:t>
            </w:r>
          </w:p>
        </w:tc>
        <w:tc>
          <w:tcPr>
            <w:tcW w:w="851"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次要</w:t>
            </w:r>
          </w:p>
        </w:tc>
      </w:tr>
      <w:tr w:rsidR="00481EDB" w:rsidRPr="00687B52" w:rsidTr="00963ECA">
        <w:tc>
          <w:tcPr>
            <w:tcW w:w="124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甲类厂房</w:t>
            </w:r>
          </w:p>
        </w:tc>
        <w:tc>
          <w:tcPr>
            <w:tcW w:w="201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30</w:t>
            </w:r>
          </w:p>
        </w:tc>
        <w:tc>
          <w:tcPr>
            <w:tcW w:w="198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c>
          <w:tcPr>
            <w:tcW w:w="155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850"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10</w:t>
            </w:r>
          </w:p>
        </w:tc>
        <w:tc>
          <w:tcPr>
            <w:tcW w:w="851"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5</w:t>
            </w:r>
          </w:p>
        </w:tc>
      </w:tr>
    </w:tbl>
    <w:p w:rsidR="00481EDB" w:rsidRPr="00687B52" w:rsidRDefault="00481EDB" w:rsidP="00C506D9">
      <w:pPr>
        <w:pStyle w:val="afd"/>
        <w:rPr>
          <w:color w:val="000000" w:themeColor="text1"/>
        </w:rPr>
      </w:pPr>
      <w:bookmarkStart w:id="412" w:name="_Toc491870866"/>
      <w:bookmarkStart w:id="413" w:name="_Toc492563520"/>
      <w:bookmarkStart w:id="414" w:name="_Toc493857125"/>
      <w:r w:rsidRPr="00687B52">
        <w:rPr>
          <w:rFonts w:hint="eastAsia"/>
          <w:color w:val="000000" w:themeColor="text1"/>
        </w:rPr>
        <w:t>表</w:t>
      </w:r>
      <w:r w:rsidRPr="00687B52">
        <w:rPr>
          <w:rFonts w:hint="eastAsia"/>
          <w:color w:val="000000" w:themeColor="text1"/>
        </w:rPr>
        <w:t>3.5.1</w:t>
      </w:r>
      <w:r w:rsidRPr="00687B52">
        <w:rPr>
          <w:rFonts w:hint="eastAsia"/>
          <w:color w:val="000000" w:themeColor="text1"/>
        </w:rPr>
        <w:t>甲类仓库之间及与其他建筑、明火或散发火花地点、铁路、道路等的防火间距（</w:t>
      </w:r>
      <w:r w:rsidRPr="00687B52">
        <w:rPr>
          <w:rFonts w:hint="eastAsia"/>
          <w:color w:val="000000" w:themeColor="text1"/>
        </w:rPr>
        <w:t>m</w:t>
      </w:r>
      <w:r w:rsidRPr="00687B52">
        <w:rPr>
          <w:rFonts w:hint="eastAsia"/>
          <w:color w:val="000000" w:themeColor="text1"/>
        </w:rPr>
        <w:t>）</w:t>
      </w:r>
      <w:bookmarkEnd w:id="412"/>
      <w:bookmarkEnd w:id="413"/>
      <w:bookmarkEnd w:id="414"/>
    </w:p>
    <w:tbl>
      <w:tblPr>
        <w:tblStyle w:val="a6"/>
        <w:tblW w:w="12160" w:type="dxa"/>
        <w:tblLayout w:type="fixed"/>
        <w:tblLook w:val="04A0" w:firstRow="1" w:lastRow="0" w:firstColumn="1" w:lastColumn="0" w:noHBand="0" w:noVBand="1"/>
      </w:tblPr>
      <w:tblGrid>
        <w:gridCol w:w="2223"/>
        <w:gridCol w:w="3642"/>
        <w:gridCol w:w="1574"/>
        <w:gridCol w:w="1458"/>
        <w:gridCol w:w="1689"/>
        <w:gridCol w:w="1574"/>
      </w:tblGrid>
      <w:tr w:rsidR="00481EDB" w:rsidRPr="00687B52" w:rsidTr="00963ECA">
        <w:trPr>
          <w:trHeight w:hRule="exact" w:val="300"/>
        </w:trPr>
        <w:tc>
          <w:tcPr>
            <w:tcW w:w="5866" w:type="dxa"/>
            <w:gridSpan w:val="2"/>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名称</w:t>
            </w:r>
          </w:p>
        </w:tc>
        <w:tc>
          <w:tcPr>
            <w:tcW w:w="6294" w:type="dxa"/>
            <w:gridSpan w:val="4"/>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甲类仓库（储量</w:t>
            </w:r>
            <w:r w:rsidRPr="00687B52">
              <w:rPr>
                <w:rFonts w:ascii="Times New Roman" w:hAnsi="Times New Roman"/>
                <w:color w:val="000000" w:themeColor="text1"/>
                <w:szCs w:val="21"/>
              </w:rPr>
              <w:t>t</w:t>
            </w:r>
            <w:r w:rsidRPr="00687B52">
              <w:rPr>
                <w:rFonts w:ascii="Times New Roman" w:hAnsi="Times New Roman"/>
                <w:color w:val="000000" w:themeColor="text1"/>
                <w:szCs w:val="21"/>
              </w:rPr>
              <w:t>）</w:t>
            </w:r>
          </w:p>
        </w:tc>
      </w:tr>
      <w:tr w:rsidR="00481EDB" w:rsidRPr="00687B52" w:rsidTr="00963ECA">
        <w:trPr>
          <w:trHeight w:hRule="exact" w:val="300"/>
        </w:trPr>
        <w:tc>
          <w:tcPr>
            <w:tcW w:w="5866" w:type="dxa"/>
            <w:gridSpan w:val="2"/>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3032" w:type="dxa"/>
            <w:gridSpan w:val="2"/>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甲类储存物品第</w:t>
            </w:r>
            <w:r w:rsidRPr="00687B52">
              <w:rPr>
                <w:rFonts w:ascii="Times New Roman" w:hAnsi="Times New Roman"/>
                <w:color w:val="000000" w:themeColor="text1"/>
                <w:szCs w:val="21"/>
              </w:rPr>
              <w:t>3</w:t>
            </w:r>
            <w:r w:rsidRPr="00687B52">
              <w:rPr>
                <w:rFonts w:ascii="Times New Roman" w:hAnsi="Times New Roman"/>
                <w:color w:val="000000" w:themeColor="text1"/>
                <w:szCs w:val="21"/>
              </w:rPr>
              <w:t>、</w:t>
            </w:r>
            <w:r w:rsidRPr="00687B52">
              <w:rPr>
                <w:rFonts w:ascii="Times New Roman" w:hAnsi="Times New Roman"/>
                <w:color w:val="000000" w:themeColor="text1"/>
                <w:szCs w:val="21"/>
              </w:rPr>
              <w:t>4</w:t>
            </w:r>
            <w:r w:rsidRPr="00687B52">
              <w:rPr>
                <w:rFonts w:ascii="Times New Roman" w:hAnsi="Times New Roman"/>
                <w:color w:val="000000" w:themeColor="text1"/>
                <w:szCs w:val="21"/>
              </w:rPr>
              <w:t>项</w:t>
            </w:r>
          </w:p>
        </w:tc>
        <w:tc>
          <w:tcPr>
            <w:tcW w:w="3262" w:type="dxa"/>
            <w:gridSpan w:val="2"/>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甲类储存物品第</w:t>
            </w:r>
            <w:r w:rsidRPr="00687B52">
              <w:rPr>
                <w:rFonts w:ascii="Times New Roman" w:hAnsi="Times New Roman"/>
                <w:color w:val="000000" w:themeColor="text1"/>
                <w:szCs w:val="21"/>
              </w:rPr>
              <w:t>1</w:t>
            </w:r>
            <w:r w:rsidRPr="00687B52">
              <w:rPr>
                <w:rFonts w:ascii="Times New Roman" w:hAnsi="Times New Roman"/>
                <w:color w:val="000000" w:themeColor="text1"/>
                <w:szCs w:val="21"/>
              </w:rPr>
              <w:t>、</w:t>
            </w:r>
            <w:r w:rsidRPr="00687B52">
              <w:rPr>
                <w:rFonts w:ascii="Times New Roman" w:hAnsi="Times New Roman"/>
                <w:color w:val="000000" w:themeColor="text1"/>
                <w:szCs w:val="21"/>
              </w:rPr>
              <w:t>2</w:t>
            </w:r>
            <w:r w:rsidRPr="00687B52">
              <w:rPr>
                <w:rFonts w:ascii="Times New Roman" w:hAnsi="Times New Roman"/>
                <w:color w:val="000000" w:themeColor="text1"/>
                <w:szCs w:val="21"/>
              </w:rPr>
              <w:t>、</w:t>
            </w:r>
            <w:r w:rsidRPr="00687B52">
              <w:rPr>
                <w:rFonts w:ascii="Times New Roman" w:hAnsi="Times New Roman"/>
                <w:color w:val="000000" w:themeColor="text1"/>
                <w:szCs w:val="21"/>
              </w:rPr>
              <w:t>5</w:t>
            </w:r>
            <w:r w:rsidRPr="00687B52">
              <w:rPr>
                <w:rFonts w:ascii="Times New Roman" w:hAnsi="Times New Roman"/>
                <w:color w:val="000000" w:themeColor="text1"/>
                <w:szCs w:val="21"/>
              </w:rPr>
              <w:t>、</w:t>
            </w:r>
            <w:r w:rsidRPr="00687B52">
              <w:rPr>
                <w:rFonts w:ascii="Times New Roman" w:hAnsi="Times New Roman"/>
                <w:color w:val="000000" w:themeColor="text1"/>
                <w:szCs w:val="21"/>
              </w:rPr>
              <w:t>6</w:t>
            </w:r>
            <w:r w:rsidRPr="00687B52">
              <w:rPr>
                <w:rFonts w:ascii="Times New Roman" w:hAnsi="Times New Roman"/>
                <w:color w:val="000000" w:themeColor="text1"/>
                <w:szCs w:val="21"/>
              </w:rPr>
              <w:t>项</w:t>
            </w:r>
          </w:p>
        </w:tc>
      </w:tr>
      <w:tr w:rsidR="00481EDB" w:rsidRPr="00687B52" w:rsidTr="00963ECA">
        <w:trPr>
          <w:trHeight w:hRule="exact" w:val="300"/>
        </w:trPr>
        <w:tc>
          <w:tcPr>
            <w:tcW w:w="5866" w:type="dxa"/>
            <w:gridSpan w:val="2"/>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57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≤5</w:t>
            </w:r>
          </w:p>
        </w:tc>
        <w:tc>
          <w:tcPr>
            <w:tcW w:w="1458"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w:t>
            </w:r>
            <w:r w:rsidRPr="00687B52">
              <w:rPr>
                <w:rFonts w:ascii="Times New Roman" w:hAnsi="Times New Roman"/>
                <w:color w:val="000000" w:themeColor="text1"/>
                <w:szCs w:val="21"/>
              </w:rPr>
              <w:t>5</w:t>
            </w:r>
          </w:p>
        </w:tc>
        <w:tc>
          <w:tcPr>
            <w:tcW w:w="1688"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≤10</w:t>
            </w:r>
          </w:p>
        </w:tc>
        <w:tc>
          <w:tcPr>
            <w:tcW w:w="157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w:t>
            </w:r>
            <w:r w:rsidRPr="00687B52">
              <w:rPr>
                <w:rFonts w:ascii="Times New Roman" w:hAnsi="Times New Roman"/>
                <w:color w:val="000000" w:themeColor="text1"/>
                <w:szCs w:val="21"/>
              </w:rPr>
              <w:t>10</w:t>
            </w:r>
          </w:p>
        </w:tc>
      </w:tr>
      <w:tr w:rsidR="00481EDB" w:rsidRPr="00687B52" w:rsidTr="00963ECA">
        <w:trPr>
          <w:trHeight w:hRule="exact" w:val="300"/>
        </w:trPr>
        <w:tc>
          <w:tcPr>
            <w:tcW w:w="5866" w:type="dxa"/>
            <w:gridSpan w:val="2"/>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高层民用建筑、重要公共建筑</w:t>
            </w:r>
          </w:p>
        </w:tc>
        <w:tc>
          <w:tcPr>
            <w:tcW w:w="6294" w:type="dxa"/>
            <w:gridSpan w:val="4"/>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50</w:t>
            </w:r>
          </w:p>
        </w:tc>
      </w:tr>
      <w:tr w:rsidR="00481EDB" w:rsidRPr="00687B52" w:rsidTr="00963ECA">
        <w:trPr>
          <w:trHeight w:hRule="exact" w:val="300"/>
        </w:trPr>
        <w:tc>
          <w:tcPr>
            <w:tcW w:w="5866" w:type="dxa"/>
            <w:gridSpan w:val="2"/>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裙房、其他民用建筑、明火或散发火花地点</w:t>
            </w:r>
          </w:p>
        </w:tc>
        <w:tc>
          <w:tcPr>
            <w:tcW w:w="157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30</w:t>
            </w:r>
          </w:p>
        </w:tc>
        <w:tc>
          <w:tcPr>
            <w:tcW w:w="1458"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40</w:t>
            </w:r>
          </w:p>
        </w:tc>
        <w:tc>
          <w:tcPr>
            <w:tcW w:w="168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25</w:t>
            </w:r>
          </w:p>
        </w:tc>
        <w:tc>
          <w:tcPr>
            <w:tcW w:w="157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30</w:t>
            </w:r>
          </w:p>
        </w:tc>
      </w:tr>
      <w:tr w:rsidR="00481EDB" w:rsidRPr="00687B52" w:rsidTr="00963ECA">
        <w:trPr>
          <w:trHeight w:hRule="exact" w:val="300"/>
        </w:trPr>
        <w:tc>
          <w:tcPr>
            <w:tcW w:w="5866" w:type="dxa"/>
            <w:gridSpan w:val="2"/>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甲类仓库</w:t>
            </w:r>
          </w:p>
        </w:tc>
        <w:tc>
          <w:tcPr>
            <w:tcW w:w="157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c>
          <w:tcPr>
            <w:tcW w:w="1458"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c>
          <w:tcPr>
            <w:tcW w:w="168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c>
          <w:tcPr>
            <w:tcW w:w="157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r>
      <w:tr w:rsidR="00481EDB" w:rsidRPr="00687B52" w:rsidTr="00963ECA">
        <w:trPr>
          <w:trHeight w:hRule="exact" w:val="300"/>
        </w:trPr>
        <w:tc>
          <w:tcPr>
            <w:tcW w:w="2224"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厂房和乙、丙、丁、戊类仓库</w:t>
            </w:r>
          </w:p>
        </w:tc>
        <w:tc>
          <w:tcPr>
            <w:tcW w:w="3642"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一、二级</w:t>
            </w:r>
          </w:p>
        </w:tc>
        <w:tc>
          <w:tcPr>
            <w:tcW w:w="157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1458"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c>
          <w:tcPr>
            <w:tcW w:w="168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157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r>
      <w:tr w:rsidR="00481EDB" w:rsidRPr="00687B52" w:rsidTr="00963ECA">
        <w:trPr>
          <w:trHeight w:hRule="exact" w:val="300"/>
        </w:trPr>
        <w:tc>
          <w:tcPr>
            <w:tcW w:w="2224"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3642"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三级</w:t>
            </w:r>
          </w:p>
        </w:tc>
        <w:tc>
          <w:tcPr>
            <w:tcW w:w="157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c>
          <w:tcPr>
            <w:tcW w:w="1458"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25</w:t>
            </w:r>
          </w:p>
        </w:tc>
        <w:tc>
          <w:tcPr>
            <w:tcW w:w="168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157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r>
      <w:tr w:rsidR="00481EDB" w:rsidRPr="00687B52" w:rsidTr="00963ECA">
        <w:trPr>
          <w:trHeight w:hRule="exact" w:val="300"/>
        </w:trPr>
        <w:tc>
          <w:tcPr>
            <w:tcW w:w="2224"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3642"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四级</w:t>
            </w:r>
          </w:p>
        </w:tc>
        <w:tc>
          <w:tcPr>
            <w:tcW w:w="157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25</w:t>
            </w:r>
          </w:p>
        </w:tc>
        <w:tc>
          <w:tcPr>
            <w:tcW w:w="1458"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30</w:t>
            </w:r>
          </w:p>
        </w:tc>
        <w:tc>
          <w:tcPr>
            <w:tcW w:w="168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c>
          <w:tcPr>
            <w:tcW w:w="157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25</w:t>
            </w:r>
          </w:p>
        </w:tc>
      </w:tr>
      <w:tr w:rsidR="00481EDB" w:rsidRPr="00687B52" w:rsidTr="00963ECA">
        <w:trPr>
          <w:trHeight w:hRule="exact" w:val="808"/>
        </w:trPr>
        <w:tc>
          <w:tcPr>
            <w:tcW w:w="5866" w:type="dxa"/>
            <w:gridSpan w:val="2"/>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电力系统电压为</w:t>
            </w:r>
            <w:r w:rsidRPr="00687B52">
              <w:rPr>
                <w:rFonts w:ascii="Times New Roman" w:hAnsi="Times New Roman"/>
                <w:color w:val="000000" w:themeColor="text1"/>
                <w:szCs w:val="21"/>
              </w:rPr>
              <w:t>35kV~5O0kV</w:t>
            </w:r>
            <w:r w:rsidRPr="00687B52">
              <w:rPr>
                <w:rFonts w:ascii="Times New Roman" w:hAnsi="Times New Roman"/>
                <w:color w:val="000000" w:themeColor="text1"/>
                <w:szCs w:val="21"/>
              </w:rPr>
              <w:t>且每台变压器容量不小于</w:t>
            </w:r>
            <w:r w:rsidRPr="00687B52">
              <w:rPr>
                <w:rFonts w:ascii="Times New Roman" w:hAnsi="Times New Roman"/>
                <w:color w:val="000000" w:themeColor="text1"/>
                <w:szCs w:val="21"/>
              </w:rPr>
              <w:t>10MV·A</w:t>
            </w:r>
            <w:r w:rsidRPr="00687B52">
              <w:rPr>
                <w:rFonts w:ascii="Times New Roman" w:hAnsi="Times New Roman"/>
                <w:color w:val="000000" w:themeColor="text1"/>
                <w:szCs w:val="21"/>
              </w:rPr>
              <w:t>的室外变、配电站</w:t>
            </w:r>
            <w:r w:rsidRPr="00687B52">
              <w:rPr>
                <w:rFonts w:ascii="Times New Roman" w:hAnsi="Times New Roman"/>
                <w:color w:val="000000" w:themeColor="text1"/>
                <w:szCs w:val="21"/>
              </w:rPr>
              <w:t>,</w:t>
            </w:r>
            <w:r w:rsidRPr="00687B52">
              <w:rPr>
                <w:rFonts w:ascii="Times New Roman" w:hAnsi="Times New Roman"/>
                <w:color w:val="000000" w:themeColor="text1"/>
                <w:szCs w:val="21"/>
              </w:rPr>
              <w:t>工业企业的变压器总油量大手</w:t>
            </w:r>
            <w:r w:rsidRPr="00687B52">
              <w:rPr>
                <w:rFonts w:ascii="Times New Roman" w:hAnsi="Times New Roman"/>
                <w:color w:val="000000" w:themeColor="text1"/>
                <w:szCs w:val="21"/>
              </w:rPr>
              <w:t>5t</w:t>
            </w:r>
            <w:r w:rsidRPr="00687B52">
              <w:rPr>
                <w:rFonts w:ascii="Times New Roman" w:hAnsi="Times New Roman"/>
                <w:color w:val="000000" w:themeColor="text1"/>
                <w:szCs w:val="21"/>
              </w:rPr>
              <w:t>的室外降压变电站</w:t>
            </w:r>
          </w:p>
        </w:tc>
        <w:tc>
          <w:tcPr>
            <w:tcW w:w="157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30</w:t>
            </w:r>
          </w:p>
        </w:tc>
        <w:tc>
          <w:tcPr>
            <w:tcW w:w="1458"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40</w:t>
            </w:r>
          </w:p>
        </w:tc>
        <w:tc>
          <w:tcPr>
            <w:tcW w:w="168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25</w:t>
            </w:r>
          </w:p>
        </w:tc>
        <w:tc>
          <w:tcPr>
            <w:tcW w:w="1573" w:type="dxa"/>
            <w:vAlign w:val="center"/>
          </w:tcPr>
          <w:p w:rsidR="00481EDB" w:rsidRPr="00687B52" w:rsidRDefault="00D85C33"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30</w:t>
            </w:r>
          </w:p>
        </w:tc>
      </w:tr>
      <w:tr w:rsidR="00481EDB" w:rsidRPr="00687B52" w:rsidTr="00963ECA">
        <w:trPr>
          <w:trHeight w:hRule="exact" w:val="276"/>
        </w:trPr>
        <w:tc>
          <w:tcPr>
            <w:tcW w:w="5866" w:type="dxa"/>
            <w:gridSpan w:val="2"/>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厂外铁路线中心线</w:t>
            </w:r>
          </w:p>
        </w:tc>
        <w:tc>
          <w:tcPr>
            <w:tcW w:w="6294" w:type="dxa"/>
            <w:gridSpan w:val="4"/>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40</w:t>
            </w:r>
          </w:p>
        </w:tc>
      </w:tr>
      <w:tr w:rsidR="00481EDB" w:rsidRPr="00687B52" w:rsidTr="00963ECA">
        <w:trPr>
          <w:trHeight w:hRule="exact" w:val="300"/>
        </w:trPr>
        <w:tc>
          <w:tcPr>
            <w:tcW w:w="5866" w:type="dxa"/>
            <w:gridSpan w:val="2"/>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厂内铁路线中心线</w:t>
            </w:r>
          </w:p>
        </w:tc>
        <w:tc>
          <w:tcPr>
            <w:tcW w:w="6294" w:type="dxa"/>
            <w:gridSpan w:val="4"/>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30</w:t>
            </w:r>
          </w:p>
        </w:tc>
      </w:tr>
      <w:tr w:rsidR="00481EDB" w:rsidRPr="00687B52" w:rsidTr="00963ECA">
        <w:trPr>
          <w:trHeight w:hRule="exact" w:val="230"/>
        </w:trPr>
        <w:tc>
          <w:tcPr>
            <w:tcW w:w="5866" w:type="dxa"/>
            <w:gridSpan w:val="2"/>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厂外道路路边</w:t>
            </w:r>
          </w:p>
        </w:tc>
        <w:tc>
          <w:tcPr>
            <w:tcW w:w="6294" w:type="dxa"/>
            <w:gridSpan w:val="4"/>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r>
      <w:tr w:rsidR="00481EDB" w:rsidRPr="00687B52" w:rsidTr="00963ECA">
        <w:trPr>
          <w:trHeight w:hRule="exact" w:val="300"/>
        </w:trPr>
        <w:tc>
          <w:tcPr>
            <w:tcW w:w="2224"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场内道路路边</w:t>
            </w:r>
          </w:p>
        </w:tc>
        <w:tc>
          <w:tcPr>
            <w:tcW w:w="3642"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主要</w:t>
            </w:r>
          </w:p>
        </w:tc>
        <w:tc>
          <w:tcPr>
            <w:tcW w:w="6294" w:type="dxa"/>
            <w:gridSpan w:val="4"/>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10</w:t>
            </w:r>
          </w:p>
        </w:tc>
      </w:tr>
      <w:tr w:rsidR="00481EDB" w:rsidRPr="00687B52" w:rsidTr="00963ECA">
        <w:trPr>
          <w:trHeight w:hRule="exact" w:val="309"/>
        </w:trPr>
        <w:tc>
          <w:tcPr>
            <w:tcW w:w="2224"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3642"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次要</w:t>
            </w:r>
          </w:p>
        </w:tc>
        <w:tc>
          <w:tcPr>
            <w:tcW w:w="6294" w:type="dxa"/>
            <w:gridSpan w:val="4"/>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5</w:t>
            </w:r>
          </w:p>
        </w:tc>
      </w:tr>
    </w:tbl>
    <w:p w:rsidR="00481EDB" w:rsidRPr="00687B52" w:rsidRDefault="00481EDB" w:rsidP="00F25ED0">
      <w:pPr>
        <w:pStyle w:val="11"/>
        <w:adjustRightInd w:val="0"/>
        <w:snapToGrid w:val="0"/>
        <w:spacing w:beforeLines="50" w:before="156"/>
        <w:ind w:left="357" w:firstLineChars="0" w:firstLine="0"/>
        <w:jc w:val="left"/>
        <w:rPr>
          <w:rFonts w:ascii="Times New Roman" w:hAnsi="Times New Roman"/>
          <w:color w:val="000000" w:themeColor="text1"/>
          <w:sz w:val="18"/>
          <w:szCs w:val="18"/>
        </w:rPr>
      </w:pPr>
      <w:r w:rsidRPr="00687B52">
        <w:rPr>
          <w:rFonts w:ascii="Times New Roman" w:hAnsi="Times New Roman"/>
          <w:color w:val="000000" w:themeColor="text1"/>
          <w:szCs w:val="21"/>
        </w:rPr>
        <w:t>注</w:t>
      </w:r>
      <w:r w:rsidRPr="00687B52">
        <w:rPr>
          <w:rFonts w:ascii="Times New Roman" w:hAnsi="Times New Roman"/>
          <w:color w:val="000000" w:themeColor="text1"/>
          <w:szCs w:val="21"/>
        </w:rPr>
        <w:t>:</w:t>
      </w:r>
      <w:r w:rsidRPr="00687B52">
        <w:rPr>
          <w:rFonts w:ascii="Times New Roman" w:hAnsi="Times New Roman"/>
          <w:color w:val="000000" w:themeColor="text1"/>
          <w:szCs w:val="21"/>
        </w:rPr>
        <w:t>甲类仓库之间的防火间距</w:t>
      </w:r>
      <w:r w:rsidRPr="00687B52">
        <w:rPr>
          <w:rFonts w:ascii="Times New Roman" w:hAnsi="Times New Roman"/>
          <w:color w:val="000000" w:themeColor="text1"/>
          <w:szCs w:val="21"/>
        </w:rPr>
        <w:t>,</w:t>
      </w:r>
      <w:r w:rsidRPr="00687B52">
        <w:rPr>
          <w:rFonts w:ascii="Times New Roman" w:hAnsi="Times New Roman"/>
          <w:color w:val="000000" w:themeColor="text1"/>
          <w:szCs w:val="21"/>
        </w:rPr>
        <w:t>当第</w:t>
      </w:r>
      <w:r w:rsidRPr="00687B52">
        <w:rPr>
          <w:rFonts w:ascii="Times New Roman" w:hAnsi="Times New Roman"/>
          <w:color w:val="000000" w:themeColor="text1"/>
          <w:szCs w:val="21"/>
        </w:rPr>
        <w:t>3</w:t>
      </w:r>
      <w:r w:rsidRPr="00687B52">
        <w:rPr>
          <w:rFonts w:ascii="Times New Roman" w:hAnsi="Times New Roman"/>
          <w:color w:val="000000" w:themeColor="text1"/>
          <w:szCs w:val="21"/>
        </w:rPr>
        <w:t>、</w:t>
      </w:r>
      <w:r w:rsidRPr="00687B52">
        <w:rPr>
          <w:rFonts w:ascii="Times New Roman" w:hAnsi="Times New Roman"/>
          <w:color w:val="000000" w:themeColor="text1"/>
          <w:szCs w:val="21"/>
        </w:rPr>
        <w:t>4</w:t>
      </w:r>
      <w:r w:rsidRPr="00687B52">
        <w:rPr>
          <w:rFonts w:ascii="Times New Roman" w:hAnsi="Times New Roman"/>
          <w:color w:val="000000" w:themeColor="text1"/>
          <w:szCs w:val="21"/>
        </w:rPr>
        <w:t>项物品储量不大于</w:t>
      </w:r>
      <w:r w:rsidRPr="00687B52">
        <w:rPr>
          <w:rFonts w:ascii="Times New Roman" w:hAnsi="Times New Roman"/>
          <w:color w:val="000000" w:themeColor="text1"/>
          <w:szCs w:val="21"/>
        </w:rPr>
        <w:t>2t</w:t>
      </w:r>
      <w:r w:rsidRPr="00687B52">
        <w:rPr>
          <w:rFonts w:ascii="Times New Roman" w:hAnsi="Times New Roman"/>
          <w:color w:val="000000" w:themeColor="text1"/>
          <w:szCs w:val="21"/>
        </w:rPr>
        <w:t>，第</w:t>
      </w:r>
      <w:r w:rsidRPr="00687B52">
        <w:rPr>
          <w:rFonts w:ascii="Times New Roman" w:hAnsi="Times New Roman"/>
          <w:color w:val="000000" w:themeColor="text1"/>
          <w:szCs w:val="21"/>
        </w:rPr>
        <w:t>1</w:t>
      </w:r>
      <w:r w:rsidRPr="00687B52">
        <w:rPr>
          <w:rFonts w:ascii="Times New Roman" w:hAnsi="Times New Roman"/>
          <w:color w:val="000000" w:themeColor="text1"/>
          <w:szCs w:val="21"/>
        </w:rPr>
        <w:t>、</w:t>
      </w:r>
      <w:r w:rsidRPr="00687B52">
        <w:rPr>
          <w:rFonts w:ascii="Times New Roman" w:hAnsi="Times New Roman"/>
          <w:color w:val="000000" w:themeColor="text1"/>
          <w:szCs w:val="21"/>
        </w:rPr>
        <w:t>2</w:t>
      </w:r>
      <w:r w:rsidRPr="00687B52">
        <w:rPr>
          <w:rFonts w:ascii="Times New Roman" w:hAnsi="Times New Roman"/>
          <w:color w:val="000000" w:themeColor="text1"/>
          <w:szCs w:val="21"/>
        </w:rPr>
        <w:t>、</w:t>
      </w:r>
      <w:r w:rsidRPr="00687B52">
        <w:rPr>
          <w:rFonts w:ascii="Times New Roman" w:hAnsi="Times New Roman"/>
          <w:color w:val="000000" w:themeColor="text1"/>
          <w:szCs w:val="21"/>
        </w:rPr>
        <w:t>5</w:t>
      </w:r>
      <w:r w:rsidRPr="00687B52">
        <w:rPr>
          <w:rFonts w:ascii="Times New Roman" w:hAnsi="Times New Roman"/>
          <w:color w:val="000000" w:themeColor="text1"/>
          <w:szCs w:val="21"/>
        </w:rPr>
        <w:t>、</w:t>
      </w:r>
      <w:r w:rsidRPr="00687B52">
        <w:rPr>
          <w:rFonts w:ascii="Times New Roman" w:hAnsi="Times New Roman"/>
          <w:color w:val="000000" w:themeColor="text1"/>
          <w:szCs w:val="21"/>
        </w:rPr>
        <w:t>6</w:t>
      </w:r>
      <w:r w:rsidRPr="00687B52">
        <w:rPr>
          <w:rFonts w:ascii="Times New Roman" w:hAnsi="Times New Roman"/>
          <w:color w:val="000000" w:themeColor="text1"/>
          <w:szCs w:val="21"/>
        </w:rPr>
        <w:t>项物品储量不大于</w:t>
      </w:r>
      <w:r w:rsidRPr="00687B52">
        <w:rPr>
          <w:rFonts w:ascii="Times New Roman" w:hAnsi="Times New Roman"/>
          <w:color w:val="000000" w:themeColor="text1"/>
          <w:szCs w:val="21"/>
        </w:rPr>
        <w:t>5t</w:t>
      </w:r>
      <w:r w:rsidRPr="00687B52">
        <w:rPr>
          <w:rFonts w:ascii="Times New Roman" w:hAnsi="Times New Roman"/>
          <w:color w:val="000000" w:themeColor="text1"/>
          <w:szCs w:val="21"/>
        </w:rPr>
        <w:t>时，不应小于</w:t>
      </w:r>
      <w:r w:rsidRPr="00687B52">
        <w:rPr>
          <w:rFonts w:ascii="Times New Roman" w:hAnsi="Times New Roman"/>
          <w:color w:val="000000" w:themeColor="text1"/>
          <w:szCs w:val="21"/>
        </w:rPr>
        <w:t>12m</w:t>
      </w:r>
      <w:r w:rsidRPr="00687B52">
        <w:rPr>
          <w:rFonts w:ascii="Times New Roman" w:hAnsi="Times New Roman"/>
          <w:color w:val="000000" w:themeColor="text1"/>
          <w:szCs w:val="21"/>
        </w:rPr>
        <w:t>，甲类仓库与高层仓库的防火间距不应小于</w:t>
      </w:r>
      <w:r w:rsidRPr="00687B52">
        <w:rPr>
          <w:rFonts w:ascii="Times New Roman" w:hAnsi="Times New Roman"/>
          <w:color w:val="000000" w:themeColor="text1"/>
          <w:szCs w:val="21"/>
        </w:rPr>
        <w:t>13m</w:t>
      </w:r>
      <w:r w:rsidRPr="00687B52">
        <w:rPr>
          <w:rFonts w:ascii="Times New Roman" w:hAnsi="Times New Roman"/>
          <w:color w:val="000000" w:themeColor="text1"/>
          <w:szCs w:val="21"/>
        </w:rPr>
        <w:t>。</w:t>
      </w:r>
    </w:p>
    <w:p w:rsidR="00481EDB" w:rsidRPr="00687B52" w:rsidRDefault="00481EDB" w:rsidP="00481EDB">
      <w:pPr>
        <w:adjustRightInd w:val="0"/>
        <w:snapToGrid w:val="0"/>
        <w:jc w:val="center"/>
        <w:rPr>
          <w:rFonts w:ascii="宋体" w:eastAsia="宋体" w:hAnsi="宋体"/>
          <w:b/>
          <w:color w:val="000000" w:themeColor="text1"/>
          <w:w w:val="90"/>
          <w:sz w:val="28"/>
          <w:szCs w:val="28"/>
        </w:rPr>
      </w:pPr>
    </w:p>
    <w:p w:rsidR="00481EDB" w:rsidRPr="00687B52" w:rsidRDefault="00481EDB" w:rsidP="00C506D9">
      <w:pPr>
        <w:pStyle w:val="afd"/>
        <w:rPr>
          <w:color w:val="000000" w:themeColor="text1"/>
          <w:szCs w:val="21"/>
        </w:rPr>
      </w:pPr>
      <w:bookmarkStart w:id="415" w:name="_Toc491870867"/>
      <w:bookmarkStart w:id="416" w:name="_Toc492563521"/>
      <w:bookmarkStart w:id="417" w:name="_Toc493857126"/>
      <w:r w:rsidRPr="00687B52">
        <w:rPr>
          <w:rFonts w:hint="eastAsia"/>
          <w:color w:val="000000" w:themeColor="text1"/>
        </w:rPr>
        <w:t>表</w:t>
      </w:r>
      <w:r w:rsidRPr="00687B52">
        <w:rPr>
          <w:rFonts w:hint="eastAsia"/>
          <w:color w:val="000000" w:themeColor="text1"/>
        </w:rPr>
        <w:t>3.5.2</w:t>
      </w:r>
      <w:r w:rsidRPr="00687B52">
        <w:rPr>
          <w:rFonts w:hint="eastAsia"/>
          <w:color w:val="000000" w:themeColor="text1"/>
        </w:rPr>
        <w:t>乙、丙、丁、戊类仓库之间及与民用建筑等的防火间距（</w:t>
      </w:r>
      <w:r w:rsidRPr="00687B52">
        <w:rPr>
          <w:rFonts w:hint="eastAsia"/>
          <w:color w:val="000000" w:themeColor="text1"/>
        </w:rPr>
        <w:t>m</w:t>
      </w:r>
      <w:r w:rsidRPr="00687B52">
        <w:rPr>
          <w:rFonts w:hint="eastAsia"/>
          <w:color w:val="000000" w:themeColor="text1"/>
        </w:rPr>
        <w:t>）</w:t>
      </w:r>
      <w:bookmarkEnd w:id="415"/>
      <w:bookmarkEnd w:id="416"/>
      <w:bookmarkEnd w:id="417"/>
    </w:p>
    <w:tbl>
      <w:tblPr>
        <w:tblStyle w:val="a6"/>
        <w:tblW w:w="13074" w:type="dxa"/>
        <w:tblLayout w:type="fixed"/>
        <w:tblLook w:val="04A0" w:firstRow="1" w:lastRow="0" w:firstColumn="1" w:lastColumn="0" w:noHBand="0" w:noVBand="1"/>
      </w:tblPr>
      <w:tblGrid>
        <w:gridCol w:w="1165"/>
        <w:gridCol w:w="849"/>
        <w:gridCol w:w="1279"/>
        <w:gridCol w:w="991"/>
        <w:gridCol w:w="709"/>
        <w:gridCol w:w="994"/>
        <w:gridCol w:w="994"/>
        <w:gridCol w:w="709"/>
        <w:gridCol w:w="716"/>
        <w:gridCol w:w="994"/>
        <w:gridCol w:w="994"/>
        <w:gridCol w:w="709"/>
        <w:gridCol w:w="716"/>
        <w:gridCol w:w="1255"/>
      </w:tblGrid>
      <w:tr w:rsidR="00481EDB" w:rsidRPr="00687B52" w:rsidTr="00963ECA">
        <w:trPr>
          <w:trHeight w:hRule="exact" w:val="397"/>
          <w:tblHeader/>
        </w:trPr>
        <w:tc>
          <w:tcPr>
            <w:tcW w:w="3293" w:type="dxa"/>
            <w:gridSpan w:val="3"/>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名称</w:t>
            </w:r>
          </w:p>
        </w:tc>
        <w:tc>
          <w:tcPr>
            <w:tcW w:w="2694" w:type="dxa"/>
            <w:gridSpan w:val="3"/>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乙类仓库</w:t>
            </w:r>
          </w:p>
        </w:tc>
        <w:tc>
          <w:tcPr>
            <w:tcW w:w="3413" w:type="dxa"/>
            <w:gridSpan w:val="4"/>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丙类仓库</w:t>
            </w:r>
          </w:p>
        </w:tc>
        <w:tc>
          <w:tcPr>
            <w:tcW w:w="3674" w:type="dxa"/>
            <w:gridSpan w:val="4"/>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丁、戊类仓库</w:t>
            </w:r>
          </w:p>
        </w:tc>
      </w:tr>
      <w:tr w:rsidR="00481EDB" w:rsidRPr="00687B52" w:rsidTr="00963ECA">
        <w:trPr>
          <w:trHeight w:hRule="exact" w:val="397"/>
          <w:tblHeader/>
        </w:trPr>
        <w:tc>
          <w:tcPr>
            <w:tcW w:w="3293" w:type="dxa"/>
            <w:gridSpan w:val="3"/>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700" w:type="dxa"/>
            <w:gridSpan w:val="2"/>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单、多层</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高层</w:t>
            </w:r>
          </w:p>
        </w:tc>
        <w:tc>
          <w:tcPr>
            <w:tcW w:w="2419" w:type="dxa"/>
            <w:gridSpan w:val="3"/>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单、多层</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高层</w:t>
            </w:r>
          </w:p>
        </w:tc>
        <w:tc>
          <w:tcPr>
            <w:tcW w:w="2419" w:type="dxa"/>
            <w:gridSpan w:val="3"/>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25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高层</w:t>
            </w:r>
          </w:p>
        </w:tc>
      </w:tr>
      <w:tr w:rsidR="00481EDB" w:rsidRPr="00687B52" w:rsidTr="00963ECA">
        <w:trPr>
          <w:trHeight w:hRule="exact" w:val="397"/>
          <w:tblHeader/>
        </w:trPr>
        <w:tc>
          <w:tcPr>
            <w:tcW w:w="3293" w:type="dxa"/>
            <w:gridSpan w:val="3"/>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991"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一、二级</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三级</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一、二级</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一、二级</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三级</w:t>
            </w:r>
          </w:p>
        </w:tc>
        <w:tc>
          <w:tcPr>
            <w:tcW w:w="71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四级</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一、二级</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一、二级</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三级</w:t>
            </w:r>
          </w:p>
        </w:tc>
        <w:tc>
          <w:tcPr>
            <w:tcW w:w="71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四级</w:t>
            </w:r>
          </w:p>
        </w:tc>
        <w:tc>
          <w:tcPr>
            <w:tcW w:w="125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一、二级</w:t>
            </w:r>
          </w:p>
        </w:tc>
      </w:tr>
      <w:tr w:rsidR="00481EDB" w:rsidRPr="00687B52" w:rsidTr="00963ECA">
        <w:trPr>
          <w:trHeight w:hRule="exact" w:val="397"/>
        </w:trPr>
        <w:tc>
          <w:tcPr>
            <w:tcW w:w="1165"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乙、丙、丁</w:t>
            </w:r>
          </w:p>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丙类厂房</w:t>
            </w:r>
          </w:p>
        </w:tc>
        <w:tc>
          <w:tcPr>
            <w:tcW w:w="849"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单、多层</w:t>
            </w:r>
          </w:p>
        </w:tc>
        <w:tc>
          <w:tcPr>
            <w:tcW w:w="127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一、二级</w:t>
            </w:r>
          </w:p>
        </w:tc>
        <w:tc>
          <w:tcPr>
            <w:tcW w:w="991"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10</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10</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1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10</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1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125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r>
      <w:tr w:rsidR="00481EDB" w:rsidRPr="00687B52" w:rsidTr="00963ECA">
        <w:trPr>
          <w:trHeight w:hRule="exact" w:val="397"/>
        </w:trPr>
        <w:tc>
          <w:tcPr>
            <w:tcW w:w="1165"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849"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27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三级</w:t>
            </w:r>
          </w:p>
        </w:tc>
        <w:tc>
          <w:tcPr>
            <w:tcW w:w="991"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71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16</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71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16</w:t>
            </w:r>
          </w:p>
        </w:tc>
        <w:tc>
          <w:tcPr>
            <w:tcW w:w="125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r>
      <w:tr w:rsidR="00481EDB" w:rsidRPr="00687B52" w:rsidTr="00963ECA">
        <w:trPr>
          <w:trHeight w:hRule="exact" w:val="397"/>
        </w:trPr>
        <w:tc>
          <w:tcPr>
            <w:tcW w:w="1165"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849"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27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四级</w:t>
            </w:r>
          </w:p>
        </w:tc>
        <w:tc>
          <w:tcPr>
            <w:tcW w:w="991"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16</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17</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16</w:t>
            </w:r>
          </w:p>
        </w:tc>
        <w:tc>
          <w:tcPr>
            <w:tcW w:w="71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18</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17</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16</w:t>
            </w:r>
          </w:p>
        </w:tc>
        <w:tc>
          <w:tcPr>
            <w:tcW w:w="71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18</w:t>
            </w:r>
          </w:p>
        </w:tc>
        <w:tc>
          <w:tcPr>
            <w:tcW w:w="125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17</w:t>
            </w:r>
          </w:p>
        </w:tc>
      </w:tr>
      <w:tr w:rsidR="00481EDB" w:rsidRPr="00687B52" w:rsidTr="00963ECA">
        <w:trPr>
          <w:trHeight w:hRule="exact" w:val="397"/>
        </w:trPr>
        <w:tc>
          <w:tcPr>
            <w:tcW w:w="1165"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84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高层</w:t>
            </w:r>
          </w:p>
        </w:tc>
        <w:tc>
          <w:tcPr>
            <w:tcW w:w="127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一、二级</w:t>
            </w:r>
          </w:p>
        </w:tc>
        <w:tc>
          <w:tcPr>
            <w:tcW w:w="991"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71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17</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71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17</w:t>
            </w:r>
          </w:p>
        </w:tc>
        <w:tc>
          <w:tcPr>
            <w:tcW w:w="125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r>
      <w:tr w:rsidR="00481EDB" w:rsidRPr="00687B52" w:rsidTr="00963ECA">
        <w:trPr>
          <w:trHeight w:hRule="exact" w:val="397"/>
        </w:trPr>
        <w:tc>
          <w:tcPr>
            <w:tcW w:w="1165"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民用建筑</w:t>
            </w:r>
          </w:p>
        </w:tc>
        <w:tc>
          <w:tcPr>
            <w:tcW w:w="849"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裙房，单、多层</w:t>
            </w:r>
          </w:p>
        </w:tc>
        <w:tc>
          <w:tcPr>
            <w:tcW w:w="127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一、二级</w:t>
            </w:r>
          </w:p>
        </w:tc>
        <w:tc>
          <w:tcPr>
            <w:tcW w:w="2694" w:type="dxa"/>
            <w:gridSpan w:val="3"/>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25</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10</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1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10</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1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125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r>
      <w:tr w:rsidR="00481EDB" w:rsidRPr="00687B52" w:rsidTr="00963ECA">
        <w:trPr>
          <w:trHeight w:hRule="exact" w:val="397"/>
        </w:trPr>
        <w:tc>
          <w:tcPr>
            <w:tcW w:w="1165"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849"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27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三级</w:t>
            </w:r>
          </w:p>
        </w:tc>
        <w:tc>
          <w:tcPr>
            <w:tcW w:w="2694" w:type="dxa"/>
            <w:gridSpan w:val="3"/>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71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16</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12</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71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16</w:t>
            </w:r>
          </w:p>
        </w:tc>
        <w:tc>
          <w:tcPr>
            <w:tcW w:w="125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r>
      <w:tr w:rsidR="00481EDB" w:rsidRPr="00687B52" w:rsidTr="00963ECA">
        <w:trPr>
          <w:trHeight w:hRule="exact" w:val="397"/>
        </w:trPr>
        <w:tc>
          <w:tcPr>
            <w:tcW w:w="1165"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849"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27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四级</w:t>
            </w:r>
          </w:p>
        </w:tc>
        <w:tc>
          <w:tcPr>
            <w:tcW w:w="2694" w:type="dxa"/>
            <w:gridSpan w:val="3"/>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16</w:t>
            </w:r>
          </w:p>
        </w:tc>
        <w:tc>
          <w:tcPr>
            <w:tcW w:w="71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18</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17</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14</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16</w:t>
            </w:r>
          </w:p>
        </w:tc>
        <w:tc>
          <w:tcPr>
            <w:tcW w:w="71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18</w:t>
            </w:r>
          </w:p>
        </w:tc>
        <w:tc>
          <w:tcPr>
            <w:tcW w:w="125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17</w:t>
            </w:r>
          </w:p>
        </w:tc>
      </w:tr>
      <w:tr w:rsidR="00481EDB" w:rsidRPr="00687B52" w:rsidTr="00963ECA">
        <w:trPr>
          <w:trHeight w:hRule="exact" w:val="397"/>
        </w:trPr>
        <w:tc>
          <w:tcPr>
            <w:tcW w:w="1165"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849"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高层</w:t>
            </w:r>
          </w:p>
        </w:tc>
        <w:tc>
          <w:tcPr>
            <w:tcW w:w="127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一类</w:t>
            </w:r>
          </w:p>
        </w:tc>
        <w:tc>
          <w:tcPr>
            <w:tcW w:w="2694" w:type="dxa"/>
            <w:gridSpan w:val="3"/>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50</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c>
          <w:tcPr>
            <w:tcW w:w="709" w:type="dxa"/>
            <w:vAlign w:val="center"/>
          </w:tcPr>
          <w:p w:rsidR="00481EDB" w:rsidRPr="00687B52" w:rsidRDefault="00DB6EAA"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25</w:t>
            </w:r>
          </w:p>
        </w:tc>
        <w:tc>
          <w:tcPr>
            <w:tcW w:w="71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25</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709" w:type="dxa"/>
            <w:vAlign w:val="center"/>
          </w:tcPr>
          <w:p w:rsidR="00481EDB" w:rsidRPr="00687B52" w:rsidRDefault="00DB6EAA"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18</w:t>
            </w:r>
          </w:p>
        </w:tc>
        <w:tc>
          <w:tcPr>
            <w:tcW w:w="71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18</w:t>
            </w:r>
          </w:p>
        </w:tc>
        <w:tc>
          <w:tcPr>
            <w:tcW w:w="125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r>
      <w:tr w:rsidR="00481EDB" w:rsidRPr="00687B52" w:rsidTr="00963ECA">
        <w:trPr>
          <w:trHeight w:hRule="exact" w:val="397"/>
        </w:trPr>
        <w:tc>
          <w:tcPr>
            <w:tcW w:w="1165"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849"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27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二类</w:t>
            </w:r>
          </w:p>
        </w:tc>
        <w:tc>
          <w:tcPr>
            <w:tcW w:w="2694" w:type="dxa"/>
            <w:gridSpan w:val="3"/>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c>
          <w:tcPr>
            <w:tcW w:w="71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99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c>
          <w:tcPr>
            <w:tcW w:w="70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71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125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13</w:t>
            </w:r>
          </w:p>
        </w:tc>
      </w:tr>
    </w:tbl>
    <w:p w:rsidR="00481EDB" w:rsidRPr="00687B52" w:rsidRDefault="00481EDB" w:rsidP="00481EDB">
      <w:pPr>
        <w:pStyle w:val="11"/>
        <w:adjustRightInd w:val="0"/>
        <w:snapToGrid w:val="0"/>
        <w:spacing w:line="360" w:lineRule="exact"/>
        <w:ind w:left="357" w:firstLineChars="0" w:firstLine="0"/>
        <w:jc w:val="left"/>
        <w:rPr>
          <w:rFonts w:ascii="Times New Roman" w:hAnsi="Times New Roman"/>
          <w:color w:val="000000" w:themeColor="text1"/>
          <w:szCs w:val="21"/>
        </w:rPr>
      </w:pPr>
      <w:r w:rsidRPr="00687B52">
        <w:rPr>
          <w:rFonts w:ascii="Times New Roman" w:hAnsi="Times New Roman"/>
          <w:color w:val="000000" w:themeColor="text1"/>
          <w:szCs w:val="21"/>
        </w:rPr>
        <w:t>注：</w:t>
      </w:r>
      <w:r w:rsidRPr="00687B52">
        <w:rPr>
          <w:rFonts w:ascii="Times New Roman" w:hAnsi="Times New Roman"/>
          <w:color w:val="000000" w:themeColor="text1"/>
          <w:szCs w:val="21"/>
        </w:rPr>
        <w:t xml:space="preserve">1 </w:t>
      </w:r>
      <w:r w:rsidRPr="00687B52">
        <w:rPr>
          <w:rFonts w:ascii="Times New Roman" w:hAnsi="Times New Roman"/>
          <w:color w:val="000000" w:themeColor="text1"/>
          <w:szCs w:val="21"/>
        </w:rPr>
        <w:t>单、多层戊类仓库之间的防火间距，可按本表的规定减少</w:t>
      </w:r>
      <w:r w:rsidRPr="00687B52">
        <w:rPr>
          <w:rFonts w:ascii="Times New Roman" w:hAnsi="Times New Roman"/>
          <w:color w:val="000000" w:themeColor="text1"/>
          <w:szCs w:val="21"/>
        </w:rPr>
        <w:t xml:space="preserve"> 2m</w:t>
      </w:r>
      <w:r w:rsidRPr="00687B52">
        <w:rPr>
          <w:rFonts w:ascii="Times New Roman" w:hAnsi="Times New Roman"/>
          <w:color w:val="000000" w:themeColor="text1"/>
          <w:szCs w:val="21"/>
        </w:rPr>
        <w:t>。</w:t>
      </w:r>
    </w:p>
    <w:p w:rsidR="00481EDB" w:rsidRPr="00687B52" w:rsidRDefault="00481EDB" w:rsidP="00481EDB">
      <w:pPr>
        <w:pStyle w:val="11"/>
        <w:adjustRightInd w:val="0"/>
        <w:snapToGrid w:val="0"/>
        <w:spacing w:line="360" w:lineRule="exact"/>
        <w:ind w:left="357" w:firstLineChars="0" w:firstLine="0"/>
        <w:jc w:val="left"/>
        <w:rPr>
          <w:rFonts w:ascii="Times New Roman" w:hAnsi="Times New Roman"/>
          <w:color w:val="000000" w:themeColor="text1"/>
          <w:szCs w:val="21"/>
        </w:rPr>
      </w:pPr>
      <w:r w:rsidRPr="00687B52">
        <w:rPr>
          <w:rFonts w:ascii="Times New Roman" w:hAnsi="Times New Roman"/>
          <w:color w:val="000000" w:themeColor="text1"/>
          <w:szCs w:val="21"/>
        </w:rPr>
        <w:t xml:space="preserve">2 </w:t>
      </w:r>
      <w:r w:rsidRPr="00687B52">
        <w:rPr>
          <w:rFonts w:ascii="Times New Roman" w:hAnsi="Times New Roman"/>
          <w:color w:val="000000" w:themeColor="text1"/>
          <w:szCs w:val="21"/>
        </w:rPr>
        <w:t>两座仓库的相邻外墙均为防火墙时，防火间距可以减小，但丙类仓库，不应小于</w:t>
      </w:r>
      <w:r w:rsidRPr="00687B52">
        <w:rPr>
          <w:rFonts w:ascii="Times New Roman" w:hAnsi="Times New Roman"/>
          <w:color w:val="000000" w:themeColor="text1"/>
          <w:szCs w:val="21"/>
        </w:rPr>
        <w:t>6m</w:t>
      </w:r>
      <w:r w:rsidRPr="00687B52">
        <w:rPr>
          <w:rFonts w:ascii="Times New Roman" w:hAnsi="Times New Roman"/>
          <w:color w:val="000000" w:themeColor="text1"/>
          <w:szCs w:val="21"/>
        </w:rPr>
        <w:t>；丁、戊类仓库，不应小于</w:t>
      </w:r>
      <w:r w:rsidRPr="00687B52">
        <w:rPr>
          <w:rFonts w:ascii="Times New Roman" w:hAnsi="Times New Roman"/>
          <w:color w:val="000000" w:themeColor="text1"/>
          <w:szCs w:val="21"/>
        </w:rPr>
        <w:t>4m</w:t>
      </w:r>
      <w:r w:rsidRPr="00687B52">
        <w:rPr>
          <w:rFonts w:ascii="Times New Roman" w:hAnsi="Times New Roman"/>
          <w:color w:val="000000" w:themeColor="text1"/>
          <w:szCs w:val="21"/>
        </w:rPr>
        <w:t>。两座仓库相邻较高一面外墙为防火墙，或相邻两座高度相同的一、二级耐火等级建筑中相邻任一侧外墙为防火墙且屋顶的耐火极限不低于</w:t>
      </w:r>
      <w:r w:rsidRPr="00687B52">
        <w:rPr>
          <w:rFonts w:ascii="Times New Roman" w:hAnsi="Times New Roman"/>
          <w:color w:val="000000" w:themeColor="text1"/>
          <w:szCs w:val="21"/>
        </w:rPr>
        <w:t>1.00h</w:t>
      </w:r>
      <w:r w:rsidRPr="00687B52">
        <w:rPr>
          <w:rFonts w:ascii="Times New Roman" w:hAnsi="Times New Roman"/>
          <w:color w:val="000000" w:themeColor="text1"/>
          <w:szCs w:val="21"/>
        </w:rPr>
        <w:t>，且总占地面积不大于本规范第</w:t>
      </w:r>
      <w:r w:rsidRPr="00687B52">
        <w:rPr>
          <w:rFonts w:ascii="Times New Roman" w:hAnsi="Times New Roman"/>
          <w:color w:val="000000" w:themeColor="text1"/>
          <w:szCs w:val="21"/>
        </w:rPr>
        <w:t>3.3.2</w:t>
      </w:r>
      <w:r w:rsidRPr="00687B52">
        <w:rPr>
          <w:rFonts w:ascii="Times New Roman" w:hAnsi="Times New Roman"/>
          <w:color w:val="000000" w:themeColor="text1"/>
          <w:szCs w:val="21"/>
        </w:rPr>
        <w:t>条一座仓库的最大允许占地面积规定时，其防火间距不限。</w:t>
      </w:r>
    </w:p>
    <w:p w:rsidR="00481EDB" w:rsidRPr="00687B52" w:rsidRDefault="00481EDB" w:rsidP="00481EDB">
      <w:pPr>
        <w:rPr>
          <w:rFonts w:ascii="Times New Roman" w:hAnsi="Times New Roman" w:cs="Times New Roman"/>
          <w:color w:val="000000" w:themeColor="text1"/>
          <w:szCs w:val="21"/>
        </w:rPr>
      </w:pPr>
      <w:r w:rsidRPr="00687B52">
        <w:rPr>
          <w:rFonts w:ascii="Times New Roman" w:hAnsi="Times New Roman" w:cs="Times New Roman"/>
          <w:color w:val="000000" w:themeColor="text1"/>
          <w:szCs w:val="21"/>
        </w:rPr>
        <w:t xml:space="preserve">3 </w:t>
      </w:r>
      <w:r w:rsidRPr="00687B52">
        <w:rPr>
          <w:rFonts w:ascii="Times New Roman" w:hAnsi="Times New Roman" w:cs="Times New Roman"/>
          <w:color w:val="000000" w:themeColor="text1"/>
          <w:szCs w:val="21"/>
        </w:rPr>
        <w:t>除乙类第</w:t>
      </w:r>
      <w:r w:rsidRPr="00687B52">
        <w:rPr>
          <w:rFonts w:ascii="Times New Roman" w:hAnsi="Times New Roman" w:cs="Times New Roman"/>
          <w:color w:val="000000" w:themeColor="text1"/>
          <w:szCs w:val="21"/>
        </w:rPr>
        <w:t>6</w:t>
      </w:r>
      <w:r w:rsidRPr="00687B52">
        <w:rPr>
          <w:rFonts w:ascii="Times New Roman" w:hAnsi="Times New Roman" w:cs="Times New Roman"/>
          <w:color w:val="000000" w:themeColor="text1"/>
          <w:szCs w:val="21"/>
        </w:rPr>
        <w:t>项物品外的乙类仓库，与民用建筑的防火间距不宜小于</w:t>
      </w:r>
      <w:r w:rsidRPr="00687B52">
        <w:rPr>
          <w:rFonts w:ascii="Times New Roman" w:hAnsi="Times New Roman" w:cs="Times New Roman"/>
          <w:color w:val="000000" w:themeColor="text1"/>
          <w:szCs w:val="21"/>
        </w:rPr>
        <w:t>25m</w:t>
      </w:r>
      <w:r w:rsidRPr="00687B52">
        <w:rPr>
          <w:rFonts w:ascii="Times New Roman" w:hAnsi="Times New Roman" w:cs="Times New Roman"/>
          <w:color w:val="000000" w:themeColor="text1"/>
          <w:szCs w:val="21"/>
        </w:rPr>
        <w:t>，与重要公共建筑的防火间距不应小于</w:t>
      </w:r>
      <w:r w:rsidRPr="00687B52">
        <w:rPr>
          <w:rFonts w:ascii="Times New Roman" w:hAnsi="Times New Roman" w:cs="Times New Roman"/>
          <w:color w:val="000000" w:themeColor="text1"/>
          <w:szCs w:val="21"/>
        </w:rPr>
        <w:t>50m</w:t>
      </w:r>
      <w:r w:rsidRPr="00687B52">
        <w:rPr>
          <w:rFonts w:ascii="Times New Roman" w:hAnsi="Times New Roman" w:cs="Times New Roman"/>
          <w:color w:val="000000" w:themeColor="text1"/>
          <w:szCs w:val="21"/>
        </w:rPr>
        <w:t>，与铁路、道路等的防火间距不宜小于表</w:t>
      </w:r>
      <w:r w:rsidRPr="00687B52">
        <w:rPr>
          <w:rFonts w:ascii="Times New Roman" w:hAnsi="Times New Roman" w:cs="Times New Roman"/>
          <w:color w:val="000000" w:themeColor="text1"/>
          <w:szCs w:val="21"/>
        </w:rPr>
        <w:t>3.5.1</w:t>
      </w:r>
      <w:r w:rsidRPr="00687B52">
        <w:rPr>
          <w:rFonts w:ascii="Times New Roman" w:hAnsi="Times New Roman" w:cs="Times New Roman"/>
          <w:color w:val="000000" w:themeColor="text1"/>
          <w:szCs w:val="21"/>
        </w:rPr>
        <w:t>中甲类仓库与铁路、道路等的防火间距。</w:t>
      </w:r>
    </w:p>
    <w:p w:rsidR="00481EDB" w:rsidRPr="00687B52" w:rsidRDefault="00481EDB" w:rsidP="00481EDB">
      <w:pPr>
        <w:rPr>
          <w:rFonts w:ascii="Times New Roman" w:hAnsi="Times New Roman" w:cs="Times New Roman"/>
          <w:color w:val="000000" w:themeColor="text1"/>
          <w:szCs w:val="21"/>
        </w:rPr>
      </w:pPr>
    </w:p>
    <w:p w:rsidR="00481EDB" w:rsidRPr="00687B52" w:rsidRDefault="00481EDB" w:rsidP="00481EDB">
      <w:pPr>
        <w:rPr>
          <w:rFonts w:ascii="Times New Roman" w:hAnsi="Times New Roman" w:cs="Times New Roman"/>
          <w:color w:val="000000" w:themeColor="text1"/>
          <w:szCs w:val="21"/>
        </w:rPr>
      </w:pPr>
    </w:p>
    <w:p w:rsidR="00481EDB" w:rsidRPr="00687B52" w:rsidRDefault="00481EDB" w:rsidP="00481EDB">
      <w:pPr>
        <w:rPr>
          <w:rFonts w:ascii="Times New Roman" w:hAnsi="Times New Roman" w:cs="Times New Roman"/>
          <w:color w:val="000000" w:themeColor="text1"/>
          <w:szCs w:val="21"/>
        </w:rPr>
      </w:pPr>
    </w:p>
    <w:p w:rsidR="00C506D9" w:rsidRPr="00687B52" w:rsidRDefault="00C506D9" w:rsidP="00481EDB">
      <w:pPr>
        <w:rPr>
          <w:rFonts w:ascii="Times New Roman" w:hAnsi="Times New Roman" w:cs="Times New Roman"/>
          <w:color w:val="000000" w:themeColor="text1"/>
          <w:szCs w:val="21"/>
        </w:rPr>
      </w:pPr>
    </w:p>
    <w:p w:rsidR="00481EDB" w:rsidRPr="00687B52" w:rsidRDefault="00481EDB" w:rsidP="00481EDB">
      <w:pPr>
        <w:rPr>
          <w:rFonts w:ascii="Times New Roman" w:hAnsi="Times New Roman" w:cs="Times New Roman"/>
          <w:color w:val="000000" w:themeColor="text1"/>
          <w:szCs w:val="21"/>
        </w:rPr>
      </w:pPr>
    </w:p>
    <w:p w:rsidR="00481EDB" w:rsidRPr="00687B52" w:rsidRDefault="00481EDB" w:rsidP="00C506D9">
      <w:pPr>
        <w:pStyle w:val="afd"/>
        <w:rPr>
          <w:color w:val="000000" w:themeColor="text1"/>
        </w:rPr>
      </w:pPr>
      <w:bookmarkStart w:id="418" w:name="_Toc491870868"/>
      <w:bookmarkStart w:id="419" w:name="_Toc492563522"/>
      <w:bookmarkStart w:id="420" w:name="_Toc493857127"/>
      <w:r w:rsidRPr="00687B52">
        <w:rPr>
          <w:rFonts w:hint="eastAsia"/>
          <w:color w:val="000000" w:themeColor="text1"/>
        </w:rPr>
        <w:t>表</w:t>
      </w:r>
      <w:r w:rsidRPr="00687B52">
        <w:rPr>
          <w:rFonts w:hint="eastAsia"/>
          <w:color w:val="000000" w:themeColor="text1"/>
        </w:rPr>
        <w:t>4.2.1</w:t>
      </w:r>
      <w:r w:rsidRPr="00687B52">
        <w:rPr>
          <w:rFonts w:hint="eastAsia"/>
          <w:color w:val="000000" w:themeColor="text1"/>
        </w:rPr>
        <w:t>甲、乙、丙类液体储罐（区）和乙、丙类液体桶装堆场与其他建筑的防火间距（</w:t>
      </w:r>
      <w:r w:rsidRPr="00687B52">
        <w:rPr>
          <w:rFonts w:hint="eastAsia"/>
          <w:color w:val="000000" w:themeColor="text1"/>
        </w:rPr>
        <w:t>m</w:t>
      </w:r>
      <w:r w:rsidRPr="00687B52">
        <w:rPr>
          <w:rFonts w:hint="eastAsia"/>
          <w:color w:val="000000" w:themeColor="text1"/>
        </w:rPr>
        <w:t>）</w:t>
      </w:r>
      <w:bookmarkEnd w:id="418"/>
      <w:bookmarkEnd w:id="419"/>
      <w:bookmarkEnd w:id="420"/>
    </w:p>
    <w:tbl>
      <w:tblPr>
        <w:tblStyle w:val="a6"/>
        <w:tblW w:w="5000" w:type="pct"/>
        <w:tblLook w:val="04A0" w:firstRow="1" w:lastRow="0" w:firstColumn="1" w:lastColumn="0" w:noHBand="0" w:noVBand="1"/>
      </w:tblPr>
      <w:tblGrid>
        <w:gridCol w:w="1237"/>
        <w:gridCol w:w="2264"/>
        <w:gridCol w:w="2264"/>
        <w:gridCol w:w="2132"/>
        <w:gridCol w:w="1465"/>
        <w:gridCol w:w="1997"/>
        <w:gridCol w:w="2135"/>
      </w:tblGrid>
      <w:tr w:rsidR="00481EDB" w:rsidRPr="00687B52" w:rsidTr="00BB2A37">
        <w:trPr>
          <w:trHeight w:hRule="exact" w:val="312"/>
          <w:tblHeader/>
        </w:trPr>
        <w:tc>
          <w:tcPr>
            <w:tcW w:w="458" w:type="pct"/>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r w:rsidRPr="00687B52">
              <w:rPr>
                <w:rFonts w:ascii="Times New Roman" w:hAnsi="Times New Roman" w:hint="eastAsia"/>
                <w:b/>
                <w:color w:val="000000" w:themeColor="text1"/>
                <w:szCs w:val="21"/>
              </w:rPr>
              <w:t>类别</w:t>
            </w:r>
          </w:p>
        </w:tc>
        <w:tc>
          <w:tcPr>
            <w:tcW w:w="839" w:type="pct"/>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r w:rsidRPr="00687B52">
              <w:rPr>
                <w:rFonts w:ascii="Times New Roman" w:hAnsi="Times New Roman" w:hint="eastAsia"/>
                <w:b/>
                <w:color w:val="000000" w:themeColor="text1"/>
                <w:szCs w:val="21"/>
              </w:rPr>
              <w:t>一个罐区或堆场的总容量</w:t>
            </w:r>
            <w:r w:rsidRPr="00687B52">
              <w:rPr>
                <w:rFonts w:ascii="Times New Roman" w:hAnsi="Times New Roman" w:hint="eastAsia"/>
                <w:b/>
                <w:color w:val="000000" w:themeColor="text1"/>
                <w:szCs w:val="21"/>
              </w:rPr>
              <w:t>V</w:t>
            </w:r>
            <w:r w:rsidRPr="00687B52">
              <w:rPr>
                <w:rFonts w:ascii="Times New Roman" w:hAnsi="Times New Roman" w:hint="eastAsia"/>
                <w:b/>
                <w:color w:val="000000" w:themeColor="text1"/>
                <w:szCs w:val="21"/>
              </w:rPr>
              <w:t>（</w:t>
            </w:r>
            <w:r w:rsidRPr="00687B52">
              <w:rPr>
                <w:rFonts w:ascii="Times New Roman" w:hAnsi="Times New Roman" w:hint="eastAsia"/>
                <w:b/>
                <w:color w:val="000000" w:themeColor="text1"/>
                <w:szCs w:val="21"/>
              </w:rPr>
              <w:t>m</w:t>
            </w:r>
            <w:r w:rsidRPr="00687B52">
              <w:rPr>
                <w:rFonts w:ascii="Times New Roman" w:hAnsi="Times New Roman" w:hint="eastAsia"/>
                <w:b/>
                <w:color w:val="000000" w:themeColor="text1"/>
                <w:szCs w:val="21"/>
                <w:vertAlign w:val="superscript"/>
              </w:rPr>
              <w:t>3</w:t>
            </w:r>
            <w:r w:rsidRPr="00687B52">
              <w:rPr>
                <w:rFonts w:ascii="Times New Roman" w:hAnsi="Times New Roman" w:hint="eastAsia"/>
                <w:b/>
                <w:color w:val="000000" w:themeColor="text1"/>
                <w:szCs w:val="21"/>
              </w:rPr>
              <w:t>）</w:t>
            </w:r>
          </w:p>
        </w:tc>
        <w:tc>
          <w:tcPr>
            <w:tcW w:w="2912" w:type="pct"/>
            <w:gridSpan w:val="4"/>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r w:rsidRPr="00687B52">
              <w:rPr>
                <w:rFonts w:ascii="Times New Roman" w:hAnsi="Times New Roman" w:hint="eastAsia"/>
                <w:b/>
                <w:color w:val="000000" w:themeColor="text1"/>
                <w:szCs w:val="21"/>
              </w:rPr>
              <w:t>建筑物</w:t>
            </w:r>
          </w:p>
        </w:tc>
        <w:tc>
          <w:tcPr>
            <w:tcW w:w="791" w:type="pct"/>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r w:rsidRPr="00687B52">
              <w:rPr>
                <w:rFonts w:ascii="Times New Roman" w:hAnsi="Times New Roman" w:hint="eastAsia"/>
                <w:b/>
                <w:color w:val="000000" w:themeColor="text1"/>
                <w:szCs w:val="21"/>
              </w:rPr>
              <w:t>室外变、配电站</w:t>
            </w:r>
          </w:p>
        </w:tc>
      </w:tr>
      <w:tr w:rsidR="00481EDB" w:rsidRPr="00687B52" w:rsidTr="00BB2A37">
        <w:trPr>
          <w:trHeight w:hRule="exact" w:val="312"/>
          <w:tblHeader/>
        </w:trPr>
        <w:tc>
          <w:tcPr>
            <w:tcW w:w="458" w:type="pct"/>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p>
        </w:tc>
        <w:tc>
          <w:tcPr>
            <w:tcW w:w="839" w:type="pct"/>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p>
        </w:tc>
        <w:tc>
          <w:tcPr>
            <w:tcW w:w="1628" w:type="pct"/>
            <w:gridSpan w:val="2"/>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r w:rsidRPr="00687B52">
              <w:rPr>
                <w:rFonts w:ascii="Times New Roman" w:hAnsi="Times New Roman" w:hint="eastAsia"/>
                <w:b/>
                <w:color w:val="000000" w:themeColor="text1"/>
                <w:szCs w:val="21"/>
              </w:rPr>
              <w:t>一、二级</w:t>
            </w:r>
          </w:p>
        </w:tc>
        <w:tc>
          <w:tcPr>
            <w:tcW w:w="543" w:type="pct"/>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r w:rsidRPr="00687B52">
              <w:rPr>
                <w:rFonts w:ascii="Times New Roman" w:hAnsi="Times New Roman" w:hint="eastAsia"/>
                <w:b/>
                <w:color w:val="000000" w:themeColor="text1"/>
                <w:szCs w:val="21"/>
              </w:rPr>
              <w:t>三级</w:t>
            </w:r>
          </w:p>
        </w:tc>
        <w:tc>
          <w:tcPr>
            <w:tcW w:w="740" w:type="pct"/>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r w:rsidRPr="00687B52">
              <w:rPr>
                <w:rFonts w:ascii="Times New Roman" w:hAnsi="Times New Roman" w:hint="eastAsia"/>
                <w:b/>
                <w:color w:val="000000" w:themeColor="text1"/>
                <w:szCs w:val="21"/>
              </w:rPr>
              <w:t>四级</w:t>
            </w:r>
          </w:p>
        </w:tc>
        <w:tc>
          <w:tcPr>
            <w:tcW w:w="791" w:type="pct"/>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p>
        </w:tc>
      </w:tr>
      <w:tr w:rsidR="00481EDB" w:rsidRPr="00687B52" w:rsidTr="00BB2A37">
        <w:trPr>
          <w:trHeight w:hRule="exact" w:val="312"/>
          <w:tblHeader/>
        </w:trPr>
        <w:tc>
          <w:tcPr>
            <w:tcW w:w="458" w:type="pct"/>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p>
        </w:tc>
        <w:tc>
          <w:tcPr>
            <w:tcW w:w="839" w:type="pct"/>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p>
        </w:tc>
        <w:tc>
          <w:tcPr>
            <w:tcW w:w="839" w:type="pc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r w:rsidRPr="00687B52">
              <w:rPr>
                <w:rFonts w:ascii="Times New Roman" w:hAnsi="Times New Roman" w:hint="eastAsia"/>
                <w:b/>
                <w:color w:val="000000" w:themeColor="text1"/>
                <w:szCs w:val="21"/>
              </w:rPr>
              <w:t>高层民用建筑</w:t>
            </w:r>
          </w:p>
        </w:tc>
        <w:tc>
          <w:tcPr>
            <w:tcW w:w="790" w:type="pc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r w:rsidRPr="00687B52">
              <w:rPr>
                <w:rFonts w:ascii="Times New Roman" w:hAnsi="Times New Roman" w:hint="eastAsia"/>
                <w:b/>
                <w:color w:val="000000" w:themeColor="text1"/>
                <w:szCs w:val="21"/>
              </w:rPr>
              <w:t>裙房、其他建筑</w:t>
            </w:r>
          </w:p>
        </w:tc>
        <w:tc>
          <w:tcPr>
            <w:tcW w:w="543" w:type="pct"/>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p>
        </w:tc>
        <w:tc>
          <w:tcPr>
            <w:tcW w:w="740" w:type="pct"/>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p>
        </w:tc>
        <w:tc>
          <w:tcPr>
            <w:tcW w:w="791" w:type="pct"/>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p>
        </w:tc>
      </w:tr>
      <w:tr w:rsidR="00481EDB" w:rsidRPr="00687B52" w:rsidTr="00BB2A37">
        <w:trPr>
          <w:trHeight w:hRule="exact" w:val="312"/>
        </w:trPr>
        <w:tc>
          <w:tcPr>
            <w:tcW w:w="458" w:type="pct"/>
            <w:vMerge w:val="restart"/>
            <w:vAlign w:val="center"/>
          </w:tcPr>
          <w:p w:rsidR="00481EDB" w:rsidRPr="00687B52" w:rsidRDefault="00481EDB" w:rsidP="00F25ED0">
            <w:pPr>
              <w:adjustRightInd w:val="0"/>
              <w:snapToGrid w:val="0"/>
              <w:spacing w:afterLines="50" w:after="156"/>
              <w:jc w:val="left"/>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甲、乙类液体储罐（区）</w:t>
            </w:r>
          </w:p>
        </w:tc>
        <w:tc>
          <w:tcPr>
            <w:tcW w:w="839"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color w:val="000000" w:themeColor="text1"/>
                <w:szCs w:val="21"/>
              </w:rPr>
              <w:t>1≤V</w:t>
            </w:r>
            <w:r w:rsidRPr="00687B52">
              <w:rPr>
                <w:rFonts w:ascii="Times New Roman" w:hAnsi="Times New Roman" w:cs="Times New Roman"/>
                <w:color w:val="000000" w:themeColor="text1"/>
                <w:szCs w:val="21"/>
              </w:rPr>
              <w:t>＜</w:t>
            </w:r>
            <w:r w:rsidRPr="00687B52">
              <w:rPr>
                <w:rFonts w:ascii="Times New Roman" w:hAnsi="Times New Roman" w:cs="Times New Roman" w:hint="eastAsia"/>
                <w:color w:val="000000" w:themeColor="text1"/>
                <w:szCs w:val="21"/>
              </w:rPr>
              <w:t>5</w:t>
            </w:r>
            <w:r w:rsidRPr="00687B52">
              <w:rPr>
                <w:rFonts w:ascii="Times New Roman" w:hAnsi="Times New Roman" w:cs="Times New Roman"/>
                <w:color w:val="000000" w:themeColor="text1"/>
                <w:szCs w:val="21"/>
              </w:rPr>
              <w:t>0</w:t>
            </w:r>
          </w:p>
        </w:tc>
        <w:tc>
          <w:tcPr>
            <w:tcW w:w="839"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40</w:t>
            </w:r>
          </w:p>
        </w:tc>
        <w:tc>
          <w:tcPr>
            <w:tcW w:w="790"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12</w:t>
            </w:r>
          </w:p>
        </w:tc>
        <w:tc>
          <w:tcPr>
            <w:tcW w:w="543"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15</w:t>
            </w:r>
          </w:p>
        </w:tc>
        <w:tc>
          <w:tcPr>
            <w:tcW w:w="740" w:type="pct"/>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20</w:t>
            </w:r>
          </w:p>
        </w:tc>
        <w:tc>
          <w:tcPr>
            <w:tcW w:w="791"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30</w:t>
            </w:r>
          </w:p>
        </w:tc>
      </w:tr>
      <w:tr w:rsidR="00481EDB" w:rsidRPr="00687B52" w:rsidTr="00BB2A37">
        <w:trPr>
          <w:trHeight w:hRule="exact" w:val="312"/>
        </w:trPr>
        <w:tc>
          <w:tcPr>
            <w:tcW w:w="458" w:type="pct"/>
            <w:vMerge/>
            <w:vAlign w:val="center"/>
          </w:tcPr>
          <w:p w:rsidR="00481EDB" w:rsidRPr="00687B52" w:rsidRDefault="00481EDB" w:rsidP="00F25ED0">
            <w:pPr>
              <w:adjustRightInd w:val="0"/>
              <w:snapToGrid w:val="0"/>
              <w:spacing w:afterLines="50" w:after="156"/>
              <w:jc w:val="left"/>
              <w:rPr>
                <w:rFonts w:ascii="Times New Roman" w:hAnsi="Times New Roman" w:cs="Times New Roman"/>
                <w:color w:val="000000" w:themeColor="text1"/>
                <w:szCs w:val="21"/>
              </w:rPr>
            </w:pPr>
          </w:p>
        </w:tc>
        <w:tc>
          <w:tcPr>
            <w:tcW w:w="839"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50</w:t>
            </w:r>
            <w:r w:rsidRPr="00687B52">
              <w:rPr>
                <w:rFonts w:ascii="Times New Roman" w:hAnsi="Times New Roman" w:cs="Times New Roman"/>
                <w:color w:val="000000" w:themeColor="text1"/>
                <w:szCs w:val="21"/>
              </w:rPr>
              <w:t>≤V</w:t>
            </w:r>
            <w:r w:rsidRPr="00687B52">
              <w:rPr>
                <w:rFonts w:ascii="Times New Roman" w:hAnsi="Times New Roman" w:cs="Times New Roman"/>
                <w:color w:val="000000" w:themeColor="text1"/>
                <w:szCs w:val="21"/>
              </w:rPr>
              <w:t>＜</w:t>
            </w:r>
            <w:r w:rsidRPr="00687B52">
              <w:rPr>
                <w:rFonts w:ascii="Times New Roman" w:hAnsi="Times New Roman" w:cs="Times New Roman" w:hint="eastAsia"/>
                <w:color w:val="000000" w:themeColor="text1"/>
                <w:szCs w:val="21"/>
              </w:rPr>
              <w:t>200</w:t>
            </w:r>
          </w:p>
        </w:tc>
        <w:tc>
          <w:tcPr>
            <w:tcW w:w="839"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50</w:t>
            </w:r>
          </w:p>
        </w:tc>
        <w:tc>
          <w:tcPr>
            <w:tcW w:w="790"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15</w:t>
            </w:r>
          </w:p>
        </w:tc>
        <w:tc>
          <w:tcPr>
            <w:tcW w:w="543"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20</w:t>
            </w:r>
          </w:p>
        </w:tc>
        <w:tc>
          <w:tcPr>
            <w:tcW w:w="740" w:type="pct"/>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25</w:t>
            </w:r>
          </w:p>
        </w:tc>
        <w:tc>
          <w:tcPr>
            <w:tcW w:w="791"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35</w:t>
            </w:r>
          </w:p>
        </w:tc>
      </w:tr>
      <w:tr w:rsidR="00481EDB" w:rsidRPr="00687B52" w:rsidTr="00BB2A37">
        <w:trPr>
          <w:trHeight w:hRule="exact" w:val="312"/>
        </w:trPr>
        <w:tc>
          <w:tcPr>
            <w:tcW w:w="458" w:type="pct"/>
            <w:vMerge/>
            <w:vAlign w:val="center"/>
          </w:tcPr>
          <w:p w:rsidR="00481EDB" w:rsidRPr="00687B52" w:rsidRDefault="00481EDB" w:rsidP="00F25ED0">
            <w:pPr>
              <w:adjustRightInd w:val="0"/>
              <w:snapToGrid w:val="0"/>
              <w:spacing w:afterLines="50" w:after="156"/>
              <w:jc w:val="left"/>
              <w:rPr>
                <w:rFonts w:ascii="Times New Roman" w:hAnsi="Times New Roman" w:cs="Times New Roman"/>
                <w:color w:val="000000" w:themeColor="text1"/>
                <w:szCs w:val="21"/>
              </w:rPr>
            </w:pPr>
          </w:p>
        </w:tc>
        <w:tc>
          <w:tcPr>
            <w:tcW w:w="839"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200</w:t>
            </w:r>
            <w:r w:rsidRPr="00687B52">
              <w:rPr>
                <w:rFonts w:ascii="Times New Roman" w:hAnsi="Times New Roman" w:cs="Times New Roman"/>
                <w:color w:val="000000" w:themeColor="text1"/>
                <w:szCs w:val="21"/>
              </w:rPr>
              <w:t>≤V</w:t>
            </w:r>
            <w:r w:rsidRPr="00687B52">
              <w:rPr>
                <w:rFonts w:ascii="Times New Roman" w:hAnsi="Times New Roman" w:cs="Times New Roman"/>
                <w:color w:val="000000" w:themeColor="text1"/>
                <w:szCs w:val="21"/>
              </w:rPr>
              <w:t>＜</w:t>
            </w:r>
            <w:r w:rsidRPr="00687B52">
              <w:rPr>
                <w:rFonts w:ascii="Times New Roman" w:hAnsi="Times New Roman" w:cs="Times New Roman" w:hint="eastAsia"/>
                <w:color w:val="000000" w:themeColor="text1"/>
                <w:szCs w:val="21"/>
              </w:rPr>
              <w:t>1000</w:t>
            </w:r>
          </w:p>
        </w:tc>
        <w:tc>
          <w:tcPr>
            <w:tcW w:w="839"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60</w:t>
            </w:r>
          </w:p>
        </w:tc>
        <w:tc>
          <w:tcPr>
            <w:tcW w:w="790"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20</w:t>
            </w:r>
          </w:p>
        </w:tc>
        <w:tc>
          <w:tcPr>
            <w:tcW w:w="543"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25</w:t>
            </w:r>
          </w:p>
        </w:tc>
        <w:tc>
          <w:tcPr>
            <w:tcW w:w="740" w:type="pct"/>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30</w:t>
            </w:r>
          </w:p>
        </w:tc>
        <w:tc>
          <w:tcPr>
            <w:tcW w:w="791"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40</w:t>
            </w:r>
          </w:p>
        </w:tc>
      </w:tr>
      <w:tr w:rsidR="00481EDB" w:rsidRPr="00687B52" w:rsidTr="00BB2A37">
        <w:trPr>
          <w:trHeight w:hRule="exact" w:val="312"/>
        </w:trPr>
        <w:tc>
          <w:tcPr>
            <w:tcW w:w="458" w:type="pct"/>
            <w:vMerge/>
            <w:vAlign w:val="center"/>
          </w:tcPr>
          <w:p w:rsidR="00481EDB" w:rsidRPr="00687B52" w:rsidRDefault="00481EDB" w:rsidP="00F25ED0">
            <w:pPr>
              <w:adjustRightInd w:val="0"/>
              <w:snapToGrid w:val="0"/>
              <w:spacing w:afterLines="50" w:after="156"/>
              <w:jc w:val="left"/>
              <w:rPr>
                <w:rFonts w:ascii="Times New Roman" w:hAnsi="Times New Roman" w:cs="Times New Roman"/>
                <w:color w:val="000000" w:themeColor="text1"/>
                <w:szCs w:val="21"/>
              </w:rPr>
            </w:pPr>
          </w:p>
        </w:tc>
        <w:tc>
          <w:tcPr>
            <w:tcW w:w="839"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color w:val="000000" w:themeColor="text1"/>
                <w:szCs w:val="21"/>
              </w:rPr>
              <w:t>1</w:t>
            </w:r>
            <w:r w:rsidRPr="00687B52">
              <w:rPr>
                <w:rFonts w:ascii="Times New Roman" w:hAnsi="Times New Roman" w:cs="Times New Roman" w:hint="eastAsia"/>
                <w:color w:val="000000" w:themeColor="text1"/>
                <w:szCs w:val="21"/>
              </w:rPr>
              <w:t>000</w:t>
            </w:r>
            <w:r w:rsidRPr="00687B52">
              <w:rPr>
                <w:rFonts w:ascii="Times New Roman" w:hAnsi="Times New Roman" w:cs="Times New Roman"/>
                <w:color w:val="000000" w:themeColor="text1"/>
                <w:szCs w:val="21"/>
              </w:rPr>
              <w:t>≤V</w:t>
            </w:r>
            <w:r w:rsidRPr="00687B52">
              <w:rPr>
                <w:rFonts w:ascii="Times New Roman" w:hAnsi="Times New Roman" w:cs="Times New Roman"/>
                <w:color w:val="000000" w:themeColor="text1"/>
                <w:szCs w:val="21"/>
              </w:rPr>
              <w:t>＜</w:t>
            </w:r>
            <w:r w:rsidRPr="00687B52">
              <w:rPr>
                <w:rFonts w:ascii="Times New Roman" w:hAnsi="Times New Roman" w:cs="Times New Roman" w:hint="eastAsia"/>
                <w:color w:val="000000" w:themeColor="text1"/>
                <w:szCs w:val="21"/>
              </w:rPr>
              <w:t>5</w:t>
            </w:r>
            <w:r w:rsidRPr="00687B52">
              <w:rPr>
                <w:rFonts w:ascii="Times New Roman" w:hAnsi="Times New Roman" w:cs="Times New Roman"/>
                <w:color w:val="000000" w:themeColor="text1"/>
                <w:szCs w:val="21"/>
              </w:rPr>
              <w:t>0</w:t>
            </w:r>
            <w:r w:rsidRPr="00687B52">
              <w:rPr>
                <w:rFonts w:ascii="Times New Roman" w:hAnsi="Times New Roman" w:cs="Times New Roman" w:hint="eastAsia"/>
                <w:color w:val="000000" w:themeColor="text1"/>
                <w:szCs w:val="21"/>
              </w:rPr>
              <w:t>00</w:t>
            </w:r>
          </w:p>
        </w:tc>
        <w:tc>
          <w:tcPr>
            <w:tcW w:w="839"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70</w:t>
            </w:r>
          </w:p>
        </w:tc>
        <w:tc>
          <w:tcPr>
            <w:tcW w:w="790"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25</w:t>
            </w:r>
          </w:p>
        </w:tc>
        <w:tc>
          <w:tcPr>
            <w:tcW w:w="543"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30</w:t>
            </w:r>
          </w:p>
        </w:tc>
        <w:tc>
          <w:tcPr>
            <w:tcW w:w="740" w:type="pct"/>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40</w:t>
            </w:r>
          </w:p>
        </w:tc>
        <w:tc>
          <w:tcPr>
            <w:tcW w:w="791"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50</w:t>
            </w:r>
          </w:p>
        </w:tc>
      </w:tr>
      <w:tr w:rsidR="00481EDB" w:rsidRPr="00687B52" w:rsidTr="00BB2A37">
        <w:trPr>
          <w:trHeight w:hRule="exact" w:val="312"/>
        </w:trPr>
        <w:tc>
          <w:tcPr>
            <w:tcW w:w="458" w:type="pct"/>
            <w:vMerge w:val="restart"/>
            <w:vAlign w:val="center"/>
          </w:tcPr>
          <w:p w:rsidR="00481EDB" w:rsidRPr="00687B52" w:rsidRDefault="00481EDB" w:rsidP="00F25ED0">
            <w:pPr>
              <w:adjustRightInd w:val="0"/>
              <w:snapToGrid w:val="0"/>
              <w:spacing w:afterLines="50" w:after="156"/>
              <w:jc w:val="left"/>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丙类液体储罐（区）</w:t>
            </w:r>
          </w:p>
        </w:tc>
        <w:tc>
          <w:tcPr>
            <w:tcW w:w="839"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5</w:t>
            </w:r>
            <w:r w:rsidRPr="00687B52">
              <w:rPr>
                <w:rFonts w:ascii="Times New Roman" w:hAnsi="Times New Roman" w:cs="Times New Roman"/>
                <w:color w:val="000000" w:themeColor="text1"/>
                <w:szCs w:val="21"/>
              </w:rPr>
              <w:t>≤V</w:t>
            </w:r>
            <w:r w:rsidRPr="00687B52">
              <w:rPr>
                <w:rFonts w:ascii="Times New Roman" w:hAnsi="Times New Roman" w:cs="Times New Roman"/>
                <w:color w:val="000000" w:themeColor="text1"/>
                <w:szCs w:val="21"/>
              </w:rPr>
              <w:t>＜</w:t>
            </w:r>
            <w:r w:rsidRPr="00687B52">
              <w:rPr>
                <w:rFonts w:ascii="Times New Roman" w:hAnsi="Times New Roman" w:cs="Times New Roman" w:hint="eastAsia"/>
                <w:color w:val="000000" w:themeColor="text1"/>
                <w:szCs w:val="21"/>
              </w:rPr>
              <w:t>25</w:t>
            </w:r>
            <w:r w:rsidRPr="00687B52">
              <w:rPr>
                <w:rFonts w:ascii="Times New Roman" w:hAnsi="Times New Roman" w:cs="Times New Roman"/>
                <w:color w:val="000000" w:themeColor="text1"/>
                <w:szCs w:val="21"/>
              </w:rPr>
              <w:t>0</w:t>
            </w:r>
          </w:p>
        </w:tc>
        <w:tc>
          <w:tcPr>
            <w:tcW w:w="839"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40</w:t>
            </w:r>
          </w:p>
        </w:tc>
        <w:tc>
          <w:tcPr>
            <w:tcW w:w="790"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12</w:t>
            </w:r>
          </w:p>
        </w:tc>
        <w:tc>
          <w:tcPr>
            <w:tcW w:w="543"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15</w:t>
            </w:r>
          </w:p>
        </w:tc>
        <w:tc>
          <w:tcPr>
            <w:tcW w:w="740" w:type="pct"/>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20</w:t>
            </w:r>
          </w:p>
        </w:tc>
        <w:tc>
          <w:tcPr>
            <w:tcW w:w="791"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24</w:t>
            </w:r>
          </w:p>
        </w:tc>
      </w:tr>
      <w:tr w:rsidR="00481EDB" w:rsidRPr="00687B52" w:rsidTr="00BB2A37">
        <w:trPr>
          <w:trHeight w:hRule="exact" w:val="312"/>
        </w:trPr>
        <w:tc>
          <w:tcPr>
            <w:tcW w:w="458" w:type="pct"/>
            <w:vMerge/>
            <w:vAlign w:val="center"/>
          </w:tcPr>
          <w:p w:rsidR="00481EDB" w:rsidRPr="00687B52" w:rsidRDefault="00481EDB" w:rsidP="00F25ED0">
            <w:pPr>
              <w:adjustRightInd w:val="0"/>
              <w:snapToGrid w:val="0"/>
              <w:spacing w:afterLines="50" w:after="156"/>
              <w:jc w:val="left"/>
              <w:rPr>
                <w:rFonts w:ascii="Times New Roman" w:hAnsi="Times New Roman" w:cs="Times New Roman"/>
                <w:color w:val="000000" w:themeColor="text1"/>
                <w:szCs w:val="21"/>
              </w:rPr>
            </w:pPr>
          </w:p>
        </w:tc>
        <w:tc>
          <w:tcPr>
            <w:tcW w:w="839"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250</w:t>
            </w:r>
            <w:r w:rsidRPr="00687B52">
              <w:rPr>
                <w:rFonts w:ascii="Times New Roman" w:hAnsi="Times New Roman" w:cs="Times New Roman"/>
                <w:color w:val="000000" w:themeColor="text1"/>
                <w:szCs w:val="21"/>
              </w:rPr>
              <w:t>≤V</w:t>
            </w:r>
            <w:r w:rsidRPr="00687B52">
              <w:rPr>
                <w:rFonts w:ascii="Times New Roman" w:hAnsi="Times New Roman" w:cs="Times New Roman"/>
                <w:color w:val="000000" w:themeColor="text1"/>
                <w:szCs w:val="21"/>
              </w:rPr>
              <w:t>＜</w:t>
            </w:r>
            <w:r w:rsidRPr="00687B52">
              <w:rPr>
                <w:rFonts w:ascii="Times New Roman" w:hAnsi="Times New Roman" w:cs="Times New Roman" w:hint="eastAsia"/>
                <w:color w:val="000000" w:themeColor="text1"/>
                <w:szCs w:val="21"/>
              </w:rPr>
              <w:t>1000</w:t>
            </w:r>
          </w:p>
        </w:tc>
        <w:tc>
          <w:tcPr>
            <w:tcW w:w="839"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50</w:t>
            </w:r>
          </w:p>
        </w:tc>
        <w:tc>
          <w:tcPr>
            <w:tcW w:w="790"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15</w:t>
            </w:r>
          </w:p>
        </w:tc>
        <w:tc>
          <w:tcPr>
            <w:tcW w:w="543"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20</w:t>
            </w:r>
          </w:p>
        </w:tc>
        <w:tc>
          <w:tcPr>
            <w:tcW w:w="740" w:type="pct"/>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25</w:t>
            </w:r>
          </w:p>
        </w:tc>
        <w:tc>
          <w:tcPr>
            <w:tcW w:w="791"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28</w:t>
            </w:r>
          </w:p>
        </w:tc>
      </w:tr>
      <w:tr w:rsidR="00481EDB" w:rsidRPr="00687B52" w:rsidTr="00BB2A37">
        <w:trPr>
          <w:trHeight w:hRule="exact" w:val="312"/>
        </w:trPr>
        <w:tc>
          <w:tcPr>
            <w:tcW w:w="458" w:type="pct"/>
            <w:vMerge/>
            <w:vAlign w:val="center"/>
          </w:tcPr>
          <w:p w:rsidR="00481EDB" w:rsidRPr="00687B52" w:rsidRDefault="00481EDB" w:rsidP="00F25ED0">
            <w:pPr>
              <w:adjustRightInd w:val="0"/>
              <w:snapToGrid w:val="0"/>
              <w:spacing w:afterLines="50" w:after="156"/>
              <w:jc w:val="left"/>
              <w:rPr>
                <w:rFonts w:ascii="Times New Roman" w:hAnsi="Times New Roman" w:cs="Times New Roman"/>
                <w:color w:val="000000" w:themeColor="text1"/>
                <w:szCs w:val="21"/>
              </w:rPr>
            </w:pPr>
          </w:p>
        </w:tc>
        <w:tc>
          <w:tcPr>
            <w:tcW w:w="839"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color w:val="000000" w:themeColor="text1"/>
                <w:szCs w:val="21"/>
              </w:rPr>
              <w:t>1</w:t>
            </w:r>
            <w:r w:rsidRPr="00687B52">
              <w:rPr>
                <w:rFonts w:ascii="Times New Roman" w:hAnsi="Times New Roman" w:cs="Times New Roman" w:hint="eastAsia"/>
                <w:color w:val="000000" w:themeColor="text1"/>
                <w:szCs w:val="21"/>
              </w:rPr>
              <w:t>000</w:t>
            </w:r>
            <w:r w:rsidRPr="00687B52">
              <w:rPr>
                <w:rFonts w:ascii="Times New Roman" w:hAnsi="Times New Roman" w:cs="Times New Roman"/>
                <w:color w:val="000000" w:themeColor="text1"/>
                <w:szCs w:val="21"/>
              </w:rPr>
              <w:t>≤V</w:t>
            </w:r>
            <w:r w:rsidRPr="00687B52">
              <w:rPr>
                <w:rFonts w:ascii="Times New Roman" w:hAnsi="Times New Roman" w:cs="Times New Roman"/>
                <w:color w:val="000000" w:themeColor="text1"/>
                <w:szCs w:val="21"/>
              </w:rPr>
              <w:t>＜</w:t>
            </w:r>
            <w:r w:rsidRPr="00687B52">
              <w:rPr>
                <w:rFonts w:ascii="Times New Roman" w:hAnsi="Times New Roman" w:cs="Times New Roman" w:hint="eastAsia"/>
                <w:color w:val="000000" w:themeColor="text1"/>
                <w:szCs w:val="21"/>
              </w:rPr>
              <w:t>5</w:t>
            </w:r>
            <w:r w:rsidRPr="00687B52">
              <w:rPr>
                <w:rFonts w:ascii="Times New Roman" w:hAnsi="Times New Roman" w:cs="Times New Roman"/>
                <w:color w:val="000000" w:themeColor="text1"/>
                <w:szCs w:val="21"/>
              </w:rPr>
              <w:t>0</w:t>
            </w:r>
            <w:r w:rsidRPr="00687B52">
              <w:rPr>
                <w:rFonts w:ascii="Times New Roman" w:hAnsi="Times New Roman" w:cs="Times New Roman" w:hint="eastAsia"/>
                <w:color w:val="000000" w:themeColor="text1"/>
                <w:szCs w:val="21"/>
              </w:rPr>
              <w:t>00</w:t>
            </w:r>
          </w:p>
        </w:tc>
        <w:tc>
          <w:tcPr>
            <w:tcW w:w="839"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60</w:t>
            </w:r>
          </w:p>
        </w:tc>
        <w:tc>
          <w:tcPr>
            <w:tcW w:w="790"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20</w:t>
            </w:r>
          </w:p>
        </w:tc>
        <w:tc>
          <w:tcPr>
            <w:tcW w:w="543"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25</w:t>
            </w:r>
          </w:p>
        </w:tc>
        <w:tc>
          <w:tcPr>
            <w:tcW w:w="740" w:type="pct"/>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30</w:t>
            </w:r>
          </w:p>
        </w:tc>
        <w:tc>
          <w:tcPr>
            <w:tcW w:w="791"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32</w:t>
            </w:r>
          </w:p>
        </w:tc>
      </w:tr>
      <w:tr w:rsidR="00481EDB" w:rsidRPr="00687B52" w:rsidTr="00BB2A37">
        <w:trPr>
          <w:trHeight w:hRule="exact" w:val="321"/>
        </w:trPr>
        <w:tc>
          <w:tcPr>
            <w:tcW w:w="458" w:type="pct"/>
            <w:vMerge/>
            <w:vAlign w:val="center"/>
          </w:tcPr>
          <w:p w:rsidR="00481EDB" w:rsidRPr="00687B52" w:rsidRDefault="00481EDB" w:rsidP="00B527D4">
            <w:pPr>
              <w:pStyle w:val="11"/>
              <w:adjustRightInd w:val="0"/>
              <w:snapToGrid w:val="0"/>
              <w:spacing w:line="360" w:lineRule="exact"/>
              <w:ind w:left="357" w:firstLineChars="0" w:firstLine="0"/>
              <w:jc w:val="left"/>
              <w:rPr>
                <w:rFonts w:ascii="Times New Roman" w:hAnsi="Times New Roman"/>
                <w:color w:val="000000" w:themeColor="text1"/>
                <w:szCs w:val="21"/>
              </w:rPr>
            </w:pPr>
          </w:p>
        </w:tc>
        <w:tc>
          <w:tcPr>
            <w:tcW w:w="839"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5000</w:t>
            </w:r>
            <w:r w:rsidRPr="00687B52">
              <w:rPr>
                <w:rFonts w:ascii="Times New Roman" w:hAnsi="Times New Roman" w:cs="Times New Roman"/>
                <w:color w:val="000000" w:themeColor="text1"/>
                <w:szCs w:val="21"/>
              </w:rPr>
              <w:t>≤V</w:t>
            </w:r>
            <w:r w:rsidRPr="00687B52">
              <w:rPr>
                <w:rFonts w:ascii="Times New Roman" w:hAnsi="Times New Roman" w:cs="Times New Roman"/>
                <w:color w:val="000000" w:themeColor="text1"/>
                <w:szCs w:val="21"/>
              </w:rPr>
              <w:t>＜</w:t>
            </w:r>
            <w:r w:rsidRPr="00687B52">
              <w:rPr>
                <w:rFonts w:ascii="Times New Roman" w:hAnsi="Times New Roman" w:cs="Times New Roman" w:hint="eastAsia"/>
                <w:color w:val="000000" w:themeColor="text1"/>
                <w:szCs w:val="21"/>
              </w:rPr>
              <w:t>25000</w:t>
            </w:r>
          </w:p>
        </w:tc>
        <w:tc>
          <w:tcPr>
            <w:tcW w:w="839"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70</w:t>
            </w:r>
          </w:p>
        </w:tc>
        <w:tc>
          <w:tcPr>
            <w:tcW w:w="790"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25</w:t>
            </w:r>
          </w:p>
        </w:tc>
        <w:tc>
          <w:tcPr>
            <w:tcW w:w="543"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30</w:t>
            </w:r>
          </w:p>
        </w:tc>
        <w:tc>
          <w:tcPr>
            <w:tcW w:w="740" w:type="pct"/>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40</w:t>
            </w:r>
          </w:p>
        </w:tc>
        <w:tc>
          <w:tcPr>
            <w:tcW w:w="791" w:type="pc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40</w:t>
            </w:r>
          </w:p>
        </w:tc>
      </w:tr>
    </w:tbl>
    <w:p w:rsidR="00481EDB" w:rsidRPr="00687B52" w:rsidRDefault="00481EDB" w:rsidP="00481EDB">
      <w:pPr>
        <w:pStyle w:val="11"/>
        <w:adjustRightInd w:val="0"/>
        <w:snapToGrid w:val="0"/>
        <w:spacing w:line="360" w:lineRule="exact"/>
        <w:ind w:firstLineChars="0" w:firstLine="0"/>
        <w:jc w:val="left"/>
        <w:rPr>
          <w:rFonts w:ascii="Times New Roman" w:hAnsi="Times New Roman"/>
          <w:color w:val="000000" w:themeColor="text1"/>
          <w:szCs w:val="21"/>
        </w:rPr>
      </w:pPr>
      <w:r w:rsidRPr="00687B52">
        <w:rPr>
          <w:rFonts w:ascii="Times New Roman" w:hAnsi="Times New Roman" w:hint="eastAsia"/>
          <w:color w:val="000000" w:themeColor="text1"/>
          <w:szCs w:val="21"/>
        </w:rPr>
        <w:t>注：</w:t>
      </w:r>
      <w:r w:rsidRPr="00687B52">
        <w:rPr>
          <w:rFonts w:ascii="Times New Roman" w:hAnsi="Times New Roman" w:hint="eastAsia"/>
          <w:color w:val="000000" w:themeColor="text1"/>
          <w:szCs w:val="21"/>
        </w:rPr>
        <w:t>1</w:t>
      </w:r>
      <w:r w:rsidRPr="00687B52">
        <w:rPr>
          <w:rFonts w:ascii="Times New Roman" w:hAnsi="Times New Roman" w:hint="eastAsia"/>
          <w:color w:val="000000" w:themeColor="text1"/>
          <w:szCs w:val="21"/>
        </w:rPr>
        <w:t>当甲、乙类液体储罐和丙类液体储罐布置在同一储罐区时，罐区的总容量可按</w:t>
      </w:r>
      <w:r w:rsidRPr="00687B52">
        <w:rPr>
          <w:rFonts w:ascii="Times New Roman" w:hAnsi="Times New Roman" w:hint="eastAsia"/>
          <w:color w:val="000000" w:themeColor="text1"/>
          <w:szCs w:val="21"/>
        </w:rPr>
        <w:t>1m</w:t>
      </w:r>
      <w:r w:rsidRPr="00687B52">
        <w:rPr>
          <w:rFonts w:ascii="Times New Roman" w:hAnsi="Times New Roman" w:hint="eastAsia"/>
          <w:color w:val="000000" w:themeColor="text1"/>
          <w:szCs w:val="21"/>
          <w:vertAlign w:val="superscript"/>
        </w:rPr>
        <w:t>3</w:t>
      </w:r>
      <w:r w:rsidRPr="00687B52">
        <w:rPr>
          <w:rFonts w:ascii="Times New Roman" w:hAnsi="Times New Roman" w:hint="eastAsia"/>
          <w:color w:val="000000" w:themeColor="text1"/>
          <w:szCs w:val="21"/>
        </w:rPr>
        <w:t>甲、乙类液体相当于</w:t>
      </w:r>
      <w:r w:rsidRPr="00687B52">
        <w:rPr>
          <w:rFonts w:ascii="Times New Roman" w:hAnsi="Times New Roman" w:hint="eastAsia"/>
          <w:color w:val="000000" w:themeColor="text1"/>
          <w:szCs w:val="21"/>
        </w:rPr>
        <w:t>5m</w:t>
      </w:r>
      <w:r w:rsidRPr="00687B52">
        <w:rPr>
          <w:rFonts w:ascii="Times New Roman" w:hAnsi="Times New Roman" w:hint="eastAsia"/>
          <w:color w:val="000000" w:themeColor="text1"/>
          <w:szCs w:val="21"/>
          <w:vertAlign w:val="superscript"/>
        </w:rPr>
        <w:t>3</w:t>
      </w:r>
      <w:r w:rsidRPr="00687B52">
        <w:rPr>
          <w:rFonts w:ascii="Times New Roman" w:hAnsi="Times New Roman" w:hint="eastAsia"/>
          <w:color w:val="000000" w:themeColor="text1"/>
          <w:szCs w:val="21"/>
        </w:rPr>
        <w:t>丙类液体折算。</w:t>
      </w:r>
    </w:p>
    <w:p w:rsidR="00481EDB" w:rsidRPr="00687B52" w:rsidRDefault="00481EDB" w:rsidP="00481EDB">
      <w:pPr>
        <w:pStyle w:val="11"/>
        <w:adjustRightInd w:val="0"/>
        <w:snapToGrid w:val="0"/>
        <w:spacing w:line="360" w:lineRule="exact"/>
        <w:ind w:firstLineChars="0" w:firstLine="0"/>
        <w:jc w:val="left"/>
        <w:rPr>
          <w:rFonts w:ascii="Times New Roman" w:hAnsi="Times New Roman"/>
          <w:color w:val="000000" w:themeColor="text1"/>
          <w:szCs w:val="21"/>
        </w:rPr>
      </w:pPr>
      <w:r w:rsidRPr="00687B52">
        <w:rPr>
          <w:rFonts w:ascii="Times New Roman" w:hAnsi="Times New Roman" w:hint="eastAsia"/>
          <w:color w:val="000000" w:themeColor="text1"/>
          <w:szCs w:val="21"/>
        </w:rPr>
        <w:t xml:space="preserve">2 </w:t>
      </w:r>
      <w:r w:rsidRPr="00687B52">
        <w:rPr>
          <w:rFonts w:ascii="Times New Roman" w:hAnsi="Times New Roman" w:hint="eastAsia"/>
          <w:color w:val="000000" w:themeColor="text1"/>
          <w:szCs w:val="21"/>
        </w:rPr>
        <w:t>储罐防火堤外侧基脚线至相邻建筑的距离不应小于</w:t>
      </w:r>
      <w:r w:rsidRPr="00687B52">
        <w:rPr>
          <w:rFonts w:ascii="Times New Roman" w:hAnsi="Times New Roman" w:hint="eastAsia"/>
          <w:color w:val="000000" w:themeColor="text1"/>
          <w:szCs w:val="21"/>
        </w:rPr>
        <w:t>10m</w:t>
      </w:r>
      <w:r w:rsidRPr="00687B52">
        <w:rPr>
          <w:rFonts w:ascii="Times New Roman" w:hAnsi="Times New Roman" w:hint="eastAsia"/>
          <w:color w:val="000000" w:themeColor="text1"/>
          <w:szCs w:val="21"/>
        </w:rPr>
        <w:t>。</w:t>
      </w:r>
      <w:r w:rsidRPr="00687B52">
        <w:rPr>
          <w:rFonts w:ascii="Times New Roman" w:hAnsi="Times New Roman" w:hint="eastAsia"/>
          <w:color w:val="000000" w:themeColor="text1"/>
          <w:szCs w:val="21"/>
        </w:rPr>
        <w:br/>
        <w:t xml:space="preserve">3 </w:t>
      </w:r>
      <w:r w:rsidRPr="00687B52">
        <w:rPr>
          <w:rFonts w:ascii="Times New Roman" w:hAnsi="Times New Roman" w:hint="eastAsia"/>
          <w:color w:val="000000" w:themeColor="text1"/>
          <w:szCs w:val="21"/>
        </w:rPr>
        <w:t>甲、乙、丙类液体的固定顶储罐区或半露天堆场，乙、丙类液体桶装堆场与甲类厂房</w:t>
      </w:r>
      <w:r w:rsidRPr="00687B52">
        <w:rPr>
          <w:rFonts w:ascii="Times New Roman" w:hAnsi="Times New Roman" w:hint="eastAsia"/>
          <w:color w:val="000000" w:themeColor="text1"/>
          <w:szCs w:val="21"/>
        </w:rPr>
        <w:t>(</w:t>
      </w:r>
      <w:r w:rsidRPr="00687B52">
        <w:rPr>
          <w:rFonts w:ascii="Times New Roman" w:hAnsi="Times New Roman" w:hint="eastAsia"/>
          <w:color w:val="000000" w:themeColor="text1"/>
          <w:szCs w:val="21"/>
        </w:rPr>
        <w:t>仓库</w:t>
      </w:r>
      <w:r w:rsidRPr="00687B52">
        <w:rPr>
          <w:rFonts w:ascii="Times New Roman" w:hAnsi="Times New Roman" w:hint="eastAsia"/>
          <w:color w:val="000000" w:themeColor="text1"/>
          <w:szCs w:val="21"/>
        </w:rPr>
        <w:t>)</w:t>
      </w:r>
      <w:r w:rsidRPr="00687B52">
        <w:rPr>
          <w:rFonts w:ascii="Times New Roman" w:hAnsi="Times New Roman" w:hint="eastAsia"/>
          <w:color w:val="000000" w:themeColor="text1"/>
          <w:szCs w:val="21"/>
        </w:rPr>
        <w:t>、民用建筑的防火间距，应按本表的规定增加</w:t>
      </w:r>
      <w:r w:rsidRPr="00687B52">
        <w:rPr>
          <w:rFonts w:ascii="Times New Roman" w:hAnsi="Times New Roman" w:hint="eastAsia"/>
          <w:color w:val="000000" w:themeColor="text1"/>
          <w:szCs w:val="21"/>
        </w:rPr>
        <w:t xml:space="preserve"> 25%</w:t>
      </w:r>
      <w:r w:rsidRPr="00687B52">
        <w:rPr>
          <w:rFonts w:ascii="Times New Roman" w:hAnsi="Times New Roman" w:hint="eastAsia"/>
          <w:color w:val="000000" w:themeColor="text1"/>
          <w:szCs w:val="21"/>
        </w:rPr>
        <w:t>，且甲、乙类液体的固定顶储罐区或半露天堆场，乙、丙类液体桶装堆场与甲类厂房</w:t>
      </w:r>
      <w:r w:rsidRPr="00687B52">
        <w:rPr>
          <w:rFonts w:ascii="Times New Roman" w:hAnsi="Times New Roman" w:hint="eastAsia"/>
          <w:color w:val="000000" w:themeColor="text1"/>
          <w:szCs w:val="21"/>
        </w:rPr>
        <w:t>(</w:t>
      </w:r>
      <w:r w:rsidRPr="00687B52">
        <w:rPr>
          <w:rFonts w:ascii="Times New Roman" w:hAnsi="Times New Roman" w:hint="eastAsia"/>
          <w:color w:val="000000" w:themeColor="text1"/>
          <w:szCs w:val="21"/>
        </w:rPr>
        <w:t>仓库</w:t>
      </w:r>
      <w:r w:rsidRPr="00687B52">
        <w:rPr>
          <w:rFonts w:ascii="Times New Roman" w:hAnsi="Times New Roman" w:hint="eastAsia"/>
          <w:color w:val="000000" w:themeColor="text1"/>
          <w:szCs w:val="21"/>
        </w:rPr>
        <w:t>)</w:t>
      </w:r>
      <w:r w:rsidRPr="00687B52">
        <w:rPr>
          <w:rFonts w:ascii="Times New Roman" w:hAnsi="Times New Roman" w:hint="eastAsia"/>
          <w:color w:val="000000" w:themeColor="text1"/>
          <w:szCs w:val="21"/>
        </w:rPr>
        <w:t>、裙房、单、多层民用建筑的防火间距不应小于</w:t>
      </w:r>
      <w:r w:rsidRPr="00687B52">
        <w:rPr>
          <w:rFonts w:ascii="Times New Roman" w:hAnsi="Times New Roman" w:hint="eastAsia"/>
          <w:color w:val="000000" w:themeColor="text1"/>
          <w:szCs w:val="21"/>
        </w:rPr>
        <w:t>25m</w:t>
      </w:r>
      <w:r w:rsidRPr="00687B52">
        <w:rPr>
          <w:rFonts w:ascii="Times New Roman" w:hAnsi="Times New Roman" w:hint="eastAsia"/>
          <w:color w:val="000000" w:themeColor="text1"/>
          <w:szCs w:val="21"/>
        </w:rPr>
        <w:t>，与明火或散发火花她点的防火间距应按本表有关四级耐火等级建筑物的规定增加</w:t>
      </w:r>
      <w:r w:rsidRPr="00687B52">
        <w:rPr>
          <w:rFonts w:ascii="Times New Roman" w:hAnsi="Times New Roman" w:hint="eastAsia"/>
          <w:color w:val="000000" w:themeColor="text1"/>
          <w:szCs w:val="21"/>
        </w:rPr>
        <w:t>25%</w:t>
      </w:r>
      <w:r w:rsidRPr="00687B52">
        <w:rPr>
          <w:rFonts w:ascii="Times New Roman" w:hAnsi="Times New Roman" w:hint="eastAsia"/>
          <w:color w:val="000000" w:themeColor="text1"/>
          <w:szCs w:val="21"/>
        </w:rPr>
        <w:t>。</w:t>
      </w:r>
    </w:p>
    <w:p w:rsidR="00481EDB" w:rsidRPr="00687B52" w:rsidRDefault="00481EDB" w:rsidP="00481EDB">
      <w:pPr>
        <w:pStyle w:val="11"/>
        <w:adjustRightInd w:val="0"/>
        <w:snapToGrid w:val="0"/>
        <w:spacing w:line="360" w:lineRule="exact"/>
        <w:ind w:firstLineChars="0" w:firstLine="0"/>
        <w:jc w:val="left"/>
        <w:rPr>
          <w:rFonts w:ascii="Times New Roman" w:hAnsi="Times New Roman"/>
          <w:color w:val="000000" w:themeColor="text1"/>
          <w:szCs w:val="21"/>
        </w:rPr>
      </w:pPr>
      <w:r w:rsidRPr="00687B52">
        <w:rPr>
          <w:rFonts w:ascii="Times New Roman" w:hAnsi="Times New Roman" w:hint="eastAsia"/>
          <w:color w:val="000000" w:themeColor="text1"/>
          <w:szCs w:val="21"/>
        </w:rPr>
        <w:t xml:space="preserve">4 </w:t>
      </w:r>
      <w:r w:rsidRPr="00687B52">
        <w:rPr>
          <w:rFonts w:ascii="Times New Roman" w:hAnsi="Times New Roman" w:hint="eastAsia"/>
          <w:color w:val="000000" w:themeColor="text1"/>
          <w:szCs w:val="21"/>
        </w:rPr>
        <w:t>浮顶储罐区或闪点大于</w:t>
      </w:r>
      <w:r w:rsidRPr="00687B52">
        <w:rPr>
          <w:rFonts w:ascii="Times New Roman" w:hAnsi="Times New Roman" w:hint="eastAsia"/>
          <w:color w:val="000000" w:themeColor="text1"/>
          <w:szCs w:val="21"/>
        </w:rPr>
        <w:t>120</w:t>
      </w:r>
      <w:r w:rsidRPr="00687B52">
        <w:rPr>
          <w:rFonts w:ascii="Times New Roman" w:hAnsi="Times New Roman" w:hint="eastAsia"/>
          <w:color w:val="000000" w:themeColor="text1"/>
          <w:szCs w:val="21"/>
        </w:rPr>
        <w:t>℃的液体储罐区与其他建筑的防火间距，可按本表的规定减少</w:t>
      </w:r>
      <w:r w:rsidRPr="00687B52">
        <w:rPr>
          <w:rFonts w:ascii="Times New Roman" w:hAnsi="Times New Roman" w:hint="eastAsia"/>
          <w:color w:val="000000" w:themeColor="text1"/>
          <w:szCs w:val="21"/>
        </w:rPr>
        <w:t>25%</w:t>
      </w:r>
      <w:r w:rsidRPr="00687B52">
        <w:rPr>
          <w:rFonts w:ascii="Times New Roman" w:hAnsi="Times New Roman" w:hint="eastAsia"/>
          <w:color w:val="000000" w:themeColor="text1"/>
          <w:szCs w:val="21"/>
        </w:rPr>
        <w:t>。</w:t>
      </w:r>
      <w:r w:rsidRPr="00687B52">
        <w:rPr>
          <w:rFonts w:ascii="Times New Roman" w:hAnsi="Times New Roman" w:hint="eastAsia"/>
          <w:color w:val="000000" w:themeColor="text1"/>
          <w:szCs w:val="21"/>
        </w:rPr>
        <w:br/>
        <w:t xml:space="preserve">5 </w:t>
      </w:r>
      <w:r w:rsidRPr="00687B52">
        <w:rPr>
          <w:rFonts w:ascii="Times New Roman" w:hAnsi="Times New Roman" w:hint="eastAsia"/>
          <w:color w:val="000000" w:themeColor="text1"/>
          <w:szCs w:val="21"/>
        </w:rPr>
        <w:t>当数个储区布置在同一库区内时，储罐区之间的防火间距不应小于本表相应容量的储罐区与四级耐火等级建筑物防火间距的较大值。</w:t>
      </w:r>
    </w:p>
    <w:p w:rsidR="00481EDB" w:rsidRPr="00687B52" w:rsidRDefault="00481EDB" w:rsidP="00481EDB">
      <w:pPr>
        <w:pStyle w:val="11"/>
        <w:adjustRightInd w:val="0"/>
        <w:snapToGrid w:val="0"/>
        <w:spacing w:line="360" w:lineRule="exact"/>
        <w:ind w:firstLineChars="0" w:firstLine="0"/>
        <w:jc w:val="left"/>
        <w:rPr>
          <w:rFonts w:ascii="Times New Roman" w:hAnsi="Times New Roman"/>
          <w:color w:val="000000" w:themeColor="text1"/>
          <w:szCs w:val="21"/>
        </w:rPr>
      </w:pPr>
      <w:r w:rsidRPr="00687B52">
        <w:rPr>
          <w:rFonts w:ascii="Times New Roman" w:hAnsi="Times New Roman" w:hint="eastAsia"/>
          <w:color w:val="000000" w:themeColor="text1"/>
          <w:szCs w:val="21"/>
        </w:rPr>
        <w:t xml:space="preserve">6 </w:t>
      </w:r>
      <w:r w:rsidRPr="00687B52">
        <w:rPr>
          <w:rFonts w:ascii="Times New Roman" w:hAnsi="Times New Roman" w:hint="eastAsia"/>
          <w:color w:val="000000" w:themeColor="text1"/>
          <w:szCs w:val="21"/>
        </w:rPr>
        <w:t>直埋地下的甲、乙、丙类液体卧式罐，当单罐容量不大于</w:t>
      </w:r>
      <w:r w:rsidRPr="00687B52">
        <w:rPr>
          <w:rFonts w:ascii="Times New Roman" w:hAnsi="Times New Roman" w:hint="eastAsia"/>
          <w:color w:val="000000" w:themeColor="text1"/>
          <w:szCs w:val="21"/>
        </w:rPr>
        <w:t>50m</w:t>
      </w:r>
      <w:r w:rsidRPr="00687B52">
        <w:rPr>
          <w:rFonts w:ascii="Times New Roman" w:hAnsi="Times New Roman" w:hint="eastAsia"/>
          <w:color w:val="000000" w:themeColor="text1"/>
          <w:szCs w:val="21"/>
          <w:vertAlign w:val="superscript"/>
        </w:rPr>
        <w:t>3</w:t>
      </w:r>
      <w:r w:rsidRPr="00687B52">
        <w:rPr>
          <w:rFonts w:ascii="Times New Roman" w:hAnsi="Times New Roman" w:hint="eastAsia"/>
          <w:color w:val="000000" w:themeColor="text1"/>
          <w:szCs w:val="21"/>
        </w:rPr>
        <w:t>，总容量不大于</w:t>
      </w:r>
      <w:r w:rsidRPr="00687B52">
        <w:rPr>
          <w:rFonts w:ascii="Times New Roman" w:hAnsi="Times New Roman" w:hint="eastAsia"/>
          <w:color w:val="000000" w:themeColor="text1"/>
          <w:szCs w:val="21"/>
        </w:rPr>
        <w:t xml:space="preserve"> 200m</w:t>
      </w:r>
      <w:r w:rsidRPr="00687B52">
        <w:rPr>
          <w:rFonts w:ascii="Times New Roman" w:hAnsi="Times New Roman" w:hint="eastAsia"/>
          <w:color w:val="000000" w:themeColor="text1"/>
          <w:szCs w:val="21"/>
          <w:vertAlign w:val="superscript"/>
        </w:rPr>
        <w:t>3</w:t>
      </w:r>
      <w:r w:rsidRPr="00687B52">
        <w:rPr>
          <w:rFonts w:ascii="Times New Roman" w:hAnsi="Times New Roman" w:hint="eastAsia"/>
          <w:color w:val="000000" w:themeColor="text1"/>
          <w:szCs w:val="21"/>
        </w:rPr>
        <w:t>时，与建筑物的防火间距可按本表规定减少</w:t>
      </w:r>
      <w:r w:rsidRPr="00687B52">
        <w:rPr>
          <w:rFonts w:ascii="Times New Roman" w:hAnsi="Times New Roman" w:hint="eastAsia"/>
          <w:color w:val="000000" w:themeColor="text1"/>
          <w:szCs w:val="21"/>
        </w:rPr>
        <w:t>50%</w:t>
      </w:r>
      <w:r w:rsidRPr="00687B52">
        <w:rPr>
          <w:rFonts w:ascii="Times New Roman" w:hAnsi="Times New Roman" w:hint="eastAsia"/>
          <w:color w:val="000000" w:themeColor="text1"/>
          <w:szCs w:val="21"/>
        </w:rPr>
        <w:t>。</w:t>
      </w:r>
      <w:r w:rsidRPr="00687B52">
        <w:rPr>
          <w:rFonts w:ascii="Times New Roman" w:hAnsi="Times New Roman" w:hint="eastAsia"/>
          <w:color w:val="000000" w:themeColor="text1"/>
          <w:szCs w:val="21"/>
        </w:rPr>
        <w:br/>
        <w:t xml:space="preserve">7 </w:t>
      </w:r>
      <w:r w:rsidRPr="00687B52">
        <w:rPr>
          <w:rFonts w:ascii="Times New Roman" w:hAnsi="Times New Roman" w:hint="eastAsia"/>
          <w:color w:val="000000" w:themeColor="text1"/>
          <w:szCs w:val="21"/>
        </w:rPr>
        <w:t>室外变、配电站指电力系统电压为</w:t>
      </w:r>
      <w:r w:rsidRPr="00687B52">
        <w:rPr>
          <w:rFonts w:ascii="Times New Roman" w:hAnsi="Times New Roman" w:hint="eastAsia"/>
          <w:color w:val="000000" w:themeColor="text1"/>
          <w:szCs w:val="21"/>
        </w:rPr>
        <w:t>35kV~500kV</w:t>
      </w:r>
      <w:r w:rsidRPr="00687B52">
        <w:rPr>
          <w:rFonts w:ascii="Times New Roman" w:hAnsi="Times New Roman" w:hint="eastAsia"/>
          <w:color w:val="000000" w:themeColor="text1"/>
          <w:szCs w:val="21"/>
        </w:rPr>
        <w:t>且每台变压器容量不小于</w:t>
      </w:r>
      <w:r w:rsidRPr="00687B52">
        <w:rPr>
          <w:rFonts w:ascii="Times New Roman" w:hAnsi="Times New Roman" w:hint="eastAsia"/>
          <w:color w:val="000000" w:themeColor="text1"/>
          <w:szCs w:val="21"/>
        </w:rPr>
        <w:t>10MV</w:t>
      </w:r>
      <w:r w:rsidRPr="00687B52">
        <w:rPr>
          <w:rFonts w:ascii="Times New Roman" w:hAnsi="Times New Roman" w:hint="eastAsia"/>
          <w:color w:val="000000" w:themeColor="text1"/>
          <w:szCs w:val="21"/>
        </w:rPr>
        <w:t>·</w:t>
      </w:r>
      <w:r w:rsidRPr="00687B52">
        <w:rPr>
          <w:rFonts w:ascii="Times New Roman" w:hAnsi="Times New Roman" w:hint="eastAsia"/>
          <w:color w:val="000000" w:themeColor="text1"/>
          <w:szCs w:val="21"/>
        </w:rPr>
        <w:t>A</w:t>
      </w:r>
      <w:r w:rsidRPr="00687B52">
        <w:rPr>
          <w:rFonts w:ascii="Times New Roman" w:hAnsi="Times New Roman" w:hint="eastAsia"/>
          <w:color w:val="000000" w:themeColor="text1"/>
          <w:szCs w:val="21"/>
        </w:rPr>
        <w:t>的室外变、配电站和工业企业的变压器总油量大于</w:t>
      </w:r>
      <w:r w:rsidRPr="00687B52">
        <w:rPr>
          <w:rFonts w:ascii="Times New Roman" w:hAnsi="Times New Roman" w:hint="eastAsia"/>
          <w:color w:val="000000" w:themeColor="text1"/>
          <w:szCs w:val="21"/>
        </w:rPr>
        <w:t>5t</w:t>
      </w:r>
      <w:r w:rsidRPr="00687B52">
        <w:rPr>
          <w:rFonts w:ascii="Times New Roman" w:hAnsi="Times New Roman" w:hint="eastAsia"/>
          <w:color w:val="000000" w:themeColor="text1"/>
          <w:szCs w:val="21"/>
        </w:rPr>
        <w:t>的室外降压变电站。</w:t>
      </w:r>
    </w:p>
    <w:p w:rsidR="00481EDB" w:rsidRPr="00687B52" w:rsidRDefault="00481EDB" w:rsidP="00481EDB">
      <w:pPr>
        <w:pStyle w:val="11"/>
        <w:adjustRightInd w:val="0"/>
        <w:snapToGrid w:val="0"/>
        <w:spacing w:line="360" w:lineRule="exact"/>
        <w:ind w:firstLineChars="0" w:firstLine="0"/>
        <w:jc w:val="left"/>
        <w:rPr>
          <w:rFonts w:ascii="Times New Roman" w:hAnsi="Times New Roman"/>
          <w:color w:val="000000" w:themeColor="text1"/>
          <w:szCs w:val="21"/>
        </w:rPr>
      </w:pPr>
    </w:p>
    <w:p w:rsidR="00481EDB" w:rsidRPr="00687B52" w:rsidRDefault="00481EDB" w:rsidP="00481EDB">
      <w:pPr>
        <w:pStyle w:val="11"/>
        <w:adjustRightInd w:val="0"/>
        <w:snapToGrid w:val="0"/>
        <w:spacing w:line="360" w:lineRule="exact"/>
        <w:ind w:firstLineChars="0" w:firstLine="0"/>
        <w:jc w:val="left"/>
        <w:rPr>
          <w:rFonts w:ascii="Times New Roman" w:hAnsi="Times New Roman"/>
          <w:color w:val="000000" w:themeColor="text1"/>
          <w:szCs w:val="21"/>
        </w:rPr>
      </w:pPr>
    </w:p>
    <w:p w:rsidR="00481EDB" w:rsidRPr="00687B52" w:rsidRDefault="00481EDB" w:rsidP="00481EDB">
      <w:pPr>
        <w:pStyle w:val="11"/>
        <w:adjustRightInd w:val="0"/>
        <w:snapToGrid w:val="0"/>
        <w:spacing w:line="360" w:lineRule="exact"/>
        <w:ind w:firstLineChars="0" w:firstLine="0"/>
        <w:jc w:val="left"/>
        <w:rPr>
          <w:rFonts w:ascii="Times New Roman" w:hAnsi="Times New Roman"/>
          <w:color w:val="000000" w:themeColor="text1"/>
          <w:szCs w:val="21"/>
        </w:rPr>
      </w:pPr>
    </w:p>
    <w:p w:rsidR="00481EDB" w:rsidRPr="00687B52" w:rsidRDefault="00481EDB" w:rsidP="00481EDB">
      <w:pPr>
        <w:pStyle w:val="11"/>
        <w:adjustRightInd w:val="0"/>
        <w:snapToGrid w:val="0"/>
        <w:spacing w:line="360" w:lineRule="exact"/>
        <w:ind w:firstLineChars="0" w:firstLine="0"/>
        <w:jc w:val="left"/>
        <w:rPr>
          <w:rFonts w:ascii="Times New Roman" w:hAnsi="Times New Roman"/>
          <w:color w:val="000000" w:themeColor="text1"/>
          <w:szCs w:val="21"/>
        </w:rPr>
      </w:pPr>
    </w:p>
    <w:p w:rsidR="00481EDB" w:rsidRPr="00687B52" w:rsidRDefault="00481EDB" w:rsidP="00C506D9">
      <w:pPr>
        <w:pStyle w:val="afd"/>
        <w:rPr>
          <w:color w:val="000000" w:themeColor="text1"/>
        </w:rPr>
      </w:pPr>
      <w:bookmarkStart w:id="421" w:name="_Toc491870869"/>
      <w:bookmarkStart w:id="422" w:name="_Toc492563523"/>
      <w:bookmarkStart w:id="423" w:name="_Toc493857128"/>
      <w:r w:rsidRPr="00687B52">
        <w:rPr>
          <w:rFonts w:hint="eastAsia"/>
          <w:color w:val="000000" w:themeColor="text1"/>
        </w:rPr>
        <w:t>表</w:t>
      </w:r>
      <w:r w:rsidRPr="00687B52">
        <w:rPr>
          <w:rFonts w:hint="eastAsia"/>
          <w:color w:val="000000" w:themeColor="text1"/>
        </w:rPr>
        <w:t>4.2.2</w:t>
      </w:r>
      <w:r w:rsidRPr="00687B52">
        <w:rPr>
          <w:rFonts w:hint="eastAsia"/>
          <w:color w:val="000000" w:themeColor="text1"/>
        </w:rPr>
        <w:t>甲、乙、丙类液体储罐之间的防火间距（</w:t>
      </w:r>
      <w:r w:rsidRPr="00687B52">
        <w:rPr>
          <w:rFonts w:hint="eastAsia"/>
          <w:color w:val="000000" w:themeColor="text1"/>
        </w:rPr>
        <w:t>m</w:t>
      </w:r>
      <w:r w:rsidRPr="00687B52">
        <w:rPr>
          <w:rFonts w:hint="eastAsia"/>
          <w:color w:val="000000" w:themeColor="text1"/>
        </w:rPr>
        <w:t>）</w:t>
      </w:r>
      <w:bookmarkEnd w:id="421"/>
      <w:bookmarkEnd w:id="422"/>
      <w:bookmarkEnd w:id="423"/>
    </w:p>
    <w:tbl>
      <w:tblPr>
        <w:tblStyle w:val="a6"/>
        <w:tblW w:w="13260" w:type="dxa"/>
        <w:tblLayout w:type="fixed"/>
        <w:tblLook w:val="04A0" w:firstRow="1" w:lastRow="0" w:firstColumn="1" w:lastColumn="0" w:noHBand="0" w:noVBand="1"/>
      </w:tblPr>
      <w:tblGrid>
        <w:gridCol w:w="1819"/>
        <w:gridCol w:w="997"/>
        <w:gridCol w:w="1282"/>
        <w:gridCol w:w="1429"/>
        <w:gridCol w:w="1282"/>
        <w:gridCol w:w="1428"/>
        <w:gridCol w:w="3708"/>
        <w:gridCol w:w="1315"/>
      </w:tblGrid>
      <w:tr w:rsidR="00481EDB" w:rsidRPr="00687B52" w:rsidTr="00BB2A37">
        <w:trPr>
          <w:trHeight w:hRule="exact" w:val="254"/>
          <w:tblHeader/>
        </w:trPr>
        <w:tc>
          <w:tcPr>
            <w:tcW w:w="4098" w:type="dxa"/>
            <w:gridSpan w:val="3"/>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r w:rsidRPr="00687B52">
              <w:rPr>
                <w:rFonts w:ascii="Times New Roman" w:hAnsi="Times New Roman" w:hint="eastAsia"/>
                <w:b/>
                <w:color w:val="000000" w:themeColor="text1"/>
                <w:szCs w:val="21"/>
              </w:rPr>
              <w:t>类别</w:t>
            </w:r>
          </w:p>
        </w:tc>
        <w:tc>
          <w:tcPr>
            <w:tcW w:w="4139" w:type="dxa"/>
            <w:gridSpan w:val="3"/>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r w:rsidRPr="00687B52">
              <w:rPr>
                <w:rFonts w:ascii="Times New Roman" w:hAnsi="Times New Roman" w:hint="eastAsia"/>
                <w:b/>
                <w:color w:val="000000" w:themeColor="text1"/>
                <w:szCs w:val="21"/>
              </w:rPr>
              <w:t>固定顶储罐</w:t>
            </w:r>
          </w:p>
        </w:tc>
        <w:tc>
          <w:tcPr>
            <w:tcW w:w="3708"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r w:rsidRPr="00687B52">
              <w:rPr>
                <w:rFonts w:ascii="Times New Roman" w:hAnsi="Times New Roman" w:hint="eastAsia"/>
                <w:b/>
                <w:color w:val="000000" w:themeColor="text1"/>
                <w:szCs w:val="21"/>
              </w:rPr>
              <w:t>浮顶储罐或设置充氮保护设备的储罐</w:t>
            </w:r>
          </w:p>
        </w:tc>
        <w:tc>
          <w:tcPr>
            <w:tcW w:w="1315"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r w:rsidRPr="00687B52">
              <w:rPr>
                <w:rFonts w:ascii="Times New Roman" w:hAnsi="Times New Roman" w:hint="eastAsia"/>
                <w:b/>
                <w:color w:val="000000" w:themeColor="text1"/>
                <w:szCs w:val="21"/>
              </w:rPr>
              <w:t>卧式储罐</w:t>
            </w:r>
          </w:p>
        </w:tc>
      </w:tr>
      <w:tr w:rsidR="00481EDB" w:rsidRPr="00687B52" w:rsidTr="00BB2A37">
        <w:trPr>
          <w:trHeight w:hRule="exact" w:val="254"/>
          <w:tblHeader/>
        </w:trPr>
        <w:tc>
          <w:tcPr>
            <w:tcW w:w="4098" w:type="dxa"/>
            <w:gridSpan w:val="3"/>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p>
        </w:tc>
        <w:tc>
          <w:tcPr>
            <w:tcW w:w="142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r w:rsidRPr="00687B52">
              <w:rPr>
                <w:rFonts w:ascii="Times New Roman" w:hAnsi="Times New Roman" w:hint="eastAsia"/>
                <w:b/>
                <w:color w:val="000000" w:themeColor="text1"/>
                <w:szCs w:val="21"/>
              </w:rPr>
              <w:t>地上式</w:t>
            </w:r>
          </w:p>
        </w:tc>
        <w:tc>
          <w:tcPr>
            <w:tcW w:w="1282"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r w:rsidRPr="00687B52">
              <w:rPr>
                <w:rFonts w:ascii="Times New Roman" w:hAnsi="Times New Roman" w:hint="eastAsia"/>
                <w:b/>
                <w:color w:val="000000" w:themeColor="text1"/>
                <w:szCs w:val="21"/>
              </w:rPr>
              <w:t>半地下式</w:t>
            </w:r>
          </w:p>
        </w:tc>
        <w:tc>
          <w:tcPr>
            <w:tcW w:w="1428"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r w:rsidRPr="00687B52">
              <w:rPr>
                <w:rFonts w:ascii="Times New Roman" w:hAnsi="Times New Roman" w:hint="eastAsia"/>
                <w:b/>
                <w:color w:val="000000" w:themeColor="text1"/>
                <w:szCs w:val="21"/>
              </w:rPr>
              <w:t>地下式</w:t>
            </w:r>
          </w:p>
        </w:tc>
        <w:tc>
          <w:tcPr>
            <w:tcW w:w="3708"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p>
        </w:tc>
        <w:tc>
          <w:tcPr>
            <w:tcW w:w="1315"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b/>
                <w:color w:val="000000" w:themeColor="text1"/>
                <w:szCs w:val="21"/>
              </w:rPr>
            </w:pPr>
          </w:p>
        </w:tc>
      </w:tr>
      <w:tr w:rsidR="00481EDB" w:rsidRPr="00687B52" w:rsidTr="00BB2A37">
        <w:trPr>
          <w:trHeight w:hRule="exact" w:val="254"/>
        </w:trPr>
        <w:tc>
          <w:tcPr>
            <w:tcW w:w="1819" w:type="dxa"/>
            <w:vMerge w:val="restart"/>
            <w:vAlign w:val="center"/>
          </w:tcPr>
          <w:p w:rsidR="00481EDB" w:rsidRPr="00687B52" w:rsidRDefault="00481EDB" w:rsidP="00F25ED0">
            <w:pPr>
              <w:adjustRightInd w:val="0"/>
              <w:snapToGrid w:val="0"/>
              <w:spacing w:afterLines="50" w:after="156"/>
              <w:jc w:val="left"/>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甲、乙类液体储罐</w:t>
            </w:r>
          </w:p>
        </w:tc>
        <w:tc>
          <w:tcPr>
            <w:tcW w:w="997" w:type="dxa"/>
            <w:vMerge w:val="restart"/>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单罐容量</w:t>
            </w:r>
            <w:r w:rsidRPr="00687B52">
              <w:rPr>
                <w:rFonts w:ascii="Times New Roman" w:hAnsi="Times New Roman" w:cs="Times New Roman" w:hint="eastAsia"/>
                <w:color w:val="000000" w:themeColor="text1"/>
                <w:szCs w:val="21"/>
              </w:rPr>
              <w:t>v</w:t>
            </w:r>
            <w:r w:rsidRPr="00687B52">
              <w:rPr>
                <w:rFonts w:ascii="Times New Roman" w:hAnsi="Times New Roman" w:cs="Times New Roman" w:hint="eastAsia"/>
                <w:color w:val="000000" w:themeColor="text1"/>
                <w:szCs w:val="21"/>
              </w:rPr>
              <w:t>（</w:t>
            </w:r>
            <w:r w:rsidRPr="00687B52">
              <w:rPr>
                <w:rFonts w:ascii="Times New Roman" w:hAnsi="Times New Roman" w:cs="Times New Roman" w:hint="eastAsia"/>
                <w:color w:val="000000" w:themeColor="text1"/>
                <w:szCs w:val="21"/>
              </w:rPr>
              <w:t>m</w:t>
            </w:r>
            <w:r w:rsidRPr="00687B52">
              <w:rPr>
                <w:rFonts w:ascii="Times New Roman" w:hAnsi="Times New Roman" w:cs="Times New Roman" w:hint="eastAsia"/>
                <w:color w:val="000000" w:themeColor="text1"/>
                <w:szCs w:val="21"/>
                <w:vertAlign w:val="superscript"/>
              </w:rPr>
              <w:t>3</w:t>
            </w:r>
            <w:r w:rsidRPr="00687B52">
              <w:rPr>
                <w:rFonts w:ascii="Times New Roman" w:hAnsi="Times New Roman" w:cs="Times New Roman" w:hint="eastAsia"/>
                <w:color w:val="000000" w:themeColor="text1"/>
                <w:szCs w:val="21"/>
              </w:rPr>
              <w:t>）</w:t>
            </w:r>
          </w:p>
        </w:tc>
        <w:tc>
          <w:tcPr>
            <w:tcW w:w="1282" w:type="dxa"/>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color w:val="000000" w:themeColor="text1"/>
                <w:szCs w:val="21"/>
              </w:rPr>
              <w:t>V≤</w:t>
            </w:r>
            <w:r w:rsidRPr="00687B52">
              <w:rPr>
                <w:rFonts w:ascii="Times New Roman" w:hAnsi="Times New Roman" w:cs="Times New Roman" w:hint="eastAsia"/>
                <w:color w:val="000000" w:themeColor="text1"/>
                <w:szCs w:val="21"/>
              </w:rPr>
              <w:t>1000</w:t>
            </w:r>
          </w:p>
        </w:tc>
        <w:tc>
          <w:tcPr>
            <w:tcW w:w="1429" w:type="dxa"/>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0.75D</w:t>
            </w:r>
          </w:p>
        </w:tc>
        <w:tc>
          <w:tcPr>
            <w:tcW w:w="1282" w:type="dxa"/>
            <w:vMerge w:val="restar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0.5D</w:t>
            </w:r>
          </w:p>
        </w:tc>
        <w:tc>
          <w:tcPr>
            <w:tcW w:w="1428" w:type="dxa"/>
            <w:vMerge w:val="restar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0.4D</w:t>
            </w:r>
          </w:p>
        </w:tc>
        <w:tc>
          <w:tcPr>
            <w:tcW w:w="3708" w:type="dxa"/>
            <w:vMerge w:val="restar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0.4D</w:t>
            </w:r>
          </w:p>
        </w:tc>
        <w:tc>
          <w:tcPr>
            <w:tcW w:w="1315" w:type="dxa"/>
            <w:vMerge w:val="restart"/>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color w:val="000000" w:themeColor="text1"/>
                <w:szCs w:val="21"/>
              </w:rPr>
              <w:t>≥</w:t>
            </w:r>
            <w:r w:rsidRPr="00687B52">
              <w:rPr>
                <w:rFonts w:ascii="Times New Roman" w:hAnsi="Times New Roman" w:cs="Times New Roman" w:hint="eastAsia"/>
                <w:color w:val="000000" w:themeColor="text1"/>
                <w:szCs w:val="21"/>
              </w:rPr>
              <w:t>0.8m</w:t>
            </w:r>
          </w:p>
        </w:tc>
      </w:tr>
      <w:tr w:rsidR="00481EDB" w:rsidRPr="00687B52" w:rsidTr="00BB2A37">
        <w:trPr>
          <w:trHeight w:hRule="exact" w:val="254"/>
        </w:trPr>
        <w:tc>
          <w:tcPr>
            <w:tcW w:w="1819" w:type="dxa"/>
            <w:vMerge/>
            <w:vAlign w:val="center"/>
          </w:tcPr>
          <w:p w:rsidR="00481EDB" w:rsidRPr="00687B52" w:rsidRDefault="00481EDB" w:rsidP="00F25ED0">
            <w:pPr>
              <w:adjustRightInd w:val="0"/>
              <w:snapToGrid w:val="0"/>
              <w:spacing w:afterLines="50" w:after="156"/>
              <w:jc w:val="left"/>
              <w:rPr>
                <w:rFonts w:ascii="Times New Roman" w:hAnsi="Times New Roman" w:cs="Times New Roman"/>
                <w:color w:val="000000" w:themeColor="text1"/>
                <w:szCs w:val="21"/>
              </w:rPr>
            </w:pPr>
          </w:p>
        </w:tc>
        <w:tc>
          <w:tcPr>
            <w:tcW w:w="997" w:type="dxa"/>
            <w:vMerge/>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p>
        </w:tc>
        <w:tc>
          <w:tcPr>
            <w:tcW w:w="1282" w:type="dxa"/>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color w:val="000000" w:themeColor="text1"/>
                <w:szCs w:val="21"/>
              </w:rPr>
              <w:t>V</w:t>
            </w:r>
            <w:r w:rsidRPr="00687B52">
              <w:rPr>
                <w:rFonts w:ascii="Times New Roman" w:hAnsi="Times New Roman" w:cs="Times New Roman"/>
                <w:color w:val="000000" w:themeColor="text1"/>
                <w:szCs w:val="21"/>
              </w:rPr>
              <w:t>＞</w:t>
            </w:r>
            <w:r w:rsidRPr="00687B52">
              <w:rPr>
                <w:rFonts w:ascii="Times New Roman" w:hAnsi="Times New Roman" w:cs="Times New Roman" w:hint="eastAsia"/>
                <w:color w:val="000000" w:themeColor="text1"/>
                <w:szCs w:val="21"/>
              </w:rPr>
              <w:t>1000</w:t>
            </w:r>
          </w:p>
        </w:tc>
        <w:tc>
          <w:tcPr>
            <w:tcW w:w="1429" w:type="dxa"/>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0.6D</w:t>
            </w:r>
          </w:p>
        </w:tc>
        <w:tc>
          <w:tcPr>
            <w:tcW w:w="1282" w:type="dxa"/>
            <w:vMerge/>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p>
        </w:tc>
        <w:tc>
          <w:tcPr>
            <w:tcW w:w="1428" w:type="dxa"/>
            <w:vMerge/>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p>
        </w:tc>
        <w:tc>
          <w:tcPr>
            <w:tcW w:w="3708" w:type="dxa"/>
            <w:vMerge/>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p>
        </w:tc>
        <w:tc>
          <w:tcPr>
            <w:tcW w:w="1315" w:type="dxa"/>
            <w:vMerge/>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p>
        </w:tc>
      </w:tr>
      <w:tr w:rsidR="00481EDB" w:rsidRPr="00687B52" w:rsidTr="00BB2A37">
        <w:trPr>
          <w:trHeight w:hRule="exact" w:val="269"/>
        </w:trPr>
        <w:tc>
          <w:tcPr>
            <w:tcW w:w="1819" w:type="dxa"/>
            <w:vAlign w:val="center"/>
          </w:tcPr>
          <w:p w:rsidR="00481EDB" w:rsidRPr="00687B52" w:rsidRDefault="00481EDB" w:rsidP="00F25ED0">
            <w:pPr>
              <w:adjustRightInd w:val="0"/>
              <w:snapToGrid w:val="0"/>
              <w:spacing w:afterLines="50" w:after="156"/>
              <w:jc w:val="left"/>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丙类液体储罐</w:t>
            </w:r>
          </w:p>
        </w:tc>
        <w:tc>
          <w:tcPr>
            <w:tcW w:w="997" w:type="dxa"/>
            <w:vMerge/>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p>
        </w:tc>
        <w:tc>
          <w:tcPr>
            <w:tcW w:w="1282" w:type="dxa"/>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不限</w:t>
            </w:r>
          </w:p>
        </w:tc>
        <w:tc>
          <w:tcPr>
            <w:tcW w:w="1429" w:type="dxa"/>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0.4D</w:t>
            </w:r>
          </w:p>
        </w:tc>
        <w:tc>
          <w:tcPr>
            <w:tcW w:w="1282" w:type="dxa"/>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不限</w:t>
            </w:r>
          </w:p>
        </w:tc>
        <w:tc>
          <w:tcPr>
            <w:tcW w:w="1428" w:type="dxa"/>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不限</w:t>
            </w:r>
          </w:p>
        </w:tc>
        <w:tc>
          <w:tcPr>
            <w:tcW w:w="3708" w:type="dxa"/>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w:t>
            </w:r>
          </w:p>
        </w:tc>
        <w:tc>
          <w:tcPr>
            <w:tcW w:w="1315" w:type="dxa"/>
            <w:vMerge/>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p>
        </w:tc>
      </w:tr>
    </w:tbl>
    <w:p w:rsidR="00481EDB" w:rsidRPr="00687B52" w:rsidRDefault="00481EDB" w:rsidP="00481EDB">
      <w:pPr>
        <w:pStyle w:val="11"/>
        <w:adjustRightInd w:val="0"/>
        <w:snapToGrid w:val="0"/>
        <w:spacing w:line="360" w:lineRule="exact"/>
        <w:ind w:firstLineChars="0" w:firstLine="0"/>
        <w:jc w:val="left"/>
        <w:rPr>
          <w:rFonts w:ascii="Times New Roman" w:hAnsi="Times New Roman"/>
          <w:color w:val="000000" w:themeColor="text1"/>
          <w:szCs w:val="21"/>
        </w:rPr>
      </w:pPr>
      <w:r w:rsidRPr="00687B52">
        <w:rPr>
          <w:rFonts w:ascii="Times New Roman" w:hAnsi="Times New Roman" w:hint="eastAsia"/>
          <w:color w:val="000000" w:themeColor="text1"/>
          <w:szCs w:val="21"/>
        </w:rPr>
        <w:t>注：</w:t>
      </w:r>
      <w:r w:rsidRPr="00687B52">
        <w:rPr>
          <w:rFonts w:ascii="Times New Roman" w:hAnsi="Times New Roman" w:hint="eastAsia"/>
          <w:color w:val="000000" w:themeColor="text1"/>
          <w:szCs w:val="21"/>
        </w:rPr>
        <w:t>1 D</w:t>
      </w:r>
      <w:r w:rsidRPr="00687B52">
        <w:rPr>
          <w:rFonts w:ascii="Times New Roman" w:hAnsi="Times New Roman" w:hint="eastAsia"/>
          <w:color w:val="000000" w:themeColor="text1"/>
          <w:szCs w:val="21"/>
        </w:rPr>
        <w:t>为相邻较大立式储罐的直径</w:t>
      </w:r>
      <w:r w:rsidRPr="00687B52">
        <w:rPr>
          <w:rFonts w:ascii="Times New Roman" w:hAnsi="Times New Roman" w:hint="eastAsia"/>
          <w:color w:val="000000" w:themeColor="text1"/>
          <w:szCs w:val="21"/>
        </w:rPr>
        <w:t>(m)</w:t>
      </w:r>
      <w:r w:rsidRPr="00687B52">
        <w:rPr>
          <w:rFonts w:ascii="Times New Roman" w:hAnsi="Times New Roman" w:hint="eastAsia"/>
          <w:color w:val="000000" w:themeColor="text1"/>
          <w:szCs w:val="21"/>
        </w:rPr>
        <w:t>，矩形储罐的直径为长边与短边之和的一半。</w:t>
      </w:r>
    </w:p>
    <w:p w:rsidR="00481EDB" w:rsidRPr="00687B52" w:rsidRDefault="00481EDB" w:rsidP="00481EDB">
      <w:pPr>
        <w:pStyle w:val="11"/>
        <w:adjustRightInd w:val="0"/>
        <w:snapToGrid w:val="0"/>
        <w:spacing w:line="360" w:lineRule="exact"/>
        <w:ind w:firstLineChars="0" w:firstLine="0"/>
        <w:jc w:val="left"/>
        <w:rPr>
          <w:rFonts w:ascii="Times New Roman" w:hAnsi="Times New Roman"/>
          <w:color w:val="000000" w:themeColor="text1"/>
          <w:szCs w:val="21"/>
        </w:rPr>
      </w:pPr>
      <w:r w:rsidRPr="00687B52">
        <w:rPr>
          <w:rFonts w:ascii="Times New Roman" w:hAnsi="Times New Roman" w:hint="eastAsia"/>
          <w:color w:val="000000" w:themeColor="text1"/>
          <w:szCs w:val="21"/>
        </w:rPr>
        <w:t xml:space="preserve">2 </w:t>
      </w:r>
      <w:r w:rsidRPr="00687B52">
        <w:rPr>
          <w:rFonts w:ascii="Times New Roman" w:hAnsi="Times New Roman" w:hint="eastAsia"/>
          <w:color w:val="000000" w:themeColor="text1"/>
          <w:szCs w:val="21"/>
        </w:rPr>
        <w:t>不同液体、不同形式储罐之间的防火间距不应小于本表规定的较大值。</w:t>
      </w:r>
      <w:r w:rsidRPr="00687B52">
        <w:rPr>
          <w:rFonts w:ascii="Times New Roman" w:hAnsi="Times New Roman" w:hint="eastAsia"/>
          <w:color w:val="000000" w:themeColor="text1"/>
          <w:szCs w:val="21"/>
        </w:rPr>
        <w:br/>
        <w:t xml:space="preserve">3 </w:t>
      </w:r>
      <w:r w:rsidRPr="00687B52">
        <w:rPr>
          <w:rFonts w:ascii="Times New Roman" w:hAnsi="Times New Roman" w:hint="eastAsia"/>
          <w:color w:val="000000" w:themeColor="text1"/>
          <w:szCs w:val="21"/>
        </w:rPr>
        <w:t>两排卧式储罐之间的防火间距不应小于</w:t>
      </w:r>
      <w:r w:rsidRPr="00687B52">
        <w:rPr>
          <w:rFonts w:ascii="Times New Roman" w:hAnsi="Times New Roman" w:hint="eastAsia"/>
          <w:color w:val="000000" w:themeColor="text1"/>
          <w:szCs w:val="21"/>
        </w:rPr>
        <w:t>3m</w:t>
      </w:r>
      <w:r w:rsidRPr="00687B52">
        <w:rPr>
          <w:rFonts w:ascii="Times New Roman" w:hAnsi="Times New Roman" w:hint="eastAsia"/>
          <w:color w:val="000000" w:themeColor="text1"/>
          <w:szCs w:val="21"/>
        </w:rPr>
        <w:t>。</w:t>
      </w:r>
      <w:r w:rsidRPr="00687B52">
        <w:rPr>
          <w:rFonts w:ascii="Times New Roman" w:hAnsi="Times New Roman" w:hint="eastAsia"/>
          <w:color w:val="000000" w:themeColor="text1"/>
          <w:szCs w:val="21"/>
        </w:rPr>
        <w:br/>
        <w:t xml:space="preserve">4 </w:t>
      </w:r>
      <w:r w:rsidRPr="00687B52">
        <w:rPr>
          <w:rFonts w:ascii="Times New Roman" w:hAnsi="Times New Roman" w:hint="eastAsia"/>
          <w:color w:val="000000" w:themeColor="text1"/>
          <w:szCs w:val="21"/>
        </w:rPr>
        <w:t>当单罐容量不大于</w:t>
      </w:r>
      <w:r w:rsidRPr="00687B52">
        <w:rPr>
          <w:rFonts w:ascii="Times New Roman" w:hAnsi="Times New Roman" w:hint="eastAsia"/>
          <w:color w:val="000000" w:themeColor="text1"/>
          <w:szCs w:val="21"/>
        </w:rPr>
        <w:t>1000m</w:t>
      </w:r>
      <w:r w:rsidRPr="00687B52">
        <w:rPr>
          <w:rFonts w:ascii="Times New Roman" w:hAnsi="Times New Roman" w:hint="eastAsia"/>
          <w:color w:val="000000" w:themeColor="text1"/>
          <w:szCs w:val="21"/>
          <w:vertAlign w:val="superscript"/>
        </w:rPr>
        <w:t>3</w:t>
      </w:r>
      <w:r w:rsidRPr="00687B52">
        <w:rPr>
          <w:rFonts w:ascii="Times New Roman" w:hAnsi="Times New Roman" w:hint="eastAsia"/>
          <w:color w:val="000000" w:themeColor="text1"/>
          <w:szCs w:val="21"/>
        </w:rPr>
        <w:t>且采用固定冷却系统时，甲、乙类液体的地上式固定顶储罐之间的防火间距不应小于</w:t>
      </w:r>
      <w:r w:rsidRPr="00687B52">
        <w:rPr>
          <w:rFonts w:ascii="Times New Roman" w:hAnsi="Times New Roman" w:hint="eastAsia"/>
          <w:color w:val="000000" w:themeColor="text1"/>
          <w:szCs w:val="21"/>
        </w:rPr>
        <w:t>0.6D</w:t>
      </w:r>
      <w:r w:rsidRPr="00687B52">
        <w:rPr>
          <w:rFonts w:ascii="Times New Roman" w:hAnsi="Times New Roman" w:hint="eastAsia"/>
          <w:color w:val="000000" w:themeColor="text1"/>
          <w:szCs w:val="21"/>
        </w:rPr>
        <w:t>。</w:t>
      </w:r>
    </w:p>
    <w:p w:rsidR="00481EDB" w:rsidRPr="00687B52" w:rsidRDefault="00481EDB" w:rsidP="00481EDB">
      <w:pPr>
        <w:pStyle w:val="11"/>
        <w:adjustRightInd w:val="0"/>
        <w:snapToGrid w:val="0"/>
        <w:spacing w:line="360" w:lineRule="exact"/>
        <w:ind w:firstLineChars="0" w:firstLine="0"/>
        <w:jc w:val="left"/>
        <w:rPr>
          <w:rFonts w:ascii="Times New Roman" w:hAnsi="Times New Roman"/>
          <w:color w:val="000000" w:themeColor="text1"/>
          <w:szCs w:val="21"/>
        </w:rPr>
      </w:pPr>
      <w:r w:rsidRPr="00687B52">
        <w:rPr>
          <w:rFonts w:ascii="Times New Roman" w:hAnsi="Times New Roman" w:hint="eastAsia"/>
          <w:color w:val="000000" w:themeColor="text1"/>
          <w:szCs w:val="21"/>
        </w:rPr>
        <w:t xml:space="preserve">5 </w:t>
      </w:r>
      <w:r w:rsidRPr="00687B52">
        <w:rPr>
          <w:rFonts w:ascii="Times New Roman" w:hAnsi="Times New Roman" w:hint="eastAsia"/>
          <w:color w:val="000000" w:themeColor="text1"/>
          <w:szCs w:val="21"/>
        </w:rPr>
        <w:t>地上式储罐同时设置液下喷射泡沫灭火系统、固定冷却水系统和扑救防火堤内液体火灾的泡沫灭火设施时，储罐之间的防火间距可适当减小，但不宜小于</w:t>
      </w:r>
      <w:r w:rsidRPr="00687B52">
        <w:rPr>
          <w:rFonts w:ascii="Times New Roman" w:hAnsi="Times New Roman" w:hint="eastAsia"/>
          <w:color w:val="000000" w:themeColor="text1"/>
          <w:szCs w:val="21"/>
        </w:rPr>
        <w:t>0.4D</w:t>
      </w:r>
      <w:r w:rsidRPr="00687B52">
        <w:rPr>
          <w:rFonts w:ascii="Times New Roman" w:hAnsi="Times New Roman" w:hint="eastAsia"/>
          <w:color w:val="000000" w:themeColor="text1"/>
          <w:szCs w:val="21"/>
        </w:rPr>
        <w:t>。</w:t>
      </w:r>
    </w:p>
    <w:p w:rsidR="00481EDB" w:rsidRPr="00687B52" w:rsidRDefault="00481EDB" w:rsidP="00481EDB">
      <w:pPr>
        <w:pStyle w:val="11"/>
        <w:adjustRightInd w:val="0"/>
        <w:snapToGrid w:val="0"/>
        <w:spacing w:line="360" w:lineRule="exact"/>
        <w:ind w:firstLineChars="0" w:firstLine="0"/>
        <w:jc w:val="left"/>
        <w:rPr>
          <w:rFonts w:ascii="Times New Roman" w:hAnsi="Times New Roman"/>
          <w:color w:val="000000" w:themeColor="text1"/>
          <w:szCs w:val="21"/>
        </w:rPr>
      </w:pPr>
      <w:r w:rsidRPr="00687B52">
        <w:rPr>
          <w:rFonts w:ascii="Times New Roman" w:hAnsi="Times New Roman" w:hint="eastAsia"/>
          <w:color w:val="000000" w:themeColor="text1"/>
          <w:szCs w:val="21"/>
        </w:rPr>
        <w:t xml:space="preserve">6 </w:t>
      </w:r>
      <w:r w:rsidRPr="00687B52">
        <w:rPr>
          <w:rFonts w:ascii="Times New Roman" w:hAnsi="Times New Roman" w:hint="eastAsia"/>
          <w:color w:val="000000" w:themeColor="text1"/>
          <w:szCs w:val="21"/>
        </w:rPr>
        <w:t>闪点大于</w:t>
      </w:r>
      <w:r w:rsidRPr="00687B52">
        <w:rPr>
          <w:rFonts w:ascii="Times New Roman" w:hAnsi="Times New Roman" w:hint="eastAsia"/>
          <w:color w:val="000000" w:themeColor="text1"/>
          <w:szCs w:val="21"/>
        </w:rPr>
        <w:t>120</w:t>
      </w:r>
      <w:r w:rsidRPr="00687B52">
        <w:rPr>
          <w:rFonts w:ascii="Times New Roman" w:hAnsi="Times New Roman" w:hint="eastAsia"/>
          <w:color w:val="000000" w:themeColor="text1"/>
          <w:szCs w:val="21"/>
        </w:rPr>
        <w:t>℃的液体，当单罐容量大于</w:t>
      </w:r>
      <w:r w:rsidRPr="00687B52">
        <w:rPr>
          <w:rFonts w:ascii="Times New Roman" w:hAnsi="Times New Roman" w:hint="eastAsia"/>
          <w:color w:val="000000" w:themeColor="text1"/>
          <w:szCs w:val="21"/>
        </w:rPr>
        <w:t>1000m</w:t>
      </w:r>
      <w:r w:rsidRPr="00687B52">
        <w:rPr>
          <w:rFonts w:ascii="Times New Roman" w:hAnsi="Times New Roman" w:hint="eastAsia"/>
          <w:color w:val="000000" w:themeColor="text1"/>
          <w:szCs w:val="21"/>
          <w:vertAlign w:val="superscript"/>
        </w:rPr>
        <w:t>3</w:t>
      </w:r>
      <w:r w:rsidRPr="00687B52">
        <w:rPr>
          <w:rFonts w:ascii="Times New Roman" w:hAnsi="Times New Roman" w:hint="eastAsia"/>
          <w:color w:val="000000" w:themeColor="text1"/>
          <w:szCs w:val="21"/>
        </w:rPr>
        <w:t>时，储罐之间的防火间距不应小于</w:t>
      </w:r>
      <w:r w:rsidRPr="00687B52">
        <w:rPr>
          <w:rFonts w:ascii="Times New Roman" w:hAnsi="Times New Roman" w:hint="eastAsia"/>
          <w:color w:val="000000" w:themeColor="text1"/>
          <w:szCs w:val="21"/>
        </w:rPr>
        <w:t>5m</w:t>
      </w:r>
      <w:r w:rsidRPr="00687B52">
        <w:rPr>
          <w:rFonts w:ascii="Times New Roman" w:hAnsi="Times New Roman" w:hint="eastAsia"/>
          <w:color w:val="000000" w:themeColor="text1"/>
          <w:szCs w:val="21"/>
        </w:rPr>
        <w:t>；当单罐容量不大于</w:t>
      </w:r>
      <w:r w:rsidRPr="00687B52">
        <w:rPr>
          <w:rFonts w:ascii="Times New Roman" w:hAnsi="Times New Roman" w:hint="eastAsia"/>
          <w:color w:val="000000" w:themeColor="text1"/>
          <w:szCs w:val="21"/>
        </w:rPr>
        <w:t>1000m</w:t>
      </w:r>
      <w:r w:rsidRPr="00687B52">
        <w:rPr>
          <w:rFonts w:ascii="Times New Roman" w:hAnsi="Times New Roman" w:hint="eastAsia"/>
          <w:color w:val="000000" w:themeColor="text1"/>
          <w:szCs w:val="21"/>
          <w:vertAlign w:val="superscript"/>
        </w:rPr>
        <w:t>3</w:t>
      </w:r>
      <w:r w:rsidRPr="00687B52">
        <w:rPr>
          <w:rFonts w:ascii="Times New Roman" w:hAnsi="Times New Roman" w:hint="eastAsia"/>
          <w:color w:val="000000" w:themeColor="text1"/>
          <w:szCs w:val="21"/>
        </w:rPr>
        <w:t>时，储罐之间的防火间距不应小于</w:t>
      </w:r>
      <w:r w:rsidRPr="00687B52">
        <w:rPr>
          <w:rFonts w:ascii="Times New Roman" w:hAnsi="Times New Roman" w:hint="eastAsia"/>
          <w:color w:val="000000" w:themeColor="text1"/>
          <w:szCs w:val="21"/>
        </w:rPr>
        <w:t>2m</w:t>
      </w:r>
      <w:r w:rsidRPr="00687B52">
        <w:rPr>
          <w:rFonts w:ascii="Times New Roman" w:hAnsi="Times New Roman" w:hint="eastAsia"/>
          <w:color w:val="000000" w:themeColor="text1"/>
          <w:szCs w:val="21"/>
        </w:rPr>
        <w:t>。</w:t>
      </w:r>
    </w:p>
    <w:p w:rsidR="00481EDB" w:rsidRPr="00687B52" w:rsidRDefault="00481EDB" w:rsidP="00C506D9">
      <w:pPr>
        <w:pStyle w:val="afd"/>
        <w:rPr>
          <w:color w:val="000000" w:themeColor="text1"/>
          <w:szCs w:val="21"/>
        </w:rPr>
      </w:pPr>
      <w:bookmarkStart w:id="424" w:name="_Toc491870870"/>
      <w:bookmarkStart w:id="425" w:name="_Toc492563524"/>
      <w:bookmarkStart w:id="426" w:name="_Toc493857129"/>
      <w:r w:rsidRPr="00687B52">
        <w:rPr>
          <w:rFonts w:hint="eastAsia"/>
          <w:color w:val="000000" w:themeColor="text1"/>
        </w:rPr>
        <w:t>表</w:t>
      </w:r>
      <w:r w:rsidRPr="00687B52">
        <w:rPr>
          <w:rFonts w:hint="eastAsia"/>
          <w:color w:val="000000" w:themeColor="text1"/>
        </w:rPr>
        <w:t>4.2.3</w:t>
      </w:r>
      <w:r w:rsidRPr="00687B52">
        <w:rPr>
          <w:rFonts w:hint="eastAsia"/>
          <w:color w:val="000000" w:themeColor="text1"/>
        </w:rPr>
        <w:t>甲、乙、丙类液体储罐分组布置的最大容量</w:t>
      </w:r>
      <w:bookmarkEnd w:id="424"/>
      <w:bookmarkEnd w:id="425"/>
      <w:bookmarkEnd w:id="426"/>
    </w:p>
    <w:tbl>
      <w:tblPr>
        <w:tblStyle w:val="a6"/>
        <w:tblW w:w="6755" w:type="dxa"/>
        <w:tblInd w:w="3273" w:type="dxa"/>
        <w:tblLayout w:type="fixed"/>
        <w:tblLook w:val="04A0" w:firstRow="1" w:lastRow="0" w:firstColumn="1" w:lastColumn="0" w:noHBand="0" w:noVBand="1"/>
      </w:tblPr>
      <w:tblGrid>
        <w:gridCol w:w="1905"/>
        <w:gridCol w:w="2359"/>
        <w:gridCol w:w="2491"/>
      </w:tblGrid>
      <w:tr w:rsidR="00481EDB" w:rsidRPr="00687B52" w:rsidTr="00BB2A37">
        <w:trPr>
          <w:cantSplit/>
          <w:trHeight w:val="397"/>
        </w:trPr>
        <w:tc>
          <w:tcPr>
            <w:tcW w:w="190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名称</w:t>
            </w:r>
          </w:p>
        </w:tc>
        <w:tc>
          <w:tcPr>
            <w:tcW w:w="235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单罐最大容量（</w:t>
            </w:r>
            <w:r w:rsidRPr="00687B52">
              <w:rPr>
                <w:rFonts w:ascii="Times New Roman" w:hAnsi="Times New Roman" w:hint="eastAsia"/>
                <w:color w:val="000000" w:themeColor="text1"/>
                <w:szCs w:val="21"/>
              </w:rPr>
              <w:t>m</w:t>
            </w:r>
            <w:r w:rsidRPr="00687B52">
              <w:rPr>
                <w:rFonts w:ascii="Times New Roman" w:hAnsi="Times New Roman" w:hint="eastAsia"/>
                <w:color w:val="000000" w:themeColor="text1"/>
                <w:szCs w:val="21"/>
                <w:vertAlign w:val="superscript"/>
              </w:rPr>
              <w:t>3</w:t>
            </w:r>
            <w:r w:rsidRPr="00687B52">
              <w:rPr>
                <w:rFonts w:ascii="Times New Roman" w:hAnsi="Times New Roman" w:hint="eastAsia"/>
                <w:color w:val="000000" w:themeColor="text1"/>
                <w:szCs w:val="21"/>
              </w:rPr>
              <w:t>）</w:t>
            </w:r>
          </w:p>
        </w:tc>
        <w:tc>
          <w:tcPr>
            <w:tcW w:w="2491"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一组罐最大容量（</w:t>
            </w:r>
            <w:r w:rsidRPr="00687B52">
              <w:rPr>
                <w:rFonts w:ascii="Times New Roman" w:hAnsi="Times New Roman" w:hint="eastAsia"/>
                <w:color w:val="000000" w:themeColor="text1"/>
                <w:szCs w:val="21"/>
              </w:rPr>
              <w:t>m</w:t>
            </w:r>
            <w:r w:rsidRPr="00687B52">
              <w:rPr>
                <w:rFonts w:ascii="Times New Roman" w:hAnsi="Times New Roman" w:hint="eastAsia"/>
                <w:color w:val="000000" w:themeColor="text1"/>
                <w:szCs w:val="21"/>
                <w:vertAlign w:val="superscript"/>
              </w:rPr>
              <w:t>3</w:t>
            </w:r>
            <w:r w:rsidRPr="00687B52">
              <w:rPr>
                <w:rFonts w:ascii="Times New Roman" w:hAnsi="Times New Roman" w:hint="eastAsia"/>
                <w:color w:val="000000" w:themeColor="text1"/>
                <w:szCs w:val="21"/>
              </w:rPr>
              <w:t>）</w:t>
            </w:r>
          </w:p>
        </w:tc>
      </w:tr>
      <w:tr w:rsidR="00481EDB" w:rsidRPr="00687B52" w:rsidTr="00BB2A37">
        <w:trPr>
          <w:cantSplit/>
          <w:trHeight w:val="340"/>
        </w:trPr>
        <w:tc>
          <w:tcPr>
            <w:tcW w:w="1905" w:type="dxa"/>
            <w:vAlign w:val="center"/>
          </w:tcPr>
          <w:p w:rsidR="00481EDB" w:rsidRPr="00687B52" w:rsidRDefault="00481EDB" w:rsidP="00F25ED0">
            <w:pPr>
              <w:adjustRightInd w:val="0"/>
              <w:snapToGrid w:val="0"/>
              <w:spacing w:afterLines="50" w:after="156"/>
              <w:jc w:val="left"/>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甲、乙类液体</w:t>
            </w:r>
          </w:p>
        </w:tc>
        <w:tc>
          <w:tcPr>
            <w:tcW w:w="235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200</w:t>
            </w:r>
          </w:p>
        </w:tc>
        <w:tc>
          <w:tcPr>
            <w:tcW w:w="2491"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1000</w:t>
            </w:r>
          </w:p>
        </w:tc>
      </w:tr>
      <w:tr w:rsidR="00481EDB" w:rsidRPr="00687B52" w:rsidTr="00BB2A37">
        <w:trPr>
          <w:cantSplit/>
          <w:trHeight w:val="340"/>
        </w:trPr>
        <w:tc>
          <w:tcPr>
            <w:tcW w:w="1905" w:type="dxa"/>
            <w:vAlign w:val="center"/>
          </w:tcPr>
          <w:p w:rsidR="00481EDB" w:rsidRPr="00687B52" w:rsidRDefault="00481EDB" w:rsidP="00F25ED0">
            <w:pPr>
              <w:adjustRightInd w:val="0"/>
              <w:snapToGrid w:val="0"/>
              <w:spacing w:afterLines="50" w:after="156"/>
              <w:jc w:val="left"/>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丙类液体</w:t>
            </w:r>
          </w:p>
        </w:tc>
        <w:tc>
          <w:tcPr>
            <w:tcW w:w="235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500</w:t>
            </w:r>
          </w:p>
        </w:tc>
        <w:tc>
          <w:tcPr>
            <w:tcW w:w="2491"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3000</w:t>
            </w:r>
          </w:p>
        </w:tc>
      </w:tr>
    </w:tbl>
    <w:p w:rsidR="00481EDB" w:rsidRPr="00687B52" w:rsidRDefault="00481EDB" w:rsidP="00C506D9">
      <w:pPr>
        <w:pStyle w:val="afd"/>
        <w:rPr>
          <w:color w:val="000000" w:themeColor="text1"/>
        </w:rPr>
      </w:pPr>
      <w:bookmarkStart w:id="427" w:name="_Toc491870871"/>
      <w:bookmarkStart w:id="428" w:name="_Toc492563525"/>
      <w:bookmarkStart w:id="429" w:name="_Toc493857130"/>
      <w:r w:rsidRPr="00687B52">
        <w:rPr>
          <w:rFonts w:hint="eastAsia"/>
          <w:color w:val="000000" w:themeColor="text1"/>
        </w:rPr>
        <w:t>表</w:t>
      </w:r>
      <w:r w:rsidRPr="00687B52">
        <w:rPr>
          <w:rFonts w:hint="eastAsia"/>
          <w:color w:val="000000" w:themeColor="text1"/>
        </w:rPr>
        <w:t xml:space="preserve">4.2.7 </w:t>
      </w:r>
      <w:r w:rsidRPr="00687B52">
        <w:rPr>
          <w:rFonts w:hint="eastAsia"/>
          <w:color w:val="000000" w:themeColor="text1"/>
        </w:rPr>
        <w:t>甲、乙、丙类液体储罐与其泵房、装卸鹤管的防火间距（</w:t>
      </w:r>
      <w:r w:rsidRPr="00687B52">
        <w:rPr>
          <w:rFonts w:hint="eastAsia"/>
          <w:color w:val="000000" w:themeColor="text1"/>
        </w:rPr>
        <w:t>m</w:t>
      </w:r>
      <w:r w:rsidRPr="00687B52">
        <w:rPr>
          <w:rFonts w:hint="eastAsia"/>
          <w:color w:val="000000" w:themeColor="text1"/>
        </w:rPr>
        <w:t>）</w:t>
      </w:r>
      <w:bookmarkEnd w:id="427"/>
      <w:bookmarkEnd w:id="428"/>
      <w:bookmarkEnd w:id="429"/>
    </w:p>
    <w:tbl>
      <w:tblPr>
        <w:tblStyle w:val="a6"/>
        <w:tblW w:w="7032" w:type="dxa"/>
        <w:tblInd w:w="3139" w:type="dxa"/>
        <w:tblLayout w:type="fixed"/>
        <w:tblLook w:val="04A0" w:firstRow="1" w:lastRow="0" w:firstColumn="1" w:lastColumn="0" w:noHBand="0" w:noVBand="1"/>
      </w:tblPr>
      <w:tblGrid>
        <w:gridCol w:w="1851"/>
        <w:gridCol w:w="953"/>
        <w:gridCol w:w="1535"/>
        <w:gridCol w:w="2693"/>
      </w:tblGrid>
      <w:tr w:rsidR="00481EDB" w:rsidRPr="00687B52" w:rsidTr="00BB2A37">
        <w:trPr>
          <w:cantSplit/>
          <w:trHeight w:val="397"/>
        </w:trPr>
        <w:tc>
          <w:tcPr>
            <w:tcW w:w="2804" w:type="dxa"/>
            <w:gridSpan w:val="2"/>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液体类别和储罐形式</w:t>
            </w:r>
          </w:p>
        </w:tc>
        <w:tc>
          <w:tcPr>
            <w:tcW w:w="153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泵房</w:t>
            </w:r>
          </w:p>
        </w:tc>
        <w:tc>
          <w:tcPr>
            <w:tcW w:w="26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铁路或汽车装卸鹤管</w:t>
            </w:r>
          </w:p>
        </w:tc>
      </w:tr>
      <w:tr w:rsidR="00481EDB" w:rsidRPr="00687B52" w:rsidTr="00BB2A37">
        <w:trPr>
          <w:cantSplit/>
          <w:trHeight w:val="340"/>
        </w:trPr>
        <w:tc>
          <w:tcPr>
            <w:tcW w:w="1851" w:type="dxa"/>
            <w:vMerge w:val="restart"/>
            <w:vAlign w:val="center"/>
          </w:tcPr>
          <w:p w:rsidR="00481EDB" w:rsidRPr="00687B52" w:rsidRDefault="00481EDB" w:rsidP="00F25ED0">
            <w:pPr>
              <w:adjustRightInd w:val="0"/>
              <w:snapToGrid w:val="0"/>
              <w:spacing w:afterLines="50" w:after="156"/>
              <w:jc w:val="left"/>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甲、乙类液体储罐</w:t>
            </w:r>
          </w:p>
        </w:tc>
        <w:tc>
          <w:tcPr>
            <w:tcW w:w="953" w:type="dxa"/>
            <w:vAlign w:val="center"/>
          </w:tcPr>
          <w:p w:rsidR="00481EDB" w:rsidRPr="00687B52" w:rsidRDefault="00481EDB" w:rsidP="00F25ED0">
            <w:pPr>
              <w:adjustRightInd w:val="0"/>
              <w:snapToGrid w:val="0"/>
              <w:spacing w:afterLines="50" w:after="156"/>
              <w:jc w:val="left"/>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拱顶罐</w:t>
            </w:r>
          </w:p>
        </w:tc>
        <w:tc>
          <w:tcPr>
            <w:tcW w:w="153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15</w:t>
            </w:r>
          </w:p>
        </w:tc>
        <w:tc>
          <w:tcPr>
            <w:tcW w:w="26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20</w:t>
            </w:r>
          </w:p>
        </w:tc>
      </w:tr>
      <w:tr w:rsidR="00481EDB" w:rsidRPr="00687B52" w:rsidTr="00BB2A37">
        <w:trPr>
          <w:cantSplit/>
          <w:trHeight w:val="340"/>
        </w:trPr>
        <w:tc>
          <w:tcPr>
            <w:tcW w:w="1851" w:type="dxa"/>
            <w:vMerge/>
            <w:vAlign w:val="center"/>
          </w:tcPr>
          <w:p w:rsidR="00481EDB" w:rsidRPr="00687B52" w:rsidRDefault="00481EDB" w:rsidP="00F25ED0">
            <w:pPr>
              <w:adjustRightInd w:val="0"/>
              <w:snapToGrid w:val="0"/>
              <w:spacing w:afterLines="50" w:after="156"/>
              <w:jc w:val="left"/>
              <w:rPr>
                <w:rFonts w:ascii="Times New Roman" w:hAnsi="Times New Roman" w:cs="Times New Roman"/>
                <w:color w:val="000000" w:themeColor="text1"/>
                <w:szCs w:val="21"/>
              </w:rPr>
            </w:pPr>
          </w:p>
        </w:tc>
        <w:tc>
          <w:tcPr>
            <w:tcW w:w="953" w:type="dxa"/>
            <w:vAlign w:val="center"/>
          </w:tcPr>
          <w:p w:rsidR="00481EDB" w:rsidRPr="00687B52" w:rsidRDefault="00481EDB" w:rsidP="00F25ED0">
            <w:pPr>
              <w:adjustRightInd w:val="0"/>
              <w:snapToGrid w:val="0"/>
              <w:spacing w:afterLines="50" w:after="156"/>
              <w:jc w:val="left"/>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浮顶罐</w:t>
            </w:r>
          </w:p>
        </w:tc>
        <w:tc>
          <w:tcPr>
            <w:tcW w:w="153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12</w:t>
            </w:r>
          </w:p>
        </w:tc>
        <w:tc>
          <w:tcPr>
            <w:tcW w:w="26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15</w:t>
            </w:r>
          </w:p>
        </w:tc>
      </w:tr>
      <w:tr w:rsidR="00481EDB" w:rsidRPr="00687B52" w:rsidTr="00BB2A37">
        <w:trPr>
          <w:cantSplit/>
          <w:trHeight w:val="340"/>
        </w:trPr>
        <w:tc>
          <w:tcPr>
            <w:tcW w:w="2804" w:type="dxa"/>
            <w:gridSpan w:val="2"/>
            <w:vAlign w:val="center"/>
          </w:tcPr>
          <w:p w:rsidR="00481EDB" w:rsidRPr="00687B52" w:rsidRDefault="00481EDB" w:rsidP="00F25ED0">
            <w:pPr>
              <w:adjustRightInd w:val="0"/>
              <w:snapToGrid w:val="0"/>
              <w:spacing w:afterLines="50" w:after="156"/>
              <w:jc w:val="left"/>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丙类液体储罐</w:t>
            </w:r>
          </w:p>
        </w:tc>
        <w:tc>
          <w:tcPr>
            <w:tcW w:w="153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10</w:t>
            </w:r>
          </w:p>
        </w:tc>
        <w:tc>
          <w:tcPr>
            <w:tcW w:w="26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12</w:t>
            </w:r>
          </w:p>
        </w:tc>
      </w:tr>
    </w:tbl>
    <w:p w:rsidR="00481EDB" w:rsidRPr="00687B52" w:rsidRDefault="00481EDB" w:rsidP="00481EDB">
      <w:pPr>
        <w:pStyle w:val="11"/>
        <w:adjustRightInd w:val="0"/>
        <w:snapToGrid w:val="0"/>
        <w:spacing w:line="360" w:lineRule="exact"/>
        <w:ind w:firstLineChars="0" w:firstLine="0"/>
        <w:jc w:val="left"/>
        <w:rPr>
          <w:rFonts w:ascii="Times New Roman" w:hAnsi="Times New Roman"/>
          <w:color w:val="000000" w:themeColor="text1"/>
          <w:szCs w:val="21"/>
        </w:rPr>
      </w:pPr>
      <w:r w:rsidRPr="00687B52">
        <w:rPr>
          <w:rFonts w:ascii="Times New Roman" w:hAnsi="Times New Roman" w:hint="eastAsia"/>
          <w:color w:val="000000" w:themeColor="text1"/>
          <w:szCs w:val="21"/>
        </w:rPr>
        <w:t>注：</w:t>
      </w:r>
      <w:r w:rsidRPr="00687B52">
        <w:rPr>
          <w:rFonts w:ascii="Times New Roman" w:hAnsi="Times New Roman" w:hint="eastAsia"/>
          <w:color w:val="000000" w:themeColor="text1"/>
          <w:szCs w:val="21"/>
        </w:rPr>
        <w:t xml:space="preserve">1 </w:t>
      </w:r>
      <w:r w:rsidRPr="00687B52">
        <w:rPr>
          <w:rFonts w:ascii="Times New Roman" w:hAnsi="Times New Roman" w:hint="eastAsia"/>
          <w:color w:val="000000" w:themeColor="text1"/>
          <w:szCs w:val="21"/>
        </w:rPr>
        <w:t>总容量不大于</w:t>
      </w:r>
      <w:r w:rsidRPr="00687B52">
        <w:rPr>
          <w:rFonts w:ascii="Times New Roman" w:hAnsi="Times New Roman" w:hint="eastAsia"/>
          <w:color w:val="000000" w:themeColor="text1"/>
          <w:szCs w:val="21"/>
        </w:rPr>
        <w:t>1000m</w:t>
      </w:r>
      <w:r w:rsidRPr="00687B52">
        <w:rPr>
          <w:rFonts w:ascii="Times New Roman" w:hAnsi="Times New Roman" w:hint="eastAsia"/>
          <w:color w:val="000000" w:themeColor="text1"/>
          <w:szCs w:val="21"/>
          <w:vertAlign w:val="superscript"/>
        </w:rPr>
        <w:t>3</w:t>
      </w:r>
      <w:r w:rsidRPr="00687B52">
        <w:rPr>
          <w:rFonts w:ascii="Times New Roman" w:hAnsi="Times New Roman" w:hint="eastAsia"/>
          <w:color w:val="000000" w:themeColor="text1"/>
          <w:szCs w:val="21"/>
        </w:rPr>
        <w:t>的甲、乙类液体储罐和总容量不大于</w:t>
      </w:r>
      <w:r w:rsidRPr="00687B52">
        <w:rPr>
          <w:rFonts w:ascii="Times New Roman" w:hAnsi="Times New Roman" w:hint="eastAsia"/>
          <w:color w:val="000000" w:themeColor="text1"/>
          <w:szCs w:val="21"/>
        </w:rPr>
        <w:t>5000m</w:t>
      </w:r>
      <w:r w:rsidRPr="00687B52">
        <w:rPr>
          <w:rFonts w:ascii="Times New Roman" w:hAnsi="Times New Roman" w:hint="eastAsia"/>
          <w:color w:val="000000" w:themeColor="text1"/>
          <w:szCs w:val="21"/>
          <w:vertAlign w:val="superscript"/>
        </w:rPr>
        <w:t>3</w:t>
      </w:r>
      <w:r w:rsidRPr="00687B52">
        <w:rPr>
          <w:rFonts w:ascii="Times New Roman" w:hAnsi="Times New Roman" w:hint="eastAsia"/>
          <w:color w:val="000000" w:themeColor="text1"/>
          <w:szCs w:val="21"/>
        </w:rPr>
        <w:t>的丙类液体储罐，其防火间距可按本表的规定减少</w:t>
      </w:r>
      <w:r w:rsidRPr="00687B52">
        <w:rPr>
          <w:rFonts w:ascii="Times New Roman" w:hAnsi="Times New Roman" w:hint="eastAsia"/>
          <w:color w:val="000000" w:themeColor="text1"/>
          <w:szCs w:val="21"/>
        </w:rPr>
        <w:t>25%</w:t>
      </w:r>
      <w:r w:rsidRPr="00687B52">
        <w:rPr>
          <w:rFonts w:ascii="Times New Roman" w:hAnsi="Times New Roman" w:hint="eastAsia"/>
          <w:color w:val="000000" w:themeColor="text1"/>
          <w:szCs w:val="21"/>
        </w:rPr>
        <w:t>。</w:t>
      </w:r>
      <w:r w:rsidRPr="00687B52">
        <w:rPr>
          <w:rFonts w:ascii="Times New Roman" w:hAnsi="Times New Roman" w:hint="eastAsia"/>
          <w:color w:val="000000" w:themeColor="text1"/>
          <w:szCs w:val="21"/>
        </w:rPr>
        <w:br/>
        <w:t xml:space="preserve">2 </w:t>
      </w:r>
      <w:r w:rsidRPr="00687B52">
        <w:rPr>
          <w:rFonts w:ascii="Times New Roman" w:hAnsi="Times New Roman" w:hint="eastAsia"/>
          <w:color w:val="000000" w:themeColor="text1"/>
          <w:szCs w:val="21"/>
        </w:rPr>
        <w:t>泵房、装卸鹤管与储罐防火堤外侧基脚线的距离不应小于</w:t>
      </w:r>
      <w:r w:rsidRPr="00687B52">
        <w:rPr>
          <w:rFonts w:ascii="Times New Roman" w:hAnsi="Times New Roman" w:hint="eastAsia"/>
          <w:color w:val="000000" w:themeColor="text1"/>
          <w:szCs w:val="21"/>
        </w:rPr>
        <w:t>5m</w:t>
      </w:r>
      <w:r w:rsidRPr="00687B52">
        <w:rPr>
          <w:rFonts w:ascii="Times New Roman" w:hAnsi="Times New Roman" w:hint="eastAsia"/>
          <w:color w:val="000000" w:themeColor="text1"/>
          <w:szCs w:val="21"/>
        </w:rPr>
        <w:t>。</w:t>
      </w:r>
    </w:p>
    <w:p w:rsidR="00481EDB" w:rsidRPr="00687B52" w:rsidRDefault="00481EDB" w:rsidP="00C506D9">
      <w:pPr>
        <w:pStyle w:val="afd"/>
        <w:rPr>
          <w:color w:val="000000" w:themeColor="text1"/>
          <w:szCs w:val="21"/>
        </w:rPr>
      </w:pPr>
      <w:bookmarkStart w:id="430" w:name="_Toc491870872"/>
      <w:bookmarkStart w:id="431" w:name="_Toc492563526"/>
      <w:bookmarkStart w:id="432" w:name="_Toc493857131"/>
      <w:r w:rsidRPr="00687B52">
        <w:rPr>
          <w:rFonts w:hint="eastAsia"/>
          <w:color w:val="000000" w:themeColor="text1"/>
        </w:rPr>
        <w:t>表</w:t>
      </w:r>
      <w:r w:rsidRPr="00687B52">
        <w:rPr>
          <w:rFonts w:hint="eastAsia"/>
          <w:color w:val="000000" w:themeColor="text1"/>
        </w:rPr>
        <w:t>4.2.8</w:t>
      </w:r>
      <w:r w:rsidRPr="00687B52">
        <w:rPr>
          <w:rFonts w:hint="eastAsia"/>
          <w:color w:val="000000" w:themeColor="text1"/>
        </w:rPr>
        <w:t>甲、乙、丙类液体装卸鹤管与建筑物、厂内铁路线的防火间距（</w:t>
      </w:r>
      <w:r w:rsidRPr="00687B52">
        <w:rPr>
          <w:rFonts w:hint="eastAsia"/>
          <w:color w:val="000000" w:themeColor="text1"/>
        </w:rPr>
        <w:t>m</w:t>
      </w:r>
      <w:r w:rsidRPr="00687B52">
        <w:rPr>
          <w:rFonts w:hint="eastAsia"/>
          <w:color w:val="000000" w:themeColor="text1"/>
        </w:rPr>
        <w:t>）</w:t>
      </w:r>
      <w:bookmarkEnd w:id="430"/>
      <w:bookmarkEnd w:id="431"/>
      <w:bookmarkEnd w:id="432"/>
    </w:p>
    <w:tbl>
      <w:tblPr>
        <w:tblStyle w:val="a6"/>
        <w:tblW w:w="9577" w:type="dxa"/>
        <w:tblInd w:w="1384" w:type="dxa"/>
        <w:tblLayout w:type="fixed"/>
        <w:tblLook w:val="04A0" w:firstRow="1" w:lastRow="0" w:firstColumn="1" w:lastColumn="0" w:noHBand="0" w:noVBand="1"/>
      </w:tblPr>
      <w:tblGrid>
        <w:gridCol w:w="2640"/>
        <w:gridCol w:w="1329"/>
        <w:gridCol w:w="992"/>
        <w:gridCol w:w="1134"/>
        <w:gridCol w:w="1701"/>
        <w:gridCol w:w="1781"/>
      </w:tblGrid>
      <w:tr w:rsidR="00481EDB" w:rsidRPr="00687B52" w:rsidTr="00BB2A37">
        <w:trPr>
          <w:cantSplit/>
          <w:trHeight w:val="397"/>
        </w:trPr>
        <w:tc>
          <w:tcPr>
            <w:tcW w:w="2640"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名称</w:t>
            </w:r>
          </w:p>
        </w:tc>
        <w:tc>
          <w:tcPr>
            <w:tcW w:w="3455" w:type="dxa"/>
            <w:gridSpan w:val="3"/>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建筑物</w:t>
            </w:r>
          </w:p>
        </w:tc>
        <w:tc>
          <w:tcPr>
            <w:tcW w:w="1701"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厂内铁路线</w:t>
            </w:r>
          </w:p>
        </w:tc>
        <w:tc>
          <w:tcPr>
            <w:tcW w:w="1781"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泵房</w:t>
            </w:r>
          </w:p>
        </w:tc>
      </w:tr>
      <w:tr w:rsidR="00481EDB" w:rsidRPr="00687B52" w:rsidTr="00BB2A37">
        <w:trPr>
          <w:cantSplit/>
          <w:trHeight w:val="340"/>
        </w:trPr>
        <w:tc>
          <w:tcPr>
            <w:tcW w:w="2640" w:type="dxa"/>
            <w:vMerge/>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p>
        </w:tc>
        <w:tc>
          <w:tcPr>
            <w:tcW w:w="132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一、二级</w:t>
            </w:r>
          </w:p>
        </w:tc>
        <w:tc>
          <w:tcPr>
            <w:tcW w:w="992"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三级</w:t>
            </w:r>
          </w:p>
        </w:tc>
        <w:tc>
          <w:tcPr>
            <w:tcW w:w="113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四级</w:t>
            </w:r>
          </w:p>
        </w:tc>
        <w:tc>
          <w:tcPr>
            <w:tcW w:w="1701"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781"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r>
      <w:tr w:rsidR="00481EDB" w:rsidRPr="00687B52" w:rsidTr="00BB2A37">
        <w:trPr>
          <w:cantSplit/>
          <w:trHeight w:val="340"/>
        </w:trPr>
        <w:tc>
          <w:tcPr>
            <w:tcW w:w="2640" w:type="dxa"/>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甲、乙类液体装卸鹤管</w:t>
            </w:r>
          </w:p>
        </w:tc>
        <w:tc>
          <w:tcPr>
            <w:tcW w:w="1329" w:type="dxa"/>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14</w:t>
            </w:r>
          </w:p>
        </w:tc>
        <w:tc>
          <w:tcPr>
            <w:tcW w:w="992" w:type="dxa"/>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16</w:t>
            </w:r>
          </w:p>
        </w:tc>
        <w:tc>
          <w:tcPr>
            <w:tcW w:w="1134" w:type="dxa"/>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18</w:t>
            </w:r>
          </w:p>
        </w:tc>
        <w:tc>
          <w:tcPr>
            <w:tcW w:w="1701"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20</w:t>
            </w:r>
          </w:p>
        </w:tc>
        <w:tc>
          <w:tcPr>
            <w:tcW w:w="1781"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8</w:t>
            </w:r>
          </w:p>
        </w:tc>
      </w:tr>
      <w:tr w:rsidR="00481EDB" w:rsidRPr="00687B52" w:rsidTr="00BB2A37">
        <w:trPr>
          <w:cantSplit/>
          <w:trHeight w:val="340"/>
        </w:trPr>
        <w:tc>
          <w:tcPr>
            <w:tcW w:w="2640" w:type="dxa"/>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丙类液体装卸鹤管</w:t>
            </w:r>
          </w:p>
        </w:tc>
        <w:tc>
          <w:tcPr>
            <w:tcW w:w="1329" w:type="dxa"/>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10</w:t>
            </w:r>
          </w:p>
        </w:tc>
        <w:tc>
          <w:tcPr>
            <w:tcW w:w="992" w:type="dxa"/>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12</w:t>
            </w:r>
          </w:p>
        </w:tc>
        <w:tc>
          <w:tcPr>
            <w:tcW w:w="1134" w:type="dxa"/>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14</w:t>
            </w:r>
          </w:p>
        </w:tc>
        <w:tc>
          <w:tcPr>
            <w:tcW w:w="1701"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10</w:t>
            </w:r>
          </w:p>
        </w:tc>
        <w:tc>
          <w:tcPr>
            <w:tcW w:w="1781"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r>
    </w:tbl>
    <w:p w:rsidR="00481EDB" w:rsidRPr="00687B52" w:rsidRDefault="00481EDB" w:rsidP="00F25ED0">
      <w:pPr>
        <w:adjustRightInd w:val="0"/>
        <w:snapToGrid w:val="0"/>
        <w:spacing w:beforeLines="50" w:before="156"/>
        <w:jc w:val="left"/>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注：装卸鹤管与其直接装卸用的甲、乙、丙类液体装卸铁路线的防火间距不限。</w:t>
      </w:r>
    </w:p>
    <w:p w:rsidR="00481EDB" w:rsidRPr="00687B52" w:rsidRDefault="00481EDB" w:rsidP="00C506D9">
      <w:pPr>
        <w:pStyle w:val="afd"/>
        <w:rPr>
          <w:color w:val="000000" w:themeColor="text1"/>
        </w:rPr>
      </w:pPr>
      <w:bookmarkStart w:id="433" w:name="_Toc491870873"/>
      <w:bookmarkStart w:id="434" w:name="_Toc492563527"/>
      <w:bookmarkStart w:id="435" w:name="_Toc493857132"/>
      <w:r w:rsidRPr="00687B52">
        <w:rPr>
          <w:rFonts w:hint="eastAsia"/>
          <w:color w:val="000000" w:themeColor="text1"/>
        </w:rPr>
        <w:t>表</w:t>
      </w:r>
      <w:r w:rsidRPr="00687B52">
        <w:rPr>
          <w:rFonts w:hint="eastAsia"/>
          <w:color w:val="000000" w:themeColor="text1"/>
        </w:rPr>
        <w:t>4.2.9</w:t>
      </w:r>
      <w:r w:rsidRPr="00687B52">
        <w:rPr>
          <w:rFonts w:hint="eastAsia"/>
          <w:color w:val="000000" w:themeColor="text1"/>
        </w:rPr>
        <w:t>甲、乙、丙类液体储罐与铁路、道路等的防火间距（</w:t>
      </w:r>
      <w:r w:rsidRPr="00687B52">
        <w:rPr>
          <w:rFonts w:hint="eastAsia"/>
          <w:color w:val="000000" w:themeColor="text1"/>
        </w:rPr>
        <w:t>m</w:t>
      </w:r>
      <w:r w:rsidRPr="00687B52">
        <w:rPr>
          <w:rFonts w:hint="eastAsia"/>
          <w:color w:val="000000" w:themeColor="text1"/>
        </w:rPr>
        <w:t>）</w:t>
      </w:r>
      <w:bookmarkEnd w:id="433"/>
      <w:bookmarkEnd w:id="434"/>
      <w:bookmarkEnd w:id="435"/>
    </w:p>
    <w:tbl>
      <w:tblPr>
        <w:tblStyle w:val="a6"/>
        <w:tblW w:w="9260" w:type="dxa"/>
        <w:tblInd w:w="2017" w:type="dxa"/>
        <w:tblLayout w:type="fixed"/>
        <w:tblLook w:val="04A0" w:firstRow="1" w:lastRow="0" w:firstColumn="1" w:lastColumn="0" w:noHBand="0" w:noVBand="1"/>
      </w:tblPr>
      <w:tblGrid>
        <w:gridCol w:w="2188"/>
        <w:gridCol w:w="1964"/>
        <w:gridCol w:w="1933"/>
        <w:gridCol w:w="1519"/>
        <w:gridCol w:w="828"/>
        <w:gridCol w:w="828"/>
      </w:tblGrid>
      <w:tr w:rsidR="00481EDB" w:rsidRPr="00687B52" w:rsidTr="00BB2A37">
        <w:trPr>
          <w:trHeight w:val="293"/>
        </w:trPr>
        <w:tc>
          <w:tcPr>
            <w:tcW w:w="2188"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名称</w:t>
            </w:r>
          </w:p>
        </w:tc>
        <w:tc>
          <w:tcPr>
            <w:tcW w:w="1964"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厂外铁路线中心线</w:t>
            </w:r>
          </w:p>
        </w:tc>
        <w:tc>
          <w:tcPr>
            <w:tcW w:w="1933"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厂内铁路线中心线</w:t>
            </w:r>
          </w:p>
        </w:tc>
        <w:tc>
          <w:tcPr>
            <w:tcW w:w="1519"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厂外道路路边</w:t>
            </w:r>
          </w:p>
        </w:tc>
        <w:tc>
          <w:tcPr>
            <w:tcW w:w="1656" w:type="dxa"/>
            <w:gridSpan w:val="2"/>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场内道路路边</w:t>
            </w:r>
          </w:p>
        </w:tc>
      </w:tr>
      <w:tr w:rsidR="00481EDB" w:rsidRPr="00687B52" w:rsidTr="00BB2A37">
        <w:trPr>
          <w:trHeight w:val="293"/>
        </w:trPr>
        <w:tc>
          <w:tcPr>
            <w:tcW w:w="2188"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964"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933"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519"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828"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主要</w:t>
            </w:r>
          </w:p>
        </w:tc>
        <w:tc>
          <w:tcPr>
            <w:tcW w:w="828"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次要</w:t>
            </w:r>
          </w:p>
        </w:tc>
      </w:tr>
      <w:tr w:rsidR="00481EDB" w:rsidRPr="00687B52" w:rsidTr="00BB2A37">
        <w:trPr>
          <w:trHeight w:val="293"/>
        </w:trPr>
        <w:tc>
          <w:tcPr>
            <w:tcW w:w="2188" w:type="dxa"/>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甲、乙类液体储罐</w:t>
            </w:r>
          </w:p>
        </w:tc>
        <w:tc>
          <w:tcPr>
            <w:tcW w:w="196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35</w:t>
            </w:r>
          </w:p>
        </w:tc>
        <w:tc>
          <w:tcPr>
            <w:tcW w:w="193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25</w:t>
            </w:r>
          </w:p>
        </w:tc>
        <w:tc>
          <w:tcPr>
            <w:tcW w:w="151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20</w:t>
            </w:r>
          </w:p>
        </w:tc>
        <w:tc>
          <w:tcPr>
            <w:tcW w:w="828"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15</w:t>
            </w:r>
          </w:p>
        </w:tc>
        <w:tc>
          <w:tcPr>
            <w:tcW w:w="828"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10</w:t>
            </w:r>
          </w:p>
        </w:tc>
      </w:tr>
      <w:tr w:rsidR="00481EDB" w:rsidRPr="00687B52" w:rsidTr="00BB2A37">
        <w:trPr>
          <w:trHeight w:val="300"/>
        </w:trPr>
        <w:tc>
          <w:tcPr>
            <w:tcW w:w="2188" w:type="dxa"/>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丙类液体液体储罐</w:t>
            </w:r>
          </w:p>
        </w:tc>
        <w:tc>
          <w:tcPr>
            <w:tcW w:w="1964"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30</w:t>
            </w:r>
          </w:p>
        </w:tc>
        <w:tc>
          <w:tcPr>
            <w:tcW w:w="193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20</w:t>
            </w:r>
          </w:p>
        </w:tc>
        <w:tc>
          <w:tcPr>
            <w:tcW w:w="151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15</w:t>
            </w:r>
          </w:p>
        </w:tc>
        <w:tc>
          <w:tcPr>
            <w:tcW w:w="828"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10</w:t>
            </w:r>
          </w:p>
        </w:tc>
        <w:tc>
          <w:tcPr>
            <w:tcW w:w="828"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5</w:t>
            </w:r>
          </w:p>
        </w:tc>
      </w:tr>
    </w:tbl>
    <w:p w:rsidR="00481EDB" w:rsidRPr="00687B52" w:rsidRDefault="00481EDB" w:rsidP="00481EDB">
      <w:pPr>
        <w:rPr>
          <w:color w:val="000000" w:themeColor="text1"/>
        </w:rPr>
      </w:pPr>
    </w:p>
    <w:p w:rsidR="00481EDB" w:rsidRPr="00687B52" w:rsidRDefault="00481EDB" w:rsidP="00481EDB">
      <w:pPr>
        <w:rPr>
          <w:color w:val="000000" w:themeColor="text1"/>
        </w:rPr>
      </w:pPr>
    </w:p>
    <w:p w:rsidR="00481EDB" w:rsidRPr="00687B52" w:rsidRDefault="00481EDB" w:rsidP="00481EDB">
      <w:pPr>
        <w:rPr>
          <w:color w:val="000000" w:themeColor="text1"/>
        </w:rPr>
      </w:pPr>
    </w:p>
    <w:p w:rsidR="00481EDB" w:rsidRPr="00687B52" w:rsidRDefault="00481EDB" w:rsidP="00481EDB">
      <w:pPr>
        <w:rPr>
          <w:color w:val="000000" w:themeColor="text1"/>
        </w:rPr>
      </w:pPr>
    </w:p>
    <w:p w:rsidR="00481EDB" w:rsidRPr="00687B52" w:rsidRDefault="00481EDB" w:rsidP="00481EDB">
      <w:pPr>
        <w:rPr>
          <w:color w:val="000000" w:themeColor="text1"/>
        </w:rPr>
      </w:pPr>
    </w:p>
    <w:p w:rsidR="00481EDB" w:rsidRPr="00687B52" w:rsidRDefault="00481EDB" w:rsidP="00481EDB">
      <w:pPr>
        <w:rPr>
          <w:color w:val="000000" w:themeColor="text1"/>
        </w:rPr>
      </w:pPr>
    </w:p>
    <w:p w:rsidR="00481EDB" w:rsidRPr="00687B52" w:rsidRDefault="00481EDB" w:rsidP="00481EDB">
      <w:pPr>
        <w:rPr>
          <w:color w:val="000000" w:themeColor="text1"/>
        </w:rPr>
      </w:pPr>
    </w:p>
    <w:p w:rsidR="00481EDB" w:rsidRPr="00687B52" w:rsidRDefault="00481EDB" w:rsidP="00481EDB">
      <w:pPr>
        <w:rPr>
          <w:color w:val="000000" w:themeColor="text1"/>
        </w:rPr>
      </w:pPr>
    </w:p>
    <w:p w:rsidR="00481EDB" w:rsidRPr="00687B52" w:rsidRDefault="00481EDB" w:rsidP="00481EDB">
      <w:pPr>
        <w:rPr>
          <w:color w:val="000000" w:themeColor="text1"/>
        </w:rPr>
      </w:pPr>
    </w:p>
    <w:p w:rsidR="00481EDB" w:rsidRPr="00687B52" w:rsidRDefault="00481EDB" w:rsidP="00481EDB">
      <w:pPr>
        <w:rPr>
          <w:color w:val="000000" w:themeColor="text1"/>
        </w:rPr>
      </w:pPr>
    </w:p>
    <w:p w:rsidR="00481EDB" w:rsidRPr="00687B52" w:rsidRDefault="00481EDB" w:rsidP="00481EDB">
      <w:pPr>
        <w:rPr>
          <w:color w:val="000000" w:themeColor="text1"/>
        </w:rPr>
      </w:pPr>
    </w:p>
    <w:p w:rsidR="00481EDB" w:rsidRPr="00687B52" w:rsidRDefault="00481EDB" w:rsidP="00C506D9">
      <w:pPr>
        <w:pStyle w:val="afd"/>
        <w:rPr>
          <w:color w:val="000000" w:themeColor="text1"/>
          <w:szCs w:val="21"/>
        </w:rPr>
      </w:pPr>
      <w:bookmarkStart w:id="436" w:name="_Toc491870874"/>
      <w:bookmarkStart w:id="437" w:name="_Toc492563528"/>
      <w:bookmarkStart w:id="438" w:name="_Toc493857133"/>
      <w:r w:rsidRPr="00687B52">
        <w:rPr>
          <w:rFonts w:hint="eastAsia"/>
          <w:color w:val="000000" w:themeColor="text1"/>
        </w:rPr>
        <w:t>表</w:t>
      </w:r>
      <w:r w:rsidRPr="00687B52">
        <w:rPr>
          <w:rFonts w:hint="eastAsia"/>
          <w:color w:val="000000" w:themeColor="text1"/>
        </w:rPr>
        <w:t xml:space="preserve">4.3.1 </w:t>
      </w:r>
      <w:r w:rsidRPr="00687B52">
        <w:rPr>
          <w:rFonts w:hint="eastAsia"/>
          <w:color w:val="000000" w:themeColor="text1"/>
        </w:rPr>
        <w:t>湿式可燃气体储罐与建筑物、储罐、堆场等的防火间距（</w:t>
      </w:r>
      <w:r w:rsidRPr="00687B52">
        <w:rPr>
          <w:rFonts w:hint="eastAsia"/>
          <w:color w:val="000000" w:themeColor="text1"/>
        </w:rPr>
        <w:t>m</w:t>
      </w:r>
      <w:r w:rsidRPr="00687B52">
        <w:rPr>
          <w:rFonts w:hint="eastAsia"/>
          <w:color w:val="000000" w:themeColor="text1"/>
        </w:rPr>
        <w:t>）</w:t>
      </w:r>
      <w:bookmarkEnd w:id="436"/>
      <w:bookmarkEnd w:id="437"/>
      <w:bookmarkEnd w:id="438"/>
    </w:p>
    <w:tbl>
      <w:tblPr>
        <w:tblStyle w:val="a6"/>
        <w:tblW w:w="12120" w:type="dxa"/>
        <w:tblInd w:w="594" w:type="dxa"/>
        <w:tblLayout w:type="fixed"/>
        <w:tblLook w:val="04A0" w:firstRow="1" w:lastRow="0" w:firstColumn="1" w:lastColumn="0" w:noHBand="0" w:noVBand="1"/>
      </w:tblPr>
      <w:tblGrid>
        <w:gridCol w:w="1136"/>
        <w:gridCol w:w="1687"/>
        <w:gridCol w:w="1122"/>
        <w:gridCol w:w="1851"/>
        <w:gridCol w:w="1993"/>
        <w:gridCol w:w="2135"/>
        <w:gridCol w:w="2196"/>
      </w:tblGrid>
      <w:tr w:rsidR="00481EDB" w:rsidRPr="00687B52" w:rsidTr="00BB2A37">
        <w:trPr>
          <w:trHeight w:val="401"/>
          <w:tblHeader/>
        </w:trPr>
        <w:tc>
          <w:tcPr>
            <w:tcW w:w="2823" w:type="dxa"/>
            <w:gridSpan w:val="2"/>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名称</w:t>
            </w:r>
          </w:p>
        </w:tc>
        <w:tc>
          <w:tcPr>
            <w:tcW w:w="9297" w:type="dxa"/>
            <w:gridSpan w:val="5"/>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湿式可燃气体储罐（总容积</w:t>
            </w:r>
            <w:r w:rsidRPr="00687B52">
              <w:rPr>
                <w:rFonts w:ascii="Times New Roman" w:hAnsi="Times New Roman" w:hint="eastAsia"/>
                <w:color w:val="000000" w:themeColor="text1"/>
                <w:szCs w:val="21"/>
              </w:rPr>
              <w:t>V</w:t>
            </w:r>
            <w:r w:rsidRPr="00687B52">
              <w:rPr>
                <w:rFonts w:ascii="Times New Roman" w:hAnsi="Times New Roman" w:hint="eastAsia"/>
                <w:color w:val="000000" w:themeColor="text1"/>
                <w:szCs w:val="21"/>
              </w:rPr>
              <w:t>，</w:t>
            </w:r>
            <w:r w:rsidRPr="00687B52">
              <w:rPr>
                <w:rFonts w:ascii="Times New Roman" w:hAnsi="Times New Roman" w:hint="eastAsia"/>
                <w:color w:val="000000" w:themeColor="text1"/>
                <w:szCs w:val="21"/>
              </w:rPr>
              <w:t>m</w:t>
            </w:r>
            <w:r w:rsidRPr="00687B52">
              <w:rPr>
                <w:rFonts w:ascii="Times New Roman" w:hAnsi="Times New Roman" w:hint="eastAsia"/>
                <w:color w:val="000000" w:themeColor="text1"/>
                <w:szCs w:val="21"/>
              </w:rPr>
              <w:t>³）</w:t>
            </w:r>
          </w:p>
        </w:tc>
      </w:tr>
      <w:tr w:rsidR="00481EDB" w:rsidRPr="00687B52" w:rsidTr="00BB2A37">
        <w:trPr>
          <w:trHeight w:val="401"/>
          <w:tblHeader/>
        </w:trPr>
        <w:tc>
          <w:tcPr>
            <w:tcW w:w="2823" w:type="dxa"/>
            <w:gridSpan w:val="2"/>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122"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V</w:t>
            </w:r>
            <w:r w:rsidRPr="00687B52">
              <w:rPr>
                <w:rFonts w:ascii="Times New Roman" w:hAnsi="Times New Roman" w:hint="eastAsia"/>
                <w:color w:val="000000" w:themeColor="text1"/>
                <w:szCs w:val="21"/>
              </w:rPr>
              <w:t>＜</w:t>
            </w:r>
            <w:r w:rsidRPr="00687B52">
              <w:rPr>
                <w:rFonts w:ascii="Times New Roman" w:hAnsi="Times New Roman" w:hint="eastAsia"/>
                <w:color w:val="000000" w:themeColor="text1"/>
                <w:szCs w:val="21"/>
              </w:rPr>
              <w:t>1000</w:t>
            </w:r>
          </w:p>
        </w:tc>
        <w:tc>
          <w:tcPr>
            <w:tcW w:w="1851"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1000</w:t>
            </w:r>
            <w:r w:rsidRPr="00687B52">
              <w:rPr>
                <w:rFonts w:ascii="Times New Roman" w:hAnsi="Times New Roman" w:hint="eastAsia"/>
                <w:color w:val="000000" w:themeColor="text1"/>
                <w:szCs w:val="21"/>
              </w:rPr>
              <w:t>≤</w:t>
            </w:r>
            <w:r w:rsidRPr="00687B52">
              <w:rPr>
                <w:rFonts w:ascii="Times New Roman" w:hAnsi="Times New Roman" w:hint="eastAsia"/>
                <w:color w:val="000000" w:themeColor="text1"/>
                <w:szCs w:val="21"/>
              </w:rPr>
              <w:t>V</w:t>
            </w:r>
            <w:r w:rsidRPr="00687B52">
              <w:rPr>
                <w:rFonts w:ascii="Times New Roman" w:hAnsi="Times New Roman" w:hint="eastAsia"/>
                <w:color w:val="000000" w:themeColor="text1"/>
                <w:szCs w:val="21"/>
              </w:rPr>
              <w:t>＜</w:t>
            </w:r>
            <w:r w:rsidRPr="00687B52">
              <w:rPr>
                <w:rFonts w:ascii="Times New Roman" w:hAnsi="Times New Roman" w:hint="eastAsia"/>
                <w:color w:val="000000" w:themeColor="text1"/>
                <w:szCs w:val="21"/>
              </w:rPr>
              <w:t>10000</w:t>
            </w:r>
          </w:p>
        </w:tc>
        <w:tc>
          <w:tcPr>
            <w:tcW w:w="1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10000</w:t>
            </w:r>
            <w:r w:rsidRPr="00687B52">
              <w:rPr>
                <w:rFonts w:ascii="Times New Roman" w:hAnsi="Times New Roman" w:hint="eastAsia"/>
                <w:color w:val="000000" w:themeColor="text1"/>
                <w:szCs w:val="21"/>
              </w:rPr>
              <w:t>≤</w:t>
            </w:r>
            <w:r w:rsidRPr="00687B52">
              <w:rPr>
                <w:rFonts w:ascii="Times New Roman" w:hAnsi="Times New Roman" w:hint="eastAsia"/>
                <w:color w:val="000000" w:themeColor="text1"/>
                <w:szCs w:val="21"/>
              </w:rPr>
              <w:t>V</w:t>
            </w:r>
            <w:r w:rsidRPr="00687B52">
              <w:rPr>
                <w:rFonts w:ascii="Times New Roman" w:hAnsi="Times New Roman" w:hint="eastAsia"/>
                <w:color w:val="000000" w:themeColor="text1"/>
                <w:szCs w:val="21"/>
              </w:rPr>
              <w:t>＜</w:t>
            </w:r>
            <w:r w:rsidRPr="00687B52">
              <w:rPr>
                <w:rFonts w:ascii="Times New Roman" w:hAnsi="Times New Roman" w:hint="eastAsia"/>
                <w:color w:val="000000" w:themeColor="text1"/>
                <w:szCs w:val="21"/>
              </w:rPr>
              <w:t>50000</w:t>
            </w:r>
          </w:p>
        </w:tc>
        <w:tc>
          <w:tcPr>
            <w:tcW w:w="213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50000</w:t>
            </w:r>
            <w:r w:rsidRPr="00687B52">
              <w:rPr>
                <w:rFonts w:ascii="Times New Roman" w:hAnsi="Times New Roman" w:hint="eastAsia"/>
                <w:color w:val="000000" w:themeColor="text1"/>
                <w:szCs w:val="21"/>
              </w:rPr>
              <w:t>≤</w:t>
            </w:r>
            <w:r w:rsidRPr="00687B52">
              <w:rPr>
                <w:rFonts w:ascii="Times New Roman" w:hAnsi="Times New Roman" w:hint="eastAsia"/>
                <w:color w:val="000000" w:themeColor="text1"/>
                <w:szCs w:val="21"/>
              </w:rPr>
              <w:t>V</w:t>
            </w:r>
            <w:r w:rsidRPr="00687B52">
              <w:rPr>
                <w:rFonts w:ascii="Times New Roman" w:hAnsi="Times New Roman" w:hint="eastAsia"/>
                <w:color w:val="000000" w:themeColor="text1"/>
                <w:szCs w:val="21"/>
              </w:rPr>
              <w:t>＜</w:t>
            </w:r>
            <w:r w:rsidRPr="00687B52">
              <w:rPr>
                <w:rFonts w:ascii="Times New Roman" w:hAnsi="Times New Roman" w:hint="eastAsia"/>
                <w:color w:val="000000" w:themeColor="text1"/>
                <w:szCs w:val="21"/>
              </w:rPr>
              <w:t>100000</w:t>
            </w:r>
          </w:p>
        </w:tc>
        <w:tc>
          <w:tcPr>
            <w:tcW w:w="219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100000</w:t>
            </w:r>
            <w:r w:rsidRPr="00687B52">
              <w:rPr>
                <w:rFonts w:ascii="Times New Roman" w:hAnsi="Times New Roman" w:hint="eastAsia"/>
                <w:color w:val="000000" w:themeColor="text1"/>
                <w:szCs w:val="21"/>
              </w:rPr>
              <w:t>≤</w:t>
            </w:r>
            <w:r w:rsidRPr="00687B52">
              <w:rPr>
                <w:rFonts w:ascii="Times New Roman" w:hAnsi="Times New Roman" w:hint="eastAsia"/>
                <w:color w:val="000000" w:themeColor="text1"/>
                <w:szCs w:val="21"/>
              </w:rPr>
              <w:t>V</w:t>
            </w:r>
            <w:r w:rsidRPr="00687B52">
              <w:rPr>
                <w:rFonts w:ascii="Times New Roman" w:hAnsi="Times New Roman" w:hint="eastAsia"/>
                <w:color w:val="000000" w:themeColor="text1"/>
                <w:szCs w:val="21"/>
              </w:rPr>
              <w:t>＜</w:t>
            </w:r>
            <w:r w:rsidRPr="00687B52">
              <w:rPr>
                <w:rFonts w:ascii="Times New Roman" w:hAnsi="Times New Roman" w:hint="eastAsia"/>
                <w:color w:val="000000" w:themeColor="text1"/>
                <w:szCs w:val="21"/>
              </w:rPr>
              <w:t>300000</w:t>
            </w:r>
          </w:p>
        </w:tc>
      </w:tr>
      <w:tr w:rsidR="00481EDB" w:rsidRPr="00687B52" w:rsidTr="00BB2A37">
        <w:trPr>
          <w:trHeight w:val="1970"/>
        </w:trPr>
        <w:tc>
          <w:tcPr>
            <w:tcW w:w="2823" w:type="dxa"/>
            <w:gridSpan w:val="2"/>
            <w:vAlign w:val="center"/>
          </w:tcPr>
          <w:p w:rsidR="00481EDB" w:rsidRPr="00687B52" w:rsidRDefault="00481EDB" w:rsidP="00F25ED0">
            <w:pPr>
              <w:adjustRightInd w:val="0"/>
              <w:snapToGrid w:val="0"/>
              <w:spacing w:afterLines="50" w:after="156" w:line="240" w:lineRule="atLeast"/>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甲类仓库</w:t>
            </w:r>
          </w:p>
          <w:p w:rsidR="00481EDB" w:rsidRPr="00687B52" w:rsidRDefault="00481EDB" w:rsidP="00F25ED0">
            <w:pPr>
              <w:adjustRightInd w:val="0"/>
              <w:snapToGrid w:val="0"/>
              <w:spacing w:afterLines="50" w:after="156" w:line="240" w:lineRule="atLeast"/>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甲、乙、丙类液体储罐</w:t>
            </w:r>
          </w:p>
          <w:p w:rsidR="00481EDB" w:rsidRPr="00687B52" w:rsidRDefault="00481EDB" w:rsidP="00F25ED0">
            <w:pPr>
              <w:adjustRightInd w:val="0"/>
              <w:snapToGrid w:val="0"/>
              <w:spacing w:afterLines="50" w:after="156" w:line="240" w:lineRule="atLeast"/>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可燃材料堆场</w:t>
            </w:r>
          </w:p>
          <w:p w:rsidR="00481EDB" w:rsidRPr="00687B52" w:rsidRDefault="00481EDB" w:rsidP="00F25ED0">
            <w:pPr>
              <w:adjustRightInd w:val="0"/>
              <w:snapToGrid w:val="0"/>
              <w:spacing w:afterLines="50" w:after="156" w:line="240" w:lineRule="atLeast"/>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室外变、配电站</w:t>
            </w:r>
          </w:p>
          <w:p w:rsidR="00481EDB" w:rsidRPr="00687B52" w:rsidRDefault="00481EDB" w:rsidP="00F25ED0">
            <w:pPr>
              <w:adjustRightInd w:val="0"/>
              <w:snapToGrid w:val="0"/>
              <w:spacing w:afterLines="50" w:after="156" w:line="240" w:lineRule="atLeast"/>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明火或散发火花地点</w:t>
            </w:r>
          </w:p>
        </w:tc>
        <w:tc>
          <w:tcPr>
            <w:tcW w:w="1122"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20</w:t>
            </w:r>
          </w:p>
        </w:tc>
        <w:tc>
          <w:tcPr>
            <w:tcW w:w="1851"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25</w:t>
            </w:r>
          </w:p>
        </w:tc>
        <w:tc>
          <w:tcPr>
            <w:tcW w:w="1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30</w:t>
            </w:r>
          </w:p>
        </w:tc>
        <w:tc>
          <w:tcPr>
            <w:tcW w:w="213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35</w:t>
            </w:r>
          </w:p>
        </w:tc>
        <w:tc>
          <w:tcPr>
            <w:tcW w:w="219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40</w:t>
            </w:r>
          </w:p>
        </w:tc>
      </w:tr>
      <w:tr w:rsidR="00481EDB" w:rsidRPr="00687B52" w:rsidTr="00BB2A37">
        <w:trPr>
          <w:trHeight w:val="401"/>
        </w:trPr>
        <w:tc>
          <w:tcPr>
            <w:tcW w:w="2823" w:type="dxa"/>
            <w:gridSpan w:val="2"/>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高层民用建筑</w:t>
            </w:r>
          </w:p>
        </w:tc>
        <w:tc>
          <w:tcPr>
            <w:tcW w:w="1122"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25</w:t>
            </w:r>
          </w:p>
        </w:tc>
        <w:tc>
          <w:tcPr>
            <w:tcW w:w="1851"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30</w:t>
            </w:r>
          </w:p>
        </w:tc>
        <w:tc>
          <w:tcPr>
            <w:tcW w:w="1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35</w:t>
            </w:r>
          </w:p>
        </w:tc>
        <w:tc>
          <w:tcPr>
            <w:tcW w:w="213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4</w:t>
            </w:r>
            <w:r w:rsidRPr="00687B52">
              <w:rPr>
                <w:rFonts w:ascii="Times New Roman" w:hAnsi="Times New Roman"/>
                <w:color w:val="000000" w:themeColor="text1"/>
                <w:szCs w:val="21"/>
              </w:rPr>
              <w:t>0</w:t>
            </w:r>
          </w:p>
        </w:tc>
        <w:tc>
          <w:tcPr>
            <w:tcW w:w="219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4</w:t>
            </w:r>
            <w:r w:rsidRPr="00687B52">
              <w:rPr>
                <w:rFonts w:ascii="Times New Roman" w:hAnsi="Times New Roman"/>
                <w:color w:val="000000" w:themeColor="text1"/>
                <w:szCs w:val="21"/>
              </w:rPr>
              <w:t>5</w:t>
            </w:r>
          </w:p>
        </w:tc>
      </w:tr>
      <w:tr w:rsidR="00481EDB" w:rsidRPr="00687B52" w:rsidTr="00BB2A37">
        <w:trPr>
          <w:trHeight w:val="401"/>
        </w:trPr>
        <w:tc>
          <w:tcPr>
            <w:tcW w:w="2823" w:type="dxa"/>
            <w:gridSpan w:val="2"/>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裙房，单、多层民用建筑</w:t>
            </w:r>
          </w:p>
        </w:tc>
        <w:tc>
          <w:tcPr>
            <w:tcW w:w="1122"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18</w:t>
            </w:r>
          </w:p>
        </w:tc>
        <w:tc>
          <w:tcPr>
            <w:tcW w:w="1851"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20</w:t>
            </w:r>
          </w:p>
        </w:tc>
        <w:tc>
          <w:tcPr>
            <w:tcW w:w="1993"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25</w:t>
            </w:r>
          </w:p>
        </w:tc>
        <w:tc>
          <w:tcPr>
            <w:tcW w:w="213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30</w:t>
            </w:r>
          </w:p>
        </w:tc>
        <w:tc>
          <w:tcPr>
            <w:tcW w:w="2196"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35</w:t>
            </w:r>
          </w:p>
        </w:tc>
      </w:tr>
      <w:tr w:rsidR="00481EDB" w:rsidRPr="00687B52" w:rsidTr="00BB2A37">
        <w:trPr>
          <w:trHeight w:val="372"/>
        </w:trPr>
        <w:tc>
          <w:tcPr>
            <w:tcW w:w="1136" w:type="dxa"/>
            <w:vMerge w:val="restart"/>
            <w:vAlign w:val="center"/>
          </w:tcPr>
          <w:p w:rsidR="00481EDB" w:rsidRPr="00687B52" w:rsidRDefault="00481EDB" w:rsidP="00F25ED0">
            <w:pPr>
              <w:adjustRightInd w:val="0"/>
              <w:snapToGrid w:val="0"/>
              <w:spacing w:afterLines="50" w:after="156" w:line="240" w:lineRule="exact"/>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其他建筑</w:t>
            </w:r>
          </w:p>
        </w:tc>
        <w:tc>
          <w:tcPr>
            <w:tcW w:w="1687" w:type="dxa"/>
            <w:vAlign w:val="center"/>
          </w:tcPr>
          <w:p w:rsidR="00481EDB" w:rsidRPr="00687B52" w:rsidRDefault="00481EDB" w:rsidP="00F25ED0">
            <w:pPr>
              <w:adjustRightInd w:val="0"/>
              <w:snapToGrid w:val="0"/>
              <w:spacing w:afterLines="50" w:after="156" w:line="240" w:lineRule="exact"/>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一、二级</w:t>
            </w:r>
          </w:p>
        </w:tc>
        <w:tc>
          <w:tcPr>
            <w:tcW w:w="1122" w:type="dxa"/>
            <w:vAlign w:val="center"/>
          </w:tcPr>
          <w:p w:rsidR="00481EDB" w:rsidRPr="00687B52" w:rsidRDefault="00481EDB" w:rsidP="00B527D4">
            <w:pPr>
              <w:spacing w:line="240" w:lineRule="exact"/>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12</w:t>
            </w:r>
          </w:p>
        </w:tc>
        <w:tc>
          <w:tcPr>
            <w:tcW w:w="1851" w:type="dxa"/>
            <w:vAlign w:val="center"/>
          </w:tcPr>
          <w:p w:rsidR="00481EDB" w:rsidRPr="00687B52" w:rsidRDefault="00481EDB" w:rsidP="00F25ED0">
            <w:pPr>
              <w:pStyle w:val="11"/>
              <w:adjustRightInd w:val="0"/>
              <w:snapToGrid w:val="0"/>
              <w:spacing w:afterLines="50" w:after="156" w:line="240" w:lineRule="exact"/>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15</w:t>
            </w:r>
          </w:p>
        </w:tc>
        <w:tc>
          <w:tcPr>
            <w:tcW w:w="1993" w:type="dxa"/>
            <w:vAlign w:val="center"/>
          </w:tcPr>
          <w:p w:rsidR="00481EDB" w:rsidRPr="00687B52" w:rsidRDefault="00481EDB" w:rsidP="00F25ED0">
            <w:pPr>
              <w:pStyle w:val="11"/>
              <w:adjustRightInd w:val="0"/>
              <w:snapToGrid w:val="0"/>
              <w:spacing w:afterLines="50" w:after="156" w:line="240" w:lineRule="exact"/>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20</w:t>
            </w:r>
          </w:p>
        </w:tc>
        <w:tc>
          <w:tcPr>
            <w:tcW w:w="2135" w:type="dxa"/>
            <w:vAlign w:val="center"/>
          </w:tcPr>
          <w:p w:rsidR="00481EDB" w:rsidRPr="00687B52" w:rsidRDefault="00481EDB" w:rsidP="00F25ED0">
            <w:pPr>
              <w:pStyle w:val="11"/>
              <w:adjustRightInd w:val="0"/>
              <w:snapToGrid w:val="0"/>
              <w:spacing w:afterLines="50" w:after="156" w:line="240" w:lineRule="exact"/>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25</w:t>
            </w:r>
          </w:p>
        </w:tc>
        <w:tc>
          <w:tcPr>
            <w:tcW w:w="2196" w:type="dxa"/>
            <w:vAlign w:val="center"/>
          </w:tcPr>
          <w:p w:rsidR="00481EDB" w:rsidRPr="00687B52" w:rsidRDefault="00481EDB" w:rsidP="00F25ED0">
            <w:pPr>
              <w:pStyle w:val="11"/>
              <w:adjustRightInd w:val="0"/>
              <w:snapToGrid w:val="0"/>
              <w:spacing w:afterLines="50" w:after="156" w:line="240" w:lineRule="exact"/>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30</w:t>
            </w:r>
          </w:p>
        </w:tc>
      </w:tr>
      <w:tr w:rsidR="00481EDB" w:rsidRPr="00687B52" w:rsidTr="00BB2A37">
        <w:trPr>
          <w:trHeight w:val="372"/>
        </w:trPr>
        <w:tc>
          <w:tcPr>
            <w:tcW w:w="1136" w:type="dxa"/>
            <w:vMerge/>
            <w:vAlign w:val="center"/>
          </w:tcPr>
          <w:p w:rsidR="00481EDB" w:rsidRPr="00687B52" w:rsidRDefault="00481EDB" w:rsidP="00F25ED0">
            <w:pPr>
              <w:adjustRightInd w:val="0"/>
              <w:snapToGrid w:val="0"/>
              <w:spacing w:afterLines="50" w:after="156" w:line="240" w:lineRule="exact"/>
              <w:jc w:val="center"/>
              <w:rPr>
                <w:rFonts w:ascii="Times New Roman" w:hAnsi="Times New Roman" w:cs="Times New Roman"/>
                <w:color w:val="000000" w:themeColor="text1"/>
                <w:szCs w:val="21"/>
              </w:rPr>
            </w:pPr>
          </w:p>
        </w:tc>
        <w:tc>
          <w:tcPr>
            <w:tcW w:w="1687" w:type="dxa"/>
            <w:vAlign w:val="center"/>
          </w:tcPr>
          <w:p w:rsidR="00481EDB" w:rsidRPr="00687B52" w:rsidRDefault="00481EDB" w:rsidP="00F25ED0">
            <w:pPr>
              <w:adjustRightInd w:val="0"/>
              <w:snapToGrid w:val="0"/>
              <w:spacing w:afterLines="50" w:after="156" w:line="240" w:lineRule="exact"/>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三级</w:t>
            </w:r>
          </w:p>
        </w:tc>
        <w:tc>
          <w:tcPr>
            <w:tcW w:w="1122" w:type="dxa"/>
            <w:vAlign w:val="center"/>
          </w:tcPr>
          <w:p w:rsidR="00481EDB" w:rsidRPr="00687B52" w:rsidRDefault="00481EDB" w:rsidP="00B527D4">
            <w:pPr>
              <w:spacing w:line="240" w:lineRule="exact"/>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15</w:t>
            </w:r>
          </w:p>
        </w:tc>
        <w:tc>
          <w:tcPr>
            <w:tcW w:w="1851" w:type="dxa"/>
            <w:vAlign w:val="center"/>
          </w:tcPr>
          <w:p w:rsidR="00481EDB" w:rsidRPr="00687B52" w:rsidRDefault="00481EDB" w:rsidP="00F25ED0">
            <w:pPr>
              <w:pStyle w:val="11"/>
              <w:adjustRightInd w:val="0"/>
              <w:snapToGrid w:val="0"/>
              <w:spacing w:afterLines="50" w:after="156" w:line="240" w:lineRule="exact"/>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20</w:t>
            </w:r>
          </w:p>
        </w:tc>
        <w:tc>
          <w:tcPr>
            <w:tcW w:w="1993" w:type="dxa"/>
            <w:vAlign w:val="center"/>
          </w:tcPr>
          <w:p w:rsidR="00481EDB" w:rsidRPr="00687B52" w:rsidRDefault="00481EDB" w:rsidP="00F25ED0">
            <w:pPr>
              <w:pStyle w:val="11"/>
              <w:adjustRightInd w:val="0"/>
              <w:snapToGrid w:val="0"/>
              <w:spacing w:afterLines="50" w:after="156" w:line="240" w:lineRule="exact"/>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25</w:t>
            </w:r>
          </w:p>
        </w:tc>
        <w:tc>
          <w:tcPr>
            <w:tcW w:w="2135" w:type="dxa"/>
            <w:vAlign w:val="center"/>
          </w:tcPr>
          <w:p w:rsidR="00481EDB" w:rsidRPr="00687B52" w:rsidRDefault="00481EDB" w:rsidP="00F25ED0">
            <w:pPr>
              <w:pStyle w:val="11"/>
              <w:adjustRightInd w:val="0"/>
              <w:snapToGrid w:val="0"/>
              <w:spacing w:afterLines="50" w:after="156" w:line="240" w:lineRule="exact"/>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30</w:t>
            </w:r>
          </w:p>
        </w:tc>
        <w:tc>
          <w:tcPr>
            <w:tcW w:w="2196" w:type="dxa"/>
            <w:vAlign w:val="center"/>
          </w:tcPr>
          <w:p w:rsidR="00481EDB" w:rsidRPr="00687B52" w:rsidRDefault="00481EDB" w:rsidP="00F25ED0">
            <w:pPr>
              <w:pStyle w:val="11"/>
              <w:adjustRightInd w:val="0"/>
              <w:snapToGrid w:val="0"/>
              <w:spacing w:afterLines="50" w:after="156" w:line="240" w:lineRule="exact"/>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35</w:t>
            </w:r>
          </w:p>
        </w:tc>
      </w:tr>
      <w:tr w:rsidR="00481EDB" w:rsidRPr="00687B52" w:rsidTr="00BB2A37">
        <w:trPr>
          <w:trHeight w:val="381"/>
        </w:trPr>
        <w:tc>
          <w:tcPr>
            <w:tcW w:w="1136" w:type="dxa"/>
            <w:vMerge/>
            <w:vAlign w:val="center"/>
          </w:tcPr>
          <w:p w:rsidR="00481EDB" w:rsidRPr="00687B52" w:rsidRDefault="00481EDB" w:rsidP="00F25ED0">
            <w:pPr>
              <w:adjustRightInd w:val="0"/>
              <w:snapToGrid w:val="0"/>
              <w:spacing w:afterLines="50" w:after="156" w:line="240" w:lineRule="exact"/>
              <w:jc w:val="center"/>
              <w:rPr>
                <w:rFonts w:ascii="Times New Roman" w:hAnsi="Times New Roman" w:cs="Times New Roman"/>
                <w:color w:val="000000" w:themeColor="text1"/>
                <w:szCs w:val="21"/>
              </w:rPr>
            </w:pPr>
          </w:p>
        </w:tc>
        <w:tc>
          <w:tcPr>
            <w:tcW w:w="1687" w:type="dxa"/>
            <w:vAlign w:val="center"/>
          </w:tcPr>
          <w:p w:rsidR="00481EDB" w:rsidRPr="00687B52" w:rsidRDefault="00481EDB" w:rsidP="00F25ED0">
            <w:pPr>
              <w:adjustRightInd w:val="0"/>
              <w:snapToGrid w:val="0"/>
              <w:spacing w:afterLines="50" w:after="156" w:line="240" w:lineRule="exact"/>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四级</w:t>
            </w:r>
          </w:p>
        </w:tc>
        <w:tc>
          <w:tcPr>
            <w:tcW w:w="1122" w:type="dxa"/>
            <w:vAlign w:val="center"/>
          </w:tcPr>
          <w:p w:rsidR="00481EDB" w:rsidRPr="00687B52" w:rsidRDefault="00481EDB" w:rsidP="00B527D4">
            <w:pPr>
              <w:spacing w:line="240" w:lineRule="exact"/>
              <w:jc w:val="center"/>
              <w:rPr>
                <w:rFonts w:ascii="Times New Roman" w:hAnsi="Times New Roman" w:cs="Times New Roman"/>
                <w:color w:val="000000" w:themeColor="text1"/>
                <w:szCs w:val="21"/>
              </w:rPr>
            </w:pPr>
            <w:r w:rsidRPr="00687B52">
              <w:rPr>
                <w:rFonts w:ascii="Times New Roman" w:hAnsi="Times New Roman" w:cs="Times New Roman" w:hint="eastAsia"/>
                <w:color w:val="000000" w:themeColor="text1"/>
                <w:szCs w:val="21"/>
              </w:rPr>
              <w:t>20</w:t>
            </w:r>
          </w:p>
        </w:tc>
        <w:tc>
          <w:tcPr>
            <w:tcW w:w="1851" w:type="dxa"/>
            <w:vAlign w:val="center"/>
          </w:tcPr>
          <w:p w:rsidR="00481EDB" w:rsidRPr="00687B52" w:rsidRDefault="00481EDB" w:rsidP="00F25ED0">
            <w:pPr>
              <w:pStyle w:val="11"/>
              <w:adjustRightInd w:val="0"/>
              <w:snapToGrid w:val="0"/>
              <w:spacing w:afterLines="50" w:after="156" w:line="240" w:lineRule="exact"/>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25</w:t>
            </w:r>
          </w:p>
        </w:tc>
        <w:tc>
          <w:tcPr>
            <w:tcW w:w="1993" w:type="dxa"/>
            <w:vAlign w:val="center"/>
          </w:tcPr>
          <w:p w:rsidR="00481EDB" w:rsidRPr="00687B52" w:rsidRDefault="00481EDB" w:rsidP="00F25ED0">
            <w:pPr>
              <w:pStyle w:val="11"/>
              <w:adjustRightInd w:val="0"/>
              <w:snapToGrid w:val="0"/>
              <w:spacing w:afterLines="50" w:after="156" w:line="240" w:lineRule="exact"/>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30</w:t>
            </w:r>
          </w:p>
        </w:tc>
        <w:tc>
          <w:tcPr>
            <w:tcW w:w="2135" w:type="dxa"/>
            <w:vAlign w:val="center"/>
          </w:tcPr>
          <w:p w:rsidR="00481EDB" w:rsidRPr="00687B52" w:rsidRDefault="00481EDB" w:rsidP="00F25ED0">
            <w:pPr>
              <w:pStyle w:val="11"/>
              <w:adjustRightInd w:val="0"/>
              <w:snapToGrid w:val="0"/>
              <w:spacing w:afterLines="50" w:after="156" w:line="240" w:lineRule="exact"/>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35</w:t>
            </w:r>
          </w:p>
        </w:tc>
        <w:tc>
          <w:tcPr>
            <w:tcW w:w="2196" w:type="dxa"/>
            <w:vAlign w:val="center"/>
          </w:tcPr>
          <w:p w:rsidR="00481EDB" w:rsidRPr="00687B52" w:rsidRDefault="00481EDB" w:rsidP="00F25ED0">
            <w:pPr>
              <w:pStyle w:val="11"/>
              <w:adjustRightInd w:val="0"/>
              <w:snapToGrid w:val="0"/>
              <w:spacing w:afterLines="50" w:after="156" w:line="240" w:lineRule="exact"/>
              <w:ind w:left="360"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40</w:t>
            </w:r>
          </w:p>
        </w:tc>
      </w:tr>
    </w:tbl>
    <w:p w:rsidR="00481EDB" w:rsidRPr="00687B52" w:rsidRDefault="00481EDB" w:rsidP="00F25ED0">
      <w:pPr>
        <w:pStyle w:val="11"/>
        <w:adjustRightInd w:val="0"/>
        <w:snapToGrid w:val="0"/>
        <w:spacing w:afterLines="50" w:after="156"/>
        <w:ind w:left="360" w:firstLineChars="0" w:firstLine="0"/>
        <w:jc w:val="left"/>
        <w:rPr>
          <w:rFonts w:ascii="Times New Roman" w:hAnsi="Times New Roman"/>
          <w:color w:val="000000" w:themeColor="text1"/>
          <w:szCs w:val="21"/>
        </w:rPr>
      </w:pPr>
      <w:r w:rsidRPr="00687B52">
        <w:rPr>
          <w:rFonts w:ascii="Times New Roman" w:hAnsi="Times New Roman" w:hint="eastAsia"/>
          <w:color w:val="000000" w:themeColor="text1"/>
          <w:szCs w:val="21"/>
        </w:rPr>
        <w:t xml:space="preserve">2 </w:t>
      </w:r>
      <w:r w:rsidRPr="00687B52">
        <w:rPr>
          <w:rFonts w:ascii="Times New Roman" w:hAnsi="Times New Roman" w:hint="eastAsia"/>
          <w:color w:val="000000" w:themeColor="text1"/>
          <w:szCs w:val="21"/>
        </w:rPr>
        <w:t>固定容积的可燃气体储罐与建筑物、储罐、堆场等的防火间距不应小于表</w:t>
      </w:r>
      <w:r w:rsidRPr="00687B52">
        <w:rPr>
          <w:rFonts w:ascii="Times New Roman" w:hAnsi="Times New Roman" w:hint="eastAsia"/>
          <w:color w:val="000000" w:themeColor="text1"/>
          <w:szCs w:val="21"/>
        </w:rPr>
        <w:t>4.3.1</w:t>
      </w:r>
      <w:r w:rsidRPr="00687B52">
        <w:rPr>
          <w:rFonts w:ascii="Times New Roman" w:hAnsi="Times New Roman" w:hint="eastAsia"/>
          <w:color w:val="000000" w:themeColor="text1"/>
          <w:szCs w:val="21"/>
        </w:rPr>
        <w:t>的规定。</w:t>
      </w:r>
    </w:p>
    <w:p w:rsidR="00481EDB" w:rsidRPr="00687B52" w:rsidRDefault="00481EDB" w:rsidP="00F25ED0">
      <w:pPr>
        <w:pStyle w:val="11"/>
        <w:adjustRightInd w:val="0"/>
        <w:snapToGrid w:val="0"/>
        <w:spacing w:afterLines="50" w:after="156"/>
        <w:ind w:left="360" w:firstLineChars="0" w:firstLine="0"/>
        <w:jc w:val="left"/>
        <w:rPr>
          <w:rFonts w:ascii="Times New Roman" w:hAnsi="Times New Roman"/>
          <w:color w:val="000000" w:themeColor="text1"/>
          <w:szCs w:val="21"/>
        </w:rPr>
      </w:pPr>
      <w:r w:rsidRPr="00687B52">
        <w:rPr>
          <w:rFonts w:ascii="Times New Roman" w:hAnsi="Times New Roman" w:hint="eastAsia"/>
          <w:color w:val="000000" w:themeColor="text1"/>
          <w:szCs w:val="21"/>
        </w:rPr>
        <w:t>3</w:t>
      </w:r>
      <w:r w:rsidRPr="00687B52">
        <w:rPr>
          <w:rFonts w:ascii="Times New Roman" w:hAnsi="Times New Roman" w:hint="eastAsia"/>
          <w:color w:val="000000" w:themeColor="text1"/>
          <w:szCs w:val="21"/>
        </w:rPr>
        <w:t>可燃气体储罐与建筑物、储罐、堆场等的防火间距：当可燃气体的密度比空气大时，应按表</w:t>
      </w:r>
      <w:r w:rsidRPr="00687B52">
        <w:rPr>
          <w:rFonts w:ascii="Times New Roman" w:hAnsi="Times New Roman" w:hint="eastAsia"/>
          <w:color w:val="000000" w:themeColor="text1"/>
          <w:szCs w:val="21"/>
        </w:rPr>
        <w:t>4.3.1</w:t>
      </w:r>
      <w:r w:rsidRPr="00687B52">
        <w:rPr>
          <w:rFonts w:ascii="Times New Roman" w:hAnsi="Times New Roman" w:hint="eastAsia"/>
          <w:color w:val="000000" w:themeColor="text1"/>
          <w:szCs w:val="21"/>
        </w:rPr>
        <w:t>的规定增加</w:t>
      </w:r>
      <w:r w:rsidRPr="00687B52">
        <w:rPr>
          <w:rFonts w:ascii="Times New Roman" w:hAnsi="Times New Roman" w:hint="eastAsia"/>
          <w:color w:val="000000" w:themeColor="text1"/>
          <w:szCs w:val="21"/>
        </w:rPr>
        <w:t>25%</w:t>
      </w:r>
      <w:r w:rsidRPr="00687B52">
        <w:rPr>
          <w:rFonts w:ascii="Times New Roman" w:hAnsi="Times New Roman" w:hint="eastAsia"/>
          <w:color w:val="000000" w:themeColor="text1"/>
          <w:szCs w:val="21"/>
        </w:rPr>
        <w:t>；当可燃气体密度比空气小时，可按表</w:t>
      </w:r>
      <w:r w:rsidRPr="00687B52">
        <w:rPr>
          <w:rFonts w:ascii="Times New Roman" w:hAnsi="Times New Roman" w:hint="eastAsia"/>
          <w:color w:val="000000" w:themeColor="text1"/>
          <w:szCs w:val="21"/>
        </w:rPr>
        <w:t>4.3.1</w:t>
      </w:r>
      <w:r w:rsidRPr="00687B52">
        <w:rPr>
          <w:rFonts w:ascii="Times New Roman" w:hAnsi="Times New Roman" w:hint="eastAsia"/>
          <w:color w:val="000000" w:themeColor="text1"/>
          <w:szCs w:val="21"/>
        </w:rPr>
        <w:t>的规定确定。</w:t>
      </w:r>
    </w:p>
    <w:p w:rsidR="00481EDB" w:rsidRPr="00687B52" w:rsidRDefault="00481EDB" w:rsidP="00F25ED0">
      <w:pPr>
        <w:pStyle w:val="11"/>
        <w:adjustRightInd w:val="0"/>
        <w:snapToGrid w:val="0"/>
        <w:spacing w:afterLines="50" w:after="156"/>
        <w:ind w:left="360" w:firstLineChars="0" w:firstLine="0"/>
        <w:jc w:val="left"/>
        <w:rPr>
          <w:rFonts w:ascii="Times New Roman" w:hAnsi="Times New Roman"/>
          <w:color w:val="000000" w:themeColor="text1"/>
          <w:szCs w:val="21"/>
        </w:rPr>
      </w:pPr>
      <w:r w:rsidRPr="00687B52">
        <w:rPr>
          <w:rFonts w:ascii="Times New Roman" w:hAnsi="Times New Roman" w:hint="eastAsia"/>
          <w:color w:val="000000" w:themeColor="text1"/>
          <w:szCs w:val="21"/>
        </w:rPr>
        <w:t xml:space="preserve">4 </w:t>
      </w:r>
      <w:r w:rsidRPr="00687B52">
        <w:rPr>
          <w:rFonts w:ascii="Times New Roman" w:hAnsi="Times New Roman" w:hint="eastAsia"/>
          <w:color w:val="000000" w:themeColor="text1"/>
          <w:szCs w:val="21"/>
        </w:rPr>
        <w:t>湿式或干式可燃气体储罐的水封井、油泵房和电梯间等附属设施与该储罐的防火间距，可按工业要求布置。</w:t>
      </w:r>
    </w:p>
    <w:p w:rsidR="00481EDB" w:rsidRPr="00687B52" w:rsidRDefault="00481EDB" w:rsidP="00F25ED0">
      <w:pPr>
        <w:pStyle w:val="11"/>
        <w:adjustRightInd w:val="0"/>
        <w:snapToGrid w:val="0"/>
        <w:spacing w:afterLines="50" w:after="156"/>
        <w:ind w:left="360" w:firstLineChars="0" w:firstLine="0"/>
        <w:jc w:val="left"/>
        <w:rPr>
          <w:rFonts w:ascii="Times New Roman" w:hAnsi="Times New Roman"/>
          <w:color w:val="000000" w:themeColor="text1"/>
          <w:szCs w:val="21"/>
        </w:rPr>
      </w:pPr>
      <w:r w:rsidRPr="00687B52">
        <w:rPr>
          <w:rFonts w:ascii="Times New Roman" w:hAnsi="Times New Roman" w:hint="eastAsia"/>
          <w:color w:val="000000" w:themeColor="text1"/>
          <w:szCs w:val="21"/>
        </w:rPr>
        <w:t xml:space="preserve">5 </w:t>
      </w:r>
      <w:r w:rsidRPr="00687B52">
        <w:rPr>
          <w:rFonts w:ascii="Times New Roman" w:hAnsi="Times New Roman" w:hint="eastAsia"/>
          <w:color w:val="000000" w:themeColor="text1"/>
          <w:szCs w:val="21"/>
        </w:rPr>
        <w:t>容积不大于</w:t>
      </w:r>
      <w:r w:rsidRPr="00687B52">
        <w:rPr>
          <w:rFonts w:ascii="Times New Roman" w:hAnsi="Times New Roman" w:hint="eastAsia"/>
          <w:color w:val="000000" w:themeColor="text1"/>
          <w:szCs w:val="21"/>
        </w:rPr>
        <w:t>20m</w:t>
      </w:r>
      <w:r w:rsidRPr="00687B52">
        <w:rPr>
          <w:rFonts w:ascii="Times New Roman" w:hAnsi="Times New Roman" w:hint="eastAsia"/>
          <w:color w:val="000000" w:themeColor="text1"/>
          <w:szCs w:val="21"/>
        </w:rPr>
        <w:t>³的可燃气体储罐与其使用厂房的防火间距不限。</w:t>
      </w:r>
    </w:p>
    <w:p w:rsidR="00481EDB" w:rsidRPr="00687B52" w:rsidRDefault="00481EDB" w:rsidP="00481EDB">
      <w:pPr>
        <w:pStyle w:val="aff"/>
        <w:rPr>
          <w:color w:val="000000" w:themeColor="text1"/>
        </w:rPr>
      </w:pPr>
    </w:p>
    <w:p w:rsidR="00481EDB" w:rsidRPr="00687B52" w:rsidRDefault="00481EDB" w:rsidP="00C506D9">
      <w:pPr>
        <w:pStyle w:val="afd"/>
        <w:rPr>
          <w:color w:val="000000" w:themeColor="text1"/>
          <w:szCs w:val="21"/>
        </w:rPr>
      </w:pPr>
      <w:bookmarkStart w:id="439" w:name="_Toc491870875"/>
      <w:bookmarkStart w:id="440" w:name="_Toc492563529"/>
      <w:bookmarkStart w:id="441" w:name="_Toc493857134"/>
      <w:r w:rsidRPr="00687B52">
        <w:rPr>
          <w:rFonts w:hint="eastAsia"/>
          <w:color w:val="000000" w:themeColor="text1"/>
        </w:rPr>
        <w:t>表</w:t>
      </w:r>
      <w:r w:rsidRPr="00687B52">
        <w:rPr>
          <w:rFonts w:hint="eastAsia"/>
          <w:color w:val="000000" w:themeColor="text1"/>
        </w:rPr>
        <w:t>4.3.6</w:t>
      </w:r>
      <w:r w:rsidRPr="00687B52">
        <w:rPr>
          <w:rFonts w:hint="eastAsia"/>
          <w:color w:val="000000" w:themeColor="text1"/>
        </w:rPr>
        <w:t>可燃、助燃气体储罐与铁路、道路等的防火间距（</w:t>
      </w:r>
      <w:r w:rsidRPr="00687B52">
        <w:rPr>
          <w:rFonts w:hint="eastAsia"/>
          <w:color w:val="000000" w:themeColor="text1"/>
        </w:rPr>
        <w:t>m</w:t>
      </w:r>
      <w:r w:rsidRPr="00687B52">
        <w:rPr>
          <w:rFonts w:hint="eastAsia"/>
          <w:color w:val="000000" w:themeColor="text1"/>
        </w:rPr>
        <w:t>）</w:t>
      </w:r>
      <w:bookmarkEnd w:id="439"/>
      <w:bookmarkEnd w:id="440"/>
      <w:bookmarkEnd w:id="441"/>
    </w:p>
    <w:tbl>
      <w:tblPr>
        <w:tblStyle w:val="a6"/>
        <w:tblW w:w="9410" w:type="dxa"/>
        <w:tblInd w:w="1950" w:type="dxa"/>
        <w:tblLayout w:type="fixed"/>
        <w:tblLook w:val="04A0" w:firstRow="1" w:lastRow="0" w:firstColumn="1" w:lastColumn="0" w:noHBand="0" w:noVBand="1"/>
      </w:tblPr>
      <w:tblGrid>
        <w:gridCol w:w="2148"/>
        <w:gridCol w:w="2017"/>
        <w:gridCol w:w="1985"/>
        <w:gridCol w:w="1559"/>
        <w:gridCol w:w="850"/>
        <w:gridCol w:w="851"/>
      </w:tblGrid>
      <w:tr w:rsidR="00481EDB" w:rsidRPr="00687B52" w:rsidTr="00BB2A37">
        <w:tc>
          <w:tcPr>
            <w:tcW w:w="2148"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名称</w:t>
            </w:r>
          </w:p>
        </w:tc>
        <w:tc>
          <w:tcPr>
            <w:tcW w:w="2017"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厂外铁路线中心线</w:t>
            </w:r>
          </w:p>
        </w:tc>
        <w:tc>
          <w:tcPr>
            <w:tcW w:w="1985"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厂内铁路线中心线</w:t>
            </w:r>
          </w:p>
        </w:tc>
        <w:tc>
          <w:tcPr>
            <w:tcW w:w="1559" w:type="dxa"/>
            <w:vMerge w:val="restart"/>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厂外道路路边</w:t>
            </w:r>
          </w:p>
        </w:tc>
        <w:tc>
          <w:tcPr>
            <w:tcW w:w="1701" w:type="dxa"/>
            <w:gridSpan w:val="2"/>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场内道路路边</w:t>
            </w:r>
          </w:p>
        </w:tc>
      </w:tr>
      <w:tr w:rsidR="00481EDB" w:rsidRPr="00687B52" w:rsidTr="00BB2A37">
        <w:tc>
          <w:tcPr>
            <w:tcW w:w="2148"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2017"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985"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1559" w:type="dxa"/>
            <w:vMerge/>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p>
        </w:tc>
        <w:tc>
          <w:tcPr>
            <w:tcW w:w="850"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主要</w:t>
            </w:r>
          </w:p>
        </w:tc>
        <w:tc>
          <w:tcPr>
            <w:tcW w:w="851"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次要</w:t>
            </w:r>
          </w:p>
        </w:tc>
      </w:tr>
      <w:tr w:rsidR="00481EDB" w:rsidRPr="00687B52" w:rsidTr="00BB2A37">
        <w:tc>
          <w:tcPr>
            <w:tcW w:w="2148"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可燃、助燃气体储罐</w:t>
            </w:r>
          </w:p>
        </w:tc>
        <w:tc>
          <w:tcPr>
            <w:tcW w:w="2017"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hint="eastAsia"/>
                <w:color w:val="000000" w:themeColor="text1"/>
                <w:szCs w:val="21"/>
              </w:rPr>
              <w:t>25</w:t>
            </w:r>
          </w:p>
        </w:tc>
        <w:tc>
          <w:tcPr>
            <w:tcW w:w="1985"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20</w:t>
            </w:r>
          </w:p>
        </w:tc>
        <w:tc>
          <w:tcPr>
            <w:tcW w:w="1559"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15</w:t>
            </w:r>
          </w:p>
        </w:tc>
        <w:tc>
          <w:tcPr>
            <w:tcW w:w="850"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10</w:t>
            </w:r>
          </w:p>
        </w:tc>
        <w:tc>
          <w:tcPr>
            <w:tcW w:w="851" w:type="dxa"/>
            <w:vAlign w:val="center"/>
          </w:tcPr>
          <w:p w:rsidR="00481EDB" w:rsidRPr="00687B52" w:rsidRDefault="00481EDB" w:rsidP="00F25ED0">
            <w:pPr>
              <w:pStyle w:val="11"/>
              <w:adjustRightInd w:val="0"/>
              <w:snapToGrid w:val="0"/>
              <w:spacing w:afterLines="50" w:after="156"/>
              <w:ind w:firstLineChars="0" w:firstLine="0"/>
              <w:jc w:val="center"/>
              <w:rPr>
                <w:rFonts w:ascii="Times New Roman" w:hAnsi="Times New Roman"/>
                <w:color w:val="000000" w:themeColor="text1"/>
                <w:szCs w:val="21"/>
              </w:rPr>
            </w:pPr>
            <w:r w:rsidRPr="00687B52">
              <w:rPr>
                <w:rFonts w:ascii="Times New Roman" w:hAnsi="Times New Roman"/>
                <w:color w:val="000000" w:themeColor="text1"/>
                <w:szCs w:val="21"/>
              </w:rPr>
              <w:t>5</w:t>
            </w:r>
          </w:p>
        </w:tc>
      </w:tr>
    </w:tbl>
    <w:p w:rsidR="00DB6EAA" w:rsidRPr="00687B52" w:rsidRDefault="00DB6EAA" w:rsidP="00DB6EAA">
      <w:pPr>
        <w:rPr>
          <w:color w:val="000000" w:themeColor="text1"/>
        </w:rPr>
      </w:pPr>
    </w:p>
    <w:p w:rsidR="00481EDB" w:rsidRPr="00687B52" w:rsidRDefault="00481EDB" w:rsidP="00C506D9">
      <w:pPr>
        <w:pStyle w:val="afd"/>
        <w:rPr>
          <w:color w:val="000000" w:themeColor="text1"/>
        </w:rPr>
      </w:pPr>
      <w:bookmarkStart w:id="442" w:name="_Toc491870876"/>
      <w:bookmarkStart w:id="443" w:name="_Toc492563530"/>
      <w:bookmarkStart w:id="444" w:name="_Toc493857135"/>
      <w:r w:rsidRPr="00687B52">
        <w:rPr>
          <w:rFonts w:hint="eastAsia"/>
          <w:color w:val="000000" w:themeColor="text1"/>
        </w:rPr>
        <w:t>表</w:t>
      </w:r>
      <w:r w:rsidRPr="00687B52">
        <w:rPr>
          <w:rFonts w:hint="eastAsia"/>
          <w:color w:val="000000" w:themeColor="text1"/>
        </w:rPr>
        <w:t>10.2.1</w:t>
      </w:r>
      <w:r w:rsidRPr="00687B52">
        <w:rPr>
          <w:rFonts w:hint="eastAsia"/>
          <w:color w:val="000000" w:themeColor="text1"/>
        </w:rPr>
        <w:t>架空电力线与甲、乙类厂房（仓库）、可燃材料堆垛等的最近水平距离（</w:t>
      </w:r>
      <w:r w:rsidRPr="00687B52">
        <w:rPr>
          <w:rFonts w:hint="eastAsia"/>
          <w:color w:val="000000" w:themeColor="text1"/>
        </w:rPr>
        <w:t>m</w:t>
      </w:r>
      <w:r w:rsidRPr="00687B52">
        <w:rPr>
          <w:rFonts w:hint="eastAsia"/>
          <w:color w:val="000000" w:themeColor="text1"/>
        </w:rPr>
        <w:t>）</w:t>
      </w:r>
      <w:bookmarkEnd w:id="442"/>
      <w:bookmarkEnd w:id="443"/>
      <w:bookmarkEnd w:id="444"/>
    </w:p>
    <w:tbl>
      <w:tblPr>
        <w:tblStyle w:val="a6"/>
        <w:tblW w:w="10489" w:type="dxa"/>
        <w:tblInd w:w="1414" w:type="dxa"/>
        <w:tblLayout w:type="fixed"/>
        <w:tblLook w:val="04A0" w:firstRow="1" w:lastRow="0" w:firstColumn="1" w:lastColumn="0" w:noHBand="0" w:noVBand="1"/>
      </w:tblPr>
      <w:tblGrid>
        <w:gridCol w:w="6647"/>
        <w:gridCol w:w="3842"/>
      </w:tblGrid>
      <w:tr w:rsidR="00481EDB" w:rsidRPr="00687B52" w:rsidTr="00BB2A37">
        <w:trPr>
          <w:trHeight w:hRule="exact" w:val="340"/>
        </w:trPr>
        <w:tc>
          <w:tcPr>
            <w:tcW w:w="6647" w:type="dxa"/>
            <w:vAlign w:val="center"/>
          </w:tcPr>
          <w:p w:rsidR="00481EDB" w:rsidRPr="00687B52" w:rsidRDefault="00481EDB" w:rsidP="00F25ED0">
            <w:pPr>
              <w:adjustRightInd w:val="0"/>
              <w:snapToGrid w:val="0"/>
              <w:spacing w:afterLines="50" w:after="156"/>
              <w:jc w:val="center"/>
              <w:rPr>
                <w:rFonts w:ascii="Times New Roman" w:hAnsi="Times New Roman" w:cs="Times New Roman"/>
                <w:b/>
                <w:color w:val="000000" w:themeColor="text1"/>
                <w:szCs w:val="21"/>
              </w:rPr>
            </w:pPr>
            <w:r w:rsidRPr="00687B52">
              <w:rPr>
                <w:rFonts w:ascii="Times New Roman" w:hAnsi="Times New Roman" w:cs="Times New Roman"/>
                <w:b/>
                <w:color w:val="000000" w:themeColor="text1"/>
                <w:szCs w:val="21"/>
              </w:rPr>
              <w:t>名称</w:t>
            </w:r>
          </w:p>
        </w:tc>
        <w:tc>
          <w:tcPr>
            <w:tcW w:w="3842" w:type="dxa"/>
            <w:vAlign w:val="center"/>
          </w:tcPr>
          <w:p w:rsidR="00481EDB" w:rsidRPr="00687B52" w:rsidRDefault="00481EDB" w:rsidP="00F25ED0">
            <w:pPr>
              <w:adjustRightInd w:val="0"/>
              <w:snapToGrid w:val="0"/>
              <w:spacing w:afterLines="50" w:after="156"/>
              <w:jc w:val="center"/>
              <w:rPr>
                <w:rFonts w:ascii="Times New Roman" w:hAnsi="Times New Roman" w:cs="Times New Roman"/>
                <w:b/>
                <w:color w:val="000000" w:themeColor="text1"/>
                <w:szCs w:val="21"/>
              </w:rPr>
            </w:pPr>
            <w:r w:rsidRPr="00687B52">
              <w:rPr>
                <w:rFonts w:ascii="Times New Roman" w:hAnsi="Times New Roman" w:cs="Times New Roman"/>
                <w:b/>
                <w:color w:val="000000" w:themeColor="text1"/>
                <w:szCs w:val="21"/>
              </w:rPr>
              <w:t>架空电力线</w:t>
            </w:r>
          </w:p>
        </w:tc>
      </w:tr>
      <w:tr w:rsidR="00481EDB" w:rsidRPr="00687B52" w:rsidTr="00BB2A37">
        <w:trPr>
          <w:trHeight w:hRule="exact" w:val="596"/>
        </w:trPr>
        <w:tc>
          <w:tcPr>
            <w:tcW w:w="6647" w:type="dxa"/>
            <w:vAlign w:val="center"/>
          </w:tcPr>
          <w:p w:rsidR="00481EDB" w:rsidRPr="00687B52" w:rsidRDefault="00481EDB" w:rsidP="00F25ED0">
            <w:pPr>
              <w:adjustRightInd w:val="0"/>
              <w:snapToGrid w:val="0"/>
              <w:spacing w:afterLines="50" w:after="156"/>
              <w:jc w:val="left"/>
              <w:rPr>
                <w:rFonts w:ascii="Times New Roman" w:hAnsi="Times New Roman" w:cs="Times New Roman"/>
                <w:color w:val="000000" w:themeColor="text1"/>
                <w:szCs w:val="21"/>
              </w:rPr>
            </w:pPr>
            <w:r w:rsidRPr="00687B52">
              <w:rPr>
                <w:rFonts w:ascii="Times New Roman" w:hAnsi="Times New Roman" w:cs="Times New Roman"/>
                <w:color w:val="000000" w:themeColor="text1"/>
                <w:szCs w:val="21"/>
              </w:rPr>
              <w:t>甲、乙类厂房（仓库）、可燃材料堆垛，甲、乙类液体储罐、液化石油气储罐，可燃、助燃气体储罐</w:t>
            </w:r>
          </w:p>
        </w:tc>
        <w:tc>
          <w:tcPr>
            <w:tcW w:w="3842" w:type="dxa"/>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color w:val="000000" w:themeColor="text1"/>
                <w:szCs w:val="21"/>
              </w:rPr>
              <w:t>电杆（塔）高度的</w:t>
            </w:r>
            <w:r w:rsidRPr="00687B52">
              <w:rPr>
                <w:rFonts w:ascii="Times New Roman" w:hAnsi="Times New Roman" w:cs="Times New Roman"/>
                <w:color w:val="000000" w:themeColor="text1"/>
                <w:szCs w:val="21"/>
              </w:rPr>
              <w:t>1.5</w:t>
            </w:r>
            <w:r w:rsidRPr="00687B52">
              <w:rPr>
                <w:rFonts w:ascii="Times New Roman" w:hAnsi="Times New Roman" w:cs="Times New Roman"/>
                <w:color w:val="000000" w:themeColor="text1"/>
                <w:szCs w:val="21"/>
              </w:rPr>
              <w:t>倍</w:t>
            </w:r>
          </w:p>
        </w:tc>
      </w:tr>
      <w:tr w:rsidR="00481EDB" w:rsidRPr="00687B52" w:rsidTr="00BB2A37">
        <w:trPr>
          <w:trHeight w:hRule="exact" w:val="340"/>
        </w:trPr>
        <w:tc>
          <w:tcPr>
            <w:tcW w:w="6647" w:type="dxa"/>
            <w:vAlign w:val="center"/>
          </w:tcPr>
          <w:p w:rsidR="00481EDB" w:rsidRPr="00687B52" w:rsidRDefault="00481EDB" w:rsidP="00F25ED0">
            <w:pPr>
              <w:adjustRightInd w:val="0"/>
              <w:snapToGrid w:val="0"/>
              <w:spacing w:afterLines="50" w:after="156"/>
              <w:jc w:val="left"/>
              <w:rPr>
                <w:rFonts w:ascii="Times New Roman" w:hAnsi="Times New Roman" w:cs="Times New Roman"/>
                <w:color w:val="000000" w:themeColor="text1"/>
                <w:szCs w:val="21"/>
              </w:rPr>
            </w:pPr>
            <w:r w:rsidRPr="00687B52">
              <w:rPr>
                <w:rFonts w:ascii="Times New Roman" w:hAnsi="Times New Roman" w:cs="Times New Roman"/>
                <w:color w:val="000000" w:themeColor="text1"/>
                <w:szCs w:val="21"/>
              </w:rPr>
              <w:t>直埋地下的甲、乙类液体储罐和可燃气体储罐</w:t>
            </w:r>
          </w:p>
        </w:tc>
        <w:tc>
          <w:tcPr>
            <w:tcW w:w="3842" w:type="dxa"/>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color w:val="000000" w:themeColor="text1"/>
                <w:szCs w:val="21"/>
              </w:rPr>
              <w:t>电杆（塔）高度的</w:t>
            </w:r>
            <w:r w:rsidRPr="00687B52">
              <w:rPr>
                <w:rFonts w:ascii="Times New Roman" w:hAnsi="Times New Roman" w:cs="Times New Roman"/>
                <w:color w:val="000000" w:themeColor="text1"/>
                <w:szCs w:val="21"/>
              </w:rPr>
              <w:t>0.75</w:t>
            </w:r>
            <w:r w:rsidRPr="00687B52">
              <w:rPr>
                <w:rFonts w:ascii="Times New Roman" w:hAnsi="Times New Roman" w:cs="Times New Roman"/>
                <w:color w:val="000000" w:themeColor="text1"/>
                <w:szCs w:val="21"/>
              </w:rPr>
              <w:t>倍</w:t>
            </w:r>
          </w:p>
        </w:tc>
      </w:tr>
      <w:tr w:rsidR="00481EDB" w:rsidRPr="00687B52" w:rsidTr="00BB2A37">
        <w:trPr>
          <w:trHeight w:hRule="exact" w:val="340"/>
        </w:trPr>
        <w:tc>
          <w:tcPr>
            <w:tcW w:w="6647" w:type="dxa"/>
            <w:vAlign w:val="center"/>
          </w:tcPr>
          <w:p w:rsidR="00481EDB" w:rsidRPr="00687B52" w:rsidRDefault="00481EDB" w:rsidP="00F25ED0">
            <w:pPr>
              <w:adjustRightInd w:val="0"/>
              <w:snapToGrid w:val="0"/>
              <w:spacing w:afterLines="50" w:after="156"/>
              <w:jc w:val="left"/>
              <w:rPr>
                <w:rFonts w:ascii="Times New Roman" w:hAnsi="Times New Roman" w:cs="Times New Roman"/>
                <w:color w:val="000000" w:themeColor="text1"/>
                <w:szCs w:val="21"/>
              </w:rPr>
            </w:pPr>
            <w:r w:rsidRPr="00687B52">
              <w:rPr>
                <w:rFonts w:ascii="Times New Roman" w:hAnsi="Times New Roman" w:cs="Times New Roman"/>
                <w:color w:val="000000" w:themeColor="text1"/>
                <w:szCs w:val="21"/>
              </w:rPr>
              <w:t>丙类液体储罐</w:t>
            </w:r>
          </w:p>
        </w:tc>
        <w:tc>
          <w:tcPr>
            <w:tcW w:w="3842" w:type="dxa"/>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color w:val="000000" w:themeColor="text1"/>
                <w:szCs w:val="21"/>
              </w:rPr>
              <w:t>电杆（塔）高度的</w:t>
            </w:r>
            <w:r w:rsidRPr="00687B52">
              <w:rPr>
                <w:rFonts w:ascii="Times New Roman" w:hAnsi="Times New Roman" w:cs="Times New Roman"/>
                <w:color w:val="000000" w:themeColor="text1"/>
                <w:szCs w:val="21"/>
              </w:rPr>
              <w:t>1.2</w:t>
            </w:r>
            <w:r w:rsidRPr="00687B52">
              <w:rPr>
                <w:rFonts w:ascii="Times New Roman" w:hAnsi="Times New Roman" w:cs="Times New Roman"/>
                <w:color w:val="000000" w:themeColor="text1"/>
                <w:szCs w:val="21"/>
              </w:rPr>
              <w:t>倍</w:t>
            </w:r>
          </w:p>
        </w:tc>
      </w:tr>
      <w:tr w:rsidR="00481EDB" w:rsidRPr="00687B52" w:rsidTr="00BB2A37">
        <w:trPr>
          <w:trHeight w:hRule="exact" w:val="340"/>
        </w:trPr>
        <w:tc>
          <w:tcPr>
            <w:tcW w:w="6647" w:type="dxa"/>
            <w:vAlign w:val="center"/>
          </w:tcPr>
          <w:p w:rsidR="00481EDB" w:rsidRPr="00687B52" w:rsidRDefault="00481EDB" w:rsidP="00F25ED0">
            <w:pPr>
              <w:adjustRightInd w:val="0"/>
              <w:snapToGrid w:val="0"/>
              <w:spacing w:afterLines="50" w:after="156"/>
              <w:jc w:val="left"/>
              <w:rPr>
                <w:rFonts w:ascii="Times New Roman" w:hAnsi="Times New Roman" w:cs="Times New Roman"/>
                <w:color w:val="000000" w:themeColor="text1"/>
                <w:szCs w:val="21"/>
              </w:rPr>
            </w:pPr>
            <w:r w:rsidRPr="00687B52">
              <w:rPr>
                <w:rFonts w:ascii="Times New Roman" w:hAnsi="Times New Roman" w:cs="Times New Roman"/>
                <w:color w:val="000000" w:themeColor="text1"/>
                <w:szCs w:val="21"/>
              </w:rPr>
              <w:t>直埋地下的丙类液体储罐</w:t>
            </w:r>
          </w:p>
        </w:tc>
        <w:tc>
          <w:tcPr>
            <w:tcW w:w="3842" w:type="dxa"/>
            <w:vAlign w:val="center"/>
          </w:tcPr>
          <w:p w:rsidR="00481EDB" w:rsidRPr="00687B52" w:rsidRDefault="00481EDB" w:rsidP="00F25ED0">
            <w:pPr>
              <w:adjustRightInd w:val="0"/>
              <w:snapToGrid w:val="0"/>
              <w:spacing w:afterLines="50" w:after="156"/>
              <w:jc w:val="center"/>
              <w:rPr>
                <w:rFonts w:ascii="Times New Roman" w:hAnsi="Times New Roman" w:cs="Times New Roman"/>
                <w:color w:val="000000" w:themeColor="text1"/>
                <w:szCs w:val="21"/>
              </w:rPr>
            </w:pPr>
            <w:r w:rsidRPr="00687B52">
              <w:rPr>
                <w:rFonts w:ascii="Times New Roman" w:hAnsi="Times New Roman" w:cs="Times New Roman"/>
                <w:color w:val="000000" w:themeColor="text1"/>
                <w:szCs w:val="21"/>
              </w:rPr>
              <w:t>电杆（塔）高度的</w:t>
            </w:r>
            <w:r w:rsidRPr="00687B52">
              <w:rPr>
                <w:rFonts w:ascii="Times New Roman" w:hAnsi="Times New Roman" w:cs="Times New Roman"/>
                <w:color w:val="000000" w:themeColor="text1"/>
                <w:szCs w:val="21"/>
              </w:rPr>
              <w:t>0.6</w:t>
            </w:r>
            <w:r w:rsidRPr="00687B52">
              <w:rPr>
                <w:rFonts w:ascii="Times New Roman" w:hAnsi="Times New Roman" w:cs="Times New Roman"/>
                <w:color w:val="000000" w:themeColor="text1"/>
                <w:szCs w:val="21"/>
              </w:rPr>
              <w:t>倍</w:t>
            </w:r>
          </w:p>
        </w:tc>
      </w:tr>
    </w:tbl>
    <w:p w:rsidR="00DB6EAA" w:rsidRPr="00687B52" w:rsidRDefault="00DB6EAA" w:rsidP="00481EDB">
      <w:pPr>
        <w:rPr>
          <w:color w:val="000000" w:themeColor="text1"/>
        </w:rPr>
      </w:pPr>
    </w:p>
    <w:p w:rsidR="00B76060" w:rsidRPr="00687B52" w:rsidRDefault="00B76060" w:rsidP="00481EDB">
      <w:pPr>
        <w:rPr>
          <w:color w:val="000000" w:themeColor="text1"/>
        </w:rPr>
      </w:pPr>
    </w:p>
    <w:p w:rsidR="00B76060" w:rsidRPr="00687B52" w:rsidRDefault="00B76060" w:rsidP="00481EDB">
      <w:pPr>
        <w:rPr>
          <w:color w:val="000000" w:themeColor="text1"/>
        </w:rPr>
      </w:pPr>
    </w:p>
    <w:p w:rsidR="00B76060" w:rsidRPr="00687B52" w:rsidRDefault="00B76060" w:rsidP="00481EDB">
      <w:pPr>
        <w:rPr>
          <w:color w:val="000000" w:themeColor="text1"/>
        </w:rPr>
      </w:pPr>
    </w:p>
    <w:p w:rsidR="00B76060" w:rsidRPr="00687B52" w:rsidRDefault="00B76060" w:rsidP="00481EDB">
      <w:pPr>
        <w:rPr>
          <w:color w:val="000000" w:themeColor="text1"/>
        </w:rPr>
      </w:pPr>
    </w:p>
    <w:p w:rsidR="00B76060" w:rsidRPr="00687B52" w:rsidRDefault="00B76060" w:rsidP="00481EDB">
      <w:pPr>
        <w:rPr>
          <w:color w:val="000000" w:themeColor="text1"/>
        </w:rPr>
      </w:pPr>
    </w:p>
    <w:p w:rsidR="00B76060" w:rsidRPr="00687B52" w:rsidRDefault="00B76060" w:rsidP="00481EDB">
      <w:pPr>
        <w:rPr>
          <w:color w:val="000000" w:themeColor="text1"/>
        </w:rPr>
      </w:pPr>
    </w:p>
    <w:p w:rsidR="00B76060" w:rsidRPr="00687B52" w:rsidRDefault="00B76060" w:rsidP="00481EDB">
      <w:pPr>
        <w:rPr>
          <w:color w:val="000000" w:themeColor="text1"/>
        </w:rPr>
      </w:pPr>
    </w:p>
    <w:p w:rsidR="00B76060" w:rsidRPr="00687B52" w:rsidRDefault="00B76060" w:rsidP="00481EDB">
      <w:pPr>
        <w:rPr>
          <w:color w:val="000000" w:themeColor="text1"/>
        </w:rPr>
        <w:sectPr w:rsidR="00B76060" w:rsidRPr="00687B52" w:rsidSect="00007C0C">
          <w:pgSz w:w="16838" w:h="11906" w:orient="landscape"/>
          <w:pgMar w:top="1457" w:right="1780" w:bottom="1457" w:left="1780" w:header="851" w:footer="907" w:gutter="0"/>
          <w:cols w:space="425"/>
          <w:docGrid w:type="lines" w:linePitch="312"/>
        </w:sectPr>
      </w:pPr>
    </w:p>
    <w:p w:rsidR="00DB6EAA" w:rsidRPr="00687B52" w:rsidRDefault="00B76060" w:rsidP="00DB6EAA">
      <w:pPr>
        <w:pStyle w:val="ae"/>
        <w:ind w:firstLineChars="0" w:firstLine="0"/>
        <w:rPr>
          <w:color w:val="000000" w:themeColor="text1"/>
          <w:kern w:val="0"/>
          <w:sz w:val="24"/>
        </w:rPr>
      </w:pPr>
      <w:r w:rsidRPr="00687B52">
        <w:rPr>
          <w:rFonts w:hint="eastAsia"/>
          <w:b/>
          <w:color w:val="000000" w:themeColor="text1"/>
          <w:kern w:val="0"/>
          <w:sz w:val="24"/>
        </w:rPr>
        <w:t>第</w:t>
      </w:r>
      <w:r w:rsidR="00DB6EAA" w:rsidRPr="00687B52">
        <w:rPr>
          <w:rFonts w:hint="eastAsia"/>
          <w:b/>
          <w:color w:val="000000" w:themeColor="text1"/>
          <w:kern w:val="0"/>
          <w:sz w:val="24"/>
        </w:rPr>
        <w:t>4.3.7</w:t>
      </w:r>
      <w:r w:rsidR="00DB6EAA" w:rsidRPr="00687B52">
        <w:rPr>
          <w:rFonts w:hint="eastAsia"/>
          <w:b/>
          <w:color w:val="000000" w:themeColor="text1"/>
          <w:kern w:val="0"/>
          <w:sz w:val="24"/>
        </w:rPr>
        <w:t>条</w:t>
      </w:r>
      <w:r w:rsidRPr="00687B52">
        <w:rPr>
          <w:rFonts w:hint="eastAsia"/>
          <w:color w:val="000000" w:themeColor="text1"/>
          <w:kern w:val="0"/>
          <w:sz w:val="24"/>
        </w:rPr>
        <w:t xml:space="preserve"> </w:t>
      </w:r>
      <w:r w:rsidR="00DB6EAA" w:rsidRPr="00687B52">
        <w:rPr>
          <w:rFonts w:hint="eastAsia"/>
          <w:color w:val="000000" w:themeColor="text1"/>
          <w:kern w:val="0"/>
          <w:sz w:val="24"/>
        </w:rPr>
        <w:t>液氢、液氨储罐与建构筑物、储罐、堆场等的防火间距可按本规范第</w:t>
      </w:r>
      <w:r w:rsidR="00DB6EAA" w:rsidRPr="00687B52">
        <w:rPr>
          <w:rFonts w:hint="eastAsia"/>
          <w:color w:val="000000" w:themeColor="text1"/>
          <w:kern w:val="0"/>
          <w:sz w:val="24"/>
        </w:rPr>
        <w:t>4.4.1</w:t>
      </w:r>
      <w:r w:rsidR="00DB6EAA" w:rsidRPr="00687B52">
        <w:rPr>
          <w:rFonts w:hint="eastAsia"/>
          <w:color w:val="000000" w:themeColor="text1"/>
          <w:kern w:val="0"/>
          <w:sz w:val="24"/>
        </w:rPr>
        <w:t>条相应容积液化石油气储罐防火间距的规定减少</w:t>
      </w:r>
      <w:r w:rsidR="00DB6EAA" w:rsidRPr="00687B52">
        <w:rPr>
          <w:rFonts w:hint="eastAsia"/>
          <w:color w:val="000000" w:themeColor="text1"/>
          <w:kern w:val="0"/>
          <w:sz w:val="24"/>
        </w:rPr>
        <w:t>25%</w:t>
      </w:r>
      <w:r w:rsidR="00DB6EAA" w:rsidRPr="00687B52">
        <w:rPr>
          <w:rFonts w:hint="eastAsia"/>
          <w:color w:val="000000" w:themeColor="text1"/>
          <w:kern w:val="0"/>
          <w:sz w:val="24"/>
        </w:rPr>
        <w:t>确定。</w:t>
      </w:r>
    </w:p>
    <w:p w:rsidR="00DB6EAA" w:rsidRPr="00687B52" w:rsidRDefault="00DB6EAA" w:rsidP="00DB6EAA">
      <w:pPr>
        <w:pStyle w:val="afd"/>
        <w:rPr>
          <w:color w:val="000000" w:themeColor="text1"/>
        </w:rPr>
      </w:pPr>
      <w:bookmarkStart w:id="445" w:name="_Toc493857136"/>
      <w:r w:rsidRPr="00687B52">
        <w:rPr>
          <w:rFonts w:hint="eastAsia"/>
          <w:color w:val="000000" w:themeColor="text1"/>
        </w:rPr>
        <w:t>表</w:t>
      </w:r>
      <w:r w:rsidRPr="00687B52">
        <w:rPr>
          <w:rFonts w:hint="eastAsia"/>
          <w:color w:val="000000" w:themeColor="text1"/>
        </w:rPr>
        <w:t xml:space="preserve">4.4.1 </w:t>
      </w:r>
      <w:r w:rsidRPr="00687B52">
        <w:rPr>
          <w:rFonts w:hint="eastAsia"/>
          <w:color w:val="000000" w:themeColor="text1"/>
        </w:rPr>
        <w:t>液化石油气供应基地的全压式和半冷冻式储罐（区）与明火或散发火花地点和基地外建筑等的防火间距（</w:t>
      </w:r>
      <w:r w:rsidRPr="00687B52">
        <w:rPr>
          <w:rFonts w:hint="eastAsia"/>
          <w:color w:val="000000" w:themeColor="text1"/>
        </w:rPr>
        <w:t>m</w:t>
      </w:r>
      <w:r w:rsidRPr="00687B52">
        <w:rPr>
          <w:rFonts w:hint="eastAsia"/>
          <w:color w:val="000000" w:themeColor="text1"/>
        </w:rPr>
        <w:t>）</w:t>
      </w:r>
      <w:bookmarkEnd w:id="445"/>
    </w:p>
    <w:tbl>
      <w:tblPr>
        <w:tblW w:w="9431" w:type="dxa"/>
        <w:tblLayout w:type="fixed"/>
        <w:tblCellMar>
          <w:left w:w="10" w:type="dxa"/>
          <w:right w:w="10" w:type="dxa"/>
        </w:tblCellMar>
        <w:tblLook w:val="04A0" w:firstRow="1" w:lastRow="0" w:firstColumn="1" w:lastColumn="0" w:noHBand="0" w:noVBand="1"/>
      </w:tblPr>
      <w:tblGrid>
        <w:gridCol w:w="1046"/>
        <w:gridCol w:w="733"/>
        <w:gridCol w:w="1352"/>
        <w:gridCol w:w="698"/>
        <w:gridCol w:w="11"/>
        <w:gridCol w:w="799"/>
        <w:gridCol w:w="11"/>
        <w:gridCol w:w="904"/>
        <w:gridCol w:w="10"/>
        <w:gridCol w:w="22"/>
        <w:gridCol w:w="976"/>
        <w:gridCol w:w="986"/>
        <w:gridCol w:w="7"/>
        <w:gridCol w:w="15"/>
        <w:gridCol w:w="867"/>
        <w:gridCol w:w="994"/>
      </w:tblGrid>
      <w:tr w:rsidR="00B76060" w:rsidRPr="00687B52" w:rsidTr="005F5072">
        <w:tc>
          <w:tcPr>
            <w:tcW w:w="3131" w:type="dxa"/>
            <w:gridSpan w:val="3"/>
            <w:vMerge w:val="restart"/>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MingLiU"/>
                <w:rFonts w:ascii="Times New Roman" w:eastAsia="宋体" w:hAnsi="Times New Roman" w:cs="Times New Roman"/>
                <w:b w:val="0"/>
                <w:color w:val="000000" w:themeColor="text1"/>
                <w:sz w:val="21"/>
                <w:szCs w:val="21"/>
              </w:rPr>
              <w:t>名称</w:t>
            </w:r>
          </w:p>
        </w:tc>
        <w:tc>
          <w:tcPr>
            <w:tcW w:w="6300" w:type="dxa"/>
            <w:gridSpan w:val="13"/>
            <w:tcBorders>
              <w:top w:val="single" w:sz="4" w:space="0" w:color="auto"/>
              <w:left w:val="single" w:sz="4" w:space="0" w:color="auto"/>
              <w:righ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MingLiU"/>
                <w:rFonts w:ascii="Times New Roman" w:eastAsia="宋体" w:hAnsi="Times New Roman" w:cs="Times New Roman"/>
                <w:b w:val="0"/>
                <w:color w:val="000000" w:themeColor="text1"/>
                <w:sz w:val="21"/>
                <w:szCs w:val="21"/>
              </w:rPr>
              <w:t>液化石油气储罐（区）（总容积</w:t>
            </w:r>
            <w:r w:rsidRPr="00687B52">
              <w:rPr>
                <w:rStyle w:val="9pt"/>
                <w:rFonts w:ascii="Times New Roman" w:hAnsi="Times New Roman" w:cs="Times New Roman" w:hint="eastAsia"/>
                <w:color w:val="000000" w:themeColor="text1"/>
                <w:sz w:val="21"/>
                <w:szCs w:val="21"/>
              </w:rPr>
              <w:t>V</w:t>
            </w:r>
            <w:r w:rsidRPr="00687B52">
              <w:rPr>
                <w:rStyle w:val="9pt"/>
                <w:rFonts w:ascii="Times New Roman" w:cs="Times New Roman" w:hint="eastAsia"/>
                <w:color w:val="000000" w:themeColor="text1"/>
                <w:sz w:val="21"/>
                <w:szCs w:val="21"/>
              </w:rPr>
              <w:t>，</w:t>
            </w:r>
            <w:r w:rsidRPr="00687B52">
              <w:rPr>
                <w:rStyle w:val="9pt"/>
                <w:rFonts w:ascii="Times New Roman" w:eastAsia="宋体" w:hAnsi="Times New Roman" w:cs="Times New Roman"/>
                <w:color w:val="000000" w:themeColor="text1"/>
                <w:sz w:val="21"/>
                <w:szCs w:val="21"/>
              </w:rPr>
              <w:t>m</w:t>
            </w:r>
            <w:r w:rsidRPr="00687B52">
              <w:rPr>
                <w:rStyle w:val="9pt"/>
                <w:rFonts w:ascii="Times New Roman" w:eastAsia="宋体" w:hAnsi="Times New Roman" w:cs="Times New Roman"/>
                <w:color w:val="000000" w:themeColor="text1"/>
                <w:sz w:val="21"/>
                <w:szCs w:val="21"/>
                <w:vertAlign w:val="superscript"/>
              </w:rPr>
              <w:t>3</w:t>
            </w:r>
            <w:r w:rsidRPr="00687B52">
              <w:rPr>
                <w:rStyle w:val="9pt"/>
                <w:rFonts w:ascii="Times New Roman" w:cs="Times New Roman" w:hint="eastAsia"/>
                <w:color w:val="000000" w:themeColor="text1"/>
                <w:sz w:val="21"/>
                <w:szCs w:val="21"/>
              </w:rPr>
              <w:t>）</w:t>
            </w:r>
          </w:p>
        </w:tc>
      </w:tr>
      <w:tr w:rsidR="00B76060" w:rsidRPr="00687B52" w:rsidTr="005F5072">
        <w:tc>
          <w:tcPr>
            <w:tcW w:w="3131" w:type="dxa"/>
            <w:gridSpan w:val="3"/>
            <w:vMerge/>
            <w:tcBorders>
              <w:left w:val="single" w:sz="4" w:space="0" w:color="auto"/>
            </w:tcBorders>
            <w:shd w:val="clear" w:color="auto" w:fill="FFFFFF"/>
            <w:vAlign w:val="center"/>
          </w:tcPr>
          <w:p w:rsidR="00B76060" w:rsidRPr="00687B52" w:rsidRDefault="00B76060" w:rsidP="00B76060">
            <w:pPr>
              <w:spacing w:line="320" w:lineRule="exact"/>
              <w:jc w:val="center"/>
              <w:rPr>
                <w:rFonts w:ascii="Times New Roman" w:eastAsia="宋体" w:hAnsi="Times New Roman" w:cs="Times New Roman"/>
                <w:color w:val="000000" w:themeColor="text1"/>
                <w:szCs w:val="21"/>
              </w:rPr>
            </w:pPr>
          </w:p>
        </w:tc>
        <w:tc>
          <w:tcPr>
            <w:tcW w:w="698" w:type="dxa"/>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30&lt;</w:t>
            </w:r>
            <w:r w:rsidRPr="00687B52">
              <w:rPr>
                <w:rStyle w:val="9pt"/>
                <w:rFonts w:ascii="Times New Roman" w:hAnsi="Times New Roman" w:cs="Times New Roman" w:hint="eastAsia"/>
                <w:color w:val="000000" w:themeColor="text1"/>
                <w:sz w:val="21"/>
                <w:szCs w:val="21"/>
              </w:rPr>
              <w:t>V</w:t>
            </w:r>
            <w:r w:rsidRPr="00687B52">
              <w:rPr>
                <w:rStyle w:val="9pt"/>
                <w:rFonts w:ascii="Times New Roman" w:eastAsia="宋体" w:hAnsi="Times New Roman" w:cs="Times New Roman" w:hint="eastAsia"/>
                <w:color w:val="000000" w:themeColor="text1"/>
                <w:sz w:val="21"/>
                <w:szCs w:val="21"/>
              </w:rPr>
              <w:t>≤</w:t>
            </w:r>
            <w:r w:rsidRPr="00687B52">
              <w:rPr>
                <w:rStyle w:val="9pt"/>
                <w:rFonts w:ascii="Times New Roman" w:eastAsia="宋体" w:hAnsi="Times New Roman" w:cs="Times New Roman"/>
                <w:color w:val="000000" w:themeColor="text1"/>
                <w:sz w:val="21"/>
                <w:szCs w:val="21"/>
              </w:rPr>
              <w:t>50</w:t>
            </w:r>
          </w:p>
        </w:tc>
        <w:tc>
          <w:tcPr>
            <w:tcW w:w="810"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50&lt;</w:t>
            </w:r>
            <w:r w:rsidRPr="00687B52">
              <w:rPr>
                <w:rStyle w:val="9pt"/>
                <w:rFonts w:ascii="Times New Roman" w:hAnsi="Times New Roman" w:cs="Times New Roman" w:hint="eastAsia"/>
                <w:color w:val="000000" w:themeColor="text1"/>
                <w:sz w:val="21"/>
                <w:szCs w:val="21"/>
              </w:rPr>
              <w:t>V</w:t>
            </w:r>
            <w:r w:rsidRPr="00687B52">
              <w:rPr>
                <w:rStyle w:val="9pt"/>
                <w:rFonts w:ascii="Times New Roman" w:eastAsia="宋体" w:hAnsi="Times New Roman" w:cs="Times New Roman" w:hint="eastAsia"/>
                <w:color w:val="000000" w:themeColor="text1"/>
                <w:sz w:val="21"/>
                <w:szCs w:val="21"/>
              </w:rPr>
              <w:t>≤</w:t>
            </w:r>
            <w:r w:rsidRPr="00687B52">
              <w:rPr>
                <w:rStyle w:val="10pt"/>
                <w:rFonts w:ascii="Times New Roman" w:eastAsia="宋体" w:hAnsi="Times New Roman" w:cs="Times New Roman"/>
                <w:color w:val="000000" w:themeColor="text1"/>
                <w:sz w:val="21"/>
                <w:szCs w:val="21"/>
              </w:rPr>
              <w:t>200</w:t>
            </w:r>
          </w:p>
        </w:tc>
        <w:tc>
          <w:tcPr>
            <w:tcW w:w="925"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10pt"/>
                <w:rFonts w:ascii="Times New Roman" w:eastAsia="宋体" w:hAnsi="Times New Roman" w:cs="Times New Roman"/>
                <w:color w:val="000000" w:themeColor="text1"/>
                <w:sz w:val="21"/>
                <w:szCs w:val="21"/>
              </w:rPr>
              <w:t>200</w:t>
            </w:r>
            <w:r w:rsidRPr="00687B52">
              <w:rPr>
                <w:rStyle w:val="9pt"/>
                <w:rFonts w:ascii="Times New Roman" w:eastAsia="宋体" w:hAnsi="Times New Roman" w:cs="Times New Roman"/>
                <w:color w:val="000000" w:themeColor="text1"/>
                <w:sz w:val="21"/>
                <w:szCs w:val="21"/>
              </w:rPr>
              <w:t xml:space="preserve"> &lt;</w:t>
            </w:r>
            <w:r w:rsidRPr="00687B52">
              <w:rPr>
                <w:rStyle w:val="9pt"/>
                <w:rFonts w:ascii="Times New Roman" w:hAnsi="Times New Roman" w:cs="Times New Roman" w:hint="eastAsia"/>
                <w:color w:val="000000" w:themeColor="text1"/>
                <w:sz w:val="21"/>
                <w:szCs w:val="21"/>
              </w:rPr>
              <w:t>V</w:t>
            </w:r>
            <w:r w:rsidRPr="00687B52">
              <w:rPr>
                <w:rStyle w:val="9pt"/>
                <w:rFonts w:ascii="Times New Roman" w:eastAsia="宋体" w:hAnsi="Times New Roman" w:cs="Times New Roman" w:hint="eastAsia"/>
                <w:color w:val="000000" w:themeColor="text1"/>
                <w:sz w:val="21"/>
                <w:szCs w:val="21"/>
              </w:rPr>
              <w:t>≤</w:t>
            </w:r>
            <w:r w:rsidRPr="00687B52">
              <w:rPr>
                <w:rStyle w:val="9pt"/>
                <w:rFonts w:ascii="Times New Roman" w:eastAsia="宋体" w:hAnsi="Times New Roman" w:cs="Times New Roman"/>
                <w:color w:val="000000" w:themeColor="text1"/>
                <w:sz w:val="21"/>
                <w:szCs w:val="21"/>
              </w:rPr>
              <w:t>500</w:t>
            </w:r>
          </w:p>
        </w:tc>
        <w:tc>
          <w:tcPr>
            <w:tcW w:w="998"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500 &lt;</w:t>
            </w:r>
            <w:r w:rsidRPr="00687B52">
              <w:rPr>
                <w:rStyle w:val="9pt"/>
                <w:rFonts w:ascii="Times New Roman" w:hAnsi="Times New Roman" w:cs="Times New Roman" w:hint="eastAsia"/>
                <w:color w:val="000000" w:themeColor="text1"/>
                <w:sz w:val="21"/>
                <w:szCs w:val="21"/>
              </w:rPr>
              <w:t>V</w:t>
            </w:r>
            <w:r w:rsidRPr="00687B52">
              <w:rPr>
                <w:rStyle w:val="9pt"/>
                <w:rFonts w:ascii="Times New Roman" w:eastAsia="宋体" w:hAnsi="Times New Roman" w:cs="Times New Roman" w:hint="eastAsia"/>
                <w:color w:val="000000" w:themeColor="text1"/>
                <w:sz w:val="21"/>
                <w:szCs w:val="21"/>
              </w:rPr>
              <w:t>≤</w:t>
            </w:r>
            <w:r w:rsidRPr="00687B52">
              <w:rPr>
                <w:rStyle w:val="10pt"/>
                <w:rFonts w:ascii="Times New Roman" w:eastAsia="宋体" w:hAnsi="Times New Roman" w:cs="Times New Roman"/>
                <w:color w:val="000000" w:themeColor="text1"/>
                <w:sz w:val="21"/>
                <w:szCs w:val="21"/>
              </w:rPr>
              <w:t>1000</w:t>
            </w:r>
          </w:p>
        </w:tc>
        <w:tc>
          <w:tcPr>
            <w:tcW w:w="986" w:type="dxa"/>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10pt"/>
                <w:rFonts w:ascii="Times New Roman" w:eastAsia="宋体" w:hAnsi="Times New Roman" w:cs="Times New Roman"/>
                <w:color w:val="000000" w:themeColor="text1"/>
                <w:sz w:val="21"/>
                <w:szCs w:val="21"/>
              </w:rPr>
              <w:t>1000</w:t>
            </w:r>
            <w:r w:rsidRPr="00687B52">
              <w:rPr>
                <w:rStyle w:val="9pt"/>
                <w:rFonts w:ascii="Times New Roman" w:eastAsia="宋体" w:hAnsi="Times New Roman" w:cs="Times New Roman"/>
                <w:color w:val="000000" w:themeColor="text1"/>
                <w:sz w:val="21"/>
                <w:szCs w:val="21"/>
              </w:rPr>
              <w:t>&lt;</w:t>
            </w:r>
            <w:r w:rsidRPr="00687B52">
              <w:rPr>
                <w:rStyle w:val="9pt"/>
                <w:rFonts w:ascii="Times New Roman" w:hAnsi="Times New Roman" w:cs="Times New Roman" w:hint="eastAsia"/>
                <w:color w:val="000000" w:themeColor="text1"/>
                <w:sz w:val="21"/>
                <w:szCs w:val="21"/>
              </w:rPr>
              <w:t>V</w:t>
            </w:r>
            <w:r w:rsidRPr="00687B52">
              <w:rPr>
                <w:rStyle w:val="9pt"/>
                <w:rFonts w:ascii="Times New Roman" w:eastAsia="宋体" w:hAnsi="Times New Roman" w:cs="Times New Roman" w:hint="eastAsia"/>
                <w:color w:val="000000" w:themeColor="text1"/>
                <w:sz w:val="21"/>
                <w:szCs w:val="21"/>
              </w:rPr>
              <w:t>≤</w:t>
            </w:r>
            <w:r w:rsidRPr="00687B52">
              <w:rPr>
                <w:rStyle w:val="9pt"/>
                <w:rFonts w:ascii="Times New Roman" w:eastAsia="宋体" w:hAnsi="Times New Roman" w:cs="Times New Roman"/>
                <w:color w:val="000000" w:themeColor="text1"/>
                <w:sz w:val="21"/>
                <w:szCs w:val="21"/>
              </w:rPr>
              <w:t>2500</w:t>
            </w:r>
          </w:p>
        </w:tc>
        <w:tc>
          <w:tcPr>
            <w:tcW w:w="889"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2500&lt;</w:t>
            </w:r>
            <w:r w:rsidRPr="00687B52">
              <w:rPr>
                <w:rStyle w:val="9pt"/>
                <w:rFonts w:ascii="Times New Roman" w:hAnsi="Times New Roman" w:cs="Times New Roman" w:hint="eastAsia"/>
                <w:color w:val="000000" w:themeColor="text1"/>
                <w:sz w:val="21"/>
                <w:szCs w:val="21"/>
              </w:rPr>
              <w:t>V</w:t>
            </w:r>
          </w:p>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hint="eastAsia"/>
                <w:color w:val="000000" w:themeColor="text1"/>
                <w:sz w:val="21"/>
                <w:szCs w:val="21"/>
              </w:rPr>
              <w:t>≤</w:t>
            </w:r>
            <w:r w:rsidRPr="00687B52">
              <w:rPr>
                <w:rStyle w:val="9pt"/>
                <w:rFonts w:ascii="Times New Roman" w:eastAsia="宋体" w:hAnsi="Times New Roman" w:cs="Times New Roman"/>
                <w:color w:val="000000" w:themeColor="text1"/>
                <w:sz w:val="21"/>
                <w:szCs w:val="21"/>
              </w:rPr>
              <w:t>5000</w:t>
            </w:r>
          </w:p>
        </w:tc>
        <w:tc>
          <w:tcPr>
            <w:tcW w:w="994" w:type="dxa"/>
            <w:tcBorders>
              <w:top w:val="single" w:sz="4" w:space="0" w:color="auto"/>
              <w:left w:val="single" w:sz="4" w:space="0" w:color="auto"/>
              <w:righ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hAnsi="Times New Roman" w:cs="Times New Roman"/>
                <w:color w:val="000000" w:themeColor="text1"/>
                <w:sz w:val="21"/>
                <w:szCs w:val="21"/>
              </w:rPr>
              <w:t>5000 &lt;</w:t>
            </w:r>
            <w:r w:rsidRPr="00687B52">
              <w:rPr>
                <w:rStyle w:val="9pt"/>
                <w:rFonts w:ascii="Times New Roman" w:hAnsi="Times New Roman" w:cs="Times New Roman" w:hint="eastAsia"/>
                <w:color w:val="000000" w:themeColor="text1"/>
                <w:sz w:val="21"/>
                <w:szCs w:val="21"/>
              </w:rPr>
              <w:t>V</w:t>
            </w:r>
            <w:r w:rsidRPr="00687B52">
              <w:rPr>
                <w:rStyle w:val="9pt"/>
                <w:rFonts w:ascii="Times New Roman" w:eastAsia="宋体" w:hAnsi="Times New Roman" w:cs="Times New Roman" w:hint="eastAsia"/>
                <w:color w:val="000000" w:themeColor="text1"/>
                <w:sz w:val="21"/>
                <w:szCs w:val="21"/>
              </w:rPr>
              <w:t>≤</w:t>
            </w:r>
            <w:r w:rsidRPr="00687B52">
              <w:rPr>
                <w:rStyle w:val="10pt"/>
                <w:rFonts w:ascii="Times New Roman" w:eastAsia="宋体" w:hAnsi="Times New Roman" w:cs="Times New Roman"/>
                <w:color w:val="000000" w:themeColor="text1"/>
                <w:sz w:val="21"/>
                <w:szCs w:val="21"/>
              </w:rPr>
              <w:t>10000</w:t>
            </w:r>
          </w:p>
        </w:tc>
      </w:tr>
      <w:tr w:rsidR="00B76060" w:rsidRPr="00687B52" w:rsidTr="005F5072">
        <w:tc>
          <w:tcPr>
            <w:tcW w:w="3131"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MingLiU"/>
                <w:rFonts w:ascii="Times New Roman" w:eastAsia="宋体" w:hAnsi="Times New Roman" w:cs="Times New Roman"/>
                <w:b w:val="0"/>
                <w:color w:val="000000" w:themeColor="text1"/>
                <w:sz w:val="21"/>
                <w:szCs w:val="21"/>
              </w:rPr>
              <w:t>单罐容积</w:t>
            </w:r>
            <w:r w:rsidRPr="00687B52">
              <w:rPr>
                <w:rStyle w:val="9pt"/>
                <w:rFonts w:ascii="Times New Roman" w:hAnsi="Times New Roman" w:cs="Times New Roman" w:hint="eastAsia"/>
                <w:color w:val="000000" w:themeColor="text1"/>
                <w:sz w:val="21"/>
                <w:szCs w:val="21"/>
              </w:rPr>
              <w:t>V</w:t>
            </w:r>
            <w:r w:rsidRPr="00687B52">
              <w:rPr>
                <w:rStyle w:val="9pt"/>
                <w:rFonts w:ascii="Times New Roman" w:cs="Times New Roman" w:hint="eastAsia"/>
                <w:color w:val="000000" w:themeColor="text1"/>
                <w:sz w:val="21"/>
                <w:szCs w:val="21"/>
              </w:rPr>
              <w:t>（</w:t>
            </w:r>
            <w:r w:rsidRPr="00687B52">
              <w:rPr>
                <w:rStyle w:val="9pt"/>
                <w:rFonts w:ascii="Times New Roman" w:eastAsia="宋体" w:hAnsi="Times New Roman" w:cs="Times New Roman"/>
                <w:color w:val="000000" w:themeColor="text1"/>
                <w:sz w:val="21"/>
                <w:szCs w:val="21"/>
              </w:rPr>
              <w:t>m</w:t>
            </w:r>
            <w:r w:rsidRPr="00687B52">
              <w:rPr>
                <w:rStyle w:val="9pt"/>
                <w:rFonts w:ascii="Times New Roman" w:eastAsia="宋体" w:hAnsi="Times New Roman" w:cs="Times New Roman"/>
                <w:color w:val="000000" w:themeColor="text1"/>
                <w:sz w:val="21"/>
                <w:szCs w:val="21"/>
                <w:vertAlign w:val="superscript"/>
              </w:rPr>
              <w:t>3</w:t>
            </w:r>
            <w:r w:rsidRPr="00687B52">
              <w:rPr>
                <w:rStyle w:val="9pt"/>
                <w:rFonts w:ascii="Times New Roman" w:cs="Times New Roman" w:hint="eastAsia"/>
                <w:color w:val="000000" w:themeColor="text1"/>
                <w:sz w:val="21"/>
                <w:szCs w:val="21"/>
              </w:rPr>
              <w:t>）</w:t>
            </w:r>
          </w:p>
        </w:tc>
        <w:tc>
          <w:tcPr>
            <w:tcW w:w="698" w:type="dxa"/>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hAnsi="Times New Roman" w:cs="Times New Roman" w:hint="eastAsia"/>
                <w:color w:val="000000" w:themeColor="text1"/>
                <w:sz w:val="21"/>
                <w:szCs w:val="21"/>
              </w:rPr>
              <w:t>V</w:t>
            </w:r>
            <w:r w:rsidRPr="00687B52">
              <w:rPr>
                <w:rStyle w:val="9pt"/>
                <w:rFonts w:ascii="Times New Roman" w:eastAsia="宋体" w:hAnsi="Times New Roman" w:cs="Times New Roman" w:hint="eastAsia"/>
                <w:color w:val="000000" w:themeColor="text1"/>
                <w:sz w:val="21"/>
                <w:szCs w:val="21"/>
              </w:rPr>
              <w:t>≤</w:t>
            </w:r>
            <w:r w:rsidRPr="00687B52">
              <w:rPr>
                <w:rStyle w:val="10pt"/>
                <w:rFonts w:ascii="Times New Roman" w:eastAsia="宋体" w:hAnsi="Times New Roman" w:cs="Times New Roman"/>
                <w:color w:val="000000" w:themeColor="text1"/>
                <w:sz w:val="21"/>
                <w:szCs w:val="21"/>
              </w:rPr>
              <w:t>20</w:t>
            </w:r>
          </w:p>
        </w:tc>
        <w:tc>
          <w:tcPr>
            <w:tcW w:w="810"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hAnsi="Times New Roman" w:cs="Times New Roman" w:hint="eastAsia"/>
                <w:color w:val="000000" w:themeColor="text1"/>
                <w:sz w:val="21"/>
                <w:szCs w:val="21"/>
              </w:rPr>
              <w:t>V</w:t>
            </w:r>
            <w:r w:rsidRPr="00687B52">
              <w:rPr>
                <w:rStyle w:val="9pt"/>
                <w:rFonts w:ascii="Times New Roman" w:eastAsia="宋体" w:hAnsi="Times New Roman" w:cs="Times New Roman" w:hint="eastAsia"/>
                <w:color w:val="000000" w:themeColor="text1"/>
                <w:sz w:val="21"/>
                <w:szCs w:val="21"/>
              </w:rPr>
              <w:t>≤</w:t>
            </w:r>
            <w:r w:rsidRPr="00687B52">
              <w:rPr>
                <w:rStyle w:val="9pt"/>
                <w:rFonts w:ascii="Times New Roman" w:eastAsia="宋体" w:hAnsi="Times New Roman" w:cs="Times New Roman"/>
                <w:color w:val="000000" w:themeColor="text1"/>
                <w:sz w:val="21"/>
                <w:szCs w:val="21"/>
              </w:rPr>
              <w:t>50</w:t>
            </w:r>
          </w:p>
        </w:tc>
        <w:tc>
          <w:tcPr>
            <w:tcW w:w="925"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hAnsi="Times New Roman" w:cs="Times New Roman" w:hint="eastAsia"/>
                <w:color w:val="000000" w:themeColor="text1"/>
                <w:sz w:val="21"/>
                <w:szCs w:val="21"/>
              </w:rPr>
              <w:t>V</w:t>
            </w:r>
            <w:r w:rsidRPr="00687B52">
              <w:rPr>
                <w:rStyle w:val="9pt"/>
                <w:rFonts w:ascii="Times New Roman" w:eastAsia="宋体" w:hAnsi="Times New Roman" w:cs="Times New Roman" w:hint="eastAsia"/>
                <w:color w:val="000000" w:themeColor="text1"/>
                <w:sz w:val="21"/>
                <w:szCs w:val="21"/>
              </w:rPr>
              <w:t>≤</w:t>
            </w:r>
            <w:r w:rsidRPr="00687B52">
              <w:rPr>
                <w:rStyle w:val="10pt"/>
                <w:rFonts w:ascii="Times New Roman" w:eastAsia="宋体" w:hAnsi="Times New Roman" w:cs="Times New Roman"/>
                <w:color w:val="000000" w:themeColor="text1"/>
                <w:sz w:val="21"/>
                <w:szCs w:val="21"/>
              </w:rPr>
              <w:t>100</w:t>
            </w:r>
          </w:p>
        </w:tc>
        <w:tc>
          <w:tcPr>
            <w:tcW w:w="998"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hAnsi="Times New Roman" w:cs="Times New Roman" w:hint="eastAsia"/>
                <w:color w:val="000000" w:themeColor="text1"/>
                <w:sz w:val="21"/>
                <w:szCs w:val="21"/>
              </w:rPr>
              <w:t>V</w:t>
            </w:r>
            <w:r w:rsidRPr="00687B52">
              <w:rPr>
                <w:rStyle w:val="9pt"/>
                <w:rFonts w:ascii="Times New Roman" w:eastAsia="宋体" w:hAnsi="Times New Roman" w:cs="Times New Roman" w:hint="eastAsia"/>
                <w:color w:val="000000" w:themeColor="text1"/>
                <w:sz w:val="21"/>
                <w:szCs w:val="21"/>
              </w:rPr>
              <w:t>≤</w:t>
            </w:r>
            <w:r w:rsidRPr="00687B52">
              <w:rPr>
                <w:rStyle w:val="10pt"/>
                <w:rFonts w:ascii="Times New Roman" w:eastAsia="宋体" w:hAnsi="Times New Roman" w:cs="Times New Roman"/>
                <w:color w:val="000000" w:themeColor="text1"/>
                <w:sz w:val="21"/>
                <w:szCs w:val="21"/>
              </w:rPr>
              <w:t>200</w:t>
            </w:r>
          </w:p>
        </w:tc>
        <w:tc>
          <w:tcPr>
            <w:tcW w:w="986" w:type="dxa"/>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hAnsi="Times New Roman" w:cs="Times New Roman" w:hint="eastAsia"/>
                <w:color w:val="000000" w:themeColor="text1"/>
                <w:sz w:val="21"/>
                <w:szCs w:val="21"/>
              </w:rPr>
              <w:t>V</w:t>
            </w:r>
            <w:r w:rsidRPr="00687B52">
              <w:rPr>
                <w:rStyle w:val="9pt"/>
                <w:rFonts w:ascii="Times New Roman" w:eastAsia="宋体" w:hAnsi="Times New Roman" w:cs="Times New Roman" w:hint="eastAsia"/>
                <w:color w:val="000000" w:themeColor="text1"/>
                <w:sz w:val="21"/>
                <w:szCs w:val="21"/>
              </w:rPr>
              <w:t>≤</w:t>
            </w:r>
            <w:r w:rsidRPr="00687B52">
              <w:rPr>
                <w:rStyle w:val="9pt"/>
                <w:rFonts w:ascii="Times New Roman" w:eastAsia="宋体" w:hAnsi="Times New Roman" w:cs="Times New Roman"/>
                <w:color w:val="000000" w:themeColor="text1"/>
                <w:sz w:val="21"/>
                <w:szCs w:val="21"/>
              </w:rPr>
              <w:t>400</w:t>
            </w:r>
          </w:p>
        </w:tc>
        <w:tc>
          <w:tcPr>
            <w:tcW w:w="889"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hAnsi="Times New Roman" w:cs="Times New Roman" w:hint="eastAsia"/>
                <w:color w:val="000000" w:themeColor="text1"/>
                <w:sz w:val="21"/>
                <w:szCs w:val="21"/>
              </w:rPr>
              <w:t>V</w:t>
            </w:r>
            <w:r w:rsidRPr="00687B52">
              <w:rPr>
                <w:rStyle w:val="9pt"/>
                <w:rFonts w:ascii="Times New Roman" w:eastAsia="宋体" w:hAnsi="Times New Roman" w:cs="Times New Roman" w:hint="eastAsia"/>
                <w:color w:val="000000" w:themeColor="text1"/>
                <w:sz w:val="21"/>
                <w:szCs w:val="21"/>
              </w:rPr>
              <w:t>≤</w:t>
            </w:r>
            <w:r w:rsidRPr="00687B52">
              <w:rPr>
                <w:rStyle w:val="10pt"/>
                <w:rFonts w:ascii="Times New Roman" w:eastAsia="宋体" w:hAnsi="Times New Roman" w:cs="Times New Roman"/>
                <w:color w:val="000000" w:themeColor="text1"/>
                <w:sz w:val="21"/>
                <w:szCs w:val="21"/>
              </w:rPr>
              <w:t>1000</w:t>
            </w:r>
          </w:p>
        </w:tc>
        <w:tc>
          <w:tcPr>
            <w:tcW w:w="994" w:type="dxa"/>
            <w:tcBorders>
              <w:top w:val="single" w:sz="4" w:space="0" w:color="auto"/>
              <w:left w:val="single" w:sz="4" w:space="0" w:color="auto"/>
              <w:righ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10pt"/>
                <w:rFonts w:ascii="Times New Roman" w:eastAsia="宋体" w:hAnsi="Times New Roman" w:cs="Times New Roman"/>
                <w:color w:val="000000" w:themeColor="text1"/>
                <w:sz w:val="21"/>
                <w:szCs w:val="21"/>
              </w:rPr>
              <w:t>V</w:t>
            </w:r>
            <w:r w:rsidRPr="00687B52">
              <w:rPr>
                <w:rStyle w:val="10pt"/>
                <w:rFonts w:ascii="Times New Roman" w:eastAsia="宋体" w:hAnsi="Times New Roman" w:cs="Times New Roman" w:hint="eastAsia"/>
                <w:color w:val="000000" w:themeColor="text1"/>
                <w:sz w:val="21"/>
                <w:szCs w:val="21"/>
              </w:rPr>
              <w:t>&gt;</w:t>
            </w:r>
          </w:p>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10pt"/>
                <w:rFonts w:ascii="Times New Roman" w:eastAsia="宋体" w:hAnsi="Times New Roman" w:cs="Times New Roman"/>
                <w:color w:val="000000" w:themeColor="text1"/>
                <w:sz w:val="21"/>
                <w:szCs w:val="21"/>
              </w:rPr>
              <w:t>1000</w:t>
            </w:r>
          </w:p>
        </w:tc>
      </w:tr>
      <w:tr w:rsidR="00B76060" w:rsidRPr="00687B52" w:rsidTr="005F5072">
        <w:tc>
          <w:tcPr>
            <w:tcW w:w="3131"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MingLiU"/>
                <w:rFonts w:ascii="Times New Roman" w:eastAsia="宋体" w:hAnsi="Times New Roman" w:cs="Times New Roman"/>
                <w:b w:val="0"/>
                <w:color w:val="000000" w:themeColor="text1"/>
                <w:sz w:val="21"/>
                <w:szCs w:val="21"/>
              </w:rPr>
              <w:t>居住区、村镇和重要公共建筑</w:t>
            </w:r>
            <w:r w:rsidRPr="00687B52">
              <w:rPr>
                <w:rStyle w:val="MingLiU"/>
                <w:rFonts w:ascii="Times New Roman" w:eastAsia="宋体" w:hAnsi="Times New Roman" w:cs="Times New Roman"/>
                <w:b w:val="0"/>
                <w:color w:val="000000" w:themeColor="text1"/>
                <w:sz w:val="21"/>
                <w:szCs w:val="21"/>
              </w:rPr>
              <w:t xml:space="preserve"> </w:t>
            </w:r>
            <w:r w:rsidRPr="00687B52">
              <w:rPr>
                <w:rStyle w:val="9pt"/>
                <w:rFonts w:ascii="Times New Roman" w:cs="Times New Roman" w:hint="eastAsia"/>
                <w:color w:val="000000" w:themeColor="text1"/>
                <w:sz w:val="21"/>
                <w:szCs w:val="21"/>
              </w:rPr>
              <w:t>（</w:t>
            </w:r>
            <w:r w:rsidRPr="00687B52">
              <w:rPr>
                <w:rStyle w:val="MingLiU"/>
                <w:rFonts w:ascii="Times New Roman" w:eastAsia="宋体" w:hAnsi="Times New Roman" w:cs="Times New Roman"/>
                <w:b w:val="0"/>
                <w:color w:val="000000" w:themeColor="text1"/>
                <w:sz w:val="21"/>
                <w:szCs w:val="21"/>
              </w:rPr>
              <w:t>最外侧建筑物的外墙）</w:t>
            </w:r>
          </w:p>
        </w:tc>
        <w:tc>
          <w:tcPr>
            <w:tcW w:w="698" w:type="dxa"/>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45</w:t>
            </w:r>
          </w:p>
        </w:tc>
        <w:tc>
          <w:tcPr>
            <w:tcW w:w="810"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50</w:t>
            </w:r>
          </w:p>
        </w:tc>
        <w:tc>
          <w:tcPr>
            <w:tcW w:w="925"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70</w:t>
            </w:r>
          </w:p>
        </w:tc>
        <w:tc>
          <w:tcPr>
            <w:tcW w:w="998"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90</w:t>
            </w:r>
          </w:p>
        </w:tc>
        <w:tc>
          <w:tcPr>
            <w:tcW w:w="986" w:type="dxa"/>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10pt"/>
                <w:rFonts w:ascii="Times New Roman" w:eastAsia="宋体" w:hAnsi="Times New Roman" w:cs="Times New Roman"/>
                <w:color w:val="000000" w:themeColor="text1"/>
                <w:sz w:val="21"/>
                <w:szCs w:val="21"/>
              </w:rPr>
              <w:t>110</w:t>
            </w:r>
          </w:p>
        </w:tc>
        <w:tc>
          <w:tcPr>
            <w:tcW w:w="889"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130</w:t>
            </w:r>
          </w:p>
        </w:tc>
        <w:tc>
          <w:tcPr>
            <w:tcW w:w="994" w:type="dxa"/>
            <w:tcBorders>
              <w:top w:val="single" w:sz="4" w:space="0" w:color="auto"/>
              <w:left w:val="single" w:sz="4" w:space="0" w:color="auto"/>
              <w:righ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150</w:t>
            </w:r>
          </w:p>
        </w:tc>
      </w:tr>
      <w:tr w:rsidR="00B76060" w:rsidRPr="00687B52" w:rsidTr="005F5072">
        <w:tc>
          <w:tcPr>
            <w:tcW w:w="3131"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工业企业</w:t>
            </w:r>
          </w:p>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cs="Times New Roman" w:hint="eastAsia"/>
                <w:color w:val="000000" w:themeColor="text1"/>
                <w:sz w:val="21"/>
                <w:szCs w:val="21"/>
              </w:rPr>
              <w:t>（</w:t>
            </w:r>
            <w:r w:rsidRPr="00687B52">
              <w:rPr>
                <w:rStyle w:val="MingLiU"/>
                <w:rFonts w:ascii="Times New Roman" w:eastAsia="宋体" w:hAnsi="Times New Roman" w:cs="Times New Roman"/>
                <w:b w:val="0"/>
                <w:color w:val="000000" w:themeColor="text1"/>
                <w:sz w:val="21"/>
                <w:szCs w:val="21"/>
              </w:rPr>
              <w:t>最外侧建筑物的外墙）</w:t>
            </w:r>
          </w:p>
        </w:tc>
        <w:tc>
          <w:tcPr>
            <w:tcW w:w="698" w:type="dxa"/>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27</w:t>
            </w:r>
          </w:p>
        </w:tc>
        <w:tc>
          <w:tcPr>
            <w:tcW w:w="810"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30</w:t>
            </w:r>
          </w:p>
        </w:tc>
        <w:tc>
          <w:tcPr>
            <w:tcW w:w="925"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35</w:t>
            </w:r>
          </w:p>
        </w:tc>
        <w:tc>
          <w:tcPr>
            <w:tcW w:w="998"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40</w:t>
            </w:r>
          </w:p>
        </w:tc>
        <w:tc>
          <w:tcPr>
            <w:tcW w:w="986" w:type="dxa"/>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50</w:t>
            </w:r>
          </w:p>
        </w:tc>
        <w:tc>
          <w:tcPr>
            <w:tcW w:w="889"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60</w:t>
            </w:r>
          </w:p>
        </w:tc>
        <w:tc>
          <w:tcPr>
            <w:tcW w:w="994" w:type="dxa"/>
            <w:tcBorders>
              <w:top w:val="single" w:sz="4" w:space="0" w:color="auto"/>
              <w:left w:val="single" w:sz="4" w:space="0" w:color="auto"/>
              <w:righ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75</w:t>
            </w:r>
          </w:p>
        </w:tc>
      </w:tr>
      <w:tr w:rsidR="00B76060" w:rsidRPr="00687B52" w:rsidTr="005F5072">
        <w:tc>
          <w:tcPr>
            <w:tcW w:w="3131"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color w:val="000000" w:themeColor="text1"/>
                <w:sz w:val="21"/>
                <w:szCs w:val="21"/>
              </w:rPr>
            </w:pPr>
            <w:r w:rsidRPr="00687B52">
              <w:rPr>
                <w:rStyle w:val="MingLiU"/>
                <w:rFonts w:ascii="Times New Roman" w:eastAsia="宋体" w:hAnsi="Times New Roman" w:cs="Times New Roman"/>
                <w:b w:val="0"/>
                <w:color w:val="000000" w:themeColor="text1"/>
                <w:sz w:val="21"/>
                <w:szCs w:val="21"/>
              </w:rPr>
              <w:t>明火或散发火花地点，室外变、配电站</w:t>
            </w:r>
          </w:p>
        </w:tc>
        <w:tc>
          <w:tcPr>
            <w:tcW w:w="698" w:type="dxa"/>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45</w:t>
            </w:r>
          </w:p>
        </w:tc>
        <w:tc>
          <w:tcPr>
            <w:tcW w:w="810"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50</w:t>
            </w:r>
          </w:p>
        </w:tc>
        <w:tc>
          <w:tcPr>
            <w:tcW w:w="925"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55</w:t>
            </w:r>
          </w:p>
        </w:tc>
        <w:tc>
          <w:tcPr>
            <w:tcW w:w="998"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60</w:t>
            </w:r>
          </w:p>
        </w:tc>
        <w:tc>
          <w:tcPr>
            <w:tcW w:w="986" w:type="dxa"/>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70</w:t>
            </w:r>
          </w:p>
        </w:tc>
        <w:tc>
          <w:tcPr>
            <w:tcW w:w="889"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80</w:t>
            </w:r>
          </w:p>
        </w:tc>
        <w:tc>
          <w:tcPr>
            <w:tcW w:w="994" w:type="dxa"/>
            <w:tcBorders>
              <w:top w:val="single" w:sz="4" w:space="0" w:color="auto"/>
              <w:left w:val="single" w:sz="4" w:space="0" w:color="auto"/>
              <w:righ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10pt"/>
                <w:rFonts w:ascii="Times New Roman" w:eastAsia="宋体" w:hAnsi="Times New Roman" w:cs="Times New Roman"/>
                <w:color w:val="000000" w:themeColor="text1"/>
                <w:sz w:val="21"/>
                <w:szCs w:val="21"/>
              </w:rPr>
              <w:t>120</w:t>
            </w:r>
          </w:p>
        </w:tc>
      </w:tr>
      <w:tr w:rsidR="00B76060" w:rsidRPr="00687B52" w:rsidTr="005F5072">
        <w:tc>
          <w:tcPr>
            <w:tcW w:w="3131"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color w:val="000000" w:themeColor="text1"/>
                <w:sz w:val="21"/>
                <w:szCs w:val="21"/>
              </w:rPr>
            </w:pPr>
            <w:r w:rsidRPr="00687B52">
              <w:rPr>
                <w:rStyle w:val="MingLiU"/>
                <w:rFonts w:ascii="Times New Roman" w:eastAsia="宋体" w:hAnsi="Times New Roman" w:cs="Times New Roman"/>
                <w:b w:val="0"/>
                <w:color w:val="000000" w:themeColor="text1"/>
                <w:sz w:val="21"/>
                <w:szCs w:val="21"/>
              </w:rPr>
              <w:t>其他民用建筑，甲、乙类液体储</w:t>
            </w:r>
            <w:r w:rsidRPr="00687B52">
              <w:rPr>
                <w:rStyle w:val="MingLiU"/>
                <w:rFonts w:ascii="Times New Roman" w:eastAsia="宋体" w:hAnsi="Times New Roman" w:cs="Times New Roman" w:hint="eastAsia"/>
                <w:b w:val="0"/>
                <w:color w:val="000000" w:themeColor="text1"/>
                <w:sz w:val="21"/>
                <w:szCs w:val="21"/>
              </w:rPr>
              <w:t>罐</w:t>
            </w:r>
            <w:r w:rsidRPr="00687B52">
              <w:rPr>
                <w:rStyle w:val="MingLiU"/>
                <w:rFonts w:ascii="Times New Roman" w:hAnsi="Times New Roman" w:cs="Times New Roman" w:hint="eastAsia"/>
                <w:b w:val="0"/>
                <w:color w:val="000000" w:themeColor="text1"/>
                <w:sz w:val="21"/>
                <w:szCs w:val="21"/>
              </w:rPr>
              <w:t>，</w:t>
            </w:r>
            <w:r w:rsidRPr="00687B52">
              <w:rPr>
                <w:rStyle w:val="MingLiU"/>
                <w:rFonts w:ascii="Times New Roman" w:eastAsia="宋体" w:hAnsi="Times New Roman" w:cs="Times New Roman"/>
                <w:b w:val="0"/>
                <w:color w:val="000000" w:themeColor="text1"/>
                <w:sz w:val="21"/>
                <w:szCs w:val="21"/>
              </w:rPr>
              <w:t>甲、乙类仓库，甲、乙类厂房，秸杆、芦苇、打包废纸等材料堆场</w:t>
            </w:r>
          </w:p>
        </w:tc>
        <w:tc>
          <w:tcPr>
            <w:tcW w:w="698" w:type="dxa"/>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40</w:t>
            </w:r>
          </w:p>
        </w:tc>
        <w:tc>
          <w:tcPr>
            <w:tcW w:w="810"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45</w:t>
            </w:r>
          </w:p>
        </w:tc>
        <w:tc>
          <w:tcPr>
            <w:tcW w:w="925"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50</w:t>
            </w:r>
          </w:p>
        </w:tc>
        <w:tc>
          <w:tcPr>
            <w:tcW w:w="998"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55</w:t>
            </w:r>
          </w:p>
        </w:tc>
        <w:tc>
          <w:tcPr>
            <w:tcW w:w="986" w:type="dxa"/>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65</w:t>
            </w:r>
          </w:p>
        </w:tc>
        <w:tc>
          <w:tcPr>
            <w:tcW w:w="889"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75</w:t>
            </w:r>
          </w:p>
        </w:tc>
        <w:tc>
          <w:tcPr>
            <w:tcW w:w="994" w:type="dxa"/>
            <w:tcBorders>
              <w:top w:val="single" w:sz="4" w:space="0" w:color="auto"/>
              <w:left w:val="single" w:sz="4" w:space="0" w:color="auto"/>
              <w:righ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10pt"/>
                <w:rFonts w:ascii="Times New Roman" w:eastAsia="宋体" w:hAnsi="Times New Roman" w:cs="Times New Roman"/>
                <w:color w:val="000000" w:themeColor="text1"/>
                <w:sz w:val="21"/>
                <w:szCs w:val="21"/>
              </w:rPr>
              <w:t>100</w:t>
            </w:r>
          </w:p>
        </w:tc>
      </w:tr>
      <w:tr w:rsidR="00B76060" w:rsidRPr="00687B52" w:rsidTr="005F5072">
        <w:tc>
          <w:tcPr>
            <w:tcW w:w="3131"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color w:val="000000" w:themeColor="text1"/>
                <w:sz w:val="21"/>
                <w:szCs w:val="21"/>
              </w:rPr>
            </w:pPr>
            <w:r w:rsidRPr="00687B52">
              <w:rPr>
                <w:rStyle w:val="MingLiU"/>
                <w:rFonts w:ascii="Times New Roman" w:eastAsia="宋体" w:hAnsi="Times New Roman" w:cs="Times New Roman"/>
                <w:b w:val="0"/>
                <w:color w:val="000000" w:themeColor="text1"/>
                <w:sz w:val="21"/>
                <w:szCs w:val="21"/>
              </w:rPr>
              <w:t>丙类液体储罐，可燃气体储罐，丙、丁类厂房，丙、丁类仓库</w:t>
            </w:r>
          </w:p>
        </w:tc>
        <w:tc>
          <w:tcPr>
            <w:tcW w:w="698" w:type="dxa"/>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32</w:t>
            </w:r>
          </w:p>
        </w:tc>
        <w:tc>
          <w:tcPr>
            <w:tcW w:w="810"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35</w:t>
            </w:r>
          </w:p>
        </w:tc>
        <w:tc>
          <w:tcPr>
            <w:tcW w:w="925"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40</w:t>
            </w:r>
          </w:p>
        </w:tc>
        <w:tc>
          <w:tcPr>
            <w:tcW w:w="998"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45</w:t>
            </w:r>
          </w:p>
        </w:tc>
        <w:tc>
          <w:tcPr>
            <w:tcW w:w="986" w:type="dxa"/>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55</w:t>
            </w:r>
          </w:p>
        </w:tc>
        <w:tc>
          <w:tcPr>
            <w:tcW w:w="889"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65</w:t>
            </w:r>
          </w:p>
        </w:tc>
        <w:tc>
          <w:tcPr>
            <w:tcW w:w="994" w:type="dxa"/>
            <w:tcBorders>
              <w:top w:val="single" w:sz="4" w:space="0" w:color="auto"/>
              <w:left w:val="single" w:sz="4" w:space="0" w:color="auto"/>
              <w:righ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80</w:t>
            </w:r>
          </w:p>
        </w:tc>
      </w:tr>
      <w:tr w:rsidR="00B76060" w:rsidRPr="00687B52" w:rsidTr="005F5072">
        <w:tc>
          <w:tcPr>
            <w:tcW w:w="3131"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color w:val="000000" w:themeColor="text1"/>
                <w:sz w:val="21"/>
                <w:szCs w:val="21"/>
              </w:rPr>
            </w:pPr>
            <w:r w:rsidRPr="00687B52">
              <w:rPr>
                <w:rStyle w:val="MingLiU"/>
                <w:rFonts w:ascii="Times New Roman" w:eastAsia="宋体" w:hAnsi="Times New Roman" w:cs="Times New Roman"/>
                <w:b w:val="0"/>
                <w:color w:val="000000" w:themeColor="text1"/>
                <w:sz w:val="21"/>
                <w:szCs w:val="21"/>
              </w:rPr>
              <w:t>助燃气体储罐，木材等材料堆场</w:t>
            </w:r>
          </w:p>
        </w:tc>
        <w:tc>
          <w:tcPr>
            <w:tcW w:w="698" w:type="dxa"/>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27</w:t>
            </w:r>
          </w:p>
        </w:tc>
        <w:tc>
          <w:tcPr>
            <w:tcW w:w="810"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30</w:t>
            </w:r>
          </w:p>
        </w:tc>
        <w:tc>
          <w:tcPr>
            <w:tcW w:w="925"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35</w:t>
            </w:r>
          </w:p>
        </w:tc>
        <w:tc>
          <w:tcPr>
            <w:tcW w:w="998"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40</w:t>
            </w:r>
          </w:p>
        </w:tc>
        <w:tc>
          <w:tcPr>
            <w:tcW w:w="986" w:type="dxa"/>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50</w:t>
            </w:r>
          </w:p>
        </w:tc>
        <w:tc>
          <w:tcPr>
            <w:tcW w:w="889"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60</w:t>
            </w:r>
          </w:p>
        </w:tc>
        <w:tc>
          <w:tcPr>
            <w:tcW w:w="994" w:type="dxa"/>
            <w:tcBorders>
              <w:top w:val="single" w:sz="4" w:space="0" w:color="auto"/>
              <w:left w:val="single" w:sz="4" w:space="0" w:color="auto"/>
              <w:righ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Fonts w:ascii="Times New Roman" w:eastAsia="宋体" w:hAnsi="Times New Roman" w:cs="Times New Roman"/>
                <w:color w:val="000000" w:themeColor="text1"/>
                <w:sz w:val="21"/>
                <w:szCs w:val="21"/>
              </w:rPr>
            </w:pPr>
            <w:r w:rsidRPr="00687B52">
              <w:rPr>
                <w:rStyle w:val="9pt"/>
                <w:rFonts w:ascii="Times New Roman" w:eastAsia="宋体" w:hAnsi="Times New Roman" w:cs="Times New Roman"/>
                <w:color w:val="000000" w:themeColor="text1"/>
                <w:sz w:val="21"/>
                <w:szCs w:val="21"/>
              </w:rPr>
              <w:t>75</w:t>
            </w:r>
          </w:p>
        </w:tc>
      </w:tr>
      <w:tr w:rsidR="00B76060" w:rsidRPr="00687B52" w:rsidTr="005F5072">
        <w:tc>
          <w:tcPr>
            <w:tcW w:w="1046" w:type="dxa"/>
            <w:vMerge w:val="restart"/>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其他</w:t>
            </w:r>
          </w:p>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建筑</w:t>
            </w:r>
          </w:p>
        </w:tc>
        <w:tc>
          <w:tcPr>
            <w:tcW w:w="2085" w:type="dxa"/>
            <w:gridSpan w:val="2"/>
            <w:tcBorders>
              <w:top w:val="single" w:sz="4" w:space="0" w:color="auto"/>
              <w:left w:val="single" w:sz="4" w:space="0" w:color="auto"/>
              <w:bottom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一、二级</w:t>
            </w:r>
          </w:p>
        </w:tc>
        <w:tc>
          <w:tcPr>
            <w:tcW w:w="698" w:type="dxa"/>
            <w:tcBorders>
              <w:top w:val="single" w:sz="4" w:space="0" w:color="auto"/>
              <w:left w:val="single" w:sz="4" w:space="0" w:color="auto"/>
              <w:bottom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18</w:t>
            </w:r>
          </w:p>
        </w:tc>
        <w:tc>
          <w:tcPr>
            <w:tcW w:w="810" w:type="dxa"/>
            <w:gridSpan w:val="2"/>
            <w:tcBorders>
              <w:top w:val="single" w:sz="4" w:space="0" w:color="auto"/>
              <w:left w:val="single" w:sz="4" w:space="0" w:color="auto"/>
              <w:bottom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20</w:t>
            </w:r>
          </w:p>
        </w:tc>
        <w:tc>
          <w:tcPr>
            <w:tcW w:w="925" w:type="dxa"/>
            <w:gridSpan w:val="3"/>
            <w:tcBorders>
              <w:top w:val="single" w:sz="4" w:space="0" w:color="auto"/>
              <w:left w:val="single" w:sz="4" w:space="0" w:color="auto"/>
              <w:bottom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22</w:t>
            </w:r>
          </w:p>
        </w:tc>
        <w:tc>
          <w:tcPr>
            <w:tcW w:w="998" w:type="dxa"/>
            <w:gridSpan w:val="2"/>
            <w:tcBorders>
              <w:top w:val="single" w:sz="4" w:space="0" w:color="auto"/>
              <w:left w:val="single" w:sz="4" w:space="0" w:color="auto"/>
              <w:bottom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25</w:t>
            </w:r>
          </w:p>
        </w:tc>
        <w:tc>
          <w:tcPr>
            <w:tcW w:w="986" w:type="dxa"/>
            <w:tcBorders>
              <w:top w:val="single" w:sz="4" w:space="0" w:color="auto"/>
              <w:left w:val="single" w:sz="4" w:space="0" w:color="auto"/>
              <w:bottom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30</w:t>
            </w:r>
          </w:p>
        </w:tc>
        <w:tc>
          <w:tcPr>
            <w:tcW w:w="889" w:type="dxa"/>
            <w:gridSpan w:val="3"/>
            <w:tcBorders>
              <w:top w:val="single" w:sz="4" w:space="0" w:color="auto"/>
              <w:left w:val="single" w:sz="4" w:space="0" w:color="auto"/>
              <w:bottom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40</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50</w:t>
            </w:r>
          </w:p>
        </w:tc>
      </w:tr>
      <w:tr w:rsidR="00B76060" w:rsidRPr="00687B52" w:rsidTr="005F5072">
        <w:tc>
          <w:tcPr>
            <w:tcW w:w="1046" w:type="dxa"/>
            <w:vMerge/>
            <w:tcBorders>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p>
        </w:tc>
        <w:tc>
          <w:tcPr>
            <w:tcW w:w="2085"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cs="Times New Roman" w:hint="eastAsia"/>
                <w:b w:val="0"/>
                <w:color w:val="000000" w:themeColor="text1"/>
                <w:sz w:val="21"/>
                <w:szCs w:val="21"/>
              </w:rPr>
              <w:t>三</w:t>
            </w:r>
            <w:r w:rsidRPr="00687B52">
              <w:rPr>
                <w:rStyle w:val="MingLiU"/>
                <w:rFonts w:ascii="Times New Roman" w:eastAsia="宋体" w:hAnsi="Times New Roman" w:cs="Times New Roman"/>
                <w:b w:val="0"/>
                <w:color w:val="000000" w:themeColor="text1"/>
                <w:sz w:val="21"/>
                <w:szCs w:val="21"/>
              </w:rPr>
              <w:t>级</w:t>
            </w:r>
          </w:p>
        </w:tc>
        <w:tc>
          <w:tcPr>
            <w:tcW w:w="709"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22</w:t>
            </w:r>
          </w:p>
        </w:tc>
        <w:tc>
          <w:tcPr>
            <w:tcW w:w="810"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25</w:t>
            </w:r>
          </w:p>
        </w:tc>
        <w:tc>
          <w:tcPr>
            <w:tcW w:w="904" w:type="dxa"/>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27</w:t>
            </w:r>
          </w:p>
        </w:tc>
        <w:tc>
          <w:tcPr>
            <w:tcW w:w="1008"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30</w:t>
            </w:r>
          </w:p>
        </w:tc>
        <w:tc>
          <w:tcPr>
            <w:tcW w:w="993"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40</w:t>
            </w:r>
          </w:p>
        </w:tc>
        <w:tc>
          <w:tcPr>
            <w:tcW w:w="882"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50</w:t>
            </w:r>
          </w:p>
        </w:tc>
        <w:tc>
          <w:tcPr>
            <w:tcW w:w="994" w:type="dxa"/>
            <w:tcBorders>
              <w:top w:val="single" w:sz="4" w:space="0" w:color="auto"/>
              <w:left w:val="single" w:sz="4" w:space="0" w:color="auto"/>
              <w:righ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60</w:t>
            </w:r>
          </w:p>
        </w:tc>
      </w:tr>
      <w:tr w:rsidR="00B76060" w:rsidRPr="00687B52" w:rsidTr="005F5072">
        <w:tc>
          <w:tcPr>
            <w:tcW w:w="1046" w:type="dxa"/>
            <w:vMerge/>
            <w:tcBorders>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p>
        </w:tc>
        <w:tc>
          <w:tcPr>
            <w:tcW w:w="2085"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四级</w:t>
            </w:r>
          </w:p>
        </w:tc>
        <w:tc>
          <w:tcPr>
            <w:tcW w:w="709"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27</w:t>
            </w:r>
          </w:p>
        </w:tc>
        <w:tc>
          <w:tcPr>
            <w:tcW w:w="810"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30</w:t>
            </w:r>
          </w:p>
        </w:tc>
        <w:tc>
          <w:tcPr>
            <w:tcW w:w="904" w:type="dxa"/>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35</w:t>
            </w:r>
          </w:p>
        </w:tc>
        <w:tc>
          <w:tcPr>
            <w:tcW w:w="1008"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40</w:t>
            </w:r>
          </w:p>
        </w:tc>
        <w:tc>
          <w:tcPr>
            <w:tcW w:w="993"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50</w:t>
            </w:r>
          </w:p>
        </w:tc>
        <w:tc>
          <w:tcPr>
            <w:tcW w:w="882"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60</w:t>
            </w:r>
          </w:p>
        </w:tc>
        <w:tc>
          <w:tcPr>
            <w:tcW w:w="994" w:type="dxa"/>
            <w:tcBorders>
              <w:top w:val="single" w:sz="4" w:space="0" w:color="auto"/>
              <w:left w:val="single" w:sz="4" w:space="0" w:color="auto"/>
              <w:righ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75</w:t>
            </w:r>
          </w:p>
        </w:tc>
      </w:tr>
      <w:tr w:rsidR="00B76060" w:rsidRPr="00687B52" w:rsidTr="005F5072">
        <w:tc>
          <w:tcPr>
            <w:tcW w:w="1046" w:type="dxa"/>
            <w:vMerge w:val="restart"/>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公路</w:t>
            </w:r>
          </w:p>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hAnsi="Times New Roman" w:cs="Times New Roman" w:hint="eastAsia"/>
                <w:b w:val="0"/>
                <w:color w:val="000000" w:themeColor="text1"/>
                <w:sz w:val="21"/>
                <w:szCs w:val="21"/>
              </w:rPr>
              <w:t>（</w:t>
            </w:r>
            <w:r w:rsidRPr="00687B52">
              <w:rPr>
                <w:rStyle w:val="MingLiU"/>
                <w:rFonts w:ascii="Times New Roman" w:eastAsia="宋体" w:hAnsi="Times New Roman" w:cs="Times New Roman"/>
                <w:b w:val="0"/>
                <w:color w:val="000000" w:themeColor="text1"/>
                <w:sz w:val="21"/>
                <w:szCs w:val="21"/>
              </w:rPr>
              <w:t>路边）</w:t>
            </w:r>
          </w:p>
        </w:tc>
        <w:tc>
          <w:tcPr>
            <w:tcW w:w="2085"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高速，</w:t>
            </w:r>
            <w:r w:rsidRPr="00687B52">
              <w:rPr>
                <w:rStyle w:val="MingLiU"/>
                <w:rFonts w:ascii="Times New Roman" w:eastAsia="宋体" w:hAnsi="Times New Roman" w:cs="Times New Roman"/>
                <w:b w:val="0"/>
                <w:color w:val="000000" w:themeColor="text1"/>
                <w:sz w:val="21"/>
                <w:szCs w:val="21"/>
              </w:rPr>
              <w:t>I</w:t>
            </w:r>
            <w:r w:rsidRPr="00687B52">
              <w:rPr>
                <w:rStyle w:val="MingLiU"/>
                <w:rFonts w:ascii="Times New Roman" w:eastAsia="宋体" w:hAnsi="Times New Roman" w:cs="Times New Roman"/>
                <w:b w:val="0"/>
                <w:color w:val="000000" w:themeColor="text1"/>
                <w:sz w:val="21"/>
                <w:szCs w:val="21"/>
              </w:rPr>
              <w:t>、</w:t>
            </w:r>
            <w:r w:rsidRPr="00687B52">
              <w:rPr>
                <w:rStyle w:val="MingLiU"/>
                <w:rFonts w:ascii="Times New Roman" w:eastAsia="宋体" w:hAnsi="Times New Roman" w:cs="Times New Roman"/>
                <w:b w:val="0"/>
                <w:color w:val="000000" w:themeColor="text1"/>
                <w:sz w:val="21"/>
                <w:szCs w:val="21"/>
              </w:rPr>
              <w:t>II</w:t>
            </w:r>
            <w:r w:rsidRPr="00687B52">
              <w:rPr>
                <w:rStyle w:val="MingLiU"/>
                <w:rFonts w:ascii="Times New Roman" w:eastAsia="宋体" w:hAnsi="Times New Roman" w:cs="Times New Roman"/>
                <w:b w:val="0"/>
                <w:color w:val="000000" w:themeColor="text1"/>
                <w:sz w:val="21"/>
                <w:szCs w:val="21"/>
              </w:rPr>
              <w:t>级</w:t>
            </w:r>
          </w:p>
        </w:tc>
        <w:tc>
          <w:tcPr>
            <w:tcW w:w="709"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20</w:t>
            </w:r>
          </w:p>
        </w:tc>
        <w:tc>
          <w:tcPr>
            <w:tcW w:w="4597" w:type="dxa"/>
            <w:gridSpan w:val="10"/>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25</w:t>
            </w:r>
          </w:p>
        </w:tc>
        <w:tc>
          <w:tcPr>
            <w:tcW w:w="994" w:type="dxa"/>
            <w:tcBorders>
              <w:top w:val="single" w:sz="4" w:space="0" w:color="auto"/>
              <w:left w:val="single" w:sz="4" w:space="0" w:color="auto"/>
              <w:righ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30</w:t>
            </w:r>
          </w:p>
        </w:tc>
      </w:tr>
      <w:tr w:rsidR="00B76060" w:rsidRPr="00687B52" w:rsidTr="005F5072">
        <w:tc>
          <w:tcPr>
            <w:tcW w:w="1046" w:type="dxa"/>
            <w:vMerge/>
            <w:tcBorders>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p>
        </w:tc>
        <w:tc>
          <w:tcPr>
            <w:tcW w:w="2085"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III</w:t>
            </w:r>
            <w:r w:rsidRPr="00687B52">
              <w:rPr>
                <w:rStyle w:val="MingLiU"/>
                <w:rFonts w:ascii="Times New Roman" w:eastAsia="宋体" w:hAnsi="Times New Roman" w:cs="Times New Roman"/>
                <w:b w:val="0"/>
                <w:color w:val="000000" w:themeColor="text1"/>
                <w:sz w:val="21"/>
                <w:szCs w:val="21"/>
              </w:rPr>
              <w:t>、</w:t>
            </w:r>
            <w:r w:rsidRPr="00687B52">
              <w:rPr>
                <w:rStyle w:val="MingLiU"/>
                <w:rFonts w:cs="Times New Roman"/>
                <w:b w:val="0"/>
                <w:color w:val="000000" w:themeColor="text1"/>
                <w:sz w:val="21"/>
                <w:szCs w:val="21"/>
              </w:rPr>
              <w:t>IV</w:t>
            </w:r>
            <w:r w:rsidRPr="00687B52">
              <w:rPr>
                <w:rStyle w:val="MingLiU"/>
                <w:rFonts w:ascii="Times New Roman" w:eastAsia="宋体" w:hAnsi="Times New Roman" w:cs="Times New Roman"/>
                <w:b w:val="0"/>
                <w:color w:val="000000" w:themeColor="text1"/>
                <w:sz w:val="21"/>
                <w:szCs w:val="21"/>
              </w:rPr>
              <w:t>级</w:t>
            </w:r>
          </w:p>
        </w:tc>
        <w:tc>
          <w:tcPr>
            <w:tcW w:w="709"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15</w:t>
            </w:r>
          </w:p>
        </w:tc>
        <w:tc>
          <w:tcPr>
            <w:tcW w:w="4597" w:type="dxa"/>
            <w:gridSpan w:val="10"/>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20</w:t>
            </w:r>
          </w:p>
        </w:tc>
        <w:tc>
          <w:tcPr>
            <w:tcW w:w="994" w:type="dxa"/>
            <w:tcBorders>
              <w:top w:val="single" w:sz="4" w:space="0" w:color="auto"/>
              <w:left w:val="single" w:sz="4" w:space="0" w:color="auto"/>
              <w:righ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25</w:t>
            </w:r>
          </w:p>
        </w:tc>
      </w:tr>
      <w:tr w:rsidR="00B76060" w:rsidRPr="00687B52" w:rsidTr="005F5072">
        <w:tc>
          <w:tcPr>
            <w:tcW w:w="3131" w:type="dxa"/>
            <w:gridSpan w:val="3"/>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架空</w:t>
            </w:r>
            <w:r w:rsidRPr="00687B52">
              <w:rPr>
                <w:rStyle w:val="MingLiU"/>
                <w:rFonts w:ascii="Times New Roman" w:hAnsi="Times New Roman" w:cs="Times New Roman" w:hint="eastAsia"/>
                <w:b w:val="0"/>
                <w:color w:val="000000" w:themeColor="text1"/>
                <w:sz w:val="21"/>
                <w:szCs w:val="21"/>
              </w:rPr>
              <w:t>电</w:t>
            </w:r>
            <w:r w:rsidRPr="00687B52">
              <w:rPr>
                <w:rStyle w:val="MingLiU"/>
                <w:rFonts w:ascii="Times New Roman" w:eastAsia="宋体" w:hAnsi="Times New Roman" w:cs="Times New Roman"/>
                <w:b w:val="0"/>
                <w:color w:val="000000" w:themeColor="text1"/>
                <w:sz w:val="21"/>
                <w:szCs w:val="21"/>
              </w:rPr>
              <w:t>力线（中心线）</w:t>
            </w:r>
          </w:p>
        </w:tc>
        <w:tc>
          <w:tcPr>
            <w:tcW w:w="6300" w:type="dxa"/>
            <w:gridSpan w:val="13"/>
            <w:tcBorders>
              <w:top w:val="single" w:sz="4" w:space="0" w:color="auto"/>
              <w:left w:val="single" w:sz="4" w:space="0" w:color="auto"/>
              <w:righ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应符合本规范第</w:t>
            </w:r>
            <w:r w:rsidRPr="00687B52">
              <w:rPr>
                <w:rStyle w:val="MingLiU"/>
                <w:rFonts w:ascii="Times New Roman" w:eastAsia="宋体" w:hAnsi="Times New Roman" w:cs="Times New Roman"/>
                <w:b w:val="0"/>
                <w:color w:val="000000" w:themeColor="text1"/>
                <w:sz w:val="21"/>
                <w:szCs w:val="21"/>
              </w:rPr>
              <w:t>10</w:t>
            </w:r>
            <w:r w:rsidRPr="00687B52">
              <w:rPr>
                <w:rStyle w:val="MingLiU"/>
                <w:rFonts w:ascii="Times New Roman" w:hAnsi="Times New Roman" w:cs="Times New Roman"/>
                <w:b w:val="0"/>
                <w:color w:val="000000" w:themeColor="text1"/>
                <w:sz w:val="21"/>
                <w:szCs w:val="21"/>
              </w:rPr>
              <w:t>.2.</w:t>
            </w:r>
            <w:r w:rsidRPr="00687B52">
              <w:rPr>
                <w:rStyle w:val="MingLiU"/>
                <w:rFonts w:ascii="Times New Roman" w:eastAsia="宋体" w:hAnsi="Times New Roman" w:cs="Times New Roman"/>
                <w:b w:val="0"/>
                <w:color w:val="000000" w:themeColor="text1"/>
                <w:sz w:val="21"/>
                <w:szCs w:val="21"/>
              </w:rPr>
              <w:t>1</w:t>
            </w:r>
            <w:r w:rsidRPr="00687B52">
              <w:rPr>
                <w:rStyle w:val="MingLiU"/>
                <w:rFonts w:ascii="Times New Roman" w:eastAsia="宋体" w:hAnsi="Times New Roman" w:cs="Times New Roman"/>
                <w:b w:val="0"/>
                <w:color w:val="000000" w:themeColor="text1"/>
                <w:sz w:val="21"/>
                <w:szCs w:val="21"/>
              </w:rPr>
              <w:t>条的规定</w:t>
            </w:r>
          </w:p>
        </w:tc>
      </w:tr>
      <w:tr w:rsidR="00B76060" w:rsidRPr="00687B52" w:rsidTr="005F5072">
        <w:tc>
          <w:tcPr>
            <w:tcW w:w="1779" w:type="dxa"/>
            <w:gridSpan w:val="2"/>
            <w:vMerge w:val="restart"/>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架空通信线</w:t>
            </w:r>
          </w:p>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hAnsi="Times New Roman" w:cs="Times New Roman" w:hint="eastAsia"/>
                <w:b w:val="0"/>
                <w:color w:val="000000" w:themeColor="text1"/>
                <w:sz w:val="21"/>
                <w:szCs w:val="21"/>
              </w:rPr>
              <w:t>（</w:t>
            </w:r>
            <w:r w:rsidRPr="00687B52">
              <w:rPr>
                <w:rStyle w:val="MingLiU"/>
                <w:rFonts w:ascii="Times New Roman" w:eastAsia="宋体" w:hAnsi="Times New Roman" w:cs="Times New Roman"/>
                <w:b w:val="0"/>
                <w:color w:val="000000" w:themeColor="text1"/>
                <w:sz w:val="21"/>
                <w:szCs w:val="21"/>
              </w:rPr>
              <w:t>中心线）</w:t>
            </w:r>
          </w:p>
        </w:tc>
        <w:tc>
          <w:tcPr>
            <w:tcW w:w="1352" w:type="dxa"/>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I</w:t>
            </w:r>
            <w:r w:rsidRPr="00687B52">
              <w:rPr>
                <w:rStyle w:val="MingLiU"/>
                <w:rFonts w:ascii="Times New Roman" w:eastAsia="宋体" w:hAnsi="Times New Roman" w:cs="Times New Roman"/>
                <w:b w:val="0"/>
                <w:color w:val="000000" w:themeColor="text1"/>
                <w:sz w:val="21"/>
                <w:szCs w:val="21"/>
              </w:rPr>
              <w:t>、</w:t>
            </w:r>
            <w:r w:rsidRPr="00687B52">
              <w:rPr>
                <w:rStyle w:val="MingLiU"/>
                <w:rFonts w:ascii="Times New Roman" w:hAnsi="Times New Roman" w:cs="Times New Roman"/>
                <w:b w:val="0"/>
                <w:color w:val="000000" w:themeColor="text1"/>
                <w:sz w:val="21"/>
                <w:szCs w:val="21"/>
              </w:rPr>
              <w:t>II</w:t>
            </w:r>
            <w:r w:rsidRPr="00687B52">
              <w:rPr>
                <w:rStyle w:val="MingLiU"/>
                <w:rFonts w:ascii="Times New Roman" w:eastAsia="宋体" w:hAnsi="Times New Roman" w:cs="Times New Roman"/>
                <w:b w:val="0"/>
                <w:color w:val="000000" w:themeColor="text1"/>
                <w:sz w:val="21"/>
                <w:szCs w:val="21"/>
              </w:rPr>
              <w:t>级</w:t>
            </w:r>
          </w:p>
        </w:tc>
        <w:tc>
          <w:tcPr>
            <w:tcW w:w="1519" w:type="dxa"/>
            <w:gridSpan w:val="4"/>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30</w:t>
            </w:r>
          </w:p>
        </w:tc>
        <w:tc>
          <w:tcPr>
            <w:tcW w:w="4781" w:type="dxa"/>
            <w:gridSpan w:val="9"/>
            <w:tcBorders>
              <w:top w:val="single" w:sz="4" w:space="0" w:color="auto"/>
              <w:left w:val="single" w:sz="4" w:space="0" w:color="auto"/>
              <w:righ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40</w:t>
            </w:r>
          </w:p>
        </w:tc>
      </w:tr>
      <w:tr w:rsidR="00B76060" w:rsidRPr="00687B52" w:rsidTr="005F5072">
        <w:tc>
          <w:tcPr>
            <w:tcW w:w="1779" w:type="dxa"/>
            <w:gridSpan w:val="2"/>
            <w:vMerge/>
            <w:tcBorders>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p>
        </w:tc>
        <w:tc>
          <w:tcPr>
            <w:tcW w:w="1352" w:type="dxa"/>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III</w:t>
            </w:r>
            <w:r w:rsidRPr="00687B52">
              <w:rPr>
                <w:rStyle w:val="MingLiU"/>
                <w:rFonts w:ascii="Times New Roman" w:eastAsia="宋体" w:hAnsi="Times New Roman" w:cs="Times New Roman"/>
                <w:b w:val="0"/>
                <w:color w:val="000000" w:themeColor="text1"/>
                <w:sz w:val="21"/>
                <w:szCs w:val="21"/>
              </w:rPr>
              <w:t>、</w:t>
            </w:r>
            <w:r w:rsidRPr="00687B52">
              <w:rPr>
                <w:rStyle w:val="MingLiU"/>
                <w:rFonts w:ascii="Times New Roman" w:hAnsi="Times New Roman" w:cs="Times New Roman"/>
                <w:b w:val="0"/>
                <w:color w:val="000000" w:themeColor="text1"/>
                <w:sz w:val="21"/>
                <w:szCs w:val="21"/>
              </w:rPr>
              <w:t>IV</w:t>
            </w:r>
            <w:r w:rsidRPr="00687B52">
              <w:rPr>
                <w:rStyle w:val="MingLiU"/>
                <w:rFonts w:ascii="Times New Roman" w:eastAsia="宋体" w:hAnsi="Times New Roman" w:cs="Times New Roman"/>
                <w:b w:val="0"/>
                <w:color w:val="000000" w:themeColor="text1"/>
                <w:sz w:val="21"/>
                <w:szCs w:val="21"/>
              </w:rPr>
              <w:t>级</w:t>
            </w:r>
          </w:p>
        </w:tc>
        <w:tc>
          <w:tcPr>
            <w:tcW w:w="6300" w:type="dxa"/>
            <w:gridSpan w:val="13"/>
            <w:tcBorders>
              <w:top w:val="single" w:sz="4" w:space="0" w:color="auto"/>
              <w:left w:val="single" w:sz="4" w:space="0" w:color="auto"/>
              <w:righ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1</w:t>
            </w:r>
            <w:r w:rsidRPr="00687B52">
              <w:rPr>
                <w:rStyle w:val="MingLiU"/>
                <w:rFonts w:ascii="Times New Roman" w:hAnsi="Times New Roman" w:cs="Times New Roman"/>
                <w:b w:val="0"/>
                <w:color w:val="000000" w:themeColor="text1"/>
                <w:sz w:val="21"/>
                <w:szCs w:val="21"/>
              </w:rPr>
              <w:t>.</w:t>
            </w:r>
            <w:r w:rsidRPr="00687B52">
              <w:rPr>
                <w:rStyle w:val="MingLiU"/>
                <w:rFonts w:ascii="Times New Roman" w:eastAsia="宋体" w:hAnsi="Times New Roman" w:cs="Times New Roman"/>
                <w:b w:val="0"/>
                <w:color w:val="000000" w:themeColor="text1"/>
                <w:sz w:val="21"/>
                <w:szCs w:val="21"/>
              </w:rPr>
              <w:t>5</w:t>
            </w:r>
            <w:r w:rsidRPr="00687B52">
              <w:rPr>
                <w:rStyle w:val="MingLiU"/>
                <w:rFonts w:ascii="Times New Roman" w:eastAsia="宋体" w:hAnsi="Times New Roman" w:cs="Times New Roman"/>
                <w:b w:val="0"/>
                <w:color w:val="000000" w:themeColor="text1"/>
                <w:sz w:val="21"/>
                <w:szCs w:val="21"/>
              </w:rPr>
              <w:t>倍杆</w:t>
            </w:r>
            <w:r w:rsidRPr="00687B52">
              <w:rPr>
                <w:rStyle w:val="MingLiU"/>
                <w:rFonts w:ascii="Times New Roman" w:hAnsi="Times New Roman" w:cs="Times New Roman" w:hint="eastAsia"/>
                <w:b w:val="0"/>
                <w:color w:val="000000" w:themeColor="text1"/>
                <w:sz w:val="21"/>
                <w:szCs w:val="21"/>
              </w:rPr>
              <w:t>高</w:t>
            </w:r>
          </w:p>
        </w:tc>
      </w:tr>
      <w:tr w:rsidR="00B76060" w:rsidRPr="00687B52" w:rsidTr="005F5072">
        <w:tc>
          <w:tcPr>
            <w:tcW w:w="1779" w:type="dxa"/>
            <w:gridSpan w:val="2"/>
            <w:vMerge w:val="restart"/>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铁路</w:t>
            </w:r>
            <w:r w:rsidRPr="00687B52">
              <w:rPr>
                <w:rStyle w:val="MingLiU"/>
                <w:rFonts w:ascii="Times New Roman" w:hAnsi="Times New Roman" w:cs="Times New Roman" w:hint="eastAsia"/>
                <w:b w:val="0"/>
                <w:color w:val="000000" w:themeColor="text1"/>
                <w:sz w:val="21"/>
                <w:szCs w:val="21"/>
              </w:rPr>
              <w:t>（</w:t>
            </w:r>
            <w:r w:rsidRPr="00687B52">
              <w:rPr>
                <w:rStyle w:val="MingLiU"/>
                <w:rFonts w:ascii="Times New Roman" w:eastAsia="宋体" w:hAnsi="Times New Roman" w:cs="Times New Roman"/>
                <w:b w:val="0"/>
                <w:color w:val="000000" w:themeColor="text1"/>
                <w:sz w:val="21"/>
                <w:szCs w:val="21"/>
              </w:rPr>
              <w:t>中心线）</w:t>
            </w:r>
          </w:p>
        </w:tc>
        <w:tc>
          <w:tcPr>
            <w:tcW w:w="1352" w:type="dxa"/>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国家线</w:t>
            </w:r>
          </w:p>
        </w:tc>
        <w:tc>
          <w:tcPr>
            <w:tcW w:w="709" w:type="dxa"/>
            <w:gridSpan w:val="2"/>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60</w:t>
            </w:r>
          </w:p>
        </w:tc>
        <w:tc>
          <w:tcPr>
            <w:tcW w:w="1746" w:type="dxa"/>
            <w:gridSpan w:val="5"/>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70</w:t>
            </w:r>
          </w:p>
        </w:tc>
        <w:tc>
          <w:tcPr>
            <w:tcW w:w="1984" w:type="dxa"/>
            <w:gridSpan w:val="4"/>
            <w:tcBorders>
              <w:top w:val="single" w:sz="4" w:space="0" w:color="auto"/>
              <w:lef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80</w:t>
            </w:r>
          </w:p>
        </w:tc>
        <w:tc>
          <w:tcPr>
            <w:tcW w:w="1861" w:type="dxa"/>
            <w:gridSpan w:val="2"/>
            <w:tcBorders>
              <w:top w:val="single" w:sz="4" w:space="0" w:color="auto"/>
              <w:left w:val="single" w:sz="4" w:space="0" w:color="auto"/>
              <w:righ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100</w:t>
            </w:r>
          </w:p>
        </w:tc>
      </w:tr>
      <w:tr w:rsidR="00B76060" w:rsidRPr="00687B52" w:rsidTr="005F5072">
        <w:tc>
          <w:tcPr>
            <w:tcW w:w="1779" w:type="dxa"/>
            <w:gridSpan w:val="2"/>
            <w:vMerge/>
            <w:tcBorders>
              <w:left w:val="single" w:sz="4" w:space="0" w:color="auto"/>
              <w:bottom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p>
        </w:tc>
        <w:tc>
          <w:tcPr>
            <w:tcW w:w="1352" w:type="dxa"/>
            <w:tcBorders>
              <w:top w:val="single" w:sz="4" w:space="0" w:color="auto"/>
              <w:left w:val="single" w:sz="4" w:space="0" w:color="auto"/>
              <w:bottom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企业专用线</w:t>
            </w:r>
          </w:p>
        </w:tc>
        <w:tc>
          <w:tcPr>
            <w:tcW w:w="709" w:type="dxa"/>
            <w:gridSpan w:val="2"/>
            <w:tcBorders>
              <w:top w:val="single" w:sz="4" w:space="0" w:color="auto"/>
              <w:left w:val="single" w:sz="4" w:space="0" w:color="auto"/>
              <w:bottom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25</w:t>
            </w:r>
          </w:p>
        </w:tc>
        <w:tc>
          <w:tcPr>
            <w:tcW w:w="1746" w:type="dxa"/>
            <w:gridSpan w:val="5"/>
            <w:tcBorders>
              <w:top w:val="single" w:sz="4" w:space="0" w:color="auto"/>
              <w:left w:val="single" w:sz="4" w:space="0" w:color="auto"/>
              <w:bottom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30</w:t>
            </w:r>
          </w:p>
        </w:tc>
        <w:tc>
          <w:tcPr>
            <w:tcW w:w="1984" w:type="dxa"/>
            <w:gridSpan w:val="4"/>
            <w:tcBorders>
              <w:top w:val="single" w:sz="4" w:space="0" w:color="auto"/>
              <w:left w:val="single" w:sz="4" w:space="0" w:color="auto"/>
              <w:bottom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35</w:t>
            </w:r>
          </w:p>
        </w:tc>
        <w:tc>
          <w:tcPr>
            <w:tcW w:w="18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76060" w:rsidRPr="00687B52" w:rsidRDefault="00B76060" w:rsidP="00B76060">
            <w:pPr>
              <w:pStyle w:val="110"/>
              <w:shd w:val="clear" w:color="auto" w:fill="auto"/>
              <w:spacing w:before="0" w:line="320" w:lineRule="exact"/>
              <w:ind w:firstLine="0"/>
              <w:rPr>
                <w:rStyle w:val="MingLiU"/>
                <w:rFonts w:ascii="Times New Roman" w:eastAsia="宋体" w:hAnsi="Times New Roman" w:cs="Times New Roman"/>
                <w:b w:val="0"/>
                <w:color w:val="000000" w:themeColor="text1"/>
                <w:sz w:val="21"/>
                <w:szCs w:val="21"/>
              </w:rPr>
            </w:pPr>
            <w:r w:rsidRPr="00687B52">
              <w:rPr>
                <w:rStyle w:val="MingLiU"/>
                <w:rFonts w:ascii="Times New Roman" w:eastAsia="宋体" w:hAnsi="Times New Roman" w:cs="Times New Roman"/>
                <w:b w:val="0"/>
                <w:color w:val="000000" w:themeColor="text1"/>
                <w:sz w:val="21"/>
                <w:szCs w:val="21"/>
              </w:rPr>
              <w:t>40</w:t>
            </w:r>
          </w:p>
        </w:tc>
      </w:tr>
    </w:tbl>
    <w:p w:rsidR="00B76060" w:rsidRPr="00687B52" w:rsidRDefault="00B76060" w:rsidP="00B76060">
      <w:pPr>
        <w:pStyle w:val="110"/>
        <w:shd w:val="clear" w:color="auto" w:fill="auto"/>
        <w:spacing w:before="0" w:line="240" w:lineRule="auto"/>
        <w:ind w:firstLine="0"/>
        <w:jc w:val="left"/>
        <w:rPr>
          <w:rStyle w:val="MingLiU"/>
          <w:rFonts w:ascii="Times New Roman" w:eastAsia="宋体" w:hAnsi="Times New Roman" w:cs="Times New Roman"/>
          <w:b w:val="0"/>
          <w:color w:val="000000" w:themeColor="text1"/>
          <w:sz w:val="24"/>
          <w:szCs w:val="24"/>
        </w:rPr>
      </w:pPr>
      <w:r w:rsidRPr="00687B52">
        <w:rPr>
          <w:rStyle w:val="MingLiU"/>
          <w:rFonts w:ascii="Times New Roman" w:eastAsia="宋体" w:hAnsi="Times New Roman" w:cs="Times New Roman" w:hint="eastAsia"/>
          <w:b w:val="0"/>
          <w:color w:val="000000" w:themeColor="text1"/>
          <w:sz w:val="24"/>
          <w:szCs w:val="24"/>
        </w:rPr>
        <w:t>注：</w:t>
      </w:r>
    </w:p>
    <w:p w:rsidR="00B76060" w:rsidRPr="00687B52" w:rsidRDefault="00B76060" w:rsidP="00B76060">
      <w:pPr>
        <w:pStyle w:val="110"/>
        <w:shd w:val="clear" w:color="auto" w:fill="auto"/>
        <w:spacing w:before="0" w:line="360" w:lineRule="exact"/>
        <w:ind w:firstLineChars="200" w:firstLine="480"/>
        <w:jc w:val="left"/>
        <w:rPr>
          <w:rStyle w:val="MingLiU"/>
          <w:rFonts w:ascii="Times New Roman" w:eastAsia="宋体" w:hAnsi="Times New Roman" w:cs="Times New Roman"/>
          <w:b w:val="0"/>
          <w:color w:val="000000" w:themeColor="text1"/>
          <w:sz w:val="24"/>
          <w:szCs w:val="24"/>
        </w:rPr>
      </w:pPr>
      <w:r w:rsidRPr="00687B52">
        <w:rPr>
          <w:rStyle w:val="MingLiU"/>
          <w:rFonts w:ascii="Times New Roman" w:eastAsia="宋体" w:hAnsi="Times New Roman" w:cs="Times New Roman" w:hint="eastAsia"/>
          <w:b w:val="0"/>
          <w:color w:val="000000" w:themeColor="text1"/>
          <w:sz w:val="24"/>
          <w:szCs w:val="24"/>
        </w:rPr>
        <w:t xml:space="preserve">1 </w:t>
      </w:r>
      <w:r w:rsidRPr="00687B52">
        <w:rPr>
          <w:rStyle w:val="MingLiU"/>
          <w:rFonts w:ascii="Times New Roman" w:eastAsia="宋体" w:hAnsi="Times New Roman" w:cs="Times New Roman" w:hint="eastAsia"/>
          <w:b w:val="0"/>
          <w:color w:val="000000" w:themeColor="text1"/>
          <w:sz w:val="24"/>
          <w:szCs w:val="24"/>
        </w:rPr>
        <w:t>防火间距应按本表储罐区的总容积或单罐容积的较大者确定。</w:t>
      </w:r>
    </w:p>
    <w:p w:rsidR="00B76060" w:rsidRPr="00687B52" w:rsidRDefault="00B76060" w:rsidP="00B76060">
      <w:pPr>
        <w:pStyle w:val="110"/>
        <w:shd w:val="clear" w:color="auto" w:fill="auto"/>
        <w:spacing w:before="0" w:line="360" w:lineRule="exact"/>
        <w:ind w:firstLineChars="200" w:firstLine="480"/>
        <w:jc w:val="left"/>
        <w:rPr>
          <w:rStyle w:val="MingLiU"/>
          <w:rFonts w:ascii="Times New Roman" w:eastAsia="宋体" w:hAnsi="Times New Roman" w:cs="Times New Roman"/>
          <w:b w:val="0"/>
          <w:color w:val="000000" w:themeColor="text1"/>
          <w:sz w:val="24"/>
          <w:szCs w:val="24"/>
        </w:rPr>
      </w:pPr>
      <w:r w:rsidRPr="00687B52">
        <w:rPr>
          <w:rStyle w:val="MingLiU"/>
          <w:rFonts w:ascii="Times New Roman" w:eastAsia="宋体" w:hAnsi="Times New Roman" w:cs="Times New Roman" w:hint="eastAsia"/>
          <w:b w:val="0"/>
          <w:color w:val="000000" w:themeColor="text1"/>
          <w:sz w:val="24"/>
          <w:szCs w:val="24"/>
        </w:rPr>
        <w:t>2</w:t>
      </w:r>
      <w:r w:rsidRPr="00687B52">
        <w:rPr>
          <w:rStyle w:val="MingLiU"/>
          <w:rFonts w:ascii="Times New Roman" w:eastAsia="宋体" w:hAnsi="Times New Roman" w:cs="Times New Roman"/>
          <w:b w:val="0"/>
          <w:color w:val="000000" w:themeColor="text1"/>
          <w:sz w:val="24"/>
          <w:szCs w:val="24"/>
        </w:rPr>
        <w:t>当地下液化石油气储罐的单罐容积不大于</w:t>
      </w:r>
      <w:r w:rsidRPr="00687B52">
        <w:rPr>
          <w:rStyle w:val="MingLiU"/>
          <w:rFonts w:ascii="Times New Roman" w:eastAsia="宋体" w:hAnsi="Times New Roman" w:cs="Times New Roman"/>
          <w:b w:val="0"/>
          <w:color w:val="000000" w:themeColor="text1"/>
          <w:sz w:val="24"/>
          <w:szCs w:val="24"/>
        </w:rPr>
        <w:t>50m</w:t>
      </w:r>
      <w:r w:rsidRPr="00687B52">
        <w:rPr>
          <w:rStyle w:val="MingLiU"/>
          <w:rFonts w:ascii="Times New Roman" w:eastAsia="宋体" w:hAnsi="Times New Roman" w:cs="Times New Roman"/>
          <w:b w:val="0"/>
          <w:color w:val="000000" w:themeColor="text1"/>
          <w:sz w:val="24"/>
          <w:szCs w:val="24"/>
          <w:vertAlign w:val="superscript"/>
        </w:rPr>
        <w:t>3</w:t>
      </w:r>
      <w:r w:rsidRPr="00687B52">
        <w:rPr>
          <w:rStyle w:val="MingLiU"/>
          <w:rFonts w:cs="Times New Roman" w:hint="eastAsia"/>
          <w:b w:val="0"/>
          <w:color w:val="000000" w:themeColor="text1"/>
          <w:sz w:val="24"/>
        </w:rPr>
        <w:t>，</w:t>
      </w:r>
      <w:r w:rsidRPr="00687B52">
        <w:rPr>
          <w:rStyle w:val="MingLiU"/>
          <w:rFonts w:ascii="Times New Roman" w:eastAsia="宋体" w:hAnsi="Times New Roman" w:cs="Times New Roman"/>
          <w:b w:val="0"/>
          <w:color w:val="000000" w:themeColor="text1"/>
          <w:sz w:val="24"/>
          <w:szCs w:val="24"/>
        </w:rPr>
        <w:t>总容积不大于</w:t>
      </w:r>
      <w:r w:rsidRPr="00687B52">
        <w:rPr>
          <w:rStyle w:val="MingLiU"/>
          <w:rFonts w:ascii="Times New Roman" w:eastAsia="宋体" w:hAnsi="Times New Roman" w:cs="Times New Roman"/>
          <w:b w:val="0"/>
          <w:color w:val="000000" w:themeColor="text1"/>
          <w:sz w:val="24"/>
          <w:szCs w:val="24"/>
        </w:rPr>
        <w:t>400m</w:t>
      </w:r>
      <w:r w:rsidRPr="00687B52">
        <w:rPr>
          <w:rStyle w:val="MingLiU"/>
          <w:rFonts w:ascii="Times New Roman" w:eastAsia="宋体" w:hAnsi="Times New Roman" w:cs="Times New Roman"/>
          <w:b w:val="0"/>
          <w:color w:val="000000" w:themeColor="text1"/>
          <w:sz w:val="24"/>
          <w:szCs w:val="24"/>
          <w:vertAlign w:val="superscript"/>
        </w:rPr>
        <w:t>3</w:t>
      </w:r>
      <w:r w:rsidRPr="00687B52">
        <w:rPr>
          <w:rStyle w:val="MingLiU"/>
          <w:rFonts w:ascii="Times New Roman" w:eastAsia="宋体" w:hAnsi="Times New Roman" w:cs="Times New Roman"/>
          <w:b w:val="0"/>
          <w:color w:val="000000" w:themeColor="text1"/>
          <w:sz w:val="24"/>
          <w:szCs w:val="24"/>
        </w:rPr>
        <w:t>时</w:t>
      </w:r>
      <w:r w:rsidRPr="00687B52">
        <w:rPr>
          <w:rStyle w:val="MingLiU"/>
          <w:rFonts w:cs="Times New Roman" w:hint="eastAsia"/>
          <w:b w:val="0"/>
          <w:color w:val="000000" w:themeColor="text1"/>
          <w:sz w:val="24"/>
        </w:rPr>
        <w:t>，</w:t>
      </w:r>
      <w:r w:rsidRPr="00687B52">
        <w:rPr>
          <w:rStyle w:val="MingLiU"/>
          <w:rFonts w:ascii="Times New Roman" w:eastAsia="宋体" w:hAnsi="Times New Roman" w:cs="Times New Roman"/>
          <w:b w:val="0"/>
          <w:color w:val="000000" w:themeColor="text1"/>
          <w:sz w:val="24"/>
          <w:szCs w:val="24"/>
        </w:rPr>
        <w:t>其防火间距可按本表的规定减少</w:t>
      </w:r>
      <w:r w:rsidRPr="00687B52">
        <w:rPr>
          <w:rStyle w:val="MingLiU"/>
          <w:rFonts w:ascii="Times New Roman" w:eastAsia="宋体" w:hAnsi="Times New Roman" w:cs="Times New Roman"/>
          <w:b w:val="0"/>
          <w:color w:val="000000" w:themeColor="text1"/>
          <w:sz w:val="24"/>
          <w:szCs w:val="24"/>
        </w:rPr>
        <w:t>50%</w:t>
      </w:r>
      <w:r w:rsidRPr="00687B52">
        <w:rPr>
          <w:rStyle w:val="MingLiU"/>
          <w:rFonts w:ascii="Times New Roman" w:eastAsia="宋体" w:hAnsi="Times New Roman" w:cs="Times New Roman"/>
          <w:b w:val="0"/>
          <w:color w:val="000000" w:themeColor="text1"/>
          <w:sz w:val="24"/>
          <w:szCs w:val="24"/>
        </w:rPr>
        <w:t>。</w:t>
      </w:r>
    </w:p>
    <w:p w:rsidR="000C2455" w:rsidRPr="00687B52" w:rsidRDefault="00B76060" w:rsidP="00B76060">
      <w:pPr>
        <w:pStyle w:val="110"/>
        <w:shd w:val="clear" w:color="auto" w:fill="auto"/>
        <w:spacing w:before="0" w:line="360" w:lineRule="exact"/>
        <w:ind w:firstLineChars="200" w:firstLine="480"/>
        <w:jc w:val="left"/>
        <w:rPr>
          <w:rFonts w:ascii="Times New Roman" w:eastAsia="宋体" w:hAnsi="Times New Roman" w:cs="Times New Roman"/>
          <w:bCs/>
          <w:color w:val="000000" w:themeColor="text1"/>
          <w:sz w:val="24"/>
          <w:szCs w:val="24"/>
          <w:shd w:val="clear" w:color="auto" w:fill="FFFFFF"/>
          <w:lang w:val="zh-TW"/>
        </w:rPr>
      </w:pPr>
      <w:r w:rsidRPr="00687B52">
        <w:rPr>
          <w:rStyle w:val="MingLiU"/>
          <w:rFonts w:ascii="Times New Roman" w:eastAsia="宋体" w:hAnsi="Times New Roman" w:cs="Times New Roman"/>
          <w:b w:val="0"/>
          <w:color w:val="000000" w:themeColor="text1"/>
          <w:sz w:val="24"/>
          <w:szCs w:val="24"/>
        </w:rPr>
        <w:t>3</w:t>
      </w:r>
      <w:r w:rsidRPr="00687B52">
        <w:rPr>
          <w:rStyle w:val="MingLiU"/>
          <w:rFonts w:ascii="Times New Roman" w:eastAsia="宋体" w:hAnsi="Times New Roman" w:cs="Times New Roman"/>
          <w:b w:val="0"/>
          <w:color w:val="000000" w:themeColor="text1"/>
          <w:sz w:val="24"/>
          <w:szCs w:val="24"/>
        </w:rPr>
        <w:t>居住区、村镇指</w:t>
      </w:r>
      <w:r w:rsidRPr="00687B52">
        <w:rPr>
          <w:rStyle w:val="MingLiU"/>
          <w:rFonts w:ascii="Times New Roman" w:eastAsia="宋体" w:hAnsi="Times New Roman" w:cs="Times New Roman"/>
          <w:b w:val="0"/>
          <w:color w:val="000000" w:themeColor="text1"/>
          <w:sz w:val="24"/>
          <w:szCs w:val="24"/>
        </w:rPr>
        <w:t>1000</w:t>
      </w:r>
      <w:r w:rsidRPr="00687B52">
        <w:rPr>
          <w:rStyle w:val="MingLiU"/>
          <w:rFonts w:ascii="Times New Roman" w:eastAsia="宋体" w:hAnsi="Times New Roman" w:cs="Times New Roman"/>
          <w:b w:val="0"/>
          <w:color w:val="000000" w:themeColor="text1"/>
          <w:sz w:val="24"/>
          <w:szCs w:val="24"/>
        </w:rPr>
        <w:t>人或</w:t>
      </w:r>
      <w:r w:rsidRPr="00687B52">
        <w:rPr>
          <w:rStyle w:val="MingLiU"/>
          <w:rFonts w:ascii="Times New Roman" w:eastAsia="宋体" w:hAnsi="Times New Roman" w:cs="Times New Roman"/>
          <w:b w:val="0"/>
          <w:color w:val="000000" w:themeColor="text1"/>
          <w:sz w:val="24"/>
          <w:szCs w:val="24"/>
        </w:rPr>
        <w:t>300</w:t>
      </w:r>
      <w:r w:rsidRPr="00687B52">
        <w:rPr>
          <w:rStyle w:val="MingLiU"/>
          <w:rFonts w:ascii="Times New Roman" w:eastAsia="宋体" w:hAnsi="Times New Roman" w:cs="Times New Roman"/>
          <w:b w:val="0"/>
          <w:color w:val="000000" w:themeColor="text1"/>
          <w:sz w:val="24"/>
          <w:szCs w:val="24"/>
        </w:rPr>
        <w:t>户及以上者；当少于</w:t>
      </w:r>
      <w:r w:rsidRPr="00687B52">
        <w:rPr>
          <w:rStyle w:val="MingLiU"/>
          <w:rFonts w:ascii="Times New Roman" w:eastAsia="宋体" w:hAnsi="Times New Roman" w:cs="Times New Roman"/>
          <w:b w:val="0"/>
          <w:color w:val="000000" w:themeColor="text1"/>
          <w:sz w:val="24"/>
          <w:szCs w:val="24"/>
        </w:rPr>
        <w:t>1000</w:t>
      </w:r>
      <w:r w:rsidRPr="00687B52">
        <w:rPr>
          <w:rStyle w:val="MingLiU"/>
          <w:rFonts w:ascii="Times New Roman" w:eastAsia="宋体" w:hAnsi="Times New Roman" w:cs="Times New Roman"/>
          <w:b w:val="0"/>
          <w:color w:val="000000" w:themeColor="text1"/>
          <w:sz w:val="24"/>
          <w:szCs w:val="24"/>
        </w:rPr>
        <w:t>人或</w:t>
      </w:r>
      <w:r w:rsidRPr="00687B52">
        <w:rPr>
          <w:rStyle w:val="MingLiU"/>
          <w:rFonts w:ascii="Times New Roman" w:eastAsia="宋体" w:hAnsi="Times New Roman" w:cs="Times New Roman"/>
          <w:b w:val="0"/>
          <w:color w:val="000000" w:themeColor="text1"/>
          <w:sz w:val="24"/>
          <w:szCs w:val="24"/>
        </w:rPr>
        <w:t>300</w:t>
      </w:r>
      <w:r w:rsidRPr="00687B52">
        <w:rPr>
          <w:rStyle w:val="MingLiU"/>
          <w:rFonts w:ascii="Times New Roman" w:eastAsia="宋体" w:hAnsi="Times New Roman" w:cs="Times New Roman"/>
          <w:b w:val="0"/>
          <w:color w:val="000000" w:themeColor="text1"/>
          <w:sz w:val="24"/>
          <w:szCs w:val="24"/>
        </w:rPr>
        <w:t>户时，相应防火间距应</w:t>
      </w:r>
      <w:r w:rsidRPr="00687B52">
        <w:rPr>
          <w:rStyle w:val="MingLiU"/>
          <w:rFonts w:cs="Times New Roman" w:hint="eastAsia"/>
          <w:b w:val="0"/>
          <w:color w:val="000000" w:themeColor="text1"/>
          <w:sz w:val="24"/>
        </w:rPr>
        <w:t>按</w:t>
      </w:r>
      <w:r w:rsidRPr="00687B52">
        <w:rPr>
          <w:rStyle w:val="MingLiU"/>
          <w:rFonts w:ascii="Times New Roman" w:eastAsia="宋体" w:hAnsi="Times New Roman" w:cs="Times New Roman"/>
          <w:b w:val="0"/>
          <w:color w:val="000000" w:themeColor="text1"/>
          <w:sz w:val="24"/>
          <w:szCs w:val="24"/>
        </w:rPr>
        <w:t>本表有关其他民用建筑的要求确定。</w:t>
      </w:r>
    </w:p>
    <w:sectPr w:rsidR="000C2455" w:rsidRPr="00687B52" w:rsidSect="00DB6EAA">
      <w:pgSz w:w="11906" w:h="16838"/>
      <w:pgMar w:top="1780" w:right="1457" w:bottom="1780" w:left="1457" w:header="851" w:footer="9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DF7" w:rsidRDefault="00F54DF7" w:rsidP="00235169">
      <w:r>
        <w:separator/>
      </w:r>
    </w:p>
  </w:endnote>
  <w:endnote w:type="continuationSeparator" w:id="0">
    <w:p w:rsidR="00F54DF7" w:rsidRDefault="00F54DF7" w:rsidP="00235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inherit">
    <w:altName w:val="Times New Roman"/>
    <w:charset w:val="00"/>
    <w:family w:val="roman"/>
    <w:pitch w:val="default"/>
  </w:font>
  <w:font w:name="方正仿宋_GBK">
    <w:altName w:val="宋体"/>
    <w:panose1 w:val="00000000000000000000"/>
    <w:charset w:val="86"/>
    <w:family w:val="roman"/>
    <w:notTrueType/>
    <w:pitch w:val="default"/>
    <w:sig w:usb0="00000001" w:usb1="080E0000" w:usb2="00000010" w:usb3="00000000" w:csb0="00040000" w:csb1="00000000"/>
  </w:font>
  <w:font w:name="ˎ̥">
    <w:altName w:val="Times New Roman"/>
    <w:panose1 w:val="00000000000000000000"/>
    <w:charset w:val="00"/>
    <w:family w:val="roman"/>
    <w:notTrueType/>
    <w:pitch w:val="default"/>
  </w:font>
  <w:font w:name="AdobeHeitiStd-Regular">
    <w:altName w:val="方正舒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38209"/>
      <w:docPartObj>
        <w:docPartGallery w:val="Page Numbers (Bottom of Page)"/>
        <w:docPartUnique/>
      </w:docPartObj>
    </w:sdtPr>
    <w:sdtEndPr/>
    <w:sdtContent>
      <w:p w:rsidR="001566A5" w:rsidRDefault="001566A5" w:rsidP="001816B4">
        <w:pPr>
          <w:pStyle w:val="a4"/>
          <w:jc w:val="center"/>
        </w:pPr>
        <w:r>
          <w:fldChar w:fldCharType="begin"/>
        </w:r>
        <w:r>
          <w:instrText xml:space="preserve"> PAGE   \* MERGEFORMAT </w:instrText>
        </w:r>
        <w:r>
          <w:fldChar w:fldCharType="separate"/>
        </w:r>
        <w:r w:rsidR="00330FB5" w:rsidRPr="00330FB5">
          <w:rPr>
            <w:noProof/>
            <w:lang w:val="zh-CN"/>
          </w:rPr>
          <w:t>23</w:t>
        </w:r>
        <w:r>
          <w:rPr>
            <w:noProof/>
            <w:lang w:val="zh-CN"/>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38215"/>
      <w:docPartObj>
        <w:docPartGallery w:val="Page Numbers (Bottom of Page)"/>
        <w:docPartUnique/>
      </w:docPartObj>
    </w:sdtPr>
    <w:sdtEndPr/>
    <w:sdtContent>
      <w:p w:rsidR="001566A5" w:rsidRDefault="001566A5">
        <w:pPr>
          <w:pStyle w:val="a4"/>
          <w:jc w:val="center"/>
        </w:pPr>
        <w:r>
          <w:fldChar w:fldCharType="begin"/>
        </w:r>
        <w:r>
          <w:instrText xml:space="preserve"> PAGE   \* MERGEFORMAT </w:instrText>
        </w:r>
        <w:r>
          <w:fldChar w:fldCharType="separate"/>
        </w:r>
        <w:r w:rsidR="004657CA" w:rsidRPr="004657CA">
          <w:rPr>
            <w:noProof/>
            <w:lang w:val="zh-CN"/>
          </w:rPr>
          <w:t>297</w:t>
        </w:r>
        <w:r>
          <w:rPr>
            <w:noProof/>
            <w:lang w:val="zh-CN"/>
          </w:rPr>
          <w:fldChar w:fldCharType="end"/>
        </w:r>
      </w:p>
    </w:sdtContent>
  </w:sdt>
  <w:p w:rsidR="001566A5" w:rsidRDefault="001566A5">
    <w:pPr>
      <w:pStyle w:val="a4"/>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38216"/>
      <w:docPartObj>
        <w:docPartGallery w:val="Page Numbers (Bottom of Page)"/>
        <w:docPartUnique/>
      </w:docPartObj>
    </w:sdtPr>
    <w:sdtEndPr/>
    <w:sdtContent>
      <w:p w:rsidR="001566A5" w:rsidRDefault="001566A5" w:rsidP="00B527D4">
        <w:pPr>
          <w:pStyle w:val="a4"/>
          <w:jc w:val="center"/>
        </w:pPr>
        <w:r>
          <w:fldChar w:fldCharType="begin"/>
        </w:r>
        <w:r>
          <w:instrText xml:space="preserve"> PAGE   \* MERGEFORMAT </w:instrText>
        </w:r>
        <w:r>
          <w:fldChar w:fldCharType="separate"/>
        </w:r>
        <w:r w:rsidR="004657CA" w:rsidRPr="004657CA">
          <w:rPr>
            <w:noProof/>
            <w:lang w:val="zh-CN"/>
          </w:rPr>
          <w:t>373</w:t>
        </w:r>
        <w:r>
          <w:rPr>
            <w:noProof/>
            <w:lang w:val="zh-CN"/>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38217"/>
      <w:docPartObj>
        <w:docPartGallery w:val="Page Numbers (Bottom of Page)"/>
        <w:docPartUnique/>
      </w:docPartObj>
    </w:sdtPr>
    <w:sdtEndPr/>
    <w:sdtContent>
      <w:p w:rsidR="001566A5" w:rsidRDefault="001566A5">
        <w:pPr>
          <w:pStyle w:val="a4"/>
          <w:jc w:val="center"/>
        </w:pPr>
        <w:r>
          <w:fldChar w:fldCharType="begin"/>
        </w:r>
        <w:r>
          <w:instrText xml:space="preserve"> PAGE   \* MERGEFORMAT </w:instrText>
        </w:r>
        <w:r>
          <w:fldChar w:fldCharType="separate"/>
        </w:r>
        <w:r w:rsidR="004657CA" w:rsidRPr="004657CA">
          <w:rPr>
            <w:noProof/>
            <w:lang w:val="zh-CN"/>
          </w:rPr>
          <w:t>465</w:t>
        </w:r>
        <w:r>
          <w:rPr>
            <w:noProof/>
            <w:lang w:val="zh-CN"/>
          </w:rPr>
          <w:fldChar w:fldCharType="end"/>
        </w:r>
      </w:p>
    </w:sdtContent>
  </w:sdt>
  <w:p w:rsidR="001566A5" w:rsidRDefault="001566A5">
    <w:pPr>
      <w:pStyle w:val="a4"/>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38218"/>
      <w:docPartObj>
        <w:docPartGallery w:val="Page Numbers (Bottom of Page)"/>
        <w:docPartUnique/>
      </w:docPartObj>
    </w:sdtPr>
    <w:sdtEndPr/>
    <w:sdtContent>
      <w:p w:rsidR="001566A5" w:rsidRDefault="001566A5" w:rsidP="00FD10C8">
        <w:pPr>
          <w:pStyle w:val="a4"/>
          <w:jc w:val="center"/>
        </w:pPr>
        <w:r>
          <w:fldChar w:fldCharType="begin"/>
        </w:r>
        <w:r>
          <w:instrText xml:space="preserve"> PAGE   \* MERGEFORMAT </w:instrText>
        </w:r>
        <w:r>
          <w:fldChar w:fldCharType="separate"/>
        </w:r>
        <w:r w:rsidR="004657CA" w:rsidRPr="004657CA">
          <w:rPr>
            <w:noProof/>
            <w:lang w:val="zh-CN"/>
          </w:rPr>
          <w:t>526</w:t>
        </w:r>
        <w:r>
          <w:rPr>
            <w:noProof/>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6A5" w:rsidRPr="00FA5226" w:rsidRDefault="001566A5" w:rsidP="003E1D2A">
    <w:pPr>
      <w:pStyle w:val="a4"/>
      <w:jc w:val="center"/>
      <w:rPr>
        <w:rFonts w:ascii="Times New Roman" w:hAnsi="Times New Roman"/>
      </w:rPr>
    </w:pPr>
    <w:r w:rsidRPr="00FA5226">
      <w:rPr>
        <w:rFonts w:ascii="Times New Roman" w:hAnsi="Times New Roman"/>
      </w:rPr>
      <w:fldChar w:fldCharType="begin"/>
    </w:r>
    <w:r w:rsidRPr="00FA5226">
      <w:rPr>
        <w:rFonts w:ascii="Times New Roman" w:hAnsi="Times New Roman"/>
      </w:rPr>
      <w:instrText xml:space="preserve"> PAGE   \* MERGEFORMAT </w:instrText>
    </w:r>
    <w:r w:rsidRPr="00FA5226">
      <w:rPr>
        <w:rFonts w:ascii="Times New Roman" w:hAnsi="Times New Roman"/>
      </w:rPr>
      <w:fldChar w:fldCharType="separate"/>
    </w:r>
    <w:r w:rsidR="00330FB5" w:rsidRPr="00330FB5">
      <w:rPr>
        <w:rFonts w:ascii="Times New Roman" w:hAnsi="Times New Roman"/>
        <w:noProof/>
        <w:lang w:val="zh-CN"/>
      </w:rPr>
      <w:t>80</w:t>
    </w:r>
    <w:r w:rsidRPr="00FA5226">
      <w:rPr>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6A5" w:rsidRPr="00774764" w:rsidRDefault="001566A5">
    <w:pPr>
      <w:pStyle w:val="a4"/>
      <w:jc w:val="center"/>
      <w:rPr>
        <w:rFonts w:ascii="Times New Roman" w:hAnsi="Times New Roman"/>
      </w:rPr>
    </w:pPr>
    <w:r w:rsidRPr="00774764">
      <w:rPr>
        <w:rFonts w:ascii="Times New Roman" w:hAnsi="Times New Roman"/>
      </w:rPr>
      <w:fldChar w:fldCharType="begin"/>
    </w:r>
    <w:r w:rsidRPr="00774764">
      <w:rPr>
        <w:rFonts w:ascii="Times New Roman" w:hAnsi="Times New Roman"/>
      </w:rPr>
      <w:instrText xml:space="preserve"> PAGE   \* MERGEFORMAT </w:instrText>
    </w:r>
    <w:r w:rsidRPr="00774764">
      <w:rPr>
        <w:rFonts w:ascii="Times New Roman" w:hAnsi="Times New Roman"/>
      </w:rPr>
      <w:fldChar w:fldCharType="separate"/>
    </w:r>
    <w:r w:rsidR="00330FB5" w:rsidRPr="00330FB5">
      <w:rPr>
        <w:rFonts w:ascii="Times New Roman" w:hAnsi="Times New Roman"/>
        <w:noProof/>
        <w:lang w:val="zh-CN"/>
      </w:rPr>
      <w:t>120</w:t>
    </w:r>
    <w:r w:rsidRPr="00774764">
      <w:rPr>
        <w:rFonts w:ascii="Times New Roman" w:hAnsi="Times New Roman"/>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38210"/>
      <w:docPartObj>
        <w:docPartGallery w:val="Page Numbers (Bottom of Page)"/>
        <w:docPartUnique/>
      </w:docPartObj>
    </w:sdtPr>
    <w:sdtEndPr/>
    <w:sdtContent>
      <w:p w:rsidR="001566A5" w:rsidRDefault="001566A5" w:rsidP="003E1D2A">
        <w:pPr>
          <w:pStyle w:val="a4"/>
          <w:jc w:val="center"/>
        </w:pPr>
        <w:r>
          <w:fldChar w:fldCharType="begin"/>
        </w:r>
        <w:r>
          <w:instrText xml:space="preserve"> PAGE   \* MERGEFORMAT </w:instrText>
        </w:r>
        <w:r>
          <w:fldChar w:fldCharType="separate"/>
        </w:r>
        <w:r w:rsidR="00330FB5" w:rsidRPr="00330FB5">
          <w:rPr>
            <w:noProof/>
            <w:lang w:val="zh-CN"/>
          </w:rPr>
          <w:t>121</w:t>
        </w:r>
        <w:r>
          <w:rPr>
            <w:noProof/>
            <w:lang w:val="zh-C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6A5" w:rsidRDefault="001566A5" w:rsidP="003E1D2A">
    <w:pPr>
      <w:pStyle w:val="a4"/>
      <w:jc w:val="center"/>
    </w:pPr>
    <w:r>
      <w:fldChar w:fldCharType="begin"/>
    </w:r>
    <w:r>
      <w:instrText xml:space="preserve"> PAGE   \* MERGEFORMAT </w:instrText>
    </w:r>
    <w:r>
      <w:fldChar w:fldCharType="separate"/>
    </w:r>
    <w:r w:rsidR="004657CA" w:rsidRPr="004657CA">
      <w:rPr>
        <w:noProof/>
        <w:lang w:val="zh-CN"/>
      </w:rPr>
      <w:t>188</w:t>
    </w:r>
    <w:r>
      <w:rPr>
        <w:noProof/>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38211"/>
      <w:docPartObj>
        <w:docPartGallery w:val="Page Numbers (Bottom of Page)"/>
        <w:docPartUnique/>
      </w:docPartObj>
    </w:sdtPr>
    <w:sdtEndPr/>
    <w:sdtContent>
      <w:p w:rsidR="001566A5" w:rsidRDefault="001566A5" w:rsidP="003E1D2A">
        <w:pPr>
          <w:pStyle w:val="a4"/>
          <w:jc w:val="center"/>
        </w:pPr>
        <w:r>
          <w:fldChar w:fldCharType="begin"/>
        </w:r>
        <w:r>
          <w:instrText xml:space="preserve"> PAGE   \* MERGEFORMAT </w:instrText>
        </w:r>
        <w:r>
          <w:fldChar w:fldCharType="separate"/>
        </w:r>
        <w:r w:rsidR="004657CA" w:rsidRPr="004657CA">
          <w:rPr>
            <w:noProof/>
            <w:lang w:val="zh-CN"/>
          </w:rPr>
          <w:t>206</w:t>
        </w:r>
        <w:r>
          <w:rPr>
            <w:noProof/>
            <w:lang w:val="zh-CN"/>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38212"/>
      <w:docPartObj>
        <w:docPartGallery w:val="Page Numbers (Bottom of Page)"/>
        <w:docPartUnique/>
      </w:docPartObj>
    </w:sdtPr>
    <w:sdtEndPr/>
    <w:sdtContent>
      <w:p w:rsidR="001566A5" w:rsidRDefault="001566A5" w:rsidP="003E1D2A">
        <w:pPr>
          <w:jc w:val="center"/>
        </w:pPr>
        <w:r>
          <w:fldChar w:fldCharType="begin"/>
        </w:r>
        <w:r>
          <w:instrText xml:space="preserve"> PAGE   \* MERGEFORMAT </w:instrText>
        </w:r>
        <w:r>
          <w:fldChar w:fldCharType="separate"/>
        </w:r>
        <w:r w:rsidR="004657CA" w:rsidRPr="004657CA">
          <w:rPr>
            <w:noProof/>
            <w:lang w:val="zh-CN"/>
          </w:rPr>
          <w:t>229</w:t>
        </w:r>
        <w:r>
          <w:rPr>
            <w:noProof/>
            <w:lang w:val="zh-CN"/>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38213"/>
    </w:sdtPr>
    <w:sdtEndPr/>
    <w:sdtContent>
      <w:p w:rsidR="001566A5" w:rsidRDefault="001566A5">
        <w:pPr>
          <w:pStyle w:val="a4"/>
          <w:jc w:val="center"/>
        </w:pPr>
        <w:r>
          <w:fldChar w:fldCharType="begin"/>
        </w:r>
        <w:r>
          <w:instrText xml:space="preserve"> PAGE   \* MERGEFORMAT </w:instrText>
        </w:r>
        <w:r>
          <w:fldChar w:fldCharType="separate"/>
        </w:r>
        <w:r w:rsidR="004657CA" w:rsidRPr="004657CA">
          <w:rPr>
            <w:noProof/>
            <w:lang w:val="zh-CN"/>
          </w:rPr>
          <w:t>248</w:t>
        </w:r>
        <w:r>
          <w:rPr>
            <w:lang w:val="zh-CN"/>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38214"/>
      <w:docPartObj>
        <w:docPartGallery w:val="Page Numbers (Bottom of Page)"/>
        <w:docPartUnique/>
      </w:docPartObj>
    </w:sdtPr>
    <w:sdtEndPr/>
    <w:sdtContent>
      <w:p w:rsidR="001566A5" w:rsidRDefault="001566A5">
        <w:pPr>
          <w:pStyle w:val="a4"/>
          <w:jc w:val="center"/>
        </w:pPr>
        <w:r>
          <w:fldChar w:fldCharType="begin"/>
        </w:r>
        <w:r>
          <w:instrText xml:space="preserve"> PAGE   \* MERGEFORMAT </w:instrText>
        </w:r>
        <w:r>
          <w:fldChar w:fldCharType="separate"/>
        </w:r>
        <w:r w:rsidR="004657CA" w:rsidRPr="004657CA">
          <w:rPr>
            <w:noProof/>
            <w:lang w:val="zh-CN"/>
          </w:rPr>
          <w:t>262</w:t>
        </w:r>
        <w:r>
          <w:rPr>
            <w:noProof/>
            <w:lang w:val="zh-CN"/>
          </w:rPr>
          <w:fldChar w:fldCharType="end"/>
        </w:r>
      </w:p>
    </w:sdtContent>
  </w:sdt>
  <w:p w:rsidR="001566A5" w:rsidRDefault="001566A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DF7" w:rsidRDefault="00F54DF7" w:rsidP="00235169">
      <w:r>
        <w:separator/>
      </w:r>
    </w:p>
  </w:footnote>
  <w:footnote w:type="continuationSeparator" w:id="0">
    <w:p w:rsidR="00F54DF7" w:rsidRDefault="00F54DF7" w:rsidP="002351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5352"/>
    <w:multiLevelType w:val="hybridMultilevel"/>
    <w:tmpl w:val="6A2C8852"/>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3A6174C"/>
    <w:multiLevelType w:val="hybridMultilevel"/>
    <w:tmpl w:val="DA988358"/>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4530753"/>
    <w:multiLevelType w:val="hybridMultilevel"/>
    <w:tmpl w:val="6248DD16"/>
    <w:lvl w:ilvl="0" w:tplc="F65CE942">
      <w:start w:val="1"/>
      <w:numFmt w:val="decimal"/>
      <w:lvlText w:val="1.%1"/>
      <w:lvlJc w:val="left"/>
      <w:pPr>
        <w:ind w:left="420" w:hanging="420"/>
      </w:pPr>
      <w:rPr>
        <w:rFonts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47E0B4C"/>
    <w:multiLevelType w:val="hybridMultilevel"/>
    <w:tmpl w:val="2312AB04"/>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4CF2B20"/>
    <w:multiLevelType w:val="multilevel"/>
    <w:tmpl w:val="2D64C84C"/>
    <w:lvl w:ilvl="0">
      <w:start w:val="1"/>
      <w:numFmt w:val="decimalEnclosedCircle"/>
      <w:lvlText w:val="%1"/>
      <w:lvlJc w:val="left"/>
      <w:pPr>
        <w:ind w:left="420" w:hanging="420"/>
      </w:pPr>
      <w:rPr>
        <w:rFonts w:asciiTheme="minorEastAsia" w:eastAsiaTheme="minorEastAsia" w:hAnsiTheme="minorEastAsia" w:cs="Arial"/>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5983ACE"/>
    <w:multiLevelType w:val="hybridMultilevel"/>
    <w:tmpl w:val="499C75AA"/>
    <w:lvl w:ilvl="0" w:tplc="473E7C60">
      <w:start w:val="1"/>
      <w:numFmt w:val="decimalEnclosedCircle"/>
      <w:lvlText w:val="%1"/>
      <w:lvlJc w:val="left"/>
      <w:pPr>
        <w:ind w:left="420" w:hanging="420"/>
      </w:pPr>
      <w:rPr>
        <w:rFonts w:asciiTheme="minorEastAsia" w:eastAsiaTheme="minorEastAsia" w:hAnsiTheme="minorEastAsia"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6576389"/>
    <w:multiLevelType w:val="hybridMultilevel"/>
    <w:tmpl w:val="9630284C"/>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72C5A93"/>
    <w:multiLevelType w:val="hybridMultilevel"/>
    <w:tmpl w:val="F3AA7812"/>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8875DE8"/>
    <w:multiLevelType w:val="hybridMultilevel"/>
    <w:tmpl w:val="AC4422AE"/>
    <w:lvl w:ilvl="0" w:tplc="36B2B88E">
      <w:start w:val="1"/>
      <w:numFmt w:val="decimal"/>
      <w:suff w:val="nothing"/>
      <w:lvlText w:val="2.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8A37CD7"/>
    <w:multiLevelType w:val="hybridMultilevel"/>
    <w:tmpl w:val="0F1C19E6"/>
    <w:lvl w:ilvl="0" w:tplc="473E7C60">
      <w:start w:val="1"/>
      <w:numFmt w:val="decimalEnclosedCircle"/>
      <w:lvlText w:val="%1"/>
      <w:lvlJc w:val="left"/>
      <w:pPr>
        <w:ind w:left="420" w:hanging="420"/>
      </w:pPr>
      <w:rPr>
        <w:rFonts w:asciiTheme="minorEastAsia" w:eastAsiaTheme="minorEastAsia" w:hAnsiTheme="minorEastAsia"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903761D"/>
    <w:multiLevelType w:val="hybridMultilevel"/>
    <w:tmpl w:val="02908E74"/>
    <w:lvl w:ilvl="0" w:tplc="69FA1E8A">
      <w:start w:val="1"/>
      <w:numFmt w:val="decimal"/>
      <w:lvlText w:val="1.2.%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93F702B"/>
    <w:multiLevelType w:val="hybridMultilevel"/>
    <w:tmpl w:val="593A9832"/>
    <w:lvl w:ilvl="0" w:tplc="07467D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A742995"/>
    <w:multiLevelType w:val="hybridMultilevel"/>
    <w:tmpl w:val="C91CC1EE"/>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AAA552C"/>
    <w:multiLevelType w:val="hybridMultilevel"/>
    <w:tmpl w:val="BDE0E3D4"/>
    <w:lvl w:ilvl="0" w:tplc="10B2E0F6">
      <w:start w:val="1"/>
      <w:numFmt w:val="decimal"/>
      <w:suff w:val="nothing"/>
      <w:lvlText w:val="3.7.%1"/>
      <w:lvlJc w:val="left"/>
      <w:pPr>
        <w:ind w:left="420" w:hanging="420"/>
      </w:pPr>
      <w:rPr>
        <w:rFonts w:ascii="Times New Roman" w:hAnsi="Times New Roman"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D3267DC"/>
    <w:multiLevelType w:val="hybridMultilevel"/>
    <w:tmpl w:val="7F624562"/>
    <w:lvl w:ilvl="0" w:tplc="473E7C60">
      <w:start w:val="1"/>
      <w:numFmt w:val="decimalEnclosedCircle"/>
      <w:lvlText w:val="%1"/>
      <w:lvlJc w:val="left"/>
      <w:pPr>
        <w:ind w:left="420" w:hanging="420"/>
      </w:pPr>
      <w:rPr>
        <w:rFonts w:asciiTheme="minorEastAsia" w:eastAsiaTheme="minorEastAsia" w:hAnsiTheme="minorEastAsia"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094439D"/>
    <w:multiLevelType w:val="hybridMultilevel"/>
    <w:tmpl w:val="EB943D7C"/>
    <w:lvl w:ilvl="0" w:tplc="836AE482">
      <w:start w:val="1"/>
      <w:numFmt w:val="decimal"/>
      <w:suff w:val="nothing"/>
      <w:lvlText w:val="3.1.%1"/>
      <w:lvlJc w:val="left"/>
      <w:pPr>
        <w:ind w:left="420" w:hanging="420"/>
      </w:pPr>
      <w:rPr>
        <w:rFonts w:ascii="Times New Roman" w:hAnsi="Times New Roman"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13550F8"/>
    <w:multiLevelType w:val="hybridMultilevel"/>
    <w:tmpl w:val="1D8C0BB2"/>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20B6D59"/>
    <w:multiLevelType w:val="hybridMultilevel"/>
    <w:tmpl w:val="EC040532"/>
    <w:lvl w:ilvl="0" w:tplc="74F432FA">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12305F11"/>
    <w:multiLevelType w:val="hybridMultilevel"/>
    <w:tmpl w:val="CC36DD68"/>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125914FE"/>
    <w:multiLevelType w:val="hybridMultilevel"/>
    <w:tmpl w:val="1C60DFBE"/>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39142BB"/>
    <w:multiLevelType w:val="hybridMultilevel"/>
    <w:tmpl w:val="A9F8307C"/>
    <w:lvl w:ilvl="0" w:tplc="473E7C60">
      <w:start w:val="1"/>
      <w:numFmt w:val="decimalEnclosedCircle"/>
      <w:lvlText w:val="%1"/>
      <w:lvlJc w:val="left"/>
      <w:pPr>
        <w:ind w:left="420" w:hanging="420"/>
      </w:pPr>
      <w:rPr>
        <w:rFonts w:asciiTheme="minorEastAsia" w:eastAsiaTheme="minorEastAsia" w:hAnsiTheme="minorEastAsia"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39D34CF"/>
    <w:multiLevelType w:val="hybridMultilevel"/>
    <w:tmpl w:val="4A8427F4"/>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4577AD1"/>
    <w:multiLevelType w:val="hybridMultilevel"/>
    <w:tmpl w:val="DB445E40"/>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5300A43"/>
    <w:multiLevelType w:val="hybridMultilevel"/>
    <w:tmpl w:val="CB9257B2"/>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162656FA"/>
    <w:multiLevelType w:val="hybridMultilevel"/>
    <w:tmpl w:val="3A24EEDE"/>
    <w:lvl w:ilvl="0" w:tplc="D38ACE7A">
      <w:start w:val="1"/>
      <w:numFmt w:val="decimal"/>
      <w:lvlText w:val="1.%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163F175E"/>
    <w:multiLevelType w:val="hybridMultilevel"/>
    <w:tmpl w:val="59C8AD92"/>
    <w:lvl w:ilvl="0" w:tplc="0D689B3E">
      <w:start w:val="1"/>
      <w:numFmt w:val="decimal"/>
      <w:lvlText w:val="2.2.%1"/>
      <w:lvlJc w:val="left"/>
      <w:pPr>
        <w:ind w:left="420" w:hanging="420"/>
      </w:pPr>
      <w:rPr>
        <w:rFonts w:ascii="宋体" w:eastAsia="宋体" w:hAnsi="宋体" w:cs="Arial"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78A4F80"/>
    <w:multiLevelType w:val="hybridMultilevel"/>
    <w:tmpl w:val="F954BC48"/>
    <w:lvl w:ilvl="0" w:tplc="DC84608A">
      <w:start w:val="1"/>
      <w:numFmt w:val="decimal"/>
      <w:lvlText w:val="2.5.%1"/>
      <w:lvlJc w:val="left"/>
      <w:pPr>
        <w:ind w:left="420" w:hanging="420"/>
      </w:pPr>
      <w:rPr>
        <w:rFonts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1835612E"/>
    <w:multiLevelType w:val="hybridMultilevel"/>
    <w:tmpl w:val="DE3A167E"/>
    <w:lvl w:ilvl="0" w:tplc="473E7C60">
      <w:start w:val="1"/>
      <w:numFmt w:val="decimalEnclosedCircle"/>
      <w:lvlText w:val="%1"/>
      <w:lvlJc w:val="left"/>
      <w:pPr>
        <w:ind w:left="420" w:hanging="420"/>
      </w:pPr>
      <w:rPr>
        <w:rFonts w:asciiTheme="minorEastAsia" w:eastAsiaTheme="minorEastAsia" w:hAnsiTheme="minorEastAsia"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18CA31B2"/>
    <w:multiLevelType w:val="hybridMultilevel"/>
    <w:tmpl w:val="40A21A66"/>
    <w:lvl w:ilvl="0" w:tplc="ECCAAB02">
      <w:start w:val="1"/>
      <w:numFmt w:val="decimal"/>
      <w:suff w:val="nothing"/>
      <w:lvlText w:val="%1）"/>
      <w:lvlJc w:val="left"/>
      <w:pPr>
        <w:ind w:left="420" w:hanging="420"/>
      </w:pPr>
      <w:rPr>
        <w:rFonts w:ascii="Times New Roman" w:hAnsi="Times New Roman"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19174D70"/>
    <w:multiLevelType w:val="hybridMultilevel"/>
    <w:tmpl w:val="C6A0A45A"/>
    <w:lvl w:ilvl="0" w:tplc="0D689B3E">
      <w:start w:val="1"/>
      <w:numFmt w:val="decimal"/>
      <w:lvlText w:val="2.2.%1"/>
      <w:lvlJc w:val="left"/>
      <w:pPr>
        <w:ind w:left="825" w:hanging="420"/>
      </w:pPr>
      <w:rPr>
        <w:rFonts w:ascii="宋体" w:eastAsia="宋体" w:hAnsi="宋体" w:cs="Arial"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199E035D"/>
    <w:multiLevelType w:val="hybridMultilevel"/>
    <w:tmpl w:val="4D46CA2A"/>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1A7069A6"/>
    <w:multiLevelType w:val="hybridMultilevel"/>
    <w:tmpl w:val="96C6AEF0"/>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1ADF020E"/>
    <w:multiLevelType w:val="hybridMultilevel"/>
    <w:tmpl w:val="094615A6"/>
    <w:lvl w:ilvl="0" w:tplc="473E7C60">
      <w:start w:val="1"/>
      <w:numFmt w:val="decimalEnclosedCircle"/>
      <w:lvlText w:val="%1"/>
      <w:lvlJc w:val="left"/>
      <w:pPr>
        <w:ind w:left="420" w:hanging="420"/>
      </w:pPr>
      <w:rPr>
        <w:rFonts w:asciiTheme="minorEastAsia" w:eastAsiaTheme="minorEastAsia" w:hAnsiTheme="minorEastAsia"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1AEC001C"/>
    <w:multiLevelType w:val="hybridMultilevel"/>
    <w:tmpl w:val="A9BC3F1C"/>
    <w:lvl w:ilvl="0" w:tplc="473E7C60">
      <w:start w:val="1"/>
      <w:numFmt w:val="decimalEnclosedCircle"/>
      <w:lvlText w:val="%1"/>
      <w:lvlJc w:val="left"/>
      <w:pPr>
        <w:ind w:left="420" w:hanging="420"/>
      </w:pPr>
      <w:rPr>
        <w:rFonts w:asciiTheme="minorEastAsia" w:eastAsiaTheme="minorEastAsia" w:hAnsiTheme="minorEastAsia"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1BB7797A"/>
    <w:multiLevelType w:val="hybridMultilevel"/>
    <w:tmpl w:val="16EA8346"/>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1BDB5440"/>
    <w:multiLevelType w:val="hybridMultilevel"/>
    <w:tmpl w:val="A9EA0E50"/>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1EEA27B2"/>
    <w:multiLevelType w:val="hybridMultilevel"/>
    <w:tmpl w:val="1B2CCC52"/>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1F786A8E"/>
    <w:multiLevelType w:val="hybridMultilevel"/>
    <w:tmpl w:val="F4B69886"/>
    <w:lvl w:ilvl="0" w:tplc="473E7C60">
      <w:start w:val="1"/>
      <w:numFmt w:val="decimalEnclosedCircle"/>
      <w:lvlText w:val="%1"/>
      <w:lvlJc w:val="left"/>
      <w:pPr>
        <w:ind w:left="420" w:hanging="420"/>
      </w:pPr>
      <w:rPr>
        <w:rFonts w:ascii="宋体" w:eastAsia="宋体" w:hAnsi="宋体" w:cs="Arial"/>
      </w:rPr>
    </w:lvl>
    <w:lvl w:ilvl="1" w:tplc="C1C8C60A">
      <w:start w:val="1"/>
      <w:numFmt w:val="ideographTraditional"/>
      <w:lvlText w:val="%2、"/>
      <w:lvlJc w:val="left"/>
      <w:pPr>
        <w:ind w:left="900" w:hanging="48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200473E9"/>
    <w:multiLevelType w:val="hybridMultilevel"/>
    <w:tmpl w:val="EB70ABA2"/>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20162384"/>
    <w:multiLevelType w:val="hybridMultilevel"/>
    <w:tmpl w:val="6D1A04FE"/>
    <w:lvl w:ilvl="0" w:tplc="E3C4589C">
      <w:start w:val="1"/>
      <w:numFmt w:val="decimal"/>
      <w:lvlText w:val="2.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207973C4"/>
    <w:multiLevelType w:val="hybridMultilevel"/>
    <w:tmpl w:val="9DFEA5A0"/>
    <w:lvl w:ilvl="0" w:tplc="473E7C60">
      <w:start w:val="1"/>
      <w:numFmt w:val="decimalEnclosedCircle"/>
      <w:lvlText w:val="%1"/>
      <w:lvlJc w:val="left"/>
      <w:pPr>
        <w:ind w:left="420" w:hanging="420"/>
      </w:pPr>
      <w:rPr>
        <w:rFonts w:asciiTheme="minorEastAsia" w:eastAsiaTheme="minorEastAsia" w:hAnsiTheme="minorEastAsia"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20AF0D6F"/>
    <w:multiLevelType w:val="hybridMultilevel"/>
    <w:tmpl w:val="1848D0B8"/>
    <w:lvl w:ilvl="0" w:tplc="D2246BC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25016047"/>
    <w:multiLevelType w:val="hybridMultilevel"/>
    <w:tmpl w:val="87984720"/>
    <w:lvl w:ilvl="0" w:tplc="5388F9FA">
      <w:start w:val="1"/>
      <w:numFmt w:val="decimal"/>
      <w:lvlText w:val="2.2.%1"/>
      <w:lvlJc w:val="left"/>
      <w:pPr>
        <w:ind w:left="420" w:hanging="420"/>
      </w:pPr>
      <w:rPr>
        <w:rFonts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25A55A4C"/>
    <w:multiLevelType w:val="hybridMultilevel"/>
    <w:tmpl w:val="B58C5B04"/>
    <w:lvl w:ilvl="0" w:tplc="473E7C60">
      <w:start w:val="1"/>
      <w:numFmt w:val="decimalEnclosedCircle"/>
      <w:lvlText w:val="%1"/>
      <w:lvlJc w:val="left"/>
      <w:pPr>
        <w:ind w:left="420" w:hanging="420"/>
      </w:pPr>
      <w:rPr>
        <w:rFonts w:asciiTheme="minorEastAsia" w:eastAsiaTheme="minorEastAsia" w:hAnsiTheme="minorEastAsia"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277B5CD5"/>
    <w:multiLevelType w:val="hybridMultilevel"/>
    <w:tmpl w:val="3DB82394"/>
    <w:lvl w:ilvl="0" w:tplc="473E7C60">
      <w:start w:val="1"/>
      <w:numFmt w:val="decimalEnclosedCircle"/>
      <w:lvlText w:val="%1"/>
      <w:lvlJc w:val="left"/>
      <w:pPr>
        <w:ind w:left="420" w:hanging="420"/>
      </w:pPr>
      <w:rPr>
        <w:rFonts w:asciiTheme="minorEastAsia" w:eastAsiaTheme="minorEastAsia" w:hAnsiTheme="minorEastAsia"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28423765"/>
    <w:multiLevelType w:val="hybridMultilevel"/>
    <w:tmpl w:val="9ECC89D8"/>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284E6CE9"/>
    <w:multiLevelType w:val="hybridMultilevel"/>
    <w:tmpl w:val="048814DE"/>
    <w:lvl w:ilvl="0" w:tplc="AED6CDAC">
      <w:start w:val="1"/>
      <w:numFmt w:val="decimal"/>
      <w:lvlText w:val="3.%1"/>
      <w:lvlJc w:val="left"/>
      <w:pPr>
        <w:ind w:left="420" w:hanging="420"/>
      </w:pPr>
      <w:rPr>
        <w:rFonts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28881E40"/>
    <w:multiLevelType w:val="hybridMultilevel"/>
    <w:tmpl w:val="5BA2E3FE"/>
    <w:lvl w:ilvl="0" w:tplc="473E7C60">
      <w:start w:val="1"/>
      <w:numFmt w:val="decimalEnclosedCircle"/>
      <w:lvlText w:val="%1"/>
      <w:lvlJc w:val="left"/>
      <w:pPr>
        <w:ind w:left="420" w:hanging="420"/>
      </w:pPr>
      <w:rPr>
        <w:rFonts w:asciiTheme="minorEastAsia" w:eastAsiaTheme="minorEastAsia" w:hAnsiTheme="minorEastAsia"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28C373D8"/>
    <w:multiLevelType w:val="hybridMultilevel"/>
    <w:tmpl w:val="125CC62A"/>
    <w:lvl w:ilvl="0" w:tplc="208C06C2">
      <w:start w:val="1"/>
      <w:numFmt w:val="decimal"/>
      <w:lvlText w:val="2.4.%1"/>
      <w:lvlJc w:val="left"/>
      <w:pPr>
        <w:ind w:left="420" w:hanging="420"/>
      </w:pPr>
      <w:rPr>
        <w:rFonts w:ascii="宋体" w:eastAsia="宋体" w:hAnsi="宋体" w:cs="Arial"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291550D4"/>
    <w:multiLevelType w:val="hybridMultilevel"/>
    <w:tmpl w:val="323C9B02"/>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29D33F61"/>
    <w:multiLevelType w:val="hybridMultilevel"/>
    <w:tmpl w:val="66E4A2BC"/>
    <w:lvl w:ilvl="0" w:tplc="1E145F88">
      <w:start w:val="1"/>
      <w:numFmt w:val="decimal"/>
      <w:lvlText w:val="1.%1"/>
      <w:lvlJc w:val="left"/>
      <w:pPr>
        <w:ind w:left="420" w:hanging="420"/>
      </w:pPr>
      <w:rPr>
        <w:rFonts w:ascii="宋体" w:eastAsia="宋体" w:hAnsi="宋体" w:cs="Arial"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2A972576"/>
    <w:multiLevelType w:val="hybridMultilevel"/>
    <w:tmpl w:val="CA6E9CB4"/>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2B6619B3"/>
    <w:multiLevelType w:val="hybridMultilevel"/>
    <w:tmpl w:val="9F54F41E"/>
    <w:lvl w:ilvl="0" w:tplc="36C0CC14">
      <w:start w:val="1"/>
      <w:numFmt w:val="ideographTradition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2BD71AAB"/>
    <w:multiLevelType w:val="hybridMultilevel"/>
    <w:tmpl w:val="6CBE52A8"/>
    <w:lvl w:ilvl="0" w:tplc="473E7C60">
      <w:start w:val="1"/>
      <w:numFmt w:val="decimalEnclosedCircle"/>
      <w:lvlText w:val="%1"/>
      <w:lvlJc w:val="left"/>
      <w:pPr>
        <w:ind w:left="360" w:hanging="360"/>
      </w:pPr>
      <w:rPr>
        <w:rFonts w:asciiTheme="minorEastAsia" w:eastAsiaTheme="minorEastAsia" w:hAnsiTheme="minorEastAsia"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2BF51CE2"/>
    <w:multiLevelType w:val="hybridMultilevel"/>
    <w:tmpl w:val="F5F43870"/>
    <w:lvl w:ilvl="0" w:tplc="208E277A">
      <w:start w:val="1"/>
      <w:numFmt w:val="decimal"/>
      <w:suff w:val="nothing"/>
      <w:lvlText w:val="1.%1"/>
      <w:lvlJc w:val="left"/>
      <w:pPr>
        <w:ind w:left="420" w:hanging="420"/>
      </w:pPr>
      <w:rPr>
        <w:rFonts w:ascii="Times New Roman" w:hAnsi="Times New Roman" w:hint="default"/>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2DDD3B7C"/>
    <w:multiLevelType w:val="hybridMultilevel"/>
    <w:tmpl w:val="A8544EA4"/>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2EDB55BB"/>
    <w:multiLevelType w:val="hybridMultilevel"/>
    <w:tmpl w:val="3ADED1F4"/>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2FCE3956"/>
    <w:multiLevelType w:val="hybridMultilevel"/>
    <w:tmpl w:val="6CBE52A8"/>
    <w:lvl w:ilvl="0" w:tplc="473E7C60">
      <w:start w:val="1"/>
      <w:numFmt w:val="decimalEnclosedCircle"/>
      <w:lvlText w:val="%1"/>
      <w:lvlJc w:val="left"/>
      <w:pPr>
        <w:ind w:left="360" w:hanging="360"/>
      </w:pPr>
      <w:rPr>
        <w:rFonts w:asciiTheme="minorEastAsia" w:eastAsiaTheme="minorEastAsia" w:hAnsiTheme="minorEastAsia"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2FE353AD"/>
    <w:multiLevelType w:val="hybridMultilevel"/>
    <w:tmpl w:val="FDCE5CD2"/>
    <w:lvl w:ilvl="0" w:tplc="739240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32325867"/>
    <w:multiLevelType w:val="hybridMultilevel"/>
    <w:tmpl w:val="676ABB24"/>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3266418C"/>
    <w:multiLevelType w:val="hybridMultilevel"/>
    <w:tmpl w:val="C722F2EE"/>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33895DA3"/>
    <w:multiLevelType w:val="hybridMultilevel"/>
    <w:tmpl w:val="15141FE0"/>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349B55AC"/>
    <w:multiLevelType w:val="hybridMultilevel"/>
    <w:tmpl w:val="F5F43870"/>
    <w:lvl w:ilvl="0" w:tplc="208E277A">
      <w:start w:val="1"/>
      <w:numFmt w:val="decimal"/>
      <w:suff w:val="nothing"/>
      <w:lvlText w:val="1.%1"/>
      <w:lvlJc w:val="left"/>
      <w:pPr>
        <w:ind w:left="420" w:hanging="420"/>
      </w:pPr>
      <w:rPr>
        <w:rFonts w:ascii="Times New Roman" w:hAnsi="Times New Roman" w:hint="default"/>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3534565E"/>
    <w:multiLevelType w:val="hybridMultilevel"/>
    <w:tmpl w:val="1BA020E8"/>
    <w:lvl w:ilvl="0" w:tplc="473E7C60">
      <w:start w:val="1"/>
      <w:numFmt w:val="decimalEnclosedCircle"/>
      <w:lvlText w:val="%1"/>
      <w:lvlJc w:val="left"/>
      <w:pPr>
        <w:ind w:left="420" w:hanging="420"/>
      </w:pPr>
      <w:rPr>
        <w:rFonts w:asciiTheme="minorEastAsia" w:eastAsiaTheme="minorEastAsia" w:hAnsiTheme="minorEastAsia"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36DE2A8B"/>
    <w:multiLevelType w:val="hybridMultilevel"/>
    <w:tmpl w:val="84D08018"/>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379E7268"/>
    <w:multiLevelType w:val="hybridMultilevel"/>
    <w:tmpl w:val="90EC136A"/>
    <w:lvl w:ilvl="0" w:tplc="9D924FB2">
      <w:start w:val="1"/>
      <w:numFmt w:val="decimal"/>
      <w:lvlText w:val="2.3.%1"/>
      <w:lvlJc w:val="left"/>
      <w:pPr>
        <w:ind w:left="420" w:hanging="420"/>
      </w:pPr>
      <w:rPr>
        <w:rFonts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39373FDC"/>
    <w:multiLevelType w:val="hybridMultilevel"/>
    <w:tmpl w:val="B82E7258"/>
    <w:lvl w:ilvl="0" w:tplc="88CC5B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3A46540A"/>
    <w:multiLevelType w:val="hybridMultilevel"/>
    <w:tmpl w:val="9CC6F09E"/>
    <w:lvl w:ilvl="0" w:tplc="9690937A">
      <w:start w:val="1"/>
      <w:numFmt w:val="decimal"/>
      <w:lvlText w:val="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3AA170F7"/>
    <w:multiLevelType w:val="hybridMultilevel"/>
    <w:tmpl w:val="A838F18A"/>
    <w:lvl w:ilvl="0" w:tplc="98464242">
      <w:start w:val="1"/>
      <w:numFmt w:val="decimal"/>
      <w:lvlText w:val="1.3.%1"/>
      <w:lvlJc w:val="left"/>
      <w:pPr>
        <w:ind w:left="562" w:hanging="420"/>
      </w:pPr>
      <w:rPr>
        <w:rFonts w:hint="eastAsia"/>
        <w:b w:val="0"/>
        <w:i w:val="0"/>
      </w:rPr>
    </w:lvl>
    <w:lvl w:ilvl="1" w:tplc="4DD20444">
      <w:start w:val="1"/>
      <w:numFmt w:val="decimal"/>
      <w:lvlText w:val="%2、"/>
      <w:lvlJc w:val="left"/>
      <w:pPr>
        <w:ind w:left="922" w:hanging="360"/>
      </w:pPr>
      <w:rPr>
        <w:rFonts w:hint="default"/>
      </w:r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69">
    <w:nsid w:val="3B124F06"/>
    <w:multiLevelType w:val="hybridMultilevel"/>
    <w:tmpl w:val="B7DAB110"/>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3B5B5993"/>
    <w:multiLevelType w:val="hybridMultilevel"/>
    <w:tmpl w:val="1848D0B8"/>
    <w:lvl w:ilvl="0" w:tplc="D2246BC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3BFF78C9"/>
    <w:multiLevelType w:val="hybridMultilevel"/>
    <w:tmpl w:val="1AEAD97E"/>
    <w:lvl w:ilvl="0" w:tplc="473E7C60">
      <w:start w:val="1"/>
      <w:numFmt w:val="decimalEnclosedCircle"/>
      <w:lvlText w:val="%1"/>
      <w:lvlJc w:val="left"/>
      <w:pPr>
        <w:ind w:left="420" w:hanging="420"/>
      </w:pPr>
      <w:rPr>
        <w:rFonts w:asciiTheme="minorEastAsia" w:eastAsiaTheme="minorEastAsia" w:hAnsiTheme="minorEastAsia"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3CCB79D5"/>
    <w:multiLevelType w:val="hybridMultilevel"/>
    <w:tmpl w:val="6A4A1D3C"/>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3E127CFA"/>
    <w:multiLevelType w:val="hybridMultilevel"/>
    <w:tmpl w:val="AA949508"/>
    <w:lvl w:ilvl="0" w:tplc="473E7C60">
      <w:start w:val="1"/>
      <w:numFmt w:val="decimalEnclosedCircle"/>
      <w:lvlText w:val="%1"/>
      <w:lvlJc w:val="left"/>
      <w:pPr>
        <w:ind w:left="420" w:hanging="420"/>
      </w:pPr>
      <w:rPr>
        <w:rFonts w:asciiTheme="minorEastAsia" w:eastAsiaTheme="minorEastAsia" w:hAnsiTheme="minorEastAsia"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3E1605A0"/>
    <w:multiLevelType w:val="hybridMultilevel"/>
    <w:tmpl w:val="38A0DDB0"/>
    <w:lvl w:ilvl="0" w:tplc="F43899D0">
      <w:start w:val="1"/>
      <w:numFmt w:val="decimal"/>
      <w:suff w:val="nothing"/>
      <w:lvlText w:val="3.3.%1"/>
      <w:lvlJc w:val="left"/>
      <w:pPr>
        <w:ind w:left="420" w:hanging="420"/>
      </w:pPr>
      <w:rPr>
        <w:rFonts w:ascii="Times New Roman" w:hAnsi="Times New Roman"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3E532B95"/>
    <w:multiLevelType w:val="hybridMultilevel"/>
    <w:tmpl w:val="5ECAFF3A"/>
    <w:lvl w:ilvl="0" w:tplc="473E7C60">
      <w:start w:val="1"/>
      <w:numFmt w:val="decimalEnclosedCircle"/>
      <w:lvlText w:val="%1"/>
      <w:lvlJc w:val="left"/>
      <w:pPr>
        <w:ind w:left="420" w:hanging="420"/>
      </w:pPr>
      <w:rPr>
        <w:rFonts w:asciiTheme="minorEastAsia" w:eastAsiaTheme="minorEastAsia" w:hAnsiTheme="minorEastAsia"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3E9B7D4C"/>
    <w:multiLevelType w:val="hybridMultilevel"/>
    <w:tmpl w:val="3FC61294"/>
    <w:lvl w:ilvl="0" w:tplc="208C06C2">
      <w:start w:val="1"/>
      <w:numFmt w:val="decimal"/>
      <w:lvlText w:val="2.4.%1"/>
      <w:lvlJc w:val="left"/>
      <w:pPr>
        <w:ind w:left="420" w:hanging="420"/>
      </w:pPr>
      <w:rPr>
        <w:rFonts w:asciiTheme="minorEastAsia" w:eastAsia="宋体" w:hAnsiTheme="minorEastAsia" w:cs="Arial"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3FB67A1B"/>
    <w:multiLevelType w:val="hybridMultilevel"/>
    <w:tmpl w:val="F800BFC4"/>
    <w:lvl w:ilvl="0" w:tplc="ECCAAB02">
      <w:start w:val="1"/>
      <w:numFmt w:val="decimal"/>
      <w:suff w:val="nothing"/>
      <w:lvlText w:val="%1）"/>
      <w:lvlJc w:val="left"/>
      <w:pPr>
        <w:ind w:left="420" w:hanging="420"/>
      </w:pPr>
      <w:rPr>
        <w:rFonts w:ascii="Times New Roman" w:hAnsi="Times New Roman"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407D4163"/>
    <w:multiLevelType w:val="hybridMultilevel"/>
    <w:tmpl w:val="FF5068EC"/>
    <w:lvl w:ilvl="0" w:tplc="4712F4B2">
      <w:start w:val="1"/>
      <w:numFmt w:val="decimal"/>
      <w:suff w:val="nothing"/>
      <w:lvlText w:val="2.2.%1"/>
      <w:lvlJc w:val="left"/>
      <w:pPr>
        <w:ind w:left="0" w:firstLine="0"/>
      </w:pPr>
      <w:rPr>
        <w:rFonts w:ascii="宋体" w:eastAsia="宋体" w:hAnsi="宋体" w:cs="Arial"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40D730BB"/>
    <w:multiLevelType w:val="hybridMultilevel"/>
    <w:tmpl w:val="4B683E4A"/>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418C6AE0"/>
    <w:multiLevelType w:val="hybridMultilevel"/>
    <w:tmpl w:val="2F46DE0E"/>
    <w:lvl w:ilvl="0" w:tplc="ECCAAB02">
      <w:start w:val="1"/>
      <w:numFmt w:val="decimal"/>
      <w:suff w:val="nothing"/>
      <w:lvlText w:val="%1）"/>
      <w:lvlJc w:val="left"/>
      <w:pPr>
        <w:ind w:left="420" w:hanging="420"/>
      </w:pPr>
      <w:rPr>
        <w:rFonts w:ascii="Times New Roman" w:hAnsi="Times New Roman"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41E53E62"/>
    <w:multiLevelType w:val="hybridMultilevel"/>
    <w:tmpl w:val="39B2CC82"/>
    <w:lvl w:ilvl="0" w:tplc="D90AE4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42841553"/>
    <w:multiLevelType w:val="hybridMultilevel"/>
    <w:tmpl w:val="B1246240"/>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45E11BD3"/>
    <w:multiLevelType w:val="hybridMultilevel"/>
    <w:tmpl w:val="5C048AB2"/>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46585C60"/>
    <w:multiLevelType w:val="hybridMultilevel"/>
    <w:tmpl w:val="1848D0B8"/>
    <w:lvl w:ilvl="0" w:tplc="D2246BC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46591657"/>
    <w:multiLevelType w:val="hybridMultilevel"/>
    <w:tmpl w:val="7906743C"/>
    <w:lvl w:ilvl="0" w:tplc="A1ACF5FA">
      <w:start w:val="1"/>
      <w:numFmt w:val="decimalEnclosedCircle"/>
      <w:lvlText w:val="%1"/>
      <w:lvlJc w:val="left"/>
      <w:pPr>
        <w:ind w:left="360" w:hanging="360"/>
      </w:pPr>
      <w:rPr>
        <w:rFonts w:asciiTheme="minorEastAsia" w:eastAsiaTheme="minorEastAsia" w:hAnsiTheme="minorEastAsia" w:cs="Arial"/>
      </w:rPr>
    </w:lvl>
    <w:lvl w:ilvl="1" w:tplc="837A65CE">
      <w:start w:val="1"/>
      <w:numFmt w:val="decimal"/>
      <w:lvlText w:val="%2."/>
      <w:lvlJc w:val="left"/>
      <w:pPr>
        <w:tabs>
          <w:tab w:val="num" w:pos="1440"/>
        </w:tabs>
        <w:ind w:left="1440" w:hanging="360"/>
      </w:pPr>
    </w:lvl>
    <w:lvl w:ilvl="2" w:tplc="0F1E2DD0">
      <w:start w:val="1"/>
      <w:numFmt w:val="decimal"/>
      <w:lvlText w:val="%3."/>
      <w:lvlJc w:val="left"/>
      <w:pPr>
        <w:tabs>
          <w:tab w:val="num" w:pos="2160"/>
        </w:tabs>
        <w:ind w:left="2160" w:hanging="360"/>
      </w:pPr>
    </w:lvl>
    <w:lvl w:ilvl="3" w:tplc="0DD278C8">
      <w:start w:val="1"/>
      <w:numFmt w:val="decimal"/>
      <w:lvlText w:val="%4."/>
      <w:lvlJc w:val="left"/>
      <w:pPr>
        <w:tabs>
          <w:tab w:val="num" w:pos="2880"/>
        </w:tabs>
        <w:ind w:left="2880" w:hanging="360"/>
      </w:pPr>
    </w:lvl>
    <w:lvl w:ilvl="4" w:tplc="EB6298F6">
      <w:start w:val="1"/>
      <w:numFmt w:val="decimal"/>
      <w:lvlText w:val="%5."/>
      <w:lvlJc w:val="left"/>
      <w:pPr>
        <w:tabs>
          <w:tab w:val="num" w:pos="3600"/>
        </w:tabs>
        <w:ind w:left="3600" w:hanging="360"/>
      </w:pPr>
    </w:lvl>
    <w:lvl w:ilvl="5" w:tplc="851CE5F0">
      <w:start w:val="1"/>
      <w:numFmt w:val="decimal"/>
      <w:lvlText w:val="%6."/>
      <w:lvlJc w:val="left"/>
      <w:pPr>
        <w:tabs>
          <w:tab w:val="num" w:pos="4320"/>
        </w:tabs>
        <w:ind w:left="4320" w:hanging="360"/>
      </w:pPr>
    </w:lvl>
    <w:lvl w:ilvl="6" w:tplc="BB7650C2">
      <w:start w:val="1"/>
      <w:numFmt w:val="decimal"/>
      <w:lvlText w:val="%7."/>
      <w:lvlJc w:val="left"/>
      <w:pPr>
        <w:tabs>
          <w:tab w:val="num" w:pos="5040"/>
        </w:tabs>
        <w:ind w:left="5040" w:hanging="360"/>
      </w:pPr>
    </w:lvl>
    <w:lvl w:ilvl="7" w:tplc="7256CD00">
      <w:start w:val="1"/>
      <w:numFmt w:val="decimal"/>
      <w:lvlText w:val="%8."/>
      <w:lvlJc w:val="left"/>
      <w:pPr>
        <w:tabs>
          <w:tab w:val="num" w:pos="5760"/>
        </w:tabs>
        <w:ind w:left="5760" w:hanging="360"/>
      </w:pPr>
    </w:lvl>
    <w:lvl w:ilvl="8" w:tplc="0D0613E4">
      <w:start w:val="1"/>
      <w:numFmt w:val="decimal"/>
      <w:lvlText w:val="%9."/>
      <w:lvlJc w:val="left"/>
      <w:pPr>
        <w:tabs>
          <w:tab w:val="num" w:pos="6480"/>
        </w:tabs>
        <w:ind w:left="6480" w:hanging="360"/>
      </w:pPr>
    </w:lvl>
  </w:abstractNum>
  <w:abstractNum w:abstractNumId="86">
    <w:nsid w:val="468759A2"/>
    <w:multiLevelType w:val="hybridMultilevel"/>
    <w:tmpl w:val="EC6A3E34"/>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47EA16BB"/>
    <w:multiLevelType w:val="hybridMultilevel"/>
    <w:tmpl w:val="FEE68334"/>
    <w:lvl w:ilvl="0" w:tplc="FDE4C9D2">
      <w:start w:val="1"/>
      <w:numFmt w:val="decimal"/>
      <w:suff w:val="nothing"/>
      <w:lvlText w:val="3.5.%1"/>
      <w:lvlJc w:val="left"/>
      <w:pPr>
        <w:ind w:left="420" w:hanging="420"/>
      </w:pPr>
      <w:rPr>
        <w:rFonts w:ascii="Times New Roman" w:hAnsi="Times New Roman"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485B0ED6"/>
    <w:multiLevelType w:val="multilevel"/>
    <w:tmpl w:val="46C8F530"/>
    <w:lvl w:ilvl="0">
      <w:start w:val="1"/>
      <w:numFmt w:val="decimal"/>
      <w:lvlText w:val="%1"/>
      <w:lvlJc w:val="left"/>
      <w:pPr>
        <w:ind w:left="0" w:firstLine="0"/>
      </w:pPr>
      <w:rPr>
        <w:rFonts w:ascii="Arial Unicode MS" w:eastAsia="Arial Unicode MS" w:hAnsi="Arial Unicode MS" w:cs="Arial Unicode MS" w:hint="eastAsia"/>
        <w:b w:val="0"/>
        <w:bCs w:val="0"/>
        <w:i w:val="0"/>
        <w:iCs w:val="0"/>
        <w:smallCaps w:val="0"/>
        <w:strike w:val="0"/>
        <w:color w:val="000000"/>
        <w:spacing w:val="0"/>
        <w:w w:val="100"/>
        <w:position w:val="0"/>
        <w:sz w:val="18"/>
        <w:szCs w:val="18"/>
        <w:u w:val="none"/>
        <w:lang w:val="zh-TW"/>
      </w:rPr>
    </w:lvl>
    <w:lvl w:ilvl="1">
      <w:numFmt w:val="decimal"/>
      <w:lvlText w:val=""/>
      <w:lvlJc w:val="left"/>
      <w:pPr>
        <w:ind w:left="0" w:firstLine="0"/>
      </w:pPr>
      <w:rPr>
        <w:rFonts w:hint="eastAsia"/>
      </w:rPr>
    </w:lvl>
    <w:lvl w:ilvl="2">
      <w:numFmt w:val="decimal"/>
      <w:lvlText w:val=""/>
      <w:lvlJc w:val="left"/>
      <w:pPr>
        <w:ind w:left="0" w:firstLine="0"/>
      </w:pPr>
      <w:rPr>
        <w:rFonts w:hint="eastAsia"/>
      </w:rPr>
    </w:lvl>
    <w:lvl w:ilvl="3">
      <w:numFmt w:val="decimal"/>
      <w:lvlText w:val=""/>
      <w:lvlJc w:val="left"/>
      <w:pPr>
        <w:ind w:left="0" w:firstLine="0"/>
      </w:pPr>
      <w:rPr>
        <w:rFonts w:hint="eastAsia"/>
      </w:rPr>
    </w:lvl>
    <w:lvl w:ilvl="4">
      <w:numFmt w:val="decimal"/>
      <w:lvlText w:val=""/>
      <w:lvlJc w:val="left"/>
      <w:pPr>
        <w:ind w:left="0" w:firstLine="0"/>
      </w:pPr>
      <w:rPr>
        <w:rFonts w:hint="eastAsia"/>
      </w:rPr>
    </w:lvl>
    <w:lvl w:ilvl="5">
      <w:numFmt w:val="decimal"/>
      <w:lvlText w:val=""/>
      <w:lvlJc w:val="left"/>
      <w:pPr>
        <w:ind w:left="0" w:firstLine="0"/>
      </w:pPr>
      <w:rPr>
        <w:rFonts w:hint="eastAsia"/>
      </w:rPr>
    </w:lvl>
    <w:lvl w:ilvl="6">
      <w:numFmt w:val="decimal"/>
      <w:lvlText w:val=""/>
      <w:lvlJc w:val="left"/>
      <w:pPr>
        <w:ind w:left="0" w:firstLine="0"/>
      </w:pPr>
      <w:rPr>
        <w:rFonts w:hint="eastAsia"/>
      </w:rPr>
    </w:lvl>
    <w:lvl w:ilvl="7">
      <w:numFmt w:val="decimal"/>
      <w:lvlText w:val=""/>
      <w:lvlJc w:val="left"/>
      <w:pPr>
        <w:ind w:left="0" w:firstLine="0"/>
      </w:pPr>
      <w:rPr>
        <w:rFonts w:hint="eastAsia"/>
      </w:rPr>
    </w:lvl>
    <w:lvl w:ilvl="8">
      <w:numFmt w:val="decimal"/>
      <w:lvlText w:val=""/>
      <w:lvlJc w:val="left"/>
      <w:pPr>
        <w:ind w:left="0" w:firstLine="0"/>
      </w:pPr>
      <w:rPr>
        <w:rFonts w:hint="eastAsia"/>
      </w:rPr>
    </w:lvl>
  </w:abstractNum>
  <w:abstractNum w:abstractNumId="89">
    <w:nsid w:val="489124D5"/>
    <w:multiLevelType w:val="hybridMultilevel"/>
    <w:tmpl w:val="1848D0B8"/>
    <w:lvl w:ilvl="0" w:tplc="D2246BC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49187322"/>
    <w:multiLevelType w:val="hybridMultilevel"/>
    <w:tmpl w:val="1848D0B8"/>
    <w:lvl w:ilvl="0" w:tplc="D2246BC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4A684C10"/>
    <w:multiLevelType w:val="hybridMultilevel"/>
    <w:tmpl w:val="7A70AEBE"/>
    <w:lvl w:ilvl="0" w:tplc="C6F89B62">
      <w:start w:val="1"/>
      <w:numFmt w:val="decimal"/>
      <w:lvlText w:val="3..%1"/>
      <w:lvlJc w:val="left"/>
      <w:pPr>
        <w:ind w:left="420" w:hanging="420"/>
      </w:pPr>
      <w:rPr>
        <w:rFonts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4ABC606E"/>
    <w:multiLevelType w:val="hybridMultilevel"/>
    <w:tmpl w:val="6EE02374"/>
    <w:lvl w:ilvl="0" w:tplc="45B21276">
      <w:start w:val="1"/>
      <w:numFmt w:val="decimal"/>
      <w:lvlText w:val="2.6.%1"/>
      <w:lvlJc w:val="left"/>
      <w:pPr>
        <w:ind w:left="420" w:hanging="420"/>
      </w:pPr>
      <w:rPr>
        <w:rFonts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nsid w:val="4D6573FC"/>
    <w:multiLevelType w:val="hybridMultilevel"/>
    <w:tmpl w:val="AC0E1090"/>
    <w:lvl w:ilvl="0" w:tplc="DC84608A">
      <w:start w:val="1"/>
      <w:numFmt w:val="decimal"/>
      <w:lvlText w:val="2.5.%1"/>
      <w:lvlJc w:val="left"/>
      <w:pPr>
        <w:ind w:left="420" w:hanging="420"/>
      </w:pPr>
      <w:rPr>
        <w:rFonts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nsid w:val="4EC77281"/>
    <w:multiLevelType w:val="hybridMultilevel"/>
    <w:tmpl w:val="B42ED0C8"/>
    <w:lvl w:ilvl="0" w:tplc="4470EBE8">
      <w:start w:val="1"/>
      <w:numFmt w:val="decimal"/>
      <w:suff w:val="nothing"/>
      <w:lvlText w:val="1.3.%1"/>
      <w:lvlJc w:val="left"/>
      <w:pPr>
        <w:ind w:left="562" w:hanging="420"/>
      </w:pPr>
      <w:rPr>
        <w:rFonts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4F024906"/>
    <w:multiLevelType w:val="hybridMultilevel"/>
    <w:tmpl w:val="5366EFAE"/>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nsid w:val="4F400085"/>
    <w:multiLevelType w:val="hybridMultilevel"/>
    <w:tmpl w:val="9E0CA516"/>
    <w:lvl w:ilvl="0" w:tplc="BB8805A4">
      <w:start w:val="1"/>
      <w:numFmt w:val="decimal"/>
      <w:suff w:val="nothing"/>
      <w:lvlText w:val="3.4.%1"/>
      <w:lvlJc w:val="left"/>
      <w:pPr>
        <w:ind w:left="420" w:hanging="420"/>
      </w:pPr>
      <w:rPr>
        <w:rFonts w:ascii="Times New Roman" w:hAnsi="Times New Roman"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53762C08"/>
    <w:multiLevelType w:val="hybridMultilevel"/>
    <w:tmpl w:val="1A50D508"/>
    <w:lvl w:ilvl="0" w:tplc="0A02334C">
      <w:start w:val="1"/>
      <w:numFmt w:val="decimal"/>
      <w:lvlText w:val="3.%1"/>
      <w:lvlJc w:val="left"/>
      <w:pPr>
        <w:ind w:left="420" w:hanging="420"/>
      </w:pPr>
      <w:rPr>
        <w:rFonts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nsid w:val="53953D6B"/>
    <w:multiLevelType w:val="hybridMultilevel"/>
    <w:tmpl w:val="09126FD4"/>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nsid w:val="53E53FD3"/>
    <w:multiLevelType w:val="hybridMultilevel"/>
    <w:tmpl w:val="D560861C"/>
    <w:lvl w:ilvl="0" w:tplc="48543C42">
      <w:start w:val="1"/>
      <w:numFmt w:val="decimal"/>
      <w:suff w:val="nothing"/>
      <w:lvlText w:val="%1）"/>
      <w:lvlJc w:val="left"/>
      <w:pPr>
        <w:ind w:left="420" w:hanging="420"/>
      </w:pPr>
      <w:rPr>
        <w:rFonts w:ascii="Times New Roman" w:hAnsi="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nsid w:val="54021A5D"/>
    <w:multiLevelType w:val="hybridMultilevel"/>
    <w:tmpl w:val="74AEB9DA"/>
    <w:lvl w:ilvl="0" w:tplc="9C5612A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54503A4D"/>
    <w:multiLevelType w:val="hybridMultilevel"/>
    <w:tmpl w:val="3A24EEDE"/>
    <w:lvl w:ilvl="0" w:tplc="D38ACE7A">
      <w:start w:val="1"/>
      <w:numFmt w:val="decimal"/>
      <w:lvlText w:val="1.%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54B73BD2"/>
    <w:multiLevelType w:val="hybridMultilevel"/>
    <w:tmpl w:val="6BEE2BD0"/>
    <w:lvl w:ilvl="0" w:tplc="ECCAAB02">
      <w:start w:val="1"/>
      <w:numFmt w:val="decimal"/>
      <w:suff w:val="nothing"/>
      <w:lvlText w:val="%1）"/>
      <w:lvlJc w:val="left"/>
      <w:pPr>
        <w:ind w:left="420" w:hanging="420"/>
      </w:pPr>
      <w:rPr>
        <w:rFonts w:ascii="Times New Roman" w:hAnsi="Times New Roman"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nsid w:val="559174BE"/>
    <w:multiLevelType w:val="hybridMultilevel"/>
    <w:tmpl w:val="F9EC847E"/>
    <w:lvl w:ilvl="0" w:tplc="473E7C60">
      <w:start w:val="1"/>
      <w:numFmt w:val="decimalEnclosedCircle"/>
      <w:lvlText w:val="%1"/>
      <w:lvlJc w:val="left"/>
      <w:pPr>
        <w:ind w:left="420" w:hanging="420"/>
      </w:pPr>
      <w:rPr>
        <w:rFonts w:asciiTheme="minorEastAsia" w:eastAsiaTheme="minorEastAsia" w:hAnsiTheme="minorEastAsia"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56786F4E"/>
    <w:multiLevelType w:val="hybridMultilevel"/>
    <w:tmpl w:val="9CC6F09E"/>
    <w:lvl w:ilvl="0" w:tplc="9690937A">
      <w:start w:val="1"/>
      <w:numFmt w:val="decimal"/>
      <w:lvlText w:val="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571B60D7"/>
    <w:multiLevelType w:val="hybridMultilevel"/>
    <w:tmpl w:val="A5C051E0"/>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573B3526"/>
    <w:multiLevelType w:val="hybridMultilevel"/>
    <w:tmpl w:val="6874C084"/>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57B04052"/>
    <w:multiLevelType w:val="hybridMultilevel"/>
    <w:tmpl w:val="BBF8B35A"/>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587F431E"/>
    <w:multiLevelType w:val="hybridMultilevel"/>
    <w:tmpl w:val="36105468"/>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589345B8"/>
    <w:multiLevelType w:val="hybridMultilevel"/>
    <w:tmpl w:val="3088207A"/>
    <w:lvl w:ilvl="0" w:tplc="D37269E0">
      <w:start w:val="1"/>
      <w:numFmt w:val="decimal"/>
      <w:suff w:val="nothing"/>
      <w:lvlText w:val="1.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59754BB5"/>
    <w:multiLevelType w:val="singleLevel"/>
    <w:tmpl w:val="59754BB5"/>
    <w:lvl w:ilvl="0">
      <w:start w:val="1"/>
      <w:numFmt w:val="lowerLetter"/>
      <w:suff w:val="nothing"/>
      <w:lvlText w:val="%1)"/>
      <w:lvlJc w:val="left"/>
    </w:lvl>
  </w:abstractNum>
  <w:abstractNum w:abstractNumId="111">
    <w:nsid w:val="59755AA5"/>
    <w:multiLevelType w:val="singleLevel"/>
    <w:tmpl w:val="59755AA5"/>
    <w:lvl w:ilvl="0">
      <w:start w:val="1"/>
      <w:numFmt w:val="lowerLetter"/>
      <w:suff w:val="nothing"/>
      <w:lvlText w:val="%1)"/>
      <w:lvlJc w:val="left"/>
    </w:lvl>
  </w:abstractNum>
  <w:abstractNum w:abstractNumId="112">
    <w:nsid w:val="5976EC08"/>
    <w:multiLevelType w:val="singleLevel"/>
    <w:tmpl w:val="5976EC08"/>
    <w:lvl w:ilvl="0">
      <w:start w:val="1"/>
      <w:numFmt w:val="decimal"/>
      <w:suff w:val="nothing"/>
      <w:lvlText w:val="%1）"/>
      <w:lvlJc w:val="left"/>
    </w:lvl>
  </w:abstractNum>
  <w:abstractNum w:abstractNumId="113">
    <w:nsid w:val="5976F2FC"/>
    <w:multiLevelType w:val="singleLevel"/>
    <w:tmpl w:val="5976F2FC"/>
    <w:lvl w:ilvl="0">
      <w:start w:val="2"/>
      <w:numFmt w:val="decimal"/>
      <w:suff w:val="nothing"/>
      <w:lvlText w:val="%1）"/>
      <w:lvlJc w:val="left"/>
    </w:lvl>
  </w:abstractNum>
  <w:abstractNum w:abstractNumId="114">
    <w:nsid w:val="5976FBDA"/>
    <w:multiLevelType w:val="singleLevel"/>
    <w:tmpl w:val="5976FBDA"/>
    <w:lvl w:ilvl="0">
      <w:start w:val="1"/>
      <w:numFmt w:val="decimal"/>
      <w:suff w:val="nothing"/>
      <w:lvlText w:val="%1）"/>
      <w:lvlJc w:val="left"/>
    </w:lvl>
  </w:abstractNum>
  <w:abstractNum w:abstractNumId="115">
    <w:nsid w:val="5B161DCF"/>
    <w:multiLevelType w:val="hybridMultilevel"/>
    <w:tmpl w:val="5FAE1A02"/>
    <w:lvl w:ilvl="0" w:tplc="48543C42">
      <w:start w:val="1"/>
      <w:numFmt w:val="decimal"/>
      <w:suff w:val="nothing"/>
      <w:lvlText w:val="%1）"/>
      <w:lvlJc w:val="left"/>
      <w:pPr>
        <w:ind w:left="420" w:hanging="420"/>
      </w:pPr>
      <w:rPr>
        <w:rFonts w:ascii="Times New Roman" w:hAnsi="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nsid w:val="5BF51C96"/>
    <w:multiLevelType w:val="hybridMultilevel"/>
    <w:tmpl w:val="1848D0B8"/>
    <w:lvl w:ilvl="0" w:tplc="D2246BC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nsid w:val="5C056C49"/>
    <w:multiLevelType w:val="hybridMultilevel"/>
    <w:tmpl w:val="19BED260"/>
    <w:lvl w:ilvl="0" w:tplc="473E7C60">
      <w:start w:val="1"/>
      <w:numFmt w:val="decimalEnclosedCircle"/>
      <w:lvlText w:val="%1"/>
      <w:lvlJc w:val="left"/>
      <w:pPr>
        <w:ind w:left="420" w:hanging="420"/>
      </w:pPr>
      <w:rPr>
        <w:rFonts w:asciiTheme="minorEastAsia" w:eastAsiaTheme="minorEastAsia" w:hAnsiTheme="minorEastAsia"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nsid w:val="5C073F94"/>
    <w:multiLevelType w:val="hybridMultilevel"/>
    <w:tmpl w:val="C22A5C26"/>
    <w:lvl w:ilvl="0" w:tplc="F64EB510">
      <w:start w:val="1"/>
      <w:numFmt w:val="decimal"/>
      <w:suff w:val="nothing"/>
      <w:lvlText w:val="3.6.%1"/>
      <w:lvlJc w:val="left"/>
      <w:pPr>
        <w:ind w:left="420" w:hanging="420"/>
      </w:pPr>
      <w:rPr>
        <w:rFonts w:ascii="Times New Roman" w:hAnsi="Times New Roman"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nsid w:val="5DF82F82"/>
    <w:multiLevelType w:val="hybridMultilevel"/>
    <w:tmpl w:val="9F0AB56E"/>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5E9D6732"/>
    <w:multiLevelType w:val="hybridMultilevel"/>
    <w:tmpl w:val="C6A0A45A"/>
    <w:lvl w:ilvl="0" w:tplc="0D689B3E">
      <w:start w:val="1"/>
      <w:numFmt w:val="decimal"/>
      <w:lvlText w:val="2.2.%1"/>
      <w:lvlJc w:val="left"/>
      <w:pPr>
        <w:ind w:left="825" w:hanging="420"/>
      </w:pPr>
      <w:rPr>
        <w:rFonts w:ascii="宋体" w:eastAsia="宋体" w:hAnsi="宋体" w:cs="Arial"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nsid w:val="5FEC1F23"/>
    <w:multiLevelType w:val="hybridMultilevel"/>
    <w:tmpl w:val="593A9832"/>
    <w:lvl w:ilvl="0" w:tplc="07467D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nsid w:val="605F5863"/>
    <w:multiLevelType w:val="hybridMultilevel"/>
    <w:tmpl w:val="4D341ADA"/>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nsid w:val="60FE3BDB"/>
    <w:multiLevelType w:val="hybridMultilevel"/>
    <w:tmpl w:val="E35CCB36"/>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nsid w:val="61997A85"/>
    <w:multiLevelType w:val="hybridMultilevel"/>
    <w:tmpl w:val="4A32C012"/>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61CD4C46"/>
    <w:multiLevelType w:val="multilevel"/>
    <w:tmpl w:val="6FF0CFDC"/>
    <w:lvl w:ilvl="0">
      <w:start w:val="1"/>
      <w:numFmt w:val="decimal"/>
      <w:pStyle w:val="1"/>
      <w:suff w:val="space"/>
      <w:lvlText w:val="%1"/>
      <w:lvlJc w:val="left"/>
      <w:pPr>
        <w:ind w:left="-92" w:firstLine="0"/>
      </w:pPr>
      <w:rPr>
        <w:rFonts w:hint="eastAsia"/>
      </w:rPr>
    </w:lvl>
    <w:lvl w:ilvl="1">
      <w:start w:val="1"/>
      <w:numFmt w:val="decimal"/>
      <w:suff w:val="space"/>
      <w:lvlText w:val="%1.%2"/>
      <w:lvlJc w:val="left"/>
      <w:pPr>
        <w:ind w:left="-425" w:firstLine="5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suff w:val="space"/>
      <w:lvlText w:val="%1.%2.%3"/>
      <w:lvlJc w:val="left"/>
      <w:pPr>
        <w:ind w:left="5104" w:firstLine="5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suff w:val="space"/>
      <w:lvlText w:val="%1.%2.%3.%4"/>
      <w:lvlJc w:val="left"/>
      <w:pPr>
        <w:ind w:left="143" w:firstLine="567"/>
      </w:pPr>
      <w:rPr>
        <w:rFonts w:ascii="Times New Roman" w:hAnsi="Times New Roman"/>
        <w:b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suff w:val="space"/>
      <w:lvlText w:val="%1.%2.%3.%4.%5"/>
      <w:lvlJc w:val="left"/>
      <w:pPr>
        <w:ind w:left="-92" w:firstLine="567"/>
      </w:pPr>
      <w:rPr>
        <w:rFonts w:hint="eastAsia"/>
      </w:rPr>
    </w:lvl>
    <w:lvl w:ilvl="5">
      <w:numFmt w:val="none"/>
      <w:pStyle w:val="6"/>
      <w:lvlText w:val=""/>
      <w:lvlJc w:val="left"/>
      <w:pPr>
        <w:tabs>
          <w:tab w:val="num" w:pos="268"/>
        </w:tabs>
      </w:pPr>
    </w:lvl>
    <w:lvl w:ilvl="6">
      <w:start w:val="1"/>
      <w:numFmt w:val="decimal"/>
      <w:pStyle w:val="7"/>
      <w:suff w:val="space"/>
      <w:lvlText w:val="%1.%2.%3.%4.%5.%6.%7"/>
      <w:lvlJc w:val="left"/>
      <w:pPr>
        <w:ind w:left="-92" w:firstLine="567"/>
      </w:pPr>
      <w:rPr>
        <w:rFonts w:hint="eastAsia"/>
      </w:rPr>
    </w:lvl>
    <w:lvl w:ilvl="7">
      <w:start w:val="1"/>
      <w:numFmt w:val="decimal"/>
      <w:pStyle w:val="8"/>
      <w:suff w:val="space"/>
      <w:lvlText w:val="%1.%2.%3.%4.%5.%6.%7.%8"/>
      <w:lvlJc w:val="left"/>
      <w:pPr>
        <w:ind w:left="-92" w:firstLine="567"/>
      </w:pPr>
      <w:rPr>
        <w:rFonts w:hint="eastAsia"/>
      </w:rPr>
    </w:lvl>
    <w:lvl w:ilvl="8">
      <w:start w:val="1"/>
      <w:numFmt w:val="decimal"/>
      <w:pStyle w:val="9"/>
      <w:suff w:val="space"/>
      <w:lvlText w:val="%1.%2.%3.%4.%5.%6.%7.%8.%9"/>
      <w:lvlJc w:val="left"/>
      <w:pPr>
        <w:ind w:left="-92" w:firstLine="567"/>
      </w:pPr>
      <w:rPr>
        <w:rFonts w:hint="eastAsia"/>
      </w:rPr>
    </w:lvl>
  </w:abstractNum>
  <w:abstractNum w:abstractNumId="126">
    <w:nsid w:val="639F0BB7"/>
    <w:multiLevelType w:val="hybridMultilevel"/>
    <w:tmpl w:val="1848D0B8"/>
    <w:lvl w:ilvl="0" w:tplc="D2246BC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nsid w:val="63B02B0B"/>
    <w:multiLevelType w:val="hybridMultilevel"/>
    <w:tmpl w:val="6CBE52A8"/>
    <w:lvl w:ilvl="0" w:tplc="473E7C60">
      <w:start w:val="1"/>
      <w:numFmt w:val="decimalEnclosedCircle"/>
      <w:lvlText w:val="%1"/>
      <w:lvlJc w:val="left"/>
      <w:pPr>
        <w:ind w:left="360" w:hanging="360"/>
      </w:pPr>
      <w:rPr>
        <w:rFonts w:asciiTheme="minorEastAsia" w:eastAsiaTheme="minorEastAsia" w:hAnsiTheme="minorEastAsia"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nsid w:val="64AA2A3A"/>
    <w:multiLevelType w:val="hybridMultilevel"/>
    <w:tmpl w:val="1848D0B8"/>
    <w:lvl w:ilvl="0" w:tplc="D2246BC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657B7D42"/>
    <w:multiLevelType w:val="hybridMultilevel"/>
    <w:tmpl w:val="1848D0B8"/>
    <w:lvl w:ilvl="0" w:tplc="D2246BC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nsid w:val="65844139"/>
    <w:multiLevelType w:val="hybridMultilevel"/>
    <w:tmpl w:val="CFB4D180"/>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nsid w:val="65FB2742"/>
    <w:multiLevelType w:val="hybridMultilevel"/>
    <w:tmpl w:val="F4167902"/>
    <w:lvl w:ilvl="0" w:tplc="ECCAAB02">
      <w:start w:val="1"/>
      <w:numFmt w:val="decimal"/>
      <w:suff w:val="nothing"/>
      <w:lvlText w:val="%1）"/>
      <w:lvlJc w:val="left"/>
      <w:pPr>
        <w:ind w:left="420" w:hanging="420"/>
      </w:pPr>
      <w:rPr>
        <w:rFonts w:ascii="Times New Roman" w:hAnsi="Times New Roman"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nsid w:val="67FA277E"/>
    <w:multiLevelType w:val="hybridMultilevel"/>
    <w:tmpl w:val="6756ED70"/>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nsid w:val="69924B4B"/>
    <w:multiLevelType w:val="hybridMultilevel"/>
    <w:tmpl w:val="8D86CC92"/>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nsid w:val="6A784124"/>
    <w:multiLevelType w:val="hybridMultilevel"/>
    <w:tmpl w:val="82E03802"/>
    <w:lvl w:ilvl="0" w:tplc="FE661EC6">
      <w:start w:val="1"/>
      <w:numFmt w:val="decimal"/>
      <w:lvlText w:val="1.2.%1"/>
      <w:lvlJc w:val="left"/>
      <w:pPr>
        <w:ind w:left="397" w:hanging="397"/>
      </w:pPr>
      <w:rPr>
        <w:rFonts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nsid w:val="6EB55F13"/>
    <w:multiLevelType w:val="hybridMultilevel"/>
    <w:tmpl w:val="F768E94A"/>
    <w:lvl w:ilvl="0" w:tplc="9D924FB2">
      <w:start w:val="1"/>
      <w:numFmt w:val="decimal"/>
      <w:lvlText w:val="2.3.%1"/>
      <w:lvlJc w:val="left"/>
      <w:pPr>
        <w:ind w:left="420" w:hanging="420"/>
      </w:pPr>
      <w:rPr>
        <w:rFonts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nsid w:val="6F4E5476"/>
    <w:multiLevelType w:val="hybridMultilevel"/>
    <w:tmpl w:val="F44E0A8A"/>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nsid w:val="7088584C"/>
    <w:multiLevelType w:val="hybridMultilevel"/>
    <w:tmpl w:val="6FB02020"/>
    <w:lvl w:ilvl="0" w:tplc="AE48AFCA">
      <w:start w:val="7"/>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8">
    <w:nsid w:val="71285A26"/>
    <w:multiLevelType w:val="hybridMultilevel"/>
    <w:tmpl w:val="69821F28"/>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nsid w:val="745B2769"/>
    <w:multiLevelType w:val="hybridMultilevel"/>
    <w:tmpl w:val="2A9028EA"/>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nsid w:val="750F06A3"/>
    <w:multiLevelType w:val="hybridMultilevel"/>
    <w:tmpl w:val="8AC65202"/>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nsid w:val="77776208"/>
    <w:multiLevelType w:val="hybridMultilevel"/>
    <w:tmpl w:val="472859CE"/>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nsid w:val="78511173"/>
    <w:multiLevelType w:val="hybridMultilevel"/>
    <w:tmpl w:val="4CB07208"/>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nsid w:val="7B177AA5"/>
    <w:multiLevelType w:val="hybridMultilevel"/>
    <w:tmpl w:val="B6DC8CDC"/>
    <w:lvl w:ilvl="0" w:tplc="473E7C60">
      <w:start w:val="1"/>
      <w:numFmt w:val="decimalEnclosedCircle"/>
      <w:lvlText w:val="%1"/>
      <w:lvlJc w:val="left"/>
      <w:pPr>
        <w:ind w:left="420" w:hanging="420"/>
      </w:pPr>
      <w:rPr>
        <w:rFonts w:ascii="宋体" w:eastAsia="宋体" w:hAnsi="宋体"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nsid w:val="7CE10C82"/>
    <w:multiLevelType w:val="hybridMultilevel"/>
    <w:tmpl w:val="1848D0B8"/>
    <w:lvl w:ilvl="0" w:tplc="D2246BC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nsid w:val="7D0F0472"/>
    <w:multiLevelType w:val="hybridMultilevel"/>
    <w:tmpl w:val="593A9832"/>
    <w:lvl w:ilvl="0" w:tplc="07467D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5"/>
  </w:num>
  <w:num w:numId="2">
    <w:abstractNumId w:val="62"/>
  </w:num>
  <w:num w:numId="3">
    <w:abstractNumId w:val="29"/>
  </w:num>
  <w:num w:numId="4">
    <w:abstractNumId w:val="46"/>
  </w:num>
  <w:num w:numId="5">
    <w:abstractNumId w:val="2"/>
  </w:num>
  <w:num w:numId="6">
    <w:abstractNumId w:val="121"/>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3"/>
  </w:num>
  <w:num w:numId="9">
    <w:abstractNumId w:val="59"/>
  </w:num>
  <w:num w:numId="10">
    <w:abstractNumId w:val="122"/>
  </w:num>
  <w:num w:numId="11">
    <w:abstractNumId w:val="139"/>
  </w:num>
  <w:num w:numId="12">
    <w:abstractNumId w:val="98"/>
  </w:num>
  <w:num w:numId="13">
    <w:abstractNumId w:val="142"/>
  </w:num>
  <w:num w:numId="14">
    <w:abstractNumId w:val="35"/>
  </w:num>
  <w:num w:numId="15">
    <w:abstractNumId w:val="107"/>
  </w:num>
  <w:num w:numId="16">
    <w:abstractNumId w:val="136"/>
  </w:num>
  <w:num w:numId="17">
    <w:abstractNumId w:val="12"/>
  </w:num>
  <w:num w:numId="18">
    <w:abstractNumId w:val="6"/>
  </w:num>
  <w:num w:numId="19">
    <w:abstractNumId w:val="19"/>
  </w:num>
  <w:num w:numId="20">
    <w:abstractNumId w:val="141"/>
  </w:num>
  <w:num w:numId="21">
    <w:abstractNumId w:val="124"/>
  </w:num>
  <w:num w:numId="22">
    <w:abstractNumId w:val="60"/>
  </w:num>
  <w:num w:numId="23">
    <w:abstractNumId w:val="51"/>
  </w:num>
  <w:num w:numId="24">
    <w:abstractNumId w:val="138"/>
  </w:num>
  <w:num w:numId="25">
    <w:abstractNumId w:val="1"/>
  </w:num>
  <w:num w:numId="26">
    <w:abstractNumId w:val="34"/>
  </w:num>
  <w:num w:numId="27">
    <w:abstractNumId w:val="95"/>
  </w:num>
  <w:num w:numId="28">
    <w:abstractNumId w:val="56"/>
  </w:num>
  <w:num w:numId="29">
    <w:abstractNumId w:val="132"/>
  </w:num>
  <w:num w:numId="30">
    <w:abstractNumId w:val="0"/>
  </w:num>
  <w:num w:numId="31">
    <w:abstractNumId w:val="7"/>
  </w:num>
  <w:num w:numId="32">
    <w:abstractNumId w:val="140"/>
  </w:num>
  <w:num w:numId="33">
    <w:abstractNumId w:val="72"/>
  </w:num>
  <w:num w:numId="34">
    <w:abstractNumId w:val="36"/>
  </w:num>
  <w:num w:numId="35">
    <w:abstractNumId w:val="105"/>
  </w:num>
  <w:num w:numId="36">
    <w:abstractNumId w:val="31"/>
  </w:num>
  <w:num w:numId="37">
    <w:abstractNumId w:val="119"/>
  </w:num>
  <w:num w:numId="38">
    <w:abstractNumId w:val="18"/>
  </w:num>
  <w:num w:numId="39">
    <w:abstractNumId w:val="130"/>
  </w:num>
  <w:num w:numId="40">
    <w:abstractNumId w:val="82"/>
  </w:num>
  <w:num w:numId="41">
    <w:abstractNumId w:val="21"/>
  </w:num>
  <w:num w:numId="42">
    <w:abstractNumId w:val="79"/>
  </w:num>
  <w:num w:numId="43">
    <w:abstractNumId w:val="23"/>
  </w:num>
  <w:num w:numId="44">
    <w:abstractNumId w:val="61"/>
  </w:num>
  <w:num w:numId="45">
    <w:abstractNumId w:val="50"/>
  </w:num>
  <w:num w:numId="46">
    <w:abstractNumId w:val="39"/>
  </w:num>
  <w:num w:numId="47">
    <w:abstractNumId w:val="55"/>
  </w:num>
  <w:num w:numId="48">
    <w:abstractNumId w:val="22"/>
  </w:num>
  <w:num w:numId="49">
    <w:abstractNumId w:val="108"/>
  </w:num>
  <w:num w:numId="50">
    <w:abstractNumId w:val="30"/>
  </w:num>
  <w:num w:numId="51">
    <w:abstractNumId w:val="38"/>
  </w:num>
  <w:num w:numId="52">
    <w:abstractNumId w:val="37"/>
  </w:num>
  <w:num w:numId="53">
    <w:abstractNumId w:val="106"/>
  </w:num>
  <w:num w:numId="54">
    <w:abstractNumId w:val="49"/>
  </w:num>
  <w:num w:numId="55">
    <w:abstractNumId w:val="64"/>
  </w:num>
  <w:num w:numId="56">
    <w:abstractNumId w:val="16"/>
  </w:num>
  <w:num w:numId="57">
    <w:abstractNumId w:val="83"/>
  </w:num>
  <w:num w:numId="58">
    <w:abstractNumId w:val="25"/>
  </w:num>
  <w:num w:numId="59">
    <w:abstractNumId w:val="86"/>
  </w:num>
  <w:num w:numId="60">
    <w:abstractNumId w:val="143"/>
  </w:num>
  <w:num w:numId="61">
    <w:abstractNumId w:val="45"/>
  </w:num>
  <w:num w:numId="62">
    <w:abstractNumId w:val="3"/>
  </w:num>
  <w:num w:numId="63">
    <w:abstractNumId w:val="69"/>
  </w:num>
  <w:num w:numId="64">
    <w:abstractNumId w:val="123"/>
  </w:num>
  <w:num w:numId="65">
    <w:abstractNumId w:val="65"/>
  </w:num>
  <w:num w:numId="66">
    <w:abstractNumId w:val="48"/>
  </w:num>
  <w:num w:numId="67">
    <w:abstractNumId w:val="93"/>
  </w:num>
  <w:num w:numId="68">
    <w:abstractNumId w:val="92"/>
  </w:num>
  <w:num w:numId="69">
    <w:abstractNumId w:val="91"/>
  </w:num>
  <w:num w:numId="70">
    <w:abstractNumId w:val="127"/>
  </w:num>
  <w:num w:numId="71">
    <w:abstractNumId w:val="24"/>
  </w:num>
  <w:num w:numId="72">
    <w:abstractNumId w:val="104"/>
  </w:num>
  <w:num w:numId="73">
    <w:abstractNumId w:val="97"/>
  </w:num>
  <w:num w:numId="74">
    <w:abstractNumId w:val="137"/>
  </w:num>
  <w:num w:numId="75">
    <w:abstractNumId w:val="33"/>
  </w:num>
  <w:num w:numId="76">
    <w:abstractNumId w:val="40"/>
  </w:num>
  <w:num w:numId="77">
    <w:abstractNumId w:val="63"/>
  </w:num>
  <w:num w:numId="78">
    <w:abstractNumId w:val="52"/>
  </w:num>
  <w:num w:numId="79">
    <w:abstractNumId w:val="66"/>
  </w:num>
  <w:num w:numId="80">
    <w:abstractNumId w:val="81"/>
  </w:num>
  <w:num w:numId="81">
    <w:abstractNumId w:val="58"/>
  </w:num>
  <w:num w:numId="82">
    <w:abstractNumId w:val="75"/>
  </w:num>
  <w:num w:numId="83">
    <w:abstractNumId w:val="10"/>
  </w:num>
  <w:num w:numId="84">
    <w:abstractNumId w:val="73"/>
  </w:num>
  <w:num w:numId="85">
    <w:abstractNumId w:val="9"/>
  </w:num>
  <w:num w:numId="86">
    <w:abstractNumId w:val="53"/>
  </w:num>
  <w:num w:numId="87">
    <w:abstractNumId w:val="134"/>
  </w:num>
  <w:num w:numId="88">
    <w:abstractNumId w:val="68"/>
  </w:num>
  <w:num w:numId="89">
    <w:abstractNumId w:val="42"/>
  </w:num>
  <w:num w:numId="90">
    <w:abstractNumId w:val="135"/>
  </w:num>
  <w:num w:numId="91">
    <w:abstractNumId w:val="26"/>
  </w:num>
  <w:num w:numId="92">
    <w:abstractNumId w:val="47"/>
  </w:num>
  <w:num w:numId="93">
    <w:abstractNumId w:val="117"/>
  </w:num>
  <w:num w:numId="94">
    <w:abstractNumId w:val="44"/>
  </w:num>
  <w:num w:numId="95">
    <w:abstractNumId w:val="14"/>
  </w:num>
  <w:num w:numId="96">
    <w:abstractNumId w:val="43"/>
  </w:num>
  <w:num w:numId="97">
    <w:abstractNumId w:val="76"/>
  </w:num>
  <w:num w:numId="98">
    <w:abstractNumId w:val="103"/>
  </w:num>
  <w:num w:numId="99">
    <w:abstractNumId w:val="4"/>
  </w:num>
  <w:num w:numId="100">
    <w:abstractNumId w:val="20"/>
  </w:num>
  <w:num w:numId="101">
    <w:abstractNumId w:val="27"/>
  </w:num>
  <w:num w:numId="102">
    <w:abstractNumId w:val="71"/>
  </w:num>
  <w:num w:numId="103">
    <w:abstractNumId w:val="5"/>
  </w:num>
  <w:num w:numId="104">
    <w:abstractNumId w:val="32"/>
  </w:num>
  <w:num w:numId="105">
    <w:abstractNumId w:val="110"/>
  </w:num>
  <w:num w:numId="106">
    <w:abstractNumId w:val="111"/>
  </w:num>
  <w:num w:numId="107">
    <w:abstractNumId w:val="112"/>
  </w:num>
  <w:num w:numId="108">
    <w:abstractNumId w:val="113"/>
  </w:num>
  <w:num w:numId="109">
    <w:abstractNumId w:val="114"/>
  </w:num>
  <w:num w:numId="110">
    <w:abstractNumId w:val="109"/>
  </w:num>
  <w:num w:numId="111">
    <w:abstractNumId w:val="99"/>
  </w:num>
  <w:num w:numId="112">
    <w:abstractNumId w:val="115"/>
  </w:num>
  <w:num w:numId="113">
    <w:abstractNumId w:val="8"/>
  </w:num>
  <w:num w:numId="114">
    <w:abstractNumId w:val="78"/>
  </w:num>
  <w:num w:numId="115">
    <w:abstractNumId w:val="131"/>
  </w:num>
  <w:num w:numId="116">
    <w:abstractNumId w:val="102"/>
  </w:num>
  <w:num w:numId="117">
    <w:abstractNumId w:val="15"/>
  </w:num>
  <w:num w:numId="118">
    <w:abstractNumId w:val="28"/>
  </w:num>
  <w:num w:numId="119">
    <w:abstractNumId w:val="80"/>
  </w:num>
  <w:num w:numId="120">
    <w:abstractNumId w:val="77"/>
  </w:num>
  <w:num w:numId="121">
    <w:abstractNumId w:val="74"/>
  </w:num>
  <w:num w:numId="122">
    <w:abstractNumId w:val="96"/>
  </w:num>
  <w:num w:numId="123">
    <w:abstractNumId w:val="87"/>
  </w:num>
  <w:num w:numId="124">
    <w:abstractNumId w:val="118"/>
  </w:num>
  <w:num w:numId="125">
    <w:abstractNumId w:val="13"/>
  </w:num>
  <w:num w:numId="126">
    <w:abstractNumId w:val="94"/>
  </w:num>
  <w:num w:numId="127">
    <w:abstractNumId w:val="100"/>
  </w:num>
  <w:num w:numId="128">
    <w:abstractNumId w:val="145"/>
  </w:num>
  <w:num w:numId="129">
    <w:abstractNumId w:val="101"/>
  </w:num>
  <w:num w:numId="130">
    <w:abstractNumId w:val="67"/>
  </w:num>
  <w:num w:numId="131">
    <w:abstractNumId w:val="120"/>
  </w:num>
  <w:num w:numId="132">
    <w:abstractNumId w:val="11"/>
  </w:num>
  <w:num w:numId="133">
    <w:abstractNumId w:val="54"/>
  </w:num>
  <w:num w:numId="134">
    <w:abstractNumId w:val="57"/>
  </w:num>
  <w:num w:numId="135">
    <w:abstractNumId w:val="88"/>
  </w:num>
  <w:num w:numId="136">
    <w:abstractNumId w:val="17"/>
  </w:num>
  <w:num w:numId="137">
    <w:abstractNumId w:val="41"/>
  </w:num>
  <w:num w:numId="138">
    <w:abstractNumId w:val="84"/>
  </w:num>
  <w:num w:numId="139">
    <w:abstractNumId w:val="89"/>
  </w:num>
  <w:num w:numId="140">
    <w:abstractNumId w:val="116"/>
  </w:num>
  <w:num w:numId="141">
    <w:abstractNumId w:val="70"/>
  </w:num>
  <w:num w:numId="142">
    <w:abstractNumId w:val="126"/>
  </w:num>
  <w:num w:numId="143">
    <w:abstractNumId w:val="129"/>
  </w:num>
  <w:num w:numId="144">
    <w:abstractNumId w:val="144"/>
  </w:num>
  <w:num w:numId="145">
    <w:abstractNumId w:val="90"/>
  </w:num>
  <w:num w:numId="146">
    <w:abstractNumId w:val="12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169"/>
    <w:rsid w:val="0000642E"/>
    <w:rsid w:val="00007C0C"/>
    <w:rsid w:val="00014372"/>
    <w:rsid w:val="00015F11"/>
    <w:rsid w:val="0004019A"/>
    <w:rsid w:val="000408BD"/>
    <w:rsid w:val="000441C0"/>
    <w:rsid w:val="000548E9"/>
    <w:rsid w:val="0006036F"/>
    <w:rsid w:val="00061ED5"/>
    <w:rsid w:val="00065A7C"/>
    <w:rsid w:val="00067713"/>
    <w:rsid w:val="00070228"/>
    <w:rsid w:val="0007330F"/>
    <w:rsid w:val="000771C5"/>
    <w:rsid w:val="00081FEC"/>
    <w:rsid w:val="0009032A"/>
    <w:rsid w:val="000A4B8D"/>
    <w:rsid w:val="000C231C"/>
    <w:rsid w:val="000C2455"/>
    <w:rsid w:val="000C6AC0"/>
    <w:rsid w:val="000C7E3D"/>
    <w:rsid w:val="000D49A6"/>
    <w:rsid w:val="000E02C5"/>
    <w:rsid w:val="000E293C"/>
    <w:rsid w:val="000E3609"/>
    <w:rsid w:val="000E462E"/>
    <w:rsid w:val="000E7B74"/>
    <w:rsid w:val="000F36F4"/>
    <w:rsid w:val="001024F9"/>
    <w:rsid w:val="001040ED"/>
    <w:rsid w:val="00115AAE"/>
    <w:rsid w:val="001415FA"/>
    <w:rsid w:val="00142992"/>
    <w:rsid w:val="00147F29"/>
    <w:rsid w:val="001566A5"/>
    <w:rsid w:val="00156E6C"/>
    <w:rsid w:val="00163586"/>
    <w:rsid w:val="001643DD"/>
    <w:rsid w:val="001655A7"/>
    <w:rsid w:val="001678F7"/>
    <w:rsid w:val="00170199"/>
    <w:rsid w:val="00176227"/>
    <w:rsid w:val="001816B4"/>
    <w:rsid w:val="0018479A"/>
    <w:rsid w:val="00190A00"/>
    <w:rsid w:val="0019245F"/>
    <w:rsid w:val="0019589A"/>
    <w:rsid w:val="001A35CD"/>
    <w:rsid w:val="001A3E4F"/>
    <w:rsid w:val="001A4A59"/>
    <w:rsid w:val="001A5E1A"/>
    <w:rsid w:val="001A7F8F"/>
    <w:rsid w:val="001C2892"/>
    <w:rsid w:val="001F066A"/>
    <w:rsid w:val="001F7993"/>
    <w:rsid w:val="0020179A"/>
    <w:rsid w:val="00212106"/>
    <w:rsid w:val="002144E3"/>
    <w:rsid w:val="00235169"/>
    <w:rsid w:val="00257FB4"/>
    <w:rsid w:val="002605C0"/>
    <w:rsid w:val="00267F68"/>
    <w:rsid w:val="002734B9"/>
    <w:rsid w:val="002810EE"/>
    <w:rsid w:val="00282953"/>
    <w:rsid w:val="0028453F"/>
    <w:rsid w:val="002870D9"/>
    <w:rsid w:val="002970A9"/>
    <w:rsid w:val="002A1323"/>
    <w:rsid w:val="002A5908"/>
    <w:rsid w:val="002A62B5"/>
    <w:rsid w:val="002B6305"/>
    <w:rsid w:val="002B7E26"/>
    <w:rsid w:val="002C192D"/>
    <w:rsid w:val="002C24E0"/>
    <w:rsid w:val="002D3EB2"/>
    <w:rsid w:val="002E01DC"/>
    <w:rsid w:val="002E2401"/>
    <w:rsid w:val="002F7576"/>
    <w:rsid w:val="00310737"/>
    <w:rsid w:val="003110C0"/>
    <w:rsid w:val="00314E8F"/>
    <w:rsid w:val="00321E17"/>
    <w:rsid w:val="003227AA"/>
    <w:rsid w:val="00330FB5"/>
    <w:rsid w:val="0033235A"/>
    <w:rsid w:val="00332ED1"/>
    <w:rsid w:val="00333CD0"/>
    <w:rsid w:val="0033407C"/>
    <w:rsid w:val="00341035"/>
    <w:rsid w:val="003602F9"/>
    <w:rsid w:val="00360545"/>
    <w:rsid w:val="003665AA"/>
    <w:rsid w:val="00381914"/>
    <w:rsid w:val="00384589"/>
    <w:rsid w:val="00385CA7"/>
    <w:rsid w:val="003912E3"/>
    <w:rsid w:val="003A290A"/>
    <w:rsid w:val="003A3D8D"/>
    <w:rsid w:val="003B028C"/>
    <w:rsid w:val="003B14D3"/>
    <w:rsid w:val="003B2520"/>
    <w:rsid w:val="003B5356"/>
    <w:rsid w:val="003D0488"/>
    <w:rsid w:val="003D0A12"/>
    <w:rsid w:val="003D4298"/>
    <w:rsid w:val="003D5469"/>
    <w:rsid w:val="003E1D2A"/>
    <w:rsid w:val="003E46D7"/>
    <w:rsid w:val="003E6F05"/>
    <w:rsid w:val="003F0F96"/>
    <w:rsid w:val="003F6F0B"/>
    <w:rsid w:val="00405039"/>
    <w:rsid w:val="00406A19"/>
    <w:rsid w:val="00412E72"/>
    <w:rsid w:val="00417A3F"/>
    <w:rsid w:val="00417BB8"/>
    <w:rsid w:val="0042287D"/>
    <w:rsid w:val="00424797"/>
    <w:rsid w:val="004310DB"/>
    <w:rsid w:val="0043116F"/>
    <w:rsid w:val="0043607E"/>
    <w:rsid w:val="004373FB"/>
    <w:rsid w:val="00441EEA"/>
    <w:rsid w:val="004420CB"/>
    <w:rsid w:val="00452078"/>
    <w:rsid w:val="00453650"/>
    <w:rsid w:val="00453EE6"/>
    <w:rsid w:val="00456739"/>
    <w:rsid w:val="00457CB7"/>
    <w:rsid w:val="00461831"/>
    <w:rsid w:val="004657CA"/>
    <w:rsid w:val="00470403"/>
    <w:rsid w:val="00481EDB"/>
    <w:rsid w:val="00484714"/>
    <w:rsid w:val="004A22DA"/>
    <w:rsid w:val="004A3DA0"/>
    <w:rsid w:val="004A5011"/>
    <w:rsid w:val="004B2924"/>
    <w:rsid w:val="004B5104"/>
    <w:rsid w:val="004C1C50"/>
    <w:rsid w:val="004C3E61"/>
    <w:rsid w:val="004D0D1B"/>
    <w:rsid w:val="004D7D3D"/>
    <w:rsid w:val="004E4CEB"/>
    <w:rsid w:val="004E7D2F"/>
    <w:rsid w:val="00513825"/>
    <w:rsid w:val="00514736"/>
    <w:rsid w:val="00515E8A"/>
    <w:rsid w:val="00525E55"/>
    <w:rsid w:val="00527096"/>
    <w:rsid w:val="00527C62"/>
    <w:rsid w:val="005321D0"/>
    <w:rsid w:val="00547806"/>
    <w:rsid w:val="00551A44"/>
    <w:rsid w:val="00552F8F"/>
    <w:rsid w:val="00554CB4"/>
    <w:rsid w:val="005551B2"/>
    <w:rsid w:val="00563F92"/>
    <w:rsid w:val="00575D1F"/>
    <w:rsid w:val="00583B22"/>
    <w:rsid w:val="00590288"/>
    <w:rsid w:val="005A314E"/>
    <w:rsid w:val="005A5142"/>
    <w:rsid w:val="005A62FC"/>
    <w:rsid w:val="005B3166"/>
    <w:rsid w:val="005E4B95"/>
    <w:rsid w:val="005F5072"/>
    <w:rsid w:val="005F75B2"/>
    <w:rsid w:val="00610931"/>
    <w:rsid w:val="0061143A"/>
    <w:rsid w:val="006124DC"/>
    <w:rsid w:val="00613881"/>
    <w:rsid w:val="00616FEA"/>
    <w:rsid w:val="00627073"/>
    <w:rsid w:val="00633552"/>
    <w:rsid w:val="0063733E"/>
    <w:rsid w:val="00640774"/>
    <w:rsid w:val="00646AFD"/>
    <w:rsid w:val="00656820"/>
    <w:rsid w:val="00660585"/>
    <w:rsid w:val="00687B52"/>
    <w:rsid w:val="00692A81"/>
    <w:rsid w:val="006A0E7C"/>
    <w:rsid w:val="006A18D8"/>
    <w:rsid w:val="006A4109"/>
    <w:rsid w:val="006A7807"/>
    <w:rsid w:val="006B225F"/>
    <w:rsid w:val="006B7DC8"/>
    <w:rsid w:val="006C65EF"/>
    <w:rsid w:val="006D2DB0"/>
    <w:rsid w:val="006D4556"/>
    <w:rsid w:val="006E288A"/>
    <w:rsid w:val="006E3843"/>
    <w:rsid w:val="006E7A37"/>
    <w:rsid w:val="00704613"/>
    <w:rsid w:val="00717763"/>
    <w:rsid w:val="00744D22"/>
    <w:rsid w:val="00763863"/>
    <w:rsid w:val="00781811"/>
    <w:rsid w:val="00795D65"/>
    <w:rsid w:val="007A380D"/>
    <w:rsid w:val="007A48E1"/>
    <w:rsid w:val="007B1024"/>
    <w:rsid w:val="007B28EA"/>
    <w:rsid w:val="007D0F83"/>
    <w:rsid w:val="007E24E2"/>
    <w:rsid w:val="007E7CC4"/>
    <w:rsid w:val="007F37C0"/>
    <w:rsid w:val="00801495"/>
    <w:rsid w:val="0080163F"/>
    <w:rsid w:val="00802A34"/>
    <w:rsid w:val="00805EA8"/>
    <w:rsid w:val="00816C26"/>
    <w:rsid w:val="00821F43"/>
    <w:rsid w:val="00837BCF"/>
    <w:rsid w:val="00841EB0"/>
    <w:rsid w:val="00845860"/>
    <w:rsid w:val="00846C0B"/>
    <w:rsid w:val="00856B6C"/>
    <w:rsid w:val="00860E85"/>
    <w:rsid w:val="00866EAA"/>
    <w:rsid w:val="00880536"/>
    <w:rsid w:val="008829DB"/>
    <w:rsid w:val="00890ECB"/>
    <w:rsid w:val="00894101"/>
    <w:rsid w:val="008A1470"/>
    <w:rsid w:val="008A32DE"/>
    <w:rsid w:val="008B2714"/>
    <w:rsid w:val="008B4454"/>
    <w:rsid w:val="008B7D15"/>
    <w:rsid w:val="008C0536"/>
    <w:rsid w:val="008C3BBE"/>
    <w:rsid w:val="008D48A4"/>
    <w:rsid w:val="008D7E35"/>
    <w:rsid w:val="008E23A5"/>
    <w:rsid w:val="008F7442"/>
    <w:rsid w:val="00910D49"/>
    <w:rsid w:val="009112F3"/>
    <w:rsid w:val="00911425"/>
    <w:rsid w:val="00925D4C"/>
    <w:rsid w:val="00927FCC"/>
    <w:rsid w:val="00935A37"/>
    <w:rsid w:val="00940F69"/>
    <w:rsid w:val="00941529"/>
    <w:rsid w:val="009438F5"/>
    <w:rsid w:val="00952CA3"/>
    <w:rsid w:val="00954CD5"/>
    <w:rsid w:val="009554EE"/>
    <w:rsid w:val="00962E55"/>
    <w:rsid w:val="00963ECA"/>
    <w:rsid w:val="009672D4"/>
    <w:rsid w:val="00971ED7"/>
    <w:rsid w:val="00980275"/>
    <w:rsid w:val="00994B9F"/>
    <w:rsid w:val="00996AFD"/>
    <w:rsid w:val="009A41A3"/>
    <w:rsid w:val="009A6389"/>
    <w:rsid w:val="009B39EC"/>
    <w:rsid w:val="009D52EE"/>
    <w:rsid w:val="009D7380"/>
    <w:rsid w:val="009E40A0"/>
    <w:rsid w:val="009E5250"/>
    <w:rsid w:val="009F4860"/>
    <w:rsid w:val="00A033FF"/>
    <w:rsid w:val="00A035E5"/>
    <w:rsid w:val="00A0580E"/>
    <w:rsid w:val="00A0611B"/>
    <w:rsid w:val="00A0720A"/>
    <w:rsid w:val="00A0736D"/>
    <w:rsid w:val="00A12E2B"/>
    <w:rsid w:val="00A256A4"/>
    <w:rsid w:val="00A269A7"/>
    <w:rsid w:val="00A33323"/>
    <w:rsid w:val="00A33BE2"/>
    <w:rsid w:val="00A34EF0"/>
    <w:rsid w:val="00A4037E"/>
    <w:rsid w:val="00A41C55"/>
    <w:rsid w:val="00A4562A"/>
    <w:rsid w:val="00A73C87"/>
    <w:rsid w:val="00A75176"/>
    <w:rsid w:val="00A95E6F"/>
    <w:rsid w:val="00AB43B9"/>
    <w:rsid w:val="00AB4CEF"/>
    <w:rsid w:val="00AC38C1"/>
    <w:rsid w:val="00AE1952"/>
    <w:rsid w:val="00AE387A"/>
    <w:rsid w:val="00B03F8B"/>
    <w:rsid w:val="00B1494C"/>
    <w:rsid w:val="00B20C87"/>
    <w:rsid w:val="00B2573C"/>
    <w:rsid w:val="00B3042D"/>
    <w:rsid w:val="00B30F5C"/>
    <w:rsid w:val="00B376DD"/>
    <w:rsid w:val="00B519BF"/>
    <w:rsid w:val="00B527D4"/>
    <w:rsid w:val="00B62F57"/>
    <w:rsid w:val="00B735E5"/>
    <w:rsid w:val="00B76060"/>
    <w:rsid w:val="00B77B47"/>
    <w:rsid w:val="00B87BB6"/>
    <w:rsid w:val="00B9156B"/>
    <w:rsid w:val="00B918C2"/>
    <w:rsid w:val="00B94434"/>
    <w:rsid w:val="00B94DFF"/>
    <w:rsid w:val="00BB13E5"/>
    <w:rsid w:val="00BB2A37"/>
    <w:rsid w:val="00BB36AB"/>
    <w:rsid w:val="00BD4E44"/>
    <w:rsid w:val="00BE1A52"/>
    <w:rsid w:val="00BF59CF"/>
    <w:rsid w:val="00C00705"/>
    <w:rsid w:val="00C018F5"/>
    <w:rsid w:val="00C05B82"/>
    <w:rsid w:val="00C06454"/>
    <w:rsid w:val="00C204D0"/>
    <w:rsid w:val="00C22483"/>
    <w:rsid w:val="00C2311F"/>
    <w:rsid w:val="00C33519"/>
    <w:rsid w:val="00C44B6F"/>
    <w:rsid w:val="00C506D9"/>
    <w:rsid w:val="00C54D6A"/>
    <w:rsid w:val="00C65B8A"/>
    <w:rsid w:val="00C72AC8"/>
    <w:rsid w:val="00C74BDE"/>
    <w:rsid w:val="00C76CF3"/>
    <w:rsid w:val="00C81FCC"/>
    <w:rsid w:val="00C85E38"/>
    <w:rsid w:val="00C85E5A"/>
    <w:rsid w:val="00CA1027"/>
    <w:rsid w:val="00CA5519"/>
    <w:rsid w:val="00CB2E4D"/>
    <w:rsid w:val="00CB5629"/>
    <w:rsid w:val="00CC16F3"/>
    <w:rsid w:val="00CC355F"/>
    <w:rsid w:val="00CC3995"/>
    <w:rsid w:val="00CC58EE"/>
    <w:rsid w:val="00CD2E6C"/>
    <w:rsid w:val="00CE1DC9"/>
    <w:rsid w:val="00CE401C"/>
    <w:rsid w:val="00CE508F"/>
    <w:rsid w:val="00D06E60"/>
    <w:rsid w:val="00D074A1"/>
    <w:rsid w:val="00D10944"/>
    <w:rsid w:val="00D10BF6"/>
    <w:rsid w:val="00D11682"/>
    <w:rsid w:val="00D20A06"/>
    <w:rsid w:val="00D22E6D"/>
    <w:rsid w:val="00D249B5"/>
    <w:rsid w:val="00D25DE8"/>
    <w:rsid w:val="00D2602B"/>
    <w:rsid w:val="00D325A5"/>
    <w:rsid w:val="00D40D8D"/>
    <w:rsid w:val="00D469BA"/>
    <w:rsid w:val="00D510A9"/>
    <w:rsid w:val="00D575DF"/>
    <w:rsid w:val="00D85C33"/>
    <w:rsid w:val="00D92F63"/>
    <w:rsid w:val="00D9787F"/>
    <w:rsid w:val="00DB02C5"/>
    <w:rsid w:val="00DB2080"/>
    <w:rsid w:val="00DB6EAA"/>
    <w:rsid w:val="00DC5EDC"/>
    <w:rsid w:val="00DF4496"/>
    <w:rsid w:val="00DF6475"/>
    <w:rsid w:val="00E0112B"/>
    <w:rsid w:val="00E154CE"/>
    <w:rsid w:val="00E206CB"/>
    <w:rsid w:val="00E32F71"/>
    <w:rsid w:val="00E47CA4"/>
    <w:rsid w:val="00E504BB"/>
    <w:rsid w:val="00E570B4"/>
    <w:rsid w:val="00E63674"/>
    <w:rsid w:val="00E63F50"/>
    <w:rsid w:val="00E640A6"/>
    <w:rsid w:val="00E729DB"/>
    <w:rsid w:val="00E76091"/>
    <w:rsid w:val="00E7797C"/>
    <w:rsid w:val="00E856E4"/>
    <w:rsid w:val="00E86619"/>
    <w:rsid w:val="00E86E42"/>
    <w:rsid w:val="00E91AF7"/>
    <w:rsid w:val="00E93DDA"/>
    <w:rsid w:val="00EA31F4"/>
    <w:rsid w:val="00EA53E4"/>
    <w:rsid w:val="00EC0F7D"/>
    <w:rsid w:val="00EC2055"/>
    <w:rsid w:val="00ED193C"/>
    <w:rsid w:val="00ED3E9F"/>
    <w:rsid w:val="00ED41C2"/>
    <w:rsid w:val="00ED5C9E"/>
    <w:rsid w:val="00EF1C5C"/>
    <w:rsid w:val="00EF385B"/>
    <w:rsid w:val="00EF6936"/>
    <w:rsid w:val="00F01A7C"/>
    <w:rsid w:val="00F01C27"/>
    <w:rsid w:val="00F0216B"/>
    <w:rsid w:val="00F02C64"/>
    <w:rsid w:val="00F04338"/>
    <w:rsid w:val="00F10052"/>
    <w:rsid w:val="00F11C28"/>
    <w:rsid w:val="00F1377D"/>
    <w:rsid w:val="00F15316"/>
    <w:rsid w:val="00F2172B"/>
    <w:rsid w:val="00F25C7B"/>
    <w:rsid w:val="00F25ED0"/>
    <w:rsid w:val="00F273C7"/>
    <w:rsid w:val="00F279A8"/>
    <w:rsid w:val="00F34E9F"/>
    <w:rsid w:val="00F43509"/>
    <w:rsid w:val="00F54DF7"/>
    <w:rsid w:val="00F610D3"/>
    <w:rsid w:val="00F6557C"/>
    <w:rsid w:val="00F70472"/>
    <w:rsid w:val="00F72094"/>
    <w:rsid w:val="00F7572F"/>
    <w:rsid w:val="00F76305"/>
    <w:rsid w:val="00FA152A"/>
    <w:rsid w:val="00FA2850"/>
    <w:rsid w:val="00FC3BA1"/>
    <w:rsid w:val="00FC4FE2"/>
    <w:rsid w:val="00FD10C8"/>
    <w:rsid w:val="00FE02E9"/>
    <w:rsid w:val="00FE105D"/>
    <w:rsid w:val="00FE5FC4"/>
    <w:rsid w:val="00FE7DF6"/>
    <w:rsid w:val="00FF14AB"/>
    <w:rsid w:val="00FF21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qFormat="1"/>
    <w:lsdException w:name="footer" w:qFormat="1"/>
    <w:lsdException w:name="caption" w:uiPriority="0" w:qFormat="1"/>
    <w:lsdException w:name="annotation reference" w:uiPriority="0"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Hyperlink" w:qFormat="1"/>
    <w:lsdException w:name="Strong" w:semiHidden="0" w:uiPriority="0" w:unhideWhenUsed="0" w:qFormat="1"/>
    <w:lsdException w:name="Emphasis" w:semiHidden="0" w:uiPriority="0" w:unhideWhenUsed="0" w:qFormat="1"/>
    <w:lsdException w:name="Document Map" w:uiPriority="0" w:qFormat="1"/>
    <w:lsdException w:name="Plain Text" w:uiPriority="0"/>
    <w:lsdException w:name="Normal (Web)" w:qFormat="1"/>
    <w:lsdException w:name="annotation subject" w:uiPriority="0"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aliases w:val="章,章标题 1,b1,章节标题,H1,标题 11,-*+,h1,1st level,Section Head,l1,1,my标题1,章标题,标题 1.,标题 1章节,第一部分,1.标题 1,Main Heading,Header1,Heading 0,Fab-1,PIM 1,标书1,章节,文章标题,Heading 1 (NN),1标题 1,heading 1,IPMT Fax Heading,Spec 1,预评价,标题 1 预评价,Heading 1 PEP,Head 1wsa"/>
    <w:basedOn w:val="a"/>
    <w:next w:val="2"/>
    <w:link w:val="1Char"/>
    <w:autoRedefine/>
    <w:qFormat/>
    <w:rsid w:val="007D0F83"/>
    <w:pPr>
      <w:keepNext/>
      <w:keepLines/>
      <w:widowControl/>
      <w:numPr>
        <w:numId w:val="1"/>
      </w:numPr>
      <w:overflowPunct w:val="0"/>
      <w:adjustRightInd w:val="0"/>
      <w:snapToGrid w:val="0"/>
      <w:spacing w:before="240"/>
      <w:ind w:left="0"/>
      <w:jc w:val="center"/>
      <w:textAlignment w:val="center"/>
      <w:outlineLvl w:val="0"/>
    </w:pPr>
    <w:rPr>
      <w:rFonts w:ascii="黑体" w:eastAsia="黑体" w:hAnsi="黑体" w:cs="Arial"/>
      <w:noProof/>
      <w:snapToGrid w:val="0"/>
      <w:kern w:val="0"/>
      <w:sz w:val="32"/>
      <w:szCs w:val="36"/>
    </w:rPr>
  </w:style>
  <w:style w:type="paragraph" w:styleId="2">
    <w:name w:val="heading 2"/>
    <w:aliases w:val="节,2,节标题 1.1,h2,l2,2nd level,Titre2,Header 2,节标题,一级节名,标题2,1.1标题 2,Heading 2 Hidden,Heading 2 CCBS,Titre3,H2,HD2,b2,1.1标题2,1.1,Major,标题 2 Char Char Char,标题 2 Char Char Char Char,标题 21,标题 2 Char Char Char1,标题 2 Char Char Char Char1 Char,标题 2 Char Char"/>
    <w:basedOn w:val="a"/>
    <w:next w:val="3"/>
    <w:link w:val="2Char"/>
    <w:autoRedefine/>
    <w:qFormat/>
    <w:rsid w:val="002144E3"/>
    <w:pPr>
      <w:widowControl/>
      <w:overflowPunct w:val="0"/>
      <w:adjustRightInd w:val="0"/>
      <w:snapToGrid w:val="0"/>
      <w:spacing w:line="320" w:lineRule="exact"/>
      <w:textAlignment w:val="baseline"/>
      <w:outlineLvl w:val="1"/>
    </w:pPr>
    <w:rPr>
      <w:rFonts w:ascii="Cambria" w:hAnsi="Cambria"/>
      <w:b/>
      <w:sz w:val="24"/>
      <w:szCs w:val="24"/>
    </w:rPr>
  </w:style>
  <w:style w:type="paragraph" w:styleId="3">
    <w:name w:val="heading 3"/>
    <w:aliases w:val="条,条标题1.1.1,3,h3,3rd level,H3,l3,CT,1.1.1,标题03,Section,PA Minor Section,标题 3 Char Char,三级标题，黑粗，四号，序号,Heading 3 - old,三级标题,h3 sub heading,二级节标题,标题3,style3,一,小标题,小节标题,标题 3 Char1,标题 3 Char Char Char Char,标题 3 Char Char Char Char Char,标2,heading 3- body"/>
    <w:basedOn w:val="a"/>
    <w:next w:val="a"/>
    <w:link w:val="3Char"/>
    <w:qFormat/>
    <w:rsid w:val="007D0F83"/>
    <w:pPr>
      <w:widowControl/>
      <w:numPr>
        <w:ilvl w:val="2"/>
        <w:numId w:val="1"/>
      </w:numPr>
      <w:overflowPunct w:val="0"/>
      <w:adjustRightInd w:val="0"/>
      <w:snapToGrid w:val="0"/>
      <w:spacing w:before="120"/>
      <w:ind w:left="0" w:firstLineChars="200" w:firstLine="200"/>
      <w:jc w:val="left"/>
      <w:textAlignment w:val="baseline"/>
      <w:outlineLvl w:val="2"/>
    </w:pPr>
    <w:rPr>
      <w:rFonts w:ascii="Times New Roman" w:eastAsia="黑体" w:hAnsi="Times New Roman" w:cs="Arial"/>
      <w:noProof/>
      <w:sz w:val="28"/>
      <w:szCs w:val="24"/>
    </w:rPr>
  </w:style>
  <w:style w:type="paragraph" w:styleId="4">
    <w:name w:val="heading 4"/>
    <w:aliases w:val="款,款标题1.1.1.1,1.1.1.1,H4,style4,bullet,bl,bb,PIM 4,h4,Heading Four,sect 1.2.3.4,Ref Heading 1,rh1,sect 1.2.3.41,Ref Heading 11,rh11,sect 1.2.3.42,Ref Heading 12,rh12,sect 1.2.3.411,Ref Heading 111,rh111,sect 1.2.3.43,Ref Heading 13,rh13"/>
    <w:basedOn w:val="a"/>
    <w:next w:val="a"/>
    <w:link w:val="4Char"/>
    <w:qFormat/>
    <w:rsid w:val="007D0F83"/>
    <w:pPr>
      <w:widowControl/>
      <w:numPr>
        <w:ilvl w:val="3"/>
        <w:numId w:val="1"/>
      </w:numPr>
      <w:overflowPunct w:val="0"/>
      <w:adjustRightInd w:val="0"/>
      <w:snapToGrid w:val="0"/>
      <w:spacing w:before="120"/>
      <w:ind w:left="0" w:firstLineChars="200" w:firstLine="200"/>
      <w:jc w:val="left"/>
      <w:textAlignment w:val="baseline"/>
      <w:outlineLvl w:val="3"/>
    </w:pPr>
    <w:rPr>
      <w:rFonts w:ascii="Times New Roman" w:eastAsia="黑体" w:hAnsi="Times New Roman" w:cs="Arial"/>
      <w:noProof/>
      <w:kern w:val="0"/>
      <w:sz w:val="28"/>
      <w:szCs w:val="24"/>
    </w:rPr>
  </w:style>
  <w:style w:type="paragraph" w:styleId="5">
    <w:name w:val="heading 5"/>
    <w:aliases w:val="表题,图表标,标题1.1.1.1.1,第四层条,标题 5表头,MB5,Block Label,标题（一）,五,H5,H51,法律法规,标题 5(表格),标题 5 Char Char,前言,一级项,Ò»¼¶Ïî,表头文字"/>
    <w:basedOn w:val="a"/>
    <w:next w:val="a"/>
    <w:link w:val="5Char"/>
    <w:qFormat/>
    <w:rsid w:val="007D0F83"/>
    <w:pPr>
      <w:widowControl/>
      <w:numPr>
        <w:ilvl w:val="4"/>
        <w:numId w:val="1"/>
      </w:numPr>
      <w:overflowPunct w:val="0"/>
      <w:adjustRightInd w:val="0"/>
      <w:snapToGrid w:val="0"/>
      <w:spacing w:before="120" w:afterLines="20" w:line="480" w:lineRule="exact"/>
      <w:ind w:rightChars="100" w:right="100" w:firstLine="0"/>
      <w:jc w:val="left"/>
      <w:textAlignment w:val="baseline"/>
      <w:outlineLvl w:val="4"/>
    </w:pPr>
    <w:rPr>
      <w:rFonts w:ascii="Times New Roman" w:eastAsia="宋体" w:hAnsi="Times New Roman" w:cs="Arial"/>
      <w:b/>
      <w:noProof/>
      <w:kern w:val="0"/>
      <w:sz w:val="28"/>
      <w:szCs w:val="24"/>
    </w:rPr>
  </w:style>
  <w:style w:type="paragraph" w:styleId="6">
    <w:name w:val="heading 6"/>
    <w:aliases w:val="标题8,表标题1,H6,H61,技术文件,第五层条,标题 6，图标题,图标题,标题1.1.1.1.1.1,二级项"/>
    <w:basedOn w:val="a"/>
    <w:next w:val="a"/>
    <w:link w:val="6Char"/>
    <w:qFormat/>
    <w:rsid w:val="007D0F83"/>
    <w:pPr>
      <w:widowControl/>
      <w:numPr>
        <w:ilvl w:val="5"/>
        <w:numId w:val="1"/>
      </w:numPr>
      <w:overflowPunct w:val="0"/>
      <w:adjustRightInd w:val="0"/>
      <w:snapToGrid w:val="0"/>
      <w:spacing w:before="120" w:afterLines="20" w:line="480" w:lineRule="exact"/>
      <w:jc w:val="left"/>
      <w:textAlignment w:val="baseline"/>
      <w:outlineLvl w:val="5"/>
    </w:pPr>
    <w:rPr>
      <w:rFonts w:ascii="Times New Roman" w:eastAsia="宋体" w:hAnsi="Times New Roman" w:cs="Arial"/>
      <w:noProof/>
      <w:kern w:val="0"/>
      <w:sz w:val="28"/>
      <w:szCs w:val="24"/>
    </w:rPr>
  </w:style>
  <w:style w:type="paragraph" w:styleId="7">
    <w:name w:val="heading 7"/>
    <w:aliases w:val="H7,H71,项目文件,表标题,项标题(1),无级项"/>
    <w:basedOn w:val="a"/>
    <w:next w:val="a"/>
    <w:link w:val="7Char"/>
    <w:qFormat/>
    <w:rsid w:val="007D0F83"/>
    <w:pPr>
      <w:numPr>
        <w:ilvl w:val="6"/>
        <w:numId w:val="1"/>
      </w:numPr>
      <w:overflowPunct w:val="0"/>
      <w:adjustRightInd w:val="0"/>
      <w:snapToGrid w:val="0"/>
      <w:spacing w:before="120" w:afterLines="20" w:line="480" w:lineRule="exact"/>
      <w:ind w:firstLine="0"/>
      <w:jc w:val="left"/>
      <w:textAlignment w:val="baseline"/>
      <w:outlineLvl w:val="6"/>
    </w:pPr>
    <w:rPr>
      <w:rFonts w:ascii="Times New Roman" w:eastAsia="宋体" w:hAnsi="Times New Roman" w:cs="Arial"/>
      <w:noProof/>
      <w:kern w:val="0"/>
      <w:sz w:val="28"/>
      <w:szCs w:val="24"/>
    </w:rPr>
  </w:style>
  <w:style w:type="paragraph" w:styleId="8">
    <w:name w:val="heading 8"/>
    <w:aliases w:val="H8,目标题 1),注"/>
    <w:basedOn w:val="a"/>
    <w:next w:val="a"/>
    <w:link w:val="8Char"/>
    <w:qFormat/>
    <w:rsid w:val="007D0F83"/>
    <w:pPr>
      <w:numPr>
        <w:ilvl w:val="7"/>
        <w:numId w:val="1"/>
      </w:numPr>
      <w:overflowPunct w:val="0"/>
      <w:adjustRightInd w:val="0"/>
      <w:snapToGrid w:val="0"/>
      <w:spacing w:before="120" w:afterLines="20" w:line="480" w:lineRule="exact"/>
      <w:ind w:firstLine="0"/>
      <w:jc w:val="left"/>
      <w:textAlignment w:val="baseline"/>
      <w:outlineLvl w:val="7"/>
    </w:pPr>
    <w:rPr>
      <w:rFonts w:ascii="Times New Roman" w:eastAsia="宋体" w:hAnsi="Times New Roman" w:cs="Arial"/>
      <w:noProof/>
      <w:kern w:val="0"/>
      <w:sz w:val="28"/>
      <w:szCs w:val="24"/>
    </w:rPr>
  </w:style>
  <w:style w:type="paragraph" w:styleId="9">
    <w:name w:val="heading 9"/>
    <w:aliases w:val="H9,干标题(a)"/>
    <w:basedOn w:val="a"/>
    <w:next w:val="a"/>
    <w:link w:val="9Char"/>
    <w:qFormat/>
    <w:rsid w:val="007D0F83"/>
    <w:pPr>
      <w:numPr>
        <w:ilvl w:val="8"/>
        <w:numId w:val="1"/>
      </w:numPr>
      <w:overflowPunct w:val="0"/>
      <w:adjustRightInd w:val="0"/>
      <w:snapToGrid w:val="0"/>
      <w:spacing w:before="120" w:afterLines="20" w:line="480" w:lineRule="exact"/>
      <w:ind w:firstLine="0"/>
      <w:jc w:val="left"/>
      <w:textAlignment w:val="baseline"/>
      <w:outlineLvl w:val="8"/>
    </w:pPr>
    <w:rPr>
      <w:rFonts w:ascii="Times New Roman" w:eastAsia="宋体" w:hAnsi="Times New Roman" w:cs="Arial"/>
      <w:noProof/>
      <w:kern w:val="0"/>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aliases w:val="条 Char,条标题1.1.1 Char,3 Char,h3 Char,3rd level Char,H3 Char,l3 Char,CT Char,1.1.1 Char,标题03 Char,Section Char,PA Minor Section Char,标题 3 Char Char Char,三级标题，黑粗，四号，序号 Char,Heading 3 - old Char,三级标题 Char,h3 sub heading Char,二级节标题 Char,标题3 Char"/>
    <w:basedOn w:val="a0"/>
    <w:link w:val="3"/>
    <w:rsid w:val="007D0F83"/>
    <w:rPr>
      <w:rFonts w:ascii="Times New Roman" w:eastAsia="黑体" w:hAnsi="Times New Roman" w:cs="Arial"/>
      <w:noProof/>
      <w:sz w:val="28"/>
      <w:szCs w:val="24"/>
    </w:rPr>
  </w:style>
  <w:style w:type="character" w:customStyle="1" w:styleId="2Char">
    <w:name w:val="标题 2 Char"/>
    <w:aliases w:val="节 Char,2 Char,节标题 1.1 Char,h2 Char,l2 Char,2nd level Char,Titre2 Char,Header 2 Char,节标题 Char,一级节名 Char,标题2 Char,1.1标题 2 Char,Heading 2 Hidden Char,Heading 2 CCBS Char,Titre3 Char,H2 Char,HD2 Char,b2 Char,1.1标题2 Char,1.1 Char,Major Char"/>
    <w:basedOn w:val="a0"/>
    <w:link w:val="2"/>
    <w:qFormat/>
    <w:rsid w:val="002144E3"/>
    <w:rPr>
      <w:rFonts w:ascii="Cambria" w:hAnsi="Cambria"/>
      <w:b/>
      <w:sz w:val="24"/>
      <w:szCs w:val="24"/>
    </w:rPr>
  </w:style>
  <w:style w:type="character" w:customStyle="1" w:styleId="1Char">
    <w:name w:val="标题 1 Char"/>
    <w:aliases w:val="章 Char,章标题 1 Char,b1 Char,章节标题 Char,H1 Char,标题 11 Char,-*+ Char,h1 Char,1st level Char,Section Head Char,l1 Char,1 Char,my标题1 Char,章标题 Char,标题 1. Char,标题 1章节 Char,第一部分 Char,1.标题 1 Char,Main Heading Char,Header1 Char,Heading 0 Char,Fab-1 Char"/>
    <w:basedOn w:val="a0"/>
    <w:link w:val="1"/>
    <w:rsid w:val="007D0F83"/>
    <w:rPr>
      <w:rFonts w:ascii="黑体" w:eastAsia="黑体" w:hAnsi="黑体" w:cs="Arial"/>
      <w:noProof/>
      <w:snapToGrid w:val="0"/>
      <w:kern w:val="0"/>
      <w:sz w:val="32"/>
      <w:szCs w:val="36"/>
    </w:rPr>
  </w:style>
  <w:style w:type="character" w:customStyle="1" w:styleId="4Char">
    <w:name w:val="标题 4 Char"/>
    <w:aliases w:val="款 Char,款标题1.1.1.1 Char,1.1.1.1 Char,H4 Char,style4 Char,bullet Char,bl Char,bb Char,PIM 4 Char,h4 Char,Heading Four Char,sect 1.2.3.4 Char,Ref Heading 1 Char,rh1 Char,sect 1.2.3.41 Char,Ref Heading 11 Char,rh11 Char,sect 1.2.3.42 Char"/>
    <w:basedOn w:val="a0"/>
    <w:link w:val="4"/>
    <w:rsid w:val="007D0F83"/>
    <w:rPr>
      <w:rFonts w:ascii="Times New Roman" w:eastAsia="黑体" w:hAnsi="Times New Roman" w:cs="Arial"/>
      <w:noProof/>
      <w:kern w:val="0"/>
      <w:sz w:val="28"/>
      <w:szCs w:val="24"/>
    </w:rPr>
  </w:style>
  <w:style w:type="character" w:customStyle="1" w:styleId="5Char">
    <w:name w:val="标题 5 Char"/>
    <w:aliases w:val="表题 Char,图表标 Char,标题1.1.1.1.1 Char,第四层条 Char,标题 5表头 Char,MB5 Char,Block Label Char,标题（一） Char,五 Char,H5 Char,H51 Char,法律法规 Char,标题 5(表格) Char,标题 5 Char Char Char,前言 Char,一级项 Char,Ò»¼¶Ïî Char,表头文字 Char"/>
    <w:basedOn w:val="a0"/>
    <w:link w:val="5"/>
    <w:rsid w:val="007D0F83"/>
    <w:rPr>
      <w:rFonts w:ascii="Times New Roman" w:eastAsia="宋体" w:hAnsi="Times New Roman" w:cs="Arial"/>
      <w:b/>
      <w:noProof/>
      <w:kern w:val="0"/>
      <w:sz w:val="28"/>
      <w:szCs w:val="24"/>
    </w:rPr>
  </w:style>
  <w:style w:type="character" w:customStyle="1" w:styleId="6Char">
    <w:name w:val="标题 6 Char"/>
    <w:aliases w:val="标题8 Char,表标题1 Char,H6 Char,H61 Char,技术文件 Char,第五层条 Char,标题 6，图标题 Char,图标题 Char,标题1.1.1.1.1.1 Char,二级项 Char"/>
    <w:basedOn w:val="a0"/>
    <w:link w:val="6"/>
    <w:rsid w:val="007D0F83"/>
    <w:rPr>
      <w:rFonts w:ascii="Times New Roman" w:eastAsia="宋体" w:hAnsi="Times New Roman" w:cs="Arial"/>
      <w:noProof/>
      <w:kern w:val="0"/>
      <w:sz w:val="28"/>
      <w:szCs w:val="24"/>
    </w:rPr>
  </w:style>
  <w:style w:type="character" w:customStyle="1" w:styleId="7Char">
    <w:name w:val="标题 7 Char"/>
    <w:aliases w:val="H7 Char,H71 Char,项目文件 Char,表标题 Char,项标题(1) Char,无级项 Char"/>
    <w:basedOn w:val="a0"/>
    <w:link w:val="7"/>
    <w:rsid w:val="007D0F83"/>
    <w:rPr>
      <w:rFonts w:ascii="Times New Roman" w:eastAsia="宋体" w:hAnsi="Times New Roman" w:cs="Arial"/>
      <w:noProof/>
      <w:kern w:val="0"/>
      <w:sz w:val="28"/>
      <w:szCs w:val="24"/>
    </w:rPr>
  </w:style>
  <w:style w:type="character" w:customStyle="1" w:styleId="8Char">
    <w:name w:val="标题 8 Char"/>
    <w:aliases w:val="H8 Char,目标题 1) Char,注 Char"/>
    <w:basedOn w:val="a0"/>
    <w:link w:val="8"/>
    <w:rsid w:val="007D0F83"/>
    <w:rPr>
      <w:rFonts w:ascii="Times New Roman" w:eastAsia="宋体" w:hAnsi="Times New Roman" w:cs="Arial"/>
      <w:noProof/>
      <w:kern w:val="0"/>
      <w:sz w:val="28"/>
      <w:szCs w:val="24"/>
    </w:rPr>
  </w:style>
  <w:style w:type="character" w:customStyle="1" w:styleId="9Char">
    <w:name w:val="标题 9 Char"/>
    <w:aliases w:val="H9 Char,干标题(a) Char"/>
    <w:basedOn w:val="a0"/>
    <w:link w:val="9"/>
    <w:rsid w:val="007D0F83"/>
    <w:rPr>
      <w:rFonts w:ascii="Times New Roman" w:eastAsia="宋体" w:hAnsi="Times New Roman" w:cs="Arial"/>
      <w:noProof/>
      <w:kern w:val="0"/>
      <w:sz w:val="28"/>
      <w:szCs w:val="24"/>
    </w:rPr>
  </w:style>
  <w:style w:type="paragraph" w:styleId="a3">
    <w:name w:val="header"/>
    <w:basedOn w:val="a"/>
    <w:link w:val="Char"/>
    <w:unhideWhenUsed/>
    <w:qFormat/>
    <w:rsid w:val="0023516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qFormat/>
    <w:rsid w:val="00235169"/>
    <w:rPr>
      <w:sz w:val="18"/>
      <w:szCs w:val="18"/>
    </w:rPr>
  </w:style>
  <w:style w:type="paragraph" w:styleId="a4">
    <w:name w:val="footer"/>
    <w:basedOn w:val="a"/>
    <w:link w:val="Char0"/>
    <w:uiPriority w:val="99"/>
    <w:unhideWhenUsed/>
    <w:qFormat/>
    <w:rsid w:val="00235169"/>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235169"/>
    <w:rPr>
      <w:sz w:val="18"/>
      <w:szCs w:val="18"/>
    </w:rPr>
  </w:style>
  <w:style w:type="paragraph" w:styleId="a5">
    <w:name w:val="Date"/>
    <w:basedOn w:val="a"/>
    <w:next w:val="a"/>
    <w:link w:val="Char1"/>
    <w:uiPriority w:val="99"/>
    <w:semiHidden/>
    <w:unhideWhenUsed/>
    <w:rsid w:val="00EC0F7D"/>
    <w:pPr>
      <w:ind w:leftChars="2500" w:left="100"/>
    </w:pPr>
  </w:style>
  <w:style w:type="character" w:customStyle="1" w:styleId="Char1">
    <w:name w:val="日期 Char"/>
    <w:basedOn w:val="a0"/>
    <w:link w:val="a5"/>
    <w:uiPriority w:val="99"/>
    <w:semiHidden/>
    <w:rsid w:val="00EC0F7D"/>
  </w:style>
  <w:style w:type="table" w:styleId="a6">
    <w:name w:val="Table Grid"/>
    <w:basedOn w:val="a1"/>
    <w:uiPriority w:val="59"/>
    <w:qFormat/>
    <w:rsid w:val="00E63F5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7">
    <w:name w:val="表格内容"/>
    <w:basedOn w:val="a"/>
    <w:link w:val="Char2"/>
    <w:qFormat/>
    <w:rsid w:val="00E504BB"/>
    <w:pPr>
      <w:adjustRightInd w:val="0"/>
      <w:snapToGrid w:val="0"/>
      <w:spacing w:line="320" w:lineRule="exact"/>
      <w:jc w:val="center"/>
    </w:pPr>
    <w:rPr>
      <w:rFonts w:ascii="Times New Roman" w:eastAsia="宋体" w:hAnsi="Arial" w:cs="Arial"/>
      <w:sz w:val="24"/>
      <w:szCs w:val="21"/>
    </w:rPr>
  </w:style>
  <w:style w:type="character" w:customStyle="1" w:styleId="Char2">
    <w:name w:val="表格内容 Char"/>
    <w:link w:val="a7"/>
    <w:qFormat/>
    <w:rsid w:val="00E504BB"/>
    <w:rPr>
      <w:rFonts w:ascii="Times New Roman" w:eastAsia="宋体" w:hAnsi="Arial" w:cs="Arial"/>
      <w:sz w:val="24"/>
      <w:szCs w:val="21"/>
    </w:rPr>
  </w:style>
  <w:style w:type="character" w:styleId="a8">
    <w:name w:val="Emphasis"/>
    <w:basedOn w:val="a0"/>
    <w:qFormat/>
    <w:rsid w:val="00E504BB"/>
    <w:rPr>
      <w:i/>
      <w:iCs/>
    </w:rPr>
  </w:style>
  <w:style w:type="paragraph" w:styleId="a9">
    <w:name w:val="Document Map"/>
    <w:basedOn w:val="a"/>
    <w:link w:val="Char3"/>
    <w:unhideWhenUsed/>
    <w:qFormat/>
    <w:rsid w:val="00F0216B"/>
    <w:rPr>
      <w:rFonts w:ascii="宋体" w:eastAsia="宋体"/>
      <w:sz w:val="18"/>
      <w:szCs w:val="18"/>
    </w:rPr>
  </w:style>
  <w:style w:type="character" w:customStyle="1" w:styleId="Char3">
    <w:name w:val="文档结构图 Char"/>
    <w:basedOn w:val="a0"/>
    <w:link w:val="a9"/>
    <w:qFormat/>
    <w:rsid w:val="00F0216B"/>
    <w:rPr>
      <w:rFonts w:ascii="宋体" w:eastAsia="宋体"/>
      <w:sz w:val="18"/>
      <w:szCs w:val="18"/>
    </w:rPr>
  </w:style>
  <w:style w:type="paragraph" w:styleId="aa">
    <w:name w:val="Body Text Indent"/>
    <w:basedOn w:val="a"/>
    <w:link w:val="Char4"/>
    <w:unhideWhenUsed/>
    <w:qFormat/>
    <w:rsid w:val="00CC355F"/>
    <w:pPr>
      <w:overflowPunct w:val="0"/>
      <w:snapToGrid w:val="0"/>
      <w:spacing w:afterLines="20" w:line="480" w:lineRule="exact"/>
      <w:ind w:leftChars="200" w:left="420" w:firstLineChars="200" w:firstLine="200"/>
    </w:pPr>
    <w:rPr>
      <w:rFonts w:ascii="Times New Roman" w:eastAsia="宋体" w:hAnsi="Times New Roman" w:cs="Arial"/>
      <w:noProof/>
      <w:sz w:val="28"/>
      <w:szCs w:val="24"/>
    </w:rPr>
  </w:style>
  <w:style w:type="character" w:customStyle="1" w:styleId="Char4">
    <w:name w:val="正文文本缩进 Char"/>
    <w:basedOn w:val="a0"/>
    <w:link w:val="aa"/>
    <w:rsid w:val="00CC355F"/>
    <w:rPr>
      <w:rFonts w:ascii="Times New Roman" w:eastAsia="宋体" w:hAnsi="Times New Roman" w:cs="Arial"/>
      <w:noProof/>
      <w:sz w:val="28"/>
      <w:szCs w:val="24"/>
    </w:rPr>
  </w:style>
  <w:style w:type="paragraph" w:styleId="ab">
    <w:name w:val="List Paragraph"/>
    <w:basedOn w:val="a"/>
    <w:uiPriority w:val="34"/>
    <w:qFormat/>
    <w:rsid w:val="000C2455"/>
    <w:pPr>
      <w:ind w:firstLineChars="200" w:firstLine="420"/>
    </w:pPr>
  </w:style>
  <w:style w:type="paragraph" w:styleId="ac">
    <w:name w:val="Balloon Text"/>
    <w:basedOn w:val="a"/>
    <w:link w:val="Char5"/>
    <w:unhideWhenUsed/>
    <w:qFormat/>
    <w:rsid w:val="000C2455"/>
    <w:rPr>
      <w:sz w:val="18"/>
      <w:szCs w:val="18"/>
    </w:rPr>
  </w:style>
  <w:style w:type="character" w:customStyle="1" w:styleId="Char5">
    <w:name w:val="批注框文本 Char"/>
    <w:basedOn w:val="a0"/>
    <w:link w:val="ac"/>
    <w:qFormat/>
    <w:rsid w:val="000C2455"/>
    <w:rPr>
      <w:sz w:val="18"/>
      <w:szCs w:val="18"/>
    </w:rPr>
  </w:style>
  <w:style w:type="character" w:styleId="ad">
    <w:name w:val="Hyperlink"/>
    <w:basedOn w:val="a0"/>
    <w:uiPriority w:val="99"/>
    <w:unhideWhenUsed/>
    <w:qFormat/>
    <w:rsid w:val="000C2455"/>
    <w:rPr>
      <w:color w:val="0000FF"/>
      <w:u w:val="single"/>
    </w:rPr>
  </w:style>
  <w:style w:type="character" w:customStyle="1" w:styleId="fbdate2">
    <w:name w:val="fbdate2"/>
    <w:basedOn w:val="a0"/>
    <w:rsid w:val="000C2455"/>
  </w:style>
  <w:style w:type="paragraph" w:customStyle="1" w:styleId="ae">
    <w:name w:val="_正文"/>
    <w:basedOn w:val="a"/>
    <w:qFormat/>
    <w:rsid w:val="000C2455"/>
    <w:pPr>
      <w:adjustRightInd w:val="0"/>
      <w:snapToGrid w:val="0"/>
      <w:spacing w:line="480" w:lineRule="exact"/>
      <w:ind w:firstLineChars="200" w:firstLine="200"/>
      <w:jc w:val="left"/>
      <w:textboxTightWrap w:val="allLines"/>
    </w:pPr>
    <w:rPr>
      <w:rFonts w:ascii="Times New Roman" w:eastAsia="宋体" w:hAnsi="Times New Roman" w:cs="Times New Roman"/>
      <w:sz w:val="28"/>
      <w:szCs w:val="24"/>
      <w:lang w:val="zh-CN"/>
    </w:rPr>
  </w:style>
  <w:style w:type="character" w:customStyle="1" w:styleId="st1">
    <w:name w:val="st1"/>
    <w:basedOn w:val="a0"/>
    <w:rsid w:val="000C2455"/>
  </w:style>
  <w:style w:type="paragraph" w:customStyle="1" w:styleId="Default">
    <w:name w:val="Default"/>
    <w:qFormat/>
    <w:rsid w:val="000C2455"/>
    <w:pPr>
      <w:widowControl w:val="0"/>
      <w:autoSpaceDE w:val="0"/>
      <w:autoSpaceDN w:val="0"/>
      <w:adjustRightInd w:val="0"/>
    </w:pPr>
    <w:rPr>
      <w:rFonts w:ascii="仿宋_GB2312" w:eastAsia="仿宋_GB2312" w:hAnsi="Times New Roman" w:cs="仿宋_GB2312"/>
      <w:color w:val="000000"/>
      <w:kern w:val="0"/>
      <w:sz w:val="24"/>
      <w:szCs w:val="24"/>
    </w:rPr>
  </w:style>
  <w:style w:type="character" w:styleId="af">
    <w:name w:val="page number"/>
    <w:basedOn w:val="a0"/>
    <w:rsid w:val="000C2455"/>
  </w:style>
  <w:style w:type="paragraph" w:styleId="10">
    <w:name w:val="toc 1"/>
    <w:basedOn w:val="a"/>
    <w:next w:val="a"/>
    <w:autoRedefine/>
    <w:uiPriority w:val="39"/>
    <w:qFormat/>
    <w:rsid w:val="00A0580E"/>
    <w:rPr>
      <w:rFonts w:ascii="Times New Roman" w:eastAsia="宋体" w:hAnsi="Times New Roman" w:cs="Times New Roman"/>
      <w:sz w:val="24"/>
      <w:szCs w:val="24"/>
    </w:rPr>
  </w:style>
  <w:style w:type="character" w:customStyle="1" w:styleId="81">
    <w:name w:val="正文文本 (8)1"/>
    <w:basedOn w:val="a0"/>
    <w:rsid w:val="000C2455"/>
    <w:rPr>
      <w:rFonts w:ascii="MingLiU" w:eastAsia="MingLiU" w:hAnsi="MingLiU" w:cs="MingLiU"/>
      <w:b w:val="0"/>
      <w:bCs w:val="0"/>
      <w:i w:val="0"/>
      <w:iCs w:val="0"/>
      <w:smallCaps w:val="0"/>
      <w:strike w:val="0"/>
      <w:color w:val="000000"/>
      <w:spacing w:val="0"/>
      <w:w w:val="100"/>
      <w:position w:val="0"/>
      <w:sz w:val="48"/>
      <w:szCs w:val="48"/>
      <w:u w:val="none"/>
      <w:lang w:val="zh-CN" w:eastAsia="zh-CN" w:bidi="zh-CN"/>
    </w:rPr>
  </w:style>
  <w:style w:type="paragraph" w:customStyle="1" w:styleId="11">
    <w:name w:val="列出段落1"/>
    <w:basedOn w:val="a"/>
    <w:uiPriority w:val="34"/>
    <w:qFormat/>
    <w:rsid w:val="000C2455"/>
    <w:pPr>
      <w:ind w:firstLineChars="200" w:firstLine="420"/>
    </w:pPr>
    <w:rPr>
      <w:rFonts w:ascii="Calibri" w:eastAsia="宋体" w:hAnsi="Calibri" w:cs="Times New Roman"/>
    </w:rPr>
  </w:style>
  <w:style w:type="character" w:customStyle="1" w:styleId="af0">
    <w:name w:val="正文文本_"/>
    <w:basedOn w:val="a0"/>
    <w:link w:val="110"/>
    <w:qFormat/>
    <w:rsid w:val="000C2455"/>
    <w:rPr>
      <w:rFonts w:ascii="Arial Unicode MS" w:eastAsia="Arial Unicode MS" w:hAnsi="Arial Unicode MS" w:cs="Arial Unicode MS"/>
      <w:sz w:val="23"/>
      <w:szCs w:val="23"/>
      <w:shd w:val="clear" w:color="auto" w:fill="FFFFFF"/>
    </w:rPr>
  </w:style>
  <w:style w:type="paragraph" w:customStyle="1" w:styleId="110">
    <w:name w:val="正文文本11"/>
    <w:basedOn w:val="a"/>
    <w:link w:val="af0"/>
    <w:qFormat/>
    <w:rsid w:val="000C2455"/>
    <w:pPr>
      <w:shd w:val="clear" w:color="auto" w:fill="FFFFFF"/>
      <w:spacing w:before="420" w:line="443" w:lineRule="exact"/>
      <w:ind w:hanging="800"/>
      <w:jc w:val="center"/>
    </w:pPr>
    <w:rPr>
      <w:rFonts w:ascii="Arial Unicode MS" w:eastAsia="Arial Unicode MS" w:hAnsi="Arial Unicode MS" w:cs="Arial Unicode MS"/>
      <w:sz w:val="23"/>
      <w:szCs w:val="23"/>
    </w:rPr>
  </w:style>
  <w:style w:type="character" w:customStyle="1" w:styleId="MingLiU">
    <w:name w:val="正文文本 + MingLiU"/>
    <w:aliases w:val="粗体,9.5 pt,间距 -2 pt,正文文本 (17) + Arial Unicode MS"/>
    <w:basedOn w:val="af0"/>
    <w:qFormat/>
    <w:rsid w:val="000C2455"/>
    <w:rPr>
      <w:rFonts w:ascii="MingLiU" w:eastAsia="MingLiU" w:hAnsi="MingLiU" w:cs="MingLiU"/>
      <w:b/>
      <w:bCs/>
      <w:color w:val="000000"/>
      <w:spacing w:val="0"/>
      <w:w w:val="100"/>
      <w:position w:val="0"/>
      <w:sz w:val="23"/>
      <w:szCs w:val="23"/>
      <w:shd w:val="clear" w:color="auto" w:fill="FFFFFF"/>
      <w:lang w:val="zh-TW"/>
    </w:rPr>
  </w:style>
  <w:style w:type="character" w:customStyle="1" w:styleId="9pt">
    <w:name w:val="正文文本 + 9 pt"/>
    <w:aliases w:val="间距 1 pt"/>
    <w:basedOn w:val="af0"/>
    <w:qFormat/>
    <w:rsid w:val="000C2455"/>
    <w:rPr>
      <w:rFonts w:ascii="Arial Unicode MS" w:eastAsia="Arial Unicode MS" w:hAnsi="Arial Unicode MS" w:cs="Arial Unicode MS"/>
      <w:color w:val="000000"/>
      <w:spacing w:val="0"/>
      <w:w w:val="100"/>
      <w:position w:val="0"/>
      <w:sz w:val="18"/>
      <w:szCs w:val="18"/>
      <w:shd w:val="clear" w:color="auto" w:fill="FFFFFF"/>
      <w:lang w:val="zh-TW"/>
    </w:rPr>
  </w:style>
  <w:style w:type="character" w:customStyle="1" w:styleId="Char10">
    <w:name w:val="文档结构图 Char1"/>
    <w:basedOn w:val="a0"/>
    <w:uiPriority w:val="99"/>
    <w:semiHidden/>
    <w:rsid w:val="000C2455"/>
    <w:rPr>
      <w:rFonts w:ascii="宋体" w:eastAsia="宋体"/>
      <w:sz w:val="18"/>
      <w:szCs w:val="18"/>
    </w:rPr>
  </w:style>
  <w:style w:type="paragraph" w:customStyle="1" w:styleId="20">
    <w:name w:val="列出段落2"/>
    <w:basedOn w:val="a"/>
    <w:uiPriority w:val="99"/>
    <w:qFormat/>
    <w:rsid w:val="000C2455"/>
    <w:pPr>
      <w:spacing w:line="480" w:lineRule="exact"/>
      <w:ind w:firstLineChars="200" w:firstLine="420"/>
      <w:jc w:val="left"/>
    </w:pPr>
    <w:rPr>
      <w:rFonts w:ascii="Times New Roman" w:eastAsia="宋体" w:hAnsi="Times New Roman" w:cs="Times New Roman"/>
      <w:sz w:val="28"/>
    </w:rPr>
  </w:style>
  <w:style w:type="paragraph" w:styleId="af1">
    <w:name w:val="Body Text"/>
    <w:aliases w:val="表标,正文文字,Body Text 1,正文文字 Char Char"/>
    <w:basedOn w:val="a"/>
    <w:link w:val="Char6"/>
    <w:qFormat/>
    <w:rsid w:val="000C2455"/>
    <w:pPr>
      <w:spacing w:after="120"/>
    </w:pPr>
    <w:rPr>
      <w:rFonts w:ascii="Times New Roman" w:eastAsia="宋体" w:hAnsi="Times New Roman" w:cs="Times New Roman"/>
      <w:szCs w:val="20"/>
    </w:rPr>
  </w:style>
  <w:style w:type="character" w:customStyle="1" w:styleId="Char6">
    <w:name w:val="正文文本 Char"/>
    <w:aliases w:val="表标 Char,正文文字 Char,Body Text 1 Char,正文文字 Char Char Char"/>
    <w:basedOn w:val="a0"/>
    <w:link w:val="af1"/>
    <w:qFormat/>
    <w:rsid w:val="000C2455"/>
    <w:rPr>
      <w:rFonts w:ascii="Times New Roman" w:eastAsia="宋体" w:hAnsi="Times New Roman" w:cs="Times New Roman"/>
      <w:szCs w:val="20"/>
    </w:rPr>
  </w:style>
  <w:style w:type="paragraph" w:customStyle="1" w:styleId="af2">
    <w:name w:val="封面标准名称"/>
    <w:rsid w:val="000C2455"/>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12">
    <w:name w:val="封面标准号1"/>
    <w:rsid w:val="000C2455"/>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character" w:customStyle="1" w:styleId="apple-converted-space">
    <w:name w:val="apple-converted-space"/>
    <w:basedOn w:val="a0"/>
    <w:rsid w:val="000C2455"/>
  </w:style>
  <w:style w:type="character" w:styleId="af3">
    <w:name w:val="Strong"/>
    <w:basedOn w:val="a0"/>
    <w:qFormat/>
    <w:rsid w:val="000C2455"/>
    <w:rPr>
      <w:b/>
      <w:bCs/>
    </w:rPr>
  </w:style>
  <w:style w:type="paragraph" w:styleId="af4">
    <w:name w:val="caption"/>
    <w:basedOn w:val="a"/>
    <w:next w:val="a"/>
    <w:unhideWhenUsed/>
    <w:qFormat/>
    <w:rsid w:val="000C2455"/>
    <w:pPr>
      <w:jc w:val="center"/>
      <w:outlineLvl w:val="4"/>
    </w:pPr>
    <w:rPr>
      <w:rFonts w:ascii="Times New Roman" w:eastAsia="宋体" w:hAnsi="Times New Roman" w:cs="Times New Roman"/>
      <w:sz w:val="24"/>
      <w:szCs w:val="20"/>
    </w:rPr>
  </w:style>
  <w:style w:type="paragraph" w:customStyle="1" w:styleId="111">
    <w:name w:val="样式11"/>
    <w:basedOn w:val="a"/>
    <w:qFormat/>
    <w:rsid w:val="000C2455"/>
    <w:pPr>
      <w:spacing w:line="480" w:lineRule="exact"/>
      <w:jc w:val="center"/>
      <w:outlineLvl w:val="4"/>
    </w:pPr>
    <w:rPr>
      <w:rFonts w:ascii="Arial" w:eastAsia="宋体" w:hAnsi="Arial" w:cs="Arial"/>
      <w:bCs/>
      <w:sz w:val="24"/>
      <w:szCs w:val="24"/>
    </w:rPr>
  </w:style>
  <w:style w:type="character" w:styleId="af5">
    <w:name w:val="annotation reference"/>
    <w:basedOn w:val="a0"/>
    <w:unhideWhenUsed/>
    <w:qFormat/>
    <w:rsid w:val="000C2455"/>
    <w:rPr>
      <w:sz w:val="21"/>
      <w:szCs w:val="21"/>
    </w:rPr>
  </w:style>
  <w:style w:type="paragraph" w:styleId="af6">
    <w:name w:val="annotation text"/>
    <w:basedOn w:val="a"/>
    <w:link w:val="Char7"/>
    <w:unhideWhenUsed/>
    <w:qFormat/>
    <w:rsid w:val="000C2455"/>
    <w:pPr>
      <w:jc w:val="left"/>
    </w:pPr>
  </w:style>
  <w:style w:type="character" w:customStyle="1" w:styleId="Char7">
    <w:name w:val="批注文字 Char"/>
    <w:basedOn w:val="a0"/>
    <w:link w:val="af6"/>
    <w:qFormat/>
    <w:rsid w:val="000C2455"/>
  </w:style>
  <w:style w:type="paragraph" w:styleId="af7">
    <w:name w:val="annotation subject"/>
    <w:basedOn w:val="af6"/>
    <w:next w:val="af6"/>
    <w:link w:val="Char8"/>
    <w:unhideWhenUsed/>
    <w:qFormat/>
    <w:rsid w:val="000C2455"/>
    <w:rPr>
      <w:b/>
      <w:bCs/>
    </w:rPr>
  </w:style>
  <w:style w:type="character" w:customStyle="1" w:styleId="Char8">
    <w:name w:val="批注主题 Char"/>
    <w:basedOn w:val="Char7"/>
    <w:link w:val="af7"/>
    <w:qFormat/>
    <w:rsid w:val="000C2455"/>
    <w:rPr>
      <w:b/>
      <w:bCs/>
    </w:rPr>
  </w:style>
  <w:style w:type="paragraph" w:styleId="af8">
    <w:name w:val="Normal (Web)"/>
    <w:basedOn w:val="a"/>
    <w:link w:val="Char9"/>
    <w:uiPriority w:val="99"/>
    <w:unhideWhenUsed/>
    <w:qFormat/>
    <w:rsid w:val="003E1D2A"/>
    <w:pPr>
      <w:widowControl/>
      <w:spacing w:before="100" w:beforeAutospacing="1" w:after="100" w:afterAutospacing="1"/>
      <w:jc w:val="left"/>
    </w:pPr>
    <w:rPr>
      <w:rFonts w:ascii="宋体" w:eastAsia="宋体" w:hAnsi="宋体" w:cs="宋体"/>
      <w:kern w:val="0"/>
      <w:sz w:val="24"/>
      <w:szCs w:val="24"/>
    </w:rPr>
  </w:style>
  <w:style w:type="character" w:customStyle="1" w:styleId="Char9">
    <w:name w:val="普通(网站) Char"/>
    <w:link w:val="af8"/>
    <w:rsid w:val="000E02C5"/>
    <w:rPr>
      <w:rFonts w:ascii="宋体" w:eastAsia="宋体" w:hAnsi="宋体" w:cs="宋体"/>
      <w:kern w:val="0"/>
      <w:sz w:val="24"/>
      <w:szCs w:val="24"/>
    </w:rPr>
  </w:style>
  <w:style w:type="character" w:customStyle="1" w:styleId="Chara">
    <w:name w:val="纯文本 Char"/>
    <w:basedOn w:val="a0"/>
    <w:link w:val="af9"/>
    <w:rsid w:val="003E1D2A"/>
    <w:rPr>
      <w:rFonts w:ascii="宋体" w:hAnsi="Courier New"/>
      <w:szCs w:val="21"/>
    </w:rPr>
  </w:style>
  <w:style w:type="paragraph" w:styleId="af9">
    <w:name w:val="Plain Text"/>
    <w:basedOn w:val="a"/>
    <w:link w:val="Chara"/>
    <w:rsid w:val="003E1D2A"/>
    <w:rPr>
      <w:rFonts w:ascii="宋体" w:hAnsi="Courier New"/>
      <w:szCs w:val="21"/>
    </w:rPr>
  </w:style>
  <w:style w:type="character" w:customStyle="1" w:styleId="Char11">
    <w:name w:val="纯文本 Char1"/>
    <w:basedOn w:val="a0"/>
    <w:uiPriority w:val="99"/>
    <w:semiHidden/>
    <w:rsid w:val="003E1D2A"/>
    <w:rPr>
      <w:rFonts w:ascii="宋体" w:eastAsia="宋体" w:hAnsi="Courier New" w:cs="Courier New"/>
      <w:szCs w:val="21"/>
    </w:rPr>
  </w:style>
  <w:style w:type="paragraph" w:customStyle="1" w:styleId="1110">
    <w:name w:val="样式111"/>
    <w:rsid w:val="003E1D2A"/>
    <w:pPr>
      <w:adjustRightInd w:val="0"/>
      <w:snapToGrid w:val="0"/>
      <w:jc w:val="both"/>
    </w:pPr>
    <w:rPr>
      <w:rFonts w:ascii="宋体" w:eastAsia="宋体" w:hAnsi="Times New Roman" w:cs="Times New Roman"/>
      <w:kern w:val="0"/>
      <w:szCs w:val="20"/>
    </w:rPr>
  </w:style>
  <w:style w:type="paragraph" w:customStyle="1" w:styleId="afa">
    <w:name w:val="三级条标题"/>
    <w:basedOn w:val="afb"/>
    <w:next w:val="a"/>
    <w:qFormat/>
    <w:rsid w:val="003E1D2A"/>
    <w:pPr>
      <w:numPr>
        <w:ilvl w:val="0"/>
      </w:numPr>
      <w:tabs>
        <w:tab w:val="left" w:pos="360"/>
      </w:tabs>
      <w:ind w:left="540"/>
      <w:outlineLvl w:val="4"/>
    </w:pPr>
  </w:style>
  <w:style w:type="paragraph" w:customStyle="1" w:styleId="afb">
    <w:name w:val="二级条标题"/>
    <w:basedOn w:val="afc"/>
    <w:next w:val="a"/>
    <w:qFormat/>
    <w:rsid w:val="003E1D2A"/>
    <w:pPr>
      <w:numPr>
        <w:ilvl w:val="3"/>
      </w:numPr>
      <w:outlineLvl w:val="3"/>
    </w:pPr>
  </w:style>
  <w:style w:type="paragraph" w:customStyle="1" w:styleId="afc">
    <w:name w:val="一级条标题"/>
    <w:next w:val="a"/>
    <w:qFormat/>
    <w:rsid w:val="003E1D2A"/>
    <w:pPr>
      <w:outlineLvl w:val="2"/>
    </w:pPr>
    <w:rPr>
      <w:rFonts w:ascii="Times New Roman" w:eastAsia="黑体" w:hAnsi="Times New Roman"/>
      <w:kern w:val="0"/>
    </w:rPr>
  </w:style>
  <w:style w:type="paragraph" w:customStyle="1" w:styleId="afd">
    <w:name w:val="表格标题"/>
    <w:basedOn w:val="a"/>
    <w:next w:val="a"/>
    <w:qFormat/>
    <w:rsid w:val="00B94DFF"/>
    <w:pPr>
      <w:adjustRightInd w:val="0"/>
      <w:snapToGrid w:val="0"/>
      <w:spacing w:before="120" w:after="120"/>
      <w:jc w:val="center"/>
    </w:pPr>
    <w:rPr>
      <w:rFonts w:eastAsia="黑体"/>
      <w:b/>
      <w:sz w:val="24"/>
    </w:rPr>
  </w:style>
  <w:style w:type="character" w:customStyle="1" w:styleId="7pt">
    <w:name w:val="正文文本 + 7 pt"/>
    <w:aliases w:val="正文文本 + Sylfaen,6 pt,7 pt,间距 2 pt,正文文本 + Palatino Linotype,4 pt,间距 11 pt"/>
    <w:qFormat/>
    <w:rsid w:val="000E02C5"/>
    <w:rPr>
      <w:rFonts w:ascii="MingLiU" w:eastAsia="MingLiU" w:hAnsi="MingLiU" w:cs="MingLiU"/>
      <w:color w:val="000000"/>
      <w:spacing w:val="10"/>
      <w:w w:val="100"/>
      <w:position w:val="0"/>
      <w:sz w:val="14"/>
      <w:szCs w:val="14"/>
      <w:shd w:val="clear" w:color="auto" w:fill="FFFFFF"/>
      <w:lang w:val="zh-CN" w:eastAsia="zh-CN" w:bidi="zh-CN"/>
    </w:rPr>
  </w:style>
  <w:style w:type="paragraph" w:customStyle="1" w:styleId="21">
    <w:name w:val="正文文本2"/>
    <w:basedOn w:val="a"/>
    <w:qFormat/>
    <w:rsid w:val="000E02C5"/>
    <w:pPr>
      <w:shd w:val="clear" w:color="auto" w:fill="FFFFFF"/>
      <w:spacing w:before="360" w:after="3540" w:line="306" w:lineRule="exact"/>
      <w:ind w:hanging="220"/>
      <w:jc w:val="distribute"/>
    </w:pPr>
    <w:rPr>
      <w:rFonts w:ascii="MingLiU" w:eastAsia="MingLiU" w:hAnsi="MingLiU" w:cs="Times New Roman"/>
      <w:spacing w:val="10"/>
      <w:kern w:val="0"/>
      <w:sz w:val="19"/>
      <w:szCs w:val="19"/>
    </w:rPr>
  </w:style>
  <w:style w:type="character" w:customStyle="1" w:styleId="65pt">
    <w:name w:val="正文文本 + 6.5 pt"/>
    <w:qFormat/>
    <w:rsid w:val="000E02C5"/>
    <w:rPr>
      <w:rFonts w:ascii="MingLiU" w:eastAsia="MingLiU" w:hAnsi="MingLiU" w:cs="MingLiU"/>
      <w:color w:val="000000"/>
      <w:spacing w:val="10"/>
      <w:w w:val="100"/>
      <w:position w:val="0"/>
      <w:sz w:val="13"/>
      <w:szCs w:val="13"/>
      <w:u w:val="none"/>
      <w:shd w:val="clear" w:color="auto" w:fill="FFFFFF"/>
      <w:lang w:val="zh-CN" w:eastAsia="zh-CN" w:bidi="zh-CN"/>
    </w:rPr>
  </w:style>
  <w:style w:type="character" w:customStyle="1" w:styleId="27">
    <w:name w:val="正文文本 (27)_"/>
    <w:link w:val="270"/>
    <w:qFormat/>
    <w:rsid w:val="000E02C5"/>
    <w:rPr>
      <w:rFonts w:ascii="MingLiU" w:eastAsia="MingLiU" w:hAnsi="MingLiU" w:cs="MingLiU"/>
      <w:spacing w:val="10"/>
      <w:sz w:val="19"/>
      <w:szCs w:val="19"/>
      <w:shd w:val="clear" w:color="auto" w:fill="FFFFFF"/>
    </w:rPr>
  </w:style>
  <w:style w:type="paragraph" w:customStyle="1" w:styleId="270">
    <w:name w:val="正文文本 (27)"/>
    <w:basedOn w:val="a"/>
    <w:link w:val="27"/>
    <w:qFormat/>
    <w:rsid w:val="000E02C5"/>
    <w:pPr>
      <w:shd w:val="clear" w:color="auto" w:fill="FFFFFF"/>
      <w:spacing w:before="660" w:line="313" w:lineRule="exact"/>
      <w:jc w:val="left"/>
    </w:pPr>
    <w:rPr>
      <w:rFonts w:ascii="MingLiU" w:eastAsia="MingLiU" w:hAnsi="MingLiU" w:cs="MingLiU"/>
      <w:spacing w:val="10"/>
      <w:sz w:val="19"/>
      <w:szCs w:val="19"/>
    </w:rPr>
  </w:style>
  <w:style w:type="paragraph" w:styleId="13">
    <w:name w:val="index 1"/>
    <w:basedOn w:val="a"/>
    <w:next w:val="a"/>
    <w:autoRedefine/>
    <w:uiPriority w:val="99"/>
    <w:semiHidden/>
    <w:unhideWhenUsed/>
    <w:rsid w:val="000E02C5"/>
  </w:style>
  <w:style w:type="character" w:customStyle="1" w:styleId="14">
    <w:name w:val="正文1"/>
    <w:basedOn w:val="a0"/>
    <w:rsid w:val="000E02C5"/>
    <w:rPr>
      <w:rFonts w:ascii="宋体" w:eastAsia="宋体" w:hAnsi="宋体" w:hint="eastAsia"/>
      <w:sz w:val="22"/>
      <w:szCs w:val="22"/>
    </w:rPr>
  </w:style>
  <w:style w:type="paragraph" w:customStyle="1" w:styleId="afe">
    <w:name w:val="目次、标准名称标题"/>
    <w:basedOn w:val="a"/>
    <w:next w:val="a"/>
    <w:rsid w:val="000E02C5"/>
    <w:pPr>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character" w:customStyle="1" w:styleId="zhenwen14">
    <w:name w:val="zhenwen14"/>
    <w:basedOn w:val="a0"/>
    <w:rsid w:val="000E02C5"/>
  </w:style>
  <w:style w:type="character" w:customStyle="1" w:styleId="fontstyle01">
    <w:name w:val="fontstyle01"/>
    <w:basedOn w:val="a0"/>
    <w:rsid w:val="000E02C5"/>
    <w:rPr>
      <w:rFonts w:ascii="宋体" w:eastAsia="宋体" w:hAnsi="宋体" w:hint="eastAsia"/>
      <w:b w:val="0"/>
      <w:bCs w:val="0"/>
      <w:i w:val="0"/>
      <w:iCs w:val="0"/>
      <w:color w:val="000000"/>
      <w:sz w:val="18"/>
      <w:szCs w:val="18"/>
    </w:rPr>
  </w:style>
  <w:style w:type="character" w:customStyle="1" w:styleId="zw1">
    <w:name w:val="zw1"/>
    <w:basedOn w:val="a0"/>
    <w:rsid w:val="000E02C5"/>
    <w:rPr>
      <w:rFonts w:ascii="宋体" w:eastAsia="宋体" w:hAnsi="宋体" w:hint="eastAsia"/>
      <w:sz w:val="22"/>
      <w:szCs w:val="22"/>
    </w:rPr>
  </w:style>
  <w:style w:type="paragraph" w:styleId="22">
    <w:name w:val="toc 2"/>
    <w:basedOn w:val="a"/>
    <w:next w:val="a"/>
    <w:autoRedefine/>
    <w:uiPriority w:val="39"/>
    <w:unhideWhenUsed/>
    <w:rsid w:val="00515E8A"/>
    <w:pPr>
      <w:ind w:leftChars="200" w:left="200"/>
    </w:pPr>
    <w:rPr>
      <w:sz w:val="24"/>
    </w:rPr>
  </w:style>
  <w:style w:type="paragraph" w:customStyle="1" w:styleId="Style2">
    <w:name w:val="_Style 2"/>
    <w:basedOn w:val="a"/>
    <w:uiPriority w:val="34"/>
    <w:qFormat/>
    <w:rsid w:val="00481EDB"/>
    <w:pPr>
      <w:ind w:firstLineChars="200" w:firstLine="420"/>
    </w:pPr>
  </w:style>
  <w:style w:type="paragraph" w:customStyle="1" w:styleId="Style3">
    <w:name w:val="_Style 3"/>
    <w:basedOn w:val="a"/>
    <w:uiPriority w:val="34"/>
    <w:qFormat/>
    <w:rsid w:val="00481EDB"/>
    <w:pPr>
      <w:ind w:firstLineChars="200" w:firstLine="420"/>
    </w:pPr>
    <w:rPr>
      <w:rFonts w:ascii="Calibri" w:eastAsia="宋体" w:hAnsi="Calibri" w:cs="Times New Roman"/>
    </w:rPr>
  </w:style>
  <w:style w:type="paragraph" w:styleId="aff">
    <w:name w:val="Title"/>
    <w:basedOn w:val="a"/>
    <w:next w:val="a"/>
    <w:link w:val="Charb"/>
    <w:qFormat/>
    <w:rsid w:val="00481EDB"/>
    <w:pPr>
      <w:spacing w:before="80" w:after="80"/>
      <w:jc w:val="center"/>
      <w:outlineLvl w:val="0"/>
    </w:pPr>
    <w:rPr>
      <w:rFonts w:ascii="Segoe UI" w:eastAsia="宋体" w:hAnsi="Segoe UI" w:cs="Segoe UI"/>
      <w:b/>
      <w:bCs/>
      <w:w w:val="90"/>
      <w:kern w:val="0"/>
      <w:sz w:val="24"/>
      <w:szCs w:val="24"/>
    </w:rPr>
  </w:style>
  <w:style w:type="character" w:customStyle="1" w:styleId="Charb">
    <w:name w:val="标题 Char"/>
    <w:basedOn w:val="a0"/>
    <w:link w:val="aff"/>
    <w:rsid w:val="00481EDB"/>
    <w:rPr>
      <w:rFonts w:ascii="Segoe UI" w:eastAsia="宋体" w:hAnsi="Segoe UI" w:cs="Segoe UI"/>
      <w:b/>
      <w:bCs/>
      <w:w w:val="90"/>
      <w:kern w:val="0"/>
      <w:sz w:val="24"/>
      <w:szCs w:val="24"/>
    </w:rPr>
  </w:style>
  <w:style w:type="paragraph" w:customStyle="1" w:styleId="aff0">
    <w:name w:val="样式一"/>
    <w:basedOn w:val="a"/>
    <w:qFormat/>
    <w:rsid w:val="00B94DFF"/>
    <w:pPr>
      <w:outlineLvl w:val="0"/>
    </w:pPr>
    <w:rPr>
      <w:rFonts w:ascii="Times New Roman" w:hAnsi="Times New Roman" w:cs="Times New Roman"/>
      <w:b/>
      <w:sz w:val="28"/>
      <w:szCs w:val="28"/>
    </w:rPr>
  </w:style>
  <w:style w:type="paragraph" w:customStyle="1" w:styleId="aff1">
    <w:name w:val="标题一"/>
    <w:basedOn w:val="1"/>
    <w:qFormat/>
    <w:rsid w:val="00B94DFF"/>
    <w:pPr>
      <w:jc w:val="left"/>
    </w:pPr>
    <w:rPr>
      <w:rFonts w:ascii="Times New Roman" w:eastAsia="宋体" w:hAnsi="Times New Roman"/>
      <w:b/>
      <w:sz w:val="28"/>
      <w:szCs w:val="28"/>
    </w:rPr>
  </w:style>
  <w:style w:type="paragraph" w:customStyle="1" w:styleId="aff2">
    <w:name w:val="标题二"/>
    <w:basedOn w:val="2"/>
    <w:qFormat/>
    <w:rsid w:val="00C05B82"/>
    <w:pPr>
      <w:spacing w:before="60" w:after="60"/>
      <w:ind w:firstLineChars="200" w:firstLine="200"/>
    </w:pPr>
    <w:rPr>
      <w:rFonts w:eastAsia="宋体"/>
      <w:sz w:val="28"/>
      <w:szCs w:val="28"/>
    </w:rPr>
  </w:style>
  <w:style w:type="paragraph" w:styleId="30">
    <w:name w:val="toc 3"/>
    <w:basedOn w:val="a"/>
    <w:next w:val="a"/>
    <w:autoRedefine/>
    <w:uiPriority w:val="39"/>
    <w:unhideWhenUsed/>
    <w:rsid w:val="0063733E"/>
    <w:pPr>
      <w:ind w:leftChars="200" w:left="200"/>
    </w:pPr>
    <w:rPr>
      <w:sz w:val="24"/>
    </w:rPr>
  </w:style>
  <w:style w:type="paragraph" w:customStyle="1" w:styleId="aff3">
    <w:name w:val="标题三"/>
    <w:basedOn w:val="3"/>
    <w:qFormat/>
    <w:rsid w:val="00C05B82"/>
    <w:pPr>
      <w:spacing w:before="60" w:after="60"/>
      <w:ind w:firstLineChars="0" w:firstLine="0"/>
      <w:jc w:val="center"/>
      <w:outlineLvl w:val="0"/>
    </w:pPr>
    <w:rPr>
      <w:rFonts w:eastAsia="宋体"/>
      <w:b/>
      <w:sz w:val="24"/>
    </w:rPr>
  </w:style>
  <w:style w:type="character" w:customStyle="1" w:styleId="4pt">
    <w:name w:val="正文文本 + 4 pt"/>
    <w:basedOn w:val="af0"/>
    <w:rsid w:val="003D0A1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en-US"/>
    </w:rPr>
  </w:style>
  <w:style w:type="character" w:customStyle="1" w:styleId="4ArialUnicodeMS">
    <w:name w:val="表格标题 (4) + Arial Unicode MS"/>
    <w:aliases w:val="9 pt,非粗体,正文文本 (22) + Arial Unicode MS,正文文本 (22) + 4 pt,间距 -1 pt"/>
    <w:basedOn w:val="a0"/>
    <w:rsid w:val="00BF59CF"/>
    <w:rPr>
      <w:rFonts w:ascii="Arial Unicode MS" w:eastAsia="Arial Unicode MS" w:hAnsi="Arial Unicode MS" w:cs="Arial Unicode MS"/>
      <w:b/>
      <w:bCs/>
      <w:color w:val="000000"/>
      <w:spacing w:val="0"/>
      <w:w w:val="100"/>
      <w:position w:val="0"/>
      <w:sz w:val="18"/>
      <w:szCs w:val="18"/>
      <w:shd w:val="clear" w:color="auto" w:fill="FFFFFF"/>
      <w:lang w:val="en-US"/>
    </w:rPr>
  </w:style>
  <w:style w:type="character" w:customStyle="1" w:styleId="220">
    <w:name w:val="正文文本 (22)_"/>
    <w:basedOn w:val="a0"/>
    <w:link w:val="221"/>
    <w:rsid w:val="00BF59CF"/>
    <w:rPr>
      <w:rFonts w:ascii="MingLiU" w:eastAsia="MingLiU" w:hAnsi="MingLiU" w:cs="MingLiU"/>
      <w:b/>
      <w:bCs/>
      <w:sz w:val="23"/>
      <w:szCs w:val="23"/>
      <w:shd w:val="clear" w:color="auto" w:fill="FFFFFF"/>
    </w:rPr>
  </w:style>
  <w:style w:type="paragraph" w:customStyle="1" w:styleId="221">
    <w:name w:val="正文文本 (22)"/>
    <w:basedOn w:val="a"/>
    <w:link w:val="220"/>
    <w:rsid w:val="00BF59CF"/>
    <w:pPr>
      <w:shd w:val="clear" w:color="auto" w:fill="FFFFFF"/>
      <w:spacing w:line="443" w:lineRule="exact"/>
      <w:ind w:hanging="920"/>
      <w:jc w:val="left"/>
    </w:pPr>
    <w:rPr>
      <w:rFonts w:ascii="MingLiU" w:eastAsia="MingLiU" w:hAnsi="MingLiU" w:cs="MingLiU"/>
      <w:b/>
      <w:bCs/>
      <w:sz w:val="23"/>
      <w:szCs w:val="23"/>
    </w:rPr>
  </w:style>
  <w:style w:type="character" w:customStyle="1" w:styleId="SimSun">
    <w:name w:val="正文文本 + SimSun"/>
    <w:aliases w:val="10.5 pt,正文文本 (22) + SimSun"/>
    <w:basedOn w:val="af0"/>
    <w:rsid w:val="002734B9"/>
    <w:rPr>
      <w:rFonts w:ascii="宋体" w:eastAsia="宋体" w:hAnsi="宋体" w:cs="宋体"/>
      <w:b w:val="0"/>
      <w:bCs w:val="0"/>
      <w:i w:val="0"/>
      <w:iCs w:val="0"/>
      <w:smallCaps w:val="0"/>
      <w:strike w:val="0"/>
      <w:color w:val="000000"/>
      <w:spacing w:val="0"/>
      <w:w w:val="100"/>
      <w:position w:val="0"/>
      <w:sz w:val="21"/>
      <w:szCs w:val="21"/>
      <w:u w:val="none"/>
      <w:shd w:val="clear" w:color="auto" w:fill="FFFFFF"/>
      <w:lang w:val="zh-TW"/>
    </w:rPr>
  </w:style>
  <w:style w:type="character" w:customStyle="1" w:styleId="31">
    <w:name w:val="正文文本3"/>
    <w:basedOn w:val="af0"/>
    <w:rsid w:val="00744D22"/>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en-US"/>
    </w:rPr>
  </w:style>
  <w:style w:type="character" w:customStyle="1" w:styleId="10pt">
    <w:name w:val="正文文本 + 10 pt"/>
    <w:aliases w:val="斜体,间距 0 pt,正文文本 + 7.5 pt"/>
    <w:basedOn w:val="af0"/>
    <w:rsid w:val="00B76060"/>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rPr>
  </w:style>
  <w:style w:type="paragraph" w:styleId="40">
    <w:name w:val="toc 4"/>
    <w:basedOn w:val="a"/>
    <w:next w:val="a"/>
    <w:autoRedefine/>
    <w:uiPriority w:val="39"/>
    <w:unhideWhenUsed/>
    <w:rsid w:val="001040ED"/>
    <w:pPr>
      <w:ind w:leftChars="600" w:left="1260"/>
    </w:pPr>
  </w:style>
  <w:style w:type="paragraph" w:styleId="50">
    <w:name w:val="toc 5"/>
    <w:basedOn w:val="a"/>
    <w:next w:val="a"/>
    <w:autoRedefine/>
    <w:uiPriority w:val="39"/>
    <w:unhideWhenUsed/>
    <w:rsid w:val="001040ED"/>
    <w:pPr>
      <w:ind w:leftChars="800" w:left="1680"/>
    </w:pPr>
  </w:style>
  <w:style w:type="paragraph" w:styleId="60">
    <w:name w:val="toc 6"/>
    <w:basedOn w:val="a"/>
    <w:next w:val="a"/>
    <w:autoRedefine/>
    <w:uiPriority w:val="39"/>
    <w:unhideWhenUsed/>
    <w:rsid w:val="001040ED"/>
    <w:pPr>
      <w:ind w:leftChars="1000" w:left="2100"/>
    </w:pPr>
  </w:style>
  <w:style w:type="paragraph" w:styleId="70">
    <w:name w:val="toc 7"/>
    <w:basedOn w:val="a"/>
    <w:next w:val="a"/>
    <w:autoRedefine/>
    <w:uiPriority w:val="39"/>
    <w:unhideWhenUsed/>
    <w:rsid w:val="001040ED"/>
    <w:pPr>
      <w:ind w:leftChars="1200" w:left="2520"/>
    </w:pPr>
  </w:style>
  <w:style w:type="paragraph" w:styleId="80">
    <w:name w:val="toc 8"/>
    <w:basedOn w:val="a"/>
    <w:next w:val="a"/>
    <w:autoRedefine/>
    <w:uiPriority w:val="39"/>
    <w:unhideWhenUsed/>
    <w:rsid w:val="001040ED"/>
    <w:pPr>
      <w:ind w:leftChars="1400" w:left="2940"/>
    </w:pPr>
  </w:style>
  <w:style w:type="paragraph" w:styleId="90">
    <w:name w:val="toc 9"/>
    <w:basedOn w:val="a"/>
    <w:next w:val="a"/>
    <w:autoRedefine/>
    <w:uiPriority w:val="39"/>
    <w:unhideWhenUsed/>
    <w:rsid w:val="001040ED"/>
    <w:pPr>
      <w:ind w:leftChars="1600" w:left="3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qFormat="1"/>
    <w:lsdException w:name="footer" w:qFormat="1"/>
    <w:lsdException w:name="caption" w:uiPriority="0" w:qFormat="1"/>
    <w:lsdException w:name="annotation reference" w:uiPriority="0"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Hyperlink" w:qFormat="1"/>
    <w:lsdException w:name="Strong" w:semiHidden="0" w:uiPriority="0" w:unhideWhenUsed="0" w:qFormat="1"/>
    <w:lsdException w:name="Emphasis" w:semiHidden="0" w:uiPriority="0" w:unhideWhenUsed="0" w:qFormat="1"/>
    <w:lsdException w:name="Document Map" w:uiPriority="0" w:qFormat="1"/>
    <w:lsdException w:name="Plain Text" w:uiPriority="0"/>
    <w:lsdException w:name="Normal (Web)" w:qFormat="1"/>
    <w:lsdException w:name="annotation subject" w:uiPriority="0"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aliases w:val="章,章标题 1,b1,章节标题,H1,标题 11,-*+,h1,1st level,Section Head,l1,1,my标题1,章标题,标题 1.,标题 1章节,第一部分,1.标题 1,Main Heading,Header1,Heading 0,Fab-1,PIM 1,标书1,章节,文章标题,Heading 1 (NN),1标题 1,heading 1,IPMT Fax Heading,Spec 1,预评价,标题 1 预评价,Heading 1 PEP,Head 1wsa"/>
    <w:basedOn w:val="a"/>
    <w:next w:val="2"/>
    <w:link w:val="1Char"/>
    <w:autoRedefine/>
    <w:qFormat/>
    <w:rsid w:val="007D0F83"/>
    <w:pPr>
      <w:keepNext/>
      <w:keepLines/>
      <w:widowControl/>
      <w:numPr>
        <w:numId w:val="1"/>
      </w:numPr>
      <w:overflowPunct w:val="0"/>
      <w:adjustRightInd w:val="0"/>
      <w:snapToGrid w:val="0"/>
      <w:spacing w:before="240"/>
      <w:ind w:left="0"/>
      <w:jc w:val="center"/>
      <w:textAlignment w:val="center"/>
      <w:outlineLvl w:val="0"/>
    </w:pPr>
    <w:rPr>
      <w:rFonts w:ascii="黑体" w:eastAsia="黑体" w:hAnsi="黑体" w:cs="Arial"/>
      <w:noProof/>
      <w:snapToGrid w:val="0"/>
      <w:kern w:val="0"/>
      <w:sz w:val="32"/>
      <w:szCs w:val="36"/>
    </w:rPr>
  </w:style>
  <w:style w:type="paragraph" w:styleId="2">
    <w:name w:val="heading 2"/>
    <w:aliases w:val="节,2,节标题 1.1,h2,l2,2nd level,Titre2,Header 2,节标题,一级节名,标题2,1.1标题 2,Heading 2 Hidden,Heading 2 CCBS,Titre3,H2,HD2,b2,1.1标题2,1.1,Major,标题 2 Char Char Char,标题 2 Char Char Char Char,标题 21,标题 2 Char Char Char1,标题 2 Char Char Char Char1 Char,标题 2 Char Char"/>
    <w:basedOn w:val="a"/>
    <w:next w:val="3"/>
    <w:link w:val="2Char"/>
    <w:autoRedefine/>
    <w:qFormat/>
    <w:rsid w:val="002144E3"/>
    <w:pPr>
      <w:widowControl/>
      <w:overflowPunct w:val="0"/>
      <w:adjustRightInd w:val="0"/>
      <w:snapToGrid w:val="0"/>
      <w:spacing w:line="320" w:lineRule="exact"/>
      <w:textAlignment w:val="baseline"/>
      <w:outlineLvl w:val="1"/>
    </w:pPr>
    <w:rPr>
      <w:rFonts w:ascii="Cambria" w:hAnsi="Cambria"/>
      <w:b/>
      <w:sz w:val="24"/>
      <w:szCs w:val="24"/>
    </w:rPr>
  </w:style>
  <w:style w:type="paragraph" w:styleId="3">
    <w:name w:val="heading 3"/>
    <w:aliases w:val="条,条标题1.1.1,3,h3,3rd level,H3,l3,CT,1.1.1,标题03,Section,PA Minor Section,标题 3 Char Char,三级标题，黑粗，四号，序号,Heading 3 - old,三级标题,h3 sub heading,二级节标题,标题3,style3,一,小标题,小节标题,标题 3 Char1,标题 3 Char Char Char Char,标题 3 Char Char Char Char Char,标2,heading 3- body"/>
    <w:basedOn w:val="a"/>
    <w:next w:val="a"/>
    <w:link w:val="3Char"/>
    <w:qFormat/>
    <w:rsid w:val="007D0F83"/>
    <w:pPr>
      <w:widowControl/>
      <w:numPr>
        <w:ilvl w:val="2"/>
        <w:numId w:val="1"/>
      </w:numPr>
      <w:overflowPunct w:val="0"/>
      <w:adjustRightInd w:val="0"/>
      <w:snapToGrid w:val="0"/>
      <w:spacing w:before="120"/>
      <w:ind w:left="0" w:firstLineChars="200" w:firstLine="200"/>
      <w:jc w:val="left"/>
      <w:textAlignment w:val="baseline"/>
      <w:outlineLvl w:val="2"/>
    </w:pPr>
    <w:rPr>
      <w:rFonts w:ascii="Times New Roman" w:eastAsia="黑体" w:hAnsi="Times New Roman" w:cs="Arial"/>
      <w:noProof/>
      <w:sz w:val="28"/>
      <w:szCs w:val="24"/>
    </w:rPr>
  </w:style>
  <w:style w:type="paragraph" w:styleId="4">
    <w:name w:val="heading 4"/>
    <w:aliases w:val="款,款标题1.1.1.1,1.1.1.1,H4,style4,bullet,bl,bb,PIM 4,h4,Heading Four,sect 1.2.3.4,Ref Heading 1,rh1,sect 1.2.3.41,Ref Heading 11,rh11,sect 1.2.3.42,Ref Heading 12,rh12,sect 1.2.3.411,Ref Heading 111,rh111,sect 1.2.3.43,Ref Heading 13,rh13"/>
    <w:basedOn w:val="a"/>
    <w:next w:val="a"/>
    <w:link w:val="4Char"/>
    <w:qFormat/>
    <w:rsid w:val="007D0F83"/>
    <w:pPr>
      <w:widowControl/>
      <w:numPr>
        <w:ilvl w:val="3"/>
        <w:numId w:val="1"/>
      </w:numPr>
      <w:overflowPunct w:val="0"/>
      <w:adjustRightInd w:val="0"/>
      <w:snapToGrid w:val="0"/>
      <w:spacing w:before="120"/>
      <w:ind w:left="0" w:firstLineChars="200" w:firstLine="200"/>
      <w:jc w:val="left"/>
      <w:textAlignment w:val="baseline"/>
      <w:outlineLvl w:val="3"/>
    </w:pPr>
    <w:rPr>
      <w:rFonts w:ascii="Times New Roman" w:eastAsia="黑体" w:hAnsi="Times New Roman" w:cs="Arial"/>
      <w:noProof/>
      <w:kern w:val="0"/>
      <w:sz w:val="28"/>
      <w:szCs w:val="24"/>
    </w:rPr>
  </w:style>
  <w:style w:type="paragraph" w:styleId="5">
    <w:name w:val="heading 5"/>
    <w:aliases w:val="表题,图表标,标题1.1.1.1.1,第四层条,标题 5表头,MB5,Block Label,标题（一）,五,H5,H51,法律法规,标题 5(表格),标题 5 Char Char,前言,一级项,Ò»¼¶Ïî,表头文字"/>
    <w:basedOn w:val="a"/>
    <w:next w:val="a"/>
    <w:link w:val="5Char"/>
    <w:qFormat/>
    <w:rsid w:val="007D0F83"/>
    <w:pPr>
      <w:widowControl/>
      <w:numPr>
        <w:ilvl w:val="4"/>
        <w:numId w:val="1"/>
      </w:numPr>
      <w:overflowPunct w:val="0"/>
      <w:adjustRightInd w:val="0"/>
      <w:snapToGrid w:val="0"/>
      <w:spacing w:before="120" w:afterLines="20" w:line="480" w:lineRule="exact"/>
      <w:ind w:rightChars="100" w:right="100" w:firstLine="0"/>
      <w:jc w:val="left"/>
      <w:textAlignment w:val="baseline"/>
      <w:outlineLvl w:val="4"/>
    </w:pPr>
    <w:rPr>
      <w:rFonts w:ascii="Times New Roman" w:eastAsia="宋体" w:hAnsi="Times New Roman" w:cs="Arial"/>
      <w:b/>
      <w:noProof/>
      <w:kern w:val="0"/>
      <w:sz w:val="28"/>
      <w:szCs w:val="24"/>
    </w:rPr>
  </w:style>
  <w:style w:type="paragraph" w:styleId="6">
    <w:name w:val="heading 6"/>
    <w:aliases w:val="标题8,表标题1,H6,H61,技术文件,第五层条,标题 6，图标题,图标题,标题1.1.1.1.1.1,二级项"/>
    <w:basedOn w:val="a"/>
    <w:next w:val="a"/>
    <w:link w:val="6Char"/>
    <w:qFormat/>
    <w:rsid w:val="007D0F83"/>
    <w:pPr>
      <w:widowControl/>
      <w:numPr>
        <w:ilvl w:val="5"/>
        <w:numId w:val="1"/>
      </w:numPr>
      <w:overflowPunct w:val="0"/>
      <w:adjustRightInd w:val="0"/>
      <w:snapToGrid w:val="0"/>
      <w:spacing w:before="120" w:afterLines="20" w:line="480" w:lineRule="exact"/>
      <w:jc w:val="left"/>
      <w:textAlignment w:val="baseline"/>
      <w:outlineLvl w:val="5"/>
    </w:pPr>
    <w:rPr>
      <w:rFonts w:ascii="Times New Roman" w:eastAsia="宋体" w:hAnsi="Times New Roman" w:cs="Arial"/>
      <w:noProof/>
      <w:kern w:val="0"/>
      <w:sz w:val="28"/>
      <w:szCs w:val="24"/>
    </w:rPr>
  </w:style>
  <w:style w:type="paragraph" w:styleId="7">
    <w:name w:val="heading 7"/>
    <w:aliases w:val="H7,H71,项目文件,表标题,项标题(1),无级项"/>
    <w:basedOn w:val="a"/>
    <w:next w:val="a"/>
    <w:link w:val="7Char"/>
    <w:qFormat/>
    <w:rsid w:val="007D0F83"/>
    <w:pPr>
      <w:numPr>
        <w:ilvl w:val="6"/>
        <w:numId w:val="1"/>
      </w:numPr>
      <w:overflowPunct w:val="0"/>
      <w:adjustRightInd w:val="0"/>
      <w:snapToGrid w:val="0"/>
      <w:spacing w:before="120" w:afterLines="20" w:line="480" w:lineRule="exact"/>
      <w:ind w:firstLine="0"/>
      <w:jc w:val="left"/>
      <w:textAlignment w:val="baseline"/>
      <w:outlineLvl w:val="6"/>
    </w:pPr>
    <w:rPr>
      <w:rFonts w:ascii="Times New Roman" w:eastAsia="宋体" w:hAnsi="Times New Roman" w:cs="Arial"/>
      <w:noProof/>
      <w:kern w:val="0"/>
      <w:sz w:val="28"/>
      <w:szCs w:val="24"/>
    </w:rPr>
  </w:style>
  <w:style w:type="paragraph" w:styleId="8">
    <w:name w:val="heading 8"/>
    <w:aliases w:val="H8,目标题 1),注"/>
    <w:basedOn w:val="a"/>
    <w:next w:val="a"/>
    <w:link w:val="8Char"/>
    <w:qFormat/>
    <w:rsid w:val="007D0F83"/>
    <w:pPr>
      <w:numPr>
        <w:ilvl w:val="7"/>
        <w:numId w:val="1"/>
      </w:numPr>
      <w:overflowPunct w:val="0"/>
      <w:adjustRightInd w:val="0"/>
      <w:snapToGrid w:val="0"/>
      <w:spacing w:before="120" w:afterLines="20" w:line="480" w:lineRule="exact"/>
      <w:ind w:firstLine="0"/>
      <w:jc w:val="left"/>
      <w:textAlignment w:val="baseline"/>
      <w:outlineLvl w:val="7"/>
    </w:pPr>
    <w:rPr>
      <w:rFonts w:ascii="Times New Roman" w:eastAsia="宋体" w:hAnsi="Times New Roman" w:cs="Arial"/>
      <w:noProof/>
      <w:kern w:val="0"/>
      <w:sz w:val="28"/>
      <w:szCs w:val="24"/>
    </w:rPr>
  </w:style>
  <w:style w:type="paragraph" w:styleId="9">
    <w:name w:val="heading 9"/>
    <w:aliases w:val="H9,干标题(a)"/>
    <w:basedOn w:val="a"/>
    <w:next w:val="a"/>
    <w:link w:val="9Char"/>
    <w:qFormat/>
    <w:rsid w:val="007D0F83"/>
    <w:pPr>
      <w:numPr>
        <w:ilvl w:val="8"/>
        <w:numId w:val="1"/>
      </w:numPr>
      <w:overflowPunct w:val="0"/>
      <w:adjustRightInd w:val="0"/>
      <w:snapToGrid w:val="0"/>
      <w:spacing w:before="120" w:afterLines="20" w:line="480" w:lineRule="exact"/>
      <w:ind w:firstLine="0"/>
      <w:jc w:val="left"/>
      <w:textAlignment w:val="baseline"/>
      <w:outlineLvl w:val="8"/>
    </w:pPr>
    <w:rPr>
      <w:rFonts w:ascii="Times New Roman" w:eastAsia="宋体" w:hAnsi="Times New Roman" w:cs="Arial"/>
      <w:noProof/>
      <w:kern w:val="0"/>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aliases w:val="条 Char,条标题1.1.1 Char,3 Char,h3 Char,3rd level Char,H3 Char,l3 Char,CT Char,1.1.1 Char,标题03 Char,Section Char,PA Minor Section Char,标题 3 Char Char Char,三级标题，黑粗，四号，序号 Char,Heading 3 - old Char,三级标题 Char,h3 sub heading Char,二级节标题 Char,标题3 Char"/>
    <w:basedOn w:val="a0"/>
    <w:link w:val="3"/>
    <w:rsid w:val="007D0F83"/>
    <w:rPr>
      <w:rFonts w:ascii="Times New Roman" w:eastAsia="黑体" w:hAnsi="Times New Roman" w:cs="Arial"/>
      <w:noProof/>
      <w:sz w:val="28"/>
      <w:szCs w:val="24"/>
    </w:rPr>
  </w:style>
  <w:style w:type="character" w:customStyle="1" w:styleId="2Char">
    <w:name w:val="标题 2 Char"/>
    <w:aliases w:val="节 Char,2 Char,节标题 1.1 Char,h2 Char,l2 Char,2nd level Char,Titre2 Char,Header 2 Char,节标题 Char,一级节名 Char,标题2 Char,1.1标题 2 Char,Heading 2 Hidden Char,Heading 2 CCBS Char,Titre3 Char,H2 Char,HD2 Char,b2 Char,1.1标题2 Char,1.1 Char,Major Char"/>
    <w:basedOn w:val="a0"/>
    <w:link w:val="2"/>
    <w:qFormat/>
    <w:rsid w:val="002144E3"/>
    <w:rPr>
      <w:rFonts w:ascii="Cambria" w:hAnsi="Cambria"/>
      <w:b/>
      <w:sz w:val="24"/>
      <w:szCs w:val="24"/>
    </w:rPr>
  </w:style>
  <w:style w:type="character" w:customStyle="1" w:styleId="1Char">
    <w:name w:val="标题 1 Char"/>
    <w:aliases w:val="章 Char,章标题 1 Char,b1 Char,章节标题 Char,H1 Char,标题 11 Char,-*+ Char,h1 Char,1st level Char,Section Head Char,l1 Char,1 Char,my标题1 Char,章标题 Char,标题 1. Char,标题 1章节 Char,第一部分 Char,1.标题 1 Char,Main Heading Char,Header1 Char,Heading 0 Char,Fab-1 Char"/>
    <w:basedOn w:val="a0"/>
    <w:link w:val="1"/>
    <w:rsid w:val="007D0F83"/>
    <w:rPr>
      <w:rFonts w:ascii="黑体" w:eastAsia="黑体" w:hAnsi="黑体" w:cs="Arial"/>
      <w:noProof/>
      <w:snapToGrid w:val="0"/>
      <w:kern w:val="0"/>
      <w:sz w:val="32"/>
      <w:szCs w:val="36"/>
    </w:rPr>
  </w:style>
  <w:style w:type="character" w:customStyle="1" w:styleId="4Char">
    <w:name w:val="标题 4 Char"/>
    <w:aliases w:val="款 Char,款标题1.1.1.1 Char,1.1.1.1 Char,H4 Char,style4 Char,bullet Char,bl Char,bb Char,PIM 4 Char,h4 Char,Heading Four Char,sect 1.2.3.4 Char,Ref Heading 1 Char,rh1 Char,sect 1.2.3.41 Char,Ref Heading 11 Char,rh11 Char,sect 1.2.3.42 Char"/>
    <w:basedOn w:val="a0"/>
    <w:link w:val="4"/>
    <w:rsid w:val="007D0F83"/>
    <w:rPr>
      <w:rFonts w:ascii="Times New Roman" w:eastAsia="黑体" w:hAnsi="Times New Roman" w:cs="Arial"/>
      <w:noProof/>
      <w:kern w:val="0"/>
      <w:sz w:val="28"/>
      <w:szCs w:val="24"/>
    </w:rPr>
  </w:style>
  <w:style w:type="character" w:customStyle="1" w:styleId="5Char">
    <w:name w:val="标题 5 Char"/>
    <w:aliases w:val="表题 Char,图表标 Char,标题1.1.1.1.1 Char,第四层条 Char,标题 5表头 Char,MB5 Char,Block Label Char,标题（一） Char,五 Char,H5 Char,H51 Char,法律法规 Char,标题 5(表格) Char,标题 5 Char Char Char,前言 Char,一级项 Char,Ò»¼¶Ïî Char,表头文字 Char"/>
    <w:basedOn w:val="a0"/>
    <w:link w:val="5"/>
    <w:rsid w:val="007D0F83"/>
    <w:rPr>
      <w:rFonts w:ascii="Times New Roman" w:eastAsia="宋体" w:hAnsi="Times New Roman" w:cs="Arial"/>
      <w:b/>
      <w:noProof/>
      <w:kern w:val="0"/>
      <w:sz w:val="28"/>
      <w:szCs w:val="24"/>
    </w:rPr>
  </w:style>
  <w:style w:type="character" w:customStyle="1" w:styleId="6Char">
    <w:name w:val="标题 6 Char"/>
    <w:aliases w:val="标题8 Char,表标题1 Char,H6 Char,H61 Char,技术文件 Char,第五层条 Char,标题 6，图标题 Char,图标题 Char,标题1.1.1.1.1.1 Char,二级项 Char"/>
    <w:basedOn w:val="a0"/>
    <w:link w:val="6"/>
    <w:rsid w:val="007D0F83"/>
    <w:rPr>
      <w:rFonts w:ascii="Times New Roman" w:eastAsia="宋体" w:hAnsi="Times New Roman" w:cs="Arial"/>
      <w:noProof/>
      <w:kern w:val="0"/>
      <w:sz w:val="28"/>
      <w:szCs w:val="24"/>
    </w:rPr>
  </w:style>
  <w:style w:type="character" w:customStyle="1" w:styleId="7Char">
    <w:name w:val="标题 7 Char"/>
    <w:aliases w:val="H7 Char,H71 Char,项目文件 Char,表标题 Char,项标题(1) Char,无级项 Char"/>
    <w:basedOn w:val="a0"/>
    <w:link w:val="7"/>
    <w:rsid w:val="007D0F83"/>
    <w:rPr>
      <w:rFonts w:ascii="Times New Roman" w:eastAsia="宋体" w:hAnsi="Times New Roman" w:cs="Arial"/>
      <w:noProof/>
      <w:kern w:val="0"/>
      <w:sz w:val="28"/>
      <w:szCs w:val="24"/>
    </w:rPr>
  </w:style>
  <w:style w:type="character" w:customStyle="1" w:styleId="8Char">
    <w:name w:val="标题 8 Char"/>
    <w:aliases w:val="H8 Char,目标题 1) Char,注 Char"/>
    <w:basedOn w:val="a0"/>
    <w:link w:val="8"/>
    <w:rsid w:val="007D0F83"/>
    <w:rPr>
      <w:rFonts w:ascii="Times New Roman" w:eastAsia="宋体" w:hAnsi="Times New Roman" w:cs="Arial"/>
      <w:noProof/>
      <w:kern w:val="0"/>
      <w:sz w:val="28"/>
      <w:szCs w:val="24"/>
    </w:rPr>
  </w:style>
  <w:style w:type="character" w:customStyle="1" w:styleId="9Char">
    <w:name w:val="标题 9 Char"/>
    <w:aliases w:val="H9 Char,干标题(a) Char"/>
    <w:basedOn w:val="a0"/>
    <w:link w:val="9"/>
    <w:rsid w:val="007D0F83"/>
    <w:rPr>
      <w:rFonts w:ascii="Times New Roman" w:eastAsia="宋体" w:hAnsi="Times New Roman" w:cs="Arial"/>
      <w:noProof/>
      <w:kern w:val="0"/>
      <w:sz w:val="28"/>
      <w:szCs w:val="24"/>
    </w:rPr>
  </w:style>
  <w:style w:type="paragraph" w:styleId="a3">
    <w:name w:val="header"/>
    <w:basedOn w:val="a"/>
    <w:link w:val="Char"/>
    <w:unhideWhenUsed/>
    <w:qFormat/>
    <w:rsid w:val="0023516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qFormat/>
    <w:rsid w:val="00235169"/>
    <w:rPr>
      <w:sz w:val="18"/>
      <w:szCs w:val="18"/>
    </w:rPr>
  </w:style>
  <w:style w:type="paragraph" w:styleId="a4">
    <w:name w:val="footer"/>
    <w:basedOn w:val="a"/>
    <w:link w:val="Char0"/>
    <w:uiPriority w:val="99"/>
    <w:unhideWhenUsed/>
    <w:qFormat/>
    <w:rsid w:val="00235169"/>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235169"/>
    <w:rPr>
      <w:sz w:val="18"/>
      <w:szCs w:val="18"/>
    </w:rPr>
  </w:style>
  <w:style w:type="paragraph" w:styleId="a5">
    <w:name w:val="Date"/>
    <w:basedOn w:val="a"/>
    <w:next w:val="a"/>
    <w:link w:val="Char1"/>
    <w:uiPriority w:val="99"/>
    <w:semiHidden/>
    <w:unhideWhenUsed/>
    <w:rsid w:val="00EC0F7D"/>
    <w:pPr>
      <w:ind w:leftChars="2500" w:left="100"/>
    </w:pPr>
  </w:style>
  <w:style w:type="character" w:customStyle="1" w:styleId="Char1">
    <w:name w:val="日期 Char"/>
    <w:basedOn w:val="a0"/>
    <w:link w:val="a5"/>
    <w:uiPriority w:val="99"/>
    <w:semiHidden/>
    <w:rsid w:val="00EC0F7D"/>
  </w:style>
  <w:style w:type="table" w:styleId="a6">
    <w:name w:val="Table Grid"/>
    <w:basedOn w:val="a1"/>
    <w:uiPriority w:val="59"/>
    <w:qFormat/>
    <w:rsid w:val="00E63F5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7">
    <w:name w:val="表格内容"/>
    <w:basedOn w:val="a"/>
    <w:link w:val="Char2"/>
    <w:qFormat/>
    <w:rsid w:val="00E504BB"/>
    <w:pPr>
      <w:adjustRightInd w:val="0"/>
      <w:snapToGrid w:val="0"/>
      <w:spacing w:line="320" w:lineRule="exact"/>
      <w:jc w:val="center"/>
    </w:pPr>
    <w:rPr>
      <w:rFonts w:ascii="Times New Roman" w:eastAsia="宋体" w:hAnsi="Arial" w:cs="Arial"/>
      <w:sz w:val="24"/>
      <w:szCs w:val="21"/>
    </w:rPr>
  </w:style>
  <w:style w:type="character" w:customStyle="1" w:styleId="Char2">
    <w:name w:val="表格内容 Char"/>
    <w:link w:val="a7"/>
    <w:qFormat/>
    <w:rsid w:val="00E504BB"/>
    <w:rPr>
      <w:rFonts w:ascii="Times New Roman" w:eastAsia="宋体" w:hAnsi="Arial" w:cs="Arial"/>
      <w:sz w:val="24"/>
      <w:szCs w:val="21"/>
    </w:rPr>
  </w:style>
  <w:style w:type="character" w:styleId="a8">
    <w:name w:val="Emphasis"/>
    <w:basedOn w:val="a0"/>
    <w:qFormat/>
    <w:rsid w:val="00E504BB"/>
    <w:rPr>
      <w:i/>
      <w:iCs/>
    </w:rPr>
  </w:style>
  <w:style w:type="paragraph" w:styleId="a9">
    <w:name w:val="Document Map"/>
    <w:basedOn w:val="a"/>
    <w:link w:val="Char3"/>
    <w:unhideWhenUsed/>
    <w:qFormat/>
    <w:rsid w:val="00F0216B"/>
    <w:rPr>
      <w:rFonts w:ascii="宋体" w:eastAsia="宋体"/>
      <w:sz w:val="18"/>
      <w:szCs w:val="18"/>
    </w:rPr>
  </w:style>
  <w:style w:type="character" w:customStyle="1" w:styleId="Char3">
    <w:name w:val="文档结构图 Char"/>
    <w:basedOn w:val="a0"/>
    <w:link w:val="a9"/>
    <w:qFormat/>
    <w:rsid w:val="00F0216B"/>
    <w:rPr>
      <w:rFonts w:ascii="宋体" w:eastAsia="宋体"/>
      <w:sz w:val="18"/>
      <w:szCs w:val="18"/>
    </w:rPr>
  </w:style>
  <w:style w:type="paragraph" w:styleId="aa">
    <w:name w:val="Body Text Indent"/>
    <w:basedOn w:val="a"/>
    <w:link w:val="Char4"/>
    <w:unhideWhenUsed/>
    <w:qFormat/>
    <w:rsid w:val="00CC355F"/>
    <w:pPr>
      <w:overflowPunct w:val="0"/>
      <w:snapToGrid w:val="0"/>
      <w:spacing w:afterLines="20" w:line="480" w:lineRule="exact"/>
      <w:ind w:leftChars="200" w:left="420" w:firstLineChars="200" w:firstLine="200"/>
    </w:pPr>
    <w:rPr>
      <w:rFonts w:ascii="Times New Roman" w:eastAsia="宋体" w:hAnsi="Times New Roman" w:cs="Arial"/>
      <w:noProof/>
      <w:sz w:val="28"/>
      <w:szCs w:val="24"/>
    </w:rPr>
  </w:style>
  <w:style w:type="character" w:customStyle="1" w:styleId="Char4">
    <w:name w:val="正文文本缩进 Char"/>
    <w:basedOn w:val="a0"/>
    <w:link w:val="aa"/>
    <w:rsid w:val="00CC355F"/>
    <w:rPr>
      <w:rFonts w:ascii="Times New Roman" w:eastAsia="宋体" w:hAnsi="Times New Roman" w:cs="Arial"/>
      <w:noProof/>
      <w:sz w:val="28"/>
      <w:szCs w:val="24"/>
    </w:rPr>
  </w:style>
  <w:style w:type="paragraph" w:styleId="ab">
    <w:name w:val="List Paragraph"/>
    <w:basedOn w:val="a"/>
    <w:uiPriority w:val="34"/>
    <w:qFormat/>
    <w:rsid w:val="000C2455"/>
    <w:pPr>
      <w:ind w:firstLineChars="200" w:firstLine="420"/>
    </w:pPr>
  </w:style>
  <w:style w:type="paragraph" w:styleId="ac">
    <w:name w:val="Balloon Text"/>
    <w:basedOn w:val="a"/>
    <w:link w:val="Char5"/>
    <w:unhideWhenUsed/>
    <w:qFormat/>
    <w:rsid w:val="000C2455"/>
    <w:rPr>
      <w:sz w:val="18"/>
      <w:szCs w:val="18"/>
    </w:rPr>
  </w:style>
  <w:style w:type="character" w:customStyle="1" w:styleId="Char5">
    <w:name w:val="批注框文本 Char"/>
    <w:basedOn w:val="a0"/>
    <w:link w:val="ac"/>
    <w:qFormat/>
    <w:rsid w:val="000C2455"/>
    <w:rPr>
      <w:sz w:val="18"/>
      <w:szCs w:val="18"/>
    </w:rPr>
  </w:style>
  <w:style w:type="character" w:styleId="ad">
    <w:name w:val="Hyperlink"/>
    <w:basedOn w:val="a0"/>
    <w:uiPriority w:val="99"/>
    <w:unhideWhenUsed/>
    <w:qFormat/>
    <w:rsid w:val="000C2455"/>
    <w:rPr>
      <w:color w:val="0000FF"/>
      <w:u w:val="single"/>
    </w:rPr>
  </w:style>
  <w:style w:type="character" w:customStyle="1" w:styleId="fbdate2">
    <w:name w:val="fbdate2"/>
    <w:basedOn w:val="a0"/>
    <w:rsid w:val="000C2455"/>
  </w:style>
  <w:style w:type="paragraph" w:customStyle="1" w:styleId="ae">
    <w:name w:val="_正文"/>
    <w:basedOn w:val="a"/>
    <w:qFormat/>
    <w:rsid w:val="000C2455"/>
    <w:pPr>
      <w:adjustRightInd w:val="0"/>
      <w:snapToGrid w:val="0"/>
      <w:spacing w:line="480" w:lineRule="exact"/>
      <w:ind w:firstLineChars="200" w:firstLine="200"/>
      <w:jc w:val="left"/>
      <w:textboxTightWrap w:val="allLines"/>
    </w:pPr>
    <w:rPr>
      <w:rFonts w:ascii="Times New Roman" w:eastAsia="宋体" w:hAnsi="Times New Roman" w:cs="Times New Roman"/>
      <w:sz w:val="28"/>
      <w:szCs w:val="24"/>
      <w:lang w:val="zh-CN"/>
    </w:rPr>
  </w:style>
  <w:style w:type="character" w:customStyle="1" w:styleId="st1">
    <w:name w:val="st1"/>
    <w:basedOn w:val="a0"/>
    <w:rsid w:val="000C2455"/>
  </w:style>
  <w:style w:type="paragraph" w:customStyle="1" w:styleId="Default">
    <w:name w:val="Default"/>
    <w:qFormat/>
    <w:rsid w:val="000C2455"/>
    <w:pPr>
      <w:widowControl w:val="0"/>
      <w:autoSpaceDE w:val="0"/>
      <w:autoSpaceDN w:val="0"/>
      <w:adjustRightInd w:val="0"/>
    </w:pPr>
    <w:rPr>
      <w:rFonts w:ascii="仿宋_GB2312" w:eastAsia="仿宋_GB2312" w:hAnsi="Times New Roman" w:cs="仿宋_GB2312"/>
      <w:color w:val="000000"/>
      <w:kern w:val="0"/>
      <w:sz w:val="24"/>
      <w:szCs w:val="24"/>
    </w:rPr>
  </w:style>
  <w:style w:type="character" w:styleId="af">
    <w:name w:val="page number"/>
    <w:basedOn w:val="a0"/>
    <w:rsid w:val="000C2455"/>
  </w:style>
  <w:style w:type="paragraph" w:styleId="10">
    <w:name w:val="toc 1"/>
    <w:basedOn w:val="a"/>
    <w:next w:val="a"/>
    <w:autoRedefine/>
    <w:uiPriority w:val="39"/>
    <w:qFormat/>
    <w:rsid w:val="00A0580E"/>
    <w:rPr>
      <w:rFonts w:ascii="Times New Roman" w:eastAsia="宋体" w:hAnsi="Times New Roman" w:cs="Times New Roman"/>
      <w:sz w:val="24"/>
      <w:szCs w:val="24"/>
    </w:rPr>
  </w:style>
  <w:style w:type="character" w:customStyle="1" w:styleId="81">
    <w:name w:val="正文文本 (8)1"/>
    <w:basedOn w:val="a0"/>
    <w:rsid w:val="000C2455"/>
    <w:rPr>
      <w:rFonts w:ascii="MingLiU" w:eastAsia="MingLiU" w:hAnsi="MingLiU" w:cs="MingLiU"/>
      <w:b w:val="0"/>
      <w:bCs w:val="0"/>
      <w:i w:val="0"/>
      <w:iCs w:val="0"/>
      <w:smallCaps w:val="0"/>
      <w:strike w:val="0"/>
      <w:color w:val="000000"/>
      <w:spacing w:val="0"/>
      <w:w w:val="100"/>
      <w:position w:val="0"/>
      <w:sz w:val="48"/>
      <w:szCs w:val="48"/>
      <w:u w:val="none"/>
      <w:lang w:val="zh-CN" w:eastAsia="zh-CN" w:bidi="zh-CN"/>
    </w:rPr>
  </w:style>
  <w:style w:type="paragraph" w:customStyle="1" w:styleId="11">
    <w:name w:val="列出段落1"/>
    <w:basedOn w:val="a"/>
    <w:uiPriority w:val="34"/>
    <w:qFormat/>
    <w:rsid w:val="000C2455"/>
    <w:pPr>
      <w:ind w:firstLineChars="200" w:firstLine="420"/>
    </w:pPr>
    <w:rPr>
      <w:rFonts w:ascii="Calibri" w:eastAsia="宋体" w:hAnsi="Calibri" w:cs="Times New Roman"/>
    </w:rPr>
  </w:style>
  <w:style w:type="character" w:customStyle="1" w:styleId="af0">
    <w:name w:val="正文文本_"/>
    <w:basedOn w:val="a0"/>
    <w:link w:val="110"/>
    <w:qFormat/>
    <w:rsid w:val="000C2455"/>
    <w:rPr>
      <w:rFonts w:ascii="Arial Unicode MS" w:eastAsia="Arial Unicode MS" w:hAnsi="Arial Unicode MS" w:cs="Arial Unicode MS"/>
      <w:sz w:val="23"/>
      <w:szCs w:val="23"/>
      <w:shd w:val="clear" w:color="auto" w:fill="FFFFFF"/>
    </w:rPr>
  </w:style>
  <w:style w:type="paragraph" w:customStyle="1" w:styleId="110">
    <w:name w:val="正文文本11"/>
    <w:basedOn w:val="a"/>
    <w:link w:val="af0"/>
    <w:qFormat/>
    <w:rsid w:val="000C2455"/>
    <w:pPr>
      <w:shd w:val="clear" w:color="auto" w:fill="FFFFFF"/>
      <w:spacing w:before="420" w:line="443" w:lineRule="exact"/>
      <w:ind w:hanging="800"/>
      <w:jc w:val="center"/>
    </w:pPr>
    <w:rPr>
      <w:rFonts w:ascii="Arial Unicode MS" w:eastAsia="Arial Unicode MS" w:hAnsi="Arial Unicode MS" w:cs="Arial Unicode MS"/>
      <w:sz w:val="23"/>
      <w:szCs w:val="23"/>
    </w:rPr>
  </w:style>
  <w:style w:type="character" w:customStyle="1" w:styleId="MingLiU">
    <w:name w:val="正文文本 + MingLiU"/>
    <w:aliases w:val="粗体,9.5 pt,间距 -2 pt,正文文本 (17) + Arial Unicode MS"/>
    <w:basedOn w:val="af0"/>
    <w:qFormat/>
    <w:rsid w:val="000C2455"/>
    <w:rPr>
      <w:rFonts w:ascii="MingLiU" w:eastAsia="MingLiU" w:hAnsi="MingLiU" w:cs="MingLiU"/>
      <w:b/>
      <w:bCs/>
      <w:color w:val="000000"/>
      <w:spacing w:val="0"/>
      <w:w w:val="100"/>
      <w:position w:val="0"/>
      <w:sz w:val="23"/>
      <w:szCs w:val="23"/>
      <w:shd w:val="clear" w:color="auto" w:fill="FFFFFF"/>
      <w:lang w:val="zh-TW"/>
    </w:rPr>
  </w:style>
  <w:style w:type="character" w:customStyle="1" w:styleId="9pt">
    <w:name w:val="正文文本 + 9 pt"/>
    <w:aliases w:val="间距 1 pt"/>
    <w:basedOn w:val="af0"/>
    <w:qFormat/>
    <w:rsid w:val="000C2455"/>
    <w:rPr>
      <w:rFonts w:ascii="Arial Unicode MS" w:eastAsia="Arial Unicode MS" w:hAnsi="Arial Unicode MS" w:cs="Arial Unicode MS"/>
      <w:color w:val="000000"/>
      <w:spacing w:val="0"/>
      <w:w w:val="100"/>
      <w:position w:val="0"/>
      <w:sz w:val="18"/>
      <w:szCs w:val="18"/>
      <w:shd w:val="clear" w:color="auto" w:fill="FFFFFF"/>
      <w:lang w:val="zh-TW"/>
    </w:rPr>
  </w:style>
  <w:style w:type="character" w:customStyle="1" w:styleId="Char10">
    <w:name w:val="文档结构图 Char1"/>
    <w:basedOn w:val="a0"/>
    <w:uiPriority w:val="99"/>
    <w:semiHidden/>
    <w:rsid w:val="000C2455"/>
    <w:rPr>
      <w:rFonts w:ascii="宋体" w:eastAsia="宋体"/>
      <w:sz w:val="18"/>
      <w:szCs w:val="18"/>
    </w:rPr>
  </w:style>
  <w:style w:type="paragraph" w:customStyle="1" w:styleId="20">
    <w:name w:val="列出段落2"/>
    <w:basedOn w:val="a"/>
    <w:uiPriority w:val="99"/>
    <w:qFormat/>
    <w:rsid w:val="000C2455"/>
    <w:pPr>
      <w:spacing w:line="480" w:lineRule="exact"/>
      <w:ind w:firstLineChars="200" w:firstLine="420"/>
      <w:jc w:val="left"/>
    </w:pPr>
    <w:rPr>
      <w:rFonts w:ascii="Times New Roman" w:eastAsia="宋体" w:hAnsi="Times New Roman" w:cs="Times New Roman"/>
      <w:sz w:val="28"/>
    </w:rPr>
  </w:style>
  <w:style w:type="paragraph" w:styleId="af1">
    <w:name w:val="Body Text"/>
    <w:aliases w:val="表标,正文文字,Body Text 1,正文文字 Char Char"/>
    <w:basedOn w:val="a"/>
    <w:link w:val="Char6"/>
    <w:qFormat/>
    <w:rsid w:val="000C2455"/>
    <w:pPr>
      <w:spacing w:after="120"/>
    </w:pPr>
    <w:rPr>
      <w:rFonts w:ascii="Times New Roman" w:eastAsia="宋体" w:hAnsi="Times New Roman" w:cs="Times New Roman"/>
      <w:szCs w:val="20"/>
    </w:rPr>
  </w:style>
  <w:style w:type="character" w:customStyle="1" w:styleId="Char6">
    <w:name w:val="正文文本 Char"/>
    <w:aliases w:val="表标 Char,正文文字 Char,Body Text 1 Char,正文文字 Char Char Char"/>
    <w:basedOn w:val="a0"/>
    <w:link w:val="af1"/>
    <w:qFormat/>
    <w:rsid w:val="000C2455"/>
    <w:rPr>
      <w:rFonts w:ascii="Times New Roman" w:eastAsia="宋体" w:hAnsi="Times New Roman" w:cs="Times New Roman"/>
      <w:szCs w:val="20"/>
    </w:rPr>
  </w:style>
  <w:style w:type="paragraph" w:customStyle="1" w:styleId="af2">
    <w:name w:val="封面标准名称"/>
    <w:rsid w:val="000C2455"/>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12">
    <w:name w:val="封面标准号1"/>
    <w:rsid w:val="000C2455"/>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character" w:customStyle="1" w:styleId="apple-converted-space">
    <w:name w:val="apple-converted-space"/>
    <w:basedOn w:val="a0"/>
    <w:rsid w:val="000C2455"/>
  </w:style>
  <w:style w:type="character" w:styleId="af3">
    <w:name w:val="Strong"/>
    <w:basedOn w:val="a0"/>
    <w:qFormat/>
    <w:rsid w:val="000C2455"/>
    <w:rPr>
      <w:b/>
      <w:bCs/>
    </w:rPr>
  </w:style>
  <w:style w:type="paragraph" w:styleId="af4">
    <w:name w:val="caption"/>
    <w:basedOn w:val="a"/>
    <w:next w:val="a"/>
    <w:unhideWhenUsed/>
    <w:qFormat/>
    <w:rsid w:val="000C2455"/>
    <w:pPr>
      <w:jc w:val="center"/>
      <w:outlineLvl w:val="4"/>
    </w:pPr>
    <w:rPr>
      <w:rFonts w:ascii="Times New Roman" w:eastAsia="宋体" w:hAnsi="Times New Roman" w:cs="Times New Roman"/>
      <w:sz w:val="24"/>
      <w:szCs w:val="20"/>
    </w:rPr>
  </w:style>
  <w:style w:type="paragraph" w:customStyle="1" w:styleId="111">
    <w:name w:val="样式11"/>
    <w:basedOn w:val="a"/>
    <w:qFormat/>
    <w:rsid w:val="000C2455"/>
    <w:pPr>
      <w:spacing w:line="480" w:lineRule="exact"/>
      <w:jc w:val="center"/>
      <w:outlineLvl w:val="4"/>
    </w:pPr>
    <w:rPr>
      <w:rFonts w:ascii="Arial" w:eastAsia="宋体" w:hAnsi="Arial" w:cs="Arial"/>
      <w:bCs/>
      <w:sz w:val="24"/>
      <w:szCs w:val="24"/>
    </w:rPr>
  </w:style>
  <w:style w:type="character" w:styleId="af5">
    <w:name w:val="annotation reference"/>
    <w:basedOn w:val="a0"/>
    <w:unhideWhenUsed/>
    <w:qFormat/>
    <w:rsid w:val="000C2455"/>
    <w:rPr>
      <w:sz w:val="21"/>
      <w:szCs w:val="21"/>
    </w:rPr>
  </w:style>
  <w:style w:type="paragraph" w:styleId="af6">
    <w:name w:val="annotation text"/>
    <w:basedOn w:val="a"/>
    <w:link w:val="Char7"/>
    <w:unhideWhenUsed/>
    <w:qFormat/>
    <w:rsid w:val="000C2455"/>
    <w:pPr>
      <w:jc w:val="left"/>
    </w:pPr>
  </w:style>
  <w:style w:type="character" w:customStyle="1" w:styleId="Char7">
    <w:name w:val="批注文字 Char"/>
    <w:basedOn w:val="a0"/>
    <w:link w:val="af6"/>
    <w:qFormat/>
    <w:rsid w:val="000C2455"/>
  </w:style>
  <w:style w:type="paragraph" w:styleId="af7">
    <w:name w:val="annotation subject"/>
    <w:basedOn w:val="af6"/>
    <w:next w:val="af6"/>
    <w:link w:val="Char8"/>
    <w:unhideWhenUsed/>
    <w:qFormat/>
    <w:rsid w:val="000C2455"/>
    <w:rPr>
      <w:b/>
      <w:bCs/>
    </w:rPr>
  </w:style>
  <w:style w:type="character" w:customStyle="1" w:styleId="Char8">
    <w:name w:val="批注主题 Char"/>
    <w:basedOn w:val="Char7"/>
    <w:link w:val="af7"/>
    <w:qFormat/>
    <w:rsid w:val="000C2455"/>
    <w:rPr>
      <w:b/>
      <w:bCs/>
    </w:rPr>
  </w:style>
  <w:style w:type="paragraph" w:styleId="af8">
    <w:name w:val="Normal (Web)"/>
    <w:basedOn w:val="a"/>
    <w:link w:val="Char9"/>
    <w:uiPriority w:val="99"/>
    <w:unhideWhenUsed/>
    <w:qFormat/>
    <w:rsid w:val="003E1D2A"/>
    <w:pPr>
      <w:widowControl/>
      <w:spacing w:before="100" w:beforeAutospacing="1" w:after="100" w:afterAutospacing="1"/>
      <w:jc w:val="left"/>
    </w:pPr>
    <w:rPr>
      <w:rFonts w:ascii="宋体" w:eastAsia="宋体" w:hAnsi="宋体" w:cs="宋体"/>
      <w:kern w:val="0"/>
      <w:sz w:val="24"/>
      <w:szCs w:val="24"/>
    </w:rPr>
  </w:style>
  <w:style w:type="character" w:customStyle="1" w:styleId="Char9">
    <w:name w:val="普通(网站) Char"/>
    <w:link w:val="af8"/>
    <w:rsid w:val="000E02C5"/>
    <w:rPr>
      <w:rFonts w:ascii="宋体" w:eastAsia="宋体" w:hAnsi="宋体" w:cs="宋体"/>
      <w:kern w:val="0"/>
      <w:sz w:val="24"/>
      <w:szCs w:val="24"/>
    </w:rPr>
  </w:style>
  <w:style w:type="character" w:customStyle="1" w:styleId="Chara">
    <w:name w:val="纯文本 Char"/>
    <w:basedOn w:val="a0"/>
    <w:link w:val="af9"/>
    <w:rsid w:val="003E1D2A"/>
    <w:rPr>
      <w:rFonts w:ascii="宋体" w:hAnsi="Courier New"/>
      <w:szCs w:val="21"/>
    </w:rPr>
  </w:style>
  <w:style w:type="paragraph" w:styleId="af9">
    <w:name w:val="Plain Text"/>
    <w:basedOn w:val="a"/>
    <w:link w:val="Chara"/>
    <w:rsid w:val="003E1D2A"/>
    <w:rPr>
      <w:rFonts w:ascii="宋体" w:hAnsi="Courier New"/>
      <w:szCs w:val="21"/>
    </w:rPr>
  </w:style>
  <w:style w:type="character" w:customStyle="1" w:styleId="Char11">
    <w:name w:val="纯文本 Char1"/>
    <w:basedOn w:val="a0"/>
    <w:uiPriority w:val="99"/>
    <w:semiHidden/>
    <w:rsid w:val="003E1D2A"/>
    <w:rPr>
      <w:rFonts w:ascii="宋体" w:eastAsia="宋体" w:hAnsi="Courier New" w:cs="Courier New"/>
      <w:szCs w:val="21"/>
    </w:rPr>
  </w:style>
  <w:style w:type="paragraph" w:customStyle="1" w:styleId="1110">
    <w:name w:val="样式111"/>
    <w:rsid w:val="003E1D2A"/>
    <w:pPr>
      <w:adjustRightInd w:val="0"/>
      <w:snapToGrid w:val="0"/>
      <w:jc w:val="both"/>
    </w:pPr>
    <w:rPr>
      <w:rFonts w:ascii="宋体" w:eastAsia="宋体" w:hAnsi="Times New Roman" w:cs="Times New Roman"/>
      <w:kern w:val="0"/>
      <w:szCs w:val="20"/>
    </w:rPr>
  </w:style>
  <w:style w:type="paragraph" w:customStyle="1" w:styleId="afa">
    <w:name w:val="三级条标题"/>
    <w:basedOn w:val="afb"/>
    <w:next w:val="a"/>
    <w:qFormat/>
    <w:rsid w:val="003E1D2A"/>
    <w:pPr>
      <w:numPr>
        <w:ilvl w:val="0"/>
      </w:numPr>
      <w:tabs>
        <w:tab w:val="left" w:pos="360"/>
      </w:tabs>
      <w:ind w:left="540"/>
      <w:outlineLvl w:val="4"/>
    </w:pPr>
  </w:style>
  <w:style w:type="paragraph" w:customStyle="1" w:styleId="afb">
    <w:name w:val="二级条标题"/>
    <w:basedOn w:val="afc"/>
    <w:next w:val="a"/>
    <w:qFormat/>
    <w:rsid w:val="003E1D2A"/>
    <w:pPr>
      <w:numPr>
        <w:ilvl w:val="3"/>
      </w:numPr>
      <w:outlineLvl w:val="3"/>
    </w:pPr>
  </w:style>
  <w:style w:type="paragraph" w:customStyle="1" w:styleId="afc">
    <w:name w:val="一级条标题"/>
    <w:next w:val="a"/>
    <w:qFormat/>
    <w:rsid w:val="003E1D2A"/>
    <w:pPr>
      <w:outlineLvl w:val="2"/>
    </w:pPr>
    <w:rPr>
      <w:rFonts w:ascii="Times New Roman" w:eastAsia="黑体" w:hAnsi="Times New Roman"/>
      <w:kern w:val="0"/>
    </w:rPr>
  </w:style>
  <w:style w:type="paragraph" w:customStyle="1" w:styleId="afd">
    <w:name w:val="表格标题"/>
    <w:basedOn w:val="a"/>
    <w:next w:val="a"/>
    <w:qFormat/>
    <w:rsid w:val="00B94DFF"/>
    <w:pPr>
      <w:adjustRightInd w:val="0"/>
      <w:snapToGrid w:val="0"/>
      <w:spacing w:before="120" w:after="120"/>
      <w:jc w:val="center"/>
    </w:pPr>
    <w:rPr>
      <w:rFonts w:eastAsia="黑体"/>
      <w:b/>
      <w:sz w:val="24"/>
    </w:rPr>
  </w:style>
  <w:style w:type="character" w:customStyle="1" w:styleId="7pt">
    <w:name w:val="正文文本 + 7 pt"/>
    <w:aliases w:val="正文文本 + Sylfaen,6 pt,7 pt,间距 2 pt,正文文本 + Palatino Linotype,4 pt,间距 11 pt"/>
    <w:qFormat/>
    <w:rsid w:val="000E02C5"/>
    <w:rPr>
      <w:rFonts w:ascii="MingLiU" w:eastAsia="MingLiU" w:hAnsi="MingLiU" w:cs="MingLiU"/>
      <w:color w:val="000000"/>
      <w:spacing w:val="10"/>
      <w:w w:val="100"/>
      <w:position w:val="0"/>
      <w:sz w:val="14"/>
      <w:szCs w:val="14"/>
      <w:shd w:val="clear" w:color="auto" w:fill="FFFFFF"/>
      <w:lang w:val="zh-CN" w:eastAsia="zh-CN" w:bidi="zh-CN"/>
    </w:rPr>
  </w:style>
  <w:style w:type="paragraph" w:customStyle="1" w:styleId="21">
    <w:name w:val="正文文本2"/>
    <w:basedOn w:val="a"/>
    <w:qFormat/>
    <w:rsid w:val="000E02C5"/>
    <w:pPr>
      <w:shd w:val="clear" w:color="auto" w:fill="FFFFFF"/>
      <w:spacing w:before="360" w:after="3540" w:line="306" w:lineRule="exact"/>
      <w:ind w:hanging="220"/>
      <w:jc w:val="distribute"/>
    </w:pPr>
    <w:rPr>
      <w:rFonts w:ascii="MingLiU" w:eastAsia="MingLiU" w:hAnsi="MingLiU" w:cs="Times New Roman"/>
      <w:spacing w:val="10"/>
      <w:kern w:val="0"/>
      <w:sz w:val="19"/>
      <w:szCs w:val="19"/>
    </w:rPr>
  </w:style>
  <w:style w:type="character" w:customStyle="1" w:styleId="65pt">
    <w:name w:val="正文文本 + 6.5 pt"/>
    <w:qFormat/>
    <w:rsid w:val="000E02C5"/>
    <w:rPr>
      <w:rFonts w:ascii="MingLiU" w:eastAsia="MingLiU" w:hAnsi="MingLiU" w:cs="MingLiU"/>
      <w:color w:val="000000"/>
      <w:spacing w:val="10"/>
      <w:w w:val="100"/>
      <w:position w:val="0"/>
      <w:sz w:val="13"/>
      <w:szCs w:val="13"/>
      <w:u w:val="none"/>
      <w:shd w:val="clear" w:color="auto" w:fill="FFFFFF"/>
      <w:lang w:val="zh-CN" w:eastAsia="zh-CN" w:bidi="zh-CN"/>
    </w:rPr>
  </w:style>
  <w:style w:type="character" w:customStyle="1" w:styleId="27">
    <w:name w:val="正文文本 (27)_"/>
    <w:link w:val="270"/>
    <w:qFormat/>
    <w:rsid w:val="000E02C5"/>
    <w:rPr>
      <w:rFonts w:ascii="MingLiU" w:eastAsia="MingLiU" w:hAnsi="MingLiU" w:cs="MingLiU"/>
      <w:spacing w:val="10"/>
      <w:sz w:val="19"/>
      <w:szCs w:val="19"/>
      <w:shd w:val="clear" w:color="auto" w:fill="FFFFFF"/>
    </w:rPr>
  </w:style>
  <w:style w:type="paragraph" w:customStyle="1" w:styleId="270">
    <w:name w:val="正文文本 (27)"/>
    <w:basedOn w:val="a"/>
    <w:link w:val="27"/>
    <w:qFormat/>
    <w:rsid w:val="000E02C5"/>
    <w:pPr>
      <w:shd w:val="clear" w:color="auto" w:fill="FFFFFF"/>
      <w:spacing w:before="660" w:line="313" w:lineRule="exact"/>
      <w:jc w:val="left"/>
    </w:pPr>
    <w:rPr>
      <w:rFonts w:ascii="MingLiU" w:eastAsia="MingLiU" w:hAnsi="MingLiU" w:cs="MingLiU"/>
      <w:spacing w:val="10"/>
      <w:sz w:val="19"/>
      <w:szCs w:val="19"/>
    </w:rPr>
  </w:style>
  <w:style w:type="paragraph" w:styleId="13">
    <w:name w:val="index 1"/>
    <w:basedOn w:val="a"/>
    <w:next w:val="a"/>
    <w:autoRedefine/>
    <w:uiPriority w:val="99"/>
    <w:semiHidden/>
    <w:unhideWhenUsed/>
    <w:rsid w:val="000E02C5"/>
  </w:style>
  <w:style w:type="character" w:customStyle="1" w:styleId="14">
    <w:name w:val="正文1"/>
    <w:basedOn w:val="a0"/>
    <w:rsid w:val="000E02C5"/>
    <w:rPr>
      <w:rFonts w:ascii="宋体" w:eastAsia="宋体" w:hAnsi="宋体" w:hint="eastAsia"/>
      <w:sz w:val="22"/>
      <w:szCs w:val="22"/>
    </w:rPr>
  </w:style>
  <w:style w:type="paragraph" w:customStyle="1" w:styleId="afe">
    <w:name w:val="目次、标准名称标题"/>
    <w:basedOn w:val="a"/>
    <w:next w:val="a"/>
    <w:rsid w:val="000E02C5"/>
    <w:pPr>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character" w:customStyle="1" w:styleId="zhenwen14">
    <w:name w:val="zhenwen14"/>
    <w:basedOn w:val="a0"/>
    <w:rsid w:val="000E02C5"/>
  </w:style>
  <w:style w:type="character" w:customStyle="1" w:styleId="fontstyle01">
    <w:name w:val="fontstyle01"/>
    <w:basedOn w:val="a0"/>
    <w:rsid w:val="000E02C5"/>
    <w:rPr>
      <w:rFonts w:ascii="宋体" w:eastAsia="宋体" w:hAnsi="宋体" w:hint="eastAsia"/>
      <w:b w:val="0"/>
      <w:bCs w:val="0"/>
      <w:i w:val="0"/>
      <w:iCs w:val="0"/>
      <w:color w:val="000000"/>
      <w:sz w:val="18"/>
      <w:szCs w:val="18"/>
    </w:rPr>
  </w:style>
  <w:style w:type="character" w:customStyle="1" w:styleId="zw1">
    <w:name w:val="zw1"/>
    <w:basedOn w:val="a0"/>
    <w:rsid w:val="000E02C5"/>
    <w:rPr>
      <w:rFonts w:ascii="宋体" w:eastAsia="宋体" w:hAnsi="宋体" w:hint="eastAsia"/>
      <w:sz w:val="22"/>
      <w:szCs w:val="22"/>
    </w:rPr>
  </w:style>
  <w:style w:type="paragraph" w:styleId="22">
    <w:name w:val="toc 2"/>
    <w:basedOn w:val="a"/>
    <w:next w:val="a"/>
    <w:autoRedefine/>
    <w:uiPriority w:val="39"/>
    <w:unhideWhenUsed/>
    <w:rsid w:val="00515E8A"/>
    <w:pPr>
      <w:ind w:leftChars="200" w:left="200"/>
    </w:pPr>
    <w:rPr>
      <w:sz w:val="24"/>
    </w:rPr>
  </w:style>
  <w:style w:type="paragraph" w:customStyle="1" w:styleId="Style2">
    <w:name w:val="_Style 2"/>
    <w:basedOn w:val="a"/>
    <w:uiPriority w:val="34"/>
    <w:qFormat/>
    <w:rsid w:val="00481EDB"/>
    <w:pPr>
      <w:ind w:firstLineChars="200" w:firstLine="420"/>
    </w:pPr>
  </w:style>
  <w:style w:type="paragraph" w:customStyle="1" w:styleId="Style3">
    <w:name w:val="_Style 3"/>
    <w:basedOn w:val="a"/>
    <w:uiPriority w:val="34"/>
    <w:qFormat/>
    <w:rsid w:val="00481EDB"/>
    <w:pPr>
      <w:ind w:firstLineChars="200" w:firstLine="420"/>
    </w:pPr>
    <w:rPr>
      <w:rFonts w:ascii="Calibri" w:eastAsia="宋体" w:hAnsi="Calibri" w:cs="Times New Roman"/>
    </w:rPr>
  </w:style>
  <w:style w:type="paragraph" w:styleId="aff">
    <w:name w:val="Title"/>
    <w:basedOn w:val="a"/>
    <w:next w:val="a"/>
    <w:link w:val="Charb"/>
    <w:qFormat/>
    <w:rsid w:val="00481EDB"/>
    <w:pPr>
      <w:spacing w:before="80" w:after="80"/>
      <w:jc w:val="center"/>
      <w:outlineLvl w:val="0"/>
    </w:pPr>
    <w:rPr>
      <w:rFonts w:ascii="Segoe UI" w:eastAsia="宋体" w:hAnsi="Segoe UI" w:cs="Segoe UI"/>
      <w:b/>
      <w:bCs/>
      <w:w w:val="90"/>
      <w:kern w:val="0"/>
      <w:sz w:val="24"/>
      <w:szCs w:val="24"/>
    </w:rPr>
  </w:style>
  <w:style w:type="character" w:customStyle="1" w:styleId="Charb">
    <w:name w:val="标题 Char"/>
    <w:basedOn w:val="a0"/>
    <w:link w:val="aff"/>
    <w:rsid w:val="00481EDB"/>
    <w:rPr>
      <w:rFonts w:ascii="Segoe UI" w:eastAsia="宋体" w:hAnsi="Segoe UI" w:cs="Segoe UI"/>
      <w:b/>
      <w:bCs/>
      <w:w w:val="90"/>
      <w:kern w:val="0"/>
      <w:sz w:val="24"/>
      <w:szCs w:val="24"/>
    </w:rPr>
  </w:style>
  <w:style w:type="paragraph" w:customStyle="1" w:styleId="aff0">
    <w:name w:val="样式一"/>
    <w:basedOn w:val="a"/>
    <w:qFormat/>
    <w:rsid w:val="00B94DFF"/>
    <w:pPr>
      <w:outlineLvl w:val="0"/>
    </w:pPr>
    <w:rPr>
      <w:rFonts w:ascii="Times New Roman" w:hAnsi="Times New Roman" w:cs="Times New Roman"/>
      <w:b/>
      <w:sz w:val="28"/>
      <w:szCs w:val="28"/>
    </w:rPr>
  </w:style>
  <w:style w:type="paragraph" w:customStyle="1" w:styleId="aff1">
    <w:name w:val="标题一"/>
    <w:basedOn w:val="1"/>
    <w:qFormat/>
    <w:rsid w:val="00B94DFF"/>
    <w:pPr>
      <w:jc w:val="left"/>
    </w:pPr>
    <w:rPr>
      <w:rFonts w:ascii="Times New Roman" w:eastAsia="宋体" w:hAnsi="Times New Roman"/>
      <w:b/>
      <w:sz w:val="28"/>
      <w:szCs w:val="28"/>
    </w:rPr>
  </w:style>
  <w:style w:type="paragraph" w:customStyle="1" w:styleId="aff2">
    <w:name w:val="标题二"/>
    <w:basedOn w:val="2"/>
    <w:qFormat/>
    <w:rsid w:val="00C05B82"/>
    <w:pPr>
      <w:spacing w:before="60" w:after="60"/>
      <w:ind w:firstLineChars="200" w:firstLine="200"/>
    </w:pPr>
    <w:rPr>
      <w:rFonts w:eastAsia="宋体"/>
      <w:sz w:val="28"/>
      <w:szCs w:val="28"/>
    </w:rPr>
  </w:style>
  <w:style w:type="paragraph" w:styleId="30">
    <w:name w:val="toc 3"/>
    <w:basedOn w:val="a"/>
    <w:next w:val="a"/>
    <w:autoRedefine/>
    <w:uiPriority w:val="39"/>
    <w:unhideWhenUsed/>
    <w:rsid w:val="0063733E"/>
    <w:pPr>
      <w:ind w:leftChars="200" w:left="200"/>
    </w:pPr>
    <w:rPr>
      <w:sz w:val="24"/>
    </w:rPr>
  </w:style>
  <w:style w:type="paragraph" w:customStyle="1" w:styleId="aff3">
    <w:name w:val="标题三"/>
    <w:basedOn w:val="3"/>
    <w:qFormat/>
    <w:rsid w:val="00C05B82"/>
    <w:pPr>
      <w:spacing w:before="60" w:after="60"/>
      <w:ind w:firstLineChars="0" w:firstLine="0"/>
      <w:jc w:val="center"/>
      <w:outlineLvl w:val="0"/>
    </w:pPr>
    <w:rPr>
      <w:rFonts w:eastAsia="宋体"/>
      <w:b/>
      <w:sz w:val="24"/>
    </w:rPr>
  </w:style>
  <w:style w:type="character" w:customStyle="1" w:styleId="4pt">
    <w:name w:val="正文文本 + 4 pt"/>
    <w:basedOn w:val="af0"/>
    <w:rsid w:val="003D0A1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en-US"/>
    </w:rPr>
  </w:style>
  <w:style w:type="character" w:customStyle="1" w:styleId="4ArialUnicodeMS">
    <w:name w:val="表格标题 (4) + Arial Unicode MS"/>
    <w:aliases w:val="9 pt,非粗体,正文文本 (22) + Arial Unicode MS,正文文本 (22) + 4 pt,间距 -1 pt"/>
    <w:basedOn w:val="a0"/>
    <w:rsid w:val="00BF59CF"/>
    <w:rPr>
      <w:rFonts w:ascii="Arial Unicode MS" w:eastAsia="Arial Unicode MS" w:hAnsi="Arial Unicode MS" w:cs="Arial Unicode MS"/>
      <w:b/>
      <w:bCs/>
      <w:color w:val="000000"/>
      <w:spacing w:val="0"/>
      <w:w w:val="100"/>
      <w:position w:val="0"/>
      <w:sz w:val="18"/>
      <w:szCs w:val="18"/>
      <w:shd w:val="clear" w:color="auto" w:fill="FFFFFF"/>
      <w:lang w:val="en-US"/>
    </w:rPr>
  </w:style>
  <w:style w:type="character" w:customStyle="1" w:styleId="220">
    <w:name w:val="正文文本 (22)_"/>
    <w:basedOn w:val="a0"/>
    <w:link w:val="221"/>
    <w:rsid w:val="00BF59CF"/>
    <w:rPr>
      <w:rFonts w:ascii="MingLiU" w:eastAsia="MingLiU" w:hAnsi="MingLiU" w:cs="MingLiU"/>
      <w:b/>
      <w:bCs/>
      <w:sz w:val="23"/>
      <w:szCs w:val="23"/>
      <w:shd w:val="clear" w:color="auto" w:fill="FFFFFF"/>
    </w:rPr>
  </w:style>
  <w:style w:type="paragraph" w:customStyle="1" w:styleId="221">
    <w:name w:val="正文文本 (22)"/>
    <w:basedOn w:val="a"/>
    <w:link w:val="220"/>
    <w:rsid w:val="00BF59CF"/>
    <w:pPr>
      <w:shd w:val="clear" w:color="auto" w:fill="FFFFFF"/>
      <w:spacing w:line="443" w:lineRule="exact"/>
      <w:ind w:hanging="920"/>
      <w:jc w:val="left"/>
    </w:pPr>
    <w:rPr>
      <w:rFonts w:ascii="MingLiU" w:eastAsia="MingLiU" w:hAnsi="MingLiU" w:cs="MingLiU"/>
      <w:b/>
      <w:bCs/>
      <w:sz w:val="23"/>
      <w:szCs w:val="23"/>
    </w:rPr>
  </w:style>
  <w:style w:type="character" w:customStyle="1" w:styleId="SimSun">
    <w:name w:val="正文文本 + SimSun"/>
    <w:aliases w:val="10.5 pt,正文文本 (22) + SimSun"/>
    <w:basedOn w:val="af0"/>
    <w:rsid w:val="002734B9"/>
    <w:rPr>
      <w:rFonts w:ascii="宋体" w:eastAsia="宋体" w:hAnsi="宋体" w:cs="宋体"/>
      <w:b w:val="0"/>
      <w:bCs w:val="0"/>
      <w:i w:val="0"/>
      <w:iCs w:val="0"/>
      <w:smallCaps w:val="0"/>
      <w:strike w:val="0"/>
      <w:color w:val="000000"/>
      <w:spacing w:val="0"/>
      <w:w w:val="100"/>
      <w:position w:val="0"/>
      <w:sz w:val="21"/>
      <w:szCs w:val="21"/>
      <w:u w:val="none"/>
      <w:shd w:val="clear" w:color="auto" w:fill="FFFFFF"/>
      <w:lang w:val="zh-TW"/>
    </w:rPr>
  </w:style>
  <w:style w:type="character" w:customStyle="1" w:styleId="31">
    <w:name w:val="正文文本3"/>
    <w:basedOn w:val="af0"/>
    <w:rsid w:val="00744D22"/>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en-US"/>
    </w:rPr>
  </w:style>
  <w:style w:type="character" w:customStyle="1" w:styleId="10pt">
    <w:name w:val="正文文本 + 10 pt"/>
    <w:aliases w:val="斜体,间距 0 pt,正文文本 + 7.5 pt"/>
    <w:basedOn w:val="af0"/>
    <w:rsid w:val="00B76060"/>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rPr>
  </w:style>
  <w:style w:type="paragraph" w:styleId="40">
    <w:name w:val="toc 4"/>
    <w:basedOn w:val="a"/>
    <w:next w:val="a"/>
    <w:autoRedefine/>
    <w:uiPriority w:val="39"/>
    <w:unhideWhenUsed/>
    <w:rsid w:val="001040ED"/>
    <w:pPr>
      <w:ind w:leftChars="600" w:left="1260"/>
    </w:pPr>
  </w:style>
  <w:style w:type="paragraph" w:styleId="50">
    <w:name w:val="toc 5"/>
    <w:basedOn w:val="a"/>
    <w:next w:val="a"/>
    <w:autoRedefine/>
    <w:uiPriority w:val="39"/>
    <w:unhideWhenUsed/>
    <w:rsid w:val="001040ED"/>
    <w:pPr>
      <w:ind w:leftChars="800" w:left="1680"/>
    </w:pPr>
  </w:style>
  <w:style w:type="paragraph" w:styleId="60">
    <w:name w:val="toc 6"/>
    <w:basedOn w:val="a"/>
    <w:next w:val="a"/>
    <w:autoRedefine/>
    <w:uiPriority w:val="39"/>
    <w:unhideWhenUsed/>
    <w:rsid w:val="001040ED"/>
    <w:pPr>
      <w:ind w:leftChars="1000" w:left="2100"/>
    </w:pPr>
  </w:style>
  <w:style w:type="paragraph" w:styleId="70">
    <w:name w:val="toc 7"/>
    <w:basedOn w:val="a"/>
    <w:next w:val="a"/>
    <w:autoRedefine/>
    <w:uiPriority w:val="39"/>
    <w:unhideWhenUsed/>
    <w:rsid w:val="001040ED"/>
    <w:pPr>
      <w:ind w:leftChars="1200" w:left="2520"/>
    </w:pPr>
  </w:style>
  <w:style w:type="paragraph" w:styleId="80">
    <w:name w:val="toc 8"/>
    <w:basedOn w:val="a"/>
    <w:next w:val="a"/>
    <w:autoRedefine/>
    <w:uiPriority w:val="39"/>
    <w:unhideWhenUsed/>
    <w:rsid w:val="001040ED"/>
    <w:pPr>
      <w:ind w:leftChars="1400" w:left="2940"/>
    </w:pPr>
  </w:style>
  <w:style w:type="paragraph" w:styleId="90">
    <w:name w:val="toc 9"/>
    <w:basedOn w:val="a"/>
    <w:next w:val="a"/>
    <w:autoRedefine/>
    <w:uiPriority w:val="39"/>
    <w:unhideWhenUsed/>
    <w:rsid w:val="001040ED"/>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269684">
      <w:bodyDiv w:val="1"/>
      <w:marLeft w:val="0"/>
      <w:marRight w:val="0"/>
      <w:marTop w:val="0"/>
      <w:marBottom w:val="0"/>
      <w:divBdr>
        <w:top w:val="none" w:sz="0" w:space="0" w:color="auto"/>
        <w:left w:val="none" w:sz="0" w:space="0" w:color="auto"/>
        <w:bottom w:val="none" w:sz="0" w:space="0" w:color="auto"/>
        <w:right w:val="none" w:sz="0" w:space="0" w:color="auto"/>
      </w:divBdr>
      <w:divsChild>
        <w:div w:id="938373589">
          <w:marLeft w:val="0"/>
          <w:marRight w:val="0"/>
          <w:marTop w:val="0"/>
          <w:marBottom w:val="0"/>
          <w:divBdr>
            <w:top w:val="none" w:sz="0" w:space="0" w:color="auto"/>
            <w:left w:val="none" w:sz="0" w:space="0" w:color="auto"/>
            <w:bottom w:val="none" w:sz="0" w:space="0" w:color="auto"/>
            <w:right w:val="none" w:sz="0" w:space="0" w:color="auto"/>
          </w:divBdr>
        </w:div>
      </w:divsChild>
    </w:div>
    <w:div w:id="949244935">
      <w:bodyDiv w:val="1"/>
      <w:marLeft w:val="0"/>
      <w:marRight w:val="0"/>
      <w:marTop w:val="0"/>
      <w:marBottom w:val="0"/>
      <w:divBdr>
        <w:top w:val="none" w:sz="0" w:space="0" w:color="auto"/>
        <w:left w:val="none" w:sz="0" w:space="0" w:color="auto"/>
        <w:bottom w:val="none" w:sz="0" w:space="0" w:color="auto"/>
        <w:right w:val="none" w:sz="0" w:space="0" w:color="auto"/>
      </w:divBdr>
      <w:divsChild>
        <w:div w:id="633147321">
          <w:marLeft w:val="0"/>
          <w:marRight w:val="0"/>
          <w:marTop w:val="0"/>
          <w:marBottom w:val="0"/>
          <w:divBdr>
            <w:top w:val="none" w:sz="0" w:space="0" w:color="auto"/>
            <w:left w:val="none" w:sz="0" w:space="0" w:color="auto"/>
            <w:bottom w:val="none" w:sz="0" w:space="0" w:color="auto"/>
            <w:right w:val="none" w:sz="0" w:space="0" w:color="auto"/>
          </w:divBdr>
        </w:div>
      </w:divsChild>
    </w:div>
    <w:div w:id="1449858003">
      <w:bodyDiv w:val="1"/>
      <w:marLeft w:val="0"/>
      <w:marRight w:val="0"/>
      <w:marTop w:val="0"/>
      <w:marBottom w:val="0"/>
      <w:divBdr>
        <w:top w:val="none" w:sz="0" w:space="0" w:color="auto"/>
        <w:left w:val="none" w:sz="0" w:space="0" w:color="auto"/>
        <w:bottom w:val="none" w:sz="0" w:space="0" w:color="auto"/>
        <w:right w:val="none" w:sz="0" w:space="0" w:color="auto"/>
      </w:divBdr>
      <w:divsChild>
        <w:div w:id="2091343237">
          <w:marLeft w:val="0"/>
          <w:marRight w:val="0"/>
          <w:marTop w:val="0"/>
          <w:marBottom w:val="0"/>
          <w:divBdr>
            <w:top w:val="none" w:sz="0" w:space="0" w:color="auto"/>
            <w:left w:val="none" w:sz="0" w:space="0" w:color="auto"/>
            <w:bottom w:val="none" w:sz="0" w:space="0" w:color="auto"/>
            <w:right w:val="none" w:sz="0" w:space="0" w:color="auto"/>
          </w:divBdr>
        </w:div>
      </w:divsChild>
    </w:div>
    <w:div w:id="1541819265">
      <w:bodyDiv w:val="1"/>
      <w:marLeft w:val="0"/>
      <w:marRight w:val="0"/>
      <w:marTop w:val="0"/>
      <w:marBottom w:val="0"/>
      <w:divBdr>
        <w:top w:val="none" w:sz="0" w:space="0" w:color="auto"/>
        <w:left w:val="none" w:sz="0" w:space="0" w:color="auto"/>
        <w:bottom w:val="none" w:sz="0" w:space="0" w:color="auto"/>
        <w:right w:val="none" w:sz="0" w:space="0" w:color="auto"/>
      </w:divBdr>
      <w:divsChild>
        <w:div w:id="1934975322">
          <w:marLeft w:val="0"/>
          <w:marRight w:val="0"/>
          <w:marTop w:val="0"/>
          <w:marBottom w:val="0"/>
          <w:divBdr>
            <w:top w:val="none" w:sz="0" w:space="0" w:color="auto"/>
            <w:left w:val="none" w:sz="0" w:space="0" w:color="auto"/>
            <w:bottom w:val="none" w:sz="0" w:space="0" w:color="auto"/>
            <w:right w:val="none" w:sz="0" w:space="0" w:color="auto"/>
          </w:divBdr>
        </w:div>
      </w:divsChild>
    </w:div>
    <w:div w:id="2015036435">
      <w:bodyDiv w:val="1"/>
      <w:marLeft w:val="0"/>
      <w:marRight w:val="0"/>
      <w:marTop w:val="0"/>
      <w:marBottom w:val="0"/>
      <w:divBdr>
        <w:top w:val="none" w:sz="0" w:space="0" w:color="auto"/>
        <w:left w:val="none" w:sz="0" w:space="0" w:color="auto"/>
        <w:bottom w:val="none" w:sz="0" w:space="0" w:color="auto"/>
        <w:right w:val="none" w:sz="0" w:space="0" w:color="auto"/>
      </w:divBdr>
      <w:divsChild>
        <w:div w:id="1091195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o.com/link?m=a5k3tt4Lu8gZ9IBOmuFwleVk1IUNF84r2M%2B1S5T4XIRrClEyqhvVlYgpHnq94mPVLvcrFA69tqADm6UlAOtzzddRpt%2BnVucYgN58UiTyqffeM1xd1VJCtoVjNBFQeZ0Q4TyXysYnZa7cGc2kLDzlmDO9f3WMsU8hK8eW67xagyAiksuboeIsSp4Fi9Ew3jwgl4q2jAFZgZcXCzpiSrhQXJ0ZL9oAugoYgw62BcmlnGFzD0gqWtNA33jvPcMg%3D" TargetMode="External"/><Relationship Id="rId117" Type="http://schemas.openxmlformats.org/officeDocument/2006/relationships/hyperlink" Target="http://www.so.com/link?m=atAvb0Mn1sW0wsnZCW%2FG%2BcBUMVN0QQ2kvpGsNBDN70wFCJwueg44WsTTFXVzrVD2xQO6XmH10mBi6BG%2Fbgi7L8Ky5mwby6nQP3WseV1PGyusIfx2rVFT2%2Blvez64r42JyBADaGV%2Fm21UnleT%2BzhXAPEXIHqcghKO2rjo4r0vJDyY%3D" TargetMode="External"/><Relationship Id="rId21" Type="http://schemas.openxmlformats.org/officeDocument/2006/relationships/hyperlink" Target="http://www.so.com/link?m=ag9hODhFV0WUhUYhmM63j3MVwOGhfFPRWY0x4m2OPQbtgoQB%2Bf2Anz4gGWpjp7qiB8QsFLTfud%2Foq7PxjYnE9tI%2BEUgh5Oq3TKjMCSWylRkh63eDSeHs9DMMf18HFuLN5rxdlNKeTypG5giqdpjf4RwAQv7IQ0hlv66oTTp2Vypw1DP5X%2Fvx1%2F7FmAJg37wq1iDXti3uUGfYzRd7GBA1x9KOrpSWu8pcybw6AF%2BlcYkIRTpWXiemOi2FeKCOANLt9PXRur1OcqG6dZR4qDOCgMw%3D%3D" TargetMode="External"/><Relationship Id="rId42" Type="http://schemas.openxmlformats.org/officeDocument/2006/relationships/hyperlink" Target="http://baike.baidu.com/view/85026.htm" TargetMode="External"/><Relationship Id="rId47" Type="http://schemas.openxmlformats.org/officeDocument/2006/relationships/hyperlink" Target="http://baike.baidu.com/view/348444.htm" TargetMode="External"/><Relationship Id="rId63" Type="http://schemas.openxmlformats.org/officeDocument/2006/relationships/footer" Target="footer11.xml"/><Relationship Id="rId68" Type="http://schemas.openxmlformats.org/officeDocument/2006/relationships/image" Target="media/image4.png"/><Relationship Id="rId84" Type="http://schemas.openxmlformats.org/officeDocument/2006/relationships/hyperlink" Target="http://www.jzn1.com/search.aspx?q=&#35268;&#33539;" TargetMode="External"/><Relationship Id="rId89" Type="http://schemas.openxmlformats.org/officeDocument/2006/relationships/hyperlink" Target="http://www.jzn1.com/search.aspx?q=&#30005;&#21147;" TargetMode="External"/><Relationship Id="rId112" Type="http://schemas.openxmlformats.org/officeDocument/2006/relationships/hyperlink" Target="http://www.so.com/link?m=aOQd4gvmEPIkeMrREzNWEsuCEOqHNF9uswVkI8LGqkZZyXkyRc2JkWIE3oKiDPwJ2t9zwDbUONN7pWZ%2B8G%2FBvsUi3uUcuFapRoJsLrTtrtNG8TMEH" TargetMode="External"/><Relationship Id="rId16" Type="http://schemas.openxmlformats.org/officeDocument/2006/relationships/hyperlink" Target="http://www.so.com/link?m=aOQd4gvmEPIkeMrREzNWEsuCEOqHNF9uswVkI8LGqkZZyXkyRc2JkWIE3oKiDPwJ2t9zwDbUONN7pWZ%2B8G%2FBvsUi3uUcuFapRoJsLrTtrtNG8TMEH" TargetMode="External"/><Relationship Id="rId107" Type="http://schemas.openxmlformats.org/officeDocument/2006/relationships/hyperlink" Target="http://www.jzn1.com/search.aspx?q=&#35774;&#35745;" TargetMode="External"/><Relationship Id="rId11" Type="http://schemas.openxmlformats.org/officeDocument/2006/relationships/hyperlink" Target="http://www.so.com/link?m=aMWSy9oYe5JHWZYhToLv%2FEBDXGtrld9Myx7mNkewkHn0JfCLvAyGUFinlxKmfV3vFDAAb%2Fmub90eklLHZ48u5gkw7pU7o9oVohCUZR%2BohgyExjur%2F" TargetMode="External"/><Relationship Id="rId32" Type="http://schemas.openxmlformats.org/officeDocument/2006/relationships/hyperlink" Target="https://baike.so.com/doc/6048464-6261481.html" TargetMode="External"/><Relationship Id="rId37" Type="http://schemas.openxmlformats.org/officeDocument/2006/relationships/footer" Target="footer8.xml"/><Relationship Id="rId53" Type="http://schemas.openxmlformats.org/officeDocument/2006/relationships/hyperlink" Target="http://baike.baidu.com/view/2561780.htm" TargetMode="External"/><Relationship Id="rId58" Type="http://schemas.openxmlformats.org/officeDocument/2006/relationships/image" Target="media/image1.png"/><Relationship Id="rId74" Type="http://schemas.openxmlformats.org/officeDocument/2006/relationships/hyperlink" Target="http://www.jzn1.com/search.aspx?q=&#30005;&#21147;" TargetMode="External"/><Relationship Id="rId79" Type="http://schemas.openxmlformats.org/officeDocument/2006/relationships/hyperlink" Target="http://www.jzn1.com/search.aspx?q=&#24314;&#31569;" TargetMode="External"/><Relationship Id="rId102" Type="http://schemas.openxmlformats.org/officeDocument/2006/relationships/hyperlink" Target="http://www.jzn1.com/search.aspx?q=&#24314;&#31569;" TargetMode="External"/><Relationship Id="rId123" Type="http://schemas.openxmlformats.org/officeDocument/2006/relationships/image" Target="media/image7.png"/><Relationship Id="rId128" Type="http://schemas.openxmlformats.org/officeDocument/2006/relationships/image" Target="media/image11.png"/><Relationship Id="rId5" Type="http://schemas.openxmlformats.org/officeDocument/2006/relationships/settings" Target="settings.xml"/><Relationship Id="rId90" Type="http://schemas.openxmlformats.org/officeDocument/2006/relationships/hyperlink" Target="http://www.jzn1.com/search.aspx?q=&#35774;&#35745;" TargetMode="External"/><Relationship Id="rId95" Type="http://schemas.openxmlformats.org/officeDocument/2006/relationships/hyperlink" Target="http://www.jzn1.com/search.aspx?q=&#35268;&#33539;" TargetMode="External"/><Relationship Id="rId19" Type="http://schemas.openxmlformats.org/officeDocument/2006/relationships/hyperlink" Target="http://www.so.com/link?m=atAvb0Mn1sW0wsnZCW%2FG%2BcBUMVN0QQ2kvpGsNBDN70wFCJwueg44WsTTFXVzrVD2xQO6XmH10mBi6BG%2Fbgi7L8Ky5mwby6nQP3WseV1PGyusIfx2rVFT2%2Blvez64r42JyBADaGV%2Fm21UnleT%2BzhXAPEXIHqcghKO2rjo4r0vJDyY%3D" TargetMode="External"/><Relationship Id="rId14" Type="http://schemas.openxmlformats.org/officeDocument/2006/relationships/hyperlink" Target="http://www.so.com/link?m=aOQd4gvmEPIkeMrREzNWEsuCEOqHNF9uswVkI8LGqkZZyXkyRc2JkWIE3oKiDPwJ2t9zwDbUONN7pWZ%2B8G%2FBvsUi3uUcuFapRoJsLrTtrtNG8TMEH" TargetMode="External"/><Relationship Id="rId22" Type="http://schemas.openxmlformats.org/officeDocument/2006/relationships/footer" Target="footer2.xml"/><Relationship Id="rId27" Type="http://schemas.openxmlformats.org/officeDocument/2006/relationships/hyperlink" Target="http://www.so.com/link?m=a2sarc87Ibbz18hT2L09GtpsfGpcL72wuh6okrnjQmzG8oULj7lPrbrfK8XJb7aU1udlQ19iNodrfZQDnzaE6QSrTy44qfdHn0NI0h9D3ICeuL48AZz2InQ%3D%3D" TargetMode="External"/><Relationship Id="rId30" Type="http://schemas.openxmlformats.org/officeDocument/2006/relationships/hyperlink" Target="https://baike.so.com/doc/6019439-6232434.html" TargetMode="External"/><Relationship Id="rId35" Type="http://schemas.openxmlformats.org/officeDocument/2006/relationships/footer" Target="footer6.xml"/><Relationship Id="rId43" Type="http://schemas.openxmlformats.org/officeDocument/2006/relationships/hyperlink" Target="http://baike.baidu.com/view/1279108.htm" TargetMode="External"/><Relationship Id="rId48" Type="http://schemas.openxmlformats.org/officeDocument/2006/relationships/hyperlink" Target="http://baike.baidu.com/view/6164483.htm" TargetMode="External"/><Relationship Id="rId56" Type="http://schemas.openxmlformats.org/officeDocument/2006/relationships/hyperlink" Target="http://www.so.com/link?m=aRSJgMJ5a6uwz%2BJCVRckgDUcDW2vR5RDCE3WLYwmbys54NWbBiZIYUAwEDWq98fTNEXzasdAiK%2B4J25a%2FI73YVILAQr0b1mfFyYEz4m6ysTc8nvVk" TargetMode="External"/><Relationship Id="rId64" Type="http://schemas.openxmlformats.org/officeDocument/2006/relationships/footer" Target="footer12.xml"/><Relationship Id="rId69" Type="http://schemas.openxmlformats.org/officeDocument/2006/relationships/image" Target="media/image5.png"/><Relationship Id="rId77" Type="http://schemas.openxmlformats.org/officeDocument/2006/relationships/image" Target="media/image6.png"/><Relationship Id="rId100" Type="http://schemas.openxmlformats.org/officeDocument/2006/relationships/hyperlink" Target="http://www.jzn1.com/search.aspx?q=&#24314;&#31569;" TargetMode="External"/><Relationship Id="rId105" Type="http://schemas.openxmlformats.org/officeDocument/2006/relationships/hyperlink" Target="http://www.jzn1.com/search.aspx?q=&#35774;&#35745;" TargetMode="External"/><Relationship Id="rId113" Type="http://schemas.openxmlformats.org/officeDocument/2006/relationships/hyperlink" Target="http://www.so.com/link?m=ag9hODhFV0WUhUYhmM63j3MVwOGhfFPRWY0x4m2OPQbtgoQB%2Bf2Anz4gGWpjp7qiB8QsFLTfud%2Foq7PxjYnE9tI%2BEUgh5Oq3TKjMCSWylRkh63eDSeHs9DMMf18HFuLN5rxdlNKeTypG5giqdpjf4RwAQv7IQ0hlv66oTTp2Vypw1DP5X%2Fvx1%2F7FmAJg37wq1iDXti3uUGfYzRd7GBA1x9KOrpSWu8pcybw6AF%2BlcYkIRTpWXiemOi2FeKCOANLt9PXRur1OcqG6dZR4qDOCgMw%3D%3D" TargetMode="External"/><Relationship Id="rId118" Type="http://schemas.openxmlformats.org/officeDocument/2006/relationships/hyperlink" Target="http://www.so.com/link?m=atAvb0Mn1sW0wsnZCW%2FG%2BcBUMVN0QQ2kvpGsNBDN70wFCJwueg44WsTTFXVzrVD2xQO6XmH10mBi6BG%2Fbgi7L8Ky5mwby6nQP3WseV1PGyusIfx2rVFT2%2Blvez64r42JyBADaGV%2Fm21UnleT%2BzhXAPEXIHqcghKO2rjo4r0vJDyY%3D" TargetMode="External"/><Relationship Id="rId126" Type="http://schemas.openxmlformats.org/officeDocument/2006/relationships/hyperlink" Target="http://www.jzn1.com/search.aspx?q=&#24314;&#31569;" TargetMode="External"/><Relationship Id="rId8" Type="http://schemas.openxmlformats.org/officeDocument/2006/relationships/endnotes" Target="endnotes.xml"/><Relationship Id="rId51" Type="http://schemas.openxmlformats.org/officeDocument/2006/relationships/hyperlink" Target="http://baike.baidu.com/view/684508.htm" TargetMode="External"/><Relationship Id="rId72" Type="http://schemas.openxmlformats.org/officeDocument/2006/relationships/hyperlink" Target="http://www.jzn1.com/search.aspx?q=&#35774;&#35745;" TargetMode="External"/><Relationship Id="rId80" Type="http://schemas.openxmlformats.org/officeDocument/2006/relationships/hyperlink" Target="http://www.jzn1.com/search.aspx?q=&#24314;&#31569;" TargetMode="External"/><Relationship Id="rId85" Type="http://schemas.openxmlformats.org/officeDocument/2006/relationships/hyperlink" Target="http://www.jzn1.com/search.aspx?q=&#24314;&#31569;" TargetMode="External"/><Relationship Id="rId93" Type="http://schemas.openxmlformats.org/officeDocument/2006/relationships/hyperlink" Target="http://www.jzn1.com/search.aspx?q=&#30005;&#21147;" TargetMode="External"/><Relationship Id="rId98" Type="http://schemas.openxmlformats.org/officeDocument/2006/relationships/hyperlink" Target="http://www.jzn1.com/search.aspx?q=&#35268;&#33539;" TargetMode="External"/><Relationship Id="rId121" Type="http://schemas.openxmlformats.org/officeDocument/2006/relationships/hyperlink" Target="http://www.so.com/link?m=a2CIQ3kbpb8gTAD1UZ0DYcLdTAll410GDPCzgNX0wudtumyJHXbqx1ucKAZUqO2BvD4wuffM2JxtzC9bh2KhKsM5NhF3Q1AZ1ghOWismXLmDkLq%2Fy" TargetMode="External"/><Relationship Id="rId3" Type="http://schemas.openxmlformats.org/officeDocument/2006/relationships/styles" Target="styles.xml"/><Relationship Id="rId12" Type="http://schemas.openxmlformats.org/officeDocument/2006/relationships/hyperlink" Target="http://www.so.com/link?m=aRSJgMJ5a6uwz%2BJCVRckgDUcDW2vR5RDCE3WLYwmbys54NWbBiZIYUAwEDWq98fTNEXzasdAiK%2B4J25a%2FI73YVILAQr0b1mfFyYEz4m6ysTc8nvVk" TargetMode="External"/><Relationship Id="rId17" Type="http://schemas.openxmlformats.org/officeDocument/2006/relationships/hyperlink" Target="http://www.so.com/link?m=aOQd4gvmEPIkeMrREzNWEsuCEOqHNF9uswVkI8LGqkZZyXkyRc2JkWIE3oKiDPwJ2t9zwDbUONN7pWZ%2B8G%2FBvsUi3uUcuFapRoJsLrTtrtNG8TMEH" TargetMode="External"/><Relationship Id="rId25" Type="http://schemas.openxmlformats.org/officeDocument/2006/relationships/hyperlink" Target="http://www.so.com/link?m=a5k3tt4Lu8gZ9IBOmuFwleVk1IUNF84r2M%2B1S5T4XIRrClEyqhvVlYgpHnq94mPVLvcrFA69tqADm6UlAOtzzddRpt%2BnVucYgN58UiTyqffeM1xd1VJCtoVjNBFQeZ0Q4TyXysYnZa7cGc2kLDzlmDO9f3WMsU8hK8eW67xagyAiksuboeIsSp4Fi9Ew3jwgl4q2jAFZgZcXCzpiSrhQXJ0ZL9oAugoYgw62BcmlnGFzD0gqWtNA33jvPcMg%3D" TargetMode="External"/><Relationship Id="rId33" Type="http://schemas.openxmlformats.org/officeDocument/2006/relationships/hyperlink" Target="https://baike.so.com/doc/5422421-5660617.html" TargetMode="External"/><Relationship Id="rId38" Type="http://schemas.openxmlformats.org/officeDocument/2006/relationships/hyperlink" Target="http://baike.baidu.com/view/3067.htm" TargetMode="External"/><Relationship Id="rId46" Type="http://schemas.openxmlformats.org/officeDocument/2006/relationships/hyperlink" Target="http://baike.baidu.com/view/1279108.htm" TargetMode="External"/><Relationship Id="rId59" Type="http://schemas.openxmlformats.org/officeDocument/2006/relationships/image" Target="media/image2.png"/><Relationship Id="rId67" Type="http://schemas.openxmlformats.org/officeDocument/2006/relationships/image" Target="media/image3.png"/><Relationship Id="rId103" Type="http://schemas.openxmlformats.org/officeDocument/2006/relationships/hyperlink" Target="http://www.jzn1.com/search.aspx?q=&#24314;&#31569;" TargetMode="External"/><Relationship Id="rId108" Type="http://schemas.openxmlformats.org/officeDocument/2006/relationships/hyperlink" Target="http://www.jzn1.com/search.aspx?q=&#24314;&#31569;" TargetMode="External"/><Relationship Id="rId116" Type="http://schemas.openxmlformats.org/officeDocument/2006/relationships/hyperlink" Target="http://www.so.com/link?m=atAvb0Mn1sW0wsnZCW%2FG%2BcBUMVN0QQ2kvpGsNBDN70wFCJwueg44WsTTFXVzrVD2xQO6XmH10mBi6BG%2Fbgi7L8Ky5mwby6nQP3WseV1PGyusIfx2rVFT2%2Blvez64r42JyBADaGV%2Fm21UnleT%2BzhXAPEXIHqcghKO2rjo4r0vJDyY%3D" TargetMode="External"/><Relationship Id="rId124" Type="http://schemas.openxmlformats.org/officeDocument/2006/relationships/image" Target="media/image8.png"/><Relationship Id="rId129" Type="http://schemas.openxmlformats.org/officeDocument/2006/relationships/fontTable" Target="fontTable.xml"/><Relationship Id="rId20" Type="http://schemas.openxmlformats.org/officeDocument/2006/relationships/hyperlink" Target="http://www.so.com/link?m=atAvb0Mn1sW0wsnZCW%2FG%2BcBUMVN0QQ2kvpGsNBDN70wFCJwueg44WsTTFXVzrVD2xQO6XmH10mBi6BG%2Fbgi7L8Ky5mwby6nQP3WseV1PGyusIfx2rVFT2%2Blvez64r42JyBADaGV%2Fm21UnleT%2BzhXAPEXIHqcghKO2rjo4r0vJDyY%3D" TargetMode="External"/><Relationship Id="rId41" Type="http://schemas.openxmlformats.org/officeDocument/2006/relationships/hyperlink" Target="http://baike.baidu.com/view/87408.htm" TargetMode="External"/><Relationship Id="rId54" Type="http://schemas.openxmlformats.org/officeDocument/2006/relationships/footer" Target="footer9.xml"/><Relationship Id="rId62" Type="http://schemas.openxmlformats.org/officeDocument/2006/relationships/hyperlink" Target="http://baike.baidu.com/item/%E6%A0%88%E6%A1%A5" TargetMode="External"/><Relationship Id="rId70" Type="http://schemas.openxmlformats.org/officeDocument/2006/relationships/hyperlink" Target="http://www.jzn1.com/search.aspx?q=&#24314;&#31569;" TargetMode="External"/><Relationship Id="rId75" Type="http://schemas.openxmlformats.org/officeDocument/2006/relationships/hyperlink" Target="http://www.jzn1.com/search.aspx?q=&#35774;&#35745;" TargetMode="External"/><Relationship Id="rId83" Type="http://schemas.openxmlformats.org/officeDocument/2006/relationships/hyperlink" Target="http://www.jzn1.com/search.aspx?q=&#24314;&#31569;" TargetMode="External"/><Relationship Id="rId88" Type="http://schemas.openxmlformats.org/officeDocument/2006/relationships/hyperlink" Target="http://www.jzn1.com/search.aspx?q=&#35268;&#33539;" TargetMode="External"/><Relationship Id="rId91" Type="http://schemas.openxmlformats.org/officeDocument/2006/relationships/hyperlink" Target="http://www.jzn1.com/search.aspx?q=&#35268;&#33539;" TargetMode="External"/><Relationship Id="rId96" Type="http://schemas.openxmlformats.org/officeDocument/2006/relationships/hyperlink" Target="http://www.jzn1.com/search.aspx?q=&#30005;&#21147;" TargetMode="External"/><Relationship Id="rId111" Type="http://schemas.openxmlformats.org/officeDocument/2006/relationships/hyperlink" Target="http://www.so.com/link?m=aRSJgMJ5a6uwz%2BJCVRckgDUcDW2vR5RDCE3WLYwmbys54NWbBiZIYUAwEDWq98fTNEXzasdAiK%2B4J25a%2FI73YVILAQr0b1mfFyYEz4m6ysTc8nvV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o.com/link?m=ag9hODhFV0WUhUYhmM63j3MVwOGhfFPRWY0x4m2OPQbtgoQB%2Bf2Anz4gGWpjp7qiB8QsFLTfud%2Foq7PxjYnE9tI%2BEUgh5Oq3TKjMCSWylRkh63eDSeHs9DMMf18HFuLN5rxdlNKeTypG5giqdpjf4RwAQv7IQ0hlv66oTTp2Vypw1DP5X%2Fvx1%2F7FmAJg37wq1iDXti3uUGfYzRd7GBA1x9KOrpSWu8pcybw6AF%2BlcYkIRTpWXiemOi2FeKCOANLt9PXRur1OcqG6dZR4qDOCgMw%3D%3D" TargetMode="External"/><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footer" Target="footer7.xml"/><Relationship Id="rId49" Type="http://schemas.openxmlformats.org/officeDocument/2006/relationships/hyperlink" Target="http://baike.baidu.com/view/266488.htm" TargetMode="External"/><Relationship Id="rId57" Type="http://schemas.openxmlformats.org/officeDocument/2006/relationships/hyperlink" Target="http://baike.baidu.com/item/%E5%9C%B0%E9%9C%87%E6%B4%BB%E5%8A%A8%E6%96%AD%E5%B1%82" TargetMode="External"/><Relationship Id="rId106" Type="http://schemas.openxmlformats.org/officeDocument/2006/relationships/hyperlink" Target="http://www.jzn1.com/search.aspx?q=&#35268;&#33539;" TargetMode="External"/><Relationship Id="rId114" Type="http://schemas.openxmlformats.org/officeDocument/2006/relationships/hyperlink" Target="http://www.so.com/link?m=aOQd4gvmEPIkeMrREzNWEsuCEOqHNF9uswVkI8LGqkZZyXkyRc2JkWIE3oKiDPwJ2t9zwDbUONN7pWZ%2B8G%2FBvsUi3uUcuFapRoJsLrTtrtNG8TMEH" TargetMode="External"/><Relationship Id="rId119" Type="http://schemas.openxmlformats.org/officeDocument/2006/relationships/hyperlink" Target="http://www.so.com/link?m=ag9hODhFV0WUhUYhmM63j3MVwOGhfFPRWY0x4m2OPQbtgoQB%2Bf2Anz4gGWpjp7qiB8QsFLTfud%2Foq7PxjYnE9tI%2BEUgh5Oq3TKjMCSWylRkh63eDSeHs9DMMf18HFuLN5rxdlNKeTypG5giqdpjf4RwAQv7IQ0hlv66oTTp2Vypw1DP5X%2Fvx1%2F7FmAJg37wq1iDXti3uUGfYzRd7GBA1x9KOrpSWu8pcybw6AF%2BlcYkIRTpWXiemOi2FeKCOANLt9PXRur1OcqG6dZR4qDOCgMw%3D%3D" TargetMode="External"/><Relationship Id="rId127" Type="http://schemas.openxmlformats.org/officeDocument/2006/relationships/image" Target="media/image10.png"/><Relationship Id="rId10" Type="http://schemas.openxmlformats.org/officeDocument/2006/relationships/hyperlink" Target="http://www.so.com/link?m=aOQd4gvmEPIkeMrREzNWEsuCEOqHNF9uswVkI8LGqkZZyXkyRc2JkWIE3oKiDPwJ2t9zwDbUONN7pWZ%2B8G%2FBvsUi3uUcuFapRoJsLrTtrtNG8TMEH" TargetMode="External"/><Relationship Id="rId31" Type="http://schemas.openxmlformats.org/officeDocument/2006/relationships/hyperlink" Target="https://baike.so.com/doc/185581-196027.html" TargetMode="External"/><Relationship Id="rId44" Type="http://schemas.openxmlformats.org/officeDocument/2006/relationships/hyperlink" Target="http://baike.baidu.com/view/139716.htm" TargetMode="External"/><Relationship Id="rId52" Type="http://schemas.openxmlformats.org/officeDocument/2006/relationships/hyperlink" Target="http://baike.baidu.com/view/673434.htm" TargetMode="External"/><Relationship Id="rId60" Type="http://schemas.openxmlformats.org/officeDocument/2006/relationships/hyperlink" Target="http://baike.baidu.com/item/%E6%9E%B6%E7%A9%BA%E7%AE%A1%E9%81%93" TargetMode="External"/><Relationship Id="rId65" Type="http://schemas.openxmlformats.org/officeDocument/2006/relationships/hyperlink" Target="http://www.jzn1.com/search.aspx?q=&#24314;&#31569;" TargetMode="External"/><Relationship Id="rId73" Type="http://schemas.openxmlformats.org/officeDocument/2006/relationships/hyperlink" Target="http://www.jzn1.com/search.aspx?q=&#35268;&#33539;" TargetMode="External"/><Relationship Id="rId78" Type="http://schemas.openxmlformats.org/officeDocument/2006/relationships/hyperlink" Target="http://www.jzn1.com/search.aspx?q=&#24314;&#31569;" TargetMode="External"/><Relationship Id="rId81" Type="http://schemas.openxmlformats.org/officeDocument/2006/relationships/hyperlink" Target="http://www.jzn1.com/search.aspx?q=&#35268;&#33539;" TargetMode="External"/><Relationship Id="rId86" Type="http://schemas.openxmlformats.org/officeDocument/2006/relationships/hyperlink" Target="http://www.jzn1.com/search.aspx?q=&#35268;&#33539;" TargetMode="External"/><Relationship Id="rId94" Type="http://schemas.openxmlformats.org/officeDocument/2006/relationships/hyperlink" Target="http://www.jzn1.com/search.aspx?q=&#35774;&#35745;" TargetMode="External"/><Relationship Id="rId99" Type="http://schemas.openxmlformats.org/officeDocument/2006/relationships/hyperlink" Target="http://www.jzn1.com/search.aspx?q=&#25511;&#21046;" TargetMode="External"/><Relationship Id="rId101" Type="http://schemas.openxmlformats.org/officeDocument/2006/relationships/hyperlink" Target="http://www.jzn1.com/search.aspx?q=&#24314;&#31569;" TargetMode="External"/><Relationship Id="rId122" Type="http://schemas.openxmlformats.org/officeDocument/2006/relationships/footer" Target="footer13.xml"/><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www.so.com/link?m=aRSJgMJ5a6uwz%2BJCVRckgDUcDW2vR5RDCE3WLYwmbys54NWbBiZIYUAwEDWq98fTNEXzasdAiK%2B4J25a%2FI73YVILAQr0b1mfFyYEz4m6ysTc8nvVk" TargetMode="External"/><Relationship Id="rId18" Type="http://schemas.openxmlformats.org/officeDocument/2006/relationships/hyperlink" Target="http://www.so.com/link?m=atAvb0Mn1sW0wsnZCW%2FG%2BcBUMVN0QQ2kvpGsNBDN70wFCJwueg44WsTTFXVzrVD2xQO6XmH10mBi6BG%2Fbgi7L8Ky5mwby6nQP3WseV1PGyusIfx2rVFT2%2Blvez64r42JyBADaGV%2Fm21UnleT%2BzhXAPEXIHqcghKO2rjo4r0vJDyY%3D" TargetMode="External"/><Relationship Id="rId39" Type="http://schemas.openxmlformats.org/officeDocument/2006/relationships/hyperlink" Target="http://baike.baidu.com/view/50843.htm" TargetMode="External"/><Relationship Id="rId109" Type="http://schemas.openxmlformats.org/officeDocument/2006/relationships/hyperlink" Target="http://www.jzn1.com/search.aspx?q=&#35774;&#35745;" TargetMode="External"/><Relationship Id="rId34" Type="http://schemas.openxmlformats.org/officeDocument/2006/relationships/footer" Target="footer5.xml"/><Relationship Id="rId50" Type="http://schemas.openxmlformats.org/officeDocument/2006/relationships/hyperlink" Target="http://baike.baidu.com/view/1279108.htm" TargetMode="External"/><Relationship Id="rId55" Type="http://schemas.openxmlformats.org/officeDocument/2006/relationships/footer" Target="footer10.xml"/><Relationship Id="rId76" Type="http://schemas.openxmlformats.org/officeDocument/2006/relationships/hyperlink" Target="http://www.jzn1.com/search.aspx?q=&#35268;&#33539;" TargetMode="External"/><Relationship Id="rId97" Type="http://schemas.openxmlformats.org/officeDocument/2006/relationships/hyperlink" Target="http://www.jzn1.com/search.aspx?q=&#35774;&#35745;" TargetMode="External"/><Relationship Id="rId104" Type="http://schemas.openxmlformats.org/officeDocument/2006/relationships/hyperlink" Target="http://www.jzn1.com/search.aspx?q=&#24314;&#31569;" TargetMode="External"/><Relationship Id="rId120" Type="http://schemas.openxmlformats.org/officeDocument/2006/relationships/hyperlink" Target="http://www.so.com/link?m=a2CIQ3kbpb8gTAD1UZ0DYcLdTAll410GDPCzgNX0wudtumyJHXbqx1ucKAZUqO2BvD4wuffM2JxtzC9bh2KhKsM5NhF3Q1AZ1ghOWismXLmDkLq%2Fy" TargetMode="External"/><Relationship Id="rId125" Type="http://schemas.openxmlformats.org/officeDocument/2006/relationships/image" Target="media/image9.png"/><Relationship Id="rId7" Type="http://schemas.openxmlformats.org/officeDocument/2006/relationships/footnotes" Target="footnotes.xml"/><Relationship Id="rId71" Type="http://schemas.openxmlformats.org/officeDocument/2006/relationships/hyperlink" Target="http://www.jzn1.com/search.aspx?q=&#24314;&#31569;" TargetMode="External"/><Relationship Id="rId92" Type="http://schemas.openxmlformats.org/officeDocument/2006/relationships/hyperlink" Target="http://www.jzn1.com/search.aspx?q=&#35774;&#35745;" TargetMode="External"/><Relationship Id="rId2" Type="http://schemas.openxmlformats.org/officeDocument/2006/relationships/numbering" Target="numbering.xml"/><Relationship Id="rId29" Type="http://schemas.openxmlformats.org/officeDocument/2006/relationships/hyperlink" Target="https://baike.so.com/doc/4581116-7116895.html" TargetMode="External"/><Relationship Id="rId24" Type="http://schemas.openxmlformats.org/officeDocument/2006/relationships/hyperlink" Target="http://www.so.com/link?m=aMWSy9oYe5JHWZYhToLv%2FEBDXGtrld9Myx7mNkewkHn0JfCLvAyGUFinlxKmfV3vFDAAb%2Fmub90eklLHZ48u5gkw7pU7o9oVohCUZR%2BohgyExjur%2F" TargetMode="External"/><Relationship Id="rId40" Type="http://schemas.openxmlformats.org/officeDocument/2006/relationships/hyperlink" Target="http://baike.baidu.com/view/63146.htm" TargetMode="External"/><Relationship Id="rId45" Type="http://schemas.openxmlformats.org/officeDocument/2006/relationships/hyperlink" Target="http://baike.baidu.com/view/880284.htm" TargetMode="External"/><Relationship Id="rId66" Type="http://schemas.openxmlformats.org/officeDocument/2006/relationships/hyperlink" Target="http://www.jzn1.com/search.aspx?q=&#24314;&#31569;" TargetMode="External"/><Relationship Id="rId87" Type="http://schemas.openxmlformats.org/officeDocument/2006/relationships/hyperlink" Target="http://www.jzn1.com/search.aspx?q=&#35774;&#35745;" TargetMode="External"/><Relationship Id="rId110" Type="http://schemas.openxmlformats.org/officeDocument/2006/relationships/hyperlink" Target="http://www.jzn1.com/search.aspx?q=&#35268;&#33539;" TargetMode="External"/><Relationship Id="rId115" Type="http://schemas.openxmlformats.org/officeDocument/2006/relationships/hyperlink" Target="http://www.so.com/link?m=aOQd4gvmEPIkeMrREzNWEsuCEOqHNF9uswVkI8LGqkZZyXkyRc2JkWIE3oKiDPwJ2t9zwDbUONN7pWZ%2B8G%2FBvsUi3uUcuFapRoJsLrTtrtNG8TMEH" TargetMode="External"/><Relationship Id="rId61" Type="http://schemas.openxmlformats.org/officeDocument/2006/relationships/hyperlink" Target="http://baike.baidu.com/item/%E9%80%9A%E4%BF%A1%E7%BA%BF%E8%B7%AF" TargetMode="External"/><Relationship Id="rId82" Type="http://schemas.openxmlformats.org/officeDocument/2006/relationships/hyperlink" Target="http://www.jzn1.com/search.aspx?q=&#35268;&#33539;"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7EA14-C330-4C15-AA7C-E3333B60A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56279</Words>
  <Characters>320793</Characters>
  <Application>Microsoft Office Word</Application>
  <DocSecurity>0</DocSecurity>
  <Lines>2673</Lines>
  <Paragraphs>752</Paragraphs>
  <ScaleCrop>false</ScaleCrop>
  <Company>Sky123.Org</Company>
  <LinksUpToDate>false</LinksUpToDate>
  <CharactersWithSpaces>376320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姜雯婕</cp:lastModifiedBy>
  <cp:revision>5</cp:revision>
  <cp:lastPrinted>2017-09-20T01:49:00Z</cp:lastPrinted>
  <dcterms:created xsi:type="dcterms:W3CDTF">2017-09-30T02:53:00Z</dcterms:created>
  <dcterms:modified xsi:type="dcterms:W3CDTF">2017-10-11T02:07:00Z</dcterms:modified>
</cp:coreProperties>
</file>